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p>
    <w:p>
      <w:pPr>
        <w:pStyle w:val="Body"/>
        <w:rPr>
          <w:b w:val="1"/>
          <w:bCs w:val="1"/>
          <w:outline w:val="0"/>
          <w:color w:val="ff0000"/>
          <w:sz w:val="32"/>
          <w:szCs w:val="32"/>
          <w:u w:color="ff0000"/>
          <w14:textFill>
            <w14:solidFill>
              <w14:srgbClr w14:val="FF0000"/>
            </w14:solidFill>
          </w14:textFill>
        </w:rPr>
      </w:pPr>
    </w:p>
    <w:p>
      <w:pPr>
        <w:pStyle w:val="Body"/>
        <w:jc w:val="both"/>
        <w:rPr>
          <w:rFonts w:ascii="Calibri" w:cs="Calibri" w:hAnsi="Calibri" w:eastAsia="Calibri"/>
          <w:b w:val="1"/>
          <w:bCs w:val="1"/>
          <w:sz w:val="32"/>
          <w:szCs w:val="32"/>
        </w:rPr>
      </w:pPr>
      <w:r>
        <w:rPr>
          <w:rFonts w:ascii="Calibri" w:cs="Calibri" w:hAnsi="Calibri" w:eastAsia="Calibri"/>
          <w:b w:val="1"/>
          <w:bCs w:val="1"/>
          <w:sz w:val="32"/>
          <w:szCs w:val="32"/>
          <w:rtl w:val="0"/>
          <w:lang w:val="de-DE"/>
        </w:rPr>
        <w:t xml:space="preserve">KHUH RESEARCH PROPOSAL </w:t>
      </w:r>
    </w:p>
    <w:p>
      <w:pPr>
        <w:pStyle w:val="Body"/>
        <w:jc w:val="both"/>
        <w:rPr>
          <w:rFonts w:ascii="Arial" w:cs="Arial" w:hAnsi="Arial" w:eastAsia="Arial"/>
          <w:b w:val="1"/>
          <w:bCs w:val="1"/>
          <w:sz w:val="24"/>
          <w:szCs w:val="24"/>
        </w:rPr>
      </w:pPr>
      <w:r>
        <w:rPr>
          <w:rFonts w:ascii="Arial" w:hAnsi="Arial"/>
          <w:b w:val="1"/>
          <w:bCs w:val="1"/>
          <w:sz w:val="24"/>
          <w:szCs w:val="24"/>
          <w:rtl w:val="0"/>
          <w:lang w:val="de-DE"/>
        </w:rPr>
        <w:t>Title</w:t>
      </w:r>
      <w:r>
        <w:rPr>
          <w:rFonts w:ascii="Arial" w:hAnsi="Arial"/>
          <w:sz w:val="24"/>
          <w:szCs w:val="24"/>
          <w:rtl w:val="0"/>
          <w:lang w:val="en-US"/>
        </w:rPr>
        <w:t>: Impact of adductor canal block versus femoral nerve block for post-operative analgesia in total knee arthroplasty.</w:t>
      </w:r>
      <w:r>
        <w:rPr>
          <w:rFonts w:ascii="Arial" w:hAnsi="Arial"/>
          <w:b w:val="1"/>
          <w:bCs w:val="1"/>
          <w:sz w:val="28"/>
          <w:szCs w:val="28"/>
          <w:rtl w:val="0"/>
        </w:rPr>
        <w:t xml:space="preserve"> </w:t>
      </w:r>
    </w:p>
    <w:p>
      <w:pPr>
        <w:pStyle w:val="Body"/>
        <w:jc w:val="both"/>
        <w:rPr>
          <w:rFonts w:ascii="Arial" w:cs="Arial" w:hAnsi="Arial" w:eastAsia="Arial"/>
          <w:sz w:val="24"/>
          <w:szCs w:val="24"/>
        </w:rPr>
      </w:pPr>
      <w:r>
        <w:rPr>
          <w:rFonts w:ascii="Arial" w:hAnsi="Arial"/>
          <w:b w:val="1"/>
          <w:bCs w:val="1"/>
          <w:sz w:val="24"/>
          <w:szCs w:val="24"/>
          <w:rtl w:val="0"/>
          <w:lang w:val="en-US"/>
        </w:rPr>
        <w:t xml:space="preserve">Premise of the study:  </w:t>
      </w:r>
      <w:r>
        <w:rPr>
          <w:rFonts w:ascii="Arial" w:hAnsi="Arial"/>
          <w:sz w:val="24"/>
          <w:szCs w:val="24"/>
          <w:rtl w:val="0"/>
          <w:lang w:val="en-US"/>
        </w:rPr>
        <w:t>Adductor canal block provides early ambulation compared to femoral nerve block using bupivacaine for patients undergoing total knee arthroplasty (TKA).</w:t>
      </w:r>
    </w:p>
    <w:p>
      <w:pPr>
        <w:pStyle w:val="Body"/>
        <w:jc w:val="both"/>
        <w:rPr>
          <w:rFonts w:ascii="Arial" w:cs="Arial" w:hAnsi="Arial" w:eastAsia="Arial"/>
          <w:sz w:val="24"/>
          <w:szCs w:val="24"/>
        </w:rPr>
      </w:pPr>
      <w:r>
        <w:rPr>
          <w:rFonts w:ascii="Arial" w:hAnsi="Arial"/>
          <w:b w:val="1"/>
          <w:bCs w:val="1"/>
          <w:sz w:val="24"/>
          <w:szCs w:val="24"/>
          <w:rtl w:val="0"/>
          <w:lang w:val="en-US"/>
        </w:rPr>
        <w:t>Background</w:t>
      </w:r>
      <w:r>
        <w:rPr>
          <w:rFonts w:ascii="Arial" w:hAnsi="Arial"/>
          <w:sz w:val="24"/>
          <w:szCs w:val="24"/>
          <w:rtl w:val="0"/>
          <w:lang w:val="en-US"/>
        </w:rPr>
        <w:t xml:space="preserve">:  The development of joint replacement is regarded as one of the most significant advances in orthopedic surgeries. Total knee replacement is associated with significant potential perioperative morbidity as infection, DVT, </w:t>
      </w:r>
      <w:r>
        <w:rPr>
          <w:rFonts w:ascii="Arial" w:hAnsi="Arial"/>
          <w:sz w:val="24"/>
          <w:szCs w:val="24"/>
          <w:shd w:val="clear" w:color="auto" w:fill="ffff00"/>
          <w:rtl w:val="0"/>
          <w:lang w:val="en-US"/>
        </w:rPr>
        <w:t>pain and increase the incidence of revision because the limited time of the protheses (1)</w:t>
      </w:r>
      <w:r>
        <w:rPr>
          <w:rFonts w:ascii="Arial" w:hAnsi="Arial"/>
          <w:sz w:val="24"/>
          <w:szCs w:val="24"/>
          <w:rtl w:val="0"/>
          <w:lang w:val="en-US"/>
        </w:rPr>
        <w:t xml:space="preserve"> . In this regard, anesthesia is of prime importance to reduce postoperative pain and morbidity. Anesthesia for total knee replacement should provide stable intraoperative conditions and rapid recuperation. Analgesia techniques should aim to provide optimal pain relief whilst minimizing side effects. There is now good evidence that well-conducted regional analgesia can achieve these aims, leading to improved functional recovery facilitated by more rapid and effective joint rehabilitation.</w:t>
      </w:r>
    </w:p>
    <w:p>
      <w:pPr>
        <w:pStyle w:val="Body"/>
        <w:jc w:val="both"/>
        <w:rPr>
          <w:rFonts w:ascii="Arial" w:cs="Arial" w:hAnsi="Arial" w:eastAsia="Arial"/>
          <w:sz w:val="24"/>
          <w:szCs w:val="24"/>
        </w:rPr>
      </w:pPr>
      <w:r>
        <w:rPr>
          <w:rFonts w:ascii="Arial" w:hAnsi="Arial"/>
          <w:sz w:val="24"/>
          <w:szCs w:val="24"/>
          <w:rtl w:val="0"/>
          <w:lang w:val="en-US"/>
        </w:rPr>
        <w:t>Various techniques have been implied like local anesthetic infiltration has become increasingly popular in the last decade as a component of multimodal analgesic regime which has facilitated early recovery and patient satisfaction (13, 14). Combination of long acting local anesthetic, epinephrine, narcotics, non-steroidal analgesics, corticosteroids and clonidine . (15). Its is easy to be administer and does not result in motor block which contributes to early ambulation.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en-US"/>
        </w:rPr>
        <w:t>Statement of the problem</w:t>
      </w:r>
      <w:r>
        <w:rPr>
          <w:rFonts w:ascii="Arial" w:hAnsi="Arial"/>
          <w:sz w:val="24"/>
          <w:szCs w:val="24"/>
          <w:rtl w:val="0"/>
          <w:lang w:val="en-US"/>
        </w:rPr>
        <w:t>: The comparative analgesic effect of Adductor canal block ( ACB ) and femoral nerve block ( FNB ) has not been adequately reported in patients undergoing TKA.</w:t>
      </w:r>
    </w:p>
    <w:p>
      <w:pPr>
        <w:pStyle w:val="Body"/>
        <w:jc w:val="both"/>
        <w:rPr>
          <w:rFonts w:ascii="Arial" w:cs="Arial" w:hAnsi="Arial" w:eastAsia="Arial"/>
          <w:sz w:val="24"/>
          <w:szCs w:val="24"/>
        </w:rPr>
      </w:pPr>
      <w:r>
        <w:rPr>
          <w:rFonts w:ascii="Arial" w:hAnsi="Arial"/>
          <w:b w:val="1"/>
          <w:bCs w:val="1"/>
          <w:sz w:val="24"/>
          <w:szCs w:val="24"/>
          <w:rtl w:val="0"/>
          <w:lang w:val="it-IT"/>
        </w:rPr>
        <w:t>Significance</w:t>
      </w:r>
      <w:r>
        <w:rPr>
          <w:rFonts w:ascii="Arial" w:hAnsi="Arial"/>
          <w:sz w:val="24"/>
          <w:szCs w:val="24"/>
          <w:rtl w:val="0"/>
          <w:lang w:val="en-US"/>
        </w:rPr>
        <w:t>: Clinical trials investigating different modalities of administering analgesia in total knee replacement have reported comparative efficacies between single shot femoral nerve block (SSFNB) and adductor canal block. A recent retrospective study examining the pain rating, side effects and ambulation found that an adductor canal block with provided comparable analgesic effects when compared to single shot femoral nerve block after TKA; and might be associated with early ambulation than femoral nerve block post-operatively</w:t>
      </w:r>
      <w:r>
        <w:rPr>
          <w:rFonts w:ascii="Arial" w:hAnsi="Arial"/>
          <w:sz w:val="24"/>
          <w:szCs w:val="24"/>
          <w:rtl w:val="0"/>
          <w:lang w:val="en-US"/>
        </w:rPr>
        <w:t xml:space="preserve"> (11)</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In Jon Koh have studied the comparative efficacy of adductor canal block and femoral nerve block using a randomized trial. The authors concluded that patients receiving adductor canal block had comparable pain score and opioid consumption post operatively, with superior quadriceps strength in Adductor canal block.</w:t>
      </w:r>
    </w:p>
    <w:p>
      <w:pPr>
        <w:pStyle w:val="Body"/>
        <w:jc w:val="both"/>
        <w:rPr>
          <w:rFonts w:ascii="Arial" w:cs="Arial" w:hAnsi="Arial" w:eastAsia="Arial"/>
          <w:sz w:val="24"/>
          <w:szCs w:val="24"/>
        </w:rPr>
      </w:pPr>
    </w:p>
    <w:p>
      <w:pPr>
        <w:pStyle w:val="Body"/>
        <w:jc w:val="both"/>
        <w:rPr>
          <w:rFonts w:ascii="Arial" w:cs="Arial" w:hAnsi="Arial" w:eastAsia="Arial"/>
          <w:sz w:val="2"/>
          <w:szCs w:val="2"/>
        </w:rPr>
      </w:pPr>
      <w:r>
        <w:rPr>
          <w:rFonts w:ascii="Arial" w:hAnsi="Arial"/>
          <w:sz w:val="24"/>
          <w:szCs w:val="24"/>
          <w:rtl w:val="0"/>
        </w:rPr>
        <w:t xml:space="preserve">  </w:t>
      </w:r>
    </w:p>
    <w:p>
      <w:pPr>
        <w:pStyle w:val="Body"/>
        <w:jc w:val="both"/>
        <w:rPr>
          <w:rFonts w:ascii="Arial" w:cs="Arial" w:hAnsi="Arial" w:eastAsia="Arial"/>
          <w:sz w:val="24"/>
          <w:szCs w:val="24"/>
        </w:rPr>
      </w:pPr>
      <w:r>
        <w:rPr>
          <w:rFonts w:ascii="Arial" w:hAnsi="Arial"/>
          <w:b w:val="1"/>
          <w:bCs w:val="1"/>
          <w:sz w:val="24"/>
          <w:szCs w:val="24"/>
          <w:rtl w:val="0"/>
          <w:lang w:val="en-US"/>
        </w:rPr>
        <w:t>General Objective</w:t>
      </w:r>
      <w:r>
        <w:rPr>
          <w:rFonts w:ascii="Arial" w:hAnsi="Arial"/>
          <w:sz w:val="24"/>
          <w:szCs w:val="24"/>
          <w:rtl w:val="0"/>
          <w:lang w:val="en-US"/>
        </w:rPr>
        <w:t xml:space="preserve">: To study the impact of femoral nerve block using 20ml of 0.5% bupivacaine,  and comparing it to adductor canal block on post-operative pain control in TKA.  </w:t>
      </w:r>
    </w:p>
    <w:p>
      <w:pPr>
        <w:pStyle w:val="Body"/>
        <w:jc w:val="both"/>
        <w:rPr>
          <w:rFonts w:ascii="Arial" w:cs="Arial" w:hAnsi="Arial" w:eastAsia="Arial"/>
          <w:sz w:val="24"/>
          <w:szCs w:val="24"/>
        </w:rPr>
      </w:pPr>
      <w:r>
        <w:rPr>
          <w:rFonts w:ascii="Arial" w:hAnsi="Arial"/>
          <w:b w:val="1"/>
          <w:bCs w:val="1"/>
          <w:sz w:val="24"/>
          <w:szCs w:val="24"/>
          <w:rtl w:val="0"/>
          <w:lang w:val="en-US"/>
        </w:rPr>
        <w:t>Specific Objectives</w:t>
      </w:r>
      <w:r>
        <w:rPr>
          <w:rFonts w:ascii="Arial" w:hAnsi="Arial"/>
          <w:sz w:val="24"/>
          <w:szCs w:val="24"/>
          <w:rtl w:val="0"/>
          <w:lang w:val="en-US"/>
        </w:rPr>
        <w:t xml:space="preserve">: To study and compare the following in both the study groups: </w:t>
      </w:r>
    </w:p>
    <w:p>
      <w:pPr>
        <w:pStyle w:val="List Paragraph"/>
        <w:numPr>
          <w:ilvl w:val="0"/>
          <w:numId w:val="2"/>
        </w:numPr>
        <w:bidi w:val="0"/>
        <w:ind w:right="0"/>
        <w:jc w:val="both"/>
        <w:rPr>
          <w:rFonts w:ascii="Arial" w:hAnsi="Arial"/>
          <w:sz w:val="24"/>
          <w:szCs w:val="24"/>
          <w:rtl w:val="0"/>
          <w:lang w:val="en-US"/>
        </w:rPr>
      </w:pPr>
      <w:r>
        <w:rPr>
          <w:rFonts w:ascii="Arial" w:hAnsi="Arial"/>
          <w:sz w:val="24"/>
          <w:szCs w:val="24"/>
          <w:rtl w:val="0"/>
          <w:lang w:val="en-US"/>
        </w:rPr>
        <w:t>Amount of PCA (Morphine) required within first 24hours</w:t>
      </w:r>
    </w:p>
    <w:p>
      <w:pPr>
        <w:pStyle w:val="List Paragraph"/>
        <w:numPr>
          <w:ilvl w:val="0"/>
          <w:numId w:val="2"/>
        </w:numPr>
        <w:bidi w:val="0"/>
        <w:ind w:right="0"/>
        <w:jc w:val="both"/>
        <w:rPr>
          <w:rFonts w:ascii="Arial" w:hAnsi="Arial"/>
          <w:sz w:val="24"/>
          <w:szCs w:val="24"/>
          <w:rtl w:val="0"/>
          <w:lang w:val="en-US"/>
        </w:rPr>
      </w:pPr>
      <w:r>
        <w:rPr>
          <w:rFonts w:ascii="Arial" w:hAnsi="Arial"/>
          <w:sz w:val="24"/>
          <w:szCs w:val="24"/>
          <w:rtl w:val="0"/>
          <w:lang w:val="en-US"/>
        </w:rPr>
        <w:t>Visual analogy pain score (VAS) at rest and flexion of operated knee.</w:t>
      </w:r>
    </w:p>
    <w:p>
      <w:pPr>
        <w:pStyle w:val="List Paragraph"/>
        <w:numPr>
          <w:ilvl w:val="0"/>
          <w:numId w:val="2"/>
        </w:numPr>
        <w:bidi w:val="0"/>
        <w:ind w:right="0"/>
        <w:jc w:val="both"/>
        <w:rPr>
          <w:rFonts w:ascii="Arial" w:hAnsi="Arial"/>
          <w:sz w:val="24"/>
          <w:szCs w:val="24"/>
          <w:rtl w:val="0"/>
          <w:lang w:val="en-US"/>
        </w:rPr>
      </w:pPr>
      <w:r>
        <w:rPr>
          <w:rFonts w:ascii="Arial" w:hAnsi="Arial"/>
          <w:sz w:val="24"/>
          <w:szCs w:val="24"/>
          <w:rtl w:val="0"/>
          <w:lang w:val="en-US"/>
        </w:rPr>
        <w:t>Nausea and vomiting and any other side effects.</w:t>
      </w:r>
    </w:p>
    <w:p>
      <w:pPr>
        <w:pStyle w:val="List Paragraph"/>
        <w:numPr>
          <w:ilvl w:val="0"/>
          <w:numId w:val="2"/>
        </w:numPr>
        <w:bidi w:val="0"/>
        <w:ind w:right="0"/>
        <w:jc w:val="both"/>
        <w:rPr>
          <w:rFonts w:ascii="Arial" w:hAnsi="Arial"/>
          <w:sz w:val="24"/>
          <w:szCs w:val="24"/>
          <w:rtl w:val="0"/>
          <w:lang w:val="en-US"/>
        </w:rPr>
      </w:pPr>
      <w:r>
        <w:rPr>
          <w:rFonts w:ascii="Arial" w:hAnsi="Arial"/>
          <w:sz w:val="24"/>
          <w:szCs w:val="24"/>
          <w:rtl w:val="0"/>
          <w:lang w:val="en-US"/>
        </w:rPr>
        <w:t>Time of ambulation</w:t>
      </w:r>
    </w:p>
    <w:p>
      <w:pPr>
        <w:pStyle w:val="Body"/>
        <w:jc w:val="both"/>
        <w:rPr>
          <w:rFonts w:ascii="Arial" w:cs="Arial" w:hAnsi="Arial" w:eastAsia="Arial"/>
          <w:b w:val="1"/>
          <w:bCs w:val="1"/>
          <w:sz w:val="24"/>
          <w:szCs w:val="24"/>
        </w:rPr>
      </w:pPr>
      <w:r>
        <w:rPr>
          <w:rFonts w:ascii="Arial" w:hAnsi="Arial"/>
          <w:b w:val="1"/>
          <w:bCs w:val="1"/>
          <w:sz w:val="24"/>
          <w:szCs w:val="24"/>
          <w:rtl w:val="0"/>
          <w:lang w:val="de-DE"/>
        </w:rPr>
        <w:t xml:space="preserve">METHOD: </w:t>
      </w:r>
    </w:p>
    <w:p>
      <w:pPr>
        <w:pStyle w:val="Body"/>
        <w:jc w:val="both"/>
        <w:rPr>
          <w:rFonts w:ascii="Arial" w:cs="Arial" w:hAnsi="Arial" w:eastAsia="Arial"/>
          <w:sz w:val="24"/>
          <w:szCs w:val="24"/>
        </w:rPr>
      </w:pPr>
      <w:r>
        <w:rPr>
          <w:rFonts w:ascii="Arial" w:hAnsi="Arial"/>
          <w:b w:val="1"/>
          <w:bCs w:val="1"/>
          <w:sz w:val="24"/>
          <w:szCs w:val="24"/>
          <w:rtl w:val="0"/>
          <w:lang w:val="en-US"/>
        </w:rPr>
        <w:t>Setting:</w:t>
      </w:r>
      <w:r>
        <w:rPr>
          <w:rFonts w:ascii="Arial" w:hAnsi="Arial"/>
          <w:sz w:val="24"/>
          <w:szCs w:val="24"/>
          <w:rtl w:val="0"/>
          <w:lang w:val="en-US"/>
        </w:rPr>
        <w:t xml:space="preserve"> Orthopedic ward and recovery room at King Hamad University Hospital (KHUH)</w:t>
      </w:r>
    </w:p>
    <w:p>
      <w:pPr>
        <w:pStyle w:val="Body"/>
        <w:jc w:val="both"/>
        <w:rPr>
          <w:rFonts w:ascii="Arial" w:cs="Arial" w:hAnsi="Arial" w:eastAsia="Arial"/>
          <w:b w:val="1"/>
          <w:bCs w:val="1"/>
          <w:sz w:val="24"/>
          <w:szCs w:val="24"/>
        </w:rPr>
      </w:pPr>
      <w:r>
        <w:rPr>
          <w:rFonts w:ascii="Arial" w:hAnsi="Arial"/>
          <w:b w:val="1"/>
          <w:bCs w:val="1"/>
          <w:sz w:val="24"/>
          <w:szCs w:val="24"/>
          <w:rtl w:val="0"/>
          <w:lang w:val="en-US"/>
        </w:rPr>
        <w:t>Design</w:t>
      </w:r>
      <w:r>
        <w:rPr>
          <w:rFonts w:ascii="Arial" w:hAnsi="Arial"/>
          <w:sz w:val="24"/>
          <w:szCs w:val="24"/>
          <w:rtl w:val="0"/>
          <w:lang w:val="en-US"/>
        </w:rPr>
        <w:t xml:space="preserve">: Double blinded  Randomized control trial </w:t>
      </w:r>
    </w:p>
    <w:p>
      <w:pPr>
        <w:pStyle w:val="Body"/>
        <w:jc w:val="both"/>
        <w:rPr>
          <w:rFonts w:ascii="Arial" w:cs="Arial" w:hAnsi="Arial" w:eastAsia="Arial"/>
          <w:sz w:val="24"/>
          <w:szCs w:val="24"/>
        </w:rPr>
      </w:pPr>
      <w:r>
        <w:rPr>
          <w:rFonts w:ascii="Arial" w:hAnsi="Arial"/>
          <w:b w:val="1"/>
          <w:bCs w:val="1"/>
          <w:sz w:val="24"/>
          <w:szCs w:val="24"/>
          <w:rtl w:val="0"/>
          <w:lang w:val="en-US"/>
        </w:rPr>
        <w:t>Subjects</w:t>
      </w:r>
      <w:r>
        <w:rPr>
          <w:rFonts w:ascii="Arial" w:hAnsi="Arial"/>
          <w:sz w:val="24"/>
          <w:szCs w:val="24"/>
          <w:rtl w:val="0"/>
          <w:lang w:val="en-US"/>
        </w:rPr>
        <w:t>: Patients for elective TKA at KHUH.</w:t>
      </w:r>
    </w:p>
    <w:p>
      <w:pPr>
        <w:pStyle w:val="Body"/>
        <w:jc w:val="both"/>
        <w:rPr>
          <w:rFonts w:ascii="Arial" w:cs="Arial" w:hAnsi="Arial" w:eastAsia="Arial"/>
          <w:sz w:val="24"/>
          <w:szCs w:val="24"/>
        </w:rPr>
      </w:pPr>
    </w:p>
    <w:p>
      <w:pPr>
        <w:pStyle w:val="Body"/>
        <w:jc w:val="both"/>
        <w:rPr>
          <w:rFonts w:ascii="Arial" w:cs="Arial" w:hAnsi="Arial" w:eastAsia="Arial"/>
          <w:sz w:val="24"/>
          <w:szCs w:val="24"/>
        </w:rPr>
      </w:pPr>
    </w:p>
    <w:p>
      <w:pPr>
        <w:pStyle w:val="Body"/>
        <w:jc w:val="both"/>
        <w:rPr>
          <w:rFonts w:ascii="Arial" w:cs="Arial" w:hAnsi="Arial" w:eastAsia="Arial"/>
          <w:sz w:val="24"/>
          <w:szCs w:val="24"/>
        </w:rPr>
      </w:pPr>
    </w:p>
    <w:p>
      <w:pPr>
        <w:pStyle w:val="Body"/>
        <w:jc w:val="both"/>
        <w:rPr>
          <w:rFonts w:ascii="Arial" w:cs="Arial" w:hAnsi="Arial" w:eastAsia="Arial"/>
          <w:sz w:val="24"/>
          <w:szCs w:val="24"/>
        </w:rPr>
      </w:pPr>
    </w:p>
    <w:p>
      <w:pPr>
        <w:pStyle w:val="Body"/>
        <w:jc w:val="both"/>
        <w:rPr>
          <w:rFonts w:ascii="Arial" w:cs="Arial" w:hAnsi="Arial" w:eastAsia="Arial"/>
          <w:b w:val="1"/>
          <w:bCs w:val="1"/>
          <w:sz w:val="24"/>
          <w:szCs w:val="24"/>
        </w:rPr>
      </w:pPr>
    </w:p>
    <w:tbl>
      <w:tblPr>
        <w:tblW w:w="99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97"/>
        <w:gridCol w:w="6582"/>
      </w:tblGrid>
      <w:tr>
        <w:tblPrEx>
          <w:shd w:val="clear" w:color="auto" w:fill="ced7e7"/>
        </w:tblPrEx>
        <w:trPr>
          <w:trHeight w:val="323"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rFonts w:ascii="Arial" w:hAnsi="Arial"/>
                <w:b w:val="1"/>
                <w:bCs w:val="1"/>
                <w:sz w:val="24"/>
                <w:szCs w:val="24"/>
                <w:rtl w:val="0"/>
                <w:lang w:val="en-US"/>
              </w:rPr>
              <w:t>Inclusion Criteria</w:t>
            </w:r>
          </w:p>
        </w:tc>
        <w:tc>
          <w:tcPr>
            <w:tcW w:type="dxa" w:w="6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b w:val="1"/>
                <w:bCs w:val="1"/>
                <w:sz w:val="24"/>
                <w:szCs w:val="24"/>
                <w:rtl w:val="0"/>
                <w:lang w:val="en-US"/>
              </w:rPr>
              <w:t>Exclusion Criteria</w:t>
            </w:r>
          </w:p>
        </w:tc>
      </w:tr>
      <w:tr>
        <w:tblPrEx>
          <w:shd w:val="clear" w:color="auto" w:fill="ced7e7"/>
        </w:tblPrEx>
        <w:trPr>
          <w:trHeight w:val="4170" w:hRule="atLeast"/>
        </w:trPr>
        <w:tc>
          <w:tcPr>
            <w:tcW w:type="dxa" w:w="33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rPr>
                <w:rFonts w:ascii="Arial" w:hAnsi="Arial"/>
                <w:sz w:val="24"/>
                <w:szCs w:val="24"/>
                <w:lang w:val="en-US"/>
              </w:rPr>
            </w:pPr>
            <w:r>
              <w:rPr>
                <w:rFonts w:ascii="Arial" w:hAnsi="Arial"/>
                <w:sz w:val="24"/>
                <w:szCs w:val="24"/>
                <w:rtl w:val="0"/>
                <w:lang w:val="en-US"/>
              </w:rPr>
              <w:t>Primary electric total knee replacement</w:t>
            </w:r>
          </w:p>
          <w:p>
            <w:pPr>
              <w:pStyle w:val="List Paragraph"/>
              <w:numPr>
                <w:ilvl w:val="0"/>
                <w:numId w:val="3"/>
              </w:numPr>
              <w:bidi w:val="0"/>
              <w:ind w:right="0"/>
              <w:jc w:val="left"/>
              <w:rPr>
                <w:rFonts w:ascii="Arial" w:hAnsi="Arial"/>
                <w:sz w:val="24"/>
                <w:szCs w:val="24"/>
                <w:rtl w:val="0"/>
                <w:lang w:val="en-US"/>
              </w:rPr>
            </w:pPr>
            <w:r>
              <w:rPr>
                <w:rFonts w:ascii="Arial" w:hAnsi="Arial"/>
                <w:sz w:val="24"/>
                <w:szCs w:val="24"/>
                <w:rtl w:val="0"/>
                <w:lang w:val="en-US"/>
              </w:rPr>
              <w:t>Patients fulfilling criteria 1-2 of American Society of Anesthesiologists (ASA)</w:t>
            </w:r>
          </w:p>
        </w:tc>
        <w:tc>
          <w:tcPr>
            <w:tcW w:type="dxa" w:w="65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rPr>
                <w:rFonts w:ascii="Arial" w:hAnsi="Arial"/>
                <w:sz w:val="24"/>
                <w:szCs w:val="24"/>
                <w:lang w:val="en-US"/>
              </w:rPr>
            </w:pPr>
            <w:r>
              <w:rPr>
                <w:rFonts w:ascii="Arial" w:hAnsi="Arial"/>
                <w:sz w:val="24"/>
                <w:szCs w:val="24"/>
                <w:rtl w:val="0"/>
                <w:lang w:val="en-US"/>
              </w:rPr>
              <w:t>ASA physical status &gt;3</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History of allergy/contraindications to morphine, local anesthetics, non-steroidal anti-inflammatory drugs, paracetamol, central neuraxial block and peripheral nerve blocks</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Regular opioid use</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Peripheral neuropathies</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History of chronic pain at site(s) other than joint replacement</w:t>
            </w:r>
          </w:p>
          <w:p>
            <w:pPr>
              <w:pStyle w:val="List Paragraph"/>
              <w:numPr>
                <w:ilvl w:val="0"/>
                <w:numId w:val="4"/>
              </w:numPr>
              <w:bidi w:val="0"/>
              <w:ind w:right="0"/>
              <w:jc w:val="left"/>
              <w:rPr>
                <w:rFonts w:ascii="Arial" w:hAnsi="Arial"/>
                <w:sz w:val="24"/>
                <w:szCs w:val="24"/>
                <w:rtl w:val="0"/>
                <w:lang w:val="en-US"/>
              </w:rPr>
            </w:pPr>
            <w:r>
              <w:rPr>
                <w:rFonts w:ascii="Arial" w:hAnsi="Arial"/>
                <w:sz w:val="24"/>
                <w:szCs w:val="24"/>
                <w:rtl w:val="0"/>
                <w:lang w:val="en-US"/>
              </w:rPr>
              <w:t>Renal and/or hepatic impairment</w:t>
            </w:r>
          </w:p>
        </w:tc>
      </w:tr>
    </w:tbl>
    <w:p>
      <w:pPr>
        <w:pStyle w:val="Body"/>
        <w:widowControl w:val="0"/>
        <w:spacing w:line="240" w:lineRule="auto"/>
        <w:jc w:val="both"/>
        <w:rPr>
          <w:rFonts w:ascii="Arial" w:cs="Arial" w:hAnsi="Arial" w:eastAsia="Arial"/>
          <w:b w:val="1"/>
          <w:bCs w:val="1"/>
          <w:sz w:val="24"/>
          <w:szCs w:val="24"/>
        </w:rPr>
      </w:pPr>
    </w:p>
    <w:p>
      <w:pPr>
        <w:pStyle w:val="Body"/>
        <w:jc w:val="both"/>
        <w:rPr>
          <w:rFonts w:ascii="Arial" w:cs="Arial" w:hAnsi="Arial" w:eastAsia="Arial"/>
          <w:b w:val="1"/>
          <w:bCs w:val="1"/>
          <w:sz w:val="24"/>
          <w:szCs w:val="24"/>
        </w:rPr>
      </w:pPr>
    </w:p>
    <w:p>
      <w:pPr>
        <w:pStyle w:val="Body"/>
        <w:jc w:val="both"/>
        <w:rPr>
          <w:rFonts w:ascii="Arial" w:cs="Arial" w:hAnsi="Arial" w:eastAsia="Arial"/>
          <w:b w:val="1"/>
          <w:bCs w:val="1"/>
          <w:sz w:val="24"/>
          <w:szCs w:val="24"/>
        </w:rPr>
      </w:pPr>
      <w:r>
        <w:rPr>
          <w:rFonts w:ascii="Arial" w:hAnsi="Arial"/>
          <w:b w:val="1"/>
          <w:bCs w:val="1"/>
          <w:sz w:val="24"/>
          <w:szCs w:val="24"/>
          <w:rtl w:val="0"/>
          <w:lang w:val="en-US"/>
        </w:rPr>
        <w:t>Sample size:</w:t>
      </w:r>
      <w:r>
        <w:rPr>
          <w:rFonts w:ascii="Arial" w:hAnsi="Arial"/>
          <w:sz w:val="24"/>
          <w:szCs w:val="24"/>
          <w:rtl w:val="0"/>
          <w:lang w:val="en-US"/>
        </w:rPr>
        <w:t xml:space="preserve"> 35 participants in each arm</w:t>
      </w:r>
    </w:p>
    <w:p>
      <w:pPr>
        <w:pStyle w:val="Body"/>
        <w:jc w:val="both"/>
        <w:rPr>
          <w:rFonts w:ascii="Arial" w:cs="Arial" w:hAnsi="Arial" w:eastAsia="Arial"/>
          <w:b w:val="1"/>
          <w:bCs w:val="1"/>
          <w:sz w:val="4"/>
          <w:szCs w:val="4"/>
        </w:rPr>
      </w:pPr>
      <w:r>
        <w:rPr>
          <w:rFonts w:ascii="Arial" w:hAnsi="Arial"/>
          <w:b w:val="1"/>
          <w:bCs w:val="1"/>
          <w:sz w:val="24"/>
          <w:szCs w:val="24"/>
          <w:rtl w:val="0"/>
          <w:lang w:val="en-US"/>
        </w:rPr>
        <w:t>Sampling Technique</w:t>
      </w:r>
      <w:r>
        <w:rPr>
          <w:rFonts w:ascii="Arial" w:hAnsi="Arial"/>
          <w:sz w:val="24"/>
          <w:szCs w:val="24"/>
          <w:rtl w:val="0"/>
          <w:lang w:val="en-US"/>
        </w:rPr>
        <w:t>: Convenience sampling</w:t>
      </w:r>
    </w:p>
    <w:p>
      <w:pPr>
        <w:pStyle w:val="Body"/>
        <w:jc w:val="both"/>
        <w:rPr>
          <w:rFonts w:ascii="Arial" w:cs="Arial" w:hAnsi="Arial" w:eastAsia="Arial"/>
          <w:sz w:val="24"/>
          <w:szCs w:val="24"/>
        </w:rPr>
      </w:pPr>
      <w:r>
        <w:rPr>
          <w:rFonts w:ascii="Arial" w:hAnsi="Arial"/>
          <w:b w:val="1"/>
          <w:bCs w:val="1"/>
          <w:sz w:val="24"/>
          <w:szCs w:val="24"/>
          <w:rtl w:val="0"/>
          <w:lang w:val="en-US"/>
        </w:rPr>
        <w:t>Time Frame</w:t>
      </w:r>
      <w:r>
        <w:rPr>
          <w:rFonts w:ascii="Arial" w:hAnsi="Arial"/>
          <w:sz w:val="24"/>
          <w:szCs w:val="24"/>
          <w:rtl w:val="0"/>
        </w:rPr>
        <w:t xml:space="preserve"> </w:t>
      </w:r>
      <w:r>
        <w:rPr>
          <w:rFonts w:ascii="Arial" w:hAnsi="Arial"/>
          <w:b w:val="1"/>
          <w:bCs w:val="1"/>
          <w:sz w:val="24"/>
          <w:szCs w:val="24"/>
          <w:rtl w:val="0"/>
          <w:lang w:val="en-US"/>
        </w:rPr>
        <w:t>of the study</w:t>
      </w:r>
    </w:p>
    <w:p>
      <w:pPr>
        <w:pStyle w:val="Body"/>
        <w:rPr>
          <w:rFonts w:ascii="Arial" w:cs="Arial" w:hAnsi="Arial" w:eastAsia="Arial"/>
          <w:sz w:val="24"/>
          <w:szCs w:val="24"/>
        </w:rPr>
      </w:pPr>
      <w:r>
        <w:rPr>
          <w:rFonts w:ascii="Arial" w:hAnsi="Arial"/>
          <w:sz w:val="24"/>
          <w:szCs w:val="24"/>
          <w:rtl w:val="0"/>
        </w:rPr>
        <w:t xml:space="preserve">Data collection: 8 months                                                                                                                                             Data analysis and report writing: 2 months                                                                                                                                        </w:t>
      </w:r>
    </w:p>
    <w:p>
      <w:pPr>
        <w:pStyle w:val="Body"/>
        <w:jc w:val="both"/>
        <w:rPr>
          <w:rFonts w:ascii="Arial" w:cs="Arial" w:hAnsi="Arial" w:eastAsia="Arial"/>
          <w:sz w:val="24"/>
          <w:szCs w:val="24"/>
        </w:rPr>
      </w:pPr>
      <w:r>
        <w:rPr>
          <w:rFonts w:ascii="Arial" w:hAnsi="Arial"/>
          <w:b w:val="1"/>
          <w:bCs w:val="1"/>
          <w:sz w:val="24"/>
          <w:szCs w:val="24"/>
          <w:rtl w:val="0"/>
          <w:lang w:val="en-US"/>
        </w:rPr>
        <w:t>Data Collection methods, instruments used and measurements</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 xml:space="preserve">After obtaining written informed consent from the patients, the patients will be monitored in the operation theater with ECG, pulse oximetry, temperature and NIBP.  Intravenous access with 18G or 20G cannula will be obtained. Intravenous fluids ringer lactate or normal saline (5 ml / kg/hr) will be given. </w:t>
      </w:r>
    </w:p>
    <w:p>
      <w:pPr>
        <w:pStyle w:val="Body"/>
        <w:rPr>
          <w:rFonts w:ascii="Arial" w:cs="Arial" w:hAnsi="Arial" w:eastAsia="Arial"/>
          <w:sz w:val="24"/>
          <w:szCs w:val="24"/>
        </w:rPr>
      </w:pPr>
      <w:r>
        <w:rPr>
          <w:rFonts w:ascii="Arial" w:hAnsi="Arial"/>
          <w:sz w:val="24"/>
          <w:szCs w:val="24"/>
          <w:rtl w:val="0"/>
          <w:lang w:val="en-US"/>
        </w:rPr>
        <w:t>Vital signs will be recorded during the procedure (anesthesia) and throughout the surgery, every five minutes. Spinal anesthesia for both groups will be administered using 0.5% bupivaicine 2.8ml and fentanyl 20mcg. Patients will be allocated into two groups:</w:t>
      </w:r>
    </w:p>
    <w:p>
      <w:pPr>
        <w:pStyle w:val="List Paragraph"/>
        <w:numPr>
          <w:ilvl w:val="0"/>
          <w:numId w:val="6"/>
        </w:numPr>
        <w:bidi w:val="0"/>
        <w:ind w:right="0"/>
        <w:jc w:val="both"/>
        <w:rPr>
          <w:rFonts w:ascii="Arial" w:hAnsi="Arial"/>
          <w:sz w:val="24"/>
          <w:szCs w:val="24"/>
          <w:rtl w:val="0"/>
          <w:lang w:val="en-US"/>
        </w:rPr>
      </w:pPr>
      <w:r>
        <w:rPr>
          <w:rFonts w:ascii="Arial" w:hAnsi="Arial"/>
          <w:sz w:val="24"/>
          <w:szCs w:val="24"/>
          <w:rtl w:val="0"/>
          <w:lang w:val="en-US"/>
        </w:rPr>
        <w:t>Adductor block group (ACB).</w:t>
      </w:r>
    </w:p>
    <w:p>
      <w:pPr>
        <w:pStyle w:val="List Paragraph"/>
        <w:numPr>
          <w:ilvl w:val="0"/>
          <w:numId w:val="6"/>
        </w:numPr>
        <w:bidi w:val="0"/>
        <w:ind w:right="0"/>
        <w:jc w:val="both"/>
        <w:rPr>
          <w:rFonts w:ascii="Arial" w:hAnsi="Arial"/>
          <w:sz w:val="24"/>
          <w:szCs w:val="24"/>
          <w:rtl w:val="0"/>
          <w:lang w:val="en-US"/>
        </w:rPr>
      </w:pPr>
      <w:r>
        <w:rPr>
          <w:rFonts w:ascii="Arial" w:hAnsi="Arial"/>
          <w:sz w:val="24"/>
          <w:szCs w:val="24"/>
          <w:rtl w:val="0"/>
          <w:lang w:val="en-US"/>
        </w:rPr>
        <w:t>Femoral nerve block single shot group (FNB)</w:t>
      </w:r>
    </w:p>
    <w:p>
      <w:pPr>
        <w:pStyle w:val="Body"/>
        <w:jc w:val="both"/>
        <w:rPr>
          <w:rFonts w:ascii="Arial" w:cs="Arial" w:hAnsi="Arial" w:eastAsia="Arial"/>
          <w:sz w:val="24"/>
          <w:szCs w:val="24"/>
        </w:rPr>
      </w:pPr>
      <w:r>
        <w:rPr>
          <w:rFonts w:ascii="Arial" w:hAnsi="Arial"/>
          <w:sz w:val="24"/>
          <w:szCs w:val="24"/>
          <w:rtl w:val="0"/>
          <w:lang w:val="en-US"/>
        </w:rPr>
        <w:t>The procedure will be performed by a senior anesthesiologist in FNB group and in ACB group, who will be not involved in post-operative evaluation of the patients.</w:t>
      </w:r>
    </w:p>
    <w:p>
      <w:pPr>
        <w:pStyle w:val="Body"/>
        <w:jc w:val="both"/>
        <w:rPr>
          <w:rFonts w:ascii="Arial" w:cs="Arial" w:hAnsi="Arial" w:eastAsia="Arial"/>
          <w:sz w:val="24"/>
          <w:szCs w:val="24"/>
        </w:rPr>
      </w:pPr>
      <w:r>
        <w:rPr>
          <w:rFonts w:ascii="Arial" w:hAnsi="Arial"/>
          <w:sz w:val="24"/>
          <w:szCs w:val="24"/>
          <w:rtl w:val="0"/>
          <w:lang w:val="en-US"/>
        </w:rPr>
        <w:t xml:space="preserve">The patient of FNB group will receive a single injection femoral nerve block after the surgery. A high-resolution ultrasound device (sonosite) will be used to locate the femoral nerve. Direct visualization of needle tip will be maintained by ultrasound while inserting the needle, until the needle reaches close to the femoral nerve. The site of injection will be confirmed by nerve stimulator after getting the ipsilateral quadriceps contraction (patellar movement) at 0.5 mA, (stimulator frequency at 2 Hz and pulse width of 0.1 sec). At this site, </w:t>
      </w:r>
      <w:r>
        <w:rPr>
          <w:rFonts w:ascii="Arial" w:hAnsi="Arial"/>
          <w:i w:val="1"/>
          <w:iCs w:val="1"/>
          <w:sz w:val="24"/>
          <w:szCs w:val="24"/>
          <w:rtl w:val="0"/>
          <w:lang w:val="en-US"/>
        </w:rPr>
        <w:t>20 ml of 0.25 % Bupivacaine</w:t>
      </w:r>
      <w:r>
        <w:rPr>
          <w:rFonts w:ascii="Arial" w:hAnsi="Arial"/>
          <w:sz w:val="24"/>
          <w:szCs w:val="24"/>
          <w:rtl w:val="0"/>
          <w:lang w:val="en-US"/>
        </w:rPr>
        <w:t xml:space="preserve"> will be injected slowly after negative aspiration. During the injection the spread of local anesthetic solution within the fascial space will be visualized by ultrasound. The injection can be stopped and needle will be repositioned if patient complains of pain during injection.</w:t>
      </w:r>
    </w:p>
    <w:p>
      <w:pPr>
        <w:pStyle w:val="Body"/>
        <w:rPr>
          <w:rFonts w:ascii="Arial" w:cs="Arial" w:hAnsi="Arial" w:eastAsia="Arial"/>
          <w:sz w:val="24"/>
          <w:szCs w:val="24"/>
        </w:rPr>
      </w:pPr>
      <w:r>
        <w:rPr>
          <w:rFonts w:ascii="Arial" w:hAnsi="Arial"/>
          <w:sz w:val="24"/>
          <w:szCs w:val="24"/>
          <w:rtl w:val="0"/>
          <w:lang w:val="en-US"/>
        </w:rPr>
        <w:t>In ACB group, an adductor canal block 20 ml of 0.25% Bupivacaine would be administered.</w:t>
      </w:r>
    </w:p>
    <w:p>
      <w:pPr>
        <w:pStyle w:val="Body"/>
        <w:jc w:val="both"/>
        <w:rPr>
          <w:rFonts w:ascii="Arial" w:cs="Arial" w:hAnsi="Arial" w:eastAsia="Arial"/>
          <w:sz w:val="24"/>
          <w:szCs w:val="24"/>
        </w:rPr>
      </w:pPr>
      <w:r>
        <w:rPr>
          <w:rFonts w:ascii="Arial" w:hAnsi="Arial"/>
          <w:sz w:val="24"/>
          <w:szCs w:val="24"/>
          <w:rtl w:val="0"/>
          <w:lang w:val="en-US"/>
        </w:rPr>
        <w:t>After surgery, patient will be kept in recovery for 1 hour and will be shifted to the ward under the supervision of anesthesiologist, unaware of patient group in the study. Post-operative recording will be assessed on an arrival in ward, and every 2 hourly. Oxygen will be continued at rate of 4 liters per minute for 24 hours.</w:t>
      </w:r>
    </w:p>
    <w:p>
      <w:pPr>
        <w:pStyle w:val="Body"/>
        <w:jc w:val="both"/>
        <w:rPr>
          <w:rFonts w:ascii="Arial" w:cs="Arial" w:hAnsi="Arial" w:eastAsia="Arial"/>
          <w:sz w:val="24"/>
          <w:szCs w:val="24"/>
        </w:rPr>
      </w:pPr>
      <w:r>
        <w:rPr>
          <w:rFonts w:ascii="Arial" w:hAnsi="Arial"/>
          <w:sz w:val="24"/>
          <w:szCs w:val="24"/>
          <w:rtl w:val="0"/>
          <w:lang w:val="en-US"/>
        </w:rPr>
        <w:t>Primary endpoint will be the amount morphine required in first 24 hours. Secondary endpoints will be VAS scores, side effects and patient comfort.</w:t>
      </w:r>
    </w:p>
    <w:p>
      <w:pPr>
        <w:pStyle w:val="Body"/>
        <w:jc w:val="both"/>
        <w:rPr>
          <w:rFonts w:ascii="Arial" w:cs="Arial" w:hAnsi="Arial" w:eastAsia="Arial"/>
          <w:sz w:val="24"/>
          <w:szCs w:val="24"/>
        </w:rPr>
      </w:pPr>
      <w:r>
        <w:rPr>
          <w:rFonts w:ascii="Arial" w:hAnsi="Arial"/>
          <w:b w:val="1"/>
          <w:bCs w:val="1"/>
          <w:sz w:val="24"/>
          <w:szCs w:val="24"/>
          <w:rtl w:val="0"/>
          <w:lang w:val="en-US"/>
        </w:rPr>
        <w:t>Data Management &amp; Analysis</w:t>
      </w:r>
      <w:r>
        <w:rPr>
          <w:rFonts w:ascii="Arial" w:hAnsi="Arial"/>
          <w:sz w:val="24"/>
          <w:szCs w:val="24"/>
          <w:rtl w:val="0"/>
        </w:rPr>
        <w:t>:</w:t>
      </w:r>
    </w:p>
    <w:p>
      <w:pPr>
        <w:pStyle w:val="List Paragraph"/>
        <w:ind w:left="765" w:firstLine="0"/>
        <w:jc w:val="both"/>
        <w:rPr>
          <w:rFonts w:ascii="Arial" w:cs="Arial" w:hAnsi="Arial" w:eastAsia="Arial"/>
          <w:sz w:val="24"/>
          <w:szCs w:val="24"/>
        </w:rPr>
      </w:pPr>
      <w:r>
        <w:rPr>
          <w:rFonts w:ascii="Arial" w:hAnsi="Arial"/>
          <w:sz w:val="24"/>
          <w:szCs w:val="24"/>
          <w:rtl w:val="0"/>
          <w:lang w:val="en-US"/>
        </w:rPr>
        <w:t>1.The amount of Morphine required in first 24 hours and VAS scores will be compared between all the groups at various intervals using a mixed factorial ANOVA.</w:t>
      </w:r>
    </w:p>
    <w:p>
      <w:pPr>
        <w:pStyle w:val="List Paragraph"/>
        <w:ind w:left="765" w:firstLine="0"/>
        <w:jc w:val="both"/>
        <w:rPr>
          <w:rFonts w:ascii="Arial" w:cs="Arial" w:hAnsi="Arial" w:eastAsia="Arial"/>
          <w:sz w:val="24"/>
          <w:szCs w:val="24"/>
        </w:rPr>
      </w:pPr>
      <w:r>
        <w:rPr>
          <w:rFonts w:ascii="Arial" w:hAnsi="Arial"/>
          <w:sz w:val="24"/>
          <w:szCs w:val="24"/>
          <w:rtl w:val="0"/>
          <w:lang w:val="en-US"/>
        </w:rPr>
        <w:t>2.The comparison of presence/ prevalence of different morbidities in all the groups will be done using chi-square tests and logistic regression analysis.</w:t>
      </w:r>
    </w:p>
    <w:p>
      <w:pPr>
        <w:pStyle w:val="List Paragraph"/>
        <w:ind w:left="765" w:firstLine="0"/>
        <w:jc w:val="both"/>
        <w:rPr>
          <w:rFonts w:ascii="Arial" w:cs="Arial" w:hAnsi="Arial" w:eastAsia="Arial"/>
          <w:sz w:val="14"/>
          <w:szCs w:val="14"/>
        </w:rPr>
      </w:pPr>
    </w:p>
    <w:p>
      <w:pPr>
        <w:pStyle w:val="Body"/>
        <w:jc w:val="both"/>
        <w:rPr>
          <w:rFonts w:ascii="Arial" w:cs="Arial" w:hAnsi="Arial" w:eastAsia="Arial"/>
          <w:b w:val="1"/>
          <w:bCs w:val="1"/>
          <w:sz w:val="24"/>
          <w:szCs w:val="24"/>
        </w:rPr>
      </w:pPr>
      <w:r>
        <w:rPr>
          <w:rFonts w:ascii="Arial" w:hAnsi="Arial"/>
          <w:b w:val="1"/>
          <w:bCs w:val="1"/>
          <w:sz w:val="24"/>
          <w:szCs w:val="24"/>
          <w:rtl w:val="0"/>
          <w:lang w:val="en-US"/>
        </w:rPr>
        <w:t>Implications of Results to Population Health and Health System Policy in KHUH and Bahrain</w:t>
      </w:r>
    </w:p>
    <w:p>
      <w:pPr>
        <w:pStyle w:val="Body"/>
        <w:jc w:val="both"/>
        <w:rPr>
          <w:rFonts w:ascii="Arial" w:cs="Arial" w:hAnsi="Arial" w:eastAsia="Arial"/>
          <w:sz w:val="24"/>
          <w:szCs w:val="24"/>
        </w:rPr>
      </w:pPr>
      <w:r>
        <w:rPr>
          <w:rFonts w:ascii="Arial" w:hAnsi="Arial"/>
          <w:sz w:val="24"/>
          <w:szCs w:val="24"/>
          <w:rtl w:val="0"/>
          <w:lang w:val="en-US"/>
        </w:rPr>
        <w:t xml:space="preserve">Information on the efficacy and safety of using ACB and FNB will help strengthen the available evidence base in this area which will eventually help in improving postoperative analgesia in patients undergoing total knee replacement. </w:t>
      </w:r>
    </w:p>
    <w:p>
      <w:pPr>
        <w:pStyle w:val="Body"/>
        <w:jc w:val="both"/>
        <w:rPr>
          <w:rFonts w:ascii="Arial" w:cs="Arial" w:hAnsi="Arial" w:eastAsia="Arial"/>
          <w:sz w:val="24"/>
          <w:szCs w:val="24"/>
        </w:rPr>
      </w:pPr>
    </w:p>
    <w:p>
      <w:pPr>
        <w:pStyle w:val="Body"/>
        <w:rPr>
          <w:rFonts w:ascii="Arial" w:cs="Arial" w:hAnsi="Arial" w:eastAsia="Arial"/>
          <w:b w:val="1"/>
          <w:bCs w:val="1"/>
          <w:sz w:val="24"/>
          <w:szCs w:val="24"/>
        </w:rPr>
      </w:pPr>
      <w:r>
        <w:rPr>
          <w:rFonts w:ascii="Arial" w:hAnsi="Arial"/>
          <w:b w:val="1"/>
          <w:bCs w:val="1"/>
          <w:sz w:val="24"/>
          <w:szCs w:val="24"/>
          <w:rtl w:val="0"/>
          <w:lang w:val="de-DE"/>
        </w:rPr>
        <w:t>REFERENCES</w:t>
      </w:r>
    </w:p>
    <w:p>
      <w:pPr>
        <w:pStyle w:val="Body"/>
        <w:jc w:val="center"/>
        <w:rPr>
          <w:rFonts w:ascii="Arial" w:cs="Arial" w:hAnsi="Arial" w:eastAsia="Arial"/>
          <w:b w:val="1"/>
          <w:bCs w:val="1"/>
          <w:sz w:val="24"/>
          <w:szCs w:val="24"/>
        </w:rPr>
      </w:pP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Ibrahim MS, Khan MA, Nizam I, Haddad FS. Peri-operative interventions producing better functional outcomes and enhanced recovery following total hip and knee arthroplasty: an evidence-based review. BMC medicine. 2013 Feb 13;11(1):37.</w:t>
      </w: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J</w:t>
      </w:r>
      <w:r>
        <w:rPr>
          <w:rFonts w:ascii="Arial" w:hAnsi="Arial" w:hint="default"/>
          <w:outline w:val="0"/>
          <w:color w:val="000000"/>
          <w:sz w:val="24"/>
          <w:szCs w:val="24"/>
          <w:u w:color="000000"/>
          <w:rtl w:val="0"/>
          <w:lang w:val="en-US"/>
          <w14:textFill>
            <w14:solidFill>
              <w14:srgbClr w14:val="000000"/>
            </w14:solidFill>
          </w14:textFill>
        </w:rPr>
        <w:t>æ</w:t>
      </w:r>
      <w:r>
        <w:rPr>
          <w:rFonts w:ascii="Arial" w:hAnsi="Arial"/>
          <w:outline w:val="0"/>
          <w:color w:val="000000"/>
          <w:sz w:val="24"/>
          <w:szCs w:val="24"/>
          <w:u w:color="000000"/>
          <w:rtl w:val="0"/>
          <w:lang w:val="en-US"/>
          <w14:textFill>
            <w14:solidFill>
              <w14:srgbClr w14:val="000000"/>
            </w14:solidFill>
          </w14:textFill>
        </w:rPr>
        <w:t>ger P, Zaric D, Fomsgaard JS, Hilsted KL, Bjerregaard J, Gyrn J, Mathiesen O, Larsen TK, Dahl JB. Adductor canal block versus femoral nerve block for analgesia after total knee arthroplasty: a randomized, double-blind study. Regional anesthesia and pain medicine. 2013 Nov 1;38(6):526-32.</w:t>
      </w: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Murphy TP, Byrne DP, Curtin P, Baker JF, Mulhall KJ. Can a periarticular levobupivacaine injection reduce postoperative opiate consumption during primary hip arthroplasty? Clinical Orthopaedics and Related Research</w:t>
      </w:r>
      <w:r>
        <w:rPr>
          <w:rFonts w:ascii="Arial" w:hAnsi="Arial" w:hint="default"/>
          <w:outline w:val="0"/>
          <w:color w:val="000000"/>
          <w:sz w:val="24"/>
          <w:szCs w:val="24"/>
          <w:u w:color="000000"/>
          <w:rtl w:val="0"/>
          <w:lang w:val="en-US"/>
          <w14:textFill>
            <w14:solidFill>
              <w14:srgbClr w14:val="000000"/>
            </w14:solidFill>
          </w14:textFill>
        </w:rPr>
        <w:t>®</w:t>
      </w:r>
      <w:r>
        <w:rPr>
          <w:rFonts w:ascii="Arial" w:hAnsi="Arial"/>
          <w:outline w:val="0"/>
          <w:color w:val="000000"/>
          <w:sz w:val="24"/>
          <w:szCs w:val="24"/>
          <w:u w:color="000000"/>
          <w:rtl w:val="0"/>
          <w:lang w:val="en-US"/>
          <w14:textFill>
            <w14:solidFill>
              <w14:srgbClr w14:val="000000"/>
            </w14:solidFill>
          </w14:textFill>
        </w:rPr>
        <w:t>. 2012 Apr 1;470(4):1151-7.</w:t>
      </w: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Andersen HL, Gyrn J, M</w:t>
      </w:r>
      <w:r>
        <w:rPr>
          <w:rFonts w:ascii="Arial" w:hAnsi="Arial" w:hint="default"/>
          <w:outline w:val="0"/>
          <w:color w:val="000000"/>
          <w:sz w:val="24"/>
          <w:szCs w:val="24"/>
          <w:u w:color="000000"/>
          <w:rtl w:val="0"/>
          <w:lang w:val="en-US"/>
          <w14:textFill>
            <w14:solidFill>
              <w14:srgbClr w14:val="000000"/>
            </w14:solidFill>
          </w14:textFill>
        </w:rPr>
        <w:t>ø</w:t>
      </w:r>
      <w:r>
        <w:rPr>
          <w:rFonts w:ascii="Arial" w:hAnsi="Arial"/>
          <w:outline w:val="0"/>
          <w:color w:val="000000"/>
          <w:sz w:val="24"/>
          <w:szCs w:val="24"/>
          <w:u w:color="000000"/>
          <w:rtl w:val="0"/>
          <w:lang w:val="en-US"/>
          <w14:textFill>
            <w14:solidFill>
              <w14:srgbClr w14:val="000000"/>
            </w14:solidFill>
          </w14:textFill>
        </w:rPr>
        <w:t xml:space="preserve">ller L, Christensen B, Zaric D. Continuous saphenous nerve block as supplement to single-dose local infiltration analgesia for postoperative pain management after total knee arthroplasty. Regional anesthesia and pain medicine. 2013 Mar 1;38(2):106-11. </w:t>
      </w: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Hochberg MC, Altman RD, April KT, Benkhalti M, Guyatt G, McGowan J, Towheed T, Welch V, Wells G, Tugwell P. American College of Rheumatology 2012 recommendations for the use of nonpharmacologic and pharmacologic therapies in osteoarthritis of the hand, hip, and knee. Arthritis care &amp; research. 2012 Apr 1;64(4):465-74.</w:t>
      </w: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Affas F, Nyg</w:t>
      </w:r>
      <w:r>
        <w:rPr>
          <w:rFonts w:ascii="Arial" w:hAnsi="Arial" w:hint="default"/>
          <w:outline w:val="0"/>
          <w:color w:val="000000"/>
          <w:sz w:val="24"/>
          <w:szCs w:val="24"/>
          <w:u w:color="000000"/>
          <w:rtl w:val="0"/>
          <w:lang w:val="en-US"/>
          <w14:textFill>
            <w14:solidFill>
              <w14:srgbClr w14:val="000000"/>
            </w14:solidFill>
          </w14:textFill>
        </w:rPr>
        <w:t>å</w:t>
      </w:r>
      <w:r>
        <w:rPr>
          <w:rFonts w:ascii="Arial" w:hAnsi="Arial"/>
          <w:outline w:val="0"/>
          <w:color w:val="000000"/>
          <w:sz w:val="24"/>
          <w:szCs w:val="24"/>
          <w:u w:color="000000"/>
          <w:rtl w:val="0"/>
          <w:lang w:val="en-US"/>
          <w14:textFill>
            <w14:solidFill>
              <w14:srgbClr w14:val="000000"/>
            </w14:solidFill>
          </w14:textFill>
        </w:rPr>
        <w:t>rds EB, Stiller CO, Wretenberg P, Olofsson C. Pain control after total knee arthroplasty: a randomized trial comparing local infiltration anesthesia and continuous femoral block. Acta orthopaedica. 2011 Aug 1;82(4):441-7.</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Frassanito L, Vergari A, Zanghi A, et al. Post-operative analgesia following total knee arthroplasty: comparison of low-dose intrathecal morphine and single-shot ultrasound-guided femoral nerve block: a randomized, single blinded, controlled study.  Eur Rev Med Pharmacol Sci. 2010; 14: 589-596.</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Kao S, Lee H, Cheng C, et al. Pain Control after Total Knee Arthroplasty: Comparing Intra-Articular Local Anesthetic Injection with Femoral Nerve Block. BioMed Research International, Volume 2015, Article ID 649140, 6 pages.</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Spangehl M, Clarke H, Hentz J, et al. The Chitranjan Ranawat Award: Periarticular Injections and Femoral &amp; Sciatic Blocks Provide Similar Pain Relief After TKA: A Randomized Clinical Trial. Clin Orthop Relat Res. 2015 Jan; 473(1): 45</w:t>
      </w:r>
      <w:r>
        <w:rPr>
          <w:rFonts w:ascii="Arial" w:hAnsi="Arial" w:hint="default"/>
          <w:sz w:val="24"/>
          <w:szCs w:val="24"/>
          <w:rtl w:val="0"/>
          <w:lang w:val="en-US"/>
        </w:rPr>
        <w:t>–</w:t>
      </w:r>
      <w:r>
        <w:rPr>
          <w:rFonts w:ascii="Arial" w:hAnsi="Arial"/>
          <w:sz w:val="24"/>
          <w:szCs w:val="24"/>
          <w:rtl w:val="0"/>
          <w:lang w:val="en-US"/>
        </w:rPr>
        <w:t>53.</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 xml:space="preserve"> Affas F, Nygrds EB, Stiller CO, et al. Pain control after total knee arthroplasty: a randomized trial comparing local infiltration anesthesia and continuous femoral block,</w:t>
      </w:r>
      <w:r>
        <w:rPr>
          <w:rFonts w:ascii="Arial" w:hAnsi="Arial" w:hint="default"/>
          <w:sz w:val="24"/>
          <w:szCs w:val="24"/>
          <w:rtl w:val="0"/>
          <w:lang w:val="en-US"/>
        </w:rPr>
        <w:t xml:space="preserve">” </w:t>
      </w:r>
      <w:r>
        <w:rPr>
          <w:rFonts w:ascii="Arial" w:hAnsi="Arial"/>
          <w:sz w:val="24"/>
          <w:szCs w:val="24"/>
          <w:rtl w:val="0"/>
          <w:lang w:val="en-US"/>
        </w:rPr>
        <w:t>Acta Orthopaedica, 2011; 82 (4): 441</w:t>
      </w:r>
      <w:r>
        <w:rPr>
          <w:rFonts w:ascii="Arial" w:hAnsi="Arial" w:hint="default"/>
          <w:sz w:val="24"/>
          <w:szCs w:val="24"/>
          <w:rtl w:val="0"/>
          <w:lang w:val="en-US"/>
        </w:rPr>
        <w:t>–</w:t>
      </w:r>
      <w:r>
        <w:rPr>
          <w:rFonts w:ascii="Arial" w:hAnsi="Arial"/>
          <w:sz w:val="24"/>
          <w:szCs w:val="24"/>
          <w:rtl w:val="0"/>
          <w:lang w:val="en-US"/>
        </w:rPr>
        <w:t>7.</w:t>
      </w:r>
    </w:p>
    <w:p>
      <w:pPr>
        <w:pStyle w:val="List Paragraph"/>
        <w:numPr>
          <w:ilvl w:val="0"/>
          <w:numId w:val="8"/>
        </w:numPr>
        <w:bidi w:val="0"/>
        <w:ind w:right="0"/>
        <w:jc w:val="left"/>
        <w:rPr>
          <w:rFonts w:ascii="Arial" w:hAnsi="Arial"/>
          <w:sz w:val="24"/>
          <w:szCs w:val="24"/>
          <w:rtl w:val="0"/>
          <w:lang w:val="en-US"/>
        </w:rPr>
      </w:pPr>
      <w:r>
        <w:rPr>
          <w:rFonts w:ascii="Arial" w:hAnsi="Arial"/>
          <w:outline w:val="0"/>
          <w:color w:val="303030"/>
          <w:sz w:val="24"/>
          <w:szCs w:val="24"/>
          <w:u w:color="303030"/>
          <w:shd w:val="clear" w:color="auto" w:fill="ffffff"/>
          <w:rtl w:val="0"/>
          <w:lang w:val="en-US"/>
          <w14:textFill>
            <w14:solidFill>
              <w14:srgbClr w14:val="303030"/>
            </w14:solidFill>
          </w14:textFill>
        </w:rPr>
        <w:t xml:space="preserve">Koh, In Jun et al. </w:t>
      </w:r>
      <w:r>
        <w:rPr>
          <w:rFonts w:ascii="Arial" w:hAnsi="Arial" w:hint="default"/>
          <w:outline w:val="0"/>
          <w:color w:val="303030"/>
          <w:sz w:val="24"/>
          <w:szCs w:val="24"/>
          <w:u w:color="303030"/>
          <w:shd w:val="clear" w:color="auto" w:fill="ffffff"/>
          <w:rtl w:val="0"/>
          <w:lang w:val="en-US"/>
          <w14:textFill>
            <w14:solidFill>
              <w14:srgbClr w14:val="303030"/>
            </w14:solidFill>
          </w14:textFill>
        </w:rPr>
        <w:t>“</w:t>
      </w:r>
      <w:r>
        <w:rPr>
          <w:rFonts w:ascii="Arial" w:hAnsi="Arial"/>
          <w:outline w:val="0"/>
          <w:color w:val="303030"/>
          <w:sz w:val="24"/>
          <w:szCs w:val="24"/>
          <w:u w:color="303030"/>
          <w:shd w:val="clear" w:color="auto" w:fill="ffffff"/>
          <w:rtl w:val="0"/>
          <w:lang w:val="en-US"/>
          <w14:textFill>
            <w14:solidFill>
              <w14:srgbClr w14:val="303030"/>
            </w14:solidFill>
          </w14:textFill>
        </w:rPr>
        <w:t>Femoral Nerve Block versus Adductor Canal Block for Analgesia after Total Knee Arthroplasty.</w:t>
      </w:r>
      <w:r>
        <w:rPr>
          <w:rFonts w:ascii="Arial" w:hAnsi="Arial" w:hint="default"/>
          <w:outline w:val="0"/>
          <w:color w:val="303030"/>
          <w:sz w:val="24"/>
          <w:szCs w:val="24"/>
          <w:u w:color="303030"/>
          <w:shd w:val="clear" w:color="auto" w:fill="ffffff"/>
          <w:rtl w:val="0"/>
          <w:lang w:val="en-US"/>
          <w14:textFill>
            <w14:solidFill>
              <w14:srgbClr w14:val="303030"/>
            </w14:solidFill>
          </w14:textFill>
        </w:rPr>
        <w:t>” </w:t>
      </w:r>
      <w:r>
        <w:rPr>
          <w:rFonts w:ascii="Arial" w:hAnsi="Arial"/>
          <w:i w:val="1"/>
          <w:iCs w:val="1"/>
          <w:outline w:val="0"/>
          <w:color w:val="303030"/>
          <w:sz w:val="24"/>
          <w:szCs w:val="24"/>
          <w:u w:color="303030"/>
          <w:shd w:val="clear" w:color="auto" w:fill="ffffff"/>
          <w:rtl w:val="0"/>
          <w:lang w:val="en-US"/>
          <w14:textFill>
            <w14:solidFill>
              <w14:srgbClr w14:val="303030"/>
            </w14:solidFill>
          </w14:textFill>
        </w:rPr>
        <w:t>Knee surgery &amp; related research</w:t>
      </w:r>
      <w:r>
        <w:rPr>
          <w:rFonts w:ascii="Arial" w:hAnsi="Arial" w:hint="default"/>
          <w:outline w:val="0"/>
          <w:color w:val="303030"/>
          <w:sz w:val="24"/>
          <w:szCs w:val="24"/>
          <w:u w:color="303030"/>
          <w:shd w:val="clear" w:color="auto" w:fill="ffffff"/>
          <w:rtl w:val="0"/>
          <w:lang w:val="en-US"/>
          <w14:textFill>
            <w14:solidFill>
              <w14:srgbClr w14:val="303030"/>
            </w14:solidFill>
          </w14:textFill>
        </w:rPr>
        <w:t> </w:t>
      </w:r>
      <w:r>
        <w:rPr>
          <w:rFonts w:ascii="Arial" w:hAnsi="Arial"/>
          <w:outline w:val="0"/>
          <w:color w:val="303030"/>
          <w:sz w:val="24"/>
          <w:szCs w:val="24"/>
          <w:u w:color="303030"/>
          <w:shd w:val="clear" w:color="auto" w:fill="ffffff"/>
          <w:rtl w:val="0"/>
          <w:lang w:val="en-US"/>
          <w14:textFill>
            <w14:solidFill>
              <w14:srgbClr w14:val="303030"/>
            </w14:solidFill>
          </w14:textFill>
        </w:rPr>
        <w:t>vol. 29,2 (2017): 87-</w:t>
      </w:r>
      <w:r>
        <w:rPr>
          <w:rFonts w:ascii="Arial" w:hAnsi="Arial"/>
          <w:outline w:val="0"/>
          <w:color w:val="303030"/>
          <w:sz w:val="24"/>
          <w:szCs w:val="24"/>
          <w:u w:color="303030"/>
          <w:shd w:val="clear" w:color="auto" w:fill="ffffff"/>
          <w:rtl w:val="0"/>
          <w:lang w:val="en-US"/>
          <w14:textFill>
            <w14:solidFill>
              <w14:srgbClr w14:val="303030"/>
            </w14:solidFill>
          </w14:textFill>
        </w:rPr>
        <w:t xml:space="preserve"> </w:t>
      </w:r>
      <w:r>
        <w:rPr>
          <w:rFonts w:ascii="Arial" w:hAnsi="Arial"/>
          <w:outline w:val="0"/>
          <w:color w:val="303030"/>
          <w:sz w:val="24"/>
          <w:szCs w:val="24"/>
          <w:u w:color="303030"/>
          <w:shd w:val="clear" w:color="auto" w:fill="ffffff"/>
          <w:rtl w:val="0"/>
          <w:lang w:val="en-US"/>
          <w14:textFill>
            <w14:solidFill>
              <w14:srgbClr w14:val="303030"/>
            </w14:solidFill>
          </w14:textFill>
        </w:rPr>
        <w:t>95</w:t>
      </w:r>
      <w:r>
        <w:rPr>
          <w:rFonts w:ascii="Arial" w:hAnsi="Arial"/>
          <w:outline w:val="0"/>
          <w:color w:val="303030"/>
          <w:sz w:val="24"/>
          <w:szCs w:val="24"/>
          <w:u w:color="303030"/>
          <w:shd w:val="clear" w:color="auto" w:fill="ffffff"/>
          <w:rtl w:val="0"/>
          <w:lang w:val="en-US"/>
          <w14:textFill>
            <w14:solidFill>
              <w14:srgbClr w14:val="303030"/>
            </w14:solidFill>
          </w14:textFill>
        </w:rPr>
        <w:t>.</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S</w:t>
      </w:r>
      <w:r>
        <w:rPr>
          <w:rFonts w:ascii="Arial" w:hAnsi="Arial"/>
          <w:sz w:val="24"/>
          <w:szCs w:val="24"/>
          <w:rtl w:val="0"/>
          <w:lang w:val="en-US"/>
        </w:rPr>
        <w:t>ilverwood</w:t>
      </w:r>
      <w:r>
        <w:rPr>
          <w:rFonts w:ascii="Arial" w:hAnsi="Arial"/>
          <w:sz w:val="24"/>
          <w:szCs w:val="24"/>
          <w:rtl w:val="0"/>
          <w:lang w:val="en-US"/>
        </w:rPr>
        <w:t xml:space="preserve"> V, Blagojevic -Bucknall M,Jinks C,Jordan JI, Protheroe J, Jordan KP. Current evidence on risks factors for knee osteoarthrosis in older adults: a systemic review and meta-analysis. Osteoarthritis Cartilage .2015;23:507-51</w:t>
      </w:r>
      <w:r>
        <w:rPr>
          <w:rFonts w:ascii="Arial" w:hAnsi="Arial"/>
          <w:sz w:val="24"/>
          <w:szCs w:val="24"/>
          <w:rtl w:val="0"/>
          <w:lang w:val="en-US"/>
        </w:rPr>
        <w:t>.</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Maheshwari AV, Blum YC , Shekhar L, Ranawat AS,Renawat CS. Mu;timodal pain management after total hip and knee arthroplasty at the Ranawat Orthopedics Center . Clin Othop 2009;467:1418</w:t>
      </w:r>
      <w:r>
        <w:rPr>
          <w:rFonts w:ascii="Arial" w:hAnsi="Arial"/>
          <w:sz w:val="24"/>
          <w:szCs w:val="24"/>
          <w:rtl w:val="0"/>
          <w:lang w:val="en-US"/>
        </w:rPr>
        <w:t>.</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Parvantaneni HK, Shah VP , Howard H, Cole N, Ranawat AS, Ranatwat CS . Controlling pain after total hip and knee arthroplasty using a multimodalprotocaol with local periarticular injection . A prospective randomized study. J Arthroplasty 2007 ;22:33</w:t>
      </w:r>
    </w:p>
    <w:p>
      <w:pPr>
        <w:pStyle w:val="List Paragraph"/>
        <w:numPr>
          <w:ilvl w:val="0"/>
          <w:numId w:val="8"/>
        </w:numPr>
        <w:bidi w:val="0"/>
        <w:ind w:right="0"/>
        <w:jc w:val="left"/>
        <w:rPr>
          <w:rFonts w:ascii="Arial" w:hAnsi="Arial"/>
          <w:sz w:val="24"/>
          <w:szCs w:val="24"/>
          <w:rtl w:val="0"/>
          <w:lang w:val="en-US"/>
        </w:rPr>
      </w:pPr>
      <w:r>
        <w:rPr>
          <w:rFonts w:ascii="Arial" w:hAnsi="Arial"/>
          <w:sz w:val="24"/>
          <w:szCs w:val="24"/>
          <w:rtl w:val="0"/>
          <w:lang w:val="en-US"/>
        </w:rPr>
        <w:t>Ashraf A , Raut VV, Canty  SJ, McLauchlan GJ. Pain control after primary total knee replacement. A prospective randomized controlled trail of local infiltration versus single shot femoral nerve block. K nee 2013;20:324.</w:t>
      </w:r>
    </w:p>
    <w:p>
      <w:pPr>
        <w:pStyle w:val="List Paragraph"/>
      </w:pPr>
      <w:r>
        <w:rPr>
          <w:rFonts w:ascii="Arial" w:cs="Arial" w:hAnsi="Arial" w:eastAsia="Arial"/>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bidi w:val="0"/>
      <w:ind w:left="0" w:right="0" w:firstLine="0"/>
      <w:jc w:val="right"/>
      <w:rPr>
        <w:rtl w:val="0"/>
      </w:rPr>
    </w:pPr>
    <w:r>
      <w:rPr>
        <w:outline w:val="0"/>
        <w:color w:val="000000"/>
        <w:u w:color="000000"/>
        <w:rtl w:val="0"/>
        <w:lang w:val="en-US"/>
        <w14:textFill>
          <w14:solidFill>
            <w14:srgbClr w14:val="000000"/>
          </w14:solidFill>
        </w14:textFill>
      </w:rPr>
      <w:t>KHUH-EPC-RE-RP V1.0/12.12.2017</w:t>
      <w:tab/>
    </w:r>
    <w:r>
      <w:rPr>
        <w:outline w:val="0"/>
        <w:color w:val="000000"/>
        <w:u w:color="000000"/>
        <w:lang w:val="en-US"/>
        <w14:textFill>
          <w14:solidFill>
            <w14:srgbClr w14:val="000000"/>
          </w14:solidFill>
        </w14:textFill>
      </w:rPr>
      <w:fldChar w:fldCharType="begin" w:fldLock="0"/>
    </w:r>
    <w:r>
      <w:rPr>
        <w:outline w:val="0"/>
        <w:color w:val="000000"/>
        <w:u w:color="000000"/>
        <w:lang w:val="en-US"/>
        <w14:textFill>
          <w14:solidFill>
            <w14:srgbClr w14:val="000000"/>
          </w14:solidFill>
        </w14:textFill>
      </w:rPr>
      <w:instrText xml:space="preserve"> PAGE </w:instrText>
    </w:r>
    <w:r>
      <w:rPr>
        <w:outline w:val="0"/>
        <w:color w:val="000000"/>
        <w:u w:color="000000"/>
        <w:lang w:val="en-US"/>
        <w14:textFill>
          <w14:solidFill>
            <w14:srgbClr w14:val="000000"/>
          </w14:solidFill>
        </w14:textFill>
      </w:rPr>
      <w:fldChar w:fldCharType="separate" w:fldLock="0"/>
    </w:r>
    <w:r>
      <w:rPr>
        <w:outline w:val="0"/>
        <w:color w:val="000000"/>
        <w:u w:color="000000"/>
        <w:lang w:val="en-US"/>
        <w14:textFill>
          <w14:solidFill>
            <w14:srgbClr w14:val="000000"/>
          </w14:solidFill>
        </w14:textFill>
      </w:rPr>
      <w:t>1</w:t>
    </w:r>
    <w:r>
      <w:rPr>
        <w:outline w:val="0"/>
        <w:color w:val="000000"/>
        <w:u w:color="000000"/>
        <w:lang w:val="en-US"/>
        <w14:textFill>
          <w14:solidFill>
            <w14:srgbClr w14:val="000000"/>
          </w14:solidFill>
        </w14:textFill>
      </w:rPr>
      <w:fldChar w:fldCharType="end" w:fldLock="0"/>
    </w:r>
    <w:r>
      <w:rPr>
        <w:outline w:val="0"/>
        <w:color w:val="000000"/>
        <w:u w:color="000000"/>
        <w:lang w:val="en-US"/>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rPr>
        <w:b w:val="1"/>
        <w:bCs w:val="1"/>
        <w:outline w:val="0"/>
        <w:color w:val="76923c"/>
        <w:sz w:val="24"/>
        <w:szCs w:val="24"/>
        <w:u w:color="76923c"/>
        <w:lang w:val="en-US"/>
        <w14:textFill>
          <w14:solidFill>
            <w14:srgbClr w14:val="76923C"/>
          </w14:solidFill>
        </w14:textFill>
      </w:rPr>
    </w:pPr>
    <w:r>
      <w:drawing>
        <wp:anchor distT="152400" distB="152400" distL="152400" distR="152400" simplePos="0" relativeHeight="251658240" behindDoc="1" locked="0" layoutInCell="1" allowOverlap="1">
          <wp:simplePos x="0" y="0"/>
          <wp:positionH relativeFrom="page">
            <wp:posOffset>1940560</wp:posOffset>
          </wp:positionH>
          <wp:positionV relativeFrom="page">
            <wp:posOffset>-357504</wp:posOffset>
          </wp:positionV>
          <wp:extent cx="2000250" cy="54102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2000250" cy="541020"/>
                  </a:xfrm>
                  <a:prstGeom prst="rect">
                    <a:avLst/>
                  </a:prstGeom>
                  <a:ln w="12700" cap="flat">
                    <a:noFill/>
                    <a:miter lim="400000"/>
                  </a:ln>
                  <a:effectLst/>
                </pic:spPr>
              </pic:pic>
            </a:graphicData>
          </a:graphic>
        </wp:anchor>
      </w:drawing>
    </w:r>
  </w:p>
  <w:p>
    <w:pPr>
      <w:pStyle w:val="header"/>
      <w:jc w:val="right"/>
      <w:rPr>
        <w:b w:val="1"/>
        <w:bCs w:val="1"/>
        <w:outline w:val="0"/>
        <w:color w:val="76923c"/>
        <w:sz w:val="24"/>
        <w:szCs w:val="24"/>
        <w:u w:color="76923c"/>
        <w:lang w:val="en-US"/>
        <w14:textFill>
          <w14:solidFill>
            <w14:srgbClr w14:val="76923C"/>
          </w14:solidFill>
        </w14:textFill>
      </w:rPr>
    </w:pPr>
  </w:p>
  <w:p>
    <w:pPr>
      <w:pStyle w:val="header"/>
    </w:pPr>
    <w:r>
      <w:rPr>
        <w:lang w:val="en-US"/>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06"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86" w:hanging="6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06" w:hanging="5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26"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46" w:hanging="6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66" w:hanging="5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86" w:hanging="64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06" w:hanging="64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26" w:hanging="5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9"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59"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9" w:hanging="3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9" w:hanging="3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19"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9" w:hanging="3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9" w:hanging="3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7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lowerRoman"/>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4">
    <w:name w:val="Imported Style 4"/>
    <w:pPr>
      <w:numPr>
        <w:numId w:val="5"/>
      </w:numPr>
    </w:pPr>
  </w:style>
  <w:style w:type="numbering" w:styleId="Imported Style 5">
    <w:name w:val="Imported Style 5"/>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