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874F5" w14:textId="77777777" w:rsidR="000B0CE4" w:rsidRPr="003C12DB" w:rsidRDefault="000B0CE4" w:rsidP="001A2815">
      <w:pPr>
        <w:spacing w:line="240" w:lineRule="auto"/>
        <w:rPr>
          <w:rFonts w:cstheme="minorHAnsi"/>
          <w:b/>
          <w:szCs w:val="22"/>
        </w:rPr>
      </w:pPr>
      <w:r>
        <w:rPr>
          <w:rFonts w:cstheme="minorHAnsi"/>
          <w:b/>
          <w:szCs w:val="22"/>
        </w:rPr>
        <w:t>FULL PROJECT</w:t>
      </w:r>
      <w:r w:rsidRPr="003C12DB">
        <w:rPr>
          <w:rFonts w:cstheme="minorHAnsi"/>
          <w:b/>
          <w:szCs w:val="22"/>
        </w:rPr>
        <w:t xml:space="preserve"> TITLE </w:t>
      </w:r>
    </w:p>
    <w:p w14:paraId="616BA482" w14:textId="77777777" w:rsidR="000B0CE4" w:rsidRPr="003C12DB" w:rsidRDefault="000B0CE4"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Cs w:val="22"/>
        </w:rPr>
      </w:pPr>
      <w:bookmarkStart w:id="0" w:name="_Hlk148434662"/>
      <w:r>
        <w:rPr>
          <w:rFonts w:ascii="Arial" w:hAnsi="Arial" w:cs="Arial"/>
          <w:lang w:val="en-NZ"/>
        </w:rPr>
        <w:t xml:space="preserve">Testing the </w:t>
      </w:r>
      <w:r w:rsidRPr="00FA1E36">
        <w:rPr>
          <w:rFonts w:ascii="Arial" w:hAnsi="Arial" w:cs="Arial"/>
          <w:lang w:val="en-NZ"/>
        </w:rPr>
        <w:t>Deterioration Early Warning System</w:t>
      </w:r>
      <w:r>
        <w:rPr>
          <w:rFonts w:ascii="Arial" w:hAnsi="Arial" w:cs="Arial"/>
          <w:lang w:val="en-NZ"/>
        </w:rPr>
        <w:t xml:space="preserve"> (DEWS) for residential aged care. A feasibility </w:t>
      </w:r>
      <w:proofErr w:type="gramStart"/>
      <w:r>
        <w:rPr>
          <w:rFonts w:ascii="Arial" w:hAnsi="Arial" w:cs="Arial"/>
          <w:lang w:val="en-NZ"/>
        </w:rPr>
        <w:t>study</w:t>
      </w:r>
      <w:proofErr w:type="gramEnd"/>
      <w:r>
        <w:rPr>
          <w:rFonts w:ascii="Arial" w:hAnsi="Arial" w:cs="Arial"/>
          <w:lang w:val="en-NZ"/>
        </w:rPr>
        <w:t>.</w:t>
      </w:r>
    </w:p>
    <w:bookmarkEnd w:id="0"/>
    <w:p w14:paraId="7992F055" w14:textId="77777777" w:rsidR="000B0CE4" w:rsidRDefault="000B0CE4" w:rsidP="00E26C0B">
      <w:pPr>
        <w:spacing w:before="120" w:line="240" w:lineRule="auto"/>
        <w:rPr>
          <w:rFonts w:cstheme="minorHAnsi"/>
          <w:b/>
          <w:szCs w:val="22"/>
        </w:rPr>
      </w:pPr>
      <w:r>
        <w:rPr>
          <w:rFonts w:cstheme="minorHAnsi"/>
          <w:b/>
          <w:szCs w:val="22"/>
        </w:rPr>
        <w:t>SHORT TITLE</w:t>
      </w:r>
    </w:p>
    <w:p w14:paraId="151AD64E" w14:textId="77777777" w:rsidR="000B0CE4" w:rsidRPr="00E26C0B" w:rsidRDefault="000B0CE4" w:rsidP="00E26C0B">
      <w:pPr>
        <w:spacing w:before="120" w:line="240" w:lineRule="auto"/>
        <w:rPr>
          <w:rFonts w:cstheme="minorHAnsi"/>
          <w:bCs/>
          <w:szCs w:val="22"/>
        </w:rPr>
      </w:pPr>
      <w:r w:rsidRPr="00E26C0B">
        <w:rPr>
          <w:rFonts w:cstheme="minorHAnsi"/>
          <w:bCs/>
          <w:szCs w:val="22"/>
        </w:rPr>
        <w:t xml:space="preserve">DEWS </w:t>
      </w:r>
      <w:r>
        <w:rPr>
          <w:rFonts w:cstheme="minorHAnsi"/>
          <w:bCs/>
          <w:szCs w:val="22"/>
        </w:rPr>
        <w:t>testing</w:t>
      </w:r>
    </w:p>
    <w:p w14:paraId="419C37B1" w14:textId="77777777" w:rsidR="000B0CE4" w:rsidRPr="003C12DB" w:rsidRDefault="000B0CE4" w:rsidP="00E26C0B">
      <w:pPr>
        <w:spacing w:before="240" w:line="240" w:lineRule="auto"/>
        <w:rPr>
          <w:rFonts w:cstheme="minorHAnsi"/>
          <w:b/>
          <w:szCs w:val="22"/>
        </w:rPr>
      </w:pPr>
      <w:r w:rsidRPr="003C12DB">
        <w:rPr>
          <w:rFonts w:cstheme="minorHAnsi"/>
          <w:b/>
          <w:szCs w:val="22"/>
        </w:rPr>
        <w:t>RESEARCH REFERENCE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2"/>
        <w:gridCol w:w="5948"/>
      </w:tblGrid>
      <w:tr w:rsidR="000B0CE4" w:rsidRPr="00C62995" w14:paraId="7A1FDFDE" w14:textId="77777777" w:rsidTr="00C62995">
        <w:trPr>
          <w:trHeight w:val="443"/>
        </w:trPr>
        <w:tc>
          <w:tcPr>
            <w:tcW w:w="3742" w:type="dxa"/>
            <w:vAlign w:val="center"/>
          </w:tcPr>
          <w:p w14:paraId="21115479" w14:textId="77777777" w:rsidR="000B0CE4" w:rsidRPr="00C62995" w:rsidRDefault="000B0CE4" w:rsidP="001A2815">
            <w:pPr>
              <w:spacing w:after="0" w:line="240" w:lineRule="auto"/>
              <w:rPr>
                <w:rFonts w:cstheme="minorHAnsi"/>
                <w:bCs/>
                <w:szCs w:val="22"/>
              </w:rPr>
            </w:pPr>
            <w:r w:rsidRPr="00C62995">
              <w:rPr>
                <w:rFonts w:cstheme="minorHAnsi"/>
                <w:bCs/>
                <w:szCs w:val="22"/>
              </w:rPr>
              <w:t xml:space="preserve">Ethics </w:t>
            </w:r>
            <w:r>
              <w:rPr>
                <w:rFonts w:cstheme="minorHAnsi"/>
                <w:bCs/>
                <w:szCs w:val="22"/>
              </w:rPr>
              <w:t>project ID</w:t>
            </w:r>
          </w:p>
        </w:tc>
        <w:tc>
          <w:tcPr>
            <w:tcW w:w="5948" w:type="dxa"/>
            <w:vAlign w:val="center"/>
          </w:tcPr>
          <w:p w14:paraId="30E27143" w14:textId="77777777" w:rsidR="000B0CE4" w:rsidRPr="00C62995" w:rsidDel="00702805" w:rsidRDefault="000B0CE4" w:rsidP="001A2815">
            <w:pPr>
              <w:spacing w:after="0" w:line="240" w:lineRule="auto"/>
              <w:rPr>
                <w:rFonts w:cstheme="minorHAnsi"/>
                <w:bCs/>
                <w:color w:val="0000FF"/>
                <w:szCs w:val="22"/>
              </w:rPr>
            </w:pPr>
            <w:r w:rsidRPr="00C320D5">
              <w:rPr>
                <w:rFonts w:cstheme="minorHAnsi"/>
                <w:bCs/>
                <w:szCs w:val="22"/>
              </w:rPr>
              <w:t>26938</w:t>
            </w:r>
          </w:p>
        </w:tc>
      </w:tr>
    </w:tbl>
    <w:p w14:paraId="33DC4142" w14:textId="77777777" w:rsidR="000B0CE4" w:rsidRDefault="000B0CE4"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p>
    <w:p w14:paraId="23C05353" w14:textId="77777777" w:rsidR="000B0CE4" w:rsidRDefault="000B0CE4" w:rsidP="00E26C0B">
      <w:pPr>
        <w:autoSpaceDE w:val="0"/>
        <w:autoSpaceDN w:val="0"/>
        <w:adjustRightInd w:val="0"/>
        <w:spacing w:before="120" w:after="240" w:line="240" w:lineRule="auto"/>
        <w:rPr>
          <w:rFonts w:cstheme="minorHAnsi"/>
          <w:b/>
          <w:lang w:eastAsia="en-GB"/>
        </w:rPr>
      </w:pPr>
      <w:r w:rsidRPr="009C1E33">
        <w:rPr>
          <w:rFonts w:cstheme="minorHAnsi"/>
          <w:b/>
          <w:lang w:eastAsia="en-GB"/>
        </w:rPr>
        <w:t>DEFINITIONS</w:t>
      </w:r>
    </w:p>
    <w:tbl>
      <w:tblPr>
        <w:tblStyle w:val="TableGrid"/>
        <w:tblW w:w="0" w:type="auto"/>
        <w:tblLook w:val="04A0" w:firstRow="1" w:lastRow="0" w:firstColumn="1" w:lastColumn="0" w:noHBand="0" w:noVBand="1"/>
      </w:tblPr>
      <w:tblGrid>
        <w:gridCol w:w="3256"/>
        <w:gridCol w:w="6706"/>
      </w:tblGrid>
      <w:tr w:rsidR="000B0CE4" w14:paraId="2C55F568" w14:textId="77777777" w:rsidTr="000630CE">
        <w:trPr>
          <w:trHeight w:val="215"/>
        </w:trPr>
        <w:tc>
          <w:tcPr>
            <w:tcW w:w="3256" w:type="dxa"/>
          </w:tcPr>
          <w:p w14:paraId="24496288" w14:textId="77777777" w:rsidR="000B0CE4" w:rsidRDefault="000B0CE4" w:rsidP="000630CE">
            <w:pPr>
              <w:autoSpaceDE w:val="0"/>
              <w:autoSpaceDN w:val="0"/>
              <w:adjustRightInd w:val="0"/>
              <w:spacing w:before="40" w:after="40" w:line="240" w:lineRule="auto"/>
              <w:rPr>
                <w:rFonts w:cstheme="minorHAnsi"/>
                <w:bCs/>
                <w:lang w:eastAsia="en-GB"/>
              </w:rPr>
            </w:pPr>
            <w:r>
              <w:rPr>
                <w:rFonts w:cstheme="minorHAnsi"/>
                <w:bCs/>
                <w:lang w:eastAsia="en-GB"/>
              </w:rPr>
              <w:t>Age-related residential care (ARC)</w:t>
            </w:r>
          </w:p>
        </w:tc>
        <w:tc>
          <w:tcPr>
            <w:tcW w:w="6706" w:type="dxa"/>
            <w:vAlign w:val="center"/>
          </w:tcPr>
          <w:p w14:paraId="2E55CAE8" w14:textId="77777777" w:rsidR="000B0CE4" w:rsidRDefault="000B0CE4" w:rsidP="000630CE">
            <w:pPr>
              <w:autoSpaceDE w:val="0"/>
              <w:autoSpaceDN w:val="0"/>
              <w:adjustRightInd w:val="0"/>
              <w:spacing w:before="40" w:after="40" w:line="240" w:lineRule="auto"/>
              <w:rPr>
                <w:rFonts w:cstheme="minorHAnsi"/>
                <w:bCs/>
                <w:lang w:eastAsia="en-GB"/>
              </w:rPr>
            </w:pPr>
            <w:r>
              <w:rPr>
                <w:rFonts w:cstheme="minorHAnsi"/>
                <w:bCs/>
                <w:lang w:eastAsia="en-GB"/>
              </w:rPr>
              <w:t>Generic term for providers of long-term care services under the Age-related Residential Aged Care Services Contracts</w:t>
            </w:r>
          </w:p>
        </w:tc>
      </w:tr>
      <w:tr w:rsidR="000B0CE4" w14:paraId="19DFA75D" w14:textId="77777777" w:rsidTr="00A437FE">
        <w:trPr>
          <w:trHeight w:val="720"/>
        </w:trPr>
        <w:tc>
          <w:tcPr>
            <w:tcW w:w="3256" w:type="dxa"/>
          </w:tcPr>
          <w:p w14:paraId="78B4696D" w14:textId="77777777" w:rsidR="000B0CE4" w:rsidRPr="00242066" w:rsidRDefault="000B0CE4" w:rsidP="00A437FE">
            <w:pPr>
              <w:autoSpaceDE w:val="0"/>
              <w:autoSpaceDN w:val="0"/>
              <w:adjustRightInd w:val="0"/>
              <w:spacing w:before="40" w:after="40" w:line="240" w:lineRule="auto"/>
              <w:rPr>
                <w:rFonts w:cstheme="minorHAnsi"/>
                <w:bCs/>
                <w:lang w:eastAsia="en-GB"/>
              </w:rPr>
            </w:pPr>
            <w:r>
              <w:rPr>
                <w:rFonts w:cstheme="minorHAnsi"/>
                <w:bCs/>
                <w:lang w:eastAsia="en-GB"/>
              </w:rPr>
              <w:t>Deterioration Early Warning System (DEWS)</w:t>
            </w:r>
          </w:p>
        </w:tc>
        <w:tc>
          <w:tcPr>
            <w:tcW w:w="6706" w:type="dxa"/>
            <w:vAlign w:val="center"/>
          </w:tcPr>
          <w:p w14:paraId="3C3D61D9" w14:textId="2DB42228" w:rsidR="000B0CE4" w:rsidRDefault="00E034DD" w:rsidP="00A437FE">
            <w:pPr>
              <w:autoSpaceDE w:val="0"/>
              <w:autoSpaceDN w:val="0"/>
              <w:adjustRightInd w:val="0"/>
              <w:spacing w:before="40" w:after="40" w:line="240" w:lineRule="auto"/>
              <w:rPr>
                <w:rFonts w:cstheme="minorHAnsi"/>
                <w:bCs/>
                <w:lang w:eastAsia="en-GB"/>
              </w:rPr>
            </w:pPr>
            <w:r w:rsidRPr="00E034DD">
              <w:rPr>
                <w:rStyle w:val="cf01"/>
                <w:rFonts w:ascii="Arial" w:hAnsi="Arial" w:cs="Arial"/>
                <w:sz w:val="22"/>
                <w:szCs w:val="22"/>
              </w:rPr>
              <w:t>A system to support healthcare staff to recognise and respond to deterioration. Includes the DEWS tools alongside communication, education, measurement to see how the system is working and effective governance structures.  Includes a</w:t>
            </w:r>
            <w:r>
              <w:rPr>
                <w:rStyle w:val="cf01"/>
              </w:rPr>
              <w:t xml:space="preserve"> </w:t>
            </w:r>
            <w:r w:rsidR="000B0CE4">
              <w:rPr>
                <w:rFonts w:cstheme="minorHAnsi"/>
                <w:bCs/>
                <w:lang w:eastAsia="en-GB"/>
              </w:rPr>
              <w:t xml:space="preserve"> set of tools to support the healthcare staff team to recognise and respond to acute deterioration.  Includes associated user guideline and education slides.</w:t>
            </w:r>
          </w:p>
        </w:tc>
      </w:tr>
      <w:tr w:rsidR="000B0CE4" w14:paraId="20EA28A5" w14:textId="77777777" w:rsidTr="009A466D">
        <w:trPr>
          <w:trHeight w:val="914"/>
        </w:trPr>
        <w:tc>
          <w:tcPr>
            <w:tcW w:w="3256" w:type="dxa"/>
          </w:tcPr>
          <w:p w14:paraId="342452FC" w14:textId="77777777" w:rsidR="000B0CE4" w:rsidRPr="00242066" w:rsidRDefault="000B0CE4" w:rsidP="009A466D">
            <w:pPr>
              <w:autoSpaceDE w:val="0"/>
              <w:autoSpaceDN w:val="0"/>
              <w:adjustRightInd w:val="0"/>
              <w:spacing w:before="40" w:after="40" w:line="240" w:lineRule="auto"/>
              <w:rPr>
                <w:rFonts w:cstheme="minorHAnsi"/>
                <w:bCs/>
                <w:lang w:eastAsia="en-GB"/>
              </w:rPr>
            </w:pPr>
            <w:r w:rsidRPr="00242066">
              <w:rPr>
                <w:rFonts w:cstheme="minorHAnsi"/>
                <w:bCs/>
                <w:lang w:eastAsia="en-GB"/>
              </w:rPr>
              <w:t>DEWS tools</w:t>
            </w:r>
          </w:p>
        </w:tc>
        <w:tc>
          <w:tcPr>
            <w:tcW w:w="6706" w:type="dxa"/>
            <w:vAlign w:val="center"/>
          </w:tcPr>
          <w:p w14:paraId="709049DD" w14:textId="77777777" w:rsidR="000B0CE4" w:rsidRDefault="000B0CE4" w:rsidP="009A466D">
            <w:pPr>
              <w:autoSpaceDE w:val="0"/>
              <w:autoSpaceDN w:val="0"/>
              <w:adjustRightInd w:val="0"/>
              <w:spacing w:before="40" w:after="40" w:line="240" w:lineRule="auto"/>
              <w:rPr>
                <w:rFonts w:cstheme="minorHAnsi"/>
                <w:bCs/>
                <w:lang w:eastAsia="en-GB"/>
              </w:rPr>
            </w:pPr>
            <w:r>
              <w:rPr>
                <w:rFonts w:cstheme="minorHAnsi"/>
                <w:bCs/>
                <w:lang w:eastAsia="en-GB"/>
              </w:rPr>
              <w:t>Quick-DEWS for health care assistants</w:t>
            </w:r>
          </w:p>
          <w:p w14:paraId="6A6E8597" w14:textId="77777777" w:rsidR="000B0CE4" w:rsidRDefault="000B0CE4" w:rsidP="009A466D">
            <w:pPr>
              <w:autoSpaceDE w:val="0"/>
              <w:autoSpaceDN w:val="0"/>
              <w:adjustRightInd w:val="0"/>
              <w:spacing w:before="40" w:after="40" w:line="240" w:lineRule="auto"/>
              <w:rPr>
                <w:rFonts w:cstheme="minorHAnsi"/>
                <w:bCs/>
                <w:lang w:eastAsia="en-GB"/>
              </w:rPr>
            </w:pPr>
            <w:r>
              <w:rPr>
                <w:rFonts w:cstheme="minorHAnsi"/>
                <w:bCs/>
                <w:lang w:eastAsia="en-GB"/>
              </w:rPr>
              <w:t xml:space="preserve">DEWS-RN for Registered Nurses </w:t>
            </w:r>
          </w:p>
          <w:p w14:paraId="2D07D7AF" w14:textId="77777777" w:rsidR="000B0CE4" w:rsidRDefault="000B0CE4" w:rsidP="009A466D">
            <w:pPr>
              <w:autoSpaceDE w:val="0"/>
              <w:autoSpaceDN w:val="0"/>
              <w:adjustRightInd w:val="0"/>
              <w:spacing w:before="40" w:after="40" w:line="240" w:lineRule="auto"/>
              <w:rPr>
                <w:rFonts w:cstheme="minorHAnsi"/>
                <w:bCs/>
                <w:lang w:eastAsia="en-GB"/>
              </w:rPr>
            </w:pPr>
            <w:r>
              <w:rPr>
                <w:rFonts w:cstheme="minorHAnsi"/>
                <w:bCs/>
                <w:lang w:eastAsia="en-GB"/>
              </w:rPr>
              <w:t>SBARR-DEWS handover tools</w:t>
            </w:r>
          </w:p>
        </w:tc>
      </w:tr>
      <w:tr w:rsidR="000B0CE4" w14:paraId="2A6CD40F" w14:textId="77777777" w:rsidTr="00A437FE">
        <w:trPr>
          <w:trHeight w:val="622"/>
        </w:trPr>
        <w:tc>
          <w:tcPr>
            <w:tcW w:w="3256" w:type="dxa"/>
          </w:tcPr>
          <w:p w14:paraId="52261423" w14:textId="77777777" w:rsidR="000B0CE4" w:rsidRPr="00242066" w:rsidRDefault="000B0CE4" w:rsidP="00A437FE">
            <w:pPr>
              <w:autoSpaceDE w:val="0"/>
              <w:autoSpaceDN w:val="0"/>
              <w:adjustRightInd w:val="0"/>
              <w:spacing w:before="40" w:after="40" w:line="240" w:lineRule="auto"/>
              <w:rPr>
                <w:rFonts w:cstheme="minorHAnsi"/>
                <w:bCs/>
                <w:lang w:eastAsia="en-GB"/>
              </w:rPr>
            </w:pPr>
            <w:r w:rsidRPr="00242066">
              <w:rPr>
                <w:rFonts w:cstheme="minorHAnsi"/>
                <w:bCs/>
                <w:lang w:eastAsia="en-GB"/>
              </w:rPr>
              <w:t>D</w:t>
            </w:r>
            <w:r>
              <w:rPr>
                <w:rFonts w:cstheme="minorHAnsi"/>
                <w:bCs/>
                <w:lang w:eastAsia="en-GB"/>
              </w:rPr>
              <w:t>EWS eco-system</w:t>
            </w:r>
          </w:p>
        </w:tc>
        <w:tc>
          <w:tcPr>
            <w:tcW w:w="6706" w:type="dxa"/>
            <w:vAlign w:val="center"/>
          </w:tcPr>
          <w:p w14:paraId="19DF6686" w14:textId="77777777" w:rsidR="000B0CE4" w:rsidRDefault="000B0CE4" w:rsidP="00A437FE">
            <w:pPr>
              <w:autoSpaceDE w:val="0"/>
              <w:autoSpaceDN w:val="0"/>
              <w:adjustRightInd w:val="0"/>
              <w:spacing w:before="40" w:after="40" w:line="240" w:lineRule="auto"/>
              <w:rPr>
                <w:rFonts w:cstheme="minorHAnsi"/>
                <w:bCs/>
                <w:lang w:eastAsia="en-GB"/>
              </w:rPr>
            </w:pPr>
            <w:r>
              <w:rPr>
                <w:rFonts w:cstheme="minorHAnsi"/>
                <w:bCs/>
                <w:lang w:eastAsia="en-GB"/>
              </w:rPr>
              <w:t>Includes the DEWS and the quality improvement package provided for the implementation and feasibility study testing</w:t>
            </w:r>
          </w:p>
        </w:tc>
      </w:tr>
      <w:tr w:rsidR="000B0CE4" w14:paraId="383BE4B4" w14:textId="77777777" w:rsidTr="009A466D">
        <w:tc>
          <w:tcPr>
            <w:tcW w:w="3256" w:type="dxa"/>
          </w:tcPr>
          <w:p w14:paraId="2C1011D3" w14:textId="77777777" w:rsidR="000B0CE4" w:rsidRPr="00242066" w:rsidRDefault="000B0CE4" w:rsidP="009A466D">
            <w:pPr>
              <w:autoSpaceDE w:val="0"/>
              <w:autoSpaceDN w:val="0"/>
              <w:adjustRightInd w:val="0"/>
              <w:spacing w:before="40" w:after="40" w:line="240" w:lineRule="auto"/>
              <w:rPr>
                <w:rFonts w:cstheme="minorHAnsi"/>
                <w:bCs/>
                <w:lang w:eastAsia="en-GB"/>
              </w:rPr>
            </w:pPr>
            <w:r w:rsidRPr="00242066">
              <w:rPr>
                <w:rFonts w:cstheme="minorHAnsi"/>
                <w:bCs/>
                <w:lang w:eastAsia="en-GB"/>
              </w:rPr>
              <w:t>Quality improvement package</w:t>
            </w:r>
          </w:p>
        </w:tc>
        <w:tc>
          <w:tcPr>
            <w:tcW w:w="6706" w:type="dxa"/>
            <w:vAlign w:val="center"/>
          </w:tcPr>
          <w:p w14:paraId="7F88A557" w14:textId="77777777" w:rsidR="000B0CE4" w:rsidRPr="00C62995" w:rsidRDefault="000B0CE4" w:rsidP="009A466D">
            <w:pPr>
              <w:autoSpaceDE w:val="0"/>
              <w:autoSpaceDN w:val="0"/>
              <w:adjustRightInd w:val="0"/>
              <w:spacing w:before="40" w:after="40" w:line="240" w:lineRule="auto"/>
              <w:rPr>
                <w:rFonts w:cstheme="minorHAnsi"/>
                <w:bCs/>
                <w:lang w:eastAsia="en-GB"/>
              </w:rPr>
            </w:pPr>
            <w:r>
              <w:rPr>
                <w:rFonts w:cstheme="minorHAnsi"/>
                <w:bCs/>
                <w:lang w:eastAsia="en-GB"/>
              </w:rPr>
              <w:t xml:space="preserve">All non-clinical measures and processes supporting the implementation of the DEWS tools </w:t>
            </w:r>
          </w:p>
        </w:tc>
      </w:tr>
      <w:tr w:rsidR="000B0CE4" w14:paraId="6AF76DF9" w14:textId="77777777" w:rsidTr="00A437FE">
        <w:tc>
          <w:tcPr>
            <w:tcW w:w="3256" w:type="dxa"/>
          </w:tcPr>
          <w:p w14:paraId="6CC1AF05" w14:textId="77777777" w:rsidR="000B0CE4" w:rsidRPr="00242066" w:rsidRDefault="000B0CE4" w:rsidP="00A437FE">
            <w:pPr>
              <w:autoSpaceDE w:val="0"/>
              <w:autoSpaceDN w:val="0"/>
              <w:adjustRightInd w:val="0"/>
              <w:spacing w:before="40" w:after="40" w:line="240" w:lineRule="auto"/>
              <w:rPr>
                <w:rFonts w:cstheme="minorHAnsi"/>
                <w:bCs/>
                <w:lang w:eastAsia="en-GB"/>
              </w:rPr>
            </w:pPr>
            <w:r>
              <w:rPr>
                <w:rFonts w:cstheme="minorHAnsi"/>
                <w:bCs/>
                <w:lang w:eastAsia="en-GB"/>
              </w:rPr>
              <w:t>Project Leadership Team (investigators)</w:t>
            </w:r>
          </w:p>
        </w:tc>
        <w:tc>
          <w:tcPr>
            <w:tcW w:w="6706" w:type="dxa"/>
            <w:vAlign w:val="center"/>
          </w:tcPr>
          <w:p w14:paraId="5D6446A7" w14:textId="77777777" w:rsidR="000B0CE4" w:rsidRPr="00C62995" w:rsidRDefault="000B0CE4" w:rsidP="00A437FE">
            <w:pPr>
              <w:autoSpaceDE w:val="0"/>
              <w:autoSpaceDN w:val="0"/>
              <w:adjustRightInd w:val="0"/>
              <w:spacing w:before="40" w:after="40" w:line="240" w:lineRule="auto"/>
              <w:rPr>
                <w:rFonts w:cstheme="minorHAnsi"/>
                <w:bCs/>
                <w:lang w:eastAsia="en-GB"/>
              </w:rPr>
            </w:pPr>
            <w:r>
              <w:rPr>
                <w:rFonts w:cstheme="minorHAnsi"/>
                <w:bCs/>
                <w:lang w:eastAsia="en-GB"/>
              </w:rPr>
              <w:t xml:space="preserve">Research investigators: team leading the feasibility study overall </w:t>
            </w:r>
          </w:p>
        </w:tc>
      </w:tr>
      <w:tr w:rsidR="000B0CE4" w14:paraId="58B6A90B" w14:textId="77777777" w:rsidTr="00A437FE">
        <w:tc>
          <w:tcPr>
            <w:tcW w:w="3256" w:type="dxa"/>
          </w:tcPr>
          <w:p w14:paraId="3142EC95" w14:textId="77777777" w:rsidR="000B0CE4" w:rsidRPr="00242066" w:rsidRDefault="000B0CE4" w:rsidP="00A437FE">
            <w:pPr>
              <w:autoSpaceDE w:val="0"/>
              <w:autoSpaceDN w:val="0"/>
              <w:adjustRightInd w:val="0"/>
              <w:spacing w:before="40" w:after="40" w:line="240" w:lineRule="auto"/>
              <w:rPr>
                <w:rFonts w:cstheme="minorHAnsi"/>
                <w:bCs/>
                <w:lang w:eastAsia="en-GB"/>
              </w:rPr>
            </w:pPr>
            <w:r w:rsidRPr="00242066">
              <w:rPr>
                <w:rFonts w:cstheme="minorHAnsi"/>
                <w:bCs/>
                <w:lang w:eastAsia="en-GB"/>
              </w:rPr>
              <w:t>ARC project team</w:t>
            </w:r>
            <w:r>
              <w:rPr>
                <w:rFonts w:cstheme="minorHAnsi"/>
                <w:bCs/>
                <w:lang w:eastAsia="en-GB"/>
              </w:rPr>
              <w:t xml:space="preserve"> (participants)</w:t>
            </w:r>
          </w:p>
        </w:tc>
        <w:tc>
          <w:tcPr>
            <w:tcW w:w="6706" w:type="dxa"/>
          </w:tcPr>
          <w:p w14:paraId="6F7AE52C" w14:textId="77777777" w:rsidR="000B0CE4" w:rsidRPr="00AC4967" w:rsidRDefault="000B0CE4" w:rsidP="00A437FE">
            <w:pPr>
              <w:autoSpaceDE w:val="0"/>
              <w:autoSpaceDN w:val="0"/>
              <w:adjustRightInd w:val="0"/>
              <w:spacing w:before="40" w:after="40" w:line="240" w:lineRule="auto"/>
              <w:rPr>
                <w:rFonts w:cstheme="minorHAnsi"/>
                <w:bCs/>
                <w:lang w:eastAsia="en-GB"/>
              </w:rPr>
            </w:pPr>
            <w:r>
              <w:rPr>
                <w:rFonts w:cstheme="minorHAnsi"/>
                <w:bCs/>
                <w:lang w:eastAsia="en-GB"/>
              </w:rPr>
              <w:t xml:space="preserve">Research participants: A team of </w:t>
            </w:r>
            <w:r w:rsidRPr="00AC4967">
              <w:rPr>
                <w:rFonts w:cstheme="minorHAnsi"/>
                <w:bCs/>
                <w:lang w:eastAsia="en-GB"/>
              </w:rPr>
              <w:t xml:space="preserve">people </w:t>
            </w:r>
            <w:r>
              <w:rPr>
                <w:rFonts w:cstheme="minorHAnsi"/>
                <w:bCs/>
                <w:lang w:eastAsia="en-GB"/>
              </w:rPr>
              <w:t>based in each ARC facility with responsibility for leading the implementation of the DEWS eco-system (DEWS tools and quality improvement package required to implement DEWS)</w:t>
            </w:r>
          </w:p>
        </w:tc>
      </w:tr>
      <w:tr w:rsidR="000B0CE4" w14:paraId="4727167B" w14:textId="77777777" w:rsidTr="00A437FE">
        <w:tc>
          <w:tcPr>
            <w:tcW w:w="3256" w:type="dxa"/>
          </w:tcPr>
          <w:p w14:paraId="727FDFBD" w14:textId="77777777" w:rsidR="000B0CE4" w:rsidRPr="00242066" w:rsidRDefault="000B0CE4" w:rsidP="00A437FE">
            <w:pPr>
              <w:autoSpaceDE w:val="0"/>
              <w:autoSpaceDN w:val="0"/>
              <w:adjustRightInd w:val="0"/>
              <w:spacing w:before="120" w:after="0" w:line="240" w:lineRule="auto"/>
              <w:rPr>
                <w:rFonts w:cstheme="minorHAnsi"/>
                <w:bCs/>
                <w:lang w:eastAsia="en-GB"/>
              </w:rPr>
            </w:pPr>
            <w:r w:rsidRPr="00242066">
              <w:rPr>
                <w:rFonts w:cstheme="minorHAnsi"/>
                <w:bCs/>
                <w:lang w:eastAsia="en-GB"/>
              </w:rPr>
              <w:t>Healthcare sta</w:t>
            </w:r>
            <w:r>
              <w:rPr>
                <w:rFonts w:cstheme="minorHAnsi"/>
                <w:bCs/>
                <w:lang w:eastAsia="en-GB"/>
              </w:rPr>
              <w:t>ff (participants)</w:t>
            </w:r>
          </w:p>
        </w:tc>
        <w:tc>
          <w:tcPr>
            <w:tcW w:w="6706" w:type="dxa"/>
          </w:tcPr>
          <w:p w14:paraId="2EB74036" w14:textId="77777777" w:rsidR="000B0CE4" w:rsidRDefault="000B0CE4" w:rsidP="00C971CD">
            <w:pPr>
              <w:autoSpaceDE w:val="0"/>
              <w:autoSpaceDN w:val="0"/>
              <w:adjustRightInd w:val="0"/>
              <w:spacing w:after="0" w:line="240" w:lineRule="auto"/>
              <w:rPr>
                <w:rFonts w:cstheme="minorHAnsi"/>
                <w:b/>
                <w:lang w:eastAsia="en-GB"/>
              </w:rPr>
            </w:pPr>
            <w:r>
              <w:rPr>
                <w:rFonts w:cstheme="minorHAnsi"/>
                <w:bCs/>
                <w:lang w:eastAsia="en-GB"/>
              </w:rPr>
              <w:t>G</w:t>
            </w:r>
            <w:r w:rsidRPr="00C62995">
              <w:rPr>
                <w:rFonts w:cstheme="minorHAnsi"/>
                <w:bCs/>
                <w:lang w:eastAsia="en-GB"/>
              </w:rPr>
              <w:t xml:space="preserve">eneric term that includes all </w:t>
            </w:r>
            <w:r>
              <w:rPr>
                <w:rFonts w:cstheme="minorHAnsi"/>
                <w:bCs/>
                <w:lang w:eastAsia="en-GB"/>
              </w:rPr>
              <w:t xml:space="preserve">clinical </w:t>
            </w:r>
            <w:r w:rsidRPr="00C62995">
              <w:rPr>
                <w:rFonts w:cstheme="minorHAnsi"/>
                <w:bCs/>
                <w:lang w:eastAsia="en-GB"/>
              </w:rPr>
              <w:t xml:space="preserve">staff working in </w:t>
            </w:r>
            <w:r>
              <w:rPr>
                <w:rFonts w:cstheme="minorHAnsi"/>
                <w:bCs/>
                <w:lang w:eastAsia="en-GB"/>
              </w:rPr>
              <w:t xml:space="preserve">ARC includes </w:t>
            </w:r>
            <w:r w:rsidRPr="00C62995">
              <w:rPr>
                <w:rFonts w:cstheme="minorHAnsi"/>
                <w:bCs/>
                <w:lang w:eastAsia="en-GB"/>
              </w:rPr>
              <w:t xml:space="preserve">health care assistants, </w:t>
            </w:r>
            <w:r>
              <w:rPr>
                <w:rFonts w:cstheme="minorHAnsi"/>
                <w:bCs/>
                <w:lang w:eastAsia="en-GB"/>
              </w:rPr>
              <w:t>registered and enrolled nurses and primary care provider</w:t>
            </w:r>
          </w:p>
        </w:tc>
      </w:tr>
    </w:tbl>
    <w:p w14:paraId="419655BC" w14:textId="77777777" w:rsidR="000B0CE4" w:rsidRPr="009C1E33" w:rsidRDefault="000B0CE4" w:rsidP="00C62995">
      <w:pPr>
        <w:autoSpaceDE w:val="0"/>
        <w:autoSpaceDN w:val="0"/>
        <w:adjustRightInd w:val="0"/>
        <w:spacing w:before="120" w:after="0" w:line="240" w:lineRule="auto"/>
        <w:rPr>
          <w:rFonts w:cstheme="minorHAnsi"/>
          <w:b/>
          <w:lang w:eastAsia="en-GB"/>
        </w:rPr>
      </w:pPr>
    </w:p>
    <w:p w14:paraId="3F63DA19" w14:textId="77777777" w:rsidR="000B0CE4" w:rsidRPr="003C12DB" w:rsidRDefault="000B0CE4"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br w:type="page"/>
      </w:r>
    </w:p>
    <w:p w14:paraId="74B2D1E3" w14:textId="77777777" w:rsidR="000B0CE4" w:rsidRPr="00093582" w:rsidRDefault="000B0CE4" w:rsidP="00EB3796">
      <w:pPr>
        <w:pStyle w:val="Heading1"/>
        <w:spacing w:before="0" w:after="120"/>
        <w:rPr>
          <w:rFonts w:asciiTheme="minorHAnsi" w:hAnsiTheme="minorHAnsi" w:cstheme="minorHAnsi"/>
          <w:color w:val="auto"/>
          <w:sz w:val="22"/>
          <w:szCs w:val="22"/>
        </w:rPr>
      </w:pPr>
      <w:bookmarkStart w:id="1" w:name="_Toc354567215"/>
      <w:r w:rsidRPr="00093582">
        <w:rPr>
          <w:rFonts w:asciiTheme="minorHAnsi" w:hAnsiTheme="minorHAnsi" w:cstheme="minorHAnsi"/>
          <w:color w:val="auto"/>
          <w:sz w:val="22"/>
          <w:szCs w:val="22"/>
        </w:rPr>
        <w:lastRenderedPageBreak/>
        <w:t>LIST of CONTENTS</w:t>
      </w:r>
    </w:p>
    <w:tbl>
      <w:tblPr>
        <w:tblStyle w:val="TableGrid"/>
        <w:tblW w:w="10419" w:type="dxa"/>
        <w:tblLook w:val="04A0" w:firstRow="1" w:lastRow="0" w:firstColumn="1" w:lastColumn="0" w:noHBand="0" w:noVBand="1"/>
      </w:tblPr>
      <w:tblGrid>
        <w:gridCol w:w="9128"/>
        <w:gridCol w:w="1291"/>
      </w:tblGrid>
      <w:tr w:rsidR="000B0CE4" w:rsidRPr="00987A19" w14:paraId="4F7394F0" w14:textId="77777777" w:rsidTr="004140B8">
        <w:tc>
          <w:tcPr>
            <w:tcW w:w="9128" w:type="dxa"/>
            <w:vAlign w:val="center"/>
          </w:tcPr>
          <w:p w14:paraId="0B2AE562" w14:textId="77777777" w:rsidR="000B0CE4" w:rsidRPr="00580154" w:rsidRDefault="000B0CE4" w:rsidP="004140B8">
            <w:pPr>
              <w:spacing w:before="60" w:after="60" w:line="240" w:lineRule="auto"/>
              <w:rPr>
                <w:rFonts w:cstheme="minorHAnsi"/>
                <w:b/>
                <w:szCs w:val="22"/>
              </w:rPr>
            </w:pPr>
            <w:r w:rsidRPr="00580154">
              <w:rPr>
                <w:rFonts w:cstheme="minorHAnsi"/>
                <w:b/>
                <w:szCs w:val="22"/>
              </w:rPr>
              <w:t>GENERAL INFORMATION</w:t>
            </w:r>
          </w:p>
        </w:tc>
        <w:tc>
          <w:tcPr>
            <w:tcW w:w="1291" w:type="dxa"/>
            <w:vAlign w:val="center"/>
          </w:tcPr>
          <w:p w14:paraId="07AE9415" w14:textId="77777777" w:rsidR="000B0CE4" w:rsidRPr="00580154" w:rsidRDefault="000B0CE4" w:rsidP="004140B8">
            <w:pPr>
              <w:spacing w:before="60" w:after="60" w:line="240" w:lineRule="auto"/>
              <w:rPr>
                <w:rFonts w:cstheme="minorHAnsi"/>
                <w:b/>
                <w:szCs w:val="22"/>
              </w:rPr>
            </w:pPr>
            <w:r w:rsidRPr="00580154">
              <w:rPr>
                <w:rFonts w:cstheme="minorHAnsi"/>
                <w:b/>
                <w:szCs w:val="22"/>
              </w:rPr>
              <w:t>Page No.</w:t>
            </w:r>
          </w:p>
        </w:tc>
      </w:tr>
      <w:tr w:rsidR="000B0CE4" w:rsidRPr="00987A19" w14:paraId="0FEF3F07" w14:textId="77777777" w:rsidTr="004140B8">
        <w:tc>
          <w:tcPr>
            <w:tcW w:w="9128" w:type="dxa"/>
            <w:vAlign w:val="center"/>
          </w:tcPr>
          <w:p w14:paraId="20259494" w14:textId="77777777" w:rsidR="000B0CE4" w:rsidRPr="00580154" w:rsidRDefault="000B0CE4" w:rsidP="004140B8">
            <w:pPr>
              <w:spacing w:before="60" w:after="60" w:line="240" w:lineRule="auto"/>
              <w:rPr>
                <w:rFonts w:cstheme="minorHAnsi"/>
                <w:szCs w:val="22"/>
              </w:rPr>
            </w:pPr>
            <w:r w:rsidRPr="00580154">
              <w:rPr>
                <w:rFonts w:cstheme="minorHAnsi"/>
                <w:szCs w:val="22"/>
              </w:rPr>
              <w:t>TITLE PAGE</w:t>
            </w:r>
            <w:r w:rsidRPr="00580154">
              <w:rPr>
                <w:rFonts w:cstheme="minorHAnsi"/>
                <w:szCs w:val="22"/>
              </w:rPr>
              <w:tab/>
            </w:r>
          </w:p>
        </w:tc>
        <w:tc>
          <w:tcPr>
            <w:tcW w:w="1291" w:type="dxa"/>
            <w:vAlign w:val="center"/>
          </w:tcPr>
          <w:p w14:paraId="5CC1BFFD" w14:textId="77777777" w:rsidR="000B0CE4" w:rsidRPr="00580154" w:rsidRDefault="000B0CE4" w:rsidP="004140B8">
            <w:pPr>
              <w:spacing w:before="60" w:after="60" w:line="240" w:lineRule="auto"/>
              <w:rPr>
                <w:rFonts w:cstheme="minorHAnsi"/>
                <w:szCs w:val="22"/>
              </w:rPr>
            </w:pPr>
            <w:r>
              <w:rPr>
                <w:rFonts w:cstheme="minorHAnsi"/>
                <w:szCs w:val="22"/>
              </w:rPr>
              <w:t>1</w:t>
            </w:r>
          </w:p>
        </w:tc>
      </w:tr>
      <w:tr w:rsidR="000B0CE4" w:rsidRPr="00987A19" w14:paraId="18F47F0D" w14:textId="77777777" w:rsidTr="004140B8">
        <w:tc>
          <w:tcPr>
            <w:tcW w:w="9128" w:type="dxa"/>
            <w:vAlign w:val="center"/>
          </w:tcPr>
          <w:p w14:paraId="6851BB85" w14:textId="77777777" w:rsidR="000B0CE4" w:rsidRPr="00580154" w:rsidRDefault="000B0CE4" w:rsidP="004140B8">
            <w:pPr>
              <w:spacing w:before="60" w:after="60" w:line="240" w:lineRule="auto"/>
              <w:rPr>
                <w:rFonts w:cstheme="minorHAnsi"/>
                <w:szCs w:val="22"/>
              </w:rPr>
            </w:pPr>
            <w:r w:rsidRPr="00580154">
              <w:rPr>
                <w:rFonts w:cstheme="minorHAnsi"/>
                <w:szCs w:val="22"/>
              </w:rPr>
              <w:t>RESEARCH REFERENCE NUMBERS</w:t>
            </w:r>
            <w:r w:rsidRPr="00580154">
              <w:rPr>
                <w:rFonts w:cstheme="minorHAnsi"/>
                <w:szCs w:val="22"/>
              </w:rPr>
              <w:tab/>
            </w:r>
          </w:p>
        </w:tc>
        <w:tc>
          <w:tcPr>
            <w:tcW w:w="1291" w:type="dxa"/>
            <w:vAlign w:val="center"/>
          </w:tcPr>
          <w:p w14:paraId="2293BE33" w14:textId="77777777" w:rsidR="000B0CE4" w:rsidRPr="00580154" w:rsidRDefault="000B0CE4" w:rsidP="004140B8">
            <w:pPr>
              <w:spacing w:before="60" w:after="60" w:line="240" w:lineRule="auto"/>
              <w:rPr>
                <w:rFonts w:cstheme="minorHAnsi"/>
                <w:szCs w:val="22"/>
              </w:rPr>
            </w:pPr>
            <w:r>
              <w:rPr>
                <w:rFonts w:cstheme="minorHAnsi"/>
                <w:szCs w:val="22"/>
              </w:rPr>
              <w:t>1</w:t>
            </w:r>
          </w:p>
        </w:tc>
      </w:tr>
      <w:tr w:rsidR="000B0CE4" w:rsidRPr="00987A19" w14:paraId="71AD0330" w14:textId="77777777" w:rsidTr="004140B8">
        <w:tc>
          <w:tcPr>
            <w:tcW w:w="9128" w:type="dxa"/>
            <w:vAlign w:val="center"/>
          </w:tcPr>
          <w:p w14:paraId="76BAC500" w14:textId="77777777" w:rsidR="000B0CE4" w:rsidRPr="00580154" w:rsidRDefault="000B0CE4" w:rsidP="004140B8">
            <w:pPr>
              <w:spacing w:before="60" w:after="60" w:line="240" w:lineRule="auto"/>
              <w:rPr>
                <w:rFonts w:cstheme="minorHAnsi"/>
                <w:szCs w:val="22"/>
              </w:rPr>
            </w:pPr>
            <w:r w:rsidRPr="00580154">
              <w:rPr>
                <w:rFonts w:cstheme="minorHAnsi"/>
                <w:szCs w:val="22"/>
              </w:rPr>
              <w:t>LIST OF CONTENTS</w:t>
            </w:r>
            <w:r w:rsidRPr="00580154">
              <w:rPr>
                <w:rFonts w:cstheme="minorHAnsi"/>
                <w:szCs w:val="22"/>
              </w:rPr>
              <w:tab/>
            </w:r>
          </w:p>
        </w:tc>
        <w:tc>
          <w:tcPr>
            <w:tcW w:w="1291" w:type="dxa"/>
            <w:vAlign w:val="center"/>
          </w:tcPr>
          <w:p w14:paraId="76248270" w14:textId="77777777" w:rsidR="000B0CE4" w:rsidRPr="00580154" w:rsidRDefault="000B0CE4" w:rsidP="004140B8">
            <w:pPr>
              <w:spacing w:before="60" w:after="60" w:line="240" w:lineRule="auto"/>
              <w:rPr>
                <w:rFonts w:cstheme="minorHAnsi"/>
                <w:szCs w:val="22"/>
              </w:rPr>
            </w:pPr>
            <w:r>
              <w:rPr>
                <w:rFonts w:cstheme="minorHAnsi"/>
                <w:szCs w:val="22"/>
              </w:rPr>
              <w:t>2</w:t>
            </w:r>
          </w:p>
        </w:tc>
      </w:tr>
      <w:tr w:rsidR="000B0CE4" w:rsidRPr="00987A19" w14:paraId="4636F4A0" w14:textId="77777777" w:rsidTr="004140B8">
        <w:tc>
          <w:tcPr>
            <w:tcW w:w="9128" w:type="dxa"/>
            <w:vAlign w:val="center"/>
          </w:tcPr>
          <w:p w14:paraId="1560360F" w14:textId="77777777" w:rsidR="000B0CE4" w:rsidRPr="00580154" w:rsidRDefault="000B0CE4" w:rsidP="004140B8">
            <w:pPr>
              <w:spacing w:before="60" w:after="60" w:line="240" w:lineRule="auto"/>
              <w:rPr>
                <w:rFonts w:cstheme="minorHAnsi"/>
                <w:szCs w:val="22"/>
              </w:rPr>
            </w:pPr>
            <w:r>
              <w:rPr>
                <w:rFonts w:cstheme="minorHAnsi"/>
                <w:szCs w:val="22"/>
              </w:rPr>
              <w:t xml:space="preserve">A: </w:t>
            </w:r>
            <w:r w:rsidRPr="00580154">
              <w:rPr>
                <w:rFonts w:cstheme="minorHAnsi"/>
                <w:szCs w:val="22"/>
              </w:rPr>
              <w:t>KEY STUDY CONTACTS</w:t>
            </w:r>
            <w:r>
              <w:rPr>
                <w:rFonts w:cstheme="minorHAnsi"/>
                <w:szCs w:val="22"/>
              </w:rPr>
              <w:t xml:space="preserve"> &amp; </w:t>
            </w:r>
            <w:r w:rsidRPr="00580154">
              <w:rPr>
                <w:rFonts w:cstheme="minorHAnsi"/>
                <w:szCs w:val="22"/>
              </w:rPr>
              <w:t>ROLES &amp; RESPONSIBILITIES</w:t>
            </w:r>
          </w:p>
        </w:tc>
        <w:tc>
          <w:tcPr>
            <w:tcW w:w="1291" w:type="dxa"/>
            <w:vAlign w:val="center"/>
          </w:tcPr>
          <w:p w14:paraId="2706AD66" w14:textId="77777777" w:rsidR="000B0CE4" w:rsidRPr="00580154" w:rsidRDefault="000B0CE4" w:rsidP="004140B8">
            <w:pPr>
              <w:spacing w:before="60" w:after="60" w:line="240" w:lineRule="auto"/>
              <w:rPr>
                <w:rFonts w:cstheme="minorHAnsi"/>
                <w:szCs w:val="22"/>
              </w:rPr>
            </w:pPr>
            <w:r>
              <w:rPr>
                <w:rFonts w:cstheme="minorHAnsi"/>
                <w:szCs w:val="22"/>
              </w:rPr>
              <w:t>3</w:t>
            </w:r>
          </w:p>
        </w:tc>
      </w:tr>
      <w:tr w:rsidR="000B0CE4" w:rsidRPr="00987A19" w14:paraId="43DFAB68" w14:textId="77777777" w:rsidTr="004140B8">
        <w:tc>
          <w:tcPr>
            <w:tcW w:w="9128" w:type="dxa"/>
            <w:vAlign w:val="center"/>
          </w:tcPr>
          <w:p w14:paraId="45537E68" w14:textId="77777777" w:rsidR="000B0CE4" w:rsidRPr="00580154" w:rsidRDefault="000B0CE4" w:rsidP="004140B8">
            <w:pPr>
              <w:spacing w:before="60" w:after="60" w:line="240" w:lineRule="auto"/>
              <w:rPr>
                <w:rFonts w:cstheme="minorHAnsi"/>
                <w:szCs w:val="22"/>
              </w:rPr>
            </w:pPr>
            <w:r>
              <w:rPr>
                <w:rFonts w:cstheme="minorHAnsi"/>
                <w:szCs w:val="22"/>
              </w:rPr>
              <w:t xml:space="preserve">B: STUDY SETTING </w:t>
            </w:r>
            <w:r w:rsidRPr="00580154">
              <w:rPr>
                <w:rFonts w:cstheme="minorHAnsi"/>
                <w:szCs w:val="22"/>
              </w:rPr>
              <w:tab/>
            </w:r>
          </w:p>
        </w:tc>
        <w:tc>
          <w:tcPr>
            <w:tcW w:w="1291" w:type="dxa"/>
            <w:vAlign w:val="center"/>
          </w:tcPr>
          <w:p w14:paraId="2F254548" w14:textId="4D5347DD" w:rsidR="000B0CE4" w:rsidRPr="00580154" w:rsidRDefault="005D0F2E" w:rsidP="004140B8">
            <w:pPr>
              <w:spacing w:before="60" w:after="60" w:line="240" w:lineRule="auto"/>
              <w:rPr>
                <w:rFonts w:cstheme="minorHAnsi"/>
                <w:szCs w:val="22"/>
              </w:rPr>
            </w:pPr>
            <w:r>
              <w:rPr>
                <w:rFonts w:cstheme="minorHAnsi"/>
                <w:szCs w:val="22"/>
              </w:rPr>
              <w:t>4</w:t>
            </w:r>
          </w:p>
        </w:tc>
      </w:tr>
      <w:tr w:rsidR="000B0CE4" w:rsidRPr="00987A19" w14:paraId="6AF7E2B3" w14:textId="77777777" w:rsidTr="004140B8">
        <w:tc>
          <w:tcPr>
            <w:tcW w:w="9128" w:type="dxa"/>
            <w:vAlign w:val="center"/>
          </w:tcPr>
          <w:p w14:paraId="76BF7CDC" w14:textId="77777777" w:rsidR="000B0CE4" w:rsidRDefault="000B0CE4" w:rsidP="004140B8">
            <w:pPr>
              <w:spacing w:before="60" w:after="60" w:line="240" w:lineRule="auto"/>
              <w:rPr>
                <w:rFonts w:cstheme="minorHAnsi"/>
                <w:szCs w:val="22"/>
              </w:rPr>
            </w:pPr>
            <w:r>
              <w:rPr>
                <w:rFonts w:cstheme="minorHAnsi"/>
                <w:szCs w:val="22"/>
              </w:rPr>
              <w:t>C: STUDY DESCRIPTION</w:t>
            </w:r>
          </w:p>
        </w:tc>
        <w:tc>
          <w:tcPr>
            <w:tcW w:w="1291" w:type="dxa"/>
            <w:vAlign w:val="center"/>
          </w:tcPr>
          <w:p w14:paraId="2B25FA16" w14:textId="7D26D6F4" w:rsidR="000B0CE4" w:rsidRPr="00580154" w:rsidRDefault="005D0F2E" w:rsidP="004140B8">
            <w:pPr>
              <w:spacing w:before="60" w:after="60" w:line="240" w:lineRule="auto"/>
              <w:rPr>
                <w:rFonts w:cstheme="minorHAnsi"/>
                <w:szCs w:val="22"/>
              </w:rPr>
            </w:pPr>
            <w:r>
              <w:rPr>
                <w:rFonts w:cstheme="minorHAnsi"/>
                <w:szCs w:val="22"/>
              </w:rPr>
              <w:t>4</w:t>
            </w:r>
          </w:p>
        </w:tc>
      </w:tr>
      <w:tr w:rsidR="000B0CE4" w:rsidRPr="00987A19" w14:paraId="45222195" w14:textId="77777777" w:rsidTr="004140B8">
        <w:tc>
          <w:tcPr>
            <w:tcW w:w="9128" w:type="dxa"/>
            <w:vAlign w:val="center"/>
          </w:tcPr>
          <w:p w14:paraId="42C0DC85" w14:textId="77777777" w:rsidR="000B0CE4" w:rsidRPr="00580154" w:rsidRDefault="000B0CE4" w:rsidP="004140B8">
            <w:pPr>
              <w:spacing w:before="60" w:after="60" w:line="240" w:lineRule="auto"/>
              <w:rPr>
                <w:rFonts w:cstheme="minorHAnsi"/>
                <w:szCs w:val="22"/>
              </w:rPr>
            </w:pPr>
            <w:r>
              <w:rPr>
                <w:rFonts w:cstheme="minorHAnsi"/>
                <w:szCs w:val="22"/>
              </w:rPr>
              <w:t>D: METHOD</w:t>
            </w:r>
            <w:r w:rsidRPr="00580154">
              <w:rPr>
                <w:rFonts w:cstheme="minorHAnsi"/>
                <w:szCs w:val="22"/>
              </w:rPr>
              <w:tab/>
            </w:r>
          </w:p>
        </w:tc>
        <w:tc>
          <w:tcPr>
            <w:tcW w:w="1291" w:type="dxa"/>
            <w:vAlign w:val="center"/>
          </w:tcPr>
          <w:p w14:paraId="7BD8BEF1" w14:textId="36832231" w:rsidR="000B0CE4" w:rsidRPr="00580154" w:rsidRDefault="00663C0E" w:rsidP="004140B8">
            <w:pPr>
              <w:spacing w:before="60" w:after="60" w:line="240" w:lineRule="auto"/>
              <w:rPr>
                <w:rFonts w:cstheme="minorHAnsi"/>
                <w:szCs w:val="22"/>
              </w:rPr>
            </w:pPr>
            <w:r>
              <w:rPr>
                <w:rFonts w:cstheme="minorHAnsi"/>
                <w:szCs w:val="22"/>
              </w:rPr>
              <w:t>7</w:t>
            </w:r>
          </w:p>
        </w:tc>
      </w:tr>
      <w:tr w:rsidR="000B0CE4" w:rsidRPr="00987A19" w14:paraId="5CC17445" w14:textId="77777777" w:rsidTr="004140B8">
        <w:tc>
          <w:tcPr>
            <w:tcW w:w="9128" w:type="dxa"/>
            <w:vAlign w:val="center"/>
          </w:tcPr>
          <w:p w14:paraId="496F18AF" w14:textId="77777777" w:rsidR="000B0CE4" w:rsidRPr="00580154" w:rsidRDefault="000B0CE4" w:rsidP="004140B8">
            <w:pPr>
              <w:spacing w:before="60" w:after="60" w:line="240" w:lineRule="auto"/>
              <w:rPr>
                <w:rFonts w:cstheme="minorHAnsi"/>
                <w:szCs w:val="22"/>
              </w:rPr>
            </w:pPr>
            <w:r>
              <w:rPr>
                <w:rFonts w:cstheme="minorHAnsi"/>
                <w:szCs w:val="22"/>
              </w:rPr>
              <w:t>E</w:t>
            </w:r>
            <w:r w:rsidRPr="00580154">
              <w:rPr>
                <w:rFonts w:cstheme="minorHAnsi"/>
                <w:szCs w:val="22"/>
              </w:rPr>
              <w:t xml:space="preserve">. </w:t>
            </w:r>
            <w:r>
              <w:rPr>
                <w:rFonts w:cstheme="minorHAnsi"/>
                <w:szCs w:val="22"/>
              </w:rPr>
              <w:t>PROJECT STRUCTURE</w:t>
            </w:r>
            <w:r w:rsidRPr="00580154">
              <w:rPr>
                <w:rFonts w:cstheme="minorHAnsi"/>
                <w:szCs w:val="22"/>
              </w:rPr>
              <w:tab/>
            </w:r>
          </w:p>
        </w:tc>
        <w:tc>
          <w:tcPr>
            <w:tcW w:w="1291" w:type="dxa"/>
            <w:vAlign w:val="center"/>
          </w:tcPr>
          <w:p w14:paraId="4612DD52" w14:textId="574CA984" w:rsidR="000B0CE4" w:rsidRPr="00580154" w:rsidRDefault="00881061" w:rsidP="004140B8">
            <w:pPr>
              <w:spacing w:before="60" w:after="60" w:line="240" w:lineRule="auto"/>
              <w:rPr>
                <w:szCs w:val="22"/>
              </w:rPr>
            </w:pPr>
            <w:r>
              <w:rPr>
                <w:szCs w:val="22"/>
              </w:rPr>
              <w:t>9</w:t>
            </w:r>
          </w:p>
        </w:tc>
      </w:tr>
      <w:tr w:rsidR="000B0CE4" w:rsidRPr="00987A19" w14:paraId="27ED176E" w14:textId="77777777" w:rsidTr="004140B8">
        <w:tc>
          <w:tcPr>
            <w:tcW w:w="9128" w:type="dxa"/>
            <w:vAlign w:val="center"/>
          </w:tcPr>
          <w:p w14:paraId="049660F9" w14:textId="77777777" w:rsidR="000B0CE4" w:rsidRPr="00580154" w:rsidRDefault="000B0CE4" w:rsidP="004140B8">
            <w:pPr>
              <w:spacing w:before="60" w:after="60" w:line="240" w:lineRule="auto"/>
              <w:rPr>
                <w:rFonts w:cstheme="minorHAnsi"/>
                <w:szCs w:val="22"/>
              </w:rPr>
            </w:pPr>
            <w:r>
              <w:rPr>
                <w:rFonts w:cstheme="minorHAnsi"/>
                <w:szCs w:val="22"/>
              </w:rPr>
              <w:t>F</w:t>
            </w:r>
            <w:r w:rsidRPr="00580154">
              <w:rPr>
                <w:rFonts w:cstheme="minorHAnsi"/>
                <w:szCs w:val="22"/>
              </w:rPr>
              <w:t xml:space="preserve">. </w:t>
            </w:r>
            <w:r>
              <w:rPr>
                <w:rFonts w:cstheme="minorHAnsi"/>
                <w:szCs w:val="22"/>
              </w:rPr>
              <w:t>ACTIVITY DETAIL</w:t>
            </w:r>
          </w:p>
        </w:tc>
        <w:tc>
          <w:tcPr>
            <w:tcW w:w="1291" w:type="dxa"/>
            <w:vAlign w:val="center"/>
          </w:tcPr>
          <w:p w14:paraId="1812E522" w14:textId="50785058" w:rsidR="000B0CE4" w:rsidRPr="00580154" w:rsidRDefault="00881061" w:rsidP="004140B8">
            <w:pPr>
              <w:spacing w:before="60" w:after="60" w:line="240" w:lineRule="auto"/>
              <w:rPr>
                <w:szCs w:val="22"/>
              </w:rPr>
            </w:pPr>
            <w:r>
              <w:rPr>
                <w:szCs w:val="22"/>
              </w:rPr>
              <w:t>10</w:t>
            </w:r>
          </w:p>
        </w:tc>
      </w:tr>
      <w:tr w:rsidR="000B0CE4" w:rsidRPr="00987A19" w14:paraId="28E303B9" w14:textId="77777777" w:rsidTr="004140B8">
        <w:tc>
          <w:tcPr>
            <w:tcW w:w="9128" w:type="dxa"/>
            <w:vAlign w:val="center"/>
          </w:tcPr>
          <w:p w14:paraId="4DA894C7" w14:textId="77777777" w:rsidR="000B0CE4" w:rsidRPr="00580154" w:rsidRDefault="000B0CE4" w:rsidP="004140B8">
            <w:pPr>
              <w:spacing w:before="60" w:after="60" w:line="240" w:lineRule="auto"/>
              <w:rPr>
                <w:rFonts w:cstheme="minorHAnsi"/>
                <w:szCs w:val="22"/>
              </w:rPr>
            </w:pPr>
            <w:r>
              <w:rPr>
                <w:rFonts w:cstheme="minorHAnsi"/>
                <w:szCs w:val="22"/>
              </w:rPr>
              <w:t>G</w:t>
            </w:r>
            <w:r w:rsidRPr="00580154">
              <w:rPr>
                <w:rFonts w:cstheme="minorHAnsi"/>
                <w:szCs w:val="22"/>
              </w:rPr>
              <w:t xml:space="preserve">. </w:t>
            </w:r>
            <w:r>
              <w:rPr>
                <w:rFonts w:cstheme="minorHAnsi"/>
                <w:szCs w:val="22"/>
              </w:rPr>
              <w:t>STUDY PHASES</w:t>
            </w:r>
            <w:r w:rsidRPr="00580154">
              <w:rPr>
                <w:rFonts w:cstheme="minorHAnsi"/>
                <w:szCs w:val="22"/>
              </w:rPr>
              <w:t xml:space="preserve"> </w:t>
            </w:r>
          </w:p>
        </w:tc>
        <w:tc>
          <w:tcPr>
            <w:tcW w:w="1291" w:type="dxa"/>
            <w:vAlign w:val="center"/>
          </w:tcPr>
          <w:p w14:paraId="57606A83" w14:textId="7E4489C0" w:rsidR="000B0CE4" w:rsidRPr="00580154" w:rsidRDefault="00881061" w:rsidP="004140B8">
            <w:pPr>
              <w:spacing w:before="60" w:after="60" w:line="240" w:lineRule="auto"/>
              <w:rPr>
                <w:szCs w:val="22"/>
              </w:rPr>
            </w:pPr>
            <w:r>
              <w:rPr>
                <w:szCs w:val="22"/>
              </w:rPr>
              <w:t>10</w:t>
            </w:r>
          </w:p>
        </w:tc>
      </w:tr>
      <w:tr w:rsidR="000B0CE4" w:rsidRPr="00987A19" w14:paraId="174E6FC9" w14:textId="77777777" w:rsidTr="004140B8">
        <w:tc>
          <w:tcPr>
            <w:tcW w:w="9128" w:type="dxa"/>
            <w:vAlign w:val="center"/>
          </w:tcPr>
          <w:p w14:paraId="2812ABC5" w14:textId="77777777" w:rsidR="000B0CE4" w:rsidRPr="00580154" w:rsidRDefault="000B0CE4" w:rsidP="004140B8">
            <w:pPr>
              <w:spacing w:before="60" w:after="60" w:line="240" w:lineRule="auto"/>
              <w:rPr>
                <w:rFonts w:cstheme="minorHAnsi"/>
                <w:szCs w:val="22"/>
              </w:rPr>
            </w:pPr>
            <w:r>
              <w:rPr>
                <w:rFonts w:cstheme="minorHAnsi"/>
                <w:szCs w:val="22"/>
              </w:rPr>
              <w:t>H</w:t>
            </w:r>
            <w:r w:rsidRPr="00580154">
              <w:rPr>
                <w:rFonts w:cstheme="minorHAnsi"/>
                <w:szCs w:val="22"/>
              </w:rPr>
              <w:t xml:space="preserve">. </w:t>
            </w:r>
            <w:r>
              <w:rPr>
                <w:rFonts w:cstheme="minorHAnsi"/>
                <w:szCs w:val="22"/>
              </w:rPr>
              <w:t>MEASUREMENT</w:t>
            </w:r>
          </w:p>
        </w:tc>
        <w:tc>
          <w:tcPr>
            <w:tcW w:w="1291" w:type="dxa"/>
            <w:vAlign w:val="center"/>
          </w:tcPr>
          <w:p w14:paraId="6F547D0E" w14:textId="1E713CE8" w:rsidR="000B0CE4" w:rsidRPr="00580154" w:rsidRDefault="000B0CE4" w:rsidP="004140B8">
            <w:pPr>
              <w:spacing w:before="60" w:after="60" w:line="240" w:lineRule="auto"/>
              <w:rPr>
                <w:szCs w:val="22"/>
              </w:rPr>
            </w:pPr>
            <w:r>
              <w:rPr>
                <w:szCs w:val="22"/>
              </w:rPr>
              <w:t>1</w:t>
            </w:r>
            <w:r w:rsidR="00881061">
              <w:rPr>
                <w:szCs w:val="22"/>
              </w:rPr>
              <w:t>4</w:t>
            </w:r>
          </w:p>
        </w:tc>
      </w:tr>
      <w:tr w:rsidR="000B0CE4" w:rsidRPr="00987A19" w14:paraId="4CDC34F6" w14:textId="77777777" w:rsidTr="004140B8">
        <w:tc>
          <w:tcPr>
            <w:tcW w:w="9128" w:type="dxa"/>
            <w:vAlign w:val="center"/>
          </w:tcPr>
          <w:p w14:paraId="37232280" w14:textId="77777777" w:rsidR="000B0CE4" w:rsidRPr="00580154" w:rsidRDefault="000B0CE4" w:rsidP="004140B8">
            <w:pPr>
              <w:spacing w:before="60" w:after="60" w:line="240" w:lineRule="auto"/>
              <w:rPr>
                <w:rFonts w:cstheme="minorHAnsi"/>
                <w:szCs w:val="22"/>
              </w:rPr>
            </w:pPr>
            <w:r>
              <w:rPr>
                <w:rFonts w:cstheme="minorHAnsi"/>
                <w:szCs w:val="22"/>
              </w:rPr>
              <w:t>I</w:t>
            </w:r>
            <w:r w:rsidRPr="00580154">
              <w:rPr>
                <w:rFonts w:cstheme="minorHAnsi"/>
                <w:szCs w:val="22"/>
              </w:rPr>
              <w:t>. SAMPLE AND RECRUITMENT</w:t>
            </w:r>
          </w:p>
        </w:tc>
        <w:tc>
          <w:tcPr>
            <w:tcW w:w="1291" w:type="dxa"/>
            <w:vAlign w:val="center"/>
          </w:tcPr>
          <w:p w14:paraId="59EF4FFB" w14:textId="4F092FD3" w:rsidR="000B0CE4" w:rsidRPr="00580154" w:rsidRDefault="000B0CE4" w:rsidP="004140B8">
            <w:pPr>
              <w:spacing w:before="60" w:after="60" w:line="240" w:lineRule="auto"/>
              <w:rPr>
                <w:szCs w:val="22"/>
              </w:rPr>
            </w:pPr>
            <w:r>
              <w:rPr>
                <w:szCs w:val="22"/>
              </w:rPr>
              <w:t>1</w:t>
            </w:r>
            <w:r w:rsidR="00881061">
              <w:rPr>
                <w:szCs w:val="22"/>
              </w:rPr>
              <w:t>5</w:t>
            </w:r>
          </w:p>
        </w:tc>
      </w:tr>
      <w:tr w:rsidR="000B0CE4" w:rsidRPr="00987A19" w14:paraId="23C67B53" w14:textId="77777777" w:rsidTr="004140B8">
        <w:tc>
          <w:tcPr>
            <w:tcW w:w="9128" w:type="dxa"/>
            <w:vAlign w:val="center"/>
          </w:tcPr>
          <w:p w14:paraId="36E8A6F9" w14:textId="77777777" w:rsidR="000B0CE4" w:rsidRPr="00580154" w:rsidRDefault="000B0CE4" w:rsidP="004140B8">
            <w:pPr>
              <w:spacing w:before="60" w:after="60" w:line="240" w:lineRule="auto"/>
              <w:rPr>
                <w:rFonts w:cstheme="minorHAnsi"/>
                <w:szCs w:val="22"/>
              </w:rPr>
            </w:pPr>
            <w:r>
              <w:rPr>
                <w:rFonts w:cstheme="minorHAnsi"/>
                <w:szCs w:val="22"/>
              </w:rPr>
              <w:t>J</w:t>
            </w:r>
            <w:r w:rsidRPr="00580154">
              <w:rPr>
                <w:rFonts w:cstheme="minorHAnsi"/>
                <w:szCs w:val="22"/>
              </w:rPr>
              <w:t xml:space="preserve">. </w:t>
            </w:r>
            <w:r>
              <w:rPr>
                <w:rFonts w:cstheme="minorHAnsi"/>
                <w:szCs w:val="22"/>
              </w:rPr>
              <w:t>RESPONSIVENESS TO MAORI</w:t>
            </w:r>
          </w:p>
        </w:tc>
        <w:tc>
          <w:tcPr>
            <w:tcW w:w="1291" w:type="dxa"/>
            <w:vAlign w:val="center"/>
          </w:tcPr>
          <w:p w14:paraId="165A5DA0" w14:textId="7B05F22F" w:rsidR="000B0CE4" w:rsidRPr="00580154" w:rsidRDefault="000B0CE4" w:rsidP="004140B8">
            <w:pPr>
              <w:spacing w:before="60" w:after="60" w:line="240" w:lineRule="auto"/>
              <w:rPr>
                <w:szCs w:val="22"/>
              </w:rPr>
            </w:pPr>
            <w:r>
              <w:rPr>
                <w:szCs w:val="22"/>
              </w:rPr>
              <w:t>1</w:t>
            </w:r>
            <w:r w:rsidR="00881061">
              <w:rPr>
                <w:szCs w:val="22"/>
              </w:rPr>
              <w:t>6</w:t>
            </w:r>
          </w:p>
        </w:tc>
      </w:tr>
      <w:tr w:rsidR="000B0CE4" w:rsidRPr="00987A19" w14:paraId="5E6B9961" w14:textId="77777777" w:rsidTr="004140B8">
        <w:tc>
          <w:tcPr>
            <w:tcW w:w="9128" w:type="dxa"/>
            <w:vAlign w:val="center"/>
          </w:tcPr>
          <w:p w14:paraId="1075DB79" w14:textId="77777777" w:rsidR="000B0CE4" w:rsidRPr="00580154" w:rsidRDefault="000B0CE4" w:rsidP="004140B8">
            <w:pPr>
              <w:spacing w:before="60" w:after="60" w:line="240" w:lineRule="auto"/>
              <w:rPr>
                <w:rFonts w:cstheme="minorHAnsi"/>
                <w:szCs w:val="22"/>
              </w:rPr>
            </w:pPr>
            <w:r>
              <w:rPr>
                <w:rFonts w:cstheme="minorHAnsi"/>
                <w:szCs w:val="22"/>
              </w:rPr>
              <w:t>K</w:t>
            </w:r>
            <w:r w:rsidRPr="00580154">
              <w:rPr>
                <w:rFonts w:cstheme="minorHAnsi"/>
                <w:szCs w:val="22"/>
              </w:rPr>
              <w:t xml:space="preserve">. </w:t>
            </w:r>
            <w:r>
              <w:rPr>
                <w:rFonts w:cstheme="minorHAnsi"/>
                <w:szCs w:val="22"/>
              </w:rPr>
              <w:t>ETHICAL CONSIDERATIONS</w:t>
            </w:r>
          </w:p>
        </w:tc>
        <w:tc>
          <w:tcPr>
            <w:tcW w:w="1291" w:type="dxa"/>
            <w:vAlign w:val="center"/>
          </w:tcPr>
          <w:p w14:paraId="14716CE7" w14:textId="7309058A" w:rsidR="000B0CE4" w:rsidRPr="00580154" w:rsidRDefault="000B0CE4" w:rsidP="004140B8">
            <w:pPr>
              <w:spacing w:before="60" w:after="60" w:line="240" w:lineRule="auto"/>
              <w:rPr>
                <w:szCs w:val="22"/>
              </w:rPr>
            </w:pPr>
            <w:r>
              <w:rPr>
                <w:szCs w:val="22"/>
              </w:rPr>
              <w:t>1</w:t>
            </w:r>
            <w:r w:rsidR="00881061">
              <w:rPr>
                <w:szCs w:val="22"/>
              </w:rPr>
              <w:t>6</w:t>
            </w:r>
          </w:p>
        </w:tc>
      </w:tr>
      <w:tr w:rsidR="000B0CE4" w:rsidRPr="00987A19" w14:paraId="0AAF0705" w14:textId="77777777" w:rsidTr="004140B8">
        <w:tc>
          <w:tcPr>
            <w:tcW w:w="9128" w:type="dxa"/>
            <w:vAlign w:val="center"/>
          </w:tcPr>
          <w:p w14:paraId="60E818AB" w14:textId="77777777" w:rsidR="000B0CE4" w:rsidRPr="00580154" w:rsidRDefault="000B0CE4" w:rsidP="004140B8">
            <w:pPr>
              <w:spacing w:before="60" w:after="60" w:line="240" w:lineRule="auto"/>
              <w:rPr>
                <w:rFonts w:cstheme="minorHAnsi"/>
                <w:szCs w:val="22"/>
              </w:rPr>
            </w:pPr>
            <w:r>
              <w:rPr>
                <w:rFonts w:cstheme="minorHAnsi"/>
                <w:szCs w:val="22"/>
              </w:rPr>
              <w:t>L</w:t>
            </w:r>
            <w:r w:rsidRPr="00580154">
              <w:rPr>
                <w:rFonts w:cstheme="minorHAnsi"/>
                <w:szCs w:val="22"/>
              </w:rPr>
              <w:t xml:space="preserve">. </w:t>
            </w:r>
            <w:r>
              <w:rPr>
                <w:rFonts w:cstheme="minorHAnsi"/>
                <w:szCs w:val="22"/>
              </w:rPr>
              <w:t>RISK AND BENEFIT</w:t>
            </w:r>
          </w:p>
        </w:tc>
        <w:tc>
          <w:tcPr>
            <w:tcW w:w="1291" w:type="dxa"/>
            <w:vAlign w:val="center"/>
          </w:tcPr>
          <w:p w14:paraId="430750AE" w14:textId="29D09082" w:rsidR="000B0CE4" w:rsidRPr="00580154" w:rsidRDefault="000B0CE4" w:rsidP="004140B8">
            <w:pPr>
              <w:spacing w:before="60" w:after="60" w:line="240" w:lineRule="auto"/>
              <w:rPr>
                <w:szCs w:val="22"/>
              </w:rPr>
            </w:pPr>
            <w:r>
              <w:rPr>
                <w:szCs w:val="22"/>
              </w:rPr>
              <w:t>1</w:t>
            </w:r>
            <w:r w:rsidR="00881061">
              <w:rPr>
                <w:szCs w:val="22"/>
              </w:rPr>
              <w:t>8</w:t>
            </w:r>
          </w:p>
        </w:tc>
      </w:tr>
      <w:tr w:rsidR="000B0CE4" w:rsidRPr="00987A19" w14:paraId="25A6FFF9" w14:textId="77777777" w:rsidTr="004140B8">
        <w:tc>
          <w:tcPr>
            <w:tcW w:w="9128" w:type="dxa"/>
            <w:vAlign w:val="center"/>
          </w:tcPr>
          <w:p w14:paraId="77ACFC31" w14:textId="77777777" w:rsidR="000B0CE4" w:rsidRPr="00580154" w:rsidRDefault="000B0CE4" w:rsidP="004140B8">
            <w:pPr>
              <w:spacing w:before="60" w:after="60" w:line="240" w:lineRule="auto"/>
              <w:rPr>
                <w:rFonts w:cstheme="minorHAnsi"/>
                <w:szCs w:val="22"/>
              </w:rPr>
            </w:pPr>
            <w:r>
              <w:rPr>
                <w:rFonts w:cstheme="minorHAnsi"/>
                <w:szCs w:val="22"/>
              </w:rPr>
              <w:t>M</w:t>
            </w:r>
            <w:r w:rsidRPr="00580154">
              <w:rPr>
                <w:rFonts w:cstheme="minorHAnsi"/>
                <w:szCs w:val="22"/>
              </w:rPr>
              <w:t xml:space="preserve">. </w:t>
            </w:r>
            <w:r>
              <w:rPr>
                <w:rFonts w:cstheme="minorHAnsi"/>
                <w:szCs w:val="22"/>
              </w:rPr>
              <w:t>DISSEMINATION</w:t>
            </w:r>
          </w:p>
        </w:tc>
        <w:tc>
          <w:tcPr>
            <w:tcW w:w="1291" w:type="dxa"/>
            <w:vAlign w:val="center"/>
          </w:tcPr>
          <w:p w14:paraId="4253D88A" w14:textId="7F8085BC" w:rsidR="000B0CE4" w:rsidRPr="00C975D7" w:rsidRDefault="00313005" w:rsidP="004140B8">
            <w:pPr>
              <w:spacing w:before="60" w:after="60" w:line="240" w:lineRule="auto"/>
              <w:rPr>
                <w:color w:val="FF0000"/>
                <w:szCs w:val="22"/>
              </w:rPr>
            </w:pPr>
            <w:r w:rsidRPr="00313005">
              <w:rPr>
                <w:szCs w:val="22"/>
              </w:rPr>
              <w:t>1</w:t>
            </w:r>
            <w:r w:rsidR="00881061">
              <w:rPr>
                <w:szCs w:val="22"/>
              </w:rPr>
              <w:t>9</w:t>
            </w:r>
          </w:p>
        </w:tc>
      </w:tr>
      <w:tr w:rsidR="00313005" w:rsidRPr="00987A19" w14:paraId="2A1A9CFE" w14:textId="77777777" w:rsidTr="004140B8">
        <w:tc>
          <w:tcPr>
            <w:tcW w:w="9128" w:type="dxa"/>
            <w:vAlign w:val="center"/>
          </w:tcPr>
          <w:p w14:paraId="3C853F56" w14:textId="7D3B321C" w:rsidR="00313005" w:rsidRDefault="00313005" w:rsidP="004140B8">
            <w:pPr>
              <w:spacing w:before="60" w:after="60" w:line="240" w:lineRule="auto"/>
              <w:rPr>
                <w:rFonts w:cstheme="minorHAnsi"/>
                <w:szCs w:val="22"/>
              </w:rPr>
            </w:pPr>
            <w:r>
              <w:rPr>
                <w:rFonts w:cstheme="minorHAnsi"/>
                <w:szCs w:val="22"/>
              </w:rPr>
              <w:t>N. SUPPORTING DOCUMENTS</w:t>
            </w:r>
          </w:p>
        </w:tc>
        <w:tc>
          <w:tcPr>
            <w:tcW w:w="1291" w:type="dxa"/>
            <w:vAlign w:val="center"/>
          </w:tcPr>
          <w:p w14:paraId="5EDB9CC8" w14:textId="4EB9490B" w:rsidR="00313005" w:rsidRPr="00C975D7" w:rsidRDefault="00313005" w:rsidP="004140B8">
            <w:pPr>
              <w:spacing w:before="60" w:after="60" w:line="240" w:lineRule="auto"/>
              <w:rPr>
                <w:color w:val="FF0000"/>
                <w:szCs w:val="22"/>
              </w:rPr>
            </w:pPr>
            <w:r w:rsidRPr="00313005">
              <w:rPr>
                <w:szCs w:val="22"/>
              </w:rPr>
              <w:t>1</w:t>
            </w:r>
            <w:r w:rsidR="00881061">
              <w:rPr>
                <w:szCs w:val="22"/>
              </w:rPr>
              <w:t>9</w:t>
            </w:r>
          </w:p>
        </w:tc>
      </w:tr>
      <w:tr w:rsidR="000B0CE4" w:rsidRPr="00987A19" w14:paraId="30A5C377" w14:textId="77777777" w:rsidTr="004140B8">
        <w:tc>
          <w:tcPr>
            <w:tcW w:w="9128" w:type="dxa"/>
            <w:vAlign w:val="center"/>
          </w:tcPr>
          <w:p w14:paraId="12B6C522" w14:textId="504AC1BB" w:rsidR="000B0CE4" w:rsidRPr="00580154" w:rsidRDefault="00313005" w:rsidP="004140B8">
            <w:pPr>
              <w:spacing w:before="60" w:after="60" w:line="240" w:lineRule="auto"/>
              <w:rPr>
                <w:rFonts w:cstheme="minorHAnsi"/>
                <w:szCs w:val="22"/>
              </w:rPr>
            </w:pPr>
            <w:r>
              <w:rPr>
                <w:rFonts w:cstheme="minorHAnsi"/>
                <w:szCs w:val="22"/>
              </w:rPr>
              <w:t>O</w:t>
            </w:r>
            <w:r w:rsidR="000B0CE4">
              <w:rPr>
                <w:rFonts w:cstheme="minorHAnsi"/>
                <w:szCs w:val="22"/>
              </w:rPr>
              <w:t>. REFERENCES</w:t>
            </w:r>
          </w:p>
        </w:tc>
        <w:tc>
          <w:tcPr>
            <w:tcW w:w="1291" w:type="dxa"/>
            <w:vAlign w:val="center"/>
          </w:tcPr>
          <w:p w14:paraId="08B55C62" w14:textId="1B85B381" w:rsidR="000B0CE4" w:rsidRPr="003A7099" w:rsidRDefault="003A7099" w:rsidP="004140B8">
            <w:pPr>
              <w:spacing w:before="60" w:after="60" w:line="240" w:lineRule="auto"/>
              <w:rPr>
                <w:szCs w:val="22"/>
              </w:rPr>
            </w:pPr>
            <w:r>
              <w:rPr>
                <w:szCs w:val="22"/>
              </w:rPr>
              <w:t>20</w:t>
            </w:r>
          </w:p>
        </w:tc>
      </w:tr>
    </w:tbl>
    <w:p w14:paraId="572103D5" w14:textId="77777777" w:rsidR="000B0CE4" w:rsidRDefault="000B0CE4">
      <w:pPr>
        <w:spacing w:after="0" w:line="240" w:lineRule="auto"/>
        <w:rPr>
          <w:rFonts w:eastAsiaTheme="majorEastAsia" w:cstheme="minorHAnsi"/>
          <w:b/>
          <w:bCs/>
          <w:color w:val="3B0083"/>
          <w:szCs w:val="22"/>
        </w:rPr>
      </w:pPr>
      <w:r>
        <w:rPr>
          <w:rFonts w:cstheme="minorHAnsi"/>
          <w:szCs w:val="22"/>
        </w:rPr>
        <w:br w:type="page"/>
      </w:r>
    </w:p>
    <w:p w14:paraId="289CD806" w14:textId="77777777" w:rsidR="000B0CE4" w:rsidRPr="00093582" w:rsidRDefault="000B0CE4" w:rsidP="00093582">
      <w:pPr>
        <w:pStyle w:val="Heading1"/>
        <w:spacing w:before="0" w:after="120"/>
        <w:rPr>
          <w:rFonts w:asciiTheme="minorHAnsi" w:hAnsiTheme="minorHAnsi" w:cstheme="minorHAnsi"/>
          <w:color w:val="auto"/>
          <w:sz w:val="22"/>
          <w:szCs w:val="22"/>
        </w:rPr>
      </w:pPr>
      <w:r w:rsidRPr="00EA3B87">
        <w:rPr>
          <w:rFonts w:asciiTheme="minorHAnsi" w:hAnsiTheme="minorHAnsi" w:cstheme="minorHAnsi"/>
          <w:color w:val="auto"/>
          <w:sz w:val="22"/>
          <w:szCs w:val="22"/>
        </w:rPr>
        <w:lastRenderedPageBreak/>
        <w:t>A: KEY STUDY CONTACTS</w:t>
      </w:r>
      <w:bookmarkEnd w:id="1"/>
    </w:p>
    <w:tbl>
      <w:tblPr>
        <w:tblStyle w:val="TableGrid"/>
        <w:tblW w:w="0" w:type="auto"/>
        <w:tblLook w:val="04A0" w:firstRow="1" w:lastRow="0" w:firstColumn="1" w:lastColumn="0" w:noHBand="0" w:noVBand="1"/>
      </w:tblPr>
      <w:tblGrid>
        <w:gridCol w:w="2830"/>
        <w:gridCol w:w="7132"/>
      </w:tblGrid>
      <w:tr w:rsidR="000B0CE4" w14:paraId="4DF3A2F7" w14:textId="77777777" w:rsidTr="004867E2">
        <w:tc>
          <w:tcPr>
            <w:tcW w:w="9962" w:type="dxa"/>
            <w:gridSpan w:val="2"/>
            <w:shd w:val="clear" w:color="auto" w:fill="F2F2F2" w:themeFill="background1" w:themeFillShade="F2"/>
            <w:vAlign w:val="center"/>
          </w:tcPr>
          <w:p w14:paraId="24182943" w14:textId="77777777" w:rsidR="000B0CE4" w:rsidRDefault="000B0CE4" w:rsidP="00F439F5">
            <w:pPr>
              <w:spacing w:before="120" w:line="240" w:lineRule="auto"/>
              <w:rPr>
                <w:rFonts w:cstheme="minorHAnsi"/>
                <w:szCs w:val="22"/>
              </w:rPr>
            </w:pPr>
            <w:r>
              <w:t>Project Leadership team (INVESTIGATORS)</w:t>
            </w:r>
          </w:p>
        </w:tc>
      </w:tr>
      <w:tr w:rsidR="000B0CE4" w14:paraId="37FE5217" w14:textId="77777777" w:rsidTr="004D179B">
        <w:trPr>
          <w:trHeight w:val="382"/>
        </w:trPr>
        <w:tc>
          <w:tcPr>
            <w:tcW w:w="2830" w:type="dxa"/>
            <w:shd w:val="clear" w:color="auto" w:fill="F2F2F2" w:themeFill="background1" w:themeFillShade="F2"/>
            <w:vAlign w:val="center"/>
          </w:tcPr>
          <w:p w14:paraId="16BFBD58" w14:textId="77777777" w:rsidR="000B0CE4" w:rsidRDefault="000B0CE4" w:rsidP="004D179B">
            <w:pPr>
              <w:spacing w:after="0" w:line="240" w:lineRule="auto"/>
            </w:pPr>
            <w:r>
              <w:t>Project role</w:t>
            </w:r>
          </w:p>
        </w:tc>
        <w:tc>
          <w:tcPr>
            <w:tcW w:w="7132" w:type="dxa"/>
            <w:shd w:val="clear" w:color="auto" w:fill="F2F2F2" w:themeFill="background1" w:themeFillShade="F2"/>
            <w:vAlign w:val="center"/>
          </w:tcPr>
          <w:p w14:paraId="54CF83C0" w14:textId="77777777" w:rsidR="000B0CE4" w:rsidRDefault="000B0CE4" w:rsidP="004D179B">
            <w:pPr>
              <w:spacing w:after="0" w:line="240" w:lineRule="auto"/>
              <w:rPr>
                <w:rFonts w:cstheme="minorHAnsi"/>
                <w:szCs w:val="22"/>
              </w:rPr>
            </w:pPr>
            <w:r>
              <w:rPr>
                <w:rFonts w:cstheme="minorHAnsi"/>
                <w:szCs w:val="22"/>
              </w:rPr>
              <w:t>Details</w:t>
            </w:r>
          </w:p>
        </w:tc>
      </w:tr>
      <w:tr w:rsidR="000B0CE4" w14:paraId="20074D77" w14:textId="77777777" w:rsidTr="004E40FF">
        <w:tc>
          <w:tcPr>
            <w:tcW w:w="2830" w:type="dxa"/>
          </w:tcPr>
          <w:p w14:paraId="32A00111" w14:textId="77777777" w:rsidR="000B0CE4" w:rsidRDefault="000B0CE4" w:rsidP="004D179B">
            <w:pPr>
              <w:spacing w:line="240" w:lineRule="auto"/>
              <w:rPr>
                <w:rFonts w:cstheme="minorHAnsi"/>
                <w:color w:val="0000FF"/>
                <w:szCs w:val="22"/>
              </w:rPr>
            </w:pPr>
            <w:r>
              <w:t>Pr</w:t>
            </w:r>
            <w:r w:rsidRPr="004D179B">
              <w:rPr>
                <w:rFonts w:cstheme="minorHAnsi"/>
                <w:szCs w:val="22"/>
              </w:rPr>
              <w:t>inciple investigator</w:t>
            </w:r>
          </w:p>
        </w:tc>
        <w:tc>
          <w:tcPr>
            <w:tcW w:w="7132" w:type="dxa"/>
          </w:tcPr>
          <w:p w14:paraId="3F55B24E" w14:textId="77777777" w:rsidR="000B0CE4" w:rsidRDefault="000B0CE4" w:rsidP="003802A1">
            <w:pPr>
              <w:spacing w:line="240" w:lineRule="auto"/>
              <w:rPr>
                <w:rFonts w:cstheme="minorHAnsi"/>
                <w:szCs w:val="22"/>
              </w:rPr>
            </w:pPr>
            <w:r>
              <w:rPr>
                <w:rFonts w:cstheme="minorHAnsi"/>
                <w:szCs w:val="22"/>
              </w:rPr>
              <w:t xml:space="preserve">Honorary Associate Professor Michal Boyd </w:t>
            </w:r>
          </w:p>
          <w:p w14:paraId="55A63EF7" w14:textId="77777777" w:rsidR="000B0CE4" w:rsidRDefault="000B0CE4" w:rsidP="00935841">
            <w:pPr>
              <w:spacing w:after="0" w:line="240" w:lineRule="auto"/>
              <w:rPr>
                <w:rFonts w:cstheme="minorHAnsi"/>
                <w:szCs w:val="22"/>
              </w:rPr>
            </w:pPr>
            <w:r>
              <w:rPr>
                <w:rFonts w:cstheme="minorHAnsi"/>
                <w:szCs w:val="22"/>
              </w:rPr>
              <w:t xml:space="preserve">School of Nursing, Faculty of Medical and Health Sciences, The University of Auckland </w:t>
            </w:r>
          </w:p>
          <w:p w14:paraId="65CA6165" w14:textId="77777777" w:rsidR="000B0CE4" w:rsidRDefault="00E955A2" w:rsidP="004E40FF">
            <w:pPr>
              <w:spacing w:line="240" w:lineRule="auto"/>
              <w:rPr>
                <w:rFonts w:cstheme="minorHAnsi"/>
                <w:color w:val="0000FF"/>
                <w:szCs w:val="22"/>
              </w:rPr>
            </w:pPr>
            <w:hyperlink r:id="rId8" w:history="1">
              <w:r w:rsidR="000B0CE4" w:rsidRPr="003B13F0">
                <w:rPr>
                  <w:rStyle w:val="Hyperlink"/>
                  <w:rFonts w:cstheme="minorHAnsi"/>
                  <w:szCs w:val="22"/>
                </w:rPr>
                <w:t>Michal.boyd@auckland.ac.nz</w:t>
              </w:r>
            </w:hyperlink>
            <w:r w:rsidR="000B0CE4" w:rsidRPr="003C12DB">
              <w:rPr>
                <w:rFonts w:cstheme="minorHAnsi"/>
                <w:szCs w:val="22"/>
              </w:rPr>
              <w:tab/>
            </w:r>
          </w:p>
        </w:tc>
      </w:tr>
      <w:tr w:rsidR="000B0CE4" w14:paraId="467FC708" w14:textId="77777777" w:rsidTr="004E40FF">
        <w:tc>
          <w:tcPr>
            <w:tcW w:w="2830" w:type="dxa"/>
          </w:tcPr>
          <w:p w14:paraId="533385AD" w14:textId="77777777" w:rsidR="000B0CE4" w:rsidRDefault="000B0CE4" w:rsidP="004D179B">
            <w:pPr>
              <w:spacing w:line="240" w:lineRule="auto"/>
              <w:rPr>
                <w:rFonts w:cstheme="minorHAnsi"/>
                <w:color w:val="0000FF"/>
                <w:szCs w:val="22"/>
              </w:rPr>
            </w:pPr>
            <w:r>
              <w:t>Co-investigator Clinical Leadership</w:t>
            </w:r>
          </w:p>
        </w:tc>
        <w:tc>
          <w:tcPr>
            <w:tcW w:w="7132" w:type="dxa"/>
          </w:tcPr>
          <w:p w14:paraId="7A9C2791" w14:textId="38B21A29" w:rsidR="000B0CE4" w:rsidRDefault="000B0CE4" w:rsidP="00935841">
            <w:pPr>
              <w:spacing w:after="0" w:line="240" w:lineRule="auto"/>
              <w:rPr>
                <w:rFonts w:cstheme="minorHAnsi"/>
                <w:szCs w:val="22"/>
              </w:rPr>
            </w:pPr>
            <w:r>
              <w:rPr>
                <w:rFonts w:cstheme="minorHAnsi"/>
                <w:szCs w:val="22"/>
              </w:rPr>
              <w:t xml:space="preserve">Julie Daltrey Professional Teach Fellow University of Auckland and Clinical Lead </w:t>
            </w:r>
            <w:r w:rsidRPr="005E7E40">
              <w:rPr>
                <w:rFonts w:cstheme="minorHAnsi"/>
                <w:szCs w:val="22"/>
              </w:rPr>
              <w:t xml:space="preserve">Te </w:t>
            </w:r>
            <w:proofErr w:type="spellStart"/>
            <w:r w:rsidRPr="005E7E40">
              <w:rPr>
                <w:rFonts w:cstheme="minorHAnsi"/>
                <w:szCs w:val="22"/>
              </w:rPr>
              <w:t>Tāhū</w:t>
            </w:r>
            <w:proofErr w:type="spellEnd"/>
            <w:r w:rsidRPr="004D179B">
              <w:rPr>
                <w:rFonts w:cstheme="minorHAnsi"/>
                <w:szCs w:val="22"/>
              </w:rPr>
              <w:t xml:space="preserve"> </w:t>
            </w:r>
            <w:r w:rsidR="0047405D">
              <w:rPr>
                <w:rFonts w:cstheme="minorHAnsi"/>
                <w:szCs w:val="22"/>
              </w:rPr>
              <w:t>Hauora</w:t>
            </w:r>
            <w:r w:rsidRPr="004D179B">
              <w:rPr>
                <w:rFonts w:cstheme="minorHAnsi"/>
                <w:szCs w:val="22"/>
              </w:rPr>
              <w:t xml:space="preserve"> </w:t>
            </w:r>
            <w:r w:rsidR="000F2FE8">
              <w:rPr>
                <w:rFonts w:cstheme="minorHAnsi"/>
                <w:szCs w:val="22"/>
              </w:rPr>
              <w:t>Health Quality &amp; Safety Commission</w:t>
            </w:r>
            <w:r>
              <w:rPr>
                <w:rFonts w:cstheme="minorHAnsi"/>
                <w:szCs w:val="22"/>
              </w:rPr>
              <w:t>. M 021 1061840</w:t>
            </w:r>
          </w:p>
          <w:p w14:paraId="53A6F131" w14:textId="77777777" w:rsidR="000B0CE4" w:rsidRDefault="00E955A2" w:rsidP="00CE4B82">
            <w:pPr>
              <w:spacing w:line="240" w:lineRule="auto"/>
              <w:rPr>
                <w:rFonts w:cstheme="minorHAnsi"/>
                <w:color w:val="0000FF"/>
                <w:szCs w:val="22"/>
              </w:rPr>
            </w:pPr>
            <w:hyperlink r:id="rId9" w:history="1">
              <w:r w:rsidR="000B0CE4" w:rsidRPr="003B13F0">
                <w:rPr>
                  <w:rStyle w:val="Hyperlink"/>
                  <w:rFonts w:cstheme="minorHAnsi"/>
                  <w:szCs w:val="22"/>
                </w:rPr>
                <w:t>ajdaltrey@gmail.com</w:t>
              </w:r>
            </w:hyperlink>
            <w:r w:rsidR="000B0CE4">
              <w:rPr>
                <w:rStyle w:val="Hyperlink"/>
                <w:rFonts w:cstheme="minorHAnsi"/>
                <w:szCs w:val="22"/>
              </w:rPr>
              <w:t xml:space="preserve"> </w:t>
            </w:r>
            <w:r w:rsidR="000B0CE4">
              <w:rPr>
                <w:rStyle w:val="Hyperlink"/>
              </w:rPr>
              <w:t>/ Julie.daltrey@auckland.ac.nz</w:t>
            </w:r>
          </w:p>
        </w:tc>
      </w:tr>
      <w:tr w:rsidR="000B0CE4" w14:paraId="013127EC" w14:textId="77777777" w:rsidTr="009A3789">
        <w:tc>
          <w:tcPr>
            <w:tcW w:w="2830" w:type="dxa"/>
          </w:tcPr>
          <w:p w14:paraId="2F035CC4" w14:textId="77777777" w:rsidR="000B0CE4" w:rsidRDefault="000B0CE4" w:rsidP="009A3789">
            <w:pPr>
              <w:spacing w:after="0" w:line="240" w:lineRule="auto"/>
            </w:pPr>
            <w:r>
              <w:rPr>
                <w:rFonts w:ascii="Arial" w:hAnsi="Arial" w:cs="Arial"/>
                <w:szCs w:val="22"/>
              </w:rPr>
              <w:t xml:space="preserve">Co-investigator Project </w:t>
            </w:r>
            <w:r w:rsidRPr="004D179B">
              <w:rPr>
                <w:rFonts w:ascii="Arial" w:hAnsi="Arial" w:cs="Arial"/>
                <w:szCs w:val="22"/>
              </w:rPr>
              <w:t xml:space="preserve">Quality Improvement </w:t>
            </w:r>
            <w:r>
              <w:rPr>
                <w:rFonts w:ascii="Arial" w:hAnsi="Arial" w:cs="Arial"/>
                <w:szCs w:val="22"/>
              </w:rPr>
              <w:t xml:space="preserve">leadership </w:t>
            </w:r>
          </w:p>
        </w:tc>
        <w:tc>
          <w:tcPr>
            <w:tcW w:w="7132" w:type="dxa"/>
          </w:tcPr>
          <w:p w14:paraId="2F0AA365" w14:textId="6DB51D55" w:rsidR="000B0CE4" w:rsidRPr="004D179B" w:rsidRDefault="000B0CE4" w:rsidP="009A3789">
            <w:pPr>
              <w:spacing w:after="0" w:line="240" w:lineRule="auto"/>
              <w:rPr>
                <w:rFonts w:cstheme="minorHAnsi"/>
                <w:szCs w:val="22"/>
              </w:rPr>
            </w:pPr>
            <w:r w:rsidRPr="004D179B">
              <w:rPr>
                <w:rFonts w:ascii="Arial" w:hAnsi="Arial" w:cs="Arial"/>
                <w:szCs w:val="22"/>
              </w:rPr>
              <w:t xml:space="preserve">Katrina Hutching, Quality Improvement Advisor,  </w:t>
            </w:r>
            <w:bookmarkStart w:id="2" w:name="_Hlk149672849"/>
            <w:r w:rsidRPr="005E7E40">
              <w:rPr>
                <w:rFonts w:cstheme="minorHAnsi"/>
                <w:szCs w:val="22"/>
              </w:rPr>
              <w:t xml:space="preserve">Te </w:t>
            </w:r>
            <w:proofErr w:type="spellStart"/>
            <w:r w:rsidRPr="005E7E40">
              <w:rPr>
                <w:rFonts w:cstheme="minorHAnsi"/>
                <w:szCs w:val="22"/>
              </w:rPr>
              <w:t>Tāhū</w:t>
            </w:r>
            <w:proofErr w:type="spellEnd"/>
            <w:r w:rsidRPr="004D179B">
              <w:rPr>
                <w:rFonts w:cstheme="minorHAnsi"/>
                <w:szCs w:val="22"/>
              </w:rPr>
              <w:t xml:space="preserve"> </w:t>
            </w:r>
            <w:r w:rsidR="0047405D">
              <w:rPr>
                <w:rFonts w:cstheme="minorHAnsi"/>
                <w:szCs w:val="22"/>
              </w:rPr>
              <w:t>Hauora</w:t>
            </w:r>
            <w:r w:rsidRPr="004D179B">
              <w:rPr>
                <w:rFonts w:cstheme="minorHAnsi"/>
                <w:szCs w:val="22"/>
              </w:rPr>
              <w:t xml:space="preserve"> </w:t>
            </w:r>
            <w:bookmarkEnd w:id="2"/>
            <w:r w:rsidR="000F2FE8">
              <w:rPr>
                <w:rFonts w:cstheme="minorHAnsi"/>
                <w:szCs w:val="22"/>
              </w:rPr>
              <w:t>Health Quality &amp; Safety Commission</w:t>
            </w:r>
            <w:r w:rsidRPr="004D179B">
              <w:rPr>
                <w:rFonts w:cstheme="minorHAnsi"/>
                <w:szCs w:val="22"/>
              </w:rPr>
              <w:t xml:space="preserve"> 650 Great South Road, Ellerslie, Auckland</w:t>
            </w:r>
          </w:p>
          <w:bookmarkStart w:id="3" w:name="_Hlk149830418"/>
          <w:p w14:paraId="462B2B83" w14:textId="77777777" w:rsidR="000B0CE4" w:rsidRPr="00C24219" w:rsidRDefault="000F2FE8" w:rsidP="00935841">
            <w:pPr>
              <w:spacing w:line="240" w:lineRule="auto"/>
              <w:rPr>
                <w:rFonts w:ascii="Arial" w:hAnsi="Arial" w:cs="Arial"/>
                <w:sz w:val="20"/>
                <w:szCs w:val="20"/>
              </w:rPr>
            </w:pPr>
            <w:r>
              <w:fldChar w:fldCharType="begin"/>
            </w:r>
            <w:r>
              <w:instrText>HYPERLINK "mailto:Katrina.hutching@hqsc.govt.nz"</w:instrText>
            </w:r>
            <w:r>
              <w:fldChar w:fldCharType="separate"/>
            </w:r>
            <w:r w:rsidR="000B0CE4" w:rsidRPr="00C24219">
              <w:rPr>
                <w:rStyle w:val="Hyperlink"/>
                <w:rFonts w:ascii="Arial" w:hAnsi="Arial" w:cs="Arial"/>
                <w:lang w:val="en-AU" w:eastAsia="en-AU"/>
              </w:rPr>
              <w:t>Katrina.hutching@hqsc.govt.nz</w:t>
            </w:r>
            <w:r>
              <w:rPr>
                <w:rStyle w:val="Hyperlink"/>
                <w:rFonts w:ascii="Arial" w:hAnsi="Arial" w:cs="Arial"/>
                <w:lang w:val="en-AU" w:eastAsia="en-AU"/>
              </w:rPr>
              <w:fldChar w:fldCharType="end"/>
            </w:r>
            <w:bookmarkEnd w:id="3"/>
          </w:p>
        </w:tc>
      </w:tr>
      <w:tr w:rsidR="000B0CE4" w14:paraId="3BFD6938" w14:textId="77777777" w:rsidTr="004E40FF">
        <w:tc>
          <w:tcPr>
            <w:tcW w:w="2830" w:type="dxa"/>
          </w:tcPr>
          <w:p w14:paraId="55D5285A" w14:textId="77777777" w:rsidR="000B0CE4" w:rsidRDefault="000B0CE4" w:rsidP="003C64DC">
            <w:pPr>
              <w:spacing w:after="0" w:line="240" w:lineRule="auto"/>
              <w:rPr>
                <w:rFonts w:cstheme="minorHAnsi"/>
                <w:szCs w:val="22"/>
              </w:rPr>
            </w:pPr>
            <w:r>
              <w:rPr>
                <w:rFonts w:cstheme="minorHAnsi"/>
                <w:szCs w:val="22"/>
              </w:rPr>
              <w:t>Research Assistant</w:t>
            </w:r>
          </w:p>
          <w:p w14:paraId="6D79F78F" w14:textId="77777777" w:rsidR="000B0CE4" w:rsidRDefault="000B0CE4" w:rsidP="003802A1">
            <w:pPr>
              <w:spacing w:line="240" w:lineRule="auto"/>
              <w:rPr>
                <w:rFonts w:cstheme="minorHAnsi"/>
                <w:color w:val="0000FF"/>
                <w:szCs w:val="22"/>
              </w:rPr>
            </w:pPr>
            <w:r w:rsidRPr="004D179B">
              <w:rPr>
                <w:rFonts w:cstheme="minorHAnsi"/>
                <w:szCs w:val="22"/>
              </w:rPr>
              <w:t xml:space="preserve">Project </w:t>
            </w:r>
            <w:r>
              <w:rPr>
                <w:rFonts w:cstheme="minorHAnsi"/>
                <w:szCs w:val="22"/>
              </w:rPr>
              <w:t>M</w:t>
            </w:r>
            <w:r w:rsidRPr="004D179B">
              <w:rPr>
                <w:rFonts w:cstheme="minorHAnsi"/>
                <w:szCs w:val="22"/>
              </w:rPr>
              <w:t xml:space="preserve">anager </w:t>
            </w:r>
          </w:p>
        </w:tc>
        <w:tc>
          <w:tcPr>
            <w:tcW w:w="7132" w:type="dxa"/>
          </w:tcPr>
          <w:p w14:paraId="7B1B1FB5" w14:textId="108FA485" w:rsidR="000B0CE4" w:rsidRPr="00AE4EDB" w:rsidRDefault="000B0CE4" w:rsidP="004E40FF">
            <w:pPr>
              <w:spacing w:after="0" w:line="240" w:lineRule="auto"/>
              <w:rPr>
                <w:rFonts w:cstheme="minorHAnsi"/>
                <w:szCs w:val="22"/>
              </w:rPr>
            </w:pPr>
            <w:r w:rsidRPr="00AE4EDB">
              <w:rPr>
                <w:rFonts w:ascii="Arial" w:hAnsi="Arial" w:cs="Arial"/>
                <w:szCs w:val="22"/>
              </w:rPr>
              <w:t xml:space="preserve">Mahashweta Mistry, </w:t>
            </w:r>
            <w:r w:rsidRPr="00AE4EDB">
              <w:rPr>
                <w:szCs w:val="22"/>
              </w:rPr>
              <w:t xml:space="preserve">Senior Project Manager, </w:t>
            </w:r>
            <w:r w:rsidRPr="00AE4EDB">
              <w:rPr>
                <w:rFonts w:ascii="Arial" w:hAnsi="Arial" w:cs="Arial"/>
                <w:szCs w:val="22"/>
              </w:rPr>
              <w:t xml:space="preserve"> </w:t>
            </w:r>
            <w:r w:rsidR="000F2FE8">
              <w:rPr>
                <w:rFonts w:cstheme="minorHAnsi"/>
                <w:szCs w:val="22"/>
              </w:rPr>
              <w:t xml:space="preserve">Te </w:t>
            </w:r>
            <w:proofErr w:type="spellStart"/>
            <w:r w:rsidR="000F2FE8">
              <w:rPr>
                <w:rFonts w:cstheme="minorHAnsi"/>
                <w:szCs w:val="22"/>
              </w:rPr>
              <w:t>Tāhū</w:t>
            </w:r>
            <w:proofErr w:type="spellEnd"/>
            <w:r w:rsidR="000F2FE8">
              <w:rPr>
                <w:rFonts w:cstheme="minorHAnsi"/>
                <w:szCs w:val="22"/>
              </w:rPr>
              <w:t xml:space="preserve"> Hauora </w:t>
            </w:r>
            <w:r w:rsidRPr="00AE4EDB">
              <w:rPr>
                <w:rFonts w:cstheme="minorHAnsi"/>
                <w:szCs w:val="22"/>
              </w:rPr>
              <w:t xml:space="preserve"> </w:t>
            </w:r>
            <w:r w:rsidR="000F2FE8">
              <w:rPr>
                <w:rFonts w:cstheme="minorHAnsi"/>
                <w:szCs w:val="22"/>
              </w:rPr>
              <w:t>Health Quality &amp; Safety Commission</w:t>
            </w:r>
            <w:r w:rsidRPr="00AE4EDB">
              <w:rPr>
                <w:rFonts w:cstheme="minorHAnsi"/>
                <w:szCs w:val="22"/>
              </w:rPr>
              <w:t xml:space="preserve"> 650 Great South Road, Ellerslie, Auckland</w:t>
            </w:r>
          </w:p>
          <w:p w14:paraId="5A9C5F35" w14:textId="77777777" w:rsidR="000B0CE4" w:rsidRDefault="00E955A2" w:rsidP="00935841">
            <w:pPr>
              <w:spacing w:line="240" w:lineRule="auto"/>
              <w:rPr>
                <w:rFonts w:cstheme="minorHAnsi"/>
                <w:color w:val="0000FF"/>
                <w:szCs w:val="22"/>
              </w:rPr>
            </w:pPr>
            <w:hyperlink r:id="rId10" w:history="1">
              <w:r w:rsidR="000B0CE4" w:rsidRPr="003B13F0">
                <w:rPr>
                  <w:rStyle w:val="Hyperlink"/>
                  <w:rFonts w:ascii="Arial" w:hAnsi="Arial" w:cs="Arial"/>
                </w:rPr>
                <w:t>mahashweta.mistry@hqsc.govt.nz</w:t>
              </w:r>
            </w:hyperlink>
          </w:p>
        </w:tc>
      </w:tr>
      <w:tr w:rsidR="000B0CE4" w14:paraId="79217D5A" w14:textId="77777777" w:rsidTr="004E40FF">
        <w:tc>
          <w:tcPr>
            <w:tcW w:w="2830" w:type="dxa"/>
          </w:tcPr>
          <w:p w14:paraId="03BA5194" w14:textId="77777777" w:rsidR="000B0CE4" w:rsidRDefault="000B0CE4" w:rsidP="003C64DC">
            <w:pPr>
              <w:spacing w:after="0" w:line="240" w:lineRule="auto"/>
              <w:rPr>
                <w:rFonts w:cstheme="minorHAnsi"/>
                <w:szCs w:val="22"/>
              </w:rPr>
            </w:pPr>
            <w:r>
              <w:rPr>
                <w:rFonts w:cstheme="minorHAnsi"/>
                <w:szCs w:val="22"/>
              </w:rPr>
              <w:t>Research Assistant</w:t>
            </w:r>
          </w:p>
          <w:p w14:paraId="1DD85224" w14:textId="77777777" w:rsidR="000B0CE4" w:rsidRPr="004D179B" w:rsidRDefault="000B0CE4" w:rsidP="003802A1">
            <w:pPr>
              <w:spacing w:line="240" w:lineRule="auto"/>
              <w:rPr>
                <w:rFonts w:cstheme="minorHAnsi"/>
                <w:szCs w:val="22"/>
              </w:rPr>
            </w:pPr>
            <w:r>
              <w:rPr>
                <w:rFonts w:cstheme="minorHAnsi"/>
                <w:szCs w:val="22"/>
              </w:rPr>
              <w:t xml:space="preserve">Project Coordinator </w:t>
            </w:r>
          </w:p>
        </w:tc>
        <w:tc>
          <w:tcPr>
            <w:tcW w:w="7132" w:type="dxa"/>
          </w:tcPr>
          <w:p w14:paraId="0ED3EB79" w14:textId="354C0F7D" w:rsidR="000B0CE4" w:rsidRPr="004D179B" w:rsidRDefault="000B0CE4" w:rsidP="00907407">
            <w:pPr>
              <w:spacing w:after="0" w:line="240" w:lineRule="auto"/>
              <w:rPr>
                <w:rFonts w:cstheme="minorHAnsi"/>
                <w:szCs w:val="22"/>
              </w:rPr>
            </w:pPr>
            <w:r w:rsidRPr="004D179B">
              <w:rPr>
                <w:rFonts w:ascii="Arial" w:hAnsi="Arial" w:cs="Arial"/>
                <w:szCs w:val="22"/>
              </w:rPr>
              <w:t>Rachel Spooner Programme Coordinator</w:t>
            </w:r>
            <w:r w:rsidRPr="004D179B">
              <w:rPr>
                <w:rFonts w:cstheme="minorHAnsi"/>
                <w:szCs w:val="22"/>
              </w:rPr>
              <w:t xml:space="preserve"> </w:t>
            </w:r>
            <w:r w:rsidR="000F2FE8">
              <w:rPr>
                <w:rFonts w:cstheme="minorHAnsi"/>
                <w:szCs w:val="22"/>
              </w:rPr>
              <w:t xml:space="preserve">Te </w:t>
            </w:r>
            <w:proofErr w:type="spellStart"/>
            <w:r w:rsidR="000F2FE8">
              <w:rPr>
                <w:rFonts w:cstheme="minorHAnsi"/>
                <w:szCs w:val="22"/>
              </w:rPr>
              <w:t>Tāhū</w:t>
            </w:r>
            <w:proofErr w:type="spellEnd"/>
            <w:r w:rsidR="000F2FE8">
              <w:rPr>
                <w:rFonts w:cstheme="minorHAnsi"/>
                <w:szCs w:val="22"/>
              </w:rPr>
              <w:t xml:space="preserve"> Hauora </w:t>
            </w:r>
            <w:r w:rsidRPr="004D179B">
              <w:rPr>
                <w:rFonts w:cstheme="minorHAnsi"/>
                <w:szCs w:val="22"/>
              </w:rPr>
              <w:t xml:space="preserve"> </w:t>
            </w:r>
            <w:r w:rsidR="000F2FE8">
              <w:rPr>
                <w:rFonts w:cstheme="minorHAnsi"/>
                <w:szCs w:val="22"/>
              </w:rPr>
              <w:t>Health Quality &amp; Safety Commission</w:t>
            </w:r>
            <w:r w:rsidRPr="004D179B">
              <w:rPr>
                <w:rFonts w:cstheme="minorHAnsi"/>
                <w:szCs w:val="22"/>
              </w:rPr>
              <w:t xml:space="preserve"> 650 Great South Road, Ellerslie, Auckland T (04) 901 6040</w:t>
            </w:r>
          </w:p>
          <w:p w14:paraId="72FD43DD" w14:textId="77777777" w:rsidR="000B0CE4" w:rsidRPr="00AE4EDB" w:rsidRDefault="00E955A2" w:rsidP="00907407">
            <w:pPr>
              <w:spacing w:after="0" w:line="240" w:lineRule="auto"/>
              <w:rPr>
                <w:rFonts w:ascii="Arial" w:hAnsi="Arial" w:cs="Arial"/>
                <w:szCs w:val="22"/>
              </w:rPr>
            </w:pPr>
            <w:hyperlink r:id="rId11" w:history="1">
              <w:r w:rsidR="000B0CE4" w:rsidRPr="004D179B">
                <w:rPr>
                  <w:rStyle w:val="Hyperlink"/>
                  <w:rFonts w:ascii="Arial" w:hAnsi="Arial" w:cs="Arial"/>
                  <w:szCs w:val="22"/>
                </w:rPr>
                <w:t>Rachael.Spooner@hqsc.govt.nz</w:t>
              </w:r>
            </w:hyperlink>
          </w:p>
        </w:tc>
      </w:tr>
      <w:tr w:rsidR="000B0CE4" w14:paraId="47494489" w14:textId="77777777" w:rsidTr="00CF3B9C">
        <w:tc>
          <w:tcPr>
            <w:tcW w:w="2830" w:type="dxa"/>
          </w:tcPr>
          <w:p w14:paraId="14D2E081" w14:textId="77777777" w:rsidR="000B0CE4" w:rsidRDefault="000B0CE4" w:rsidP="003C64DC">
            <w:pPr>
              <w:spacing w:after="0" w:line="240" w:lineRule="auto"/>
              <w:rPr>
                <w:rFonts w:cstheme="minorHAnsi"/>
                <w:szCs w:val="22"/>
              </w:rPr>
            </w:pPr>
            <w:r>
              <w:rPr>
                <w:rFonts w:cstheme="minorHAnsi"/>
                <w:szCs w:val="22"/>
              </w:rPr>
              <w:t>Research Assistant</w:t>
            </w:r>
          </w:p>
          <w:p w14:paraId="78FB839C" w14:textId="77777777" w:rsidR="000B0CE4" w:rsidRDefault="000B0CE4" w:rsidP="00CF3B9C">
            <w:pPr>
              <w:spacing w:line="240" w:lineRule="auto"/>
              <w:rPr>
                <w:rFonts w:cstheme="minorHAnsi"/>
                <w:szCs w:val="22"/>
              </w:rPr>
            </w:pPr>
          </w:p>
        </w:tc>
        <w:tc>
          <w:tcPr>
            <w:tcW w:w="7132" w:type="dxa"/>
          </w:tcPr>
          <w:p w14:paraId="63F4F433" w14:textId="0A9065E9" w:rsidR="000B0CE4" w:rsidRPr="004D179B" w:rsidRDefault="000B0CE4" w:rsidP="00CF3B9C">
            <w:pPr>
              <w:spacing w:after="0" w:line="240" w:lineRule="auto"/>
              <w:rPr>
                <w:rFonts w:ascii="Arial" w:hAnsi="Arial" w:cs="Arial"/>
                <w:szCs w:val="22"/>
              </w:rPr>
            </w:pPr>
            <w:r>
              <w:rPr>
                <w:rFonts w:ascii="Arial" w:hAnsi="Arial" w:cs="Arial"/>
                <w:szCs w:val="22"/>
              </w:rPr>
              <w:t xml:space="preserve">Alexis Wevers </w:t>
            </w:r>
            <w:r w:rsidR="000F2FE8" w:rsidRPr="005E7E40">
              <w:rPr>
                <w:rFonts w:cstheme="minorHAnsi"/>
                <w:szCs w:val="22"/>
              </w:rPr>
              <w:t xml:space="preserve">Te </w:t>
            </w:r>
            <w:proofErr w:type="spellStart"/>
            <w:r w:rsidR="000F2FE8" w:rsidRPr="005E7E40">
              <w:rPr>
                <w:rFonts w:cstheme="minorHAnsi"/>
                <w:szCs w:val="22"/>
              </w:rPr>
              <w:t>Tāhū</w:t>
            </w:r>
            <w:proofErr w:type="spellEnd"/>
            <w:r w:rsidR="000F2FE8" w:rsidRPr="004D179B">
              <w:rPr>
                <w:rFonts w:cstheme="minorHAnsi"/>
                <w:szCs w:val="22"/>
              </w:rPr>
              <w:t xml:space="preserve"> </w:t>
            </w:r>
            <w:r w:rsidR="000F2FE8">
              <w:rPr>
                <w:rFonts w:cstheme="minorHAnsi"/>
                <w:szCs w:val="22"/>
              </w:rPr>
              <w:t>Hauora</w:t>
            </w:r>
            <w:r w:rsidR="000F2FE8" w:rsidRPr="004D179B">
              <w:rPr>
                <w:rFonts w:cstheme="minorHAnsi"/>
                <w:szCs w:val="22"/>
              </w:rPr>
              <w:t xml:space="preserve"> </w:t>
            </w:r>
            <w:r w:rsidR="000F2FE8">
              <w:rPr>
                <w:rFonts w:cstheme="minorHAnsi"/>
                <w:szCs w:val="22"/>
              </w:rPr>
              <w:t>Health Quality &amp; Safety Commission</w:t>
            </w:r>
            <w:r>
              <w:rPr>
                <w:rFonts w:cstheme="minorHAnsi"/>
                <w:szCs w:val="22"/>
              </w:rPr>
              <w:t xml:space="preserve"> </w:t>
            </w:r>
            <w:r w:rsidRPr="004D179B">
              <w:rPr>
                <w:rFonts w:cstheme="minorHAnsi"/>
                <w:szCs w:val="22"/>
              </w:rPr>
              <w:t>650 Great South Road, Ellerslie, Auckland</w:t>
            </w:r>
            <w:r>
              <w:rPr>
                <w:rFonts w:cstheme="minorHAnsi"/>
                <w:szCs w:val="22"/>
              </w:rPr>
              <w:t xml:space="preserve"> </w:t>
            </w:r>
            <w:hyperlink r:id="rId12" w:history="1">
              <w:r>
                <w:rPr>
                  <w:rStyle w:val="Hyperlink"/>
                </w:rPr>
                <w:t>alexis.wevers@hqsc.govt.nz</w:t>
              </w:r>
            </w:hyperlink>
          </w:p>
        </w:tc>
      </w:tr>
      <w:tr w:rsidR="000B0CE4" w14:paraId="4158FB71" w14:textId="77777777" w:rsidTr="004E40FF">
        <w:tc>
          <w:tcPr>
            <w:tcW w:w="2830" w:type="dxa"/>
          </w:tcPr>
          <w:p w14:paraId="60D706D9" w14:textId="77777777" w:rsidR="000B0CE4" w:rsidRDefault="000B0CE4" w:rsidP="003C64DC">
            <w:pPr>
              <w:spacing w:after="0" w:line="240" w:lineRule="auto"/>
              <w:rPr>
                <w:rFonts w:cstheme="minorHAnsi"/>
                <w:szCs w:val="22"/>
              </w:rPr>
            </w:pPr>
            <w:r>
              <w:rPr>
                <w:rFonts w:cstheme="minorHAnsi"/>
                <w:szCs w:val="22"/>
              </w:rPr>
              <w:t>Research Assistant</w:t>
            </w:r>
          </w:p>
          <w:p w14:paraId="342E8CD2" w14:textId="77777777" w:rsidR="000B0CE4" w:rsidRDefault="000B0CE4" w:rsidP="003802A1">
            <w:pPr>
              <w:spacing w:line="240" w:lineRule="auto"/>
              <w:rPr>
                <w:rFonts w:cstheme="minorHAnsi"/>
                <w:szCs w:val="22"/>
              </w:rPr>
            </w:pPr>
          </w:p>
        </w:tc>
        <w:tc>
          <w:tcPr>
            <w:tcW w:w="7132" w:type="dxa"/>
          </w:tcPr>
          <w:p w14:paraId="78DD33E5" w14:textId="4FD31223" w:rsidR="000B0CE4" w:rsidRDefault="000B0CE4" w:rsidP="00907407">
            <w:pPr>
              <w:spacing w:after="0" w:line="240" w:lineRule="auto"/>
              <w:rPr>
                <w:rFonts w:ascii="Arial" w:hAnsi="Arial" w:cs="Arial"/>
                <w:szCs w:val="22"/>
              </w:rPr>
            </w:pPr>
            <w:r>
              <w:rPr>
                <w:rFonts w:ascii="Arial" w:hAnsi="Arial" w:cs="Arial"/>
                <w:szCs w:val="22"/>
              </w:rPr>
              <w:t xml:space="preserve">Ying Li </w:t>
            </w:r>
            <w:r w:rsidR="000F2FE8" w:rsidRPr="005E7E40">
              <w:rPr>
                <w:rFonts w:cstheme="minorHAnsi"/>
                <w:szCs w:val="22"/>
              </w:rPr>
              <w:t xml:space="preserve">Te </w:t>
            </w:r>
            <w:proofErr w:type="spellStart"/>
            <w:r w:rsidR="000F2FE8" w:rsidRPr="005E7E40">
              <w:rPr>
                <w:rFonts w:cstheme="minorHAnsi"/>
                <w:szCs w:val="22"/>
              </w:rPr>
              <w:t>Tāhū</w:t>
            </w:r>
            <w:proofErr w:type="spellEnd"/>
            <w:r w:rsidR="000F2FE8" w:rsidRPr="004D179B">
              <w:rPr>
                <w:rFonts w:cstheme="minorHAnsi"/>
                <w:szCs w:val="22"/>
              </w:rPr>
              <w:t xml:space="preserve"> </w:t>
            </w:r>
            <w:r w:rsidR="000F2FE8">
              <w:rPr>
                <w:rFonts w:cstheme="minorHAnsi"/>
                <w:szCs w:val="22"/>
              </w:rPr>
              <w:t>Hauora</w:t>
            </w:r>
            <w:r w:rsidR="000F2FE8" w:rsidRPr="004D179B">
              <w:rPr>
                <w:rFonts w:cstheme="minorHAnsi"/>
                <w:szCs w:val="22"/>
              </w:rPr>
              <w:t xml:space="preserve"> </w:t>
            </w:r>
            <w:r w:rsidR="000F2FE8">
              <w:rPr>
                <w:rFonts w:cstheme="minorHAnsi"/>
                <w:szCs w:val="22"/>
              </w:rPr>
              <w:t>Health Quality &amp; Safety Commission</w:t>
            </w:r>
            <w:r>
              <w:rPr>
                <w:rFonts w:cstheme="minorHAnsi"/>
                <w:szCs w:val="22"/>
              </w:rPr>
              <w:t xml:space="preserve"> </w:t>
            </w:r>
            <w:r w:rsidRPr="004D179B">
              <w:rPr>
                <w:rFonts w:cstheme="minorHAnsi"/>
                <w:szCs w:val="22"/>
              </w:rPr>
              <w:t>650 Great South Road, Ellerslie, Auckland</w:t>
            </w:r>
          </w:p>
          <w:p w14:paraId="591CCFB3" w14:textId="77777777" w:rsidR="000B0CE4" w:rsidRPr="004D179B" w:rsidRDefault="00E955A2" w:rsidP="00907407">
            <w:pPr>
              <w:spacing w:after="0" w:line="240" w:lineRule="auto"/>
              <w:rPr>
                <w:rFonts w:ascii="Arial" w:hAnsi="Arial" w:cs="Arial"/>
                <w:szCs w:val="22"/>
              </w:rPr>
            </w:pPr>
            <w:hyperlink r:id="rId13" w:history="1">
              <w:r w:rsidR="000B0CE4" w:rsidRPr="003C623C">
                <w:rPr>
                  <w:rStyle w:val="Hyperlink"/>
                </w:rPr>
                <w:t>ying.li@hqsc.govt.nz</w:t>
              </w:r>
            </w:hyperlink>
            <w:r w:rsidR="000B0CE4">
              <w:t> </w:t>
            </w:r>
          </w:p>
        </w:tc>
      </w:tr>
    </w:tbl>
    <w:p w14:paraId="59A95D63" w14:textId="6FBE8DD1" w:rsidR="005D0F2E" w:rsidRDefault="005D0F2E" w:rsidP="005D0F2E">
      <w:pPr>
        <w:spacing w:after="0" w:line="240" w:lineRule="auto"/>
        <w:rPr>
          <w:rFonts w:cstheme="minorHAnsi"/>
          <w:b/>
          <w:color w:val="0000FF"/>
          <w:szCs w:val="22"/>
        </w:rPr>
      </w:pPr>
    </w:p>
    <w:tbl>
      <w:tblPr>
        <w:tblStyle w:val="TableGrid"/>
        <w:tblW w:w="0" w:type="auto"/>
        <w:tblLook w:val="04A0" w:firstRow="1" w:lastRow="0" w:firstColumn="1" w:lastColumn="0" w:noHBand="0" w:noVBand="1"/>
      </w:tblPr>
      <w:tblGrid>
        <w:gridCol w:w="2830"/>
        <w:gridCol w:w="7132"/>
      </w:tblGrid>
      <w:tr w:rsidR="005D0F2E" w14:paraId="41EECD92" w14:textId="77777777" w:rsidTr="00FF30C8">
        <w:tc>
          <w:tcPr>
            <w:tcW w:w="9962" w:type="dxa"/>
            <w:gridSpan w:val="2"/>
            <w:shd w:val="clear" w:color="auto" w:fill="F2F2F2" w:themeFill="background1" w:themeFillShade="F2"/>
            <w:vAlign w:val="center"/>
          </w:tcPr>
          <w:p w14:paraId="1E01B0F8" w14:textId="2E7A288A" w:rsidR="005D0F2E" w:rsidRDefault="005D0F2E" w:rsidP="00FF30C8">
            <w:pPr>
              <w:spacing w:before="120" w:line="240" w:lineRule="auto"/>
              <w:rPr>
                <w:rFonts w:cstheme="minorHAnsi"/>
                <w:szCs w:val="22"/>
              </w:rPr>
            </w:pPr>
            <w:r>
              <w:t>Project Sponsor (FUNDER)</w:t>
            </w:r>
          </w:p>
        </w:tc>
      </w:tr>
      <w:tr w:rsidR="005D0F2E" w14:paraId="77C74F73" w14:textId="77777777" w:rsidTr="00FF30C8">
        <w:trPr>
          <w:trHeight w:val="382"/>
        </w:trPr>
        <w:tc>
          <w:tcPr>
            <w:tcW w:w="2830" w:type="dxa"/>
            <w:shd w:val="clear" w:color="auto" w:fill="F2F2F2" w:themeFill="background1" w:themeFillShade="F2"/>
            <w:vAlign w:val="center"/>
          </w:tcPr>
          <w:p w14:paraId="01512BB7" w14:textId="77777777" w:rsidR="005D0F2E" w:rsidRDefault="005D0F2E" w:rsidP="00FF30C8">
            <w:pPr>
              <w:spacing w:after="0" w:line="240" w:lineRule="auto"/>
            </w:pPr>
            <w:r>
              <w:t>Project role</w:t>
            </w:r>
          </w:p>
        </w:tc>
        <w:tc>
          <w:tcPr>
            <w:tcW w:w="7132" w:type="dxa"/>
            <w:shd w:val="clear" w:color="auto" w:fill="F2F2F2" w:themeFill="background1" w:themeFillShade="F2"/>
            <w:vAlign w:val="center"/>
          </w:tcPr>
          <w:p w14:paraId="2206BE82" w14:textId="77777777" w:rsidR="005D0F2E" w:rsidRDefault="005D0F2E" w:rsidP="00FF30C8">
            <w:pPr>
              <w:spacing w:after="0" w:line="240" w:lineRule="auto"/>
              <w:rPr>
                <w:rFonts w:cstheme="minorHAnsi"/>
                <w:szCs w:val="22"/>
              </w:rPr>
            </w:pPr>
            <w:r>
              <w:rPr>
                <w:rFonts w:cstheme="minorHAnsi"/>
                <w:szCs w:val="22"/>
              </w:rPr>
              <w:t>Details</w:t>
            </w:r>
          </w:p>
        </w:tc>
      </w:tr>
      <w:tr w:rsidR="005D0F2E" w14:paraId="46D2D8B1" w14:textId="77777777" w:rsidTr="00FF30C8">
        <w:tc>
          <w:tcPr>
            <w:tcW w:w="2830" w:type="dxa"/>
          </w:tcPr>
          <w:p w14:paraId="343FEC65" w14:textId="60766A7F" w:rsidR="005D0F2E" w:rsidRDefault="005D0F2E" w:rsidP="005D0F2E">
            <w:pPr>
              <w:spacing w:line="240" w:lineRule="auto"/>
              <w:rPr>
                <w:rFonts w:cstheme="minorHAnsi"/>
                <w:color w:val="0000FF"/>
                <w:szCs w:val="22"/>
              </w:rPr>
            </w:pPr>
            <w:r>
              <w:rPr>
                <w:rFonts w:cstheme="minorHAnsi"/>
                <w:szCs w:val="22"/>
              </w:rPr>
              <w:t xml:space="preserve">Project sponsorship </w:t>
            </w:r>
            <w:proofErr w:type="spellStart"/>
            <w:r w:rsidRPr="005E7E40">
              <w:rPr>
                <w:rFonts w:cstheme="minorHAnsi"/>
                <w:szCs w:val="22"/>
              </w:rPr>
              <w:t>Tāhū</w:t>
            </w:r>
            <w:proofErr w:type="spellEnd"/>
            <w:r w:rsidRPr="004D179B">
              <w:rPr>
                <w:rFonts w:cstheme="minorHAnsi"/>
                <w:szCs w:val="22"/>
              </w:rPr>
              <w:t xml:space="preserve"> </w:t>
            </w:r>
            <w:r>
              <w:rPr>
                <w:rFonts w:cstheme="minorHAnsi"/>
                <w:szCs w:val="22"/>
              </w:rPr>
              <w:t>Hauora</w:t>
            </w:r>
            <w:r w:rsidRPr="004D179B">
              <w:rPr>
                <w:rFonts w:cstheme="minorHAnsi"/>
                <w:szCs w:val="22"/>
              </w:rPr>
              <w:t xml:space="preserve"> </w:t>
            </w:r>
            <w:r>
              <w:rPr>
                <w:rFonts w:cstheme="minorHAnsi"/>
                <w:szCs w:val="22"/>
              </w:rPr>
              <w:t xml:space="preserve">Health </w:t>
            </w:r>
          </w:p>
        </w:tc>
        <w:tc>
          <w:tcPr>
            <w:tcW w:w="7132" w:type="dxa"/>
          </w:tcPr>
          <w:p w14:paraId="7EA2CE57" w14:textId="2454B37C" w:rsidR="005D0F2E" w:rsidRDefault="005D0F2E" w:rsidP="005D0F2E">
            <w:pPr>
              <w:spacing w:line="240" w:lineRule="auto"/>
              <w:rPr>
                <w:rFonts w:cstheme="minorHAnsi"/>
                <w:color w:val="0000FF"/>
                <w:szCs w:val="22"/>
              </w:rPr>
            </w:pPr>
            <w:r>
              <w:rPr>
                <w:rFonts w:cstheme="minorHAnsi"/>
                <w:szCs w:val="22"/>
              </w:rPr>
              <w:t xml:space="preserve">Nikki Grae, </w:t>
            </w:r>
            <w:r>
              <w:rPr>
                <w:color w:val="000001"/>
                <w:lang w:eastAsia="en-NZ"/>
              </w:rPr>
              <w:t xml:space="preserve">Senior Manager, Quality Systems.  </w:t>
            </w:r>
            <w:r>
              <w:rPr>
                <w:rFonts w:cstheme="minorHAnsi"/>
                <w:szCs w:val="22"/>
              </w:rPr>
              <w:t>Hauora</w:t>
            </w:r>
            <w:r w:rsidRPr="004D179B">
              <w:rPr>
                <w:rFonts w:cstheme="minorHAnsi"/>
                <w:szCs w:val="22"/>
              </w:rPr>
              <w:t xml:space="preserve"> </w:t>
            </w:r>
            <w:r>
              <w:rPr>
                <w:rFonts w:cstheme="minorHAnsi"/>
                <w:szCs w:val="22"/>
              </w:rPr>
              <w:t xml:space="preserve">Health Quality &amp; Safety Commission </w:t>
            </w:r>
            <w:r w:rsidRPr="004D179B">
              <w:rPr>
                <w:rFonts w:cstheme="minorHAnsi"/>
                <w:szCs w:val="22"/>
              </w:rPr>
              <w:t>650 Great South Road, Ellerslie, Auckland</w:t>
            </w:r>
            <w:r>
              <w:t xml:space="preserve"> </w:t>
            </w:r>
            <w:hyperlink r:id="rId14" w:history="1">
              <w:r w:rsidRPr="00431BEC">
                <w:rPr>
                  <w:rStyle w:val="Hyperlink"/>
                </w:rPr>
                <w:t>Nikki.Grae@hqsc.govt.nz</w:t>
              </w:r>
            </w:hyperlink>
          </w:p>
        </w:tc>
      </w:tr>
    </w:tbl>
    <w:p w14:paraId="7ADA2671" w14:textId="77777777" w:rsidR="005D0F2E" w:rsidRDefault="005D0F2E" w:rsidP="005D0F2E">
      <w:pPr>
        <w:spacing w:after="0" w:line="240" w:lineRule="auto"/>
        <w:rPr>
          <w:rFonts w:cstheme="minorHAnsi"/>
          <w:b/>
          <w:color w:val="0000FF"/>
          <w:szCs w:val="22"/>
        </w:rPr>
      </w:pPr>
    </w:p>
    <w:p w14:paraId="23BD6FF2" w14:textId="77777777" w:rsidR="000B0CE4" w:rsidRPr="002D2D7D" w:rsidRDefault="000B0CE4" w:rsidP="002D2D7D">
      <w:pPr>
        <w:spacing w:line="240" w:lineRule="auto"/>
        <w:rPr>
          <w:b/>
        </w:rPr>
      </w:pPr>
      <w:r w:rsidRPr="002D2D7D">
        <w:rPr>
          <w:b/>
        </w:rPr>
        <w:t>ROLES AND RESPONSIBILITIES</w:t>
      </w:r>
    </w:p>
    <w:tbl>
      <w:tblPr>
        <w:tblStyle w:val="TableGrid"/>
        <w:tblW w:w="0" w:type="auto"/>
        <w:tblLook w:val="04A0" w:firstRow="1" w:lastRow="0" w:firstColumn="1" w:lastColumn="0" w:noHBand="0" w:noVBand="1"/>
      </w:tblPr>
      <w:tblGrid>
        <w:gridCol w:w="3114"/>
        <w:gridCol w:w="6848"/>
      </w:tblGrid>
      <w:tr w:rsidR="000B0CE4" w14:paraId="06DE6010" w14:textId="77777777" w:rsidTr="005D0F2E">
        <w:trPr>
          <w:trHeight w:val="382"/>
          <w:tblHeader/>
        </w:trPr>
        <w:tc>
          <w:tcPr>
            <w:tcW w:w="3114" w:type="dxa"/>
            <w:shd w:val="clear" w:color="auto" w:fill="F2F2F2" w:themeFill="background1" w:themeFillShade="F2"/>
            <w:vAlign w:val="center"/>
          </w:tcPr>
          <w:p w14:paraId="3AEE6B19" w14:textId="77777777" w:rsidR="000B0CE4" w:rsidRDefault="000B0CE4" w:rsidP="00D851F6">
            <w:pPr>
              <w:spacing w:after="0" w:line="240" w:lineRule="auto"/>
            </w:pPr>
            <w:r>
              <w:t xml:space="preserve">Individual </w:t>
            </w:r>
          </w:p>
        </w:tc>
        <w:tc>
          <w:tcPr>
            <w:tcW w:w="6848" w:type="dxa"/>
            <w:shd w:val="clear" w:color="auto" w:fill="F2F2F2" w:themeFill="background1" w:themeFillShade="F2"/>
            <w:vAlign w:val="center"/>
          </w:tcPr>
          <w:p w14:paraId="678F7DEA" w14:textId="77777777" w:rsidR="000B0CE4" w:rsidRDefault="000B0CE4" w:rsidP="00D851F6">
            <w:pPr>
              <w:spacing w:after="0" w:line="240" w:lineRule="auto"/>
              <w:rPr>
                <w:rFonts w:cstheme="minorHAnsi"/>
                <w:szCs w:val="22"/>
              </w:rPr>
            </w:pPr>
            <w:r>
              <w:rPr>
                <w:rFonts w:cstheme="minorHAnsi"/>
                <w:szCs w:val="22"/>
              </w:rPr>
              <w:t>Role summary</w:t>
            </w:r>
          </w:p>
        </w:tc>
      </w:tr>
      <w:tr w:rsidR="000B0CE4" w14:paraId="559CE19D" w14:textId="77777777" w:rsidTr="006A0046">
        <w:tc>
          <w:tcPr>
            <w:tcW w:w="3114" w:type="dxa"/>
          </w:tcPr>
          <w:p w14:paraId="1C18086D" w14:textId="77777777" w:rsidR="000B0CE4" w:rsidRDefault="000B0CE4" w:rsidP="005D0F2E">
            <w:pPr>
              <w:spacing w:before="120" w:line="240" w:lineRule="auto"/>
              <w:rPr>
                <w:rFonts w:cstheme="minorHAnsi"/>
                <w:color w:val="0000FF"/>
                <w:szCs w:val="22"/>
              </w:rPr>
            </w:pPr>
            <w:r>
              <w:rPr>
                <w:rFonts w:cstheme="minorHAnsi"/>
                <w:szCs w:val="22"/>
              </w:rPr>
              <w:t xml:space="preserve">Honorary Associate Professor Michal Boyd </w:t>
            </w:r>
          </w:p>
        </w:tc>
        <w:tc>
          <w:tcPr>
            <w:tcW w:w="6848" w:type="dxa"/>
          </w:tcPr>
          <w:p w14:paraId="6108036E" w14:textId="77777777" w:rsidR="000B0CE4" w:rsidRDefault="000B0CE4" w:rsidP="005D0F2E">
            <w:pPr>
              <w:spacing w:before="120" w:after="0" w:line="240" w:lineRule="auto"/>
              <w:rPr>
                <w:rFonts w:cstheme="minorHAnsi"/>
                <w:szCs w:val="22"/>
              </w:rPr>
            </w:pPr>
            <w:r>
              <w:rPr>
                <w:rFonts w:cstheme="minorHAnsi"/>
                <w:szCs w:val="22"/>
              </w:rPr>
              <w:t>Research methodology review and credibility.</w:t>
            </w:r>
          </w:p>
          <w:p w14:paraId="0B7877E5" w14:textId="77777777" w:rsidR="000B0CE4" w:rsidRDefault="000B0CE4" w:rsidP="005D0F2E">
            <w:pPr>
              <w:spacing w:after="0" w:line="240" w:lineRule="auto"/>
              <w:rPr>
                <w:rFonts w:cstheme="minorHAnsi"/>
                <w:szCs w:val="22"/>
              </w:rPr>
            </w:pPr>
            <w:r>
              <w:rPr>
                <w:rFonts w:cstheme="minorHAnsi"/>
                <w:szCs w:val="22"/>
              </w:rPr>
              <w:t xml:space="preserve">Sign-off and submit ethics application.  </w:t>
            </w:r>
          </w:p>
          <w:p w14:paraId="279C3302" w14:textId="77777777" w:rsidR="000B0CE4" w:rsidRDefault="000B0CE4" w:rsidP="005D0F2E">
            <w:pPr>
              <w:spacing w:after="0" w:line="240" w:lineRule="auto"/>
              <w:rPr>
                <w:rFonts w:cstheme="minorHAnsi"/>
                <w:szCs w:val="22"/>
              </w:rPr>
            </w:pPr>
            <w:r>
              <w:rPr>
                <w:rFonts w:cstheme="minorHAnsi"/>
                <w:szCs w:val="22"/>
              </w:rPr>
              <w:t>Review data analysis and publications.</w:t>
            </w:r>
          </w:p>
          <w:p w14:paraId="2E5D8AA7" w14:textId="77777777" w:rsidR="000B0CE4" w:rsidRPr="00516A71" w:rsidRDefault="000B0CE4" w:rsidP="005D0F2E">
            <w:pPr>
              <w:spacing w:after="0" w:line="240" w:lineRule="auto"/>
              <w:rPr>
                <w:rFonts w:cstheme="minorHAnsi"/>
                <w:szCs w:val="22"/>
              </w:rPr>
            </w:pPr>
            <w:r>
              <w:rPr>
                <w:rFonts w:cstheme="minorHAnsi"/>
                <w:szCs w:val="22"/>
              </w:rPr>
              <w:t xml:space="preserve">Copyright ownership DEWS – approval of changes to DEWS tools </w:t>
            </w:r>
          </w:p>
        </w:tc>
      </w:tr>
      <w:tr w:rsidR="000B0CE4" w14:paraId="75BF0389" w14:textId="77777777" w:rsidTr="006A0046">
        <w:tc>
          <w:tcPr>
            <w:tcW w:w="3114" w:type="dxa"/>
          </w:tcPr>
          <w:p w14:paraId="7E881FAB" w14:textId="77777777" w:rsidR="000B0CE4" w:rsidRDefault="000B0CE4" w:rsidP="005D0F2E">
            <w:pPr>
              <w:spacing w:before="120" w:line="240" w:lineRule="auto"/>
              <w:rPr>
                <w:rFonts w:cstheme="minorHAnsi"/>
                <w:color w:val="0000FF"/>
                <w:szCs w:val="22"/>
              </w:rPr>
            </w:pPr>
            <w:r>
              <w:t xml:space="preserve">Julie Daltrey </w:t>
            </w:r>
          </w:p>
        </w:tc>
        <w:tc>
          <w:tcPr>
            <w:tcW w:w="6848" w:type="dxa"/>
          </w:tcPr>
          <w:p w14:paraId="4733E8F1" w14:textId="77777777" w:rsidR="000B0CE4" w:rsidRDefault="000B0CE4" w:rsidP="005D0F2E">
            <w:pPr>
              <w:spacing w:before="120" w:after="0" w:line="240" w:lineRule="auto"/>
              <w:rPr>
                <w:rFonts w:cstheme="minorHAnsi"/>
                <w:szCs w:val="22"/>
              </w:rPr>
            </w:pPr>
            <w:r>
              <w:rPr>
                <w:rFonts w:cstheme="minorHAnsi"/>
                <w:szCs w:val="22"/>
              </w:rPr>
              <w:t xml:space="preserve">Clinical leadership for tools and application in the field  </w:t>
            </w:r>
          </w:p>
          <w:p w14:paraId="2D7C4F47" w14:textId="77777777" w:rsidR="000B0CE4" w:rsidRDefault="000B0CE4" w:rsidP="005D0F2E">
            <w:pPr>
              <w:spacing w:after="0" w:line="240" w:lineRule="auto"/>
              <w:rPr>
                <w:rFonts w:cstheme="minorHAnsi"/>
                <w:szCs w:val="22"/>
              </w:rPr>
            </w:pPr>
            <w:r>
              <w:rPr>
                <w:rFonts w:cstheme="minorHAnsi"/>
                <w:szCs w:val="22"/>
              </w:rPr>
              <w:t xml:space="preserve">Draft ethics application and research protocol.  </w:t>
            </w:r>
          </w:p>
          <w:p w14:paraId="14FA1596" w14:textId="77777777" w:rsidR="000B0CE4" w:rsidRDefault="000B0CE4" w:rsidP="005D0F2E">
            <w:pPr>
              <w:spacing w:after="0" w:line="240" w:lineRule="auto"/>
              <w:rPr>
                <w:rFonts w:cstheme="minorHAnsi"/>
                <w:szCs w:val="22"/>
              </w:rPr>
            </w:pPr>
            <w:r>
              <w:rPr>
                <w:rFonts w:cstheme="minorHAnsi"/>
                <w:szCs w:val="22"/>
              </w:rPr>
              <w:t xml:space="preserve">Work up analysis, writing and approval of publications. </w:t>
            </w:r>
          </w:p>
          <w:p w14:paraId="72563F87" w14:textId="77777777" w:rsidR="000B0CE4" w:rsidRDefault="000B0CE4" w:rsidP="005D0F2E">
            <w:pPr>
              <w:spacing w:after="0" w:line="240" w:lineRule="auto"/>
              <w:rPr>
                <w:rFonts w:cstheme="minorHAnsi"/>
                <w:szCs w:val="22"/>
              </w:rPr>
            </w:pPr>
            <w:r>
              <w:rPr>
                <w:rFonts w:cstheme="minorHAnsi"/>
                <w:szCs w:val="22"/>
              </w:rPr>
              <w:t xml:space="preserve">Copyright ownership DEWS – approval of changes to DEWS tools </w:t>
            </w:r>
          </w:p>
          <w:p w14:paraId="591AD735" w14:textId="77777777" w:rsidR="005D0F2E" w:rsidRPr="004A140E" w:rsidRDefault="005D0F2E" w:rsidP="005D0F2E">
            <w:pPr>
              <w:spacing w:after="0" w:line="240" w:lineRule="auto"/>
              <w:rPr>
                <w:rFonts w:cstheme="minorHAnsi"/>
                <w:szCs w:val="22"/>
              </w:rPr>
            </w:pPr>
          </w:p>
        </w:tc>
      </w:tr>
      <w:tr w:rsidR="000B0CE4" w14:paraId="34A99FA9" w14:textId="77777777" w:rsidTr="006A0046">
        <w:tc>
          <w:tcPr>
            <w:tcW w:w="3114" w:type="dxa"/>
          </w:tcPr>
          <w:p w14:paraId="3BF7A591" w14:textId="77777777" w:rsidR="000B0CE4" w:rsidRDefault="000B0CE4" w:rsidP="00364260">
            <w:pPr>
              <w:spacing w:after="0" w:line="240" w:lineRule="auto"/>
              <w:rPr>
                <w:rFonts w:cstheme="minorHAnsi"/>
                <w:szCs w:val="22"/>
              </w:rPr>
            </w:pPr>
            <w:r>
              <w:rPr>
                <w:rFonts w:cstheme="minorHAnsi"/>
                <w:szCs w:val="22"/>
              </w:rPr>
              <w:lastRenderedPageBreak/>
              <w:t>Katrina Hutchins</w:t>
            </w:r>
          </w:p>
        </w:tc>
        <w:tc>
          <w:tcPr>
            <w:tcW w:w="6848" w:type="dxa"/>
          </w:tcPr>
          <w:p w14:paraId="26977CD3" w14:textId="77777777" w:rsidR="000B0CE4" w:rsidRDefault="000B0CE4" w:rsidP="00364260">
            <w:pPr>
              <w:spacing w:after="0" w:line="240" w:lineRule="auto"/>
              <w:rPr>
                <w:rFonts w:cstheme="minorHAnsi"/>
                <w:szCs w:val="22"/>
              </w:rPr>
            </w:pPr>
            <w:r w:rsidRPr="006A0046">
              <w:rPr>
                <w:rFonts w:cstheme="minorHAnsi"/>
                <w:szCs w:val="22"/>
              </w:rPr>
              <w:t xml:space="preserve">Quality improvement </w:t>
            </w:r>
            <w:r>
              <w:rPr>
                <w:rFonts w:cstheme="minorHAnsi"/>
                <w:szCs w:val="22"/>
              </w:rPr>
              <w:t xml:space="preserve">(QI) </w:t>
            </w:r>
            <w:r w:rsidRPr="006A0046">
              <w:rPr>
                <w:rFonts w:cstheme="minorHAnsi"/>
                <w:szCs w:val="22"/>
              </w:rPr>
              <w:t>expertise</w:t>
            </w:r>
          </w:p>
          <w:p w14:paraId="1C9C79A1" w14:textId="77777777" w:rsidR="000B0CE4" w:rsidRDefault="000B0CE4" w:rsidP="007F6CD1">
            <w:pPr>
              <w:spacing w:after="0" w:line="240" w:lineRule="auto"/>
              <w:rPr>
                <w:rFonts w:cstheme="minorHAnsi"/>
                <w:szCs w:val="22"/>
              </w:rPr>
            </w:pPr>
            <w:r>
              <w:rPr>
                <w:rFonts w:cstheme="minorHAnsi"/>
                <w:szCs w:val="22"/>
              </w:rPr>
              <w:t>E</w:t>
            </w:r>
            <w:r w:rsidRPr="006A0046">
              <w:rPr>
                <w:rFonts w:cstheme="minorHAnsi"/>
                <w:szCs w:val="22"/>
              </w:rPr>
              <w:t>ducation</w:t>
            </w:r>
            <w:r>
              <w:rPr>
                <w:rFonts w:cstheme="minorHAnsi"/>
                <w:szCs w:val="22"/>
              </w:rPr>
              <w:t xml:space="preserve"> </w:t>
            </w:r>
            <w:r w:rsidRPr="006A0046">
              <w:rPr>
                <w:rFonts w:cstheme="minorHAnsi"/>
                <w:szCs w:val="22"/>
              </w:rPr>
              <w:t>training and support of ARC facilities</w:t>
            </w:r>
            <w:r>
              <w:rPr>
                <w:rFonts w:cstheme="minorHAnsi"/>
                <w:szCs w:val="22"/>
              </w:rPr>
              <w:t xml:space="preserve"> in QI</w:t>
            </w:r>
          </w:p>
          <w:p w14:paraId="39F2DA33" w14:textId="77777777" w:rsidR="000B0CE4" w:rsidRPr="002257AB" w:rsidRDefault="000B0CE4" w:rsidP="007F6CD1">
            <w:pPr>
              <w:spacing w:after="0" w:line="240" w:lineRule="auto"/>
              <w:rPr>
                <w:rFonts w:cstheme="minorHAnsi"/>
                <w:szCs w:val="22"/>
                <w:highlight w:val="yellow"/>
              </w:rPr>
            </w:pPr>
            <w:r>
              <w:rPr>
                <w:rFonts w:cstheme="minorHAnsi"/>
                <w:szCs w:val="22"/>
              </w:rPr>
              <w:t>Lead QI measurement and supporting documents</w:t>
            </w:r>
          </w:p>
        </w:tc>
      </w:tr>
      <w:tr w:rsidR="000B0CE4" w14:paraId="29778228" w14:textId="77777777" w:rsidTr="006A0046">
        <w:tc>
          <w:tcPr>
            <w:tcW w:w="3114" w:type="dxa"/>
          </w:tcPr>
          <w:p w14:paraId="6A5ED4A8" w14:textId="77777777" w:rsidR="000B0CE4" w:rsidRDefault="000B0CE4" w:rsidP="00D851F6">
            <w:pPr>
              <w:spacing w:after="0" w:line="240" w:lineRule="auto"/>
              <w:rPr>
                <w:rFonts w:cstheme="minorHAnsi"/>
                <w:szCs w:val="22"/>
              </w:rPr>
            </w:pPr>
            <w:r>
              <w:rPr>
                <w:rFonts w:cstheme="minorHAnsi"/>
                <w:szCs w:val="22"/>
              </w:rPr>
              <w:t>Mahasweta Mistry and</w:t>
            </w:r>
          </w:p>
          <w:p w14:paraId="53112F0F" w14:textId="77777777" w:rsidR="000B0CE4" w:rsidRDefault="000B0CE4" w:rsidP="00D851F6">
            <w:pPr>
              <w:spacing w:after="0" w:line="240" w:lineRule="auto"/>
              <w:rPr>
                <w:rFonts w:cstheme="minorHAnsi"/>
                <w:szCs w:val="22"/>
              </w:rPr>
            </w:pPr>
            <w:r>
              <w:rPr>
                <w:rFonts w:cstheme="minorHAnsi"/>
                <w:szCs w:val="22"/>
              </w:rPr>
              <w:t>Rachel Spooner</w:t>
            </w:r>
          </w:p>
        </w:tc>
        <w:tc>
          <w:tcPr>
            <w:tcW w:w="6848" w:type="dxa"/>
          </w:tcPr>
          <w:p w14:paraId="55474038" w14:textId="77777777" w:rsidR="000B0CE4" w:rsidRPr="002257AB" w:rsidRDefault="000B0CE4" w:rsidP="00D851F6">
            <w:pPr>
              <w:spacing w:after="0" w:line="240" w:lineRule="auto"/>
              <w:rPr>
                <w:rFonts w:cstheme="minorHAnsi"/>
                <w:szCs w:val="22"/>
                <w:highlight w:val="yellow"/>
              </w:rPr>
            </w:pPr>
            <w:r w:rsidRPr="006A0046">
              <w:rPr>
                <w:rFonts w:cstheme="minorHAnsi"/>
                <w:szCs w:val="22"/>
              </w:rPr>
              <w:t>Support project</w:t>
            </w:r>
            <w:r>
              <w:rPr>
                <w:rFonts w:cstheme="minorHAnsi"/>
                <w:szCs w:val="22"/>
              </w:rPr>
              <w:t xml:space="preserve"> and manage</w:t>
            </w:r>
            <w:r w:rsidRPr="006A0046">
              <w:rPr>
                <w:rFonts w:cstheme="minorHAnsi"/>
                <w:szCs w:val="22"/>
              </w:rPr>
              <w:t xml:space="preserve"> timelines </w:t>
            </w:r>
          </w:p>
        </w:tc>
      </w:tr>
      <w:tr w:rsidR="000B0CE4" w14:paraId="63A10543" w14:textId="77777777" w:rsidTr="006A0046">
        <w:tc>
          <w:tcPr>
            <w:tcW w:w="3114" w:type="dxa"/>
          </w:tcPr>
          <w:p w14:paraId="68C8FBE4" w14:textId="77777777" w:rsidR="000B0CE4" w:rsidRPr="00AE1D6E" w:rsidRDefault="000B0CE4" w:rsidP="00EA3B87">
            <w:pPr>
              <w:spacing w:after="0" w:line="240" w:lineRule="auto"/>
              <w:rPr>
                <w:rFonts w:cstheme="minorHAnsi"/>
                <w:szCs w:val="22"/>
                <w:highlight w:val="yellow"/>
              </w:rPr>
            </w:pPr>
            <w:r>
              <w:rPr>
                <w:rFonts w:ascii="Arial" w:hAnsi="Arial" w:cs="Arial"/>
                <w:szCs w:val="22"/>
              </w:rPr>
              <w:t>Ying Li and Alexis Wevers</w:t>
            </w:r>
          </w:p>
        </w:tc>
        <w:tc>
          <w:tcPr>
            <w:tcW w:w="6848" w:type="dxa"/>
          </w:tcPr>
          <w:p w14:paraId="01743EFC" w14:textId="77777777" w:rsidR="000B0CE4" w:rsidRPr="004A140E" w:rsidRDefault="000B0CE4" w:rsidP="00D851F6">
            <w:pPr>
              <w:spacing w:after="0" w:line="240" w:lineRule="auto"/>
              <w:rPr>
                <w:rFonts w:cstheme="minorHAnsi"/>
                <w:szCs w:val="22"/>
              </w:rPr>
            </w:pPr>
            <w:r>
              <w:rPr>
                <w:rFonts w:cstheme="minorHAnsi"/>
                <w:szCs w:val="22"/>
              </w:rPr>
              <w:t>Support with data analysis and reports</w:t>
            </w:r>
          </w:p>
        </w:tc>
      </w:tr>
    </w:tbl>
    <w:p w14:paraId="3353D2A1" w14:textId="77777777" w:rsidR="000B0CE4" w:rsidRDefault="000B0CE4" w:rsidP="00C62995">
      <w:pPr>
        <w:autoSpaceDE w:val="0"/>
        <w:autoSpaceDN w:val="0"/>
        <w:adjustRightInd w:val="0"/>
        <w:spacing w:after="0" w:line="240" w:lineRule="auto"/>
        <w:rPr>
          <w:rFonts w:cstheme="minorHAnsi"/>
          <w:b/>
          <w:lang w:eastAsia="en-GB"/>
        </w:rPr>
      </w:pPr>
    </w:p>
    <w:p w14:paraId="31C43006" w14:textId="77777777" w:rsidR="000B0CE4" w:rsidRDefault="000B0CE4" w:rsidP="006A0046">
      <w:pPr>
        <w:pStyle w:val="Heading1"/>
        <w:spacing w:before="360" w:after="120"/>
        <w:rPr>
          <w:rFonts w:asciiTheme="minorHAnsi" w:hAnsiTheme="minorHAnsi" w:cstheme="minorHAnsi"/>
          <w:color w:val="auto"/>
          <w:sz w:val="22"/>
          <w:szCs w:val="22"/>
        </w:rPr>
      </w:pPr>
      <w:r>
        <w:rPr>
          <w:rFonts w:asciiTheme="minorHAnsi" w:hAnsiTheme="minorHAnsi" w:cstheme="minorHAnsi"/>
          <w:color w:val="auto"/>
          <w:sz w:val="22"/>
          <w:szCs w:val="22"/>
        </w:rPr>
        <w:t>B: STUDY SETTING</w:t>
      </w:r>
    </w:p>
    <w:p w14:paraId="4E731F3C" w14:textId="77777777" w:rsidR="000B0CE4" w:rsidRDefault="000B0CE4" w:rsidP="005674CF">
      <w:pPr>
        <w:autoSpaceDE w:val="0"/>
        <w:autoSpaceDN w:val="0"/>
        <w:adjustRightInd w:val="0"/>
        <w:spacing w:line="240" w:lineRule="auto"/>
        <w:rPr>
          <w:rFonts w:cstheme="minorHAnsi"/>
          <w:bCs/>
          <w:lang w:eastAsia="en-GB"/>
        </w:rPr>
      </w:pPr>
      <w:r>
        <w:rPr>
          <w:rFonts w:cstheme="minorHAnsi"/>
          <w:bCs/>
          <w:lang w:eastAsia="en-GB"/>
        </w:rPr>
        <w:t>This study is based in ag</w:t>
      </w:r>
      <w:r w:rsidRPr="00CF0667">
        <w:rPr>
          <w:rFonts w:cstheme="minorHAnsi"/>
          <w:bCs/>
          <w:lang w:eastAsia="en-GB"/>
        </w:rPr>
        <w:t xml:space="preserve">ed-related residential </w:t>
      </w:r>
      <w:r>
        <w:rPr>
          <w:rFonts w:cstheme="minorHAnsi"/>
          <w:bCs/>
          <w:lang w:eastAsia="en-GB"/>
        </w:rPr>
        <w:t xml:space="preserve">care (ARC) facilities across New Zealand.  The ARC sector is a collection of privately owned services with different delivery models (for profit, not for profit approaches, corporate group, religious and welfare &amp; individual ownership) that do not fit under the Te </w:t>
      </w:r>
      <w:proofErr w:type="spellStart"/>
      <w:r>
        <w:rPr>
          <w:rFonts w:cstheme="minorHAnsi"/>
          <w:bCs/>
          <w:lang w:eastAsia="en-GB"/>
        </w:rPr>
        <w:t>Whatu</w:t>
      </w:r>
      <w:proofErr w:type="spellEnd"/>
      <w:r>
        <w:rPr>
          <w:rFonts w:cstheme="minorHAnsi"/>
          <w:bCs/>
          <w:lang w:eastAsia="en-GB"/>
        </w:rPr>
        <w:t xml:space="preserve"> Ora localities (previously DHB) system. </w:t>
      </w:r>
    </w:p>
    <w:p w14:paraId="31821E75" w14:textId="687CCBA1" w:rsidR="000B0CE4" w:rsidRDefault="000B0CE4" w:rsidP="005674CF">
      <w:pPr>
        <w:autoSpaceDE w:val="0"/>
        <w:autoSpaceDN w:val="0"/>
        <w:adjustRightInd w:val="0"/>
        <w:spacing w:line="240" w:lineRule="auto"/>
        <w:rPr>
          <w:rFonts w:cstheme="minorHAnsi"/>
          <w:bCs/>
          <w:lang w:eastAsia="en-GB"/>
        </w:rPr>
      </w:pPr>
      <w:r>
        <w:rPr>
          <w:rFonts w:cstheme="minorHAnsi"/>
          <w:bCs/>
          <w:lang w:eastAsia="en-GB"/>
        </w:rPr>
        <w:t xml:space="preserve">This study is a collaboration between University of Auckland researchers and </w:t>
      </w:r>
      <w:r w:rsidRPr="000A23B9">
        <w:rPr>
          <w:rFonts w:cstheme="minorHAnsi"/>
          <w:szCs w:val="22"/>
        </w:rPr>
        <w:t xml:space="preserve">Te </w:t>
      </w:r>
      <w:proofErr w:type="spellStart"/>
      <w:r w:rsidRPr="000A23B9">
        <w:rPr>
          <w:rFonts w:cstheme="minorHAnsi"/>
          <w:szCs w:val="22"/>
        </w:rPr>
        <w:t>Tāhū</w:t>
      </w:r>
      <w:proofErr w:type="spellEnd"/>
      <w:r w:rsidRPr="000A23B9">
        <w:rPr>
          <w:rFonts w:cstheme="minorHAnsi"/>
          <w:szCs w:val="22"/>
        </w:rPr>
        <w:t xml:space="preserve"> </w:t>
      </w:r>
      <w:r w:rsidR="0047405D">
        <w:rPr>
          <w:rFonts w:cstheme="minorHAnsi"/>
          <w:szCs w:val="22"/>
        </w:rPr>
        <w:t>Hauora</w:t>
      </w:r>
      <w:r>
        <w:rPr>
          <w:rFonts w:ascii="Arial" w:hAnsi="Arial" w:cs="Arial"/>
          <w:szCs w:val="22"/>
        </w:rPr>
        <w:t xml:space="preserve"> Health Quality </w:t>
      </w:r>
      <w:r w:rsidR="000F2FE8">
        <w:rPr>
          <w:rFonts w:ascii="Arial" w:hAnsi="Arial" w:cs="Arial"/>
          <w:szCs w:val="22"/>
        </w:rPr>
        <w:t>&amp;</w:t>
      </w:r>
      <w:r>
        <w:rPr>
          <w:rFonts w:ascii="Arial" w:hAnsi="Arial" w:cs="Arial"/>
          <w:szCs w:val="22"/>
        </w:rPr>
        <w:t xml:space="preserve"> Safety (</w:t>
      </w:r>
      <w:r w:rsidRPr="000A23B9">
        <w:rPr>
          <w:rFonts w:cstheme="minorHAnsi"/>
          <w:szCs w:val="22"/>
        </w:rPr>
        <w:t xml:space="preserve">Te </w:t>
      </w:r>
      <w:proofErr w:type="spellStart"/>
      <w:r w:rsidRPr="000A23B9">
        <w:rPr>
          <w:rFonts w:cstheme="minorHAnsi"/>
          <w:szCs w:val="22"/>
        </w:rPr>
        <w:t>Tāhū</w:t>
      </w:r>
      <w:proofErr w:type="spellEnd"/>
      <w:r w:rsidRPr="000A23B9">
        <w:rPr>
          <w:rFonts w:cstheme="minorHAnsi"/>
          <w:szCs w:val="22"/>
        </w:rPr>
        <w:t xml:space="preserve"> </w:t>
      </w:r>
      <w:r w:rsidR="000F2FE8">
        <w:rPr>
          <w:rFonts w:cstheme="minorHAnsi"/>
          <w:szCs w:val="22"/>
        </w:rPr>
        <w:t>Hauora</w:t>
      </w:r>
      <w:r>
        <w:rPr>
          <w:rFonts w:ascii="Arial" w:hAnsi="Arial" w:cs="Arial"/>
          <w:szCs w:val="22"/>
        </w:rPr>
        <w:t xml:space="preserve">) </w:t>
      </w:r>
      <w:r>
        <w:rPr>
          <w:rFonts w:cstheme="minorHAnsi"/>
          <w:bCs/>
          <w:lang w:eastAsia="en-GB"/>
        </w:rPr>
        <w:t xml:space="preserve">the body charged with quality improvement leadership in Aotearoa New Zealand </w:t>
      </w:r>
    </w:p>
    <w:p w14:paraId="67D74A4A" w14:textId="77777777" w:rsidR="000B0CE4" w:rsidRDefault="000B0CE4" w:rsidP="006A0046">
      <w:pPr>
        <w:pStyle w:val="Heading1"/>
        <w:spacing w:before="360" w:after="120"/>
        <w:rPr>
          <w:rFonts w:asciiTheme="minorHAnsi" w:hAnsiTheme="minorHAnsi" w:cstheme="minorHAnsi"/>
          <w:color w:val="auto"/>
          <w:sz w:val="22"/>
          <w:szCs w:val="22"/>
        </w:rPr>
      </w:pPr>
      <w:r>
        <w:rPr>
          <w:rFonts w:asciiTheme="minorHAnsi" w:hAnsiTheme="minorHAnsi" w:cstheme="minorHAnsi"/>
          <w:color w:val="auto"/>
          <w:sz w:val="22"/>
          <w:szCs w:val="22"/>
        </w:rPr>
        <w:t>C: STUDY DESCRIPTION</w:t>
      </w:r>
    </w:p>
    <w:p w14:paraId="4949E647" w14:textId="5E533A48" w:rsidR="000B0CE4" w:rsidRDefault="000B0CE4" w:rsidP="000E723A">
      <w:pPr>
        <w:pStyle w:val="Heading1"/>
        <w:spacing w:before="0" w:after="120"/>
        <w:rPr>
          <w:rFonts w:asciiTheme="minorHAnsi" w:hAnsiTheme="minorHAnsi" w:cstheme="minorHAnsi"/>
          <w:b w:val="0"/>
          <w:bCs w:val="0"/>
          <w:color w:val="auto"/>
          <w:sz w:val="22"/>
          <w:szCs w:val="22"/>
        </w:rPr>
      </w:pPr>
      <w:r w:rsidRPr="000E723A">
        <w:rPr>
          <w:rFonts w:asciiTheme="minorHAnsi" w:hAnsiTheme="minorHAnsi" w:cstheme="minorHAnsi"/>
          <w:b w:val="0"/>
          <w:bCs w:val="0"/>
          <w:color w:val="auto"/>
          <w:sz w:val="22"/>
          <w:szCs w:val="22"/>
        </w:rPr>
        <w:t>This</w:t>
      </w:r>
      <w:r>
        <w:rPr>
          <w:rFonts w:asciiTheme="minorHAnsi" w:hAnsiTheme="minorHAnsi" w:cstheme="minorHAnsi"/>
          <w:b w:val="0"/>
          <w:bCs w:val="0"/>
          <w:color w:val="auto"/>
          <w:sz w:val="22"/>
          <w:szCs w:val="22"/>
        </w:rPr>
        <w:t xml:space="preserve"> is a type 2 hybrid feasibility testing study </w:t>
      </w:r>
      <w:hyperlink r:id="rId15" w:history="1">
        <w:r w:rsidRPr="000B0CE4">
          <w:rPr>
            <w:rFonts w:ascii="Arial" w:eastAsia="Times New Roman" w:hAnsi="Arial" w:cs="Arial"/>
            <w:b w:val="0"/>
            <w:bCs w:val="0"/>
            <w:color w:val="auto"/>
            <w:sz w:val="22"/>
          </w:rPr>
          <w:t>(Pearson et al., 2020)</w:t>
        </w:r>
      </w:hyperlink>
      <w:r w:rsidRPr="000B0CE4">
        <w:rPr>
          <w:rFonts w:asciiTheme="minorHAnsi" w:hAnsiTheme="minorHAnsi" w:cstheme="minorHAnsi"/>
          <w:b w:val="0"/>
          <w:bCs w:val="0"/>
          <w:color w:val="auto"/>
          <w:sz w:val="22"/>
          <w:szCs w:val="22"/>
        </w:rPr>
        <w:t xml:space="preserve">. </w:t>
      </w:r>
      <w:r>
        <w:rPr>
          <w:rFonts w:asciiTheme="minorHAnsi" w:hAnsiTheme="minorHAnsi" w:cstheme="minorHAnsi"/>
          <w:b w:val="0"/>
          <w:bCs w:val="0"/>
          <w:color w:val="auto"/>
          <w:sz w:val="22"/>
          <w:szCs w:val="22"/>
        </w:rPr>
        <w:t xml:space="preserve"> It will test the impact of the Deterioration Early Warning System (DEWS) on staff processes related to the recognition of and response to acute deterioration.  Recognising and </w:t>
      </w:r>
      <w:r>
        <w:rPr>
          <w:rFonts w:cstheme="majorHAnsi"/>
          <w:b w:val="0"/>
          <w:bCs w:val="0"/>
          <w:color w:val="auto"/>
          <w:sz w:val="22"/>
          <w:szCs w:val="22"/>
        </w:rPr>
        <w:t xml:space="preserve">responding to acute deterioration is a core clinical practice expectation, one that is already being met in a multitude of ways.  DEWS provides standardised guidance to support staff to meet this core exception.  </w:t>
      </w:r>
      <w:r>
        <w:rPr>
          <w:rFonts w:asciiTheme="minorHAnsi" w:hAnsiTheme="minorHAnsi" w:cstheme="minorHAnsi"/>
          <w:b w:val="0"/>
          <w:bCs w:val="0"/>
          <w:color w:val="auto"/>
          <w:sz w:val="22"/>
          <w:szCs w:val="22"/>
        </w:rPr>
        <w:t xml:space="preserve">As a hybrid study it will test </w:t>
      </w:r>
    </w:p>
    <w:p w14:paraId="33141320" w14:textId="77777777" w:rsidR="000B0CE4" w:rsidRDefault="000B0CE4" w:rsidP="003C64DC">
      <w:pPr>
        <w:pStyle w:val="Heading1"/>
        <w:numPr>
          <w:ilvl w:val="0"/>
          <w:numId w:val="26"/>
        </w:numPr>
        <w:spacing w:before="0" w:after="120"/>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 xml:space="preserve">The ability of DEWS: a recently developed </w:t>
      </w:r>
      <w:r w:rsidRPr="000E723A">
        <w:rPr>
          <w:rFonts w:asciiTheme="minorHAnsi" w:hAnsiTheme="minorHAnsi" w:cstheme="minorHAnsi"/>
          <w:b w:val="0"/>
          <w:bCs w:val="0"/>
          <w:color w:val="auto"/>
          <w:sz w:val="22"/>
          <w:szCs w:val="22"/>
        </w:rPr>
        <w:t xml:space="preserve">standardised </w:t>
      </w:r>
      <w:r>
        <w:rPr>
          <w:rFonts w:asciiTheme="minorHAnsi" w:hAnsiTheme="minorHAnsi" w:cstheme="minorHAnsi"/>
          <w:b w:val="0"/>
          <w:bCs w:val="0"/>
          <w:color w:val="auto"/>
          <w:sz w:val="22"/>
          <w:szCs w:val="22"/>
        </w:rPr>
        <w:t>set of clinical tools to help ARC healthcare staff to recognise and respond to acute deterioration.</w:t>
      </w:r>
    </w:p>
    <w:p w14:paraId="242E8A98" w14:textId="77777777" w:rsidR="000B0CE4" w:rsidRDefault="000B0CE4" w:rsidP="003C64DC">
      <w:pPr>
        <w:pStyle w:val="Heading1"/>
        <w:numPr>
          <w:ilvl w:val="0"/>
          <w:numId w:val="26"/>
        </w:numPr>
        <w:spacing w:before="0" w:after="120"/>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The effectiveness of the quality improvement package to support the implementation of the DEWS.</w:t>
      </w:r>
    </w:p>
    <w:p w14:paraId="2887A623" w14:textId="77777777" w:rsidR="000B0CE4" w:rsidRDefault="000B0CE4" w:rsidP="0087277D">
      <w:pPr>
        <w:pStyle w:val="Heading1"/>
        <w:spacing w:before="240"/>
        <w:rPr>
          <w:rFonts w:cstheme="majorHAnsi"/>
          <w:b w:val="0"/>
          <w:bCs w:val="0"/>
          <w:color w:val="auto"/>
          <w:sz w:val="22"/>
          <w:szCs w:val="22"/>
        </w:rPr>
      </w:pPr>
      <w:r w:rsidRPr="00BD6366">
        <w:rPr>
          <w:rFonts w:ascii="Arial" w:eastAsia="Times New Roman" w:hAnsi="Arial" w:cs="Arial"/>
          <w:b w:val="0"/>
          <w:bCs w:val="0"/>
          <w:color w:val="auto"/>
          <w:sz w:val="22"/>
          <w:szCs w:val="22"/>
          <w:lang w:val="en-US"/>
        </w:rPr>
        <w:t>It is anticipated that the DEWS will improve recognition and response processes</w:t>
      </w:r>
      <w:r>
        <w:rPr>
          <w:rFonts w:ascii="Arial" w:eastAsia="Times New Roman" w:hAnsi="Arial" w:cs="Arial"/>
          <w:b w:val="0"/>
          <w:bCs w:val="0"/>
          <w:color w:val="auto"/>
          <w:sz w:val="22"/>
          <w:szCs w:val="22"/>
          <w:lang w:val="en-US"/>
        </w:rPr>
        <w:t>.  A</w:t>
      </w:r>
      <w:r w:rsidRPr="00BD6366">
        <w:rPr>
          <w:rFonts w:ascii="Arial" w:eastAsia="Times New Roman" w:hAnsi="Arial" w:cs="Arial"/>
          <w:b w:val="0"/>
          <w:bCs w:val="0"/>
          <w:color w:val="auto"/>
          <w:sz w:val="22"/>
          <w:szCs w:val="22"/>
          <w:lang w:val="en-US"/>
        </w:rPr>
        <w:t>t the worst it will be non-inferior to current clinical processes</w:t>
      </w:r>
      <w:r>
        <w:rPr>
          <w:rFonts w:ascii="Arial" w:eastAsia="Times New Roman" w:hAnsi="Arial" w:cs="Arial"/>
          <w:b w:val="0"/>
          <w:bCs w:val="0"/>
          <w:color w:val="auto"/>
          <w:sz w:val="22"/>
          <w:szCs w:val="22"/>
          <w:lang w:val="en-US"/>
        </w:rPr>
        <w:t xml:space="preserve">.  </w:t>
      </w:r>
      <w:r>
        <w:rPr>
          <w:rFonts w:cstheme="majorHAnsi"/>
          <w:b w:val="0"/>
          <w:bCs w:val="0"/>
          <w:color w:val="auto"/>
          <w:sz w:val="22"/>
          <w:szCs w:val="22"/>
        </w:rPr>
        <w:t xml:space="preserve">The DEWS is a “track and trigger” tool.  It tracks resident health through on-going observation by healthcare assistants (HCA) during routine clinical care.  It triggers an assessment by the registered nurse (RN) when change is noted by the HCA.  It supports RN clinical communication with the primary care provider or other responding service.  </w:t>
      </w:r>
    </w:p>
    <w:p w14:paraId="76FD5A0A" w14:textId="77777777" w:rsidR="000B0CE4" w:rsidRDefault="000B0CE4" w:rsidP="0087277D">
      <w:pPr>
        <w:pStyle w:val="Heading1"/>
        <w:spacing w:before="240"/>
        <w:rPr>
          <w:rFonts w:cstheme="majorHAnsi"/>
          <w:b w:val="0"/>
          <w:bCs w:val="0"/>
          <w:color w:val="auto"/>
          <w:sz w:val="22"/>
          <w:szCs w:val="22"/>
        </w:rPr>
      </w:pPr>
      <w:r>
        <w:rPr>
          <w:rFonts w:cstheme="majorHAnsi"/>
          <w:b w:val="0"/>
          <w:bCs w:val="0"/>
          <w:color w:val="auto"/>
          <w:sz w:val="22"/>
          <w:szCs w:val="22"/>
        </w:rPr>
        <w:t>This is not considered a resident (health consumer intervention) because tracking of resident health by HCA will continue to be observational and the resident will not be aware of any changes.  Should an issue be identified a RN assessment and referral will be actioned.  The resident experience of this will be ‘business as usual’.</w:t>
      </w:r>
    </w:p>
    <w:p w14:paraId="70741CDA" w14:textId="77777777" w:rsidR="000B0CE4" w:rsidRDefault="000B0CE4" w:rsidP="0087277D">
      <w:pPr>
        <w:pStyle w:val="Heading1"/>
        <w:spacing w:before="240"/>
        <w:rPr>
          <w:rFonts w:cstheme="majorHAnsi"/>
          <w:b w:val="0"/>
          <w:bCs w:val="0"/>
          <w:color w:val="auto"/>
          <w:sz w:val="22"/>
          <w:szCs w:val="22"/>
        </w:rPr>
      </w:pPr>
      <w:r>
        <w:rPr>
          <w:rFonts w:cstheme="majorHAnsi"/>
          <w:b w:val="0"/>
          <w:bCs w:val="0"/>
          <w:color w:val="auto"/>
          <w:sz w:val="22"/>
          <w:szCs w:val="22"/>
        </w:rPr>
        <w:t xml:space="preserve">The change we are testing is the feasibility of using a standardised process (DEWS) to support healthcare staff with this core clinical practice expectation and the quality improvement activities need to implement DEWS in the ARC environment. </w:t>
      </w:r>
    </w:p>
    <w:p w14:paraId="3183D4B4" w14:textId="77777777" w:rsidR="000B0CE4" w:rsidRPr="003802A1" w:rsidRDefault="000B0CE4" w:rsidP="0087277D">
      <w:pPr>
        <w:pStyle w:val="Heading1"/>
        <w:spacing w:before="240"/>
        <w:rPr>
          <w:rFonts w:asciiTheme="minorHAnsi" w:hAnsiTheme="minorHAnsi" w:cstheme="minorHAnsi"/>
          <w:color w:val="auto"/>
          <w:sz w:val="22"/>
          <w:szCs w:val="22"/>
        </w:rPr>
      </w:pPr>
      <w:r>
        <w:rPr>
          <w:rFonts w:asciiTheme="minorHAnsi" w:hAnsiTheme="minorHAnsi" w:cstheme="minorHAnsi"/>
          <w:color w:val="auto"/>
          <w:sz w:val="22"/>
          <w:szCs w:val="22"/>
        </w:rPr>
        <w:t xml:space="preserve">Aims </w:t>
      </w:r>
    </w:p>
    <w:p w14:paraId="2983BA75" w14:textId="77777777" w:rsidR="000B0CE4" w:rsidRPr="004D39F0" w:rsidRDefault="000B0CE4" w:rsidP="000866C4">
      <w:pPr>
        <w:pStyle w:val="paragraph"/>
        <w:numPr>
          <w:ilvl w:val="0"/>
          <w:numId w:val="7"/>
        </w:numPr>
        <w:spacing w:before="0" w:beforeAutospacing="0" w:after="0" w:afterAutospacing="0"/>
        <w:textAlignment w:val="baseline"/>
        <w:rPr>
          <w:rStyle w:val="normaltextrun"/>
          <w:rFonts w:asciiTheme="minorHAnsi" w:hAnsiTheme="minorHAnsi" w:cstheme="minorHAnsi"/>
          <w:sz w:val="22"/>
          <w:szCs w:val="22"/>
        </w:rPr>
      </w:pPr>
      <w:bookmarkStart w:id="4" w:name="_Hlk148618796"/>
      <w:r>
        <w:rPr>
          <w:rStyle w:val="normaltextrun"/>
          <w:rFonts w:asciiTheme="minorHAnsi" w:hAnsiTheme="minorHAnsi" w:cstheme="minorHAnsi"/>
          <w:sz w:val="22"/>
          <w:szCs w:val="22"/>
        </w:rPr>
        <w:t xml:space="preserve">To test the feasibility of </w:t>
      </w:r>
      <w:r w:rsidRPr="00332E1F">
        <w:rPr>
          <w:rStyle w:val="normaltextrun"/>
          <w:rFonts w:asciiTheme="minorHAnsi" w:hAnsiTheme="minorHAnsi" w:cstheme="minorHAnsi"/>
          <w:sz w:val="22"/>
          <w:szCs w:val="22"/>
          <w:lang w:val="en-US"/>
        </w:rPr>
        <w:t xml:space="preserve">implementing DEWS tools in ARC </w:t>
      </w:r>
    </w:p>
    <w:p w14:paraId="3D94F5C4" w14:textId="3E5D6201" w:rsidR="000B0CE4" w:rsidRPr="005558AC" w:rsidRDefault="000B0CE4" w:rsidP="000866C4">
      <w:pPr>
        <w:pStyle w:val="paragraph"/>
        <w:numPr>
          <w:ilvl w:val="0"/>
          <w:numId w:val="7"/>
        </w:numPr>
        <w:spacing w:before="0" w:beforeAutospacing="0" w:after="0" w:afterAutospacing="0"/>
        <w:textAlignment w:val="baseline"/>
        <w:rPr>
          <w:rStyle w:val="eop"/>
          <w:rFonts w:asciiTheme="minorHAnsi" w:hAnsiTheme="minorHAnsi" w:cstheme="minorHAnsi"/>
          <w:sz w:val="22"/>
          <w:szCs w:val="22"/>
        </w:rPr>
      </w:pPr>
      <w:r w:rsidRPr="005558AC">
        <w:rPr>
          <w:rStyle w:val="eop"/>
          <w:rFonts w:asciiTheme="minorHAnsi" w:hAnsiTheme="minorHAnsi" w:cstheme="minorHAnsi"/>
          <w:sz w:val="22"/>
          <w:szCs w:val="22"/>
        </w:rPr>
        <w:t xml:space="preserve">To </w:t>
      </w:r>
      <w:r w:rsidRPr="005558AC">
        <w:rPr>
          <w:rStyle w:val="normaltextrun"/>
          <w:rFonts w:asciiTheme="minorHAnsi" w:hAnsiTheme="minorHAnsi" w:cstheme="minorHAnsi"/>
          <w:sz w:val="22"/>
          <w:szCs w:val="22"/>
          <w:lang w:val="en-US"/>
        </w:rPr>
        <w:t>determine whether the D</w:t>
      </w:r>
      <w:r>
        <w:rPr>
          <w:rStyle w:val="normaltextrun"/>
          <w:rFonts w:asciiTheme="minorHAnsi" w:hAnsiTheme="minorHAnsi" w:cstheme="minorHAnsi"/>
          <w:sz w:val="22"/>
          <w:szCs w:val="22"/>
          <w:lang w:val="en-US"/>
        </w:rPr>
        <w:t>EWS</w:t>
      </w:r>
      <w:r w:rsidRPr="005558AC">
        <w:rPr>
          <w:rStyle w:val="normaltextrun"/>
          <w:rFonts w:asciiTheme="minorHAnsi" w:hAnsiTheme="minorHAnsi" w:cstheme="minorHAnsi"/>
          <w:sz w:val="22"/>
          <w:szCs w:val="22"/>
          <w:lang w:val="en-US"/>
        </w:rPr>
        <w:t xml:space="preserve"> tools are effective in supporting </w:t>
      </w:r>
      <w:r>
        <w:rPr>
          <w:rStyle w:val="normaltextrun"/>
          <w:rFonts w:asciiTheme="minorHAnsi" w:hAnsiTheme="minorHAnsi" w:cstheme="minorHAnsi"/>
          <w:sz w:val="22"/>
          <w:szCs w:val="22"/>
          <w:lang w:val="en-US"/>
        </w:rPr>
        <w:t xml:space="preserve">ARC </w:t>
      </w:r>
      <w:r w:rsidRPr="005558AC">
        <w:rPr>
          <w:rStyle w:val="normaltextrun"/>
          <w:rFonts w:asciiTheme="minorHAnsi" w:hAnsiTheme="minorHAnsi" w:cstheme="minorHAnsi"/>
          <w:sz w:val="22"/>
          <w:szCs w:val="22"/>
          <w:lang w:val="en-US"/>
        </w:rPr>
        <w:t>healthcare teams to recognise and respond to acute deterioration</w:t>
      </w:r>
      <w:r>
        <w:rPr>
          <w:rStyle w:val="normaltextrun"/>
          <w:rFonts w:asciiTheme="minorHAnsi" w:hAnsiTheme="minorHAnsi" w:cstheme="minorHAnsi"/>
          <w:sz w:val="22"/>
          <w:szCs w:val="22"/>
          <w:lang w:val="en-US"/>
        </w:rPr>
        <w:t>.</w:t>
      </w:r>
      <w:r w:rsidRPr="005558AC">
        <w:rPr>
          <w:rStyle w:val="eop"/>
          <w:rFonts w:asciiTheme="minorHAnsi" w:hAnsiTheme="minorHAnsi" w:cstheme="minorHAnsi"/>
          <w:sz w:val="22"/>
          <w:szCs w:val="22"/>
        </w:rPr>
        <w:t> </w:t>
      </w:r>
    </w:p>
    <w:p w14:paraId="16A54330" w14:textId="77777777" w:rsidR="000B0CE4" w:rsidRPr="005D0F2E" w:rsidRDefault="000B0CE4" w:rsidP="000866C4">
      <w:pPr>
        <w:pStyle w:val="paragraph"/>
        <w:numPr>
          <w:ilvl w:val="0"/>
          <w:numId w:val="7"/>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lang w:val="en-US"/>
        </w:rPr>
        <w:t>To determine the efficacy of the quality improve package to support the implementation of DEWS tools</w:t>
      </w:r>
    </w:p>
    <w:p w14:paraId="77629FCE" w14:textId="77777777" w:rsidR="005D0F2E" w:rsidRPr="00332E1F" w:rsidRDefault="005D0F2E" w:rsidP="005D0F2E">
      <w:pPr>
        <w:pStyle w:val="paragraph"/>
        <w:spacing w:before="0" w:beforeAutospacing="0" w:after="0" w:afterAutospacing="0"/>
        <w:ind w:left="720"/>
        <w:textAlignment w:val="baseline"/>
        <w:rPr>
          <w:rStyle w:val="normaltextrun"/>
          <w:rFonts w:asciiTheme="minorHAnsi" w:hAnsiTheme="minorHAnsi" w:cstheme="minorHAnsi"/>
          <w:sz w:val="22"/>
          <w:szCs w:val="22"/>
        </w:rPr>
      </w:pPr>
    </w:p>
    <w:bookmarkEnd w:id="4"/>
    <w:p w14:paraId="5D0F39E4" w14:textId="77777777" w:rsidR="000B0CE4" w:rsidRDefault="000B0CE4" w:rsidP="003C64DC">
      <w:pPr>
        <w:spacing w:before="240" w:after="0" w:line="240" w:lineRule="auto"/>
        <w:rPr>
          <w:rFonts w:cstheme="minorHAnsi"/>
          <w:b/>
          <w:bCs/>
          <w:szCs w:val="22"/>
        </w:rPr>
      </w:pPr>
      <w:r>
        <w:rPr>
          <w:rFonts w:cstheme="minorHAnsi"/>
          <w:b/>
          <w:bCs/>
          <w:szCs w:val="22"/>
        </w:rPr>
        <w:lastRenderedPageBreak/>
        <w:t>Objectives</w:t>
      </w:r>
    </w:p>
    <w:p w14:paraId="2C2CB52C" w14:textId="77777777" w:rsidR="000B0CE4" w:rsidRDefault="000B0CE4" w:rsidP="000866C4">
      <w:pPr>
        <w:pStyle w:val="paragraph"/>
        <w:numPr>
          <w:ilvl w:val="0"/>
          <w:numId w:val="7"/>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To determine whether</w:t>
      </w:r>
    </w:p>
    <w:p w14:paraId="4A2F2E8D" w14:textId="77777777" w:rsidR="000B0CE4" w:rsidRDefault="000B0CE4" w:rsidP="004D39F0">
      <w:pPr>
        <w:pStyle w:val="paragraph"/>
        <w:numPr>
          <w:ilvl w:val="1"/>
          <w:numId w:val="7"/>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the use of DEWS supports the timely recognition of acute deterioration.</w:t>
      </w:r>
    </w:p>
    <w:p w14:paraId="0F19C1B3" w14:textId="77777777" w:rsidR="000B0CE4" w:rsidRDefault="000B0CE4" w:rsidP="004D39F0">
      <w:pPr>
        <w:pStyle w:val="paragraph"/>
        <w:numPr>
          <w:ilvl w:val="1"/>
          <w:numId w:val="7"/>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the use of DEWS supports a timely response to acute deterioration.</w:t>
      </w:r>
    </w:p>
    <w:p w14:paraId="6A28A7C6" w14:textId="77777777" w:rsidR="000B0CE4" w:rsidRDefault="000B0CE4" w:rsidP="004D39F0">
      <w:pPr>
        <w:pStyle w:val="paragraph"/>
        <w:numPr>
          <w:ilvl w:val="1"/>
          <w:numId w:val="7"/>
        </w:numPr>
        <w:spacing w:before="0" w:beforeAutospacing="0" w:after="0" w:afterAutospacing="0"/>
        <w:textAlignment w:val="baseline"/>
        <w:rPr>
          <w:rStyle w:val="eop"/>
          <w:rFonts w:asciiTheme="minorHAnsi" w:hAnsiTheme="minorHAnsi" w:cstheme="minorHAnsi"/>
          <w:sz w:val="22"/>
          <w:szCs w:val="22"/>
        </w:rPr>
      </w:pPr>
      <w:r w:rsidRPr="00332E1F">
        <w:rPr>
          <w:rStyle w:val="eop"/>
          <w:rFonts w:asciiTheme="minorHAnsi" w:hAnsiTheme="minorHAnsi" w:cstheme="minorHAnsi"/>
          <w:sz w:val="22"/>
          <w:szCs w:val="22"/>
        </w:rPr>
        <w:t xml:space="preserve">the DEWS tools impact on nurse confidence in management of acute deterioration </w:t>
      </w:r>
    </w:p>
    <w:p w14:paraId="34B9362A" w14:textId="396D348D" w:rsidR="000B0CE4" w:rsidRDefault="000B0CE4" w:rsidP="004D39F0">
      <w:pPr>
        <w:pStyle w:val="paragraph"/>
        <w:numPr>
          <w:ilvl w:val="1"/>
          <w:numId w:val="7"/>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implementation of DEWS is warranted and can be recommended as a best practice activity.</w:t>
      </w:r>
    </w:p>
    <w:p w14:paraId="405FBDED" w14:textId="77777777" w:rsidR="000B0CE4" w:rsidRPr="004D39F0" w:rsidRDefault="000B0CE4" w:rsidP="004D39F0">
      <w:pPr>
        <w:pStyle w:val="paragraph"/>
        <w:numPr>
          <w:ilvl w:val="0"/>
          <w:numId w:val="7"/>
        </w:numPr>
        <w:spacing w:before="120" w:beforeAutospacing="0" w:after="0" w:afterAutospacing="0"/>
        <w:ind w:left="714" w:hanging="357"/>
        <w:textAlignment w:val="baseline"/>
        <w:rPr>
          <w:rStyle w:val="normaltextrun"/>
          <w:rFonts w:asciiTheme="minorHAnsi" w:hAnsiTheme="minorHAnsi" w:cstheme="minorHAnsi"/>
          <w:sz w:val="22"/>
          <w:szCs w:val="22"/>
        </w:rPr>
      </w:pPr>
      <w:r w:rsidRPr="00332E1F">
        <w:rPr>
          <w:rStyle w:val="normaltextrun"/>
          <w:rFonts w:ascii="Arial" w:eastAsiaTheme="majorEastAsia" w:hAnsi="Arial" w:cs="Arial"/>
          <w:color w:val="000000"/>
          <w:sz w:val="22"/>
          <w:szCs w:val="22"/>
          <w:shd w:val="clear" w:color="auto" w:fill="FFFFFF"/>
          <w:lang w:val="en-AU"/>
        </w:rPr>
        <w:t>To understand</w:t>
      </w:r>
    </w:p>
    <w:p w14:paraId="340610AE" w14:textId="77777777" w:rsidR="000B0CE4" w:rsidRPr="00332E1F" w:rsidRDefault="000B0CE4" w:rsidP="004D39F0">
      <w:pPr>
        <w:pStyle w:val="paragraph"/>
        <w:numPr>
          <w:ilvl w:val="1"/>
          <w:numId w:val="7"/>
        </w:numPr>
        <w:spacing w:before="0" w:beforeAutospacing="0" w:after="0" w:afterAutospacing="0"/>
        <w:textAlignment w:val="baseline"/>
        <w:rPr>
          <w:rStyle w:val="eop"/>
          <w:rFonts w:asciiTheme="minorHAnsi" w:hAnsiTheme="minorHAnsi" w:cstheme="minorHAnsi"/>
          <w:sz w:val="22"/>
          <w:szCs w:val="22"/>
        </w:rPr>
      </w:pPr>
      <w:r w:rsidRPr="00332E1F">
        <w:rPr>
          <w:rStyle w:val="normaltextrun"/>
          <w:rFonts w:ascii="Arial" w:eastAsiaTheme="majorEastAsia" w:hAnsi="Arial" w:cs="Arial"/>
          <w:color w:val="000000"/>
          <w:sz w:val="22"/>
          <w:szCs w:val="22"/>
          <w:shd w:val="clear" w:color="auto" w:fill="FFFFFF"/>
          <w:lang w:val="en-AU"/>
        </w:rPr>
        <w:t>the experience of staff using the DEWS. </w:t>
      </w:r>
      <w:r w:rsidRPr="00332E1F">
        <w:rPr>
          <w:rStyle w:val="eop"/>
          <w:rFonts w:ascii="Arial" w:hAnsi="Arial" w:cs="Arial"/>
          <w:color w:val="000000"/>
          <w:sz w:val="22"/>
          <w:szCs w:val="22"/>
          <w:shd w:val="clear" w:color="auto" w:fill="FFFFFF"/>
        </w:rPr>
        <w:t> </w:t>
      </w:r>
    </w:p>
    <w:p w14:paraId="67BAA60B" w14:textId="77777777" w:rsidR="000B0CE4" w:rsidRPr="00332E1F" w:rsidRDefault="000B0CE4" w:rsidP="004D39F0">
      <w:pPr>
        <w:pStyle w:val="paragraph"/>
        <w:numPr>
          <w:ilvl w:val="1"/>
          <w:numId w:val="7"/>
        </w:numPr>
        <w:spacing w:before="0" w:beforeAutospacing="0" w:after="0" w:afterAutospacing="0"/>
        <w:textAlignment w:val="baseline"/>
        <w:rPr>
          <w:rStyle w:val="normaltextrun"/>
          <w:rFonts w:asciiTheme="minorHAnsi" w:hAnsiTheme="minorHAnsi" w:cstheme="minorHAnsi"/>
          <w:sz w:val="22"/>
          <w:szCs w:val="22"/>
        </w:rPr>
      </w:pPr>
      <w:r w:rsidRPr="005558AC">
        <w:rPr>
          <w:rStyle w:val="normaltextrun"/>
          <w:rFonts w:ascii="Arial" w:eastAsiaTheme="majorEastAsia" w:hAnsi="Arial" w:cs="Arial"/>
          <w:color w:val="000000"/>
          <w:sz w:val="22"/>
          <w:szCs w:val="22"/>
          <w:shd w:val="clear" w:color="auto" w:fill="FFFFFF"/>
          <w:lang w:val="en-AU"/>
        </w:rPr>
        <w:t xml:space="preserve">the impact </w:t>
      </w:r>
      <w:r>
        <w:rPr>
          <w:rStyle w:val="normaltextrun"/>
          <w:rFonts w:ascii="Arial" w:eastAsiaTheme="majorEastAsia" w:hAnsi="Arial" w:cs="Arial"/>
          <w:color w:val="000000"/>
          <w:sz w:val="22"/>
          <w:szCs w:val="22"/>
          <w:shd w:val="clear" w:color="auto" w:fill="FFFFFF"/>
          <w:lang w:val="en-AU"/>
        </w:rPr>
        <w:t>of</w:t>
      </w:r>
      <w:r w:rsidRPr="005558AC">
        <w:rPr>
          <w:rStyle w:val="normaltextrun"/>
          <w:rFonts w:ascii="Arial" w:eastAsiaTheme="majorEastAsia" w:hAnsi="Arial" w:cs="Arial"/>
          <w:color w:val="000000"/>
          <w:sz w:val="22"/>
          <w:szCs w:val="22"/>
          <w:shd w:val="clear" w:color="auto" w:fill="FFFFFF"/>
          <w:lang w:val="en-AU"/>
        </w:rPr>
        <w:t xml:space="preserve"> DEWS on clinical communication </w:t>
      </w:r>
    </w:p>
    <w:p w14:paraId="7E80F518" w14:textId="77777777" w:rsidR="000B0CE4" w:rsidRPr="004D39F0" w:rsidRDefault="000B0CE4" w:rsidP="004D39F0">
      <w:pPr>
        <w:pStyle w:val="paragraph"/>
        <w:numPr>
          <w:ilvl w:val="1"/>
          <w:numId w:val="7"/>
        </w:numPr>
        <w:spacing w:before="0" w:beforeAutospacing="0" w:after="0" w:afterAutospacing="0"/>
        <w:textAlignment w:val="baseline"/>
        <w:rPr>
          <w:rStyle w:val="eop"/>
          <w:rFonts w:asciiTheme="minorHAnsi" w:hAnsiTheme="minorHAnsi" w:cstheme="minorHAnsi"/>
          <w:sz w:val="22"/>
          <w:szCs w:val="22"/>
        </w:rPr>
      </w:pPr>
      <w:r>
        <w:rPr>
          <w:rStyle w:val="normaltextrun"/>
          <w:rFonts w:ascii="Arial" w:eastAsiaTheme="majorEastAsia" w:hAnsi="Arial" w:cs="Arial"/>
          <w:color w:val="000000"/>
          <w:sz w:val="22"/>
          <w:szCs w:val="22"/>
          <w:shd w:val="clear" w:color="auto" w:fill="FFFFFF"/>
          <w:lang w:val="en-AU"/>
        </w:rPr>
        <w:t>the cost and benefit of DEWS implementation in ARC</w:t>
      </w:r>
      <w:r w:rsidRPr="005558AC">
        <w:rPr>
          <w:rStyle w:val="eop"/>
          <w:rFonts w:ascii="Arial" w:hAnsi="Arial" w:cs="Arial"/>
          <w:color w:val="000000"/>
          <w:sz w:val="22"/>
          <w:szCs w:val="22"/>
          <w:shd w:val="clear" w:color="auto" w:fill="FFFFFF"/>
        </w:rPr>
        <w:t> </w:t>
      </w:r>
    </w:p>
    <w:p w14:paraId="344798A6" w14:textId="169CC6AB" w:rsidR="000B0CE4" w:rsidRPr="00332E1F" w:rsidRDefault="000B0CE4" w:rsidP="004D39F0">
      <w:pPr>
        <w:pStyle w:val="paragraph"/>
        <w:numPr>
          <w:ilvl w:val="1"/>
          <w:numId w:val="7"/>
        </w:numPr>
        <w:spacing w:before="0" w:beforeAutospacing="0" w:after="0" w:afterAutospacing="0"/>
        <w:textAlignment w:val="baseline"/>
        <w:rPr>
          <w:rStyle w:val="eop"/>
          <w:rFonts w:asciiTheme="minorHAnsi" w:hAnsiTheme="minorHAnsi" w:cstheme="minorHAnsi"/>
          <w:sz w:val="22"/>
          <w:szCs w:val="22"/>
        </w:rPr>
      </w:pPr>
      <w:r>
        <w:rPr>
          <w:rStyle w:val="eop"/>
          <w:rFonts w:ascii="Arial" w:hAnsi="Arial" w:cs="Arial"/>
          <w:color w:val="000000"/>
          <w:sz w:val="22"/>
          <w:szCs w:val="22"/>
          <w:shd w:val="clear" w:color="auto" w:fill="FFFFFF"/>
        </w:rPr>
        <w:t>key barriers and enablers to DEW</w:t>
      </w:r>
      <w:r w:rsidR="000F2FE8">
        <w:rPr>
          <w:rStyle w:val="eop"/>
          <w:rFonts w:ascii="Arial" w:hAnsi="Arial" w:cs="Arial"/>
          <w:color w:val="000000"/>
          <w:sz w:val="22"/>
          <w:szCs w:val="22"/>
          <w:shd w:val="clear" w:color="auto" w:fill="FFFFFF"/>
        </w:rPr>
        <w:t>S</w:t>
      </w:r>
      <w:r>
        <w:rPr>
          <w:rStyle w:val="eop"/>
          <w:rFonts w:ascii="Arial" w:hAnsi="Arial" w:cs="Arial"/>
          <w:color w:val="000000"/>
          <w:sz w:val="22"/>
          <w:szCs w:val="22"/>
          <w:shd w:val="clear" w:color="auto" w:fill="FFFFFF"/>
        </w:rPr>
        <w:t xml:space="preserve"> implementation</w:t>
      </w:r>
    </w:p>
    <w:p w14:paraId="39B7E6C1" w14:textId="77777777" w:rsidR="000B0CE4" w:rsidRDefault="000B0CE4" w:rsidP="00956C78">
      <w:pPr>
        <w:pStyle w:val="Heading1"/>
        <w:spacing w:before="0" w:after="120"/>
        <w:rPr>
          <w:rFonts w:asciiTheme="minorHAnsi" w:hAnsiTheme="minorHAnsi" w:cstheme="minorHAnsi"/>
          <w:color w:val="auto"/>
          <w:sz w:val="22"/>
          <w:szCs w:val="22"/>
        </w:rPr>
      </w:pPr>
    </w:p>
    <w:p w14:paraId="5F1C5AC5" w14:textId="77777777" w:rsidR="000B0CE4" w:rsidRPr="003802A1" w:rsidRDefault="000B0CE4" w:rsidP="00956C78">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Background</w:t>
      </w:r>
    </w:p>
    <w:p w14:paraId="5DD31D8B" w14:textId="77777777" w:rsidR="000B0CE4" w:rsidRDefault="000B0CE4" w:rsidP="005558AC">
      <w:pPr>
        <w:spacing w:after="0" w:line="240" w:lineRule="auto"/>
        <w:jc w:val="both"/>
        <w:rPr>
          <w:rFonts w:ascii="Arial" w:hAnsi="Arial" w:cs="Arial"/>
          <w:szCs w:val="22"/>
        </w:rPr>
      </w:pPr>
      <w:r w:rsidRPr="00727F15">
        <w:rPr>
          <w:rFonts w:ascii="Arial" w:hAnsi="Arial" w:cs="Arial"/>
          <w:szCs w:val="22"/>
        </w:rPr>
        <w:t xml:space="preserve">Approximately 34,600 people live in ARC in </w:t>
      </w:r>
      <w:r>
        <w:rPr>
          <w:rFonts w:ascii="Arial" w:hAnsi="Arial" w:cs="Arial"/>
          <w:szCs w:val="22"/>
        </w:rPr>
        <w:t xml:space="preserve">Aotearoa </w:t>
      </w:r>
      <w:r w:rsidRPr="00727F15">
        <w:rPr>
          <w:rFonts w:ascii="Arial" w:hAnsi="Arial" w:cs="Arial"/>
          <w:szCs w:val="22"/>
        </w:rPr>
        <w:t>New Zealand.  They are NZs oldest and most frail citizens.  On average people move into care when they are 85 years old</w:t>
      </w:r>
      <w:r>
        <w:rPr>
          <w:rFonts w:ascii="Arial" w:hAnsi="Arial" w:cs="Arial"/>
          <w:szCs w:val="22"/>
        </w:rPr>
        <w:t xml:space="preserve"> and up to </w:t>
      </w:r>
      <w:r w:rsidRPr="00727F15">
        <w:rPr>
          <w:rFonts w:ascii="Arial" w:hAnsi="Arial" w:cs="Arial"/>
          <w:szCs w:val="22"/>
        </w:rPr>
        <w:t xml:space="preserve">80% are estimated to be affected by frailty </w:t>
      </w:r>
      <w:hyperlink r:id="rId16" w:history="1">
        <w:r>
          <w:rPr>
            <w:rFonts w:ascii="Arial" w:hAnsi="Arial" w:cs="Arial"/>
            <w:szCs w:val="22"/>
          </w:rPr>
          <w:t>(Liau et al., 2021)</w:t>
        </w:r>
      </w:hyperlink>
      <w:r w:rsidRPr="00727F15">
        <w:rPr>
          <w:rFonts w:ascii="Arial" w:hAnsi="Arial" w:cs="Arial"/>
          <w:szCs w:val="22"/>
        </w:rPr>
        <w:t>.  Frailty is a clinical syndrome of decreased physiological reserve resulting from an accumulation of deficits in multiple systems</w:t>
      </w:r>
      <w:r>
        <w:rPr>
          <w:rFonts w:ascii="Arial" w:hAnsi="Arial" w:cs="Arial"/>
          <w:szCs w:val="22"/>
        </w:rPr>
        <w:t xml:space="preserve"> </w:t>
      </w:r>
      <w:hyperlink r:id="rId17" w:history="1">
        <w:r>
          <w:rPr>
            <w:rFonts w:ascii="Arial" w:hAnsi="Arial" w:cs="Arial"/>
            <w:szCs w:val="22"/>
          </w:rPr>
          <w:t>(Morley et al., 2013)</w:t>
        </w:r>
      </w:hyperlink>
      <w:r w:rsidRPr="00727F15">
        <w:rPr>
          <w:rFonts w:ascii="Arial" w:hAnsi="Arial" w:cs="Arial"/>
          <w:szCs w:val="22"/>
        </w:rPr>
        <w:t xml:space="preserve">. People living with frailty (PLWF) are highly vulnerable, even minor stressors can trigger catastrophic health deterioration </w:t>
      </w:r>
      <w:hyperlink r:id="rId18" w:history="1">
        <w:r>
          <w:rPr>
            <w:rFonts w:ascii="Arial" w:hAnsi="Arial" w:cs="Arial"/>
            <w:szCs w:val="22"/>
          </w:rPr>
          <w:t>(Kojima, 2015)</w:t>
        </w:r>
      </w:hyperlink>
      <w:r>
        <w:rPr>
          <w:rFonts w:ascii="Arial" w:hAnsi="Arial" w:cs="Arial"/>
          <w:szCs w:val="22"/>
        </w:rPr>
        <w:t>.  I</w:t>
      </w:r>
      <w:r w:rsidRPr="00727F15">
        <w:rPr>
          <w:rFonts w:ascii="Arial" w:hAnsi="Arial" w:cs="Arial"/>
          <w:szCs w:val="22"/>
        </w:rPr>
        <w:t>n the event of an acute illness PLWF are more likely to die than their non-frail counterparts (Clegg et al 2013; Kojima et al 2018; Stow et al 2018).</w:t>
      </w:r>
    </w:p>
    <w:p w14:paraId="07213F82" w14:textId="6471E714" w:rsidR="000B0CE4" w:rsidRPr="00727F15" w:rsidRDefault="000B0CE4" w:rsidP="00F94432">
      <w:pPr>
        <w:spacing w:before="120" w:after="0" w:line="240" w:lineRule="auto"/>
        <w:rPr>
          <w:rFonts w:ascii="Arial" w:hAnsi="Arial" w:cs="Arial"/>
          <w:szCs w:val="22"/>
        </w:rPr>
      </w:pPr>
      <w:bookmarkStart w:id="5" w:name="_Hlk148695990"/>
      <w:r w:rsidRPr="00727F15">
        <w:rPr>
          <w:rFonts w:ascii="Arial" w:hAnsi="Arial" w:cs="Arial"/>
          <w:szCs w:val="22"/>
        </w:rPr>
        <w:t xml:space="preserve">The timely </w:t>
      </w:r>
      <w:r>
        <w:rPr>
          <w:rFonts w:ascii="Arial" w:hAnsi="Arial" w:cs="Arial"/>
          <w:szCs w:val="22"/>
        </w:rPr>
        <w:t>recognition o</w:t>
      </w:r>
      <w:r w:rsidRPr="00727F15">
        <w:rPr>
          <w:rFonts w:ascii="Arial" w:hAnsi="Arial" w:cs="Arial"/>
          <w:szCs w:val="22"/>
        </w:rPr>
        <w:t xml:space="preserve">f acute deterioration in PLWF is critical to getting them the right treatment, in the right place, at the right time (Daltrey et al 2022; Laging et al 2018).  </w:t>
      </w:r>
      <w:r>
        <w:rPr>
          <w:rFonts w:ascii="Arial" w:hAnsi="Arial" w:cs="Arial"/>
          <w:szCs w:val="22"/>
        </w:rPr>
        <w:t xml:space="preserve">This task </w:t>
      </w:r>
      <w:r w:rsidRPr="00727F15">
        <w:rPr>
          <w:rFonts w:ascii="Arial" w:hAnsi="Arial" w:cs="Arial"/>
          <w:szCs w:val="22"/>
        </w:rPr>
        <w:t xml:space="preserve">is difficult because physiological changes associated with frailty mean acute illness often presents </w:t>
      </w:r>
      <w:r>
        <w:rPr>
          <w:rFonts w:ascii="Arial" w:hAnsi="Arial" w:cs="Arial"/>
          <w:szCs w:val="22"/>
        </w:rPr>
        <w:t>with unusual or</w:t>
      </w:r>
      <w:r w:rsidRPr="00727F15">
        <w:rPr>
          <w:rFonts w:ascii="Arial" w:hAnsi="Arial" w:cs="Arial"/>
          <w:szCs w:val="22"/>
        </w:rPr>
        <w:t xml:space="preserve"> non-specific </w:t>
      </w:r>
      <w:r>
        <w:rPr>
          <w:rFonts w:ascii="Arial" w:hAnsi="Arial" w:cs="Arial"/>
          <w:szCs w:val="22"/>
        </w:rPr>
        <w:t>symptoms</w:t>
      </w:r>
      <w:r w:rsidRPr="00727F15">
        <w:rPr>
          <w:rFonts w:ascii="Arial" w:hAnsi="Arial" w:cs="Arial"/>
          <w:szCs w:val="22"/>
        </w:rPr>
        <w:t xml:space="preserve"> </w:t>
      </w:r>
      <w:hyperlink r:id="rId19" w:history="1">
        <w:r>
          <w:rPr>
            <w:rFonts w:ascii="Arial" w:hAnsi="Arial" w:cs="Arial"/>
            <w:szCs w:val="22"/>
          </w:rPr>
          <w:t>(Chambers et al., 2022; Hodge et al., 2023; Simon et al., 2022)</w:t>
        </w:r>
      </w:hyperlink>
      <w:r w:rsidRPr="00727F15">
        <w:rPr>
          <w:rFonts w:ascii="Arial" w:hAnsi="Arial" w:cs="Arial"/>
          <w:szCs w:val="22"/>
        </w:rPr>
        <w:t xml:space="preserve">.  Delays in the </w:t>
      </w:r>
      <w:r>
        <w:rPr>
          <w:rFonts w:ascii="Arial" w:hAnsi="Arial" w:cs="Arial"/>
          <w:szCs w:val="22"/>
        </w:rPr>
        <w:t xml:space="preserve">recognition of </w:t>
      </w:r>
      <w:r w:rsidRPr="00727F15">
        <w:rPr>
          <w:rFonts w:ascii="Arial" w:hAnsi="Arial" w:cs="Arial"/>
          <w:szCs w:val="22"/>
        </w:rPr>
        <w:t xml:space="preserve">acute deterioration in ARC have been identified as key components of adverse events in NZ and overseas </w:t>
      </w:r>
      <w:hyperlink r:id="rId20" w:history="1">
        <w:r>
          <w:rPr>
            <w:rFonts w:ascii="Arial" w:hAnsi="Arial"/>
            <w:szCs w:val="22"/>
          </w:rPr>
          <w:t>(Mowat et al., 2022; Wall, 2016;</w:t>
        </w:r>
      </w:hyperlink>
      <w:hyperlink r:id="rId21" w:history="1">
        <w:r>
          <w:rPr>
            <w:rFonts w:ascii="Arial" w:hAnsi="Arial"/>
            <w:szCs w:val="22"/>
          </w:rPr>
          <w:t xml:space="preserve"> Andersson et al., 2018)</w:t>
        </w:r>
      </w:hyperlink>
      <w:r>
        <w:rPr>
          <w:rFonts w:ascii="Arial" w:hAnsi="Arial"/>
          <w:szCs w:val="22"/>
        </w:rPr>
        <w:t xml:space="preserve">.  </w:t>
      </w:r>
      <w:r w:rsidRPr="00727F15">
        <w:rPr>
          <w:rFonts w:ascii="Arial" w:hAnsi="Arial" w:cs="Arial"/>
          <w:szCs w:val="22"/>
        </w:rPr>
        <w:t xml:space="preserve">It is </w:t>
      </w:r>
      <w:r>
        <w:rPr>
          <w:rFonts w:ascii="Arial" w:hAnsi="Arial" w:cs="Arial"/>
          <w:szCs w:val="22"/>
        </w:rPr>
        <w:t xml:space="preserve">the presentation of </w:t>
      </w:r>
      <w:r w:rsidRPr="00727F15">
        <w:rPr>
          <w:rFonts w:ascii="Arial" w:hAnsi="Arial" w:cs="Arial"/>
          <w:szCs w:val="22"/>
        </w:rPr>
        <w:t xml:space="preserve">non-specific </w:t>
      </w:r>
      <w:r>
        <w:rPr>
          <w:rFonts w:ascii="Arial" w:hAnsi="Arial" w:cs="Arial"/>
          <w:szCs w:val="22"/>
        </w:rPr>
        <w:t xml:space="preserve">symptoms in the event of </w:t>
      </w:r>
      <w:r w:rsidRPr="00727F15">
        <w:rPr>
          <w:rFonts w:ascii="Arial" w:hAnsi="Arial" w:cs="Arial"/>
          <w:szCs w:val="22"/>
        </w:rPr>
        <w:t xml:space="preserve">acute deterioration that </w:t>
      </w:r>
      <w:r>
        <w:rPr>
          <w:rFonts w:ascii="Arial" w:hAnsi="Arial" w:cs="Arial"/>
          <w:szCs w:val="22"/>
        </w:rPr>
        <w:t>is thought to contribute to h</w:t>
      </w:r>
      <w:r w:rsidRPr="00727F15">
        <w:rPr>
          <w:rFonts w:ascii="Arial" w:hAnsi="Arial" w:cs="Arial"/>
          <w:szCs w:val="22"/>
        </w:rPr>
        <w:t xml:space="preserve">ealth </w:t>
      </w:r>
      <w:bookmarkEnd w:id="5"/>
      <w:r w:rsidRPr="00727F15">
        <w:rPr>
          <w:rFonts w:ascii="Arial" w:hAnsi="Arial" w:cs="Arial"/>
          <w:szCs w:val="22"/>
        </w:rPr>
        <w:t>professionals not fully recognising patient acuity</w:t>
      </w:r>
      <w:r>
        <w:rPr>
          <w:rFonts w:ascii="Arial" w:hAnsi="Arial" w:cs="Arial"/>
          <w:szCs w:val="22"/>
        </w:rPr>
        <w:t xml:space="preserve"> </w:t>
      </w:r>
      <w:hyperlink r:id="rId22" w:history="1">
        <w:r>
          <w:rPr>
            <w:rFonts w:ascii="Arial" w:hAnsi="Arial" w:cs="Arial"/>
            <w:szCs w:val="22"/>
          </w:rPr>
          <w:t>(Bingisser &amp; Nickel, 2019; Karakoumis et al., 2015; Limpawattana et al., 2016; Samaras et al., 2010; Wachelder et al., 2017)</w:t>
        </w:r>
      </w:hyperlink>
      <w:r w:rsidRPr="00727F15">
        <w:rPr>
          <w:rFonts w:ascii="Arial" w:hAnsi="Arial"/>
          <w:szCs w:val="22"/>
        </w:rPr>
        <w:t xml:space="preserve">.   </w:t>
      </w:r>
    </w:p>
    <w:p w14:paraId="218E01D2" w14:textId="00BADCD3" w:rsidR="000B0CE4" w:rsidRPr="00727F15" w:rsidRDefault="000B0CE4" w:rsidP="00F94432">
      <w:pPr>
        <w:spacing w:before="120" w:after="0" w:line="240" w:lineRule="auto"/>
        <w:rPr>
          <w:rFonts w:ascii="Arial" w:hAnsi="Arial" w:cs="Arial"/>
          <w:szCs w:val="22"/>
        </w:rPr>
      </w:pPr>
      <w:r w:rsidRPr="00727F15">
        <w:rPr>
          <w:rFonts w:ascii="Arial" w:hAnsi="Arial" w:cs="Arial"/>
          <w:szCs w:val="22"/>
        </w:rPr>
        <w:t xml:space="preserve">There are currently no validated systems or tools to support the healthcare team working in ARC to </w:t>
      </w:r>
      <w:r>
        <w:rPr>
          <w:rFonts w:ascii="Arial" w:hAnsi="Arial" w:cs="Arial"/>
          <w:szCs w:val="22"/>
        </w:rPr>
        <w:t xml:space="preserve">recognise </w:t>
      </w:r>
      <w:r w:rsidRPr="00727F15">
        <w:rPr>
          <w:rFonts w:ascii="Arial" w:hAnsi="Arial" w:cs="Arial"/>
          <w:szCs w:val="22"/>
        </w:rPr>
        <w:t xml:space="preserve">and respond to </w:t>
      </w:r>
      <w:r>
        <w:rPr>
          <w:rFonts w:ascii="Arial" w:hAnsi="Arial" w:cs="Arial"/>
          <w:szCs w:val="22"/>
        </w:rPr>
        <w:t xml:space="preserve">the </w:t>
      </w:r>
      <w:r w:rsidRPr="00727F15">
        <w:rPr>
          <w:rFonts w:ascii="Arial" w:hAnsi="Arial" w:cs="Arial"/>
          <w:szCs w:val="22"/>
        </w:rPr>
        <w:t xml:space="preserve">acute deterioration </w:t>
      </w:r>
      <w:r>
        <w:rPr>
          <w:rFonts w:ascii="Arial" w:hAnsi="Arial" w:cs="Arial"/>
          <w:szCs w:val="22"/>
        </w:rPr>
        <w:t>of residents</w:t>
      </w:r>
      <w:r w:rsidRPr="00727F15">
        <w:rPr>
          <w:rFonts w:ascii="Arial" w:hAnsi="Arial" w:cs="Arial"/>
          <w:szCs w:val="22"/>
        </w:rPr>
        <w:t xml:space="preserve"> </w:t>
      </w:r>
      <w:hyperlink r:id="rId23" w:history="1">
        <w:r>
          <w:rPr>
            <w:rFonts w:ascii="Arial" w:eastAsia="Times New Roman" w:hAnsi="Arial" w:cs="Arial"/>
          </w:rPr>
          <w:t>(Chambers et al., 2022; Daltrey et al., 2022; Hodge et al., 2021)</w:t>
        </w:r>
      </w:hyperlink>
      <w:r w:rsidRPr="00727F15">
        <w:rPr>
          <w:rFonts w:ascii="Arial" w:hAnsi="Arial" w:cs="Arial"/>
          <w:szCs w:val="22"/>
        </w:rPr>
        <w:t xml:space="preserve">.  The Deterioration Early Warning System (DEWS) </w:t>
      </w:r>
      <w:r>
        <w:rPr>
          <w:rFonts w:ascii="Arial" w:hAnsi="Arial" w:cs="Arial"/>
          <w:szCs w:val="22"/>
        </w:rPr>
        <w:t xml:space="preserve">is an evidence based set of tools </w:t>
      </w:r>
      <w:r w:rsidRPr="00727F15">
        <w:rPr>
          <w:rFonts w:ascii="Arial" w:hAnsi="Arial" w:cs="Arial"/>
          <w:szCs w:val="22"/>
        </w:rPr>
        <w:t xml:space="preserve">developed by Daltrey and Boyd </w:t>
      </w:r>
      <w:r>
        <w:rPr>
          <w:rFonts w:ascii="Arial" w:hAnsi="Arial" w:cs="Arial"/>
          <w:szCs w:val="22"/>
        </w:rPr>
        <w:t>t</w:t>
      </w:r>
      <w:r w:rsidRPr="00727F15">
        <w:rPr>
          <w:rFonts w:ascii="Arial" w:hAnsi="Arial" w:cs="Arial"/>
          <w:szCs w:val="22"/>
        </w:rPr>
        <w:t xml:space="preserve">o fill that gap.  </w:t>
      </w:r>
    </w:p>
    <w:p w14:paraId="5FE8937A" w14:textId="77777777" w:rsidR="000B0CE4" w:rsidRPr="00727F15" w:rsidRDefault="000B0CE4" w:rsidP="005558AC">
      <w:pPr>
        <w:spacing w:after="0" w:line="240" w:lineRule="auto"/>
        <w:jc w:val="both"/>
        <w:rPr>
          <w:rFonts w:ascii="Arial" w:hAnsi="Arial" w:cs="Arial"/>
          <w:szCs w:val="22"/>
        </w:rPr>
      </w:pPr>
    </w:p>
    <w:p w14:paraId="786EA661" w14:textId="77777777" w:rsidR="000B0CE4" w:rsidRPr="00727F15" w:rsidRDefault="000B0CE4" w:rsidP="00956C78">
      <w:pPr>
        <w:spacing w:line="240" w:lineRule="auto"/>
        <w:jc w:val="both"/>
        <w:rPr>
          <w:rFonts w:ascii="Arial" w:hAnsi="Arial" w:cs="Arial"/>
          <w:b/>
          <w:bCs/>
          <w:szCs w:val="22"/>
        </w:rPr>
      </w:pPr>
      <w:r>
        <w:rPr>
          <w:rFonts w:ascii="Arial" w:hAnsi="Arial" w:cs="Arial"/>
          <w:b/>
          <w:bCs/>
          <w:szCs w:val="22"/>
        </w:rPr>
        <w:t>Development of DEWS</w:t>
      </w:r>
    </w:p>
    <w:p w14:paraId="47F1C921" w14:textId="7F293B72" w:rsidR="00663C0E" w:rsidRDefault="000B0CE4" w:rsidP="005558AC">
      <w:pPr>
        <w:spacing w:after="0" w:line="240" w:lineRule="auto"/>
        <w:rPr>
          <w:rFonts w:ascii="Arial" w:hAnsi="Arial" w:cs="Arial"/>
          <w:szCs w:val="22"/>
        </w:rPr>
      </w:pPr>
      <w:r>
        <w:rPr>
          <w:rFonts w:ascii="Arial" w:hAnsi="Arial" w:cs="Arial"/>
          <w:szCs w:val="22"/>
        </w:rPr>
        <w:t>To ensure the DEWS was based on the best available evidence and responsive to ARC needs the tool was developed using a three phase mixed methods research design.  A cross sectional cohort study of routinely collected health data (interRAI) was used to establish a statistical correlation between clinical indicators of acute deterioration and mortality and morbidity.  Interviews with ARC staff, residents/kau</w:t>
      </w:r>
      <w:r w:rsidRPr="004D39F0">
        <w:rPr>
          <w:rFonts w:ascii="Arial" w:hAnsi="Arial" w:cs="Arial"/>
          <w:szCs w:val="22"/>
        </w:rPr>
        <w:t>mā</w:t>
      </w:r>
      <w:r>
        <w:rPr>
          <w:rFonts w:ascii="Arial" w:hAnsi="Arial" w:cs="Arial"/>
          <w:szCs w:val="22"/>
        </w:rPr>
        <w:t>tua, family/wh</w:t>
      </w:r>
      <w:r w:rsidRPr="004D39F0">
        <w:rPr>
          <w:rFonts w:ascii="Arial" w:hAnsi="Arial" w:cs="Arial"/>
          <w:szCs w:val="22"/>
        </w:rPr>
        <w:t>ā</w:t>
      </w:r>
      <w:r>
        <w:rPr>
          <w:rFonts w:ascii="Arial" w:hAnsi="Arial" w:cs="Arial"/>
          <w:szCs w:val="22"/>
        </w:rPr>
        <w:t>nau and visiting health professionals established signs and symptoms used in practice to identify acute deterioration.  This was followed with a co-design process and iterative testing to finalise the DEWS tools. The final DEWS includes three tools (table 1) and a supporting guideline.</w:t>
      </w:r>
    </w:p>
    <w:p w14:paraId="6BDA763A" w14:textId="77777777" w:rsidR="00663C0E" w:rsidRDefault="00663C0E">
      <w:pPr>
        <w:spacing w:after="0" w:line="240" w:lineRule="auto"/>
        <w:rPr>
          <w:rFonts w:ascii="Arial" w:hAnsi="Arial" w:cs="Arial"/>
          <w:szCs w:val="22"/>
        </w:rPr>
      </w:pPr>
      <w:r>
        <w:rPr>
          <w:rFonts w:ascii="Arial" w:hAnsi="Arial" w:cs="Arial"/>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05"/>
        <w:gridCol w:w="1418"/>
        <w:gridCol w:w="6139"/>
      </w:tblGrid>
      <w:tr w:rsidR="000B0CE4" w:rsidRPr="00953EAB" w14:paraId="1669E215" w14:textId="77777777" w:rsidTr="00953EAB">
        <w:trPr>
          <w:trHeight w:val="288"/>
        </w:trPr>
        <w:tc>
          <w:tcPr>
            <w:tcW w:w="9962" w:type="dxa"/>
            <w:gridSpan w:val="3"/>
            <w:tcBorders>
              <w:top w:val="nil"/>
              <w:left w:val="nil"/>
              <w:right w:val="nil"/>
            </w:tcBorders>
            <w:shd w:val="clear" w:color="auto" w:fill="auto"/>
            <w:vAlign w:val="center"/>
          </w:tcPr>
          <w:p w14:paraId="0A8B207C" w14:textId="77777777" w:rsidR="000B0CE4" w:rsidRPr="00953EAB" w:rsidRDefault="000B0CE4" w:rsidP="00953EAB">
            <w:pPr>
              <w:spacing w:after="0" w:line="240" w:lineRule="auto"/>
              <w:textAlignment w:val="baseline"/>
              <w:rPr>
                <w:rFonts w:ascii="Arial" w:eastAsia="Times New Roman" w:hAnsi="Arial" w:cs="Arial"/>
                <w:szCs w:val="22"/>
                <w:lang w:val="en-AU" w:eastAsia="en-NZ"/>
              </w:rPr>
            </w:pPr>
            <w:bookmarkStart w:id="6" w:name="_Hlk148617098"/>
            <w:r w:rsidRPr="00953EAB">
              <w:rPr>
                <w:rFonts w:ascii="Arial" w:eastAsia="Times New Roman" w:hAnsi="Arial" w:cs="Arial"/>
                <w:szCs w:val="22"/>
                <w:lang w:val="en-NZ" w:eastAsia="en-NZ"/>
              </w:rPr>
              <w:lastRenderedPageBreak/>
              <w:t> </w:t>
            </w:r>
            <w:r>
              <w:rPr>
                <w:rFonts w:ascii="Arial" w:eastAsia="Times New Roman" w:hAnsi="Arial" w:cs="Arial"/>
                <w:szCs w:val="22"/>
                <w:lang w:val="en-NZ" w:eastAsia="en-NZ"/>
              </w:rPr>
              <w:t>Table 1</w:t>
            </w:r>
          </w:p>
        </w:tc>
      </w:tr>
      <w:tr w:rsidR="000B0CE4" w:rsidRPr="00953EAB" w14:paraId="3313943C" w14:textId="77777777" w:rsidTr="00953EAB">
        <w:trPr>
          <w:trHeight w:val="288"/>
        </w:trPr>
        <w:tc>
          <w:tcPr>
            <w:tcW w:w="2405" w:type="dxa"/>
            <w:shd w:val="clear" w:color="auto" w:fill="F2F2F2" w:themeFill="background1" w:themeFillShade="F2"/>
            <w:vAlign w:val="center"/>
            <w:hideMark/>
          </w:tcPr>
          <w:p w14:paraId="7712F978" w14:textId="77777777" w:rsidR="000B0CE4" w:rsidRPr="00953EAB" w:rsidRDefault="000B0CE4" w:rsidP="00953EAB">
            <w:pPr>
              <w:spacing w:after="0" w:line="240" w:lineRule="auto"/>
              <w:textAlignment w:val="baseline"/>
              <w:rPr>
                <w:rFonts w:ascii="Times New Roman" w:eastAsia="Times New Roman" w:hAnsi="Times New Roman" w:cs="Times New Roman"/>
                <w:szCs w:val="22"/>
                <w:lang w:val="en-NZ" w:eastAsia="en-NZ"/>
              </w:rPr>
            </w:pPr>
            <w:r w:rsidRPr="00953EAB">
              <w:rPr>
                <w:rFonts w:ascii="Arial" w:eastAsia="Times New Roman" w:hAnsi="Arial" w:cs="Arial"/>
                <w:szCs w:val="22"/>
                <w:lang w:val="en-AU" w:eastAsia="en-NZ"/>
              </w:rPr>
              <w:t>Tool</w:t>
            </w:r>
            <w:r w:rsidRPr="00953EAB">
              <w:rPr>
                <w:rFonts w:ascii="Arial" w:eastAsia="Times New Roman" w:hAnsi="Arial" w:cs="Arial"/>
                <w:szCs w:val="22"/>
                <w:lang w:val="en-NZ" w:eastAsia="en-NZ"/>
              </w:rPr>
              <w:t> </w:t>
            </w:r>
          </w:p>
        </w:tc>
        <w:tc>
          <w:tcPr>
            <w:tcW w:w="1418" w:type="dxa"/>
            <w:shd w:val="clear" w:color="auto" w:fill="F2F2F2" w:themeFill="background1" w:themeFillShade="F2"/>
            <w:vAlign w:val="center"/>
            <w:hideMark/>
          </w:tcPr>
          <w:p w14:paraId="2DF9797D" w14:textId="77777777" w:rsidR="000B0CE4" w:rsidRPr="00953EAB" w:rsidRDefault="000B0CE4" w:rsidP="00953EAB">
            <w:pPr>
              <w:spacing w:after="0" w:line="240" w:lineRule="auto"/>
              <w:textAlignment w:val="baseline"/>
              <w:rPr>
                <w:rFonts w:ascii="Times New Roman" w:eastAsia="Times New Roman" w:hAnsi="Times New Roman" w:cs="Times New Roman"/>
                <w:szCs w:val="22"/>
                <w:lang w:val="en-NZ" w:eastAsia="en-NZ"/>
              </w:rPr>
            </w:pPr>
            <w:r w:rsidRPr="00953EAB">
              <w:rPr>
                <w:rFonts w:ascii="Arial" w:eastAsia="Times New Roman" w:hAnsi="Arial" w:cs="Arial"/>
                <w:szCs w:val="22"/>
                <w:lang w:val="en-AU" w:eastAsia="en-NZ"/>
              </w:rPr>
              <w:t>User</w:t>
            </w:r>
            <w:r w:rsidRPr="00953EAB">
              <w:rPr>
                <w:rFonts w:ascii="Arial" w:eastAsia="Times New Roman" w:hAnsi="Arial" w:cs="Arial"/>
                <w:szCs w:val="22"/>
                <w:lang w:val="en-NZ" w:eastAsia="en-NZ"/>
              </w:rPr>
              <w:t> </w:t>
            </w:r>
          </w:p>
        </w:tc>
        <w:tc>
          <w:tcPr>
            <w:tcW w:w="6139" w:type="dxa"/>
            <w:shd w:val="clear" w:color="auto" w:fill="F2F2F2" w:themeFill="background1" w:themeFillShade="F2"/>
            <w:vAlign w:val="center"/>
            <w:hideMark/>
          </w:tcPr>
          <w:p w14:paraId="56B684DA" w14:textId="77777777" w:rsidR="000B0CE4" w:rsidRPr="00953EAB" w:rsidRDefault="000B0CE4" w:rsidP="00953EAB">
            <w:pPr>
              <w:spacing w:after="0" w:line="240" w:lineRule="auto"/>
              <w:textAlignment w:val="baseline"/>
              <w:rPr>
                <w:rFonts w:ascii="Times New Roman" w:eastAsia="Times New Roman" w:hAnsi="Times New Roman" w:cs="Times New Roman"/>
                <w:szCs w:val="22"/>
                <w:lang w:val="en-NZ" w:eastAsia="en-NZ"/>
              </w:rPr>
            </w:pPr>
            <w:r w:rsidRPr="00953EAB">
              <w:rPr>
                <w:rFonts w:ascii="Arial" w:eastAsia="Times New Roman" w:hAnsi="Arial" w:cs="Arial"/>
                <w:szCs w:val="22"/>
                <w:lang w:val="en-AU" w:eastAsia="en-NZ"/>
              </w:rPr>
              <w:t>Purpose</w:t>
            </w:r>
            <w:r w:rsidRPr="00953EAB">
              <w:rPr>
                <w:rFonts w:ascii="Arial" w:eastAsia="Times New Roman" w:hAnsi="Arial" w:cs="Arial"/>
                <w:szCs w:val="22"/>
                <w:lang w:val="en-NZ" w:eastAsia="en-NZ"/>
              </w:rPr>
              <w:t> </w:t>
            </w:r>
          </w:p>
        </w:tc>
      </w:tr>
      <w:tr w:rsidR="000B0CE4" w:rsidRPr="00953EAB" w14:paraId="29647D60" w14:textId="77777777" w:rsidTr="00953EAB">
        <w:trPr>
          <w:trHeight w:val="288"/>
        </w:trPr>
        <w:tc>
          <w:tcPr>
            <w:tcW w:w="2405" w:type="dxa"/>
            <w:shd w:val="clear" w:color="auto" w:fill="auto"/>
            <w:vAlign w:val="center"/>
            <w:hideMark/>
          </w:tcPr>
          <w:p w14:paraId="112A9100" w14:textId="77777777" w:rsidR="000B0CE4" w:rsidRPr="00953EAB" w:rsidRDefault="000B0CE4" w:rsidP="00953EAB">
            <w:pPr>
              <w:spacing w:after="0" w:line="240" w:lineRule="auto"/>
              <w:textAlignment w:val="baseline"/>
              <w:rPr>
                <w:rFonts w:ascii="Times New Roman" w:eastAsia="Times New Roman" w:hAnsi="Times New Roman" w:cs="Times New Roman"/>
                <w:b/>
                <w:bCs/>
                <w:szCs w:val="22"/>
                <w:lang w:val="en-NZ" w:eastAsia="en-NZ"/>
              </w:rPr>
            </w:pPr>
            <w:r w:rsidRPr="00953EAB">
              <w:rPr>
                <w:rFonts w:ascii="Arial" w:eastAsia="Times New Roman" w:hAnsi="Arial" w:cs="Arial"/>
                <w:b/>
                <w:bCs/>
                <w:szCs w:val="22"/>
                <w:lang w:val="en-AU" w:eastAsia="en-NZ"/>
              </w:rPr>
              <w:t>Quick DEWS</w:t>
            </w:r>
            <w:r w:rsidRPr="00953EAB">
              <w:rPr>
                <w:rFonts w:ascii="Arial" w:eastAsia="Times New Roman" w:hAnsi="Arial" w:cs="Arial"/>
                <w:b/>
                <w:bCs/>
                <w:szCs w:val="22"/>
                <w:lang w:val="en-NZ" w:eastAsia="en-NZ"/>
              </w:rPr>
              <w:t> </w:t>
            </w:r>
          </w:p>
        </w:tc>
        <w:tc>
          <w:tcPr>
            <w:tcW w:w="1418" w:type="dxa"/>
            <w:shd w:val="clear" w:color="auto" w:fill="auto"/>
            <w:vAlign w:val="center"/>
            <w:hideMark/>
          </w:tcPr>
          <w:p w14:paraId="29096041" w14:textId="42E4ADC9" w:rsidR="000B0CE4" w:rsidRPr="00953EAB" w:rsidRDefault="000B0CE4" w:rsidP="00953EAB">
            <w:pPr>
              <w:spacing w:after="0" w:line="240" w:lineRule="auto"/>
              <w:textAlignment w:val="baseline"/>
              <w:rPr>
                <w:rFonts w:ascii="Times New Roman" w:eastAsia="Times New Roman" w:hAnsi="Times New Roman" w:cs="Times New Roman"/>
                <w:szCs w:val="22"/>
                <w:lang w:val="en-NZ" w:eastAsia="en-NZ"/>
              </w:rPr>
            </w:pPr>
            <w:r w:rsidRPr="00953EAB">
              <w:rPr>
                <w:rFonts w:ascii="Arial" w:eastAsia="Times New Roman" w:hAnsi="Arial" w:cs="Arial"/>
                <w:szCs w:val="22"/>
                <w:lang w:val="en-AU" w:eastAsia="en-NZ"/>
              </w:rPr>
              <w:t>H</w:t>
            </w:r>
            <w:r w:rsidR="00022A13">
              <w:rPr>
                <w:rFonts w:ascii="Arial" w:eastAsia="Times New Roman" w:hAnsi="Arial" w:cs="Arial"/>
                <w:szCs w:val="22"/>
                <w:lang w:val="en-AU" w:eastAsia="en-NZ"/>
              </w:rPr>
              <w:t>ealthcare Assistant</w:t>
            </w:r>
          </w:p>
        </w:tc>
        <w:tc>
          <w:tcPr>
            <w:tcW w:w="6139" w:type="dxa"/>
            <w:shd w:val="clear" w:color="auto" w:fill="auto"/>
            <w:vAlign w:val="center"/>
            <w:hideMark/>
          </w:tcPr>
          <w:p w14:paraId="67BE5A61" w14:textId="77777777" w:rsidR="000B0CE4" w:rsidRPr="00953EAB" w:rsidRDefault="000B0CE4" w:rsidP="00953EAB">
            <w:pPr>
              <w:spacing w:after="0" w:line="240" w:lineRule="auto"/>
              <w:textAlignment w:val="baseline"/>
              <w:rPr>
                <w:rFonts w:ascii="Times New Roman" w:eastAsia="Times New Roman" w:hAnsi="Times New Roman" w:cs="Times New Roman"/>
                <w:szCs w:val="22"/>
                <w:lang w:val="en-NZ" w:eastAsia="en-NZ"/>
              </w:rPr>
            </w:pPr>
            <w:r w:rsidRPr="00953EAB">
              <w:rPr>
                <w:rFonts w:ascii="Arial" w:eastAsia="Times New Roman" w:hAnsi="Arial" w:cs="Arial"/>
                <w:szCs w:val="22"/>
                <w:lang w:val="en-AU" w:eastAsia="en-NZ"/>
              </w:rPr>
              <w:t>To identify key changes that may indicate acute deterioration</w:t>
            </w:r>
            <w:r w:rsidRPr="00953EAB">
              <w:rPr>
                <w:rFonts w:ascii="Arial" w:eastAsia="Times New Roman" w:hAnsi="Arial" w:cs="Arial"/>
                <w:szCs w:val="22"/>
                <w:lang w:val="en-NZ" w:eastAsia="en-NZ"/>
              </w:rPr>
              <w:t> </w:t>
            </w:r>
          </w:p>
          <w:p w14:paraId="0C9E20FF" w14:textId="77777777" w:rsidR="000B0CE4" w:rsidRPr="00953EAB" w:rsidRDefault="000B0CE4" w:rsidP="00953EAB">
            <w:pPr>
              <w:spacing w:after="0" w:line="240" w:lineRule="auto"/>
              <w:textAlignment w:val="baseline"/>
              <w:rPr>
                <w:rFonts w:ascii="Times New Roman" w:eastAsia="Times New Roman" w:hAnsi="Times New Roman" w:cs="Times New Roman"/>
                <w:szCs w:val="22"/>
                <w:lang w:val="en-NZ" w:eastAsia="en-NZ"/>
              </w:rPr>
            </w:pPr>
            <w:r w:rsidRPr="00953EAB">
              <w:rPr>
                <w:rFonts w:ascii="Arial" w:eastAsia="Times New Roman" w:hAnsi="Arial" w:cs="Arial"/>
                <w:szCs w:val="22"/>
                <w:lang w:val="en-AU" w:eastAsia="en-NZ"/>
              </w:rPr>
              <w:t>To trigger a</w:t>
            </w:r>
            <w:r>
              <w:rPr>
                <w:rFonts w:ascii="Arial" w:eastAsia="Times New Roman" w:hAnsi="Arial" w:cs="Arial"/>
                <w:szCs w:val="22"/>
                <w:lang w:val="en-AU" w:eastAsia="en-NZ"/>
              </w:rPr>
              <w:t xml:space="preserve"> referral to </w:t>
            </w:r>
            <w:r w:rsidRPr="00953EAB">
              <w:rPr>
                <w:rFonts w:ascii="Arial" w:eastAsia="Times New Roman" w:hAnsi="Arial" w:cs="Arial"/>
                <w:szCs w:val="22"/>
                <w:lang w:val="en-AU" w:eastAsia="en-NZ"/>
              </w:rPr>
              <w:t xml:space="preserve">RN for further </w:t>
            </w:r>
            <w:r>
              <w:rPr>
                <w:rFonts w:ascii="Arial" w:eastAsia="Times New Roman" w:hAnsi="Arial" w:cs="Arial"/>
                <w:szCs w:val="22"/>
                <w:lang w:val="en-AU" w:eastAsia="en-NZ"/>
              </w:rPr>
              <w:t>assessment</w:t>
            </w:r>
          </w:p>
        </w:tc>
      </w:tr>
      <w:tr w:rsidR="000B0CE4" w:rsidRPr="00953EAB" w14:paraId="64B24E9A" w14:textId="77777777" w:rsidTr="00953EAB">
        <w:trPr>
          <w:trHeight w:val="288"/>
        </w:trPr>
        <w:tc>
          <w:tcPr>
            <w:tcW w:w="2405" w:type="dxa"/>
            <w:shd w:val="clear" w:color="auto" w:fill="auto"/>
            <w:vAlign w:val="center"/>
            <w:hideMark/>
          </w:tcPr>
          <w:p w14:paraId="0F2AA232" w14:textId="77777777" w:rsidR="000B0CE4" w:rsidRPr="00953EAB" w:rsidRDefault="000B0CE4" w:rsidP="00953EAB">
            <w:pPr>
              <w:spacing w:after="0" w:line="240" w:lineRule="auto"/>
              <w:textAlignment w:val="baseline"/>
              <w:rPr>
                <w:rFonts w:ascii="Times New Roman" w:eastAsia="Times New Roman" w:hAnsi="Times New Roman" w:cs="Times New Roman"/>
                <w:b/>
                <w:bCs/>
                <w:szCs w:val="22"/>
                <w:lang w:val="en-NZ" w:eastAsia="en-NZ"/>
              </w:rPr>
            </w:pPr>
            <w:r w:rsidRPr="00953EAB">
              <w:rPr>
                <w:rFonts w:ascii="Arial" w:eastAsia="Times New Roman" w:hAnsi="Arial" w:cs="Arial"/>
                <w:b/>
                <w:bCs/>
                <w:szCs w:val="22"/>
                <w:lang w:val="en-AU" w:eastAsia="en-NZ"/>
              </w:rPr>
              <w:t>DEWS RN assessment </w:t>
            </w:r>
            <w:r w:rsidRPr="00953EAB">
              <w:rPr>
                <w:rFonts w:ascii="Arial" w:eastAsia="Times New Roman" w:hAnsi="Arial" w:cs="Arial"/>
                <w:b/>
                <w:bCs/>
                <w:szCs w:val="22"/>
                <w:lang w:val="en-NZ" w:eastAsia="en-NZ"/>
              </w:rPr>
              <w:t> </w:t>
            </w:r>
          </w:p>
        </w:tc>
        <w:tc>
          <w:tcPr>
            <w:tcW w:w="1418" w:type="dxa"/>
            <w:shd w:val="clear" w:color="auto" w:fill="auto"/>
            <w:vAlign w:val="center"/>
            <w:hideMark/>
          </w:tcPr>
          <w:p w14:paraId="719D153A" w14:textId="77777777" w:rsidR="000B0CE4" w:rsidRPr="00953EAB" w:rsidRDefault="000B0CE4" w:rsidP="00953EAB">
            <w:pPr>
              <w:spacing w:after="0" w:line="240" w:lineRule="auto"/>
              <w:textAlignment w:val="baseline"/>
              <w:rPr>
                <w:rFonts w:ascii="Times New Roman" w:eastAsia="Times New Roman" w:hAnsi="Times New Roman" w:cs="Times New Roman"/>
                <w:szCs w:val="22"/>
                <w:lang w:val="en-NZ" w:eastAsia="en-NZ"/>
              </w:rPr>
            </w:pPr>
            <w:r w:rsidRPr="00953EAB">
              <w:rPr>
                <w:rFonts w:ascii="Arial" w:eastAsia="Times New Roman" w:hAnsi="Arial" w:cs="Arial"/>
                <w:szCs w:val="22"/>
                <w:lang w:val="en-AU" w:eastAsia="en-NZ"/>
              </w:rPr>
              <w:t>Registered Nurse</w:t>
            </w:r>
            <w:r w:rsidRPr="00953EAB">
              <w:rPr>
                <w:rFonts w:ascii="Arial" w:eastAsia="Times New Roman" w:hAnsi="Arial" w:cs="Arial"/>
                <w:szCs w:val="22"/>
                <w:lang w:val="en-NZ" w:eastAsia="en-NZ"/>
              </w:rPr>
              <w:t> </w:t>
            </w:r>
            <w:r>
              <w:rPr>
                <w:rFonts w:ascii="Arial" w:eastAsia="Times New Roman" w:hAnsi="Arial" w:cs="Arial"/>
                <w:szCs w:val="22"/>
                <w:lang w:val="en-NZ" w:eastAsia="en-NZ"/>
              </w:rPr>
              <w:t>(RN)</w:t>
            </w:r>
          </w:p>
        </w:tc>
        <w:tc>
          <w:tcPr>
            <w:tcW w:w="6139" w:type="dxa"/>
            <w:shd w:val="clear" w:color="auto" w:fill="auto"/>
            <w:vAlign w:val="center"/>
            <w:hideMark/>
          </w:tcPr>
          <w:p w14:paraId="324453B3" w14:textId="77777777" w:rsidR="000B0CE4" w:rsidRDefault="000B0CE4" w:rsidP="00953EAB">
            <w:pPr>
              <w:spacing w:after="0" w:line="240" w:lineRule="auto"/>
              <w:textAlignment w:val="baseline"/>
              <w:rPr>
                <w:rFonts w:ascii="Arial" w:eastAsia="Times New Roman" w:hAnsi="Arial" w:cs="Arial"/>
                <w:szCs w:val="22"/>
                <w:lang w:val="en-NZ" w:eastAsia="en-NZ"/>
              </w:rPr>
            </w:pPr>
            <w:r w:rsidRPr="00953EAB">
              <w:rPr>
                <w:rFonts w:ascii="Arial" w:eastAsia="Times New Roman" w:hAnsi="Arial" w:cs="Arial"/>
                <w:szCs w:val="22"/>
                <w:lang w:val="en-AU" w:eastAsia="en-NZ"/>
              </w:rPr>
              <w:t>To guide a structured clinical assessment</w:t>
            </w:r>
            <w:r>
              <w:rPr>
                <w:rFonts w:ascii="Arial" w:eastAsia="Times New Roman" w:hAnsi="Arial" w:cs="Arial"/>
                <w:szCs w:val="22"/>
                <w:lang w:val="en-AU" w:eastAsia="en-NZ"/>
              </w:rPr>
              <w:t xml:space="preserve"> of person suspected of being acute unwell</w:t>
            </w:r>
            <w:r w:rsidRPr="00953EAB">
              <w:rPr>
                <w:rFonts w:ascii="Arial" w:eastAsia="Times New Roman" w:hAnsi="Arial" w:cs="Arial"/>
                <w:szCs w:val="22"/>
                <w:lang w:val="en-AU" w:eastAsia="en-NZ"/>
              </w:rPr>
              <w:t> </w:t>
            </w:r>
            <w:r w:rsidRPr="00953EAB">
              <w:rPr>
                <w:rFonts w:ascii="Arial" w:eastAsia="Times New Roman" w:hAnsi="Arial" w:cs="Arial"/>
                <w:szCs w:val="22"/>
                <w:lang w:val="en-NZ" w:eastAsia="en-NZ"/>
              </w:rPr>
              <w:t> </w:t>
            </w:r>
          </w:p>
          <w:p w14:paraId="024BB6CC" w14:textId="0A287B59" w:rsidR="000B0CE4" w:rsidRPr="00953EAB" w:rsidRDefault="000B0CE4" w:rsidP="00953EAB">
            <w:pPr>
              <w:spacing w:after="0" w:line="240" w:lineRule="auto"/>
              <w:textAlignment w:val="baseline"/>
              <w:rPr>
                <w:rFonts w:eastAsia="Times New Roman" w:cstheme="minorHAnsi"/>
                <w:szCs w:val="22"/>
                <w:lang w:val="en-NZ" w:eastAsia="en-NZ"/>
              </w:rPr>
            </w:pPr>
            <w:r w:rsidRPr="00953EAB">
              <w:rPr>
                <w:rFonts w:eastAsia="Times New Roman" w:cstheme="minorHAnsi"/>
                <w:szCs w:val="22"/>
                <w:lang w:val="en-NZ" w:eastAsia="en-NZ"/>
              </w:rPr>
              <w:t xml:space="preserve">To support RNs to initiate </w:t>
            </w:r>
            <w:r>
              <w:rPr>
                <w:rFonts w:eastAsia="Times New Roman" w:cstheme="minorHAnsi"/>
                <w:szCs w:val="22"/>
                <w:lang w:val="en-NZ" w:eastAsia="en-NZ"/>
              </w:rPr>
              <w:t>some standard nursing treatments.</w:t>
            </w:r>
          </w:p>
          <w:p w14:paraId="2DB06F80" w14:textId="71A2F979" w:rsidR="000B0CE4" w:rsidRPr="00953EAB" w:rsidRDefault="000B0CE4" w:rsidP="00953EAB">
            <w:pPr>
              <w:spacing w:after="0" w:line="240" w:lineRule="auto"/>
              <w:textAlignment w:val="baseline"/>
              <w:rPr>
                <w:rFonts w:ascii="Times New Roman" w:eastAsia="Times New Roman" w:hAnsi="Times New Roman" w:cs="Times New Roman"/>
                <w:szCs w:val="22"/>
                <w:lang w:val="en-NZ" w:eastAsia="en-NZ"/>
              </w:rPr>
            </w:pPr>
            <w:r w:rsidRPr="00953EAB">
              <w:rPr>
                <w:rFonts w:ascii="Arial" w:eastAsia="Times New Roman" w:hAnsi="Arial" w:cs="Arial"/>
                <w:szCs w:val="22"/>
                <w:lang w:val="en-AU" w:eastAsia="en-NZ"/>
              </w:rPr>
              <w:t>To provide a</w:t>
            </w:r>
            <w:r>
              <w:rPr>
                <w:rFonts w:ascii="Arial" w:eastAsia="Times New Roman" w:hAnsi="Arial" w:cs="Arial"/>
                <w:szCs w:val="22"/>
                <w:lang w:val="en-AU" w:eastAsia="en-NZ"/>
              </w:rPr>
              <w:t xml:space="preserve">n </w:t>
            </w:r>
            <w:r w:rsidRPr="00953EAB">
              <w:rPr>
                <w:rFonts w:ascii="Arial" w:eastAsia="Times New Roman" w:hAnsi="Arial" w:cs="Arial"/>
                <w:szCs w:val="22"/>
                <w:lang w:val="en-AU" w:eastAsia="en-NZ"/>
              </w:rPr>
              <w:t>escalation pathway in response to clinical risk</w:t>
            </w:r>
            <w:r>
              <w:rPr>
                <w:rFonts w:ascii="Arial" w:eastAsia="Times New Roman" w:hAnsi="Arial" w:cs="Arial"/>
                <w:szCs w:val="22"/>
                <w:lang w:val="en-AU" w:eastAsia="en-NZ"/>
              </w:rPr>
              <w:t xml:space="preserve"> </w:t>
            </w:r>
            <w:r w:rsidRPr="00953EAB">
              <w:rPr>
                <w:rFonts w:ascii="Arial" w:eastAsia="Times New Roman" w:hAnsi="Arial" w:cs="Arial"/>
                <w:szCs w:val="22"/>
                <w:lang w:val="en-AU" w:eastAsia="en-NZ"/>
              </w:rPr>
              <w:t>/</w:t>
            </w:r>
            <w:r>
              <w:rPr>
                <w:rFonts w:ascii="Arial" w:eastAsia="Times New Roman" w:hAnsi="Arial" w:cs="Arial"/>
                <w:szCs w:val="22"/>
                <w:lang w:val="en-AU" w:eastAsia="en-NZ"/>
              </w:rPr>
              <w:t xml:space="preserve"> </w:t>
            </w:r>
            <w:r w:rsidRPr="00953EAB">
              <w:rPr>
                <w:rFonts w:ascii="Arial" w:eastAsia="Times New Roman" w:hAnsi="Arial" w:cs="Arial"/>
                <w:szCs w:val="22"/>
                <w:lang w:val="en-AU" w:eastAsia="en-NZ"/>
              </w:rPr>
              <w:t>urgency. </w:t>
            </w:r>
            <w:r w:rsidRPr="00953EAB">
              <w:rPr>
                <w:rFonts w:ascii="Arial" w:eastAsia="Times New Roman" w:hAnsi="Arial" w:cs="Arial"/>
                <w:szCs w:val="22"/>
                <w:lang w:val="en-NZ" w:eastAsia="en-NZ"/>
              </w:rPr>
              <w:t> </w:t>
            </w:r>
          </w:p>
        </w:tc>
      </w:tr>
      <w:tr w:rsidR="000B0CE4" w:rsidRPr="00953EAB" w14:paraId="1CAA40BD" w14:textId="77777777" w:rsidTr="00953EAB">
        <w:trPr>
          <w:trHeight w:val="288"/>
        </w:trPr>
        <w:tc>
          <w:tcPr>
            <w:tcW w:w="2405" w:type="dxa"/>
            <w:shd w:val="clear" w:color="auto" w:fill="auto"/>
            <w:vAlign w:val="center"/>
            <w:hideMark/>
          </w:tcPr>
          <w:p w14:paraId="277E5744" w14:textId="77777777" w:rsidR="000B0CE4" w:rsidRPr="00953EAB" w:rsidRDefault="000B0CE4" w:rsidP="00953EAB">
            <w:pPr>
              <w:spacing w:after="0" w:line="240" w:lineRule="auto"/>
              <w:textAlignment w:val="baseline"/>
              <w:rPr>
                <w:rFonts w:ascii="Times New Roman" w:eastAsia="Times New Roman" w:hAnsi="Times New Roman" w:cs="Times New Roman"/>
                <w:b/>
                <w:bCs/>
                <w:szCs w:val="22"/>
                <w:lang w:val="en-NZ" w:eastAsia="en-NZ"/>
              </w:rPr>
            </w:pPr>
            <w:r w:rsidRPr="00953EAB">
              <w:rPr>
                <w:rFonts w:ascii="Arial" w:eastAsia="Times New Roman" w:hAnsi="Arial" w:cs="Arial"/>
                <w:b/>
                <w:bCs/>
                <w:szCs w:val="22"/>
                <w:lang w:val="en-AU" w:eastAsia="en-NZ"/>
              </w:rPr>
              <w:t>SBAR</w:t>
            </w:r>
            <w:r>
              <w:rPr>
                <w:rFonts w:ascii="Arial" w:eastAsia="Times New Roman" w:hAnsi="Arial" w:cs="Arial"/>
                <w:b/>
                <w:bCs/>
                <w:szCs w:val="22"/>
                <w:lang w:val="en-AU" w:eastAsia="en-NZ"/>
              </w:rPr>
              <w:t>R</w:t>
            </w:r>
            <w:r w:rsidRPr="00953EAB">
              <w:rPr>
                <w:rFonts w:ascii="Arial" w:eastAsia="Times New Roman" w:hAnsi="Arial" w:cs="Arial"/>
                <w:b/>
                <w:bCs/>
                <w:szCs w:val="22"/>
                <w:lang w:val="en-AU" w:eastAsia="en-NZ"/>
              </w:rPr>
              <w:t xml:space="preserve"> DEWS communication tool</w:t>
            </w:r>
            <w:r w:rsidRPr="00953EAB">
              <w:rPr>
                <w:rFonts w:ascii="Arial" w:eastAsia="Times New Roman" w:hAnsi="Arial" w:cs="Arial"/>
                <w:b/>
                <w:bCs/>
                <w:szCs w:val="22"/>
                <w:lang w:val="en-NZ" w:eastAsia="en-NZ"/>
              </w:rPr>
              <w:t> </w:t>
            </w:r>
          </w:p>
        </w:tc>
        <w:tc>
          <w:tcPr>
            <w:tcW w:w="1418" w:type="dxa"/>
            <w:shd w:val="clear" w:color="auto" w:fill="auto"/>
            <w:vAlign w:val="center"/>
            <w:hideMark/>
          </w:tcPr>
          <w:p w14:paraId="34E6A611" w14:textId="77777777" w:rsidR="000B0CE4" w:rsidRPr="00953EAB" w:rsidRDefault="000B0CE4" w:rsidP="00953EAB">
            <w:pPr>
              <w:spacing w:after="0" w:line="240" w:lineRule="auto"/>
              <w:textAlignment w:val="baseline"/>
              <w:rPr>
                <w:rFonts w:ascii="Times New Roman" w:eastAsia="Times New Roman" w:hAnsi="Times New Roman" w:cs="Times New Roman"/>
                <w:szCs w:val="22"/>
                <w:lang w:val="en-NZ" w:eastAsia="en-NZ"/>
              </w:rPr>
            </w:pPr>
            <w:r w:rsidRPr="00953EAB">
              <w:rPr>
                <w:rFonts w:ascii="Arial" w:eastAsia="Times New Roman" w:hAnsi="Arial" w:cs="Arial"/>
                <w:szCs w:val="22"/>
                <w:lang w:val="en-AU" w:eastAsia="en-NZ"/>
              </w:rPr>
              <w:t>R</w:t>
            </w:r>
            <w:r>
              <w:rPr>
                <w:rFonts w:ascii="Arial" w:eastAsia="Times New Roman" w:hAnsi="Arial" w:cs="Arial"/>
                <w:szCs w:val="22"/>
                <w:lang w:val="en-AU" w:eastAsia="en-NZ"/>
              </w:rPr>
              <w:t>N</w:t>
            </w:r>
          </w:p>
        </w:tc>
        <w:tc>
          <w:tcPr>
            <w:tcW w:w="6139" w:type="dxa"/>
            <w:shd w:val="clear" w:color="auto" w:fill="auto"/>
            <w:vAlign w:val="center"/>
            <w:hideMark/>
          </w:tcPr>
          <w:p w14:paraId="0F7DB644" w14:textId="77777777" w:rsidR="000B0CE4" w:rsidRDefault="000B0CE4" w:rsidP="00953EAB">
            <w:pPr>
              <w:spacing w:after="0" w:line="240" w:lineRule="auto"/>
              <w:textAlignment w:val="baseline"/>
              <w:rPr>
                <w:rFonts w:ascii="Arial" w:eastAsia="Times New Roman" w:hAnsi="Arial" w:cs="Arial"/>
                <w:szCs w:val="22"/>
                <w:lang w:val="en-AU" w:eastAsia="en-NZ"/>
              </w:rPr>
            </w:pPr>
            <w:r w:rsidRPr="00953EAB">
              <w:rPr>
                <w:rFonts w:ascii="Arial" w:eastAsia="Times New Roman" w:hAnsi="Arial" w:cs="Arial"/>
                <w:szCs w:val="22"/>
                <w:lang w:val="en-AU" w:eastAsia="en-NZ"/>
              </w:rPr>
              <w:t xml:space="preserve">To support </w:t>
            </w:r>
            <w:r>
              <w:rPr>
                <w:rFonts w:ascii="Arial" w:eastAsia="Times New Roman" w:hAnsi="Arial" w:cs="Arial"/>
                <w:szCs w:val="22"/>
                <w:lang w:val="en-AU" w:eastAsia="en-NZ"/>
              </w:rPr>
              <w:t>clinical reasoning</w:t>
            </w:r>
          </w:p>
          <w:p w14:paraId="64C60B3E" w14:textId="0B3D04E2" w:rsidR="000B0CE4" w:rsidRPr="00953EAB" w:rsidRDefault="000B0CE4" w:rsidP="00953EAB">
            <w:pPr>
              <w:spacing w:after="0" w:line="240" w:lineRule="auto"/>
              <w:textAlignment w:val="baseline"/>
              <w:rPr>
                <w:rFonts w:ascii="Times New Roman" w:eastAsia="Times New Roman" w:hAnsi="Times New Roman" w:cs="Times New Roman"/>
                <w:szCs w:val="22"/>
                <w:lang w:val="en-NZ" w:eastAsia="en-NZ"/>
              </w:rPr>
            </w:pPr>
            <w:r>
              <w:rPr>
                <w:rFonts w:ascii="Arial" w:eastAsia="Times New Roman" w:hAnsi="Arial" w:cs="Arial"/>
                <w:szCs w:val="22"/>
                <w:lang w:val="en-AU" w:eastAsia="en-NZ"/>
              </w:rPr>
              <w:t xml:space="preserve">To provide structured clinical communication between RN and </w:t>
            </w:r>
            <w:r w:rsidRPr="00953EAB">
              <w:rPr>
                <w:rFonts w:ascii="Arial" w:eastAsia="Times New Roman" w:hAnsi="Arial" w:cs="Arial"/>
                <w:szCs w:val="22"/>
                <w:lang w:val="en-AU" w:eastAsia="en-NZ"/>
              </w:rPr>
              <w:t>respond</w:t>
            </w:r>
            <w:r>
              <w:rPr>
                <w:rFonts w:ascii="Arial" w:eastAsia="Times New Roman" w:hAnsi="Arial" w:cs="Arial"/>
                <w:szCs w:val="22"/>
                <w:lang w:val="en-AU" w:eastAsia="en-NZ"/>
              </w:rPr>
              <w:t>ing clinician</w:t>
            </w:r>
          </w:p>
        </w:tc>
      </w:tr>
      <w:bookmarkEnd w:id="6"/>
    </w:tbl>
    <w:p w14:paraId="4A8245C3" w14:textId="77777777" w:rsidR="000B0CE4" w:rsidRDefault="000B0CE4" w:rsidP="005558AC">
      <w:pPr>
        <w:spacing w:after="0" w:line="240" w:lineRule="auto"/>
        <w:rPr>
          <w:rFonts w:ascii="Arial" w:hAnsi="Arial" w:cs="Arial"/>
          <w:szCs w:val="22"/>
        </w:rPr>
      </w:pPr>
    </w:p>
    <w:p w14:paraId="02BB1F0A" w14:textId="77777777" w:rsidR="000B0CE4" w:rsidRPr="002C5932" w:rsidRDefault="000B0CE4" w:rsidP="00956C78">
      <w:pPr>
        <w:spacing w:line="240" w:lineRule="auto"/>
        <w:jc w:val="both"/>
        <w:rPr>
          <w:rFonts w:ascii="Arial" w:hAnsi="Arial" w:cs="Arial"/>
          <w:b/>
          <w:bCs/>
          <w:szCs w:val="22"/>
        </w:rPr>
      </w:pPr>
      <w:r>
        <w:rPr>
          <w:rFonts w:ascii="Arial" w:hAnsi="Arial" w:cs="Arial"/>
          <w:b/>
          <w:bCs/>
          <w:szCs w:val="22"/>
        </w:rPr>
        <w:t xml:space="preserve">Aotearoa </w:t>
      </w:r>
      <w:r w:rsidRPr="002C5932">
        <w:rPr>
          <w:rFonts w:ascii="Arial" w:hAnsi="Arial" w:cs="Arial"/>
          <w:b/>
          <w:bCs/>
          <w:szCs w:val="22"/>
        </w:rPr>
        <w:t>New Zealand Context</w:t>
      </w:r>
      <w:r>
        <w:rPr>
          <w:rFonts w:ascii="Arial" w:hAnsi="Arial" w:cs="Arial"/>
          <w:b/>
          <w:bCs/>
          <w:szCs w:val="22"/>
        </w:rPr>
        <w:t>: contribution to new knowledge</w:t>
      </w:r>
    </w:p>
    <w:p w14:paraId="5FA263E6" w14:textId="1926FA0C" w:rsidR="000B0CE4" w:rsidRDefault="000B0CE4" w:rsidP="00B64E2C">
      <w:pPr>
        <w:spacing w:after="0" w:line="240" w:lineRule="auto"/>
        <w:rPr>
          <w:rFonts w:cstheme="minorHAnsi"/>
          <w:szCs w:val="22"/>
        </w:rPr>
      </w:pPr>
      <w:r>
        <w:rPr>
          <w:rFonts w:ascii="Arial" w:hAnsi="Arial" w:cs="Arial"/>
          <w:szCs w:val="22"/>
        </w:rPr>
        <w:t xml:space="preserve">Use of early warning tools to recognise and respond to acute patient deterioration in hospitals has become an international best practice standard.  </w:t>
      </w:r>
      <w:r w:rsidRPr="000A23B9">
        <w:rPr>
          <w:rFonts w:cstheme="minorHAnsi"/>
          <w:szCs w:val="22"/>
        </w:rPr>
        <w:t xml:space="preserve">Te </w:t>
      </w:r>
      <w:proofErr w:type="spellStart"/>
      <w:r w:rsidRPr="000A23B9">
        <w:rPr>
          <w:rFonts w:cstheme="minorHAnsi"/>
          <w:szCs w:val="22"/>
        </w:rPr>
        <w:t>Tāhū</w:t>
      </w:r>
      <w:proofErr w:type="spellEnd"/>
      <w:r w:rsidRPr="000A23B9">
        <w:rPr>
          <w:rFonts w:cstheme="minorHAnsi"/>
          <w:szCs w:val="22"/>
        </w:rPr>
        <w:t xml:space="preserve"> </w:t>
      </w:r>
      <w:r w:rsidR="0047405D">
        <w:rPr>
          <w:rFonts w:cstheme="minorHAnsi"/>
          <w:szCs w:val="22"/>
        </w:rPr>
        <w:t>Hauora</w:t>
      </w:r>
      <w:r>
        <w:rPr>
          <w:rFonts w:ascii="Arial" w:hAnsi="Arial" w:cs="Arial"/>
          <w:szCs w:val="22"/>
        </w:rPr>
        <w:t xml:space="preserve"> has successfully introduce</w:t>
      </w:r>
      <w:r w:rsidR="00022A13">
        <w:rPr>
          <w:rFonts w:ascii="Arial" w:hAnsi="Arial" w:cs="Arial"/>
          <w:szCs w:val="22"/>
        </w:rPr>
        <w:t>d</w:t>
      </w:r>
      <w:r>
        <w:rPr>
          <w:rFonts w:ascii="Arial" w:hAnsi="Arial" w:cs="Arial"/>
          <w:szCs w:val="22"/>
        </w:rPr>
        <w:t xml:space="preserve"> early warning systems (EWS) in NZ hospitals for adults, maternity patients and paediatric populations. These tools are based on the measurement and comparison of </w:t>
      </w:r>
      <w:r w:rsidR="00022A13">
        <w:rPr>
          <w:rFonts w:ascii="Arial" w:hAnsi="Arial" w:cs="Arial"/>
          <w:szCs w:val="22"/>
        </w:rPr>
        <w:t xml:space="preserve">an individual’s </w:t>
      </w:r>
      <w:r>
        <w:rPr>
          <w:rFonts w:ascii="Arial" w:hAnsi="Arial" w:cs="Arial"/>
          <w:szCs w:val="22"/>
        </w:rPr>
        <w:t xml:space="preserve">vital signs recorded several times a day.  </w:t>
      </w:r>
      <w:r>
        <w:rPr>
          <w:rFonts w:cstheme="minorHAnsi"/>
          <w:szCs w:val="22"/>
        </w:rPr>
        <w:t>For people living in ARC the constant monitoring of vital signs is not warranted for two key reasons</w:t>
      </w:r>
    </w:p>
    <w:p w14:paraId="73DF6145" w14:textId="04AD30C4" w:rsidR="000B0CE4" w:rsidRDefault="000B0CE4" w:rsidP="000866C4">
      <w:pPr>
        <w:pStyle w:val="ListParagraph"/>
        <w:numPr>
          <w:ilvl w:val="0"/>
          <w:numId w:val="8"/>
        </w:numPr>
        <w:spacing w:before="120" w:after="0" w:line="240" w:lineRule="auto"/>
        <w:ind w:left="714" w:hanging="357"/>
        <w:contextualSpacing w:val="0"/>
        <w:rPr>
          <w:rFonts w:cstheme="minorHAnsi"/>
        </w:rPr>
      </w:pPr>
      <w:r>
        <w:rPr>
          <w:rFonts w:cstheme="minorHAnsi"/>
        </w:rPr>
        <w:t>People living in ARC are generally well</w:t>
      </w:r>
      <w:r w:rsidR="00022A13">
        <w:rPr>
          <w:rFonts w:cstheme="minorHAnsi"/>
        </w:rPr>
        <w:t xml:space="preserve"> and in receipt of</w:t>
      </w:r>
      <w:r>
        <w:rPr>
          <w:rFonts w:cstheme="minorHAnsi"/>
        </w:rPr>
        <w:t xml:space="preserve"> long term care for age-related disability.  They may </w:t>
      </w:r>
      <w:r w:rsidR="00022A13">
        <w:rPr>
          <w:rFonts w:cstheme="minorHAnsi"/>
        </w:rPr>
        <w:t xml:space="preserve">experience </w:t>
      </w:r>
      <w:r>
        <w:rPr>
          <w:rFonts w:cstheme="minorHAnsi"/>
        </w:rPr>
        <w:t xml:space="preserve">acute episodes while living in ARC but </w:t>
      </w:r>
      <w:r w:rsidR="00022A13">
        <w:rPr>
          <w:rFonts w:cstheme="minorHAnsi"/>
        </w:rPr>
        <w:t xml:space="preserve">this is not the reason for moving into care.  People living in ARC are </w:t>
      </w:r>
      <w:r>
        <w:rPr>
          <w:rFonts w:cstheme="minorHAnsi"/>
        </w:rPr>
        <w:t>living at home (albeit a group home).  Generally well people</w:t>
      </w:r>
      <w:r w:rsidR="00022A13">
        <w:rPr>
          <w:rFonts w:cstheme="minorHAnsi"/>
        </w:rPr>
        <w:t>,</w:t>
      </w:r>
      <w:r>
        <w:rPr>
          <w:rFonts w:cstheme="minorHAnsi"/>
        </w:rPr>
        <w:t xml:space="preserve"> living at home</w:t>
      </w:r>
      <w:r w:rsidR="00022A13">
        <w:rPr>
          <w:rFonts w:cstheme="minorHAnsi"/>
        </w:rPr>
        <w:t>,</w:t>
      </w:r>
      <w:r>
        <w:rPr>
          <w:rFonts w:cstheme="minorHAnsi"/>
        </w:rPr>
        <w:t xml:space="preserve"> do not monitor their vital signs several times a day, every day, it is clinically unnecessary and </w:t>
      </w:r>
      <w:r w:rsidR="00022A13">
        <w:rPr>
          <w:rFonts w:cstheme="minorHAnsi"/>
        </w:rPr>
        <w:t xml:space="preserve">potentially </w:t>
      </w:r>
      <w:r>
        <w:rPr>
          <w:rFonts w:cstheme="minorHAnsi"/>
        </w:rPr>
        <w:t xml:space="preserve">harmful (impact on a person’s quality of life &amp; trauma from blood pressure cuffs).  </w:t>
      </w:r>
      <w:r w:rsidRPr="000866C4">
        <w:rPr>
          <w:rFonts w:cstheme="minorHAnsi"/>
        </w:rPr>
        <w:t xml:space="preserve">From a service delivery perspective frequent vital sign measurement </w:t>
      </w:r>
      <w:r>
        <w:rPr>
          <w:rFonts w:cstheme="minorHAnsi"/>
        </w:rPr>
        <w:t>c</w:t>
      </w:r>
      <w:r w:rsidRPr="000866C4">
        <w:rPr>
          <w:rFonts w:cstheme="minorHAnsi"/>
        </w:rPr>
        <w:t xml:space="preserve">ould compromise the contractually required ‘homelike’ environment and be an unreasonable drain on </w:t>
      </w:r>
      <w:r>
        <w:rPr>
          <w:rFonts w:cstheme="minorHAnsi"/>
        </w:rPr>
        <w:t>staffing</w:t>
      </w:r>
      <w:r w:rsidRPr="000866C4">
        <w:rPr>
          <w:rFonts w:cstheme="minorHAnsi"/>
        </w:rPr>
        <w:t xml:space="preserve"> resource.</w:t>
      </w:r>
      <w:r>
        <w:rPr>
          <w:rFonts w:cstheme="minorHAnsi"/>
        </w:rPr>
        <w:t xml:space="preserve"> </w:t>
      </w:r>
    </w:p>
    <w:p w14:paraId="5BA3886E" w14:textId="77777777" w:rsidR="000B0CE4" w:rsidRDefault="000B0CE4" w:rsidP="00B64E2C">
      <w:pPr>
        <w:spacing w:after="0" w:line="240" w:lineRule="auto"/>
        <w:rPr>
          <w:rFonts w:cstheme="minorHAnsi"/>
          <w:szCs w:val="22"/>
        </w:rPr>
      </w:pPr>
    </w:p>
    <w:p w14:paraId="2BB5C140" w14:textId="3763F7AD" w:rsidR="000B0CE4" w:rsidRPr="00784118" w:rsidRDefault="000B0CE4" w:rsidP="00784118">
      <w:pPr>
        <w:pStyle w:val="ListParagraph"/>
        <w:numPr>
          <w:ilvl w:val="0"/>
          <w:numId w:val="8"/>
        </w:numPr>
        <w:spacing w:after="0" w:line="240" w:lineRule="auto"/>
        <w:rPr>
          <w:rFonts w:cstheme="minorHAnsi"/>
        </w:rPr>
      </w:pPr>
      <w:r w:rsidRPr="00784118">
        <w:rPr>
          <w:rFonts w:cstheme="minorHAnsi"/>
        </w:rPr>
        <w:t>Vital sign EWS have been trialled in UK care homes (</w:t>
      </w:r>
      <w:r w:rsidR="00022A13">
        <w:rPr>
          <w:rFonts w:cstheme="minorHAnsi"/>
        </w:rPr>
        <w:t xml:space="preserve">facilities </w:t>
      </w:r>
      <w:r w:rsidRPr="00784118">
        <w:rPr>
          <w:rFonts w:cstheme="minorHAnsi"/>
        </w:rPr>
        <w:t>staffed by unregulated healthcare workers) they have not proven to be effective in detecting acute deterioration (Barker et al., 2019; Russell et al., 2020; Stocker et al., 2021).   Healthcare workers do report a</w:t>
      </w:r>
      <w:r w:rsidR="00022A13">
        <w:rPr>
          <w:rFonts w:cstheme="minorHAnsi"/>
        </w:rPr>
        <w:t>n associated</w:t>
      </w:r>
      <w:r w:rsidRPr="00784118">
        <w:rPr>
          <w:rFonts w:cstheme="minorHAnsi"/>
        </w:rPr>
        <w:t xml:space="preserve"> positive effect on </w:t>
      </w:r>
      <w:r w:rsidR="00022A13">
        <w:rPr>
          <w:rFonts w:cstheme="minorHAnsi"/>
        </w:rPr>
        <w:t xml:space="preserve">clinical communication and </w:t>
      </w:r>
      <w:r w:rsidRPr="00784118">
        <w:rPr>
          <w:rFonts w:cstheme="minorHAnsi"/>
        </w:rPr>
        <w:t xml:space="preserve">confidence </w:t>
      </w:r>
      <w:r w:rsidR="00022A13">
        <w:rPr>
          <w:rFonts w:cstheme="minorHAnsi"/>
        </w:rPr>
        <w:t xml:space="preserve">associated when </w:t>
      </w:r>
      <w:r w:rsidRPr="00784118">
        <w:rPr>
          <w:rFonts w:cstheme="minorHAnsi"/>
        </w:rPr>
        <w:t>using a</w:t>
      </w:r>
      <w:r w:rsidR="00022A13">
        <w:rPr>
          <w:rFonts w:cstheme="minorHAnsi"/>
        </w:rPr>
        <w:t>n</w:t>
      </w:r>
      <w:r w:rsidRPr="00784118">
        <w:rPr>
          <w:rFonts w:cstheme="minorHAnsi"/>
        </w:rPr>
        <w:t xml:space="preserve"> EWS (Hodgson et al., 2022; Russell et al., 2020).  There is no research considering resident acceptability.</w:t>
      </w:r>
    </w:p>
    <w:p w14:paraId="76C36D31" w14:textId="77777777" w:rsidR="000B0CE4" w:rsidRDefault="000B0CE4" w:rsidP="00B64E2C">
      <w:pPr>
        <w:spacing w:after="0" w:line="240" w:lineRule="auto"/>
        <w:rPr>
          <w:rFonts w:ascii="Arial" w:hAnsi="Arial" w:cs="Arial"/>
          <w:szCs w:val="22"/>
        </w:rPr>
      </w:pPr>
    </w:p>
    <w:p w14:paraId="4240F2CD" w14:textId="5DBC0C73" w:rsidR="000B0CE4" w:rsidRPr="009A11B1" w:rsidRDefault="000B0CE4" w:rsidP="000A23B9">
      <w:pPr>
        <w:spacing w:after="0" w:line="240" w:lineRule="auto"/>
        <w:rPr>
          <w:rStyle w:val="normaltextrun"/>
          <w:rFonts w:cstheme="minorHAnsi"/>
          <w:szCs w:val="22"/>
        </w:rPr>
      </w:pPr>
      <w:r w:rsidRPr="006F20C6">
        <w:rPr>
          <w:rFonts w:ascii="Arial" w:hAnsi="Arial" w:cs="Arial"/>
          <w:szCs w:val="22"/>
        </w:rPr>
        <w:t>The DEWS tools were co-designed with ARC</w:t>
      </w:r>
      <w:r w:rsidR="00022A13">
        <w:rPr>
          <w:rFonts w:ascii="Arial" w:hAnsi="Arial" w:cs="Arial"/>
          <w:szCs w:val="22"/>
        </w:rPr>
        <w:t>.  They</w:t>
      </w:r>
      <w:r w:rsidRPr="006F20C6">
        <w:rPr>
          <w:rFonts w:ascii="Arial" w:hAnsi="Arial" w:cs="Arial"/>
          <w:szCs w:val="22"/>
        </w:rPr>
        <w:t xml:space="preserve"> are specifically designed to support </w:t>
      </w:r>
      <w:r>
        <w:rPr>
          <w:rFonts w:ascii="Arial" w:hAnsi="Arial" w:cs="Arial"/>
          <w:szCs w:val="22"/>
        </w:rPr>
        <w:t>ARC</w:t>
      </w:r>
      <w:r w:rsidRPr="006F20C6">
        <w:rPr>
          <w:rFonts w:ascii="Arial" w:hAnsi="Arial" w:cs="Arial"/>
          <w:szCs w:val="22"/>
        </w:rPr>
        <w:t xml:space="preserve"> healthcare staff </w:t>
      </w:r>
      <w:r>
        <w:rPr>
          <w:rFonts w:ascii="Arial" w:hAnsi="Arial" w:cs="Arial"/>
          <w:szCs w:val="22"/>
        </w:rPr>
        <w:t xml:space="preserve">(regulated and unregulated) to recognise and respond to the unique pattern of clinical indicators most commonly seen </w:t>
      </w:r>
      <w:r w:rsidR="00022A13">
        <w:rPr>
          <w:rFonts w:ascii="Arial" w:hAnsi="Arial" w:cs="Arial"/>
          <w:szCs w:val="22"/>
        </w:rPr>
        <w:t>in the event of acute deterioration in this population</w:t>
      </w:r>
      <w:r>
        <w:rPr>
          <w:rFonts w:ascii="Arial" w:hAnsi="Arial" w:cs="Arial"/>
          <w:szCs w:val="22"/>
        </w:rPr>
        <w:t xml:space="preserve"> </w:t>
      </w:r>
      <w:hyperlink r:id="rId24" w:history="1">
        <w:r>
          <w:rPr>
            <w:rFonts w:ascii="Arial" w:eastAsia="Times New Roman" w:hAnsi="Arial" w:cs="Arial"/>
          </w:rPr>
          <w:t>(Chambers et al., 2022; Daltrey et al., 2022)</w:t>
        </w:r>
      </w:hyperlink>
      <w:r>
        <w:rPr>
          <w:rFonts w:ascii="Arial" w:eastAsia="Times New Roman" w:hAnsi="Arial" w:cs="Arial"/>
        </w:rPr>
        <w:t>.</w:t>
      </w:r>
      <w:r>
        <w:rPr>
          <w:rFonts w:ascii="Arial" w:hAnsi="Arial" w:cs="Arial"/>
          <w:szCs w:val="22"/>
        </w:rPr>
        <w:t xml:space="preserve">   It is anticipated that the DEWS tools will standardise the detection of acute deterioration in people living in care and support ARC staff in their work. However only small scale testing </w:t>
      </w:r>
      <w:r w:rsidR="00022A13">
        <w:rPr>
          <w:rFonts w:ascii="Arial" w:hAnsi="Arial" w:cs="Arial"/>
          <w:szCs w:val="22"/>
        </w:rPr>
        <w:t xml:space="preserve">of DEWS tools </w:t>
      </w:r>
      <w:r>
        <w:rPr>
          <w:rFonts w:ascii="Arial" w:hAnsi="Arial" w:cs="Arial"/>
          <w:szCs w:val="22"/>
        </w:rPr>
        <w:t xml:space="preserve">was possible during the co-design </w:t>
      </w:r>
      <w:r w:rsidR="00022A13">
        <w:rPr>
          <w:rFonts w:ascii="Arial" w:hAnsi="Arial" w:cs="Arial"/>
          <w:szCs w:val="22"/>
        </w:rPr>
        <w:t xml:space="preserve">research </w:t>
      </w:r>
      <w:r>
        <w:rPr>
          <w:rFonts w:ascii="Arial" w:hAnsi="Arial" w:cs="Arial"/>
          <w:szCs w:val="22"/>
        </w:rPr>
        <w:t>phase</w:t>
      </w:r>
      <w:r w:rsidR="00022A13">
        <w:rPr>
          <w:rFonts w:ascii="Arial" w:hAnsi="Arial" w:cs="Arial"/>
          <w:szCs w:val="22"/>
        </w:rPr>
        <w:t>.</w:t>
      </w:r>
      <w:r>
        <w:rPr>
          <w:rFonts w:ascii="Arial" w:hAnsi="Arial" w:cs="Arial"/>
          <w:szCs w:val="22"/>
        </w:rPr>
        <w:t xml:space="preserve">  This study will more thoroughly test the DEWS tools and the supporting quality improvement implementation package and will provide clearer evidence of whether </w:t>
      </w:r>
      <w:r w:rsidRPr="00332E1F">
        <w:rPr>
          <w:rStyle w:val="normaltextrun"/>
          <w:rFonts w:cstheme="minorHAnsi"/>
          <w:szCs w:val="22"/>
          <w:lang w:val="en-US"/>
        </w:rPr>
        <w:t xml:space="preserve">wide scale implementation of the DEWS tools in ARC </w:t>
      </w:r>
      <w:r>
        <w:rPr>
          <w:rStyle w:val="normaltextrun"/>
          <w:rFonts w:cstheme="minorHAnsi"/>
          <w:szCs w:val="22"/>
          <w:lang w:val="en-US"/>
        </w:rPr>
        <w:t>is feasib</w:t>
      </w:r>
      <w:r w:rsidR="000F2FE8">
        <w:rPr>
          <w:rStyle w:val="normaltextrun"/>
          <w:rFonts w:cstheme="minorHAnsi"/>
          <w:szCs w:val="22"/>
          <w:lang w:val="en-US"/>
        </w:rPr>
        <w:t>le</w:t>
      </w:r>
      <w:r>
        <w:rPr>
          <w:rStyle w:val="normaltextrun"/>
          <w:rFonts w:cstheme="minorHAnsi"/>
          <w:szCs w:val="22"/>
          <w:lang w:val="en-US"/>
        </w:rPr>
        <w:t xml:space="preserve"> and warranted.</w:t>
      </w:r>
    </w:p>
    <w:p w14:paraId="50AF8201" w14:textId="77777777" w:rsidR="000B0CE4" w:rsidRDefault="000B0CE4" w:rsidP="00B64E2C">
      <w:pPr>
        <w:spacing w:after="0" w:line="240" w:lineRule="auto"/>
        <w:rPr>
          <w:rFonts w:ascii="Arial" w:hAnsi="Arial" w:cs="Arial"/>
          <w:szCs w:val="22"/>
        </w:rPr>
      </w:pPr>
    </w:p>
    <w:p w14:paraId="2EABBCD1" w14:textId="77777777" w:rsidR="00663C0E" w:rsidRDefault="00663C0E">
      <w:pPr>
        <w:spacing w:after="0" w:line="240" w:lineRule="auto"/>
        <w:rPr>
          <w:rFonts w:eastAsia="Times New Roman" w:cstheme="minorHAnsi"/>
          <w:b/>
          <w:spacing w:val="-3"/>
          <w:szCs w:val="22"/>
        </w:rPr>
      </w:pPr>
      <w:r>
        <w:rPr>
          <w:rFonts w:cstheme="minorHAnsi"/>
          <w:b/>
          <w:i/>
          <w:szCs w:val="22"/>
        </w:rPr>
        <w:br w:type="page"/>
      </w:r>
    </w:p>
    <w:p w14:paraId="781B50E7" w14:textId="44C758F0" w:rsidR="000B0CE4" w:rsidRDefault="000B0CE4" w:rsidP="000A23B9">
      <w:pPr>
        <w:pStyle w:val="BodyText"/>
        <w:tabs>
          <w:tab w:val="left" w:pos="709"/>
        </w:tabs>
        <w:spacing w:after="240"/>
        <w:rPr>
          <w:rFonts w:asciiTheme="minorHAnsi" w:hAnsiTheme="minorHAnsi" w:cstheme="minorHAnsi"/>
          <w:b/>
          <w:i w:val="0"/>
          <w:sz w:val="22"/>
          <w:szCs w:val="22"/>
        </w:rPr>
      </w:pPr>
      <w:r>
        <w:rPr>
          <w:rFonts w:asciiTheme="minorHAnsi" w:hAnsiTheme="minorHAnsi" w:cstheme="minorHAnsi"/>
          <w:b/>
          <w:i w:val="0"/>
          <w:sz w:val="22"/>
          <w:szCs w:val="22"/>
        </w:rPr>
        <w:lastRenderedPageBreak/>
        <w:t>D. STUDY METHOD</w:t>
      </w:r>
    </w:p>
    <w:p w14:paraId="4AFBA760" w14:textId="452336FA" w:rsidR="000B0CE4" w:rsidRDefault="000B0CE4" w:rsidP="003C64DC">
      <w:pPr>
        <w:pStyle w:val="Heading1"/>
        <w:spacing w:before="0" w:after="120"/>
        <w:rPr>
          <w:rFonts w:asciiTheme="minorHAnsi" w:hAnsiTheme="minorHAnsi" w:cstheme="minorHAnsi"/>
          <w:b w:val="0"/>
          <w:bCs w:val="0"/>
          <w:color w:val="auto"/>
          <w:sz w:val="22"/>
          <w:szCs w:val="22"/>
        </w:rPr>
      </w:pPr>
      <w:r w:rsidRPr="000E723A">
        <w:rPr>
          <w:rFonts w:asciiTheme="minorHAnsi" w:hAnsiTheme="minorHAnsi" w:cstheme="minorHAnsi"/>
          <w:b w:val="0"/>
          <w:bCs w:val="0"/>
          <w:color w:val="auto"/>
          <w:sz w:val="22"/>
          <w:szCs w:val="22"/>
        </w:rPr>
        <w:t>This</w:t>
      </w:r>
      <w:r>
        <w:rPr>
          <w:rFonts w:asciiTheme="minorHAnsi" w:hAnsiTheme="minorHAnsi" w:cstheme="minorHAnsi"/>
          <w:b w:val="0"/>
          <w:bCs w:val="0"/>
          <w:color w:val="auto"/>
          <w:sz w:val="22"/>
          <w:szCs w:val="22"/>
        </w:rPr>
        <w:t xml:space="preserve"> type 2 hybrid</w:t>
      </w:r>
      <w:r w:rsidR="00022A13">
        <w:rPr>
          <w:rFonts w:asciiTheme="minorHAnsi" w:hAnsiTheme="minorHAnsi" w:cstheme="minorHAnsi"/>
          <w:b w:val="0"/>
          <w:bCs w:val="0"/>
          <w:color w:val="auto"/>
          <w:sz w:val="22"/>
          <w:szCs w:val="22"/>
        </w:rPr>
        <w:t xml:space="preserve"> </w:t>
      </w:r>
      <w:hyperlink r:id="rId25" w:history="1">
        <w:r w:rsidRPr="00022A13">
          <w:rPr>
            <w:rFonts w:ascii="Arial" w:eastAsia="Times New Roman" w:hAnsi="Arial" w:cs="Arial"/>
            <w:b w:val="0"/>
            <w:bCs w:val="0"/>
            <w:color w:val="auto"/>
            <w:sz w:val="22"/>
          </w:rPr>
          <w:t>(Pearson et al., 2020)</w:t>
        </w:r>
      </w:hyperlink>
      <w:r w:rsidRPr="00022A13">
        <w:rPr>
          <w:rFonts w:asciiTheme="minorHAnsi" w:hAnsiTheme="minorHAnsi" w:cstheme="minorHAnsi"/>
          <w:b w:val="0"/>
          <w:bCs w:val="0"/>
          <w:color w:val="auto"/>
          <w:sz w:val="22"/>
          <w:szCs w:val="22"/>
        </w:rPr>
        <w:t xml:space="preserve"> </w:t>
      </w:r>
      <w:r>
        <w:rPr>
          <w:rFonts w:asciiTheme="minorHAnsi" w:hAnsiTheme="minorHAnsi" w:cstheme="minorHAnsi"/>
          <w:b w:val="0"/>
          <w:bCs w:val="0"/>
          <w:color w:val="auto"/>
          <w:sz w:val="22"/>
          <w:szCs w:val="22"/>
        </w:rPr>
        <w:t>feasibility testing study will take a mixed methods approach to test</w:t>
      </w:r>
    </w:p>
    <w:p w14:paraId="3350F8A6" w14:textId="77777777" w:rsidR="000B0CE4" w:rsidRDefault="000B0CE4" w:rsidP="003C64DC">
      <w:pPr>
        <w:pStyle w:val="Heading1"/>
        <w:numPr>
          <w:ilvl w:val="0"/>
          <w:numId w:val="27"/>
        </w:numPr>
        <w:spacing w:before="0" w:after="120"/>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The ability of DEWS to help ARC staff to recognise and respond to acute deterioration (clinical effectiveness).</w:t>
      </w:r>
    </w:p>
    <w:p w14:paraId="445FCBED" w14:textId="77777777" w:rsidR="000B0CE4" w:rsidRDefault="000B0CE4" w:rsidP="003C64DC">
      <w:pPr>
        <w:pStyle w:val="Heading1"/>
        <w:numPr>
          <w:ilvl w:val="0"/>
          <w:numId w:val="27"/>
        </w:numPr>
        <w:spacing w:before="0" w:after="120"/>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The effectiveness of the quality improvement package to support DEWS implementation</w:t>
      </w:r>
    </w:p>
    <w:p w14:paraId="04FC8801" w14:textId="77777777" w:rsidR="000B0CE4" w:rsidRDefault="000B0CE4" w:rsidP="003C64DC">
      <w:pPr>
        <w:pStyle w:val="BodyText"/>
        <w:tabs>
          <w:tab w:val="left" w:pos="709"/>
        </w:tabs>
        <w:spacing w:before="240" w:after="120"/>
        <w:rPr>
          <w:rFonts w:asciiTheme="minorHAnsi" w:hAnsiTheme="minorHAnsi" w:cstheme="minorHAnsi"/>
          <w:b/>
          <w:i w:val="0"/>
          <w:sz w:val="22"/>
          <w:szCs w:val="22"/>
        </w:rPr>
      </w:pPr>
      <w:r>
        <w:rPr>
          <w:rFonts w:asciiTheme="minorHAnsi" w:hAnsiTheme="minorHAnsi" w:cstheme="minorHAnsi"/>
          <w:b/>
          <w:i w:val="0"/>
          <w:sz w:val="22"/>
          <w:szCs w:val="22"/>
        </w:rPr>
        <w:t xml:space="preserve">Study design and framework  </w:t>
      </w:r>
    </w:p>
    <w:p w14:paraId="66FA3D7E" w14:textId="77777777" w:rsidR="000B0CE4" w:rsidRDefault="000B0CE4" w:rsidP="003C64DC">
      <w:pPr>
        <w:tabs>
          <w:tab w:val="left" w:pos="709"/>
        </w:tabs>
        <w:spacing w:before="120" w:line="240" w:lineRule="auto"/>
        <w:rPr>
          <w:rFonts w:ascii="Arial" w:hAnsi="Arial" w:cs="Arial"/>
        </w:rPr>
      </w:pPr>
      <w:r w:rsidRPr="003C64DC">
        <w:rPr>
          <w:rFonts w:ascii="Arial" w:hAnsi="Arial" w:cs="Arial"/>
        </w:rPr>
        <w:t xml:space="preserve">DEWS </w:t>
      </w:r>
      <w:r>
        <w:rPr>
          <w:rFonts w:ascii="Arial" w:hAnsi="Arial" w:cs="Arial"/>
        </w:rPr>
        <w:t>clinical effectiveness</w:t>
      </w:r>
    </w:p>
    <w:p w14:paraId="2915EE48" w14:textId="58E3ED46" w:rsidR="000B0CE4" w:rsidRPr="003C64DC" w:rsidRDefault="000B0CE4" w:rsidP="003C64DC">
      <w:pPr>
        <w:pStyle w:val="ListParagraph"/>
        <w:numPr>
          <w:ilvl w:val="0"/>
          <w:numId w:val="30"/>
        </w:numPr>
        <w:tabs>
          <w:tab w:val="left" w:pos="709"/>
        </w:tabs>
        <w:spacing w:before="120" w:line="240" w:lineRule="auto"/>
        <w:rPr>
          <w:rFonts w:cstheme="minorHAnsi"/>
          <w:bCs/>
        </w:rPr>
      </w:pPr>
      <w:r>
        <w:rPr>
          <w:rFonts w:cstheme="minorHAnsi"/>
          <w:bCs/>
        </w:rPr>
        <w:t xml:space="preserve">The </w:t>
      </w:r>
      <w:r w:rsidRPr="003C64DC">
        <w:rPr>
          <w:rFonts w:cstheme="minorHAnsi"/>
          <w:bCs/>
        </w:rPr>
        <w:t>Reach, Effectiveness, Adoption, Implementation and Maintenance (RE-AIM) framework</w:t>
      </w:r>
      <w:r>
        <w:rPr>
          <w:rFonts w:cstheme="minorHAnsi"/>
          <w:bCs/>
        </w:rPr>
        <w:t xml:space="preserve"> has been used to help plan </w:t>
      </w:r>
      <w:r w:rsidR="00DA4E35">
        <w:rPr>
          <w:rFonts w:cstheme="minorHAnsi"/>
          <w:bCs/>
        </w:rPr>
        <w:t>this study.</w:t>
      </w:r>
      <w:r w:rsidRPr="003C64DC">
        <w:rPr>
          <w:rFonts w:cstheme="minorHAnsi"/>
          <w:bCs/>
        </w:rPr>
        <w:t xml:space="preserve">  The RE-AIM framework has been used for over two decades to support the implementation of evidence based health interventions. It is an adaptable framework, that has been used in multiple countries and cultures.   It can be used for planning, conducting, evaluation and reporting on interventions.   Used iteratively during implementation it can help teams respond to road blocks or manage unanticipated issues so provides the flexibility needed when testing an new system.  It also allows </w:t>
      </w:r>
      <w:r w:rsidR="00DA4E35">
        <w:rPr>
          <w:rFonts w:cstheme="minorHAnsi"/>
          <w:bCs/>
        </w:rPr>
        <w:t>researchers</w:t>
      </w:r>
      <w:r w:rsidRPr="003C64DC">
        <w:rPr>
          <w:rFonts w:cstheme="minorHAnsi"/>
          <w:bCs/>
        </w:rPr>
        <w:t xml:space="preserve"> to “plug-in” validated evaluation tools / theories to meet the needs of the project </w:t>
      </w:r>
      <w:hyperlink r:id="rId26" w:history="1">
        <w:r>
          <w:rPr>
            <w:rFonts w:ascii="Arial" w:hAnsi="Arial" w:cs="Arial"/>
          </w:rPr>
          <w:t>(Glasgow et al., 2019)</w:t>
        </w:r>
      </w:hyperlink>
      <w:r w:rsidRPr="003C64DC">
        <w:rPr>
          <w:rFonts w:cstheme="minorHAnsi"/>
          <w:bCs/>
          <w:iCs/>
        </w:rPr>
        <w:t>.</w:t>
      </w:r>
      <w:r w:rsidRPr="003C64DC">
        <w:rPr>
          <w:rFonts w:cstheme="minorHAnsi"/>
          <w:bCs/>
        </w:rPr>
        <w:t xml:space="preserve">  </w:t>
      </w:r>
    </w:p>
    <w:p w14:paraId="4962FC06" w14:textId="77777777" w:rsidR="000B0CE4" w:rsidRDefault="000B0CE4" w:rsidP="00251657">
      <w:pPr>
        <w:spacing w:after="0" w:line="240" w:lineRule="auto"/>
        <w:rPr>
          <w:rFonts w:ascii="Arial" w:hAnsi="Arial" w:cs="Arial"/>
          <w:szCs w:val="22"/>
        </w:rPr>
      </w:pPr>
      <w:r>
        <w:rPr>
          <w:rFonts w:ascii="Arial" w:hAnsi="Arial" w:cs="Arial"/>
          <w:szCs w:val="22"/>
        </w:rPr>
        <w:t>Quality improvement (QI) package</w:t>
      </w:r>
    </w:p>
    <w:p w14:paraId="756B5109" w14:textId="1BA2280F" w:rsidR="000B0CE4" w:rsidRPr="00DA4E35" w:rsidRDefault="000B0CE4" w:rsidP="00DA4E35">
      <w:pPr>
        <w:pStyle w:val="ListParagraph"/>
        <w:numPr>
          <w:ilvl w:val="0"/>
          <w:numId w:val="30"/>
        </w:numPr>
        <w:tabs>
          <w:tab w:val="left" w:pos="709"/>
        </w:tabs>
        <w:spacing w:before="120" w:line="240" w:lineRule="auto"/>
        <w:rPr>
          <w:rFonts w:cstheme="minorHAnsi"/>
          <w:bCs/>
        </w:rPr>
      </w:pPr>
      <w:r w:rsidRPr="00DA4E35">
        <w:rPr>
          <w:rFonts w:cstheme="minorHAnsi"/>
          <w:bCs/>
        </w:rPr>
        <w:t xml:space="preserve">This study will adapt the QI package used in Te </w:t>
      </w:r>
      <w:proofErr w:type="spellStart"/>
      <w:r w:rsidRPr="00DA4E35">
        <w:rPr>
          <w:rFonts w:cstheme="minorHAnsi"/>
          <w:bCs/>
        </w:rPr>
        <w:t>Tāhū</w:t>
      </w:r>
      <w:proofErr w:type="spellEnd"/>
      <w:r w:rsidRPr="00DA4E35">
        <w:rPr>
          <w:rFonts w:cstheme="minorHAnsi"/>
          <w:bCs/>
        </w:rPr>
        <w:t xml:space="preserve"> </w:t>
      </w:r>
      <w:r w:rsidR="0047405D">
        <w:rPr>
          <w:rFonts w:cstheme="minorHAnsi"/>
          <w:bCs/>
        </w:rPr>
        <w:t>Hauora</w:t>
      </w:r>
      <w:r w:rsidRPr="00DA4E35">
        <w:rPr>
          <w:rFonts w:cstheme="minorHAnsi"/>
          <w:bCs/>
        </w:rPr>
        <w:t xml:space="preserve">’s successful implementation of hospital early warning systems.  Adaptation will be necessary to accommodate the differences between delivering a programme in a Te </w:t>
      </w:r>
      <w:proofErr w:type="spellStart"/>
      <w:r w:rsidRPr="00DA4E35">
        <w:rPr>
          <w:rFonts w:cstheme="minorHAnsi"/>
          <w:bCs/>
        </w:rPr>
        <w:t>Whatau</w:t>
      </w:r>
      <w:proofErr w:type="spellEnd"/>
      <w:r w:rsidRPr="00DA4E35">
        <w:rPr>
          <w:rFonts w:cstheme="minorHAnsi"/>
          <w:bCs/>
        </w:rPr>
        <w:t xml:space="preserve"> Ora and the ARC sector.</w:t>
      </w:r>
    </w:p>
    <w:p w14:paraId="3110C4D3" w14:textId="77777777" w:rsidR="000B0CE4" w:rsidRPr="00DA4E35" w:rsidRDefault="000B0CE4" w:rsidP="00DA4E35">
      <w:pPr>
        <w:pStyle w:val="ListParagraph"/>
        <w:tabs>
          <w:tab w:val="left" w:pos="709"/>
        </w:tabs>
        <w:spacing w:before="120" w:line="240" w:lineRule="auto"/>
        <w:rPr>
          <w:rFonts w:cstheme="minorHAnsi"/>
          <w:bCs/>
        </w:rPr>
      </w:pPr>
    </w:p>
    <w:p w14:paraId="6B5BA48C" w14:textId="77777777" w:rsidR="000B0CE4" w:rsidRDefault="000B0CE4">
      <w:pPr>
        <w:spacing w:after="0" w:line="240" w:lineRule="auto"/>
        <w:rPr>
          <w:rFonts w:eastAsia="Times New Roman" w:cstheme="minorHAnsi"/>
          <w:bCs/>
          <w:spacing w:val="-3"/>
          <w:szCs w:val="22"/>
        </w:rPr>
      </w:pPr>
      <w:r>
        <w:rPr>
          <w:rFonts w:eastAsia="Times New Roman" w:cstheme="minorHAnsi"/>
          <w:bCs/>
          <w:spacing w:val="-3"/>
          <w:szCs w:val="22"/>
        </w:rPr>
        <w:br w:type="page"/>
      </w:r>
    </w:p>
    <w:tbl>
      <w:tblPr>
        <w:tblStyle w:val="TableGrid"/>
        <w:tblW w:w="10207" w:type="dxa"/>
        <w:tblInd w:w="-147" w:type="dxa"/>
        <w:tblLayout w:type="fixed"/>
        <w:tblLook w:val="04A0" w:firstRow="1" w:lastRow="0" w:firstColumn="1" w:lastColumn="0" w:noHBand="0" w:noVBand="1"/>
      </w:tblPr>
      <w:tblGrid>
        <w:gridCol w:w="1560"/>
        <w:gridCol w:w="3685"/>
        <w:gridCol w:w="4962"/>
      </w:tblGrid>
      <w:tr w:rsidR="000B0CE4" w:rsidRPr="00FB5293" w14:paraId="4E022965" w14:textId="77777777" w:rsidTr="00162D89">
        <w:tc>
          <w:tcPr>
            <w:tcW w:w="10207" w:type="dxa"/>
            <w:gridSpan w:val="3"/>
            <w:shd w:val="clear" w:color="auto" w:fill="F2F2F2" w:themeFill="background1" w:themeFillShade="F2"/>
          </w:tcPr>
          <w:p w14:paraId="35C47D28" w14:textId="4785965D" w:rsidR="000B0CE4" w:rsidRPr="00FB5293" w:rsidRDefault="000B0CE4" w:rsidP="003C64DC">
            <w:pPr>
              <w:pStyle w:val="BodyText"/>
              <w:tabs>
                <w:tab w:val="left" w:pos="709"/>
              </w:tabs>
              <w:spacing w:before="120" w:after="120"/>
              <w:rPr>
                <w:rFonts w:asciiTheme="minorHAnsi" w:hAnsiTheme="minorHAnsi" w:cstheme="minorHAnsi"/>
                <w:bCs/>
                <w:i w:val="0"/>
                <w:sz w:val="20"/>
              </w:rPr>
            </w:pPr>
            <w:r>
              <w:rPr>
                <w:rFonts w:asciiTheme="minorHAnsi" w:hAnsiTheme="minorHAnsi" w:cstheme="minorHAnsi"/>
                <w:bCs/>
                <w:i w:val="0"/>
                <w:sz w:val="20"/>
              </w:rPr>
              <w:lastRenderedPageBreak/>
              <w:t>RE</w:t>
            </w:r>
            <w:r w:rsidR="00663C0E">
              <w:rPr>
                <w:rFonts w:asciiTheme="minorHAnsi" w:hAnsiTheme="minorHAnsi" w:cstheme="minorHAnsi"/>
                <w:bCs/>
                <w:i w:val="0"/>
                <w:sz w:val="20"/>
              </w:rPr>
              <w:t>-AIM: Clinical effectiveness</w:t>
            </w:r>
          </w:p>
        </w:tc>
      </w:tr>
      <w:tr w:rsidR="000B0CE4" w:rsidRPr="00FB5293" w14:paraId="32CBB02E" w14:textId="77777777" w:rsidTr="00774493">
        <w:tc>
          <w:tcPr>
            <w:tcW w:w="1560" w:type="dxa"/>
            <w:shd w:val="clear" w:color="auto" w:fill="F2F2F2" w:themeFill="background1" w:themeFillShade="F2"/>
          </w:tcPr>
          <w:p w14:paraId="43FAD491" w14:textId="77777777" w:rsidR="000B0CE4" w:rsidRPr="00FB5293" w:rsidRDefault="000B0CE4" w:rsidP="00774493">
            <w:pPr>
              <w:pStyle w:val="BodyText"/>
              <w:tabs>
                <w:tab w:val="left" w:pos="709"/>
              </w:tabs>
              <w:rPr>
                <w:rFonts w:asciiTheme="minorHAnsi" w:hAnsiTheme="minorHAnsi" w:cstheme="minorHAnsi"/>
                <w:bCs/>
                <w:i w:val="0"/>
                <w:sz w:val="20"/>
              </w:rPr>
            </w:pPr>
            <w:r w:rsidRPr="00FB5293">
              <w:rPr>
                <w:rFonts w:asciiTheme="minorHAnsi" w:hAnsiTheme="minorHAnsi" w:cstheme="minorHAnsi"/>
                <w:bCs/>
                <w:i w:val="0"/>
                <w:sz w:val="20"/>
              </w:rPr>
              <w:t>Domain</w:t>
            </w:r>
          </w:p>
        </w:tc>
        <w:tc>
          <w:tcPr>
            <w:tcW w:w="3685" w:type="dxa"/>
            <w:shd w:val="clear" w:color="auto" w:fill="F2F2F2" w:themeFill="background1" w:themeFillShade="F2"/>
          </w:tcPr>
          <w:p w14:paraId="08B9A675" w14:textId="77777777" w:rsidR="000B0CE4" w:rsidRPr="00FB5293" w:rsidRDefault="000B0CE4" w:rsidP="00774493">
            <w:pPr>
              <w:pStyle w:val="BodyText"/>
              <w:tabs>
                <w:tab w:val="left" w:pos="709"/>
              </w:tabs>
              <w:rPr>
                <w:rFonts w:asciiTheme="minorHAnsi" w:hAnsiTheme="minorHAnsi" w:cstheme="minorHAnsi"/>
                <w:bCs/>
                <w:i w:val="0"/>
                <w:sz w:val="20"/>
              </w:rPr>
            </w:pPr>
            <w:r w:rsidRPr="00FB5293">
              <w:rPr>
                <w:rFonts w:asciiTheme="minorHAnsi" w:hAnsiTheme="minorHAnsi" w:cstheme="minorHAnsi"/>
                <w:bCs/>
                <w:i w:val="0"/>
                <w:sz w:val="20"/>
              </w:rPr>
              <w:t>What do we want to know</w:t>
            </w:r>
          </w:p>
        </w:tc>
        <w:tc>
          <w:tcPr>
            <w:tcW w:w="4962" w:type="dxa"/>
            <w:shd w:val="clear" w:color="auto" w:fill="F2F2F2" w:themeFill="background1" w:themeFillShade="F2"/>
          </w:tcPr>
          <w:p w14:paraId="55337992" w14:textId="77777777" w:rsidR="000B0CE4" w:rsidRPr="00FB5293" w:rsidRDefault="000B0CE4" w:rsidP="00774493">
            <w:pPr>
              <w:pStyle w:val="BodyText"/>
              <w:tabs>
                <w:tab w:val="left" w:pos="709"/>
              </w:tabs>
              <w:rPr>
                <w:rFonts w:asciiTheme="minorHAnsi" w:hAnsiTheme="minorHAnsi" w:cstheme="minorHAnsi"/>
                <w:bCs/>
                <w:i w:val="0"/>
                <w:sz w:val="20"/>
              </w:rPr>
            </w:pPr>
            <w:r w:rsidRPr="00FB5293">
              <w:rPr>
                <w:rFonts w:asciiTheme="minorHAnsi" w:hAnsiTheme="minorHAnsi" w:cstheme="minorHAnsi"/>
                <w:bCs/>
                <w:i w:val="0"/>
                <w:sz w:val="20"/>
              </w:rPr>
              <w:t xml:space="preserve">How will </w:t>
            </w:r>
            <w:r>
              <w:rPr>
                <w:rFonts w:asciiTheme="minorHAnsi" w:hAnsiTheme="minorHAnsi" w:cstheme="minorHAnsi"/>
                <w:bCs/>
                <w:i w:val="0"/>
                <w:sz w:val="20"/>
              </w:rPr>
              <w:t>w</w:t>
            </w:r>
            <w:r w:rsidRPr="00FB5293">
              <w:rPr>
                <w:rFonts w:asciiTheme="minorHAnsi" w:hAnsiTheme="minorHAnsi" w:cstheme="minorHAnsi"/>
                <w:bCs/>
                <w:i w:val="0"/>
                <w:sz w:val="20"/>
              </w:rPr>
              <w:t>e know it?</w:t>
            </w:r>
          </w:p>
        </w:tc>
      </w:tr>
      <w:tr w:rsidR="000B0CE4" w:rsidRPr="00FB5293" w14:paraId="2B85C9DE" w14:textId="77777777" w:rsidTr="00774493">
        <w:tc>
          <w:tcPr>
            <w:tcW w:w="1560" w:type="dxa"/>
            <w:vAlign w:val="center"/>
          </w:tcPr>
          <w:p w14:paraId="4B329BE4" w14:textId="77777777" w:rsidR="000B0CE4" w:rsidRPr="00FB5293" w:rsidRDefault="000B0CE4" w:rsidP="00774493">
            <w:pPr>
              <w:pStyle w:val="BodyText"/>
              <w:tabs>
                <w:tab w:val="left" w:pos="709"/>
              </w:tabs>
              <w:rPr>
                <w:rFonts w:asciiTheme="minorHAnsi" w:hAnsiTheme="minorHAnsi" w:cstheme="minorHAnsi"/>
                <w:bCs/>
                <w:i w:val="0"/>
                <w:sz w:val="20"/>
              </w:rPr>
            </w:pPr>
            <w:r w:rsidRPr="00FB5293">
              <w:rPr>
                <w:rFonts w:asciiTheme="minorHAnsi" w:hAnsiTheme="minorHAnsi" w:cstheme="minorHAnsi"/>
                <w:bCs/>
                <w:i w:val="0"/>
                <w:sz w:val="20"/>
              </w:rPr>
              <w:t>Reach</w:t>
            </w:r>
          </w:p>
        </w:tc>
        <w:tc>
          <w:tcPr>
            <w:tcW w:w="3685" w:type="dxa"/>
            <w:tcBorders>
              <w:bottom w:val="single" w:sz="4" w:space="0" w:color="auto"/>
            </w:tcBorders>
            <w:vAlign w:val="center"/>
          </w:tcPr>
          <w:p w14:paraId="6F936918" w14:textId="77777777" w:rsidR="000B0CE4" w:rsidRPr="00FB5293" w:rsidRDefault="000B0CE4" w:rsidP="00774493">
            <w:pPr>
              <w:pStyle w:val="BodyText"/>
              <w:tabs>
                <w:tab w:val="left" w:pos="709"/>
              </w:tabs>
              <w:rPr>
                <w:rFonts w:asciiTheme="minorHAnsi" w:hAnsiTheme="minorHAnsi" w:cstheme="minorHAnsi"/>
                <w:bCs/>
                <w:i w:val="0"/>
                <w:sz w:val="20"/>
              </w:rPr>
            </w:pPr>
            <w:r>
              <w:rPr>
                <w:rFonts w:asciiTheme="minorHAnsi" w:hAnsiTheme="minorHAnsi" w:cstheme="minorHAnsi"/>
                <w:bCs/>
                <w:i w:val="0"/>
                <w:sz w:val="20"/>
              </w:rPr>
              <w:t>Have we reached target audience</w:t>
            </w:r>
          </w:p>
        </w:tc>
        <w:tc>
          <w:tcPr>
            <w:tcW w:w="4962" w:type="dxa"/>
            <w:tcBorders>
              <w:bottom w:val="single" w:sz="4" w:space="0" w:color="auto"/>
            </w:tcBorders>
            <w:vAlign w:val="center"/>
          </w:tcPr>
          <w:p w14:paraId="0533B3CF" w14:textId="77777777" w:rsidR="000B0CE4" w:rsidRPr="00FB5293" w:rsidRDefault="000B0CE4" w:rsidP="00774493">
            <w:pPr>
              <w:pStyle w:val="BodyText"/>
              <w:numPr>
                <w:ilvl w:val="0"/>
                <w:numId w:val="10"/>
              </w:numPr>
              <w:tabs>
                <w:tab w:val="left" w:pos="709"/>
              </w:tabs>
              <w:rPr>
                <w:rFonts w:asciiTheme="minorHAnsi" w:hAnsiTheme="minorHAnsi" w:cstheme="minorHAnsi"/>
                <w:bCs/>
                <w:i w:val="0"/>
                <w:sz w:val="20"/>
              </w:rPr>
            </w:pPr>
            <w:r>
              <w:rPr>
                <w:rFonts w:asciiTheme="minorHAnsi" w:hAnsiTheme="minorHAnsi" w:cstheme="minorHAnsi"/>
                <w:bCs/>
                <w:i w:val="0"/>
                <w:sz w:val="20"/>
              </w:rPr>
              <w:t>Recruit a representative sample of ARC providers</w:t>
            </w:r>
          </w:p>
        </w:tc>
      </w:tr>
      <w:tr w:rsidR="000B0CE4" w:rsidRPr="00FB5293" w14:paraId="31D37917" w14:textId="77777777" w:rsidTr="00774493">
        <w:trPr>
          <w:trHeight w:val="473"/>
        </w:trPr>
        <w:tc>
          <w:tcPr>
            <w:tcW w:w="1560" w:type="dxa"/>
            <w:vMerge w:val="restart"/>
          </w:tcPr>
          <w:p w14:paraId="469E0FEE" w14:textId="77777777" w:rsidR="000B0CE4" w:rsidRDefault="000B0CE4" w:rsidP="00774493">
            <w:pPr>
              <w:pStyle w:val="BodyText"/>
              <w:tabs>
                <w:tab w:val="left" w:pos="709"/>
              </w:tabs>
              <w:rPr>
                <w:rFonts w:asciiTheme="minorHAnsi" w:hAnsiTheme="minorHAnsi" w:cstheme="minorHAnsi"/>
                <w:bCs/>
                <w:i w:val="0"/>
                <w:sz w:val="20"/>
              </w:rPr>
            </w:pPr>
            <w:r w:rsidRPr="00FB5293">
              <w:rPr>
                <w:rFonts w:asciiTheme="minorHAnsi" w:hAnsiTheme="minorHAnsi" w:cstheme="minorHAnsi"/>
                <w:bCs/>
                <w:i w:val="0"/>
                <w:sz w:val="20"/>
              </w:rPr>
              <w:t>Effectiveness</w:t>
            </w:r>
          </w:p>
          <w:p w14:paraId="38D605D6" w14:textId="77777777" w:rsidR="000B0CE4" w:rsidRDefault="000B0CE4" w:rsidP="00774493">
            <w:pPr>
              <w:pStyle w:val="BodyText"/>
              <w:tabs>
                <w:tab w:val="left" w:pos="709"/>
              </w:tabs>
              <w:rPr>
                <w:rFonts w:asciiTheme="minorHAnsi" w:hAnsiTheme="minorHAnsi" w:cstheme="minorHAnsi"/>
                <w:bCs/>
                <w:i w:val="0"/>
                <w:sz w:val="20"/>
              </w:rPr>
            </w:pPr>
          </w:p>
          <w:p w14:paraId="05AABD8F" w14:textId="77777777" w:rsidR="000B0CE4" w:rsidRPr="00FB5293" w:rsidRDefault="000B0CE4" w:rsidP="00774493">
            <w:pPr>
              <w:pStyle w:val="BodyText"/>
              <w:tabs>
                <w:tab w:val="left" w:pos="709"/>
              </w:tabs>
              <w:rPr>
                <w:rFonts w:asciiTheme="minorHAnsi" w:hAnsiTheme="minorHAnsi" w:cstheme="minorHAnsi"/>
                <w:bCs/>
                <w:i w:val="0"/>
                <w:sz w:val="20"/>
              </w:rPr>
            </w:pPr>
            <w:r>
              <w:rPr>
                <w:rFonts w:asciiTheme="minorHAnsi" w:hAnsiTheme="minorHAnsi" w:cstheme="minorHAnsi"/>
                <w:bCs/>
                <w:i w:val="0"/>
                <w:sz w:val="20"/>
              </w:rPr>
              <w:t xml:space="preserve">Test DEWS tools are effective in </w:t>
            </w:r>
          </w:p>
        </w:tc>
        <w:tc>
          <w:tcPr>
            <w:tcW w:w="3685" w:type="dxa"/>
            <w:tcBorders>
              <w:bottom w:val="dotted" w:sz="4" w:space="0" w:color="auto"/>
              <w:right w:val="single" w:sz="4" w:space="0" w:color="auto"/>
            </w:tcBorders>
          </w:tcPr>
          <w:p w14:paraId="0236D020" w14:textId="77777777" w:rsidR="000B0CE4" w:rsidRPr="00332E1F" w:rsidRDefault="000B0CE4" w:rsidP="00774493">
            <w:pPr>
              <w:pStyle w:val="BodyText"/>
              <w:tabs>
                <w:tab w:val="left" w:pos="171"/>
              </w:tabs>
              <w:rPr>
                <w:rFonts w:asciiTheme="minorHAnsi" w:hAnsiTheme="minorHAnsi" w:cstheme="minorHAnsi"/>
                <w:bCs/>
                <w:i w:val="0"/>
                <w:sz w:val="20"/>
              </w:rPr>
            </w:pPr>
            <w:r>
              <w:rPr>
                <w:rStyle w:val="eop"/>
                <w:rFonts w:asciiTheme="minorHAnsi" w:hAnsiTheme="minorHAnsi" w:cstheme="minorHAnsi"/>
                <w:i w:val="0"/>
                <w:iCs/>
                <w:sz w:val="20"/>
              </w:rPr>
              <w:t>Do DEWS tools s</w:t>
            </w:r>
            <w:r w:rsidRPr="00FB5293">
              <w:rPr>
                <w:rStyle w:val="eop"/>
                <w:rFonts w:asciiTheme="minorHAnsi" w:hAnsiTheme="minorHAnsi" w:cstheme="minorHAnsi"/>
                <w:i w:val="0"/>
                <w:iCs/>
                <w:sz w:val="20"/>
              </w:rPr>
              <w:t xml:space="preserve">upport ARC staff to recognise and respond to acute deterioration </w:t>
            </w:r>
          </w:p>
        </w:tc>
        <w:tc>
          <w:tcPr>
            <w:tcW w:w="4962" w:type="dxa"/>
            <w:tcBorders>
              <w:left w:val="single" w:sz="4" w:space="0" w:color="auto"/>
              <w:bottom w:val="dotted" w:sz="4" w:space="0" w:color="auto"/>
              <w:right w:val="single" w:sz="4" w:space="0" w:color="auto"/>
            </w:tcBorders>
          </w:tcPr>
          <w:p w14:paraId="0BDAFF72" w14:textId="3EF8A073" w:rsidR="000B0CE4" w:rsidRDefault="000B0CE4" w:rsidP="00774493">
            <w:pPr>
              <w:pStyle w:val="paragraph"/>
              <w:numPr>
                <w:ilvl w:val="0"/>
                <w:numId w:val="9"/>
              </w:numPr>
              <w:spacing w:before="0" w:beforeAutospacing="0" w:after="0" w:afterAutospacing="0"/>
              <w:textAlignment w:val="baseline"/>
              <w:rPr>
                <w:rFonts w:asciiTheme="minorHAnsi" w:hAnsiTheme="minorHAnsi" w:cstheme="minorHAnsi"/>
                <w:bCs/>
                <w:iCs/>
                <w:sz w:val="20"/>
                <w:szCs w:val="20"/>
              </w:rPr>
            </w:pPr>
            <w:r>
              <w:rPr>
                <w:rFonts w:asciiTheme="minorHAnsi" w:hAnsiTheme="minorHAnsi" w:cstheme="minorHAnsi"/>
                <w:bCs/>
                <w:iCs/>
                <w:sz w:val="20"/>
                <w:szCs w:val="20"/>
              </w:rPr>
              <w:t xml:space="preserve">ARC teams </w:t>
            </w:r>
            <w:r w:rsidR="00DA4E35">
              <w:rPr>
                <w:rFonts w:asciiTheme="minorHAnsi" w:hAnsiTheme="minorHAnsi" w:cstheme="minorHAnsi"/>
                <w:bCs/>
                <w:iCs/>
                <w:sz w:val="20"/>
                <w:szCs w:val="20"/>
              </w:rPr>
              <w:t xml:space="preserve">to prospectively </w:t>
            </w:r>
            <w:r>
              <w:rPr>
                <w:rFonts w:asciiTheme="minorHAnsi" w:hAnsiTheme="minorHAnsi" w:cstheme="minorHAnsi"/>
                <w:bCs/>
                <w:iCs/>
                <w:sz w:val="20"/>
                <w:szCs w:val="20"/>
              </w:rPr>
              <w:t xml:space="preserve">provide de-identified </w:t>
            </w:r>
            <w:r w:rsidR="00DA4E35">
              <w:rPr>
                <w:rFonts w:asciiTheme="minorHAnsi" w:hAnsiTheme="minorHAnsi" w:cstheme="minorHAnsi"/>
                <w:bCs/>
                <w:iCs/>
                <w:sz w:val="20"/>
                <w:szCs w:val="20"/>
              </w:rPr>
              <w:t>clinical case narrative of DEWS escalations</w:t>
            </w:r>
            <w:r>
              <w:rPr>
                <w:rFonts w:asciiTheme="minorHAnsi" w:hAnsiTheme="minorHAnsi" w:cstheme="minorHAnsi"/>
                <w:bCs/>
                <w:iCs/>
                <w:sz w:val="20"/>
                <w:szCs w:val="20"/>
              </w:rPr>
              <w:t>.</w:t>
            </w:r>
          </w:p>
          <w:p w14:paraId="6B866525" w14:textId="77777777" w:rsidR="000B0CE4" w:rsidRPr="00A70F2B" w:rsidRDefault="000B0CE4" w:rsidP="00774493">
            <w:pPr>
              <w:pStyle w:val="paragraph"/>
              <w:numPr>
                <w:ilvl w:val="0"/>
                <w:numId w:val="9"/>
              </w:numPr>
              <w:spacing w:before="0" w:beforeAutospacing="0" w:after="0" w:afterAutospacing="0"/>
              <w:textAlignment w:val="baseline"/>
              <w:rPr>
                <w:rFonts w:asciiTheme="minorHAnsi" w:hAnsiTheme="minorHAnsi" w:cstheme="minorHAnsi"/>
                <w:bCs/>
                <w:i/>
                <w:sz w:val="20"/>
                <w:szCs w:val="20"/>
              </w:rPr>
            </w:pPr>
            <w:r>
              <w:rPr>
                <w:rFonts w:asciiTheme="minorHAnsi" w:hAnsiTheme="minorHAnsi" w:cstheme="minorHAnsi"/>
                <w:bCs/>
                <w:iCs/>
                <w:sz w:val="20"/>
                <w:szCs w:val="20"/>
              </w:rPr>
              <w:t>End of project invitational semi-structured interview</w:t>
            </w:r>
          </w:p>
          <w:p w14:paraId="1DE33E23" w14:textId="41DA5275" w:rsidR="000B0CE4" w:rsidRPr="00FB5293" w:rsidRDefault="00DA4E35" w:rsidP="00774493">
            <w:pPr>
              <w:pStyle w:val="paragraph"/>
              <w:numPr>
                <w:ilvl w:val="0"/>
                <w:numId w:val="9"/>
              </w:numPr>
              <w:spacing w:before="0" w:beforeAutospacing="0" w:after="0" w:afterAutospacing="0"/>
              <w:textAlignment w:val="baseline"/>
              <w:rPr>
                <w:rFonts w:asciiTheme="minorHAnsi" w:hAnsiTheme="minorHAnsi" w:cstheme="minorHAnsi"/>
                <w:bCs/>
                <w:i/>
                <w:sz w:val="20"/>
                <w:szCs w:val="20"/>
              </w:rPr>
            </w:pPr>
            <w:r>
              <w:rPr>
                <w:rFonts w:asciiTheme="minorHAnsi" w:hAnsiTheme="minorHAnsi" w:cstheme="minorHAnsi"/>
                <w:bCs/>
                <w:iCs/>
                <w:sz w:val="20"/>
                <w:szCs w:val="20"/>
              </w:rPr>
              <w:t xml:space="preserve">Prospective audit of use of </w:t>
            </w:r>
            <w:r w:rsidR="000B0CE4">
              <w:rPr>
                <w:rFonts w:asciiTheme="minorHAnsi" w:hAnsiTheme="minorHAnsi" w:cstheme="minorHAnsi"/>
                <w:bCs/>
                <w:iCs/>
                <w:sz w:val="20"/>
                <w:szCs w:val="20"/>
              </w:rPr>
              <w:t>DEWS tools</w:t>
            </w:r>
            <w:r>
              <w:rPr>
                <w:rFonts w:asciiTheme="minorHAnsi" w:hAnsiTheme="minorHAnsi" w:cstheme="minorHAnsi"/>
                <w:bCs/>
                <w:iCs/>
                <w:sz w:val="20"/>
                <w:szCs w:val="20"/>
              </w:rPr>
              <w:t>.</w:t>
            </w:r>
          </w:p>
        </w:tc>
      </w:tr>
      <w:tr w:rsidR="000B0CE4" w:rsidRPr="00FB5293" w14:paraId="697F3E21" w14:textId="77777777" w:rsidTr="00774493">
        <w:trPr>
          <w:trHeight w:val="188"/>
        </w:trPr>
        <w:tc>
          <w:tcPr>
            <w:tcW w:w="1560" w:type="dxa"/>
            <w:vMerge/>
          </w:tcPr>
          <w:p w14:paraId="18D93FEC" w14:textId="77777777" w:rsidR="000B0CE4" w:rsidRPr="00FB5293" w:rsidRDefault="000B0CE4" w:rsidP="00774493">
            <w:pPr>
              <w:pStyle w:val="BodyText"/>
              <w:tabs>
                <w:tab w:val="left" w:pos="709"/>
              </w:tabs>
              <w:rPr>
                <w:rFonts w:asciiTheme="minorHAnsi" w:hAnsiTheme="minorHAnsi" w:cstheme="minorHAnsi"/>
                <w:bCs/>
                <w:i w:val="0"/>
                <w:sz w:val="20"/>
              </w:rPr>
            </w:pPr>
          </w:p>
        </w:tc>
        <w:tc>
          <w:tcPr>
            <w:tcW w:w="3685" w:type="dxa"/>
            <w:tcBorders>
              <w:top w:val="dotted" w:sz="4" w:space="0" w:color="auto"/>
              <w:bottom w:val="dotted" w:sz="4" w:space="0" w:color="auto"/>
              <w:right w:val="single" w:sz="4" w:space="0" w:color="auto"/>
            </w:tcBorders>
          </w:tcPr>
          <w:p w14:paraId="61760F08" w14:textId="77777777" w:rsidR="000B0CE4" w:rsidRPr="00FB5293" w:rsidRDefault="000B0CE4" w:rsidP="00774493">
            <w:pPr>
              <w:pStyle w:val="BodyText"/>
              <w:tabs>
                <w:tab w:val="left" w:pos="171"/>
              </w:tabs>
              <w:rPr>
                <w:rFonts w:asciiTheme="minorHAnsi" w:hAnsiTheme="minorHAnsi" w:cstheme="minorHAnsi"/>
                <w:bCs/>
                <w:i w:val="0"/>
                <w:sz w:val="20"/>
              </w:rPr>
            </w:pPr>
            <w:r>
              <w:rPr>
                <w:rStyle w:val="eop"/>
                <w:rFonts w:asciiTheme="minorHAnsi" w:hAnsiTheme="minorHAnsi" w:cstheme="minorHAnsi"/>
                <w:i w:val="0"/>
                <w:iCs/>
                <w:sz w:val="20"/>
              </w:rPr>
              <w:t>Does DEWS s</w:t>
            </w:r>
            <w:r w:rsidRPr="00FB5293">
              <w:rPr>
                <w:rStyle w:val="eop"/>
                <w:rFonts w:asciiTheme="minorHAnsi" w:hAnsiTheme="minorHAnsi" w:cstheme="minorHAnsi"/>
                <w:i w:val="0"/>
                <w:iCs/>
                <w:sz w:val="20"/>
              </w:rPr>
              <w:t>upport RN decision making and empowerment</w:t>
            </w:r>
          </w:p>
        </w:tc>
        <w:tc>
          <w:tcPr>
            <w:tcW w:w="4962" w:type="dxa"/>
            <w:tcBorders>
              <w:top w:val="dotted" w:sz="4" w:space="0" w:color="auto"/>
              <w:left w:val="single" w:sz="4" w:space="0" w:color="auto"/>
              <w:bottom w:val="dotted" w:sz="4" w:space="0" w:color="auto"/>
            </w:tcBorders>
          </w:tcPr>
          <w:p w14:paraId="092B9EFE" w14:textId="77777777" w:rsidR="000B0CE4" w:rsidRPr="0023215E" w:rsidRDefault="000B0CE4" w:rsidP="00774493">
            <w:pPr>
              <w:pStyle w:val="paragraph"/>
              <w:numPr>
                <w:ilvl w:val="0"/>
                <w:numId w:val="11"/>
              </w:numPr>
              <w:spacing w:before="0" w:beforeAutospacing="0" w:after="0" w:afterAutospacing="0"/>
              <w:textAlignment w:val="baseline"/>
              <w:rPr>
                <w:rFonts w:asciiTheme="minorHAnsi" w:hAnsiTheme="minorHAnsi" w:cstheme="minorHAnsi"/>
                <w:bCs/>
                <w:i/>
                <w:sz w:val="20"/>
                <w:szCs w:val="20"/>
              </w:rPr>
            </w:pPr>
            <w:r>
              <w:rPr>
                <w:rFonts w:asciiTheme="minorHAnsi" w:hAnsiTheme="minorHAnsi" w:cstheme="minorHAnsi"/>
                <w:bCs/>
                <w:iCs/>
                <w:sz w:val="20"/>
                <w:szCs w:val="20"/>
              </w:rPr>
              <w:t>End of project invitational semi-structured interview/focus group (voluntary)</w:t>
            </w:r>
          </w:p>
        </w:tc>
      </w:tr>
      <w:tr w:rsidR="000B0CE4" w:rsidRPr="00FB5293" w14:paraId="77E5B24E" w14:textId="77777777" w:rsidTr="00774493">
        <w:trPr>
          <w:trHeight w:val="188"/>
        </w:trPr>
        <w:tc>
          <w:tcPr>
            <w:tcW w:w="1560" w:type="dxa"/>
            <w:vMerge/>
          </w:tcPr>
          <w:p w14:paraId="517F593F" w14:textId="77777777" w:rsidR="000B0CE4" w:rsidRPr="00FB5293" w:rsidRDefault="000B0CE4" w:rsidP="00774493">
            <w:pPr>
              <w:pStyle w:val="BodyText"/>
              <w:tabs>
                <w:tab w:val="left" w:pos="709"/>
              </w:tabs>
              <w:rPr>
                <w:rFonts w:asciiTheme="minorHAnsi" w:hAnsiTheme="minorHAnsi" w:cstheme="minorHAnsi"/>
                <w:bCs/>
                <w:i w:val="0"/>
                <w:sz w:val="20"/>
              </w:rPr>
            </w:pPr>
          </w:p>
        </w:tc>
        <w:tc>
          <w:tcPr>
            <w:tcW w:w="3685" w:type="dxa"/>
            <w:tcBorders>
              <w:top w:val="dotted" w:sz="4" w:space="0" w:color="auto"/>
              <w:bottom w:val="dotted" w:sz="4" w:space="0" w:color="auto"/>
              <w:right w:val="single" w:sz="4" w:space="0" w:color="auto"/>
            </w:tcBorders>
          </w:tcPr>
          <w:p w14:paraId="1D8F96E3" w14:textId="77777777" w:rsidR="000B0CE4" w:rsidRPr="00FB5293" w:rsidRDefault="000B0CE4" w:rsidP="00774493">
            <w:pPr>
              <w:pStyle w:val="BodyText"/>
              <w:tabs>
                <w:tab w:val="left" w:pos="171"/>
              </w:tabs>
              <w:rPr>
                <w:rFonts w:asciiTheme="minorHAnsi" w:hAnsiTheme="minorHAnsi" w:cstheme="minorHAnsi"/>
                <w:bCs/>
                <w:i w:val="0"/>
                <w:sz w:val="20"/>
              </w:rPr>
            </w:pPr>
            <w:r>
              <w:rPr>
                <w:rStyle w:val="eop"/>
                <w:rFonts w:asciiTheme="minorHAnsi" w:hAnsiTheme="minorHAnsi" w:cstheme="minorHAnsi"/>
                <w:i w:val="0"/>
                <w:iCs/>
                <w:sz w:val="20"/>
              </w:rPr>
              <w:t>Does DEWS s</w:t>
            </w:r>
            <w:r w:rsidRPr="00FB5293">
              <w:rPr>
                <w:rStyle w:val="eop"/>
                <w:rFonts w:asciiTheme="minorHAnsi" w:hAnsiTheme="minorHAnsi" w:cstheme="minorHAnsi"/>
                <w:i w:val="0"/>
                <w:iCs/>
                <w:sz w:val="20"/>
              </w:rPr>
              <w:t>upport effective clinical communication</w:t>
            </w:r>
          </w:p>
        </w:tc>
        <w:tc>
          <w:tcPr>
            <w:tcW w:w="4962" w:type="dxa"/>
            <w:tcBorders>
              <w:top w:val="dotted" w:sz="4" w:space="0" w:color="auto"/>
              <w:left w:val="single" w:sz="4" w:space="0" w:color="auto"/>
              <w:bottom w:val="dotted" w:sz="4" w:space="0" w:color="auto"/>
            </w:tcBorders>
          </w:tcPr>
          <w:p w14:paraId="289C4381" w14:textId="0D7F9148" w:rsidR="000B0CE4" w:rsidRDefault="000B0CE4" w:rsidP="00774493">
            <w:pPr>
              <w:pStyle w:val="paragraph"/>
              <w:numPr>
                <w:ilvl w:val="0"/>
                <w:numId w:val="11"/>
              </w:numPr>
              <w:spacing w:before="0" w:beforeAutospacing="0" w:after="0" w:afterAutospacing="0"/>
              <w:textAlignment w:val="baseline"/>
              <w:rPr>
                <w:rFonts w:asciiTheme="minorHAnsi" w:hAnsiTheme="minorHAnsi" w:cstheme="minorHAnsi"/>
                <w:bCs/>
                <w:iCs/>
                <w:sz w:val="20"/>
                <w:szCs w:val="20"/>
              </w:rPr>
            </w:pPr>
            <w:r>
              <w:rPr>
                <w:rFonts w:asciiTheme="minorHAnsi" w:hAnsiTheme="minorHAnsi" w:cstheme="minorHAnsi"/>
                <w:bCs/>
                <w:iCs/>
                <w:sz w:val="20"/>
                <w:szCs w:val="20"/>
              </w:rPr>
              <w:t xml:space="preserve">ARC teams </w:t>
            </w:r>
            <w:r w:rsidR="00DA4E35">
              <w:rPr>
                <w:rFonts w:asciiTheme="minorHAnsi" w:hAnsiTheme="minorHAnsi" w:cstheme="minorHAnsi"/>
                <w:bCs/>
                <w:iCs/>
                <w:sz w:val="20"/>
                <w:szCs w:val="20"/>
              </w:rPr>
              <w:t xml:space="preserve">prospectively </w:t>
            </w:r>
            <w:r>
              <w:rPr>
                <w:rFonts w:asciiTheme="minorHAnsi" w:hAnsiTheme="minorHAnsi" w:cstheme="minorHAnsi"/>
                <w:bCs/>
                <w:iCs/>
                <w:sz w:val="20"/>
                <w:szCs w:val="20"/>
              </w:rPr>
              <w:t xml:space="preserve">review </w:t>
            </w:r>
            <w:r w:rsidR="00DA4E35">
              <w:rPr>
                <w:rFonts w:asciiTheme="minorHAnsi" w:hAnsiTheme="minorHAnsi" w:cstheme="minorHAnsi"/>
                <w:bCs/>
                <w:iCs/>
                <w:sz w:val="20"/>
                <w:szCs w:val="20"/>
              </w:rPr>
              <w:t xml:space="preserve">completed </w:t>
            </w:r>
            <w:r>
              <w:rPr>
                <w:rFonts w:asciiTheme="minorHAnsi" w:hAnsiTheme="minorHAnsi" w:cstheme="minorHAnsi"/>
                <w:bCs/>
                <w:iCs/>
                <w:sz w:val="20"/>
                <w:szCs w:val="20"/>
              </w:rPr>
              <w:t xml:space="preserve">SBARR-DEWS forms and share deidentified information </w:t>
            </w:r>
            <w:proofErr w:type="gramStart"/>
            <w:r>
              <w:rPr>
                <w:rFonts w:asciiTheme="minorHAnsi" w:hAnsiTheme="minorHAnsi" w:cstheme="minorHAnsi"/>
                <w:bCs/>
                <w:iCs/>
                <w:sz w:val="20"/>
                <w:szCs w:val="20"/>
              </w:rPr>
              <w:t>only</w:t>
            </w:r>
            <w:proofErr w:type="gramEnd"/>
          </w:p>
          <w:p w14:paraId="0DD678D1" w14:textId="77777777" w:rsidR="000B0CE4" w:rsidRPr="00FB5293" w:rsidRDefault="000B0CE4" w:rsidP="00774493">
            <w:pPr>
              <w:pStyle w:val="paragraph"/>
              <w:numPr>
                <w:ilvl w:val="0"/>
                <w:numId w:val="11"/>
              </w:numPr>
              <w:spacing w:before="0" w:beforeAutospacing="0" w:after="0" w:afterAutospacing="0"/>
              <w:textAlignment w:val="baseline"/>
              <w:rPr>
                <w:rFonts w:asciiTheme="minorHAnsi" w:hAnsiTheme="minorHAnsi" w:cstheme="minorHAnsi"/>
                <w:bCs/>
                <w:iCs/>
                <w:sz w:val="20"/>
                <w:szCs w:val="20"/>
              </w:rPr>
            </w:pPr>
            <w:r>
              <w:rPr>
                <w:rFonts w:asciiTheme="minorHAnsi" w:hAnsiTheme="minorHAnsi" w:cstheme="minorHAnsi"/>
                <w:bCs/>
                <w:iCs/>
                <w:sz w:val="20"/>
                <w:szCs w:val="20"/>
              </w:rPr>
              <w:t>End of project invitational semi-structured interview/focus group (voluntary)</w:t>
            </w:r>
          </w:p>
        </w:tc>
      </w:tr>
      <w:tr w:rsidR="000B0CE4" w:rsidRPr="00FB5293" w14:paraId="150F62A2" w14:textId="77777777" w:rsidTr="00774493">
        <w:trPr>
          <w:trHeight w:val="188"/>
        </w:trPr>
        <w:tc>
          <w:tcPr>
            <w:tcW w:w="1560" w:type="dxa"/>
            <w:vMerge/>
          </w:tcPr>
          <w:p w14:paraId="41F64602" w14:textId="77777777" w:rsidR="000B0CE4" w:rsidRPr="00FB5293" w:rsidRDefault="000B0CE4" w:rsidP="00774493">
            <w:pPr>
              <w:pStyle w:val="BodyText"/>
              <w:tabs>
                <w:tab w:val="left" w:pos="709"/>
              </w:tabs>
              <w:rPr>
                <w:rFonts w:asciiTheme="minorHAnsi" w:hAnsiTheme="minorHAnsi" w:cstheme="minorHAnsi"/>
                <w:bCs/>
                <w:i w:val="0"/>
                <w:sz w:val="20"/>
              </w:rPr>
            </w:pPr>
          </w:p>
        </w:tc>
        <w:tc>
          <w:tcPr>
            <w:tcW w:w="3685" w:type="dxa"/>
            <w:tcBorders>
              <w:top w:val="dotted" w:sz="4" w:space="0" w:color="auto"/>
              <w:bottom w:val="dotted" w:sz="4" w:space="0" w:color="auto"/>
              <w:right w:val="single" w:sz="4" w:space="0" w:color="auto"/>
            </w:tcBorders>
          </w:tcPr>
          <w:p w14:paraId="1FE89551" w14:textId="77777777" w:rsidR="000B0CE4" w:rsidRPr="00183B49" w:rsidRDefault="000B0CE4" w:rsidP="00774493">
            <w:pPr>
              <w:pStyle w:val="BodyText"/>
              <w:tabs>
                <w:tab w:val="left" w:pos="171"/>
              </w:tabs>
              <w:rPr>
                <w:rStyle w:val="eop"/>
                <w:rFonts w:asciiTheme="minorHAnsi" w:hAnsiTheme="minorHAnsi" w:cstheme="minorHAnsi"/>
                <w:i w:val="0"/>
                <w:iCs/>
                <w:sz w:val="20"/>
              </w:rPr>
            </w:pPr>
            <w:r>
              <w:rPr>
                <w:rStyle w:val="eop"/>
                <w:rFonts w:asciiTheme="minorHAnsi" w:hAnsiTheme="minorHAnsi" w:cstheme="minorHAnsi"/>
                <w:i w:val="0"/>
                <w:iCs/>
                <w:sz w:val="20"/>
              </w:rPr>
              <w:t>How do DEWS facilities compare to those using current practice for recognising and responding to acute deterioration</w:t>
            </w:r>
          </w:p>
        </w:tc>
        <w:tc>
          <w:tcPr>
            <w:tcW w:w="4962" w:type="dxa"/>
            <w:tcBorders>
              <w:top w:val="dotted" w:sz="4" w:space="0" w:color="auto"/>
              <w:left w:val="single" w:sz="4" w:space="0" w:color="auto"/>
              <w:bottom w:val="dotted" w:sz="4" w:space="0" w:color="auto"/>
            </w:tcBorders>
          </w:tcPr>
          <w:p w14:paraId="4B7170A2" w14:textId="41CAA4F9" w:rsidR="005610CB" w:rsidRDefault="005610CB" w:rsidP="00774493">
            <w:pPr>
              <w:pStyle w:val="paragraph"/>
              <w:numPr>
                <w:ilvl w:val="0"/>
                <w:numId w:val="11"/>
              </w:numPr>
              <w:spacing w:before="0" w:beforeAutospacing="0" w:after="0" w:afterAutospacing="0"/>
              <w:textAlignment w:val="baseline"/>
              <w:rPr>
                <w:rFonts w:asciiTheme="minorHAnsi" w:hAnsiTheme="minorHAnsi" w:cstheme="minorHAnsi"/>
                <w:bCs/>
                <w:iCs/>
                <w:sz w:val="20"/>
                <w:szCs w:val="20"/>
              </w:rPr>
            </w:pPr>
            <w:r>
              <w:rPr>
                <w:rFonts w:asciiTheme="minorHAnsi" w:hAnsiTheme="minorHAnsi" w:cstheme="minorHAnsi"/>
                <w:bCs/>
                <w:iCs/>
                <w:sz w:val="20"/>
                <w:szCs w:val="20"/>
              </w:rPr>
              <w:t xml:space="preserve">Ask ARC providers with the capability to benchmark to compare outcomes. </w:t>
            </w:r>
          </w:p>
          <w:p w14:paraId="38B50F0E" w14:textId="2F0F5EE3" w:rsidR="000B0CE4" w:rsidRDefault="000B0CE4" w:rsidP="00774493">
            <w:pPr>
              <w:pStyle w:val="paragraph"/>
              <w:numPr>
                <w:ilvl w:val="0"/>
                <w:numId w:val="11"/>
              </w:numPr>
              <w:spacing w:before="0" w:beforeAutospacing="0" w:after="0" w:afterAutospacing="0"/>
              <w:textAlignment w:val="baseline"/>
              <w:rPr>
                <w:rFonts w:asciiTheme="minorHAnsi" w:hAnsiTheme="minorHAnsi" w:cstheme="minorHAnsi"/>
                <w:bCs/>
                <w:iCs/>
                <w:sz w:val="20"/>
                <w:szCs w:val="20"/>
              </w:rPr>
            </w:pPr>
            <w:r>
              <w:rPr>
                <w:rFonts w:asciiTheme="minorHAnsi" w:hAnsiTheme="minorHAnsi" w:cstheme="minorHAnsi"/>
                <w:bCs/>
                <w:iCs/>
                <w:sz w:val="20"/>
                <w:szCs w:val="20"/>
              </w:rPr>
              <w:t xml:space="preserve">Compare rates of emergency department presentation, </w:t>
            </w:r>
            <w:proofErr w:type="gramStart"/>
            <w:r>
              <w:rPr>
                <w:rFonts w:asciiTheme="minorHAnsi" w:hAnsiTheme="minorHAnsi" w:cstheme="minorHAnsi"/>
                <w:bCs/>
                <w:iCs/>
                <w:sz w:val="20"/>
                <w:szCs w:val="20"/>
              </w:rPr>
              <w:t>hospitalisation</w:t>
            </w:r>
            <w:proofErr w:type="gramEnd"/>
            <w:r>
              <w:rPr>
                <w:rFonts w:asciiTheme="minorHAnsi" w:hAnsiTheme="minorHAnsi" w:cstheme="minorHAnsi"/>
                <w:bCs/>
                <w:iCs/>
                <w:sz w:val="20"/>
                <w:szCs w:val="20"/>
              </w:rPr>
              <w:t xml:space="preserve"> and death</w:t>
            </w:r>
            <w:r w:rsidR="005610CB">
              <w:rPr>
                <w:rFonts w:asciiTheme="minorHAnsi" w:hAnsiTheme="minorHAnsi" w:cstheme="minorHAnsi"/>
                <w:bCs/>
                <w:iCs/>
                <w:sz w:val="20"/>
                <w:szCs w:val="20"/>
              </w:rPr>
              <w:t xml:space="preserve"> national deidentified data</w:t>
            </w:r>
            <w:r w:rsidR="00262875">
              <w:rPr>
                <w:rFonts w:asciiTheme="minorHAnsi" w:hAnsiTheme="minorHAnsi" w:cstheme="minorHAnsi"/>
                <w:bCs/>
                <w:iCs/>
                <w:sz w:val="20"/>
                <w:szCs w:val="20"/>
              </w:rPr>
              <w:t xml:space="preserve"> (pre and post feasibility study)</w:t>
            </w:r>
          </w:p>
        </w:tc>
      </w:tr>
      <w:tr w:rsidR="000B0CE4" w:rsidRPr="00FB5293" w14:paraId="4C63DBF3" w14:textId="77777777" w:rsidTr="00774493">
        <w:trPr>
          <w:trHeight w:val="188"/>
        </w:trPr>
        <w:tc>
          <w:tcPr>
            <w:tcW w:w="1560" w:type="dxa"/>
            <w:vMerge/>
          </w:tcPr>
          <w:p w14:paraId="0A478C77" w14:textId="77777777" w:rsidR="000B0CE4" w:rsidRPr="00FB5293" w:rsidRDefault="000B0CE4" w:rsidP="00774493">
            <w:pPr>
              <w:pStyle w:val="BodyText"/>
              <w:tabs>
                <w:tab w:val="left" w:pos="709"/>
              </w:tabs>
              <w:rPr>
                <w:rFonts w:asciiTheme="minorHAnsi" w:hAnsiTheme="minorHAnsi" w:cstheme="minorHAnsi"/>
                <w:bCs/>
                <w:i w:val="0"/>
                <w:sz w:val="20"/>
              </w:rPr>
            </w:pPr>
          </w:p>
        </w:tc>
        <w:tc>
          <w:tcPr>
            <w:tcW w:w="3685" w:type="dxa"/>
            <w:tcBorders>
              <w:top w:val="dotted" w:sz="4" w:space="0" w:color="auto"/>
              <w:bottom w:val="single" w:sz="4" w:space="0" w:color="auto"/>
              <w:right w:val="single" w:sz="4" w:space="0" w:color="auto"/>
            </w:tcBorders>
          </w:tcPr>
          <w:p w14:paraId="75E459C4" w14:textId="77777777" w:rsidR="000B0CE4" w:rsidRDefault="000B0CE4" w:rsidP="00774493">
            <w:pPr>
              <w:pStyle w:val="BodyText"/>
              <w:tabs>
                <w:tab w:val="left" w:pos="171"/>
              </w:tabs>
              <w:rPr>
                <w:rStyle w:val="eop"/>
                <w:rFonts w:asciiTheme="minorHAnsi" w:hAnsiTheme="minorHAnsi" w:cstheme="minorHAnsi"/>
                <w:i w:val="0"/>
                <w:iCs/>
                <w:sz w:val="20"/>
              </w:rPr>
            </w:pPr>
            <w:r>
              <w:rPr>
                <w:rStyle w:val="eop"/>
                <w:rFonts w:asciiTheme="minorHAnsi" w:hAnsiTheme="minorHAnsi" w:cstheme="minorHAnsi"/>
                <w:i w:val="0"/>
                <w:iCs/>
                <w:sz w:val="20"/>
              </w:rPr>
              <w:t>Did DEWS make a difference</w:t>
            </w:r>
          </w:p>
        </w:tc>
        <w:tc>
          <w:tcPr>
            <w:tcW w:w="4962" w:type="dxa"/>
            <w:tcBorders>
              <w:top w:val="dotted" w:sz="4" w:space="0" w:color="auto"/>
              <w:left w:val="single" w:sz="4" w:space="0" w:color="auto"/>
              <w:bottom w:val="single" w:sz="4" w:space="0" w:color="auto"/>
            </w:tcBorders>
          </w:tcPr>
          <w:p w14:paraId="5454984E" w14:textId="77777777" w:rsidR="000B0CE4" w:rsidRDefault="000B0CE4" w:rsidP="00774493">
            <w:pPr>
              <w:pStyle w:val="paragraph"/>
              <w:numPr>
                <w:ilvl w:val="0"/>
                <w:numId w:val="11"/>
              </w:numPr>
              <w:spacing w:before="0" w:beforeAutospacing="0" w:after="0" w:afterAutospacing="0"/>
              <w:textAlignment w:val="baseline"/>
              <w:rPr>
                <w:rFonts w:asciiTheme="minorHAnsi" w:hAnsiTheme="minorHAnsi" w:cstheme="minorHAnsi"/>
                <w:bCs/>
                <w:iCs/>
                <w:sz w:val="20"/>
                <w:szCs w:val="20"/>
              </w:rPr>
            </w:pPr>
            <w:r>
              <w:rPr>
                <w:rFonts w:asciiTheme="minorHAnsi" w:hAnsiTheme="minorHAnsi" w:cstheme="minorHAnsi"/>
                <w:bCs/>
                <w:iCs/>
                <w:sz w:val="20"/>
                <w:szCs w:val="20"/>
              </w:rPr>
              <w:t xml:space="preserve">Pre and post facility numbers of afterhours primary care consultations, primary care ‘acutes’ and ambulance attendance numbers </w:t>
            </w:r>
          </w:p>
        </w:tc>
      </w:tr>
      <w:tr w:rsidR="000B0CE4" w:rsidRPr="00FB5293" w14:paraId="094FAC7C" w14:textId="77777777" w:rsidTr="00774493">
        <w:tc>
          <w:tcPr>
            <w:tcW w:w="1560" w:type="dxa"/>
            <w:vMerge w:val="restart"/>
          </w:tcPr>
          <w:p w14:paraId="2DF9DD88" w14:textId="77777777" w:rsidR="000B0CE4" w:rsidRPr="00FB5293" w:rsidRDefault="000B0CE4" w:rsidP="00774493">
            <w:pPr>
              <w:pStyle w:val="BodyText"/>
              <w:tabs>
                <w:tab w:val="left" w:pos="709"/>
              </w:tabs>
              <w:rPr>
                <w:rFonts w:asciiTheme="minorHAnsi" w:hAnsiTheme="minorHAnsi" w:cstheme="minorHAnsi"/>
                <w:bCs/>
                <w:i w:val="0"/>
                <w:sz w:val="20"/>
              </w:rPr>
            </w:pPr>
            <w:r w:rsidRPr="00FB5293">
              <w:rPr>
                <w:rFonts w:asciiTheme="minorHAnsi" w:hAnsiTheme="minorHAnsi" w:cstheme="minorHAnsi"/>
                <w:bCs/>
                <w:i w:val="0"/>
                <w:sz w:val="20"/>
              </w:rPr>
              <w:t>Adoption</w:t>
            </w:r>
          </w:p>
        </w:tc>
        <w:tc>
          <w:tcPr>
            <w:tcW w:w="3685" w:type="dxa"/>
            <w:tcBorders>
              <w:bottom w:val="dotted" w:sz="4" w:space="0" w:color="auto"/>
            </w:tcBorders>
          </w:tcPr>
          <w:p w14:paraId="65B48598" w14:textId="77777777" w:rsidR="000B0CE4" w:rsidRPr="00FB5293" w:rsidRDefault="000B0CE4" w:rsidP="00774493">
            <w:pPr>
              <w:pStyle w:val="BodyText"/>
              <w:tabs>
                <w:tab w:val="left" w:pos="709"/>
              </w:tabs>
              <w:rPr>
                <w:rFonts w:asciiTheme="minorHAnsi" w:hAnsiTheme="minorHAnsi" w:cstheme="minorHAnsi"/>
                <w:bCs/>
                <w:i w:val="0"/>
                <w:sz w:val="20"/>
              </w:rPr>
            </w:pPr>
            <w:r>
              <w:rPr>
                <w:rFonts w:asciiTheme="minorHAnsi" w:hAnsiTheme="minorHAnsi" w:cstheme="minorHAnsi"/>
                <w:bCs/>
                <w:i w:val="0"/>
                <w:sz w:val="20"/>
              </w:rPr>
              <w:t xml:space="preserve">Do draft guidelines DEWS meet ARC needs? </w:t>
            </w:r>
          </w:p>
        </w:tc>
        <w:tc>
          <w:tcPr>
            <w:tcW w:w="4962" w:type="dxa"/>
            <w:tcBorders>
              <w:bottom w:val="dotted" w:sz="4" w:space="0" w:color="auto"/>
            </w:tcBorders>
          </w:tcPr>
          <w:p w14:paraId="5975F43B" w14:textId="3FB2A7AF" w:rsidR="000B0CE4" w:rsidRDefault="005610CB" w:rsidP="00774493">
            <w:pPr>
              <w:pStyle w:val="paragraph"/>
              <w:numPr>
                <w:ilvl w:val="0"/>
                <w:numId w:val="12"/>
              </w:numPr>
              <w:spacing w:before="0" w:beforeAutospacing="0" w:after="0" w:afterAutospacing="0"/>
              <w:textAlignment w:val="baseline"/>
              <w:rPr>
                <w:rStyle w:val="normaltextrun"/>
                <w:rFonts w:asciiTheme="minorHAnsi" w:hAnsiTheme="minorHAnsi" w:cstheme="minorHAnsi"/>
                <w:sz w:val="20"/>
                <w:szCs w:val="20"/>
                <w:lang w:val="en-US"/>
              </w:rPr>
            </w:pPr>
            <w:r>
              <w:rPr>
                <w:rStyle w:val="normaltextrun"/>
                <w:rFonts w:asciiTheme="minorHAnsi" w:hAnsiTheme="minorHAnsi" w:cstheme="minorHAnsi"/>
                <w:sz w:val="20"/>
                <w:szCs w:val="20"/>
                <w:lang w:val="en-US"/>
              </w:rPr>
              <w:t>Prospective collection of issues that need to be address in DEWS guideline (2 weekly meetings with ARC teams – meeting minutes)</w:t>
            </w:r>
          </w:p>
          <w:p w14:paraId="1D275760" w14:textId="77777777" w:rsidR="000B0CE4" w:rsidRPr="00FB5293" w:rsidRDefault="000B0CE4" w:rsidP="00774493">
            <w:pPr>
              <w:pStyle w:val="paragraph"/>
              <w:numPr>
                <w:ilvl w:val="0"/>
                <w:numId w:val="12"/>
              </w:numPr>
              <w:spacing w:before="0" w:beforeAutospacing="0" w:after="0" w:afterAutospacing="0"/>
              <w:textAlignment w:val="baseline"/>
              <w:rPr>
                <w:rStyle w:val="normaltextrun"/>
                <w:rFonts w:asciiTheme="minorHAnsi" w:hAnsiTheme="minorHAnsi" w:cstheme="minorHAnsi"/>
                <w:sz w:val="20"/>
                <w:szCs w:val="20"/>
                <w:lang w:val="en-US"/>
              </w:rPr>
            </w:pPr>
            <w:r>
              <w:rPr>
                <w:rStyle w:val="normaltextrun"/>
                <w:rFonts w:asciiTheme="minorHAnsi" w:hAnsiTheme="minorHAnsi" w:cstheme="minorHAnsi"/>
                <w:sz w:val="20"/>
                <w:szCs w:val="20"/>
                <w:lang w:val="en-US"/>
              </w:rPr>
              <w:t>Field notes</w:t>
            </w:r>
          </w:p>
        </w:tc>
      </w:tr>
      <w:tr w:rsidR="000B0CE4" w:rsidRPr="00FB5293" w14:paraId="6428A030" w14:textId="77777777" w:rsidTr="00774493">
        <w:tc>
          <w:tcPr>
            <w:tcW w:w="1560" w:type="dxa"/>
            <w:vMerge/>
          </w:tcPr>
          <w:p w14:paraId="5098C3C6" w14:textId="77777777" w:rsidR="000B0CE4" w:rsidRPr="00FB5293" w:rsidRDefault="000B0CE4" w:rsidP="00774493">
            <w:pPr>
              <w:pStyle w:val="BodyText"/>
              <w:tabs>
                <w:tab w:val="left" w:pos="709"/>
              </w:tabs>
              <w:rPr>
                <w:rFonts w:asciiTheme="minorHAnsi" w:hAnsiTheme="minorHAnsi" w:cstheme="minorHAnsi"/>
                <w:bCs/>
                <w:i w:val="0"/>
                <w:sz w:val="20"/>
              </w:rPr>
            </w:pPr>
          </w:p>
        </w:tc>
        <w:tc>
          <w:tcPr>
            <w:tcW w:w="3685" w:type="dxa"/>
            <w:tcBorders>
              <w:top w:val="dotted" w:sz="4" w:space="0" w:color="auto"/>
              <w:bottom w:val="dotted" w:sz="4" w:space="0" w:color="auto"/>
            </w:tcBorders>
          </w:tcPr>
          <w:p w14:paraId="0F9B5BA6" w14:textId="77777777" w:rsidR="000B0CE4" w:rsidRPr="00FB5293" w:rsidRDefault="000B0CE4" w:rsidP="00774493">
            <w:pPr>
              <w:pStyle w:val="BodyText"/>
              <w:tabs>
                <w:tab w:val="left" w:pos="709"/>
              </w:tabs>
              <w:rPr>
                <w:rFonts w:asciiTheme="minorHAnsi" w:hAnsiTheme="minorHAnsi" w:cstheme="minorHAnsi"/>
                <w:bCs/>
                <w:i w:val="0"/>
                <w:sz w:val="20"/>
              </w:rPr>
            </w:pPr>
            <w:r>
              <w:rPr>
                <w:rFonts w:asciiTheme="minorHAnsi" w:hAnsiTheme="minorHAnsi" w:cstheme="minorHAnsi"/>
                <w:bCs/>
                <w:i w:val="0"/>
                <w:sz w:val="20"/>
              </w:rPr>
              <w:t>Does DEWS training meet ARC needs</w:t>
            </w:r>
          </w:p>
        </w:tc>
        <w:tc>
          <w:tcPr>
            <w:tcW w:w="4962" w:type="dxa"/>
            <w:tcBorders>
              <w:top w:val="dotted" w:sz="4" w:space="0" w:color="auto"/>
              <w:bottom w:val="dotted" w:sz="4" w:space="0" w:color="auto"/>
            </w:tcBorders>
          </w:tcPr>
          <w:p w14:paraId="5617A52D" w14:textId="49AD7929" w:rsidR="000B0CE4" w:rsidRPr="00FB5293" w:rsidRDefault="000B0CE4" w:rsidP="00774493">
            <w:pPr>
              <w:pStyle w:val="paragraph"/>
              <w:numPr>
                <w:ilvl w:val="0"/>
                <w:numId w:val="12"/>
              </w:numPr>
              <w:spacing w:before="0" w:beforeAutospacing="0" w:after="0" w:afterAutospacing="0"/>
              <w:textAlignment w:val="baseline"/>
              <w:rPr>
                <w:rStyle w:val="normaltextrun"/>
                <w:rFonts w:asciiTheme="minorHAnsi" w:hAnsiTheme="minorHAnsi" w:cstheme="minorHAnsi"/>
                <w:sz w:val="20"/>
                <w:szCs w:val="20"/>
                <w:lang w:val="en-US"/>
              </w:rPr>
            </w:pPr>
            <w:r w:rsidRPr="00FB5293">
              <w:rPr>
                <w:rStyle w:val="normaltextrun"/>
                <w:rFonts w:asciiTheme="minorHAnsi" w:hAnsiTheme="minorHAnsi" w:cstheme="minorHAnsi"/>
                <w:sz w:val="20"/>
                <w:szCs w:val="20"/>
                <w:lang w:val="en-US"/>
              </w:rPr>
              <w:t xml:space="preserve">Feedback and </w:t>
            </w:r>
            <w:r w:rsidR="005610CB">
              <w:rPr>
                <w:rStyle w:val="normaltextrun"/>
                <w:rFonts w:asciiTheme="minorHAnsi" w:hAnsiTheme="minorHAnsi" w:cstheme="minorHAnsi"/>
                <w:sz w:val="20"/>
                <w:szCs w:val="20"/>
                <w:lang w:val="en-US"/>
              </w:rPr>
              <w:t xml:space="preserve">any ‘work arounds’ or </w:t>
            </w:r>
            <w:r w:rsidRPr="00FB5293">
              <w:rPr>
                <w:rStyle w:val="normaltextrun"/>
                <w:rFonts w:asciiTheme="minorHAnsi" w:hAnsiTheme="minorHAnsi" w:cstheme="minorHAnsi"/>
                <w:sz w:val="20"/>
                <w:szCs w:val="20"/>
                <w:lang w:val="en-US"/>
              </w:rPr>
              <w:t>adaptation</w:t>
            </w:r>
            <w:r w:rsidR="005610CB">
              <w:rPr>
                <w:rStyle w:val="normaltextrun"/>
                <w:rFonts w:asciiTheme="minorHAnsi" w:hAnsiTheme="minorHAnsi" w:cstheme="minorHAnsi"/>
                <w:sz w:val="20"/>
                <w:szCs w:val="20"/>
                <w:lang w:val="en-US"/>
              </w:rPr>
              <w:t>s that ARC use</w:t>
            </w:r>
          </w:p>
        </w:tc>
      </w:tr>
      <w:tr w:rsidR="000B0CE4" w:rsidRPr="00FB5293" w14:paraId="1CE75298" w14:textId="77777777" w:rsidTr="00774493">
        <w:tc>
          <w:tcPr>
            <w:tcW w:w="1560" w:type="dxa"/>
            <w:vMerge/>
          </w:tcPr>
          <w:p w14:paraId="05964069" w14:textId="77777777" w:rsidR="000B0CE4" w:rsidRPr="00FB5293" w:rsidRDefault="000B0CE4" w:rsidP="00774493">
            <w:pPr>
              <w:pStyle w:val="BodyText"/>
              <w:tabs>
                <w:tab w:val="left" w:pos="709"/>
              </w:tabs>
              <w:rPr>
                <w:rFonts w:asciiTheme="minorHAnsi" w:hAnsiTheme="minorHAnsi" w:cstheme="minorHAnsi"/>
                <w:bCs/>
                <w:i w:val="0"/>
                <w:sz w:val="20"/>
              </w:rPr>
            </w:pPr>
          </w:p>
        </w:tc>
        <w:tc>
          <w:tcPr>
            <w:tcW w:w="3685" w:type="dxa"/>
            <w:tcBorders>
              <w:top w:val="dotted" w:sz="4" w:space="0" w:color="auto"/>
              <w:bottom w:val="dotted" w:sz="4" w:space="0" w:color="auto"/>
            </w:tcBorders>
          </w:tcPr>
          <w:p w14:paraId="7031AFFE" w14:textId="77777777" w:rsidR="000B0CE4" w:rsidRPr="00FB5293" w:rsidRDefault="000B0CE4" w:rsidP="00774493">
            <w:pPr>
              <w:pStyle w:val="BodyText"/>
              <w:tabs>
                <w:tab w:val="left" w:pos="709"/>
              </w:tabs>
              <w:rPr>
                <w:rFonts w:asciiTheme="minorHAnsi" w:hAnsiTheme="minorHAnsi" w:cstheme="minorHAnsi"/>
                <w:bCs/>
                <w:i w:val="0"/>
                <w:sz w:val="20"/>
              </w:rPr>
            </w:pPr>
            <w:r>
              <w:rPr>
                <w:rFonts w:asciiTheme="minorHAnsi" w:hAnsiTheme="minorHAnsi" w:cstheme="minorHAnsi"/>
                <w:bCs/>
                <w:i w:val="0"/>
                <w:sz w:val="20"/>
              </w:rPr>
              <w:t>What organisational culture norms exist that can support DEWS tool use</w:t>
            </w:r>
          </w:p>
        </w:tc>
        <w:tc>
          <w:tcPr>
            <w:tcW w:w="4962" w:type="dxa"/>
            <w:tcBorders>
              <w:top w:val="dotted" w:sz="4" w:space="0" w:color="auto"/>
              <w:bottom w:val="dotted" w:sz="4" w:space="0" w:color="auto"/>
            </w:tcBorders>
          </w:tcPr>
          <w:p w14:paraId="3D3997CA" w14:textId="77777777" w:rsidR="000B0CE4" w:rsidRDefault="000B0CE4" w:rsidP="00774493">
            <w:pPr>
              <w:pStyle w:val="paragraph"/>
              <w:numPr>
                <w:ilvl w:val="0"/>
                <w:numId w:val="12"/>
              </w:numPr>
              <w:spacing w:before="0" w:beforeAutospacing="0" w:after="0" w:afterAutospacing="0"/>
              <w:textAlignment w:val="baseline"/>
              <w:rPr>
                <w:rStyle w:val="normaltextrun"/>
                <w:rFonts w:asciiTheme="minorHAnsi" w:hAnsiTheme="minorHAnsi" w:cstheme="minorHAnsi"/>
                <w:sz w:val="20"/>
                <w:szCs w:val="20"/>
                <w:lang w:val="en-US"/>
              </w:rPr>
            </w:pPr>
            <w:r w:rsidRPr="00FB5293">
              <w:rPr>
                <w:rStyle w:val="normaltextrun"/>
                <w:rFonts w:asciiTheme="minorHAnsi" w:hAnsiTheme="minorHAnsi" w:cstheme="minorHAnsi"/>
                <w:sz w:val="20"/>
                <w:szCs w:val="20"/>
                <w:lang w:val="en-US"/>
              </w:rPr>
              <w:t>Review ARC processes</w:t>
            </w:r>
            <w:r>
              <w:rPr>
                <w:rStyle w:val="normaltextrun"/>
                <w:rFonts w:asciiTheme="minorHAnsi" w:hAnsiTheme="minorHAnsi" w:cstheme="minorHAnsi"/>
                <w:sz w:val="20"/>
                <w:szCs w:val="20"/>
                <w:lang w:val="en-US"/>
              </w:rPr>
              <w:t xml:space="preserve"> / policy / practices and norms</w:t>
            </w:r>
            <w:r w:rsidRPr="00FB5293">
              <w:rPr>
                <w:rStyle w:val="normaltextrun"/>
                <w:rFonts w:asciiTheme="minorHAnsi" w:hAnsiTheme="minorHAnsi" w:cstheme="minorHAnsi"/>
                <w:sz w:val="20"/>
                <w:szCs w:val="20"/>
                <w:lang w:val="en-US"/>
              </w:rPr>
              <w:t xml:space="preserve"> that will be impacted by DEWS</w:t>
            </w:r>
            <w:r>
              <w:rPr>
                <w:rStyle w:val="normaltextrun"/>
                <w:rFonts w:asciiTheme="minorHAnsi" w:hAnsiTheme="minorHAnsi" w:cstheme="minorHAnsi"/>
                <w:sz w:val="20"/>
                <w:szCs w:val="20"/>
                <w:lang w:val="en-US"/>
              </w:rPr>
              <w:t xml:space="preserve"> </w:t>
            </w:r>
          </w:p>
          <w:p w14:paraId="6580E53D" w14:textId="77777777" w:rsidR="000B0CE4" w:rsidRPr="00FB5293" w:rsidRDefault="000B0CE4" w:rsidP="00774493">
            <w:pPr>
              <w:pStyle w:val="paragraph"/>
              <w:numPr>
                <w:ilvl w:val="0"/>
                <w:numId w:val="12"/>
              </w:numPr>
              <w:spacing w:before="0" w:beforeAutospacing="0" w:after="0" w:afterAutospacing="0"/>
              <w:textAlignment w:val="baseline"/>
              <w:rPr>
                <w:rStyle w:val="normaltextrun"/>
                <w:rFonts w:asciiTheme="minorHAnsi" w:hAnsiTheme="minorHAnsi" w:cstheme="minorHAnsi"/>
                <w:sz w:val="20"/>
                <w:szCs w:val="20"/>
                <w:lang w:val="en-US"/>
              </w:rPr>
            </w:pPr>
            <w:r>
              <w:rPr>
                <w:rStyle w:val="normaltextrun"/>
                <w:rFonts w:asciiTheme="minorHAnsi" w:hAnsiTheme="minorHAnsi" w:cstheme="minorHAnsi"/>
                <w:sz w:val="20"/>
                <w:szCs w:val="20"/>
                <w:lang w:val="en-US"/>
              </w:rPr>
              <w:t>Field notes</w:t>
            </w:r>
          </w:p>
        </w:tc>
      </w:tr>
      <w:tr w:rsidR="000B0CE4" w:rsidRPr="00FB5293" w14:paraId="1F17289D" w14:textId="77777777" w:rsidTr="00774493">
        <w:trPr>
          <w:trHeight w:val="760"/>
        </w:trPr>
        <w:tc>
          <w:tcPr>
            <w:tcW w:w="1560" w:type="dxa"/>
            <w:vMerge/>
          </w:tcPr>
          <w:p w14:paraId="7158473D" w14:textId="77777777" w:rsidR="000B0CE4" w:rsidRPr="00FB5293" w:rsidRDefault="000B0CE4" w:rsidP="00774493">
            <w:pPr>
              <w:pStyle w:val="BodyText"/>
              <w:tabs>
                <w:tab w:val="left" w:pos="709"/>
              </w:tabs>
              <w:rPr>
                <w:rFonts w:asciiTheme="minorHAnsi" w:hAnsiTheme="minorHAnsi" w:cstheme="minorHAnsi"/>
                <w:bCs/>
                <w:i w:val="0"/>
                <w:sz w:val="20"/>
              </w:rPr>
            </w:pPr>
          </w:p>
        </w:tc>
        <w:tc>
          <w:tcPr>
            <w:tcW w:w="3685" w:type="dxa"/>
            <w:tcBorders>
              <w:top w:val="dotted" w:sz="4" w:space="0" w:color="auto"/>
              <w:bottom w:val="single" w:sz="4" w:space="0" w:color="auto"/>
            </w:tcBorders>
          </w:tcPr>
          <w:p w14:paraId="62B1EDF0" w14:textId="77777777" w:rsidR="000B0CE4" w:rsidRDefault="000B0CE4" w:rsidP="00774493">
            <w:pPr>
              <w:pStyle w:val="BodyText"/>
              <w:tabs>
                <w:tab w:val="left" w:pos="709"/>
              </w:tabs>
              <w:rPr>
                <w:rFonts w:asciiTheme="minorHAnsi" w:hAnsiTheme="minorHAnsi" w:cstheme="minorHAnsi"/>
                <w:bCs/>
                <w:i w:val="0"/>
                <w:sz w:val="20"/>
              </w:rPr>
            </w:pPr>
            <w:r>
              <w:rPr>
                <w:rFonts w:asciiTheme="minorHAnsi" w:hAnsiTheme="minorHAnsi" w:cstheme="minorHAnsi"/>
                <w:bCs/>
                <w:i w:val="0"/>
                <w:sz w:val="20"/>
              </w:rPr>
              <w:t>What organisational culture norms exist that may be a barrier to DEWS tool use e.g. models of care or digital systems</w:t>
            </w:r>
          </w:p>
        </w:tc>
        <w:tc>
          <w:tcPr>
            <w:tcW w:w="4962" w:type="dxa"/>
            <w:tcBorders>
              <w:top w:val="dotted" w:sz="4" w:space="0" w:color="auto"/>
              <w:bottom w:val="single" w:sz="4" w:space="0" w:color="auto"/>
            </w:tcBorders>
          </w:tcPr>
          <w:p w14:paraId="5F01F6EA" w14:textId="77777777" w:rsidR="000B0CE4" w:rsidRPr="00A70F2B" w:rsidRDefault="000B0CE4" w:rsidP="00A70F2B">
            <w:pPr>
              <w:pStyle w:val="paragraph"/>
              <w:numPr>
                <w:ilvl w:val="0"/>
                <w:numId w:val="12"/>
              </w:numPr>
              <w:spacing w:before="0" w:beforeAutospacing="0" w:after="0" w:afterAutospacing="0"/>
              <w:textAlignment w:val="baseline"/>
              <w:rPr>
                <w:rFonts w:asciiTheme="minorHAnsi" w:hAnsiTheme="minorHAnsi" w:cstheme="minorHAnsi"/>
                <w:sz w:val="20"/>
                <w:szCs w:val="20"/>
                <w:lang w:val="en-US"/>
              </w:rPr>
            </w:pPr>
            <w:r w:rsidRPr="00FB5293">
              <w:rPr>
                <w:rFonts w:asciiTheme="minorHAnsi" w:hAnsiTheme="minorHAnsi" w:cstheme="minorHAnsi"/>
                <w:bCs/>
                <w:sz w:val="20"/>
                <w:szCs w:val="20"/>
              </w:rPr>
              <w:t xml:space="preserve">Collect base line characteristics of facility models </w:t>
            </w:r>
            <w:r>
              <w:rPr>
                <w:rFonts w:asciiTheme="minorHAnsi" w:hAnsiTheme="minorHAnsi" w:cstheme="minorHAnsi"/>
                <w:bCs/>
                <w:sz w:val="20"/>
                <w:szCs w:val="20"/>
              </w:rPr>
              <w:t xml:space="preserve">at recruitment </w:t>
            </w:r>
            <w:r w:rsidRPr="00FB5293">
              <w:rPr>
                <w:rFonts w:asciiTheme="minorHAnsi" w:hAnsiTheme="minorHAnsi" w:cstheme="minorHAnsi"/>
                <w:bCs/>
                <w:sz w:val="20"/>
                <w:szCs w:val="20"/>
              </w:rPr>
              <w:t xml:space="preserve">for evaluation </w:t>
            </w:r>
            <w:proofErr w:type="gramStart"/>
            <w:r w:rsidRPr="00FB5293">
              <w:rPr>
                <w:rFonts w:asciiTheme="minorHAnsi" w:hAnsiTheme="minorHAnsi" w:cstheme="minorHAnsi"/>
                <w:bCs/>
                <w:sz w:val="20"/>
                <w:szCs w:val="20"/>
              </w:rPr>
              <w:t>later</w:t>
            </w:r>
            <w:proofErr w:type="gramEnd"/>
          </w:p>
          <w:p w14:paraId="696A49F8" w14:textId="77777777" w:rsidR="000B0CE4" w:rsidRDefault="000B0CE4" w:rsidP="00A70F2B">
            <w:pPr>
              <w:pStyle w:val="BodyText"/>
              <w:numPr>
                <w:ilvl w:val="0"/>
                <w:numId w:val="12"/>
              </w:numPr>
              <w:tabs>
                <w:tab w:val="left" w:pos="709"/>
              </w:tabs>
              <w:rPr>
                <w:rFonts w:asciiTheme="minorHAnsi" w:hAnsiTheme="minorHAnsi" w:cstheme="minorHAnsi"/>
                <w:bCs/>
                <w:i w:val="0"/>
                <w:sz w:val="20"/>
              </w:rPr>
            </w:pPr>
            <w:r w:rsidRPr="0072243E">
              <w:rPr>
                <w:rFonts w:asciiTheme="minorHAnsi" w:hAnsiTheme="minorHAnsi" w:cstheme="minorHAnsi"/>
                <w:bCs/>
                <w:i w:val="0"/>
                <w:sz w:val="20"/>
              </w:rPr>
              <w:t xml:space="preserve">End of project invitational semi-structured interview </w:t>
            </w:r>
          </w:p>
          <w:p w14:paraId="2DA49C91" w14:textId="77777777" w:rsidR="000B0CE4" w:rsidRPr="00FB5293" w:rsidRDefault="000B0CE4" w:rsidP="00A70F2B">
            <w:pPr>
              <w:pStyle w:val="BodyText"/>
              <w:numPr>
                <w:ilvl w:val="0"/>
                <w:numId w:val="12"/>
              </w:numPr>
              <w:tabs>
                <w:tab w:val="left" w:pos="709"/>
              </w:tabs>
              <w:rPr>
                <w:rStyle w:val="normaltextrun"/>
                <w:rFonts w:asciiTheme="minorHAnsi" w:hAnsiTheme="minorHAnsi" w:cstheme="minorHAnsi"/>
                <w:sz w:val="20"/>
                <w:lang w:val="en-US"/>
              </w:rPr>
            </w:pPr>
            <w:r>
              <w:rPr>
                <w:rFonts w:asciiTheme="minorHAnsi" w:hAnsiTheme="minorHAnsi" w:cstheme="minorHAnsi"/>
                <w:bCs/>
                <w:i w:val="0"/>
                <w:sz w:val="20"/>
              </w:rPr>
              <w:t>Field notes</w:t>
            </w:r>
            <w:r>
              <w:rPr>
                <w:rFonts w:asciiTheme="minorHAnsi" w:hAnsiTheme="minorHAnsi" w:cstheme="minorHAnsi"/>
                <w:bCs/>
                <w:sz w:val="20"/>
              </w:rPr>
              <w:t xml:space="preserve"> </w:t>
            </w:r>
          </w:p>
        </w:tc>
      </w:tr>
      <w:tr w:rsidR="000B0CE4" w:rsidRPr="007746BA" w14:paraId="6F3C23DD" w14:textId="77777777" w:rsidTr="00774493">
        <w:trPr>
          <w:trHeight w:val="401"/>
        </w:trPr>
        <w:tc>
          <w:tcPr>
            <w:tcW w:w="1560" w:type="dxa"/>
            <w:vMerge w:val="restart"/>
          </w:tcPr>
          <w:p w14:paraId="567DE2E1" w14:textId="77777777" w:rsidR="000B0CE4" w:rsidRDefault="000B0CE4" w:rsidP="00774493">
            <w:pPr>
              <w:pStyle w:val="BodyText"/>
              <w:tabs>
                <w:tab w:val="left" w:pos="709"/>
              </w:tabs>
              <w:rPr>
                <w:rFonts w:asciiTheme="minorHAnsi" w:hAnsiTheme="minorHAnsi" w:cstheme="minorHAnsi"/>
                <w:bCs/>
                <w:i w:val="0"/>
                <w:sz w:val="20"/>
              </w:rPr>
            </w:pPr>
            <w:r w:rsidRPr="00FB5293">
              <w:rPr>
                <w:rFonts w:asciiTheme="minorHAnsi" w:hAnsiTheme="minorHAnsi" w:cstheme="minorHAnsi"/>
                <w:bCs/>
                <w:i w:val="0"/>
                <w:sz w:val="20"/>
              </w:rPr>
              <w:t>Implementation</w:t>
            </w:r>
            <w:r>
              <w:rPr>
                <w:rFonts w:asciiTheme="minorHAnsi" w:hAnsiTheme="minorHAnsi" w:cstheme="minorHAnsi"/>
                <w:bCs/>
                <w:i w:val="0"/>
                <w:sz w:val="20"/>
              </w:rPr>
              <w:t xml:space="preserve"> process </w:t>
            </w:r>
          </w:p>
          <w:p w14:paraId="3675B565" w14:textId="77777777" w:rsidR="000B0CE4" w:rsidRDefault="000B0CE4" w:rsidP="00774493">
            <w:pPr>
              <w:pStyle w:val="BodyText"/>
              <w:tabs>
                <w:tab w:val="left" w:pos="709"/>
              </w:tabs>
              <w:rPr>
                <w:rFonts w:asciiTheme="minorHAnsi" w:hAnsiTheme="minorHAnsi" w:cstheme="minorHAnsi"/>
                <w:bCs/>
                <w:i w:val="0"/>
                <w:sz w:val="20"/>
              </w:rPr>
            </w:pPr>
          </w:p>
          <w:p w14:paraId="5CBCAD7F" w14:textId="77777777" w:rsidR="000B0CE4" w:rsidRPr="00FB5293" w:rsidRDefault="000B0CE4" w:rsidP="00774493">
            <w:pPr>
              <w:pStyle w:val="BodyText"/>
              <w:tabs>
                <w:tab w:val="left" w:pos="709"/>
              </w:tabs>
              <w:rPr>
                <w:rFonts w:asciiTheme="minorHAnsi" w:hAnsiTheme="minorHAnsi" w:cstheme="minorHAnsi"/>
                <w:bCs/>
                <w:i w:val="0"/>
                <w:sz w:val="20"/>
              </w:rPr>
            </w:pPr>
          </w:p>
        </w:tc>
        <w:tc>
          <w:tcPr>
            <w:tcW w:w="3685" w:type="dxa"/>
            <w:tcBorders>
              <w:bottom w:val="dotted" w:sz="4" w:space="0" w:color="auto"/>
            </w:tcBorders>
          </w:tcPr>
          <w:p w14:paraId="4D58B7C1" w14:textId="77777777" w:rsidR="000B0CE4" w:rsidRDefault="000B0CE4" w:rsidP="00774493">
            <w:pPr>
              <w:pStyle w:val="BodyText"/>
              <w:tabs>
                <w:tab w:val="left" w:pos="709"/>
              </w:tabs>
              <w:rPr>
                <w:rFonts w:asciiTheme="minorHAnsi" w:hAnsiTheme="minorHAnsi" w:cstheme="minorHAnsi"/>
                <w:bCs/>
                <w:i w:val="0"/>
                <w:sz w:val="20"/>
              </w:rPr>
            </w:pPr>
            <w:r>
              <w:rPr>
                <w:rFonts w:asciiTheme="minorHAnsi" w:hAnsiTheme="minorHAnsi" w:cstheme="minorHAnsi"/>
                <w:bCs/>
                <w:i w:val="0"/>
                <w:sz w:val="20"/>
              </w:rPr>
              <w:t>How well are DEWS tools completed</w:t>
            </w:r>
          </w:p>
        </w:tc>
        <w:tc>
          <w:tcPr>
            <w:tcW w:w="4962" w:type="dxa"/>
            <w:tcBorders>
              <w:bottom w:val="dotted" w:sz="4" w:space="0" w:color="auto"/>
            </w:tcBorders>
          </w:tcPr>
          <w:p w14:paraId="5F8E400D" w14:textId="77777777" w:rsidR="000B0CE4" w:rsidRPr="001664AD" w:rsidRDefault="000B0CE4" w:rsidP="00774493">
            <w:pPr>
              <w:pStyle w:val="BodyText"/>
              <w:numPr>
                <w:ilvl w:val="0"/>
                <w:numId w:val="13"/>
              </w:numPr>
              <w:tabs>
                <w:tab w:val="left" w:pos="709"/>
              </w:tabs>
              <w:rPr>
                <w:rFonts w:asciiTheme="minorHAnsi" w:hAnsiTheme="minorHAnsi" w:cstheme="minorHAnsi"/>
                <w:bCs/>
                <w:i w:val="0"/>
                <w:sz w:val="20"/>
              </w:rPr>
            </w:pPr>
            <w:r>
              <w:rPr>
                <w:rFonts w:asciiTheme="minorHAnsi" w:hAnsiTheme="minorHAnsi" w:cstheme="minorHAnsi"/>
                <w:bCs/>
                <w:i w:val="0"/>
                <w:sz w:val="20"/>
              </w:rPr>
              <w:t>ARC teams complete weekly audit using standardised tools provided, collects de-identified data only</w:t>
            </w:r>
          </w:p>
        </w:tc>
      </w:tr>
      <w:tr w:rsidR="000B0CE4" w:rsidRPr="007746BA" w14:paraId="6F176DC7" w14:textId="77777777" w:rsidTr="00774493">
        <w:trPr>
          <w:trHeight w:val="674"/>
        </w:trPr>
        <w:tc>
          <w:tcPr>
            <w:tcW w:w="1560" w:type="dxa"/>
            <w:vMerge/>
          </w:tcPr>
          <w:p w14:paraId="7138B9C3" w14:textId="77777777" w:rsidR="000B0CE4" w:rsidRPr="00FB5293" w:rsidRDefault="000B0CE4" w:rsidP="00774493">
            <w:pPr>
              <w:pStyle w:val="BodyText"/>
              <w:tabs>
                <w:tab w:val="left" w:pos="709"/>
              </w:tabs>
              <w:rPr>
                <w:rFonts w:asciiTheme="minorHAnsi" w:hAnsiTheme="minorHAnsi" w:cstheme="minorHAnsi"/>
                <w:bCs/>
                <w:i w:val="0"/>
                <w:sz w:val="20"/>
              </w:rPr>
            </w:pPr>
          </w:p>
        </w:tc>
        <w:tc>
          <w:tcPr>
            <w:tcW w:w="3685" w:type="dxa"/>
            <w:tcBorders>
              <w:top w:val="dotted" w:sz="4" w:space="0" w:color="auto"/>
              <w:bottom w:val="dotted" w:sz="4" w:space="0" w:color="auto"/>
            </w:tcBorders>
          </w:tcPr>
          <w:p w14:paraId="283B5E02" w14:textId="77777777" w:rsidR="000B0CE4" w:rsidRPr="00FB5293" w:rsidRDefault="000B0CE4" w:rsidP="00774493">
            <w:pPr>
              <w:pStyle w:val="BodyText"/>
              <w:tabs>
                <w:tab w:val="left" w:pos="709"/>
              </w:tabs>
              <w:rPr>
                <w:rFonts w:asciiTheme="minorHAnsi" w:hAnsiTheme="minorHAnsi" w:cstheme="minorHAnsi"/>
                <w:bCs/>
                <w:i w:val="0"/>
                <w:sz w:val="20"/>
              </w:rPr>
            </w:pPr>
            <w:r>
              <w:rPr>
                <w:rFonts w:asciiTheme="minorHAnsi" w:hAnsiTheme="minorHAnsi" w:cstheme="minorHAnsi"/>
                <w:bCs/>
                <w:i w:val="0"/>
                <w:sz w:val="20"/>
              </w:rPr>
              <w:t>Did having a QI approach support teams to implementation DEWS tools?</w:t>
            </w:r>
          </w:p>
        </w:tc>
        <w:tc>
          <w:tcPr>
            <w:tcW w:w="4962" w:type="dxa"/>
            <w:tcBorders>
              <w:top w:val="dotted" w:sz="4" w:space="0" w:color="auto"/>
              <w:bottom w:val="dotted" w:sz="4" w:space="0" w:color="auto"/>
            </w:tcBorders>
          </w:tcPr>
          <w:p w14:paraId="7440F0FE" w14:textId="77777777" w:rsidR="000B0CE4" w:rsidRDefault="000B0CE4" w:rsidP="00774493">
            <w:pPr>
              <w:pStyle w:val="BodyText"/>
              <w:numPr>
                <w:ilvl w:val="0"/>
                <w:numId w:val="13"/>
              </w:numPr>
              <w:tabs>
                <w:tab w:val="left" w:pos="709"/>
              </w:tabs>
              <w:rPr>
                <w:rFonts w:asciiTheme="minorHAnsi" w:hAnsiTheme="minorHAnsi" w:cstheme="minorHAnsi"/>
                <w:bCs/>
                <w:i w:val="0"/>
                <w:sz w:val="20"/>
              </w:rPr>
            </w:pPr>
            <w:r w:rsidRPr="0072243E">
              <w:rPr>
                <w:rFonts w:asciiTheme="minorHAnsi" w:hAnsiTheme="minorHAnsi" w:cstheme="minorHAnsi"/>
                <w:bCs/>
                <w:i w:val="0"/>
                <w:sz w:val="20"/>
              </w:rPr>
              <w:t>End of project invitational semi-structured interview</w:t>
            </w:r>
          </w:p>
          <w:p w14:paraId="0892496C" w14:textId="6A055504" w:rsidR="005610CB" w:rsidRPr="001664AD" w:rsidRDefault="005610CB" w:rsidP="00774493">
            <w:pPr>
              <w:pStyle w:val="BodyText"/>
              <w:numPr>
                <w:ilvl w:val="0"/>
                <w:numId w:val="13"/>
              </w:numPr>
              <w:tabs>
                <w:tab w:val="left" w:pos="709"/>
              </w:tabs>
              <w:rPr>
                <w:rFonts w:asciiTheme="minorHAnsi" w:hAnsiTheme="minorHAnsi" w:cstheme="minorHAnsi"/>
                <w:bCs/>
                <w:i w:val="0"/>
                <w:sz w:val="20"/>
              </w:rPr>
            </w:pPr>
            <w:r>
              <w:rPr>
                <w:rFonts w:asciiTheme="minorHAnsi" w:hAnsiTheme="minorHAnsi" w:cstheme="minorHAnsi"/>
                <w:bCs/>
                <w:i w:val="0"/>
                <w:sz w:val="20"/>
              </w:rPr>
              <w:t>Prospective two weekly meetings (meeting minutes) to problem solve and address</w:t>
            </w:r>
          </w:p>
        </w:tc>
      </w:tr>
      <w:tr w:rsidR="000B0CE4" w:rsidRPr="00FB5293" w14:paraId="2617A2F0" w14:textId="77777777" w:rsidTr="00774493">
        <w:tc>
          <w:tcPr>
            <w:tcW w:w="1560" w:type="dxa"/>
            <w:vMerge/>
          </w:tcPr>
          <w:p w14:paraId="70DB5850" w14:textId="77777777" w:rsidR="000B0CE4" w:rsidRPr="00FB5293" w:rsidRDefault="000B0CE4" w:rsidP="00774493">
            <w:pPr>
              <w:pStyle w:val="BodyText"/>
              <w:tabs>
                <w:tab w:val="left" w:pos="709"/>
              </w:tabs>
              <w:rPr>
                <w:rFonts w:asciiTheme="minorHAnsi" w:hAnsiTheme="minorHAnsi" w:cstheme="minorHAnsi"/>
                <w:bCs/>
                <w:i w:val="0"/>
                <w:sz w:val="20"/>
              </w:rPr>
            </w:pPr>
          </w:p>
        </w:tc>
        <w:tc>
          <w:tcPr>
            <w:tcW w:w="3685" w:type="dxa"/>
            <w:tcBorders>
              <w:top w:val="dotted" w:sz="4" w:space="0" w:color="auto"/>
              <w:bottom w:val="dotted" w:sz="4" w:space="0" w:color="auto"/>
            </w:tcBorders>
          </w:tcPr>
          <w:p w14:paraId="29D7D9FE" w14:textId="77777777" w:rsidR="000B0CE4" w:rsidRPr="00FB5293" w:rsidRDefault="000B0CE4" w:rsidP="00774493">
            <w:pPr>
              <w:pStyle w:val="BodyText"/>
              <w:tabs>
                <w:tab w:val="left" w:pos="709"/>
              </w:tabs>
              <w:rPr>
                <w:rFonts w:asciiTheme="minorHAnsi" w:hAnsiTheme="minorHAnsi" w:cstheme="minorHAnsi"/>
                <w:bCs/>
                <w:i w:val="0"/>
                <w:sz w:val="20"/>
              </w:rPr>
            </w:pPr>
            <w:r>
              <w:rPr>
                <w:rFonts w:asciiTheme="minorHAnsi" w:hAnsiTheme="minorHAnsi" w:cstheme="minorHAnsi"/>
                <w:bCs/>
                <w:i w:val="0"/>
                <w:sz w:val="20"/>
              </w:rPr>
              <w:t>What does DEWS implementation cost ARC?</w:t>
            </w:r>
          </w:p>
        </w:tc>
        <w:tc>
          <w:tcPr>
            <w:tcW w:w="4962" w:type="dxa"/>
            <w:tcBorders>
              <w:top w:val="dotted" w:sz="4" w:space="0" w:color="auto"/>
              <w:bottom w:val="dotted" w:sz="4" w:space="0" w:color="auto"/>
            </w:tcBorders>
          </w:tcPr>
          <w:p w14:paraId="58D2B286" w14:textId="545C89EF" w:rsidR="000B0CE4" w:rsidRPr="00057D2D" w:rsidRDefault="005610CB" w:rsidP="00774493">
            <w:pPr>
              <w:pStyle w:val="BodyText"/>
              <w:numPr>
                <w:ilvl w:val="0"/>
                <w:numId w:val="13"/>
              </w:numPr>
              <w:tabs>
                <w:tab w:val="left" w:pos="709"/>
              </w:tabs>
              <w:rPr>
                <w:rFonts w:asciiTheme="minorHAnsi" w:hAnsiTheme="minorHAnsi" w:cstheme="minorHAnsi"/>
                <w:bCs/>
                <w:i w:val="0"/>
                <w:sz w:val="20"/>
              </w:rPr>
            </w:pPr>
            <w:r>
              <w:rPr>
                <w:rFonts w:asciiTheme="minorHAnsi" w:hAnsiTheme="minorHAnsi" w:cstheme="minorHAnsi"/>
                <w:bCs/>
                <w:i w:val="0"/>
                <w:sz w:val="20"/>
              </w:rPr>
              <w:t>ARC a</w:t>
            </w:r>
            <w:r w:rsidR="000B0CE4" w:rsidRPr="00057D2D">
              <w:rPr>
                <w:rFonts w:asciiTheme="minorHAnsi" w:hAnsiTheme="minorHAnsi" w:cstheme="minorHAnsi"/>
                <w:bCs/>
                <w:i w:val="0"/>
                <w:sz w:val="20"/>
              </w:rPr>
              <w:t>ssess using pragmatic cost template</w:t>
            </w:r>
            <w:r>
              <w:rPr>
                <w:rFonts w:asciiTheme="minorHAnsi" w:hAnsiTheme="minorHAnsi" w:cstheme="minorHAnsi"/>
                <w:bCs/>
                <w:i w:val="0"/>
                <w:sz w:val="20"/>
              </w:rPr>
              <w:t xml:space="preserve"> supplied </w:t>
            </w:r>
            <w:r w:rsidR="000B0CE4" w:rsidRPr="00057D2D">
              <w:rPr>
                <w:rFonts w:asciiTheme="minorHAnsi" w:hAnsiTheme="minorHAnsi" w:cstheme="minorHAnsi"/>
                <w:bCs/>
                <w:i w:val="0"/>
                <w:sz w:val="20"/>
              </w:rPr>
              <w:t xml:space="preserve"> </w:t>
            </w:r>
            <w:hyperlink r:id="rId27" w:history="1">
              <w:r w:rsidR="000B0CE4">
                <w:rPr>
                  <w:rFonts w:ascii="Arial" w:hAnsi="Arial" w:cs="Arial"/>
                  <w:sz w:val="20"/>
                </w:rPr>
                <w:t>(Jones Rhodes et al., 2018)</w:t>
              </w:r>
            </w:hyperlink>
          </w:p>
        </w:tc>
      </w:tr>
      <w:tr w:rsidR="000B0CE4" w:rsidRPr="00FB5293" w14:paraId="1C6A46A6" w14:textId="77777777" w:rsidTr="00774493">
        <w:tc>
          <w:tcPr>
            <w:tcW w:w="1560" w:type="dxa"/>
            <w:vMerge/>
            <w:tcBorders>
              <w:bottom w:val="single" w:sz="4" w:space="0" w:color="auto"/>
            </w:tcBorders>
          </w:tcPr>
          <w:p w14:paraId="73D28602" w14:textId="77777777" w:rsidR="000B0CE4" w:rsidRPr="00FB5293" w:rsidRDefault="000B0CE4" w:rsidP="00774493">
            <w:pPr>
              <w:pStyle w:val="BodyText"/>
              <w:tabs>
                <w:tab w:val="left" w:pos="709"/>
              </w:tabs>
              <w:rPr>
                <w:rFonts w:asciiTheme="minorHAnsi" w:hAnsiTheme="minorHAnsi" w:cstheme="minorHAnsi"/>
                <w:bCs/>
                <w:i w:val="0"/>
                <w:sz w:val="20"/>
              </w:rPr>
            </w:pPr>
          </w:p>
        </w:tc>
        <w:tc>
          <w:tcPr>
            <w:tcW w:w="3685" w:type="dxa"/>
            <w:tcBorders>
              <w:top w:val="dotted" w:sz="4" w:space="0" w:color="auto"/>
              <w:bottom w:val="single" w:sz="4" w:space="0" w:color="auto"/>
            </w:tcBorders>
          </w:tcPr>
          <w:p w14:paraId="6E6BFD19" w14:textId="77777777" w:rsidR="000B0CE4" w:rsidRDefault="000B0CE4" w:rsidP="00774493">
            <w:pPr>
              <w:pStyle w:val="BodyText"/>
              <w:tabs>
                <w:tab w:val="left" w:pos="709"/>
              </w:tabs>
              <w:rPr>
                <w:rFonts w:asciiTheme="minorHAnsi" w:hAnsiTheme="minorHAnsi" w:cstheme="minorHAnsi"/>
                <w:bCs/>
                <w:i w:val="0"/>
                <w:sz w:val="20"/>
              </w:rPr>
            </w:pPr>
            <w:r>
              <w:rPr>
                <w:rFonts w:asciiTheme="minorHAnsi" w:hAnsiTheme="minorHAnsi" w:cstheme="minorHAnsi"/>
                <w:bCs/>
                <w:i w:val="0"/>
                <w:sz w:val="20"/>
              </w:rPr>
              <w:t xml:space="preserve">How does the implementation process progress                                                                               </w:t>
            </w:r>
          </w:p>
        </w:tc>
        <w:tc>
          <w:tcPr>
            <w:tcW w:w="4962" w:type="dxa"/>
            <w:tcBorders>
              <w:top w:val="dotted" w:sz="4" w:space="0" w:color="auto"/>
              <w:bottom w:val="single" w:sz="4" w:space="0" w:color="auto"/>
            </w:tcBorders>
          </w:tcPr>
          <w:p w14:paraId="3FD9AA62" w14:textId="77777777" w:rsidR="000B0CE4" w:rsidRPr="00057D2D" w:rsidRDefault="000B0CE4" w:rsidP="00774493">
            <w:pPr>
              <w:pStyle w:val="BodyText"/>
              <w:numPr>
                <w:ilvl w:val="0"/>
                <w:numId w:val="13"/>
              </w:numPr>
              <w:tabs>
                <w:tab w:val="left" w:pos="709"/>
              </w:tabs>
              <w:rPr>
                <w:rFonts w:asciiTheme="minorHAnsi" w:hAnsiTheme="minorHAnsi" w:cstheme="minorHAnsi"/>
                <w:bCs/>
                <w:i w:val="0"/>
                <w:sz w:val="20"/>
              </w:rPr>
            </w:pPr>
            <w:r w:rsidRPr="00057D2D">
              <w:rPr>
                <w:rFonts w:asciiTheme="minorHAnsi" w:hAnsiTheme="minorHAnsi" w:cstheme="minorHAnsi"/>
                <w:bCs/>
                <w:i w:val="0"/>
                <w:sz w:val="20"/>
              </w:rPr>
              <w:t>Document (minutes) of two weekly support meetings during planning, testing project phases</w:t>
            </w:r>
          </w:p>
        </w:tc>
      </w:tr>
      <w:tr w:rsidR="000B0CE4" w:rsidRPr="00FB5293" w14:paraId="2DE08556" w14:textId="77777777" w:rsidTr="00774493">
        <w:trPr>
          <w:trHeight w:val="293"/>
        </w:trPr>
        <w:tc>
          <w:tcPr>
            <w:tcW w:w="1560" w:type="dxa"/>
            <w:vMerge w:val="restart"/>
          </w:tcPr>
          <w:p w14:paraId="34250800" w14:textId="77777777" w:rsidR="000B0CE4" w:rsidRPr="00FB5293" w:rsidRDefault="000B0CE4" w:rsidP="00774493">
            <w:pPr>
              <w:pStyle w:val="BodyText"/>
              <w:tabs>
                <w:tab w:val="left" w:pos="709"/>
              </w:tabs>
              <w:rPr>
                <w:rFonts w:asciiTheme="minorHAnsi" w:hAnsiTheme="minorHAnsi" w:cstheme="minorHAnsi"/>
                <w:bCs/>
                <w:i w:val="0"/>
                <w:sz w:val="20"/>
              </w:rPr>
            </w:pPr>
            <w:r w:rsidRPr="00FB5293">
              <w:rPr>
                <w:rFonts w:asciiTheme="minorHAnsi" w:hAnsiTheme="minorHAnsi" w:cstheme="minorHAnsi"/>
                <w:bCs/>
                <w:i w:val="0"/>
                <w:sz w:val="20"/>
              </w:rPr>
              <w:t>Maintenance</w:t>
            </w:r>
          </w:p>
        </w:tc>
        <w:tc>
          <w:tcPr>
            <w:tcW w:w="3685" w:type="dxa"/>
            <w:tcBorders>
              <w:bottom w:val="dotted" w:sz="4" w:space="0" w:color="auto"/>
            </w:tcBorders>
          </w:tcPr>
          <w:p w14:paraId="0BB0BC99" w14:textId="77777777" w:rsidR="000B0CE4" w:rsidRDefault="000B0CE4" w:rsidP="00774493">
            <w:pPr>
              <w:pStyle w:val="BodyText"/>
              <w:tabs>
                <w:tab w:val="left" w:pos="709"/>
              </w:tabs>
              <w:rPr>
                <w:rFonts w:asciiTheme="minorHAnsi" w:hAnsiTheme="minorHAnsi" w:cstheme="minorHAnsi"/>
                <w:bCs/>
                <w:i w:val="0"/>
                <w:sz w:val="20"/>
              </w:rPr>
            </w:pPr>
            <w:r>
              <w:rPr>
                <w:rFonts w:asciiTheme="minorHAnsi" w:hAnsiTheme="minorHAnsi" w:cstheme="minorHAnsi"/>
                <w:bCs/>
                <w:i w:val="0"/>
                <w:sz w:val="20"/>
              </w:rPr>
              <w:t xml:space="preserve">Are </w:t>
            </w:r>
            <w:r w:rsidRPr="00FB5293">
              <w:rPr>
                <w:rFonts w:asciiTheme="minorHAnsi" w:hAnsiTheme="minorHAnsi" w:cstheme="minorHAnsi"/>
                <w:bCs/>
                <w:i w:val="0"/>
                <w:sz w:val="20"/>
              </w:rPr>
              <w:t xml:space="preserve">DEWS </w:t>
            </w:r>
            <w:r>
              <w:rPr>
                <w:rFonts w:asciiTheme="minorHAnsi" w:hAnsiTheme="minorHAnsi" w:cstheme="minorHAnsi"/>
                <w:bCs/>
                <w:i w:val="0"/>
                <w:sz w:val="20"/>
              </w:rPr>
              <w:t xml:space="preserve">tools being used </w:t>
            </w:r>
            <w:r w:rsidRPr="00FB5293">
              <w:rPr>
                <w:rFonts w:asciiTheme="minorHAnsi" w:hAnsiTheme="minorHAnsi" w:cstheme="minorHAnsi"/>
                <w:bCs/>
                <w:i w:val="0"/>
                <w:sz w:val="20"/>
              </w:rPr>
              <w:t>after implementation period</w:t>
            </w:r>
          </w:p>
        </w:tc>
        <w:tc>
          <w:tcPr>
            <w:tcW w:w="4962" w:type="dxa"/>
            <w:tcBorders>
              <w:bottom w:val="dotted" w:sz="4" w:space="0" w:color="auto"/>
            </w:tcBorders>
          </w:tcPr>
          <w:p w14:paraId="163FEFD5" w14:textId="77777777" w:rsidR="000B0CE4" w:rsidRDefault="000B0CE4" w:rsidP="00774493">
            <w:pPr>
              <w:pStyle w:val="BodyText"/>
              <w:numPr>
                <w:ilvl w:val="0"/>
                <w:numId w:val="13"/>
              </w:numPr>
              <w:tabs>
                <w:tab w:val="left" w:pos="709"/>
              </w:tabs>
              <w:rPr>
                <w:rFonts w:asciiTheme="minorHAnsi" w:hAnsiTheme="minorHAnsi" w:cstheme="minorHAnsi"/>
                <w:bCs/>
                <w:i w:val="0"/>
                <w:sz w:val="20"/>
              </w:rPr>
            </w:pPr>
            <w:r w:rsidRPr="00A70F2B">
              <w:rPr>
                <w:rFonts w:asciiTheme="minorHAnsi" w:hAnsiTheme="minorHAnsi" w:cstheme="minorHAnsi"/>
                <w:bCs/>
                <w:i w:val="0"/>
                <w:sz w:val="20"/>
              </w:rPr>
              <w:t>Follow up phone survey ≥ 6 months. Collects non-identifiable data</w:t>
            </w:r>
          </w:p>
        </w:tc>
      </w:tr>
      <w:tr w:rsidR="000B0CE4" w:rsidRPr="00FB5293" w14:paraId="2F78246D" w14:textId="77777777" w:rsidTr="00774493">
        <w:tc>
          <w:tcPr>
            <w:tcW w:w="1560" w:type="dxa"/>
            <w:vMerge/>
            <w:vAlign w:val="center"/>
          </w:tcPr>
          <w:p w14:paraId="19680E9C" w14:textId="77777777" w:rsidR="000B0CE4" w:rsidRPr="00FB5293" w:rsidRDefault="000B0CE4" w:rsidP="00774493">
            <w:pPr>
              <w:pStyle w:val="BodyText"/>
              <w:tabs>
                <w:tab w:val="left" w:pos="709"/>
              </w:tabs>
              <w:rPr>
                <w:rFonts w:asciiTheme="minorHAnsi" w:hAnsiTheme="minorHAnsi" w:cstheme="minorHAnsi"/>
                <w:bCs/>
                <w:i w:val="0"/>
                <w:sz w:val="20"/>
              </w:rPr>
            </w:pPr>
          </w:p>
        </w:tc>
        <w:tc>
          <w:tcPr>
            <w:tcW w:w="3685" w:type="dxa"/>
            <w:tcBorders>
              <w:top w:val="dotted" w:sz="4" w:space="0" w:color="auto"/>
              <w:bottom w:val="dotted" w:sz="4" w:space="0" w:color="auto"/>
            </w:tcBorders>
          </w:tcPr>
          <w:p w14:paraId="48052C65" w14:textId="77777777" w:rsidR="000B0CE4" w:rsidRPr="00FB5293" w:rsidRDefault="000B0CE4" w:rsidP="00774493">
            <w:pPr>
              <w:pStyle w:val="BodyText"/>
              <w:tabs>
                <w:tab w:val="left" w:pos="709"/>
              </w:tabs>
              <w:rPr>
                <w:rFonts w:asciiTheme="minorHAnsi" w:hAnsiTheme="minorHAnsi" w:cstheme="minorHAnsi"/>
                <w:bCs/>
                <w:i w:val="0"/>
                <w:sz w:val="20"/>
              </w:rPr>
            </w:pPr>
            <w:r w:rsidRPr="00B405A6">
              <w:rPr>
                <w:rFonts w:asciiTheme="minorHAnsi" w:hAnsiTheme="minorHAnsi" w:cstheme="minorHAnsi"/>
                <w:bCs/>
                <w:i w:val="0"/>
                <w:sz w:val="20"/>
              </w:rPr>
              <w:t>Were there any unintended</w:t>
            </w:r>
            <w:r w:rsidRPr="00FB5293">
              <w:rPr>
                <w:rFonts w:asciiTheme="minorHAnsi" w:hAnsiTheme="minorHAnsi" w:cstheme="minorHAnsi"/>
                <w:bCs/>
                <w:i w:val="0"/>
                <w:sz w:val="20"/>
              </w:rPr>
              <w:t xml:space="preserve"> consequences </w:t>
            </w:r>
            <w:r>
              <w:rPr>
                <w:rFonts w:asciiTheme="minorHAnsi" w:hAnsiTheme="minorHAnsi" w:cstheme="minorHAnsi"/>
                <w:bCs/>
                <w:i w:val="0"/>
                <w:sz w:val="20"/>
              </w:rPr>
              <w:t>of feasibility study implementation</w:t>
            </w:r>
          </w:p>
        </w:tc>
        <w:tc>
          <w:tcPr>
            <w:tcW w:w="4962" w:type="dxa"/>
            <w:tcBorders>
              <w:top w:val="dotted" w:sz="4" w:space="0" w:color="auto"/>
              <w:bottom w:val="dotted" w:sz="4" w:space="0" w:color="auto"/>
            </w:tcBorders>
          </w:tcPr>
          <w:p w14:paraId="0985019A" w14:textId="77777777" w:rsidR="000B0CE4" w:rsidRDefault="000B0CE4" w:rsidP="00774493">
            <w:pPr>
              <w:pStyle w:val="BodyText"/>
              <w:numPr>
                <w:ilvl w:val="0"/>
                <w:numId w:val="13"/>
              </w:numPr>
              <w:tabs>
                <w:tab w:val="left" w:pos="709"/>
              </w:tabs>
              <w:rPr>
                <w:rFonts w:asciiTheme="minorHAnsi" w:hAnsiTheme="minorHAnsi" w:cstheme="minorHAnsi"/>
                <w:bCs/>
                <w:i w:val="0"/>
                <w:sz w:val="20"/>
              </w:rPr>
            </w:pPr>
            <w:r>
              <w:rPr>
                <w:rFonts w:asciiTheme="minorHAnsi" w:hAnsiTheme="minorHAnsi" w:cstheme="minorHAnsi"/>
                <w:bCs/>
                <w:i w:val="0"/>
                <w:sz w:val="20"/>
              </w:rPr>
              <w:t>Documented (minutes) at support meetings</w:t>
            </w:r>
          </w:p>
          <w:p w14:paraId="4E9B1B6E" w14:textId="77777777" w:rsidR="000B0CE4" w:rsidRDefault="000B0CE4" w:rsidP="00774493">
            <w:pPr>
              <w:pStyle w:val="BodyText"/>
              <w:numPr>
                <w:ilvl w:val="0"/>
                <w:numId w:val="13"/>
              </w:numPr>
              <w:tabs>
                <w:tab w:val="left" w:pos="709"/>
              </w:tabs>
              <w:rPr>
                <w:rFonts w:asciiTheme="minorHAnsi" w:hAnsiTheme="minorHAnsi" w:cstheme="minorHAnsi"/>
                <w:bCs/>
                <w:i w:val="0"/>
                <w:sz w:val="20"/>
              </w:rPr>
            </w:pPr>
            <w:r w:rsidRPr="0072243E">
              <w:rPr>
                <w:rFonts w:asciiTheme="minorHAnsi" w:hAnsiTheme="minorHAnsi" w:cstheme="minorHAnsi"/>
                <w:bCs/>
                <w:i w:val="0"/>
                <w:sz w:val="20"/>
              </w:rPr>
              <w:t xml:space="preserve">End of project invitational semi-structured interview </w:t>
            </w:r>
          </w:p>
        </w:tc>
      </w:tr>
      <w:tr w:rsidR="000B0CE4" w:rsidRPr="00FB5293" w14:paraId="30F34443" w14:textId="77777777" w:rsidTr="00774493">
        <w:tc>
          <w:tcPr>
            <w:tcW w:w="1560" w:type="dxa"/>
            <w:vMerge/>
            <w:vAlign w:val="center"/>
          </w:tcPr>
          <w:p w14:paraId="2F1A3ECB" w14:textId="77777777" w:rsidR="000B0CE4" w:rsidRPr="00FB5293" w:rsidRDefault="000B0CE4" w:rsidP="00774493">
            <w:pPr>
              <w:pStyle w:val="BodyText"/>
              <w:tabs>
                <w:tab w:val="left" w:pos="709"/>
              </w:tabs>
              <w:rPr>
                <w:rFonts w:asciiTheme="minorHAnsi" w:hAnsiTheme="minorHAnsi" w:cstheme="minorHAnsi"/>
                <w:bCs/>
                <w:i w:val="0"/>
                <w:sz w:val="20"/>
              </w:rPr>
            </w:pPr>
          </w:p>
        </w:tc>
        <w:tc>
          <w:tcPr>
            <w:tcW w:w="3685" w:type="dxa"/>
            <w:tcBorders>
              <w:top w:val="dotted" w:sz="4" w:space="0" w:color="auto"/>
              <w:bottom w:val="dotted" w:sz="4" w:space="0" w:color="auto"/>
            </w:tcBorders>
          </w:tcPr>
          <w:p w14:paraId="1CE7B961" w14:textId="77777777" w:rsidR="000B0CE4" w:rsidRPr="00FB5293" w:rsidRDefault="000B0CE4" w:rsidP="00774493">
            <w:pPr>
              <w:pStyle w:val="BodyText"/>
              <w:tabs>
                <w:tab w:val="left" w:pos="709"/>
              </w:tabs>
              <w:rPr>
                <w:rFonts w:asciiTheme="minorHAnsi" w:hAnsiTheme="minorHAnsi" w:cstheme="minorHAnsi"/>
                <w:bCs/>
                <w:i w:val="0"/>
                <w:sz w:val="20"/>
              </w:rPr>
            </w:pPr>
            <w:r w:rsidRPr="00FB5293">
              <w:rPr>
                <w:rFonts w:asciiTheme="minorHAnsi" w:hAnsiTheme="minorHAnsi" w:cstheme="minorHAnsi"/>
                <w:bCs/>
                <w:i w:val="0"/>
                <w:sz w:val="20"/>
              </w:rPr>
              <w:t xml:space="preserve">Future developments </w:t>
            </w:r>
            <w:r>
              <w:rPr>
                <w:rFonts w:asciiTheme="minorHAnsi" w:hAnsiTheme="minorHAnsi" w:cstheme="minorHAnsi"/>
                <w:bCs/>
                <w:i w:val="0"/>
                <w:sz w:val="20"/>
              </w:rPr>
              <w:t>needed?</w:t>
            </w:r>
          </w:p>
        </w:tc>
        <w:tc>
          <w:tcPr>
            <w:tcW w:w="4962" w:type="dxa"/>
            <w:tcBorders>
              <w:top w:val="dotted" w:sz="4" w:space="0" w:color="auto"/>
              <w:bottom w:val="dotted" w:sz="4" w:space="0" w:color="auto"/>
            </w:tcBorders>
          </w:tcPr>
          <w:p w14:paraId="00BF8A98" w14:textId="77777777" w:rsidR="000B0CE4" w:rsidRDefault="000B0CE4" w:rsidP="00774493">
            <w:pPr>
              <w:pStyle w:val="BodyText"/>
              <w:numPr>
                <w:ilvl w:val="0"/>
                <w:numId w:val="13"/>
              </w:numPr>
              <w:tabs>
                <w:tab w:val="left" w:pos="709"/>
              </w:tabs>
              <w:rPr>
                <w:rFonts w:asciiTheme="minorHAnsi" w:hAnsiTheme="minorHAnsi" w:cstheme="minorHAnsi"/>
                <w:bCs/>
                <w:i w:val="0"/>
                <w:sz w:val="20"/>
              </w:rPr>
            </w:pPr>
            <w:r w:rsidRPr="0072243E">
              <w:rPr>
                <w:rFonts w:asciiTheme="minorHAnsi" w:hAnsiTheme="minorHAnsi" w:cstheme="minorHAnsi"/>
                <w:bCs/>
                <w:i w:val="0"/>
                <w:sz w:val="20"/>
              </w:rPr>
              <w:t xml:space="preserve">End of project invitational semi-structured interview </w:t>
            </w:r>
          </w:p>
          <w:p w14:paraId="4F34A037" w14:textId="7498309F" w:rsidR="000B0CE4" w:rsidRPr="0072243E" w:rsidRDefault="005610CB" w:rsidP="00774493">
            <w:pPr>
              <w:pStyle w:val="BodyText"/>
              <w:numPr>
                <w:ilvl w:val="0"/>
                <w:numId w:val="13"/>
              </w:numPr>
              <w:tabs>
                <w:tab w:val="left" w:pos="709"/>
              </w:tabs>
              <w:rPr>
                <w:rFonts w:asciiTheme="minorHAnsi" w:hAnsiTheme="minorHAnsi" w:cstheme="minorHAnsi"/>
                <w:bCs/>
                <w:i w:val="0"/>
                <w:sz w:val="20"/>
              </w:rPr>
            </w:pPr>
            <w:r>
              <w:rPr>
                <w:rFonts w:asciiTheme="minorHAnsi" w:hAnsiTheme="minorHAnsi" w:cstheme="minorHAnsi"/>
                <w:bCs/>
                <w:i w:val="0"/>
                <w:sz w:val="20"/>
              </w:rPr>
              <w:t>Revisions to DEWS tools as indicated from feasibility study</w:t>
            </w:r>
          </w:p>
        </w:tc>
      </w:tr>
      <w:tr w:rsidR="000B0CE4" w:rsidRPr="00FB5293" w14:paraId="76B0F457" w14:textId="77777777" w:rsidTr="00774493">
        <w:tc>
          <w:tcPr>
            <w:tcW w:w="1560" w:type="dxa"/>
            <w:vMerge/>
            <w:tcBorders>
              <w:bottom w:val="single" w:sz="4" w:space="0" w:color="auto"/>
            </w:tcBorders>
            <w:vAlign w:val="center"/>
          </w:tcPr>
          <w:p w14:paraId="7F8E7AF4" w14:textId="77777777" w:rsidR="000B0CE4" w:rsidRPr="00FB5293" w:rsidRDefault="000B0CE4" w:rsidP="00774493">
            <w:pPr>
              <w:pStyle w:val="BodyText"/>
              <w:tabs>
                <w:tab w:val="left" w:pos="709"/>
              </w:tabs>
              <w:rPr>
                <w:rFonts w:asciiTheme="minorHAnsi" w:hAnsiTheme="minorHAnsi" w:cstheme="minorHAnsi"/>
                <w:bCs/>
                <w:i w:val="0"/>
                <w:sz w:val="20"/>
              </w:rPr>
            </w:pPr>
          </w:p>
        </w:tc>
        <w:tc>
          <w:tcPr>
            <w:tcW w:w="3685" w:type="dxa"/>
            <w:tcBorders>
              <w:top w:val="dotted" w:sz="4" w:space="0" w:color="auto"/>
              <w:bottom w:val="single" w:sz="4" w:space="0" w:color="auto"/>
            </w:tcBorders>
          </w:tcPr>
          <w:p w14:paraId="180FE0D3" w14:textId="77777777" w:rsidR="000B0CE4" w:rsidRPr="00FB5293" w:rsidRDefault="000B0CE4" w:rsidP="00774493">
            <w:pPr>
              <w:pStyle w:val="BodyText"/>
              <w:tabs>
                <w:tab w:val="left" w:pos="709"/>
              </w:tabs>
              <w:rPr>
                <w:rFonts w:asciiTheme="minorHAnsi" w:hAnsiTheme="minorHAnsi" w:cstheme="minorHAnsi"/>
                <w:bCs/>
                <w:i w:val="0"/>
                <w:sz w:val="20"/>
              </w:rPr>
            </w:pPr>
            <w:r>
              <w:rPr>
                <w:rFonts w:asciiTheme="minorHAnsi" w:hAnsiTheme="minorHAnsi" w:cstheme="minorHAnsi"/>
                <w:bCs/>
                <w:i w:val="0"/>
                <w:sz w:val="20"/>
              </w:rPr>
              <w:t xml:space="preserve">Is the large scale </w:t>
            </w:r>
            <w:r w:rsidRPr="00FB5293">
              <w:rPr>
                <w:rFonts w:asciiTheme="minorHAnsi" w:hAnsiTheme="minorHAnsi" w:cstheme="minorHAnsi"/>
                <w:bCs/>
                <w:i w:val="0"/>
                <w:sz w:val="20"/>
              </w:rPr>
              <w:t xml:space="preserve">implementation of DEWS tools </w:t>
            </w:r>
            <w:r>
              <w:rPr>
                <w:rFonts w:asciiTheme="minorHAnsi" w:hAnsiTheme="minorHAnsi" w:cstheme="minorHAnsi"/>
                <w:bCs/>
                <w:i w:val="0"/>
                <w:sz w:val="20"/>
              </w:rPr>
              <w:t xml:space="preserve">across the </w:t>
            </w:r>
            <w:r w:rsidRPr="00FB5293">
              <w:rPr>
                <w:rFonts w:asciiTheme="minorHAnsi" w:hAnsiTheme="minorHAnsi" w:cstheme="minorHAnsi"/>
                <w:bCs/>
                <w:i w:val="0"/>
                <w:sz w:val="20"/>
              </w:rPr>
              <w:t>ARC is warranted and practical / reasonable</w:t>
            </w:r>
          </w:p>
        </w:tc>
        <w:tc>
          <w:tcPr>
            <w:tcW w:w="4962" w:type="dxa"/>
            <w:tcBorders>
              <w:top w:val="dotted" w:sz="4" w:space="0" w:color="auto"/>
              <w:bottom w:val="single" w:sz="4" w:space="0" w:color="auto"/>
            </w:tcBorders>
          </w:tcPr>
          <w:p w14:paraId="3430ADA2" w14:textId="77777777" w:rsidR="000B0CE4" w:rsidRDefault="000B0CE4" w:rsidP="00774493">
            <w:pPr>
              <w:pStyle w:val="BodyText"/>
              <w:numPr>
                <w:ilvl w:val="0"/>
                <w:numId w:val="13"/>
              </w:numPr>
              <w:tabs>
                <w:tab w:val="left" w:pos="709"/>
              </w:tabs>
              <w:rPr>
                <w:rFonts w:asciiTheme="minorHAnsi" w:hAnsiTheme="minorHAnsi" w:cstheme="minorHAnsi"/>
                <w:bCs/>
                <w:i w:val="0"/>
                <w:sz w:val="20"/>
              </w:rPr>
            </w:pPr>
            <w:r w:rsidRPr="0072243E">
              <w:rPr>
                <w:rFonts w:asciiTheme="minorHAnsi" w:hAnsiTheme="minorHAnsi" w:cstheme="minorHAnsi"/>
                <w:bCs/>
                <w:i w:val="0"/>
                <w:sz w:val="20"/>
              </w:rPr>
              <w:t>End of project invitational semi-structured interview</w:t>
            </w:r>
          </w:p>
          <w:p w14:paraId="4A81F56B" w14:textId="77777777" w:rsidR="000B0CE4" w:rsidRPr="00FB5293" w:rsidRDefault="000B0CE4" w:rsidP="00774493">
            <w:pPr>
              <w:pStyle w:val="BodyText"/>
              <w:numPr>
                <w:ilvl w:val="0"/>
                <w:numId w:val="13"/>
              </w:numPr>
              <w:tabs>
                <w:tab w:val="left" w:pos="709"/>
              </w:tabs>
              <w:rPr>
                <w:rFonts w:asciiTheme="minorHAnsi" w:hAnsiTheme="minorHAnsi" w:cstheme="minorHAnsi"/>
                <w:bCs/>
                <w:i w:val="0"/>
                <w:sz w:val="20"/>
              </w:rPr>
            </w:pPr>
            <w:r>
              <w:rPr>
                <w:rFonts w:asciiTheme="minorHAnsi" w:hAnsiTheme="minorHAnsi" w:cstheme="minorHAnsi"/>
                <w:bCs/>
                <w:i w:val="0"/>
                <w:sz w:val="20"/>
              </w:rPr>
              <w:t>Project evaluation report project leadership team</w:t>
            </w:r>
          </w:p>
        </w:tc>
      </w:tr>
    </w:tbl>
    <w:p w14:paraId="7D9AB213" w14:textId="77777777" w:rsidR="000B0CE4" w:rsidRDefault="000B0CE4" w:rsidP="003C64DC">
      <w:pPr>
        <w:pStyle w:val="BodyText"/>
        <w:tabs>
          <w:tab w:val="left" w:pos="709"/>
        </w:tabs>
        <w:spacing w:after="120"/>
        <w:rPr>
          <w:rFonts w:asciiTheme="minorHAnsi" w:hAnsiTheme="minorHAnsi" w:cstheme="minorHAnsi"/>
          <w:bCs/>
          <w:i w:val="0"/>
          <w:sz w:val="22"/>
          <w:szCs w:val="22"/>
        </w:rPr>
      </w:pPr>
    </w:p>
    <w:p w14:paraId="32AE8880" w14:textId="77777777" w:rsidR="000B0CE4" w:rsidRDefault="000B0CE4" w:rsidP="00B06091">
      <w:pPr>
        <w:pStyle w:val="BodyText"/>
        <w:tabs>
          <w:tab w:val="left" w:pos="709"/>
        </w:tabs>
        <w:spacing w:after="120"/>
        <w:rPr>
          <w:rFonts w:asciiTheme="minorHAnsi" w:hAnsiTheme="minorHAnsi" w:cstheme="minorHAnsi"/>
          <w:bCs/>
          <w:i w:val="0"/>
          <w:sz w:val="22"/>
          <w:szCs w:val="22"/>
        </w:rPr>
      </w:pPr>
    </w:p>
    <w:p w14:paraId="10FBD741" w14:textId="22FDCD12" w:rsidR="000B0CE4" w:rsidRDefault="005610CB" w:rsidP="00B0609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lastRenderedPageBreak/>
        <w:t>E</w:t>
      </w:r>
      <w:r w:rsidR="000B0CE4">
        <w:rPr>
          <w:rFonts w:asciiTheme="minorHAnsi" w:hAnsiTheme="minorHAnsi" w:cstheme="minorHAnsi"/>
          <w:b/>
          <w:i w:val="0"/>
          <w:sz w:val="22"/>
          <w:szCs w:val="22"/>
        </w:rPr>
        <w:t>. DEWS FEASIBLITY STUDY STRUCTURE</w:t>
      </w:r>
    </w:p>
    <w:p w14:paraId="287DA56B" w14:textId="77777777" w:rsidR="000B0CE4" w:rsidRDefault="000B0CE4" w:rsidP="003C64DC">
      <w:pPr>
        <w:pStyle w:val="BodyText"/>
        <w:tabs>
          <w:tab w:val="left" w:pos="0"/>
        </w:tabs>
        <w:spacing w:after="120"/>
        <w:rPr>
          <w:rFonts w:asciiTheme="minorHAnsi" w:hAnsiTheme="minorHAnsi" w:cstheme="minorHAnsi"/>
          <w:bCs/>
          <w:i w:val="0"/>
          <w:sz w:val="22"/>
          <w:szCs w:val="22"/>
        </w:rPr>
      </w:pPr>
      <w:r>
        <w:rPr>
          <w:rFonts w:asciiTheme="minorHAnsi" w:hAnsiTheme="minorHAnsi" w:cstheme="minorHAnsi"/>
          <w:bCs/>
          <w:i w:val="0"/>
          <w:sz w:val="22"/>
          <w:szCs w:val="22"/>
        </w:rPr>
        <w:t xml:space="preserve">The DEWS feasibility study sits in a project structure (figure 1).  </w:t>
      </w:r>
    </w:p>
    <w:p w14:paraId="773FB450" w14:textId="77777777" w:rsidR="000B0CE4" w:rsidRPr="005610CB" w:rsidRDefault="000B0CE4" w:rsidP="00C23E1D">
      <w:pPr>
        <w:pStyle w:val="BodyText"/>
        <w:tabs>
          <w:tab w:val="left" w:pos="0"/>
        </w:tabs>
        <w:spacing w:before="240" w:after="120"/>
        <w:rPr>
          <w:rFonts w:asciiTheme="minorHAnsi" w:hAnsiTheme="minorHAnsi" w:cstheme="minorHAnsi"/>
          <w:b/>
          <w:i w:val="0"/>
          <w:sz w:val="22"/>
          <w:szCs w:val="22"/>
        </w:rPr>
      </w:pPr>
      <w:r w:rsidRPr="005610CB">
        <w:rPr>
          <w:rFonts w:asciiTheme="minorHAnsi" w:hAnsiTheme="minorHAnsi" w:cstheme="minorHAnsi"/>
          <w:b/>
          <w:i w:val="0"/>
          <w:sz w:val="22"/>
          <w:szCs w:val="22"/>
        </w:rPr>
        <w:t xml:space="preserve">Feasibility Study Production Team </w:t>
      </w:r>
    </w:p>
    <w:p w14:paraId="61F554FA" w14:textId="77777777" w:rsidR="000B0CE4" w:rsidRDefault="000B0CE4" w:rsidP="003606AA">
      <w:pPr>
        <w:pStyle w:val="BodyText"/>
        <w:numPr>
          <w:ilvl w:val="0"/>
          <w:numId w:val="28"/>
        </w:numPr>
        <w:tabs>
          <w:tab w:val="left" w:pos="0"/>
        </w:tabs>
        <w:spacing w:after="120"/>
        <w:rPr>
          <w:rFonts w:asciiTheme="minorHAnsi" w:hAnsiTheme="minorHAnsi" w:cstheme="minorHAnsi"/>
          <w:bCs/>
          <w:i w:val="0"/>
          <w:sz w:val="22"/>
          <w:szCs w:val="22"/>
        </w:rPr>
      </w:pPr>
      <w:r>
        <w:rPr>
          <w:rFonts w:asciiTheme="minorHAnsi" w:hAnsiTheme="minorHAnsi" w:cstheme="minorHAnsi"/>
          <w:bCs/>
          <w:i w:val="0"/>
          <w:sz w:val="22"/>
          <w:szCs w:val="22"/>
        </w:rPr>
        <w:t xml:space="preserve">The ARC executive provides the project leadership team with the requisite authority to access ARC facilities.  As private organisations the executive will also authorise human resources required for the project.  </w:t>
      </w:r>
    </w:p>
    <w:p w14:paraId="1BC9D4A9" w14:textId="258C6FBF" w:rsidR="000B0CE4" w:rsidRDefault="000B0CE4" w:rsidP="003606AA">
      <w:pPr>
        <w:pStyle w:val="BodyText"/>
        <w:numPr>
          <w:ilvl w:val="0"/>
          <w:numId w:val="28"/>
        </w:numPr>
        <w:tabs>
          <w:tab w:val="left" w:pos="0"/>
        </w:tabs>
        <w:spacing w:after="120"/>
        <w:rPr>
          <w:rFonts w:asciiTheme="minorHAnsi" w:hAnsiTheme="minorHAnsi" w:cstheme="minorHAnsi"/>
          <w:bCs/>
          <w:i w:val="0"/>
          <w:sz w:val="22"/>
          <w:szCs w:val="22"/>
        </w:rPr>
      </w:pPr>
      <w:r>
        <w:rPr>
          <w:rFonts w:asciiTheme="minorHAnsi" w:hAnsiTheme="minorHAnsi" w:cstheme="minorHAnsi"/>
          <w:bCs/>
          <w:i w:val="0"/>
          <w:sz w:val="22"/>
          <w:szCs w:val="22"/>
        </w:rPr>
        <w:t>The project leadership team (</w:t>
      </w:r>
      <w:r w:rsidR="005610CB">
        <w:rPr>
          <w:rFonts w:asciiTheme="minorHAnsi" w:hAnsiTheme="minorHAnsi" w:cstheme="minorHAnsi"/>
          <w:bCs/>
          <w:i w:val="0"/>
          <w:sz w:val="22"/>
          <w:szCs w:val="22"/>
        </w:rPr>
        <w:t xml:space="preserve">feasibility trial </w:t>
      </w:r>
      <w:r>
        <w:rPr>
          <w:rFonts w:asciiTheme="minorHAnsi" w:hAnsiTheme="minorHAnsi" w:cstheme="minorHAnsi"/>
          <w:bCs/>
          <w:i w:val="0"/>
          <w:sz w:val="22"/>
          <w:szCs w:val="22"/>
        </w:rPr>
        <w:t>investigators)</w:t>
      </w:r>
      <w:r w:rsidR="005610CB">
        <w:rPr>
          <w:rFonts w:asciiTheme="minorHAnsi" w:hAnsiTheme="minorHAnsi" w:cstheme="minorHAnsi"/>
          <w:bCs/>
          <w:i w:val="0"/>
          <w:sz w:val="22"/>
          <w:szCs w:val="22"/>
        </w:rPr>
        <w:t xml:space="preserve"> </w:t>
      </w:r>
      <w:r>
        <w:rPr>
          <w:rFonts w:asciiTheme="minorHAnsi" w:hAnsiTheme="minorHAnsi" w:cstheme="minorHAnsi"/>
          <w:bCs/>
          <w:i w:val="0"/>
          <w:sz w:val="22"/>
          <w:szCs w:val="22"/>
        </w:rPr>
        <w:t>are responsible for the delivery of this project</w:t>
      </w:r>
    </w:p>
    <w:p w14:paraId="28F02911" w14:textId="39DAE833" w:rsidR="000B0CE4" w:rsidRDefault="000B0CE4" w:rsidP="003606AA">
      <w:pPr>
        <w:pStyle w:val="BodyText"/>
        <w:numPr>
          <w:ilvl w:val="0"/>
          <w:numId w:val="28"/>
        </w:numPr>
        <w:tabs>
          <w:tab w:val="left" w:pos="0"/>
        </w:tabs>
        <w:spacing w:after="120"/>
        <w:rPr>
          <w:rFonts w:asciiTheme="minorHAnsi" w:hAnsiTheme="minorHAnsi" w:cstheme="minorHAnsi"/>
          <w:bCs/>
          <w:i w:val="0"/>
          <w:sz w:val="22"/>
          <w:szCs w:val="22"/>
        </w:rPr>
      </w:pPr>
      <w:r>
        <w:rPr>
          <w:rFonts w:asciiTheme="minorHAnsi" w:hAnsiTheme="minorHAnsi" w:cstheme="minorHAnsi"/>
          <w:bCs/>
          <w:i w:val="0"/>
          <w:sz w:val="22"/>
          <w:szCs w:val="22"/>
        </w:rPr>
        <w:t>The ARC project team (participants)</w:t>
      </w:r>
      <w:r w:rsidR="005610CB">
        <w:rPr>
          <w:rFonts w:asciiTheme="minorHAnsi" w:hAnsiTheme="minorHAnsi" w:cstheme="minorHAnsi"/>
          <w:bCs/>
          <w:i w:val="0"/>
          <w:sz w:val="22"/>
          <w:szCs w:val="22"/>
        </w:rPr>
        <w:t xml:space="preserve"> </w:t>
      </w:r>
      <w:r>
        <w:rPr>
          <w:rFonts w:asciiTheme="minorHAnsi" w:hAnsiTheme="minorHAnsi" w:cstheme="minorHAnsi"/>
          <w:bCs/>
          <w:i w:val="0"/>
          <w:sz w:val="22"/>
          <w:szCs w:val="22"/>
        </w:rPr>
        <w:t xml:space="preserve">includes the ARC staff running the </w:t>
      </w:r>
      <w:r w:rsidR="005610CB">
        <w:rPr>
          <w:rFonts w:asciiTheme="minorHAnsi" w:hAnsiTheme="minorHAnsi" w:cstheme="minorHAnsi"/>
          <w:bCs/>
          <w:i w:val="0"/>
          <w:sz w:val="22"/>
          <w:szCs w:val="22"/>
        </w:rPr>
        <w:t xml:space="preserve">facility level project activities </w:t>
      </w:r>
      <w:r>
        <w:rPr>
          <w:rFonts w:asciiTheme="minorHAnsi" w:hAnsiTheme="minorHAnsi" w:cstheme="minorHAnsi"/>
          <w:bCs/>
          <w:i w:val="0"/>
          <w:sz w:val="22"/>
          <w:szCs w:val="22"/>
        </w:rPr>
        <w:t>and the healthcare staff using the DEWS tools.</w:t>
      </w:r>
      <w:r w:rsidR="005610CB" w:rsidRPr="005610CB">
        <w:rPr>
          <w:rFonts w:asciiTheme="minorHAnsi" w:hAnsiTheme="minorHAnsi" w:cstheme="minorHAnsi"/>
          <w:bCs/>
          <w:i w:val="0"/>
          <w:sz w:val="22"/>
          <w:szCs w:val="22"/>
        </w:rPr>
        <w:t xml:space="preserve"> </w:t>
      </w:r>
      <w:r w:rsidR="005610CB">
        <w:rPr>
          <w:rFonts w:asciiTheme="minorHAnsi" w:hAnsiTheme="minorHAnsi" w:cstheme="minorHAnsi"/>
          <w:bCs/>
          <w:i w:val="0"/>
          <w:sz w:val="22"/>
          <w:szCs w:val="22"/>
        </w:rPr>
        <w:t>We aim to have three to five ARC facilities enrolled in this study</w:t>
      </w:r>
    </w:p>
    <w:p w14:paraId="20644A91" w14:textId="77777777" w:rsidR="000B0CE4" w:rsidRPr="005610CB" w:rsidRDefault="000B0CE4" w:rsidP="003606AA">
      <w:pPr>
        <w:pStyle w:val="BodyText"/>
        <w:tabs>
          <w:tab w:val="left" w:pos="0"/>
        </w:tabs>
        <w:spacing w:before="240" w:after="120"/>
        <w:rPr>
          <w:rFonts w:asciiTheme="minorHAnsi" w:hAnsiTheme="minorHAnsi" w:cstheme="minorHAnsi"/>
          <w:b/>
          <w:i w:val="0"/>
          <w:sz w:val="22"/>
          <w:szCs w:val="22"/>
        </w:rPr>
      </w:pPr>
      <w:r w:rsidRPr="005610CB">
        <w:rPr>
          <w:rFonts w:asciiTheme="minorHAnsi" w:hAnsiTheme="minorHAnsi" w:cstheme="minorHAnsi"/>
          <w:b/>
          <w:i w:val="0"/>
          <w:sz w:val="22"/>
          <w:szCs w:val="22"/>
        </w:rPr>
        <w:t>Expert Advisory Group (EAG)</w:t>
      </w:r>
    </w:p>
    <w:p w14:paraId="428D6AE7" w14:textId="77777777" w:rsidR="000B0CE4" w:rsidRDefault="000B0CE4" w:rsidP="003606AA">
      <w:pPr>
        <w:pStyle w:val="BodyText"/>
        <w:numPr>
          <w:ilvl w:val="0"/>
          <w:numId w:val="28"/>
        </w:numPr>
        <w:tabs>
          <w:tab w:val="left" w:pos="0"/>
        </w:tabs>
        <w:spacing w:after="120"/>
        <w:rPr>
          <w:rFonts w:asciiTheme="minorHAnsi" w:hAnsiTheme="minorHAnsi" w:cstheme="minorHAnsi"/>
          <w:bCs/>
          <w:i w:val="0"/>
          <w:sz w:val="22"/>
          <w:szCs w:val="22"/>
        </w:rPr>
      </w:pPr>
      <w:r>
        <w:rPr>
          <w:rFonts w:asciiTheme="minorHAnsi" w:hAnsiTheme="minorHAnsi" w:cstheme="minorHAnsi"/>
          <w:bCs/>
          <w:i w:val="0"/>
          <w:sz w:val="22"/>
          <w:szCs w:val="22"/>
        </w:rPr>
        <w:t xml:space="preserve">A supporting Expert Advisory Group (EAG) will be established to provide strategic advice to project leadership team.  There will be periodic consultation with the EAG (1-2 monthly as project progress requires) to ensure the leadership team have explored and understood the potential impact of DEWS on groups directly and not directly involved in the study and to seek advice on evolving issues.   This group is required as we are testing the feasibility of the further implementation of DEWS in the ARC sector. </w:t>
      </w:r>
    </w:p>
    <w:p w14:paraId="464AEBAC" w14:textId="77777777" w:rsidR="000B0CE4" w:rsidRPr="005610CB" w:rsidRDefault="000B0CE4" w:rsidP="00C23E1D">
      <w:pPr>
        <w:pStyle w:val="BodyText"/>
        <w:tabs>
          <w:tab w:val="left" w:pos="0"/>
        </w:tabs>
        <w:spacing w:before="240" w:after="120"/>
        <w:rPr>
          <w:rFonts w:asciiTheme="minorHAnsi" w:hAnsiTheme="minorHAnsi" w:cstheme="minorHAnsi"/>
          <w:b/>
          <w:i w:val="0"/>
          <w:sz w:val="22"/>
          <w:szCs w:val="22"/>
        </w:rPr>
      </w:pPr>
      <w:r w:rsidRPr="005610CB">
        <w:rPr>
          <w:rFonts w:asciiTheme="minorHAnsi" w:hAnsiTheme="minorHAnsi" w:cstheme="minorHAnsi"/>
          <w:b/>
          <w:i w:val="0"/>
          <w:sz w:val="22"/>
          <w:szCs w:val="22"/>
        </w:rPr>
        <w:t>ARC Quality Leads Group</w:t>
      </w:r>
    </w:p>
    <w:p w14:paraId="433FF176" w14:textId="0D712E81" w:rsidR="000B0CE4" w:rsidRPr="009566C9" w:rsidRDefault="000B0CE4" w:rsidP="009566C9">
      <w:pPr>
        <w:pStyle w:val="ListParagraph"/>
        <w:numPr>
          <w:ilvl w:val="0"/>
          <w:numId w:val="28"/>
        </w:numPr>
        <w:rPr>
          <w:rFonts w:ascii="Arial" w:hAnsi="Arial" w:cs="Arial"/>
        </w:rPr>
      </w:pPr>
      <w:r w:rsidRPr="009566C9">
        <w:rPr>
          <w:rFonts w:ascii="Arial" w:hAnsi="Arial" w:cs="Arial"/>
        </w:rPr>
        <w:t xml:space="preserve">Key stakeholder: pre-existing multi-provider collaborative who advise Te </w:t>
      </w:r>
      <w:proofErr w:type="spellStart"/>
      <w:r w:rsidRPr="009566C9">
        <w:rPr>
          <w:rFonts w:ascii="Arial" w:hAnsi="Arial" w:cs="Arial"/>
        </w:rPr>
        <w:t>Tāhū</w:t>
      </w:r>
      <w:proofErr w:type="spellEnd"/>
      <w:r w:rsidRPr="009566C9">
        <w:rPr>
          <w:rFonts w:ascii="Arial" w:hAnsi="Arial" w:cs="Arial"/>
        </w:rPr>
        <w:t xml:space="preserve"> Hauora on quality improvement activities that are relevant and important to the ARC sector.  </w:t>
      </w:r>
      <w:r>
        <w:rPr>
          <w:rFonts w:ascii="Arial" w:hAnsi="Arial" w:cs="Arial"/>
        </w:rPr>
        <w:t xml:space="preserve">This group </w:t>
      </w:r>
      <w:r w:rsidR="00266EF7">
        <w:rPr>
          <w:rFonts w:ascii="Arial" w:hAnsi="Arial" w:cs="Arial"/>
        </w:rPr>
        <w:t xml:space="preserve">has been an essential part of the DEWS tools development.  They will </w:t>
      </w:r>
      <w:r>
        <w:rPr>
          <w:rFonts w:ascii="Arial" w:hAnsi="Arial" w:cs="Arial"/>
        </w:rPr>
        <w:t xml:space="preserve">support recruitment and </w:t>
      </w:r>
      <w:r w:rsidR="00266EF7">
        <w:rPr>
          <w:rFonts w:ascii="Arial" w:hAnsi="Arial" w:cs="Arial"/>
        </w:rPr>
        <w:t xml:space="preserve">will share project updates with </w:t>
      </w:r>
      <w:r>
        <w:rPr>
          <w:rFonts w:ascii="Arial" w:hAnsi="Arial" w:cs="Arial"/>
        </w:rPr>
        <w:t xml:space="preserve">ARC sector </w:t>
      </w:r>
      <w:r w:rsidR="00266EF7">
        <w:rPr>
          <w:rFonts w:ascii="Arial" w:hAnsi="Arial" w:cs="Arial"/>
        </w:rPr>
        <w:t>providers they represent.</w:t>
      </w:r>
    </w:p>
    <w:p w14:paraId="071F1CC1" w14:textId="77777777" w:rsidR="000B0CE4" w:rsidRDefault="000B0CE4" w:rsidP="0028403C">
      <w:pPr>
        <w:pStyle w:val="BodyText"/>
        <w:tabs>
          <w:tab w:val="left" w:pos="0"/>
        </w:tabs>
        <w:spacing w:after="120"/>
        <w:rPr>
          <w:rFonts w:asciiTheme="minorHAnsi" w:hAnsiTheme="minorHAnsi" w:cstheme="minorHAnsi"/>
          <w:bCs/>
          <w:i w:val="0"/>
          <w:sz w:val="22"/>
          <w:szCs w:val="22"/>
        </w:rPr>
      </w:pPr>
    </w:p>
    <w:p w14:paraId="4F9EC645" w14:textId="77777777" w:rsidR="000B0CE4" w:rsidRPr="0028403C" w:rsidRDefault="000B0CE4" w:rsidP="0028403C">
      <w:pPr>
        <w:pStyle w:val="BodyText"/>
        <w:tabs>
          <w:tab w:val="left" w:pos="0"/>
        </w:tabs>
        <w:spacing w:after="120"/>
        <w:rPr>
          <w:rFonts w:asciiTheme="minorHAnsi" w:hAnsiTheme="minorHAnsi" w:cstheme="minorHAnsi"/>
          <w:b/>
          <w:i w:val="0"/>
          <w:sz w:val="22"/>
          <w:szCs w:val="22"/>
        </w:rPr>
      </w:pPr>
      <w:r w:rsidRPr="0028403C">
        <w:rPr>
          <w:rFonts w:asciiTheme="minorHAnsi" w:hAnsiTheme="minorHAnsi" w:cstheme="minorHAnsi"/>
          <w:b/>
          <w:i w:val="0"/>
          <w:sz w:val="22"/>
          <w:szCs w:val="22"/>
        </w:rPr>
        <w:t>Figure 1:</w:t>
      </w:r>
    </w:p>
    <w:p w14:paraId="19291AB6" w14:textId="77777777" w:rsidR="000B0CE4" w:rsidRDefault="000B0CE4" w:rsidP="00332E1F">
      <w:pPr>
        <w:spacing w:line="240" w:lineRule="auto"/>
        <w:rPr>
          <w:rFonts w:cstheme="minorHAnsi"/>
          <w:b/>
          <w:bCs/>
          <w:szCs w:val="22"/>
        </w:rPr>
      </w:pPr>
      <w:r>
        <w:rPr>
          <w:noProof/>
        </w:rPr>
        <w:drawing>
          <wp:inline distT="0" distB="0" distL="0" distR="0" wp14:anchorId="193709E4" wp14:editId="6F833CC7">
            <wp:extent cx="6332220" cy="3507740"/>
            <wp:effectExtent l="0" t="0" r="0" b="0"/>
            <wp:docPr id="1544781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781691" name=""/>
                    <pic:cNvPicPr/>
                  </pic:nvPicPr>
                  <pic:blipFill>
                    <a:blip r:embed="rId28"/>
                    <a:stretch>
                      <a:fillRect/>
                    </a:stretch>
                  </pic:blipFill>
                  <pic:spPr>
                    <a:xfrm>
                      <a:off x="0" y="0"/>
                      <a:ext cx="6332220" cy="3507740"/>
                    </a:xfrm>
                    <a:prstGeom prst="rect">
                      <a:avLst/>
                    </a:prstGeom>
                  </pic:spPr>
                </pic:pic>
              </a:graphicData>
            </a:graphic>
          </wp:inline>
        </w:drawing>
      </w:r>
    </w:p>
    <w:p w14:paraId="58F28332" w14:textId="77777777" w:rsidR="000B0CE4" w:rsidRDefault="000B0CE4" w:rsidP="00332E1F">
      <w:pPr>
        <w:spacing w:line="240" w:lineRule="auto"/>
        <w:rPr>
          <w:rFonts w:cstheme="minorHAnsi"/>
          <w:b/>
          <w:bCs/>
          <w:szCs w:val="22"/>
        </w:rPr>
      </w:pPr>
      <w:r>
        <w:rPr>
          <w:rFonts w:cstheme="minorHAnsi"/>
          <w:b/>
          <w:bCs/>
          <w:sz w:val="24"/>
        </w:rPr>
        <w:lastRenderedPageBreak/>
        <w:t xml:space="preserve">F. </w:t>
      </w:r>
      <w:r w:rsidRPr="0047766A">
        <w:rPr>
          <w:rFonts w:cstheme="minorHAnsi"/>
          <w:b/>
          <w:bCs/>
          <w:sz w:val="24"/>
        </w:rPr>
        <w:t>FEASIBILTY</w:t>
      </w:r>
      <w:r>
        <w:rPr>
          <w:rFonts w:cstheme="minorHAnsi"/>
          <w:b/>
          <w:bCs/>
          <w:szCs w:val="22"/>
        </w:rPr>
        <w:t xml:space="preserve"> STUDY ACTIVITY OVERVIEW</w:t>
      </w:r>
    </w:p>
    <w:p w14:paraId="6A9FEF27" w14:textId="77777777" w:rsidR="000B0CE4" w:rsidRDefault="000B0CE4" w:rsidP="00332E1F">
      <w:pPr>
        <w:spacing w:line="240" w:lineRule="auto"/>
        <w:rPr>
          <w:rFonts w:cstheme="minorHAnsi"/>
          <w:b/>
          <w:bCs/>
          <w:szCs w:val="22"/>
        </w:rPr>
      </w:pPr>
      <w:r>
        <w:rPr>
          <w:rFonts w:cstheme="minorHAnsi"/>
          <w:b/>
          <w:bCs/>
          <w:szCs w:val="22"/>
        </w:rPr>
        <w:t>Project activities and timeline (participants)</w:t>
      </w:r>
    </w:p>
    <w:p w14:paraId="14A68AC8" w14:textId="65722014" w:rsidR="000B0CE4" w:rsidRDefault="000B0CE4" w:rsidP="002767C1">
      <w:pPr>
        <w:spacing w:line="240" w:lineRule="auto"/>
        <w:rPr>
          <w:rFonts w:cstheme="minorHAnsi"/>
          <w:szCs w:val="22"/>
        </w:rPr>
      </w:pPr>
      <w:r>
        <w:rPr>
          <w:rFonts w:cstheme="minorHAnsi"/>
          <w:szCs w:val="22"/>
        </w:rPr>
        <w:t xml:space="preserve">ARC facilities enrolling into this feasibility study will be invited to implement and test the DEWS tools and quality improvement </w:t>
      </w:r>
      <w:r w:rsidR="00266EF7">
        <w:rPr>
          <w:rFonts w:cstheme="minorHAnsi"/>
          <w:szCs w:val="22"/>
        </w:rPr>
        <w:t xml:space="preserve">(QI) </w:t>
      </w:r>
      <w:r>
        <w:rPr>
          <w:rFonts w:cstheme="minorHAnsi"/>
          <w:szCs w:val="22"/>
        </w:rPr>
        <w:t xml:space="preserve">package.  The ARC project teams will lead the day to day implementation of DEWS.  They will be supported by the Project Leadership Team (investigators) who will provide all necessary tools and support with QI processes to implement and test DEWS.  </w:t>
      </w:r>
      <w:r>
        <w:rPr>
          <w:rFonts w:cstheme="minorHAnsi"/>
          <w:szCs w:val="22"/>
          <w:lang w:val="en-US"/>
        </w:rPr>
        <w:t xml:space="preserve">Project activities </w:t>
      </w:r>
      <w:r>
        <w:rPr>
          <w:rFonts w:cstheme="minorHAnsi"/>
          <w:szCs w:val="22"/>
        </w:rPr>
        <w:t>have been split into plan, prepare, test and evaluate phases.</w:t>
      </w:r>
    </w:p>
    <w:p w14:paraId="5426C570" w14:textId="77777777" w:rsidR="000B0CE4" w:rsidRPr="002767C1" w:rsidRDefault="000B0CE4" w:rsidP="002767C1">
      <w:pPr>
        <w:spacing w:before="240" w:line="240" w:lineRule="auto"/>
        <w:rPr>
          <w:rFonts w:cstheme="minorHAnsi"/>
          <w:b/>
          <w:bCs/>
          <w:szCs w:val="22"/>
        </w:rPr>
      </w:pPr>
      <w:r w:rsidRPr="002767C1">
        <w:rPr>
          <w:rFonts w:cstheme="minorHAnsi"/>
          <w:b/>
          <w:bCs/>
          <w:szCs w:val="22"/>
        </w:rPr>
        <w:t xml:space="preserve">Figure 2: </w:t>
      </w:r>
      <w:r>
        <w:rPr>
          <w:rFonts w:cstheme="minorHAnsi"/>
          <w:b/>
          <w:bCs/>
          <w:szCs w:val="22"/>
        </w:rPr>
        <w:t xml:space="preserve">Project timeframe and </w:t>
      </w:r>
      <w:r w:rsidRPr="002767C1">
        <w:rPr>
          <w:rFonts w:cstheme="minorHAnsi"/>
          <w:b/>
          <w:bCs/>
          <w:szCs w:val="22"/>
        </w:rPr>
        <w:t>activities</w:t>
      </w:r>
    </w:p>
    <w:p w14:paraId="6E714F06" w14:textId="707D5080" w:rsidR="000B0CE4" w:rsidRDefault="000D0F5A" w:rsidP="00332E1F">
      <w:pPr>
        <w:spacing w:line="240" w:lineRule="auto"/>
        <w:rPr>
          <w:rFonts w:cstheme="minorHAnsi"/>
          <w:b/>
          <w:bCs/>
          <w:sz w:val="24"/>
        </w:rPr>
      </w:pPr>
      <w:r>
        <w:rPr>
          <w:noProof/>
        </w:rPr>
        <w:drawing>
          <wp:inline distT="0" distB="0" distL="0" distR="0" wp14:anchorId="12863ACF" wp14:editId="49F83CAB">
            <wp:extent cx="6332220" cy="4424045"/>
            <wp:effectExtent l="0" t="0" r="0" b="0"/>
            <wp:docPr id="2010565140" name="Picture 1" descr="A diagram of a project management syst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565140" name="Picture 1" descr="A diagram of a project management system&#10;&#10;Description automatically generated with medium confidence"/>
                    <pic:cNvPicPr/>
                  </pic:nvPicPr>
                  <pic:blipFill>
                    <a:blip r:embed="rId29"/>
                    <a:stretch>
                      <a:fillRect/>
                    </a:stretch>
                  </pic:blipFill>
                  <pic:spPr>
                    <a:xfrm>
                      <a:off x="0" y="0"/>
                      <a:ext cx="6332220" cy="4424045"/>
                    </a:xfrm>
                    <a:prstGeom prst="rect">
                      <a:avLst/>
                    </a:prstGeom>
                  </pic:spPr>
                </pic:pic>
              </a:graphicData>
            </a:graphic>
          </wp:inline>
        </w:drawing>
      </w:r>
    </w:p>
    <w:p w14:paraId="0BF18441" w14:textId="77777777" w:rsidR="000B0CE4" w:rsidRDefault="000B0CE4" w:rsidP="00332E1F">
      <w:pPr>
        <w:spacing w:line="240" w:lineRule="auto"/>
        <w:rPr>
          <w:rFonts w:cstheme="minorHAnsi"/>
          <w:b/>
          <w:bCs/>
          <w:sz w:val="24"/>
        </w:rPr>
      </w:pPr>
    </w:p>
    <w:p w14:paraId="4B6B7AD1" w14:textId="77777777" w:rsidR="000B0CE4" w:rsidRPr="0047766A" w:rsidRDefault="000B0CE4" w:rsidP="00332E1F">
      <w:pPr>
        <w:spacing w:line="240" w:lineRule="auto"/>
        <w:rPr>
          <w:rFonts w:cstheme="minorHAnsi"/>
          <w:b/>
          <w:bCs/>
          <w:sz w:val="24"/>
        </w:rPr>
      </w:pPr>
      <w:r>
        <w:rPr>
          <w:rFonts w:cstheme="minorHAnsi"/>
          <w:b/>
          <w:bCs/>
          <w:sz w:val="24"/>
        </w:rPr>
        <w:t xml:space="preserve">G. </w:t>
      </w:r>
      <w:r w:rsidRPr="0047766A">
        <w:rPr>
          <w:rFonts w:cstheme="minorHAnsi"/>
          <w:b/>
          <w:bCs/>
          <w:sz w:val="24"/>
        </w:rPr>
        <w:t>FEASIBILTY STUDY PHASES</w:t>
      </w:r>
    </w:p>
    <w:p w14:paraId="75538F85" w14:textId="66459799" w:rsidR="000B0CE4" w:rsidRDefault="000B0CE4" w:rsidP="0047766A">
      <w:pPr>
        <w:spacing w:before="360" w:after="0" w:line="240" w:lineRule="auto"/>
        <w:rPr>
          <w:rFonts w:cstheme="minorHAnsi"/>
        </w:rPr>
      </w:pPr>
      <w:r>
        <w:rPr>
          <w:rFonts w:cstheme="minorHAnsi"/>
          <w:b/>
          <w:bCs/>
        </w:rPr>
        <w:t>1</w:t>
      </w:r>
      <w:r w:rsidR="00266EF7">
        <w:rPr>
          <w:rFonts w:cstheme="minorHAnsi"/>
          <w:b/>
          <w:bCs/>
        </w:rPr>
        <w:t>)</w:t>
      </w:r>
      <w:r>
        <w:rPr>
          <w:rFonts w:cstheme="minorHAnsi"/>
          <w:b/>
          <w:bCs/>
        </w:rPr>
        <w:t xml:space="preserve"> </w:t>
      </w:r>
      <w:r w:rsidRPr="00D94D9C">
        <w:rPr>
          <w:rFonts w:cstheme="minorHAnsi"/>
          <w:b/>
          <w:bCs/>
        </w:rPr>
        <w:t xml:space="preserve">PLAN </w:t>
      </w:r>
      <w:r w:rsidRPr="002767C1">
        <w:rPr>
          <w:rFonts w:cstheme="minorHAnsi"/>
        </w:rPr>
        <w:t xml:space="preserve">(~ 2 months December 2023 to January 2024)  </w:t>
      </w:r>
    </w:p>
    <w:p w14:paraId="21B5DB3A" w14:textId="77777777" w:rsidR="000B0CE4" w:rsidRDefault="000B0CE4" w:rsidP="00975DB2">
      <w:pPr>
        <w:spacing w:after="0" w:line="240" w:lineRule="auto"/>
        <w:rPr>
          <w:rFonts w:cstheme="minorHAnsi"/>
        </w:rPr>
      </w:pPr>
    </w:p>
    <w:p w14:paraId="58A807ED" w14:textId="77777777" w:rsidR="000B0CE4" w:rsidRPr="00975DB2" w:rsidRDefault="000B0CE4" w:rsidP="00975DB2">
      <w:pPr>
        <w:spacing w:line="240" w:lineRule="auto"/>
        <w:rPr>
          <w:rFonts w:cstheme="minorHAnsi"/>
          <w:b/>
          <w:bCs/>
        </w:rPr>
      </w:pPr>
      <w:r>
        <w:rPr>
          <w:rFonts w:cstheme="minorHAnsi"/>
          <w:b/>
          <w:bCs/>
        </w:rPr>
        <w:t xml:space="preserve">1.1 </w:t>
      </w:r>
      <w:r w:rsidRPr="00975DB2">
        <w:rPr>
          <w:rFonts w:cstheme="minorHAnsi"/>
          <w:b/>
          <w:bCs/>
        </w:rPr>
        <w:t>Participant activities</w:t>
      </w:r>
    </w:p>
    <w:p w14:paraId="4144F05B" w14:textId="658A3711" w:rsidR="000B0CE4" w:rsidRDefault="000B0CE4" w:rsidP="000866C4">
      <w:pPr>
        <w:pStyle w:val="ListParagraph"/>
        <w:numPr>
          <w:ilvl w:val="0"/>
          <w:numId w:val="22"/>
        </w:numPr>
        <w:spacing w:line="240" w:lineRule="auto"/>
        <w:rPr>
          <w:rFonts w:cstheme="minorHAnsi"/>
        </w:rPr>
      </w:pPr>
      <w:r>
        <w:rPr>
          <w:rFonts w:cstheme="minorHAnsi"/>
        </w:rPr>
        <w:t xml:space="preserve">Age-related residential care (ARC) </w:t>
      </w:r>
      <w:r w:rsidR="00266EF7">
        <w:rPr>
          <w:rFonts w:cstheme="minorHAnsi"/>
        </w:rPr>
        <w:t>e</w:t>
      </w:r>
      <w:r>
        <w:rPr>
          <w:rFonts w:cstheme="minorHAnsi"/>
        </w:rPr>
        <w:t>xecutive leadership or delegate</w:t>
      </w:r>
    </w:p>
    <w:p w14:paraId="0CC5A40F" w14:textId="28BBDCDE" w:rsidR="000B0CE4" w:rsidRDefault="000B0CE4" w:rsidP="00A50A5B">
      <w:pPr>
        <w:pStyle w:val="ListParagraph"/>
        <w:numPr>
          <w:ilvl w:val="1"/>
          <w:numId w:val="22"/>
        </w:numPr>
        <w:spacing w:line="240" w:lineRule="auto"/>
        <w:rPr>
          <w:rFonts w:cstheme="minorHAnsi"/>
        </w:rPr>
      </w:pPr>
      <w:r>
        <w:rPr>
          <w:rFonts w:cstheme="minorHAnsi"/>
        </w:rPr>
        <w:t xml:space="preserve">assess study requirements, </w:t>
      </w:r>
      <w:r w:rsidR="00266EF7">
        <w:rPr>
          <w:rFonts w:cstheme="minorHAnsi"/>
        </w:rPr>
        <w:t xml:space="preserve">authorise investigators access to ARC facilities and provide </w:t>
      </w:r>
      <w:r>
        <w:rPr>
          <w:rFonts w:cstheme="minorHAnsi"/>
        </w:rPr>
        <w:t xml:space="preserve">consent </w:t>
      </w:r>
      <w:r w:rsidR="00266EF7">
        <w:rPr>
          <w:rFonts w:cstheme="minorHAnsi"/>
        </w:rPr>
        <w:t xml:space="preserve">for facilities to </w:t>
      </w:r>
      <w:r>
        <w:rPr>
          <w:rFonts w:cstheme="minorHAnsi"/>
        </w:rPr>
        <w:t>participate</w:t>
      </w:r>
    </w:p>
    <w:p w14:paraId="1533947D" w14:textId="77777777" w:rsidR="000B0CE4" w:rsidRDefault="000B0CE4" w:rsidP="00A50A5B">
      <w:pPr>
        <w:pStyle w:val="ListParagraph"/>
        <w:numPr>
          <w:ilvl w:val="1"/>
          <w:numId w:val="22"/>
        </w:numPr>
        <w:spacing w:line="240" w:lineRule="auto"/>
        <w:rPr>
          <w:rFonts w:cstheme="minorHAnsi"/>
        </w:rPr>
      </w:pPr>
      <w:r>
        <w:rPr>
          <w:rFonts w:cstheme="minorHAnsi"/>
        </w:rPr>
        <w:t>delegate ARC project team responsible for leading DEWS testing in facility</w:t>
      </w:r>
    </w:p>
    <w:p w14:paraId="76D44C5C" w14:textId="055B6497" w:rsidR="000B0CE4" w:rsidRDefault="00266EF7" w:rsidP="00A50A5B">
      <w:pPr>
        <w:pStyle w:val="ListParagraph"/>
        <w:numPr>
          <w:ilvl w:val="1"/>
          <w:numId w:val="22"/>
        </w:numPr>
        <w:spacing w:line="240" w:lineRule="auto"/>
        <w:rPr>
          <w:rFonts w:cstheme="minorHAnsi"/>
        </w:rPr>
      </w:pPr>
      <w:r>
        <w:rPr>
          <w:rFonts w:cstheme="minorHAnsi"/>
        </w:rPr>
        <w:t>determine</w:t>
      </w:r>
      <w:r w:rsidR="000B0CE4">
        <w:rPr>
          <w:rFonts w:cstheme="minorHAnsi"/>
        </w:rPr>
        <w:t xml:space="preserve"> governance for </w:t>
      </w:r>
      <w:r>
        <w:rPr>
          <w:rFonts w:cstheme="minorHAnsi"/>
        </w:rPr>
        <w:t xml:space="preserve">ARC project team </w:t>
      </w:r>
      <w:r w:rsidR="000B0CE4">
        <w:rPr>
          <w:rFonts w:cstheme="minorHAnsi"/>
        </w:rPr>
        <w:t xml:space="preserve">(connect with existing team / process) </w:t>
      </w:r>
    </w:p>
    <w:p w14:paraId="4982542A" w14:textId="77777777" w:rsidR="000B0CE4" w:rsidRDefault="000B0CE4" w:rsidP="00B34E15">
      <w:pPr>
        <w:pStyle w:val="ListParagraph"/>
        <w:spacing w:line="240" w:lineRule="auto"/>
        <w:rPr>
          <w:rFonts w:cstheme="minorHAnsi"/>
        </w:rPr>
      </w:pPr>
    </w:p>
    <w:p w14:paraId="27E3BB15" w14:textId="51C8F336" w:rsidR="000B0CE4" w:rsidRDefault="000B0CE4" w:rsidP="000866C4">
      <w:pPr>
        <w:pStyle w:val="ListParagraph"/>
        <w:numPr>
          <w:ilvl w:val="0"/>
          <w:numId w:val="22"/>
        </w:numPr>
        <w:spacing w:line="240" w:lineRule="auto"/>
        <w:rPr>
          <w:rFonts w:cstheme="minorHAnsi"/>
        </w:rPr>
      </w:pPr>
      <w:r>
        <w:rPr>
          <w:rFonts w:cstheme="minorHAnsi"/>
        </w:rPr>
        <w:t xml:space="preserve">ARC project team (participants) host in-person meeting with investigators.  </w:t>
      </w:r>
      <w:r w:rsidR="00266EF7">
        <w:rPr>
          <w:rFonts w:cstheme="minorHAnsi"/>
        </w:rPr>
        <w:t xml:space="preserve">Cultural </w:t>
      </w:r>
      <w:r>
        <w:rPr>
          <w:rFonts w:cstheme="minorHAnsi"/>
        </w:rPr>
        <w:t>Protocol for welcome into facility to be determined by host</w:t>
      </w:r>
    </w:p>
    <w:p w14:paraId="668CD6B7" w14:textId="6EEA2567" w:rsidR="000B0CE4" w:rsidRDefault="000B0CE4" w:rsidP="00C54F3C">
      <w:pPr>
        <w:pStyle w:val="ListParagraph"/>
        <w:numPr>
          <w:ilvl w:val="1"/>
          <w:numId w:val="22"/>
        </w:numPr>
        <w:spacing w:line="240" w:lineRule="auto"/>
        <w:rPr>
          <w:rFonts w:cstheme="minorHAnsi"/>
        </w:rPr>
      </w:pPr>
      <w:r w:rsidRPr="00422B92">
        <w:rPr>
          <w:rFonts w:cstheme="minorHAnsi"/>
        </w:rPr>
        <w:lastRenderedPageBreak/>
        <w:t xml:space="preserve">TIME: half day visit (4 hours) ARC team will need to structure this visit.  The face to face time with investigating team may be </w:t>
      </w:r>
      <w:r>
        <w:rPr>
          <w:rFonts w:cstheme="minorHAnsi"/>
        </w:rPr>
        <w:t>delegated to appropriate</w:t>
      </w:r>
      <w:r w:rsidRPr="00422B92">
        <w:rPr>
          <w:rFonts w:cstheme="minorHAnsi"/>
        </w:rPr>
        <w:t xml:space="preserve"> ARC team members</w:t>
      </w:r>
      <w:r>
        <w:rPr>
          <w:rFonts w:cstheme="minorHAnsi"/>
        </w:rPr>
        <w:t xml:space="preserve">.  Aim of visit is for </w:t>
      </w:r>
      <w:r w:rsidR="00A872D2">
        <w:rPr>
          <w:rFonts w:cstheme="minorHAnsi"/>
        </w:rPr>
        <w:t xml:space="preserve">ARC </w:t>
      </w:r>
      <w:r>
        <w:rPr>
          <w:rFonts w:cstheme="minorHAnsi"/>
        </w:rPr>
        <w:t>project team to:</w:t>
      </w:r>
    </w:p>
    <w:p w14:paraId="44160C43" w14:textId="77777777" w:rsidR="000B0CE4" w:rsidRPr="00422B92" w:rsidRDefault="000B0CE4" w:rsidP="00422B92">
      <w:pPr>
        <w:pStyle w:val="ListParagraph"/>
        <w:numPr>
          <w:ilvl w:val="2"/>
          <w:numId w:val="22"/>
        </w:numPr>
        <w:spacing w:line="240" w:lineRule="auto"/>
        <w:rPr>
          <w:rFonts w:cstheme="minorHAnsi"/>
        </w:rPr>
      </w:pPr>
      <w:r w:rsidRPr="00422B92">
        <w:rPr>
          <w:rFonts w:cstheme="minorHAnsi"/>
        </w:rPr>
        <w:t>Receive project implementation plan and get overview of DEWS tools</w:t>
      </w:r>
    </w:p>
    <w:p w14:paraId="1CE141C1" w14:textId="77777777" w:rsidR="000B0CE4" w:rsidRDefault="000B0CE4" w:rsidP="00422B92">
      <w:pPr>
        <w:pStyle w:val="ListParagraph"/>
        <w:numPr>
          <w:ilvl w:val="2"/>
          <w:numId w:val="22"/>
        </w:numPr>
        <w:spacing w:line="240" w:lineRule="auto"/>
        <w:rPr>
          <w:rFonts w:cstheme="minorHAnsi"/>
        </w:rPr>
      </w:pPr>
      <w:r>
        <w:rPr>
          <w:rFonts w:cstheme="minorHAnsi"/>
        </w:rPr>
        <w:t>Work with investigators to identify current baseline processes for recognising and responding to acute deterioration (includes policy / procedure custom and practice)</w:t>
      </w:r>
    </w:p>
    <w:p w14:paraId="08A453AC" w14:textId="77777777" w:rsidR="000B0CE4" w:rsidRDefault="000B0CE4" w:rsidP="00422B92">
      <w:pPr>
        <w:pStyle w:val="ListParagraph"/>
        <w:numPr>
          <w:ilvl w:val="2"/>
          <w:numId w:val="22"/>
        </w:numPr>
        <w:spacing w:line="240" w:lineRule="auto"/>
        <w:rPr>
          <w:rFonts w:cstheme="minorHAnsi"/>
        </w:rPr>
      </w:pPr>
      <w:r w:rsidRPr="00A50A5B">
        <w:rPr>
          <w:rFonts w:cstheme="minorHAnsi"/>
        </w:rPr>
        <w:t xml:space="preserve">Pragmatically consider and </w:t>
      </w:r>
      <w:r>
        <w:rPr>
          <w:rFonts w:cstheme="minorHAnsi"/>
        </w:rPr>
        <w:t xml:space="preserve">begin </w:t>
      </w:r>
      <w:r w:rsidRPr="00A50A5B">
        <w:rPr>
          <w:rFonts w:cstheme="minorHAnsi"/>
        </w:rPr>
        <w:t>refin</w:t>
      </w:r>
      <w:r>
        <w:rPr>
          <w:rFonts w:cstheme="minorHAnsi"/>
        </w:rPr>
        <w:t>ing</w:t>
      </w:r>
      <w:r w:rsidRPr="00A50A5B">
        <w:rPr>
          <w:rFonts w:cstheme="minorHAnsi"/>
        </w:rPr>
        <w:t xml:space="preserve"> data collection plan (based on what is reasonable and accessible) </w:t>
      </w:r>
    </w:p>
    <w:p w14:paraId="232A96B2" w14:textId="77777777" w:rsidR="000B0CE4" w:rsidRDefault="000B0CE4" w:rsidP="00422B92">
      <w:pPr>
        <w:pStyle w:val="ListParagraph"/>
        <w:numPr>
          <w:ilvl w:val="2"/>
          <w:numId w:val="22"/>
        </w:numPr>
        <w:spacing w:after="240" w:line="240" w:lineRule="auto"/>
        <w:contextualSpacing w:val="0"/>
        <w:rPr>
          <w:rFonts w:cstheme="minorHAnsi"/>
        </w:rPr>
      </w:pPr>
      <w:r>
        <w:rPr>
          <w:rFonts w:cstheme="minorHAnsi"/>
        </w:rPr>
        <w:t>Complete an initial exploration of practical considerations (e.g. size of QI team, timelines, staffing, communication pathways, online QI resources)</w:t>
      </w:r>
    </w:p>
    <w:p w14:paraId="33E400C2" w14:textId="77777777" w:rsidR="000B0CE4" w:rsidRDefault="000B0CE4" w:rsidP="00B34E15">
      <w:pPr>
        <w:pStyle w:val="ListParagraph"/>
        <w:numPr>
          <w:ilvl w:val="0"/>
          <w:numId w:val="22"/>
        </w:numPr>
        <w:spacing w:before="240" w:after="0" w:line="240" w:lineRule="auto"/>
        <w:ind w:left="714" w:hanging="357"/>
        <w:contextualSpacing w:val="0"/>
        <w:rPr>
          <w:rFonts w:cstheme="minorHAnsi"/>
        </w:rPr>
      </w:pPr>
      <w:r>
        <w:rPr>
          <w:rFonts w:cstheme="minorHAnsi"/>
        </w:rPr>
        <w:t xml:space="preserve">ARC project team (participants) </w:t>
      </w:r>
    </w:p>
    <w:p w14:paraId="4CFDE100" w14:textId="69282A6B" w:rsidR="000B0CE4" w:rsidRDefault="000B0CE4" w:rsidP="00916A85">
      <w:pPr>
        <w:pStyle w:val="ListParagraph"/>
        <w:numPr>
          <w:ilvl w:val="1"/>
          <w:numId w:val="22"/>
        </w:numPr>
        <w:spacing w:before="120" w:after="0" w:line="240" w:lineRule="auto"/>
        <w:ind w:left="1434" w:hanging="357"/>
        <w:contextualSpacing w:val="0"/>
        <w:rPr>
          <w:rFonts w:cstheme="minorHAnsi"/>
        </w:rPr>
      </w:pPr>
      <w:r w:rsidRPr="00B34E15">
        <w:rPr>
          <w:rFonts w:cstheme="minorHAnsi"/>
        </w:rPr>
        <w:t xml:space="preserve">Beginning </w:t>
      </w:r>
      <w:r>
        <w:rPr>
          <w:rFonts w:cstheme="minorHAnsi"/>
        </w:rPr>
        <w:t xml:space="preserve">reading and </w:t>
      </w:r>
      <w:r w:rsidRPr="00B34E15">
        <w:rPr>
          <w:rFonts w:cstheme="minorHAnsi"/>
        </w:rPr>
        <w:t>working through</w:t>
      </w:r>
      <w:r>
        <w:rPr>
          <w:rFonts w:cstheme="minorHAnsi"/>
        </w:rPr>
        <w:t xml:space="preserve"> implementation and planning guide </w:t>
      </w:r>
      <w:r w:rsidRPr="00353197">
        <w:rPr>
          <w:rFonts w:cstheme="minorHAnsi"/>
          <w:i/>
          <w:iCs/>
        </w:rPr>
        <w:t xml:space="preserve">“A guide to preparing and implementing </w:t>
      </w:r>
      <w:r w:rsidR="00E450C5">
        <w:rPr>
          <w:rFonts w:cstheme="minorHAnsi"/>
          <w:i/>
          <w:iCs/>
        </w:rPr>
        <w:t>the D</w:t>
      </w:r>
      <w:r w:rsidRPr="00353197">
        <w:rPr>
          <w:rFonts w:cstheme="minorHAnsi"/>
          <w:i/>
          <w:iCs/>
        </w:rPr>
        <w:t xml:space="preserve">eterioration </w:t>
      </w:r>
      <w:r w:rsidR="00E450C5">
        <w:rPr>
          <w:rFonts w:cstheme="minorHAnsi"/>
          <w:i/>
          <w:iCs/>
        </w:rPr>
        <w:t>E</w:t>
      </w:r>
      <w:r w:rsidRPr="00353197">
        <w:rPr>
          <w:rFonts w:cstheme="minorHAnsi"/>
          <w:i/>
          <w:iCs/>
        </w:rPr>
        <w:t xml:space="preserve">arly </w:t>
      </w:r>
      <w:r w:rsidR="00E450C5">
        <w:rPr>
          <w:rFonts w:cstheme="minorHAnsi"/>
          <w:i/>
          <w:iCs/>
        </w:rPr>
        <w:t>W</w:t>
      </w:r>
      <w:r w:rsidRPr="00353197">
        <w:rPr>
          <w:rFonts w:cstheme="minorHAnsi"/>
          <w:i/>
          <w:iCs/>
        </w:rPr>
        <w:t xml:space="preserve">arning </w:t>
      </w:r>
      <w:r w:rsidR="00E450C5">
        <w:rPr>
          <w:rFonts w:cstheme="minorHAnsi"/>
          <w:i/>
          <w:iCs/>
        </w:rPr>
        <w:t>S</w:t>
      </w:r>
      <w:r w:rsidRPr="00353197">
        <w:rPr>
          <w:rFonts w:cstheme="minorHAnsi"/>
          <w:i/>
          <w:iCs/>
        </w:rPr>
        <w:t xml:space="preserve">ystem | He </w:t>
      </w:r>
      <w:proofErr w:type="spellStart"/>
      <w:r w:rsidRPr="00353197">
        <w:rPr>
          <w:rFonts w:cstheme="minorHAnsi"/>
          <w:i/>
          <w:iCs/>
        </w:rPr>
        <w:t>aratohu</w:t>
      </w:r>
      <w:proofErr w:type="spellEnd"/>
      <w:r w:rsidRPr="00353197">
        <w:rPr>
          <w:rFonts w:cstheme="minorHAnsi"/>
          <w:i/>
          <w:iCs/>
        </w:rPr>
        <w:t xml:space="preserve"> </w:t>
      </w:r>
      <w:proofErr w:type="spellStart"/>
      <w:r w:rsidRPr="00353197">
        <w:rPr>
          <w:rFonts w:cstheme="minorHAnsi"/>
          <w:i/>
          <w:iCs/>
        </w:rPr>
        <w:t>hei</w:t>
      </w:r>
      <w:proofErr w:type="spellEnd"/>
      <w:r w:rsidRPr="00353197">
        <w:rPr>
          <w:rFonts w:cstheme="minorHAnsi"/>
          <w:i/>
          <w:iCs/>
        </w:rPr>
        <w:t xml:space="preserve"> </w:t>
      </w:r>
      <w:proofErr w:type="spellStart"/>
      <w:r w:rsidRPr="00353197">
        <w:rPr>
          <w:rFonts w:cstheme="minorHAnsi"/>
          <w:i/>
          <w:iCs/>
        </w:rPr>
        <w:t>whakarite</w:t>
      </w:r>
      <w:proofErr w:type="spellEnd"/>
      <w:r w:rsidRPr="00353197">
        <w:rPr>
          <w:rFonts w:cstheme="minorHAnsi"/>
          <w:i/>
          <w:iCs/>
        </w:rPr>
        <w:t xml:space="preserve"> </w:t>
      </w:r>
      <w:proofErr w:type="spellStart"/>
      <w:r w:rsidRPr="00353197">
        <w:rPr>
          <w:rFonts w:cstheme="minorHAnsi"/>
          <w:i/>
          <w:iCs/>
        </w:rPr>
        <w:t>pūnaha</w:t>
      </w:r>
      <w:proofErr w:type="spellEnd"/>
      <w:r w:rsidRPr="00353197">
        <w:rPr>
          <w:rFonts w:cstheme="minorHAnsi"/>
          <w:i/>
          <w:iCs/>
        </w:rPr>
        <w:t xml:space="preserve"> </w:t>
      </w:r>
      <w:proofErr w:type="spellStart"/>
      <w:r w:rsidRPr="00353197">
        <w:rPr>
          <w:rFonts w:cstheme="minorHAnsi"/>
          <w:i/>
          <w:iCs/>
        </w:rPr>
        <w:t>kitenga</w:t>
      </w:r>
      <w:proofErr w:type="spellEnd"/>
      <w:r w:rsidRPr="00353197">
        <w:rPr>
          <w:rFonts w:cstheme="minorHAnsi"/>
          <w:i/>
          <w:iCs/>
        </w:rPr>
        <w:t xml:space="preserve"> </w:t>
      </w:r>
      <w:proofErr w:type="spellStart"/>
      <w:r w:rsidRPr="00353197">
        <w:rPr>
          <w:rFonts w:cstheme="minorHAnsi"/>
          <w:i/>
          <w:iCs/>
        </w:rPr>
        <w:t>wawe</w:t>
      </w:r>
      <w:proofErr w:type="spellEnd"/>
      <w:r w:rsidRPr="00353197">
        <w:rPr>
          <w:rFonts w:cstheme="minorHAnsi"/>
          <w:i/>
          <w:iCs/>
        </w:rPr>
        <w:t xml:space="preserve"> </w:t>
      </w:r>
      <w:proofErr w:type="spellStart"/>
      <w:r w:rsidRPr="00353197">
        <w:rPr>
          <w:rFonts w:cstheme="minorHAnsi"/>
          <w:i/>
          <w:iCs/>
        </w:rPr>
        <w:t>i</w:t>
      </w:r>
      <w:proofErr w:type="spellEnd"/>
      <w:r w:rsidRPr="00353197">
        <w:rPr>
          <w:rFonts w:cstheme="minorHAnsi"/>
          <w:i/>
          <w:iCs/>
        </w:rPr>
        <w:t xml:space="preserve"> te </w:t>
      </w:r>
      <w:proofErr w:type="spellStart"/>
      <w:r w:rsidRPr="00353197">
        <w:rPr>
          <w:rFonts w:cstheme="minorHAnsi"/>
          <w:i/>
          <w:iCs/>
        </w:rPr>
        <w:t>āhua</w:t>
      </w:r>
      <w:proofErr w:type="spellEnd"/>
      <w:r w:rsidRPr="00353197">
        <w:rPr>
          <w:rFonts w:cstheme="minorHAnsi"/>
          <w:i/>
          <w:iCs/>
        </w:rPr>
        <w:t xml:space="preserve"> </w:t>
      </w:r>
      <w:proofErr w:type="spellStart"/>
      <w:r w:rsidRPr="00353197">
        <w:rPr>
          <w:rFonts w:cstheme="minorHAnsi"/>
          <w:i/>
          <w:iCs/>
        </w:rPr>
        <w:t>tauheke</w:t>
      </w:r>
      <w:proofErr w:type="spellEnd"/>
      <w:r w:rsidRPr="00353197">
        <w:rPr>
          <w:rFonts w:cstheme="minorHAnsi"/>
          <w:i/>
          <w:iCs/>
        </w:rPr>
        <w:t>”</w:t>
      </w:r>
      <w:r w:rsidRPr="00353197">
        <w:rPr>
          <w:rFonts w:cstheme="minorHAnsi"/>
        </w:rPr>
        <w:t xml:space="preserve"> in preparation for in-person workshop</w:t>
      </w:r>
      <w:r>
        <w:rPr>
          <w:rFonts w:cstheme="minorHAnsi"/>
        </w:rPr>
        <w:t xml:space="preserve">.  </w:t>
      </w:r>
    </w:p>
    <w:p w14:paraId="42ADA4A0" w14:textId="77777777" w:rsidR="000B0CE4" w:rsidRDefault="000B0CE4" w:rsidP="00353197">
      <w:pPr>
        <w:pStyle w:val="ListParagraph"/>
        <w:numPr>
          <w:ilvl w:val="2"/>
          <w:numId w:val="22"/>
        </w:numPr>
        <w:spacing w:line="240" w:lineRule="auto"/>
        <w:rPr>
          <w:rFonts w:cstheme="minorHAnsi"/>
        </w:rPr>
      </w:pPr>
      <w:r>
        <w:rPr>
          <w:rFonts w:cstheme="minorHAnsi"/>
        </w:rPr>
        <w:t>Think about current state</w:t>
      </w:r>
    </w:p>
    <w:p w14:paraId="1A916FFC" w14:textId="77777777" w:rsidR="000B0CE4" w:rsidRPr="00353197" w:rsidRDefault="000B0CE4" w:rsidP="00353197">
      <w:pPr>
        <w:pStyle w:val="ListParagraph"/>
        <w:numPr>
          <w:ilvl w:val="2"/>
          <w:numId w:val="22"/>
        </w:numPr>
        <w:spacing w:line="240" w:lineRule="auto"/>
        <w:rPr>
          <w:rFonts w:cstheme="minorHAnsi"/>
        </w:rPr>
      </w:pPr>
      <w:r>
        <w:rPr>
          <w:rFonts w:cstheme="minorHAnsi"/>
        </w:rPr>
        <w:t>Begin completing project charter template</w:t>
      </w:r>
    </w:p>
    <w:p w14:paraId="5881D290" w14:textId="77777777" w:rsidR="000B0CE4" w:rsidRDefault="000B0CE4" w:rsidP="00353197">
      <w:pPr>
        <w:pStyle w:val="ListParagraph"/>
        <w:spacing w:line="240" w:lineRule="auto"/>
        <w:ind w:left="1440"/>
        <w:rPr>
          <w:rFonts w:cstheme="minorHAnsi"/>
        </w:rPr>
      </w:pPr>
    </w:p>
    <w:p w14:paraId="0777CB1D" w14:textId="77777777" w:rsidR="000B0CE4" w:rsidRPr="00057314" w:rsidRDefault="000B0CE4" w:rsidP="00057314">
      <w:pPr>
        <w:spacing w:line="240" w:lineRule="auto"/>
        <w:rPr>
          <w:rFonts w:cstheme="minorHAnsi"/>
          <w:b/>
          <w:bCs/>
        </w:rPr>
      </w:pPr>
      <w:r>
        <w:rPr>
          <w:rFonts w:cstheme="minorHAnsi"/>
          <w:b/>
          <w:bCs/>
        </w:rPr>
        <w:t>1.2 I</w:t>
      </w:r>
      <w:r w:rsidRPr="00057314">
        <w:rPr>
          <w:rFonts w:cstheme="minorHAnsi"/>
          <w:b/>
          <w:bCs/>
        </w:rPr>
        <w:t xml:space="preserve">nvestigator responsibilities </w:t>
      </w:r>
    </w:p>
    <w:p w14:paraId="19B7C11F" w14:textId="77777777" w:rsidR="000B0CE4" w:rsidRDefault="000B0CE4" w:rsidP="00057314">
      <w:pPr>
        <w:pStyle w:val="ListParagraph"/>
        <w:numPr>
          <w:ilvl w:val="0"/>
          <w:numId w:val="22"/>
        </w:numPr>
        <w:spacing w:line="240" w:lineRule="auto"/>
        <w:rPr>
          <w:rFonts w:cstheme="minorHAnsi"/>
        </w:rPr>
      </w:pPr>
      <w:r>
        <w:rPr>
          <w:rFonts w:cstheme="minorHAnsi"/>
        </w:rPr>
        <w:t>Thoroughly socialise project at ARC facilities includes supporting ARC based project team with activities they identify as important including (but not limited to)</w:t>
      </w:r>
    </w:p>
    <w:p w14:paraId="397894D5" w14:textId="77777777" w:rsidR="000B0CE4" w:rsidRDefault="000B0CE4" w:rsidP="00057314">
      <w:pPr>
        <w:pStyle w:val="ListParagraph"/>
        <w:numPr>
          <w:ilvl w:val="1"/>
          <w:numId w:val="22"/>
        </w:numPr>
        <w:spacing w:line="240" w:lineRule="auto"/>
        <w:rPr>
          <w:rFonts w:cstheme="minorHAnsi"/>
        </w:rPr>
      </w:pPr>
      <w:r>
        <w:rPr>
          <w:rFonts w:cstheme="minorHAnsi"/>
        </w:rPr>
        <w:t>Meeting key members of the ARC team includes any necessary cultural protocols (guided by ARC team)</w:t>
      </w:r>
    </w:p>
    <w:p w14:paraId="61F28FA9" w14:textId="77777777" w:rsidR="000B0CE4" w:rsidRDefault="000B0CE4" w:rsidP="00057314">
      <w:pPr>
        <w:pStyle w:val="ListParagraph"/>
        <w:numPr>
          <w:ilvl w:val="1"/>
          <w:numId w:val="22"/>
        </w:numPr>
        <w:spacing w:line="240" w:lineRule="auto"/>
        <w:rPr>
          <w:rFonts w:cstheme="minorHAnsi"/>
        </w:rPr>
      </w:pPr>
      <w:r>
        <w:rPr>
          <w:rFonts w:cstheme="minorHAnsi"/>
        </w:rPr>
        <w:t>Providing in-service overview of project</w:t>
      </w:r>
    </w:p>
    <w:p w14:paraId="317E2FE5" w14:textId="204E276B" w:rsidR="000B0CE4" w:rsidRDefault="000B0CE4" w:rsidP="00916A85">
      <w:pPr>
        <w:pStyle w:val="ListParagraph"/>
        <w:numPr>
          <w:ilvl w:val="1"/>
          <w:numId w:val="22"/>
        </w:numPr>
        <w:spacing w:after="120" w:line="240" w:lineRule="auto"/>
        <w:ind w:left="1434" w:hanging="357"/>
        <w:contextualSpacing w:val="0"/>
        <w:rPr>
          <w:rFonts w:cstheme="minorHAnsi"/>
        </w:rPr>
      </w:pPr>
      <w:r>
        <w:rPr>
          <w:rFonts w:cstheme="minorHAnsi"/>
        </w:rPr>
        <w:t>Talk</w:t>
      </w:r>
      <w:r w:rsidR="00A872D2">
        <w:rPr>
          <w:rFonts w:cstheme="minorHAnsi"/>
        </w:rPr>
        <w:t>ing</w:t>
      </w:r>
      <w:r>
        <w:rPr>
          <w:rFonts w:cstheme="minorHAnsi"/>
        </w:rPr>
        <w:t xml:space="preserve"> to primary care provider </w:t>
      </w:r>
    </w:p>
    <w:p w14:paraId="51003470" w14:textId="77777777" w:rsidR="000B0CE4" w:rsidRDefault="000B0CE4" w:rsidP="00916A85">
      <w:pPr>
        <w:pStyle w:val="ListParagraph"/>
        <w:numPr>
          <w:ilvl w:val="0"/>
          <w:numId w:val="22"/>
        </w:numPr>
        <w:spacing w:line="240" w:lineRule="auto"/>
        <w:rPr>
          <w:rFonts w:cstheme="minorHAnsi"/>
        </w:rPr>
      </w:pPr>
      <w:r>
        <w:rPr>
          <w:rFonts w:cstheme="minorHAnsi"/>
        </w:rPr>
        <w:t>Understand current processes for recognising and responding to acute deterioration through activities such as</w:t>
      </w:r>
    </w:p>
    <w:p w14:paraId="0FE89B23" w14:textId="77777777" w:rsidR="000B0CE4" w:rsidRDefault="000B0CE4" w:rsidP="00916A85">
      <w:pPr>
        <w:pStyle w:val="ListParagraph"/>
        <w:numPr>
          <w:ilvl w:val="1"/>
          <w:numId w:val="22"/>
        </w:numPr>
        <w:spacing w:line="240" w:lineRule="auto"/>
        <w:rPr>
          <w:rFonts w:cstheme="minorHAnsi"/>
        </w:rPr>
      </w:pPr>
      <w:r>
        <w:rPr>
          <w:rFonts w:cstheme="minorHAnsi"/>
        </w:rPr>
        <w:t>Reading local policy / procedure</w:t>
      </w:r>
    </w:p>
    <w:p w14:paraId="69943726" w14:textId="197D9254" w:rsidR="000B0CE4" w:rsidRDefault="00A872D2" w:rsidP="00916A85">
      <w:pPr>
        <w:pStyle w:val="ListParagraph"/>
        <w:numPr>
          <w:ilvl w:val="1"/>
          <w:numId w:val="22"/>
        </w:numPr>
        <w:spacing w:line="240" w:lineRule="auto"/>
        <w:rPr>
          <w:rFonts w:cstheme="minorHAnsi"/>
        </w:rPr>
      </w:pPr>
      <w:r>
        <w:rPr>
          <w:rFonts w:cstheme="minorHAnsi"/>
        </w:rPr>
        <w:t xml:space="preserve">Asking </w:t>
      </w:r>
      <w:r w:rsidR="000B0CE4">
        <w:rPr>
          <w:rFonts w:cstheme="minorHAnsi"/>
        </w:rPr>
        <w:t xml:space="preserve">about ARC team custom, practice and variation (e.g. appointment diaries, handover sheets, handover meetings) </w:t>
      </w:r>
    </w:p>
    <w:p w14:paraId="761497CD" w14:textId="7BAB2BAB" w:rsidR="000B0CE4" w:rsidRDefault="000B0CE4" w:rsidP="00916A85">
      <w:pPr>
        <w:pStyle w:val="ListParagraph"/>
        <w:numPr>
          <w:ilvl w:val="1"/>
          <w:numId w:val="22"/>
        </w:numPr>
        <w:spacing w:line="240" w:lineRule="auto"/>
        <w:rPr>
          <w:rFonts w:cstheme="minorHAnsi"/>
        </w:rPr>
      </w:pPr>
      <w:r>
        <w:rPr>
          <w:rFonts w:cstheme="minorHAnsi"/>
        </w:rPr>
        <w:t>Understand</w:t>
      </w:r>
      <w:r w:rsidR="00A872D2">
        <w:rPr>
          <w:rFonts w:cstheme="minorHAnsi"/>
        </w:rPr>
        <w:t>ing</w:t>
      </w:r>
      <w:r>
        <w:rPr>
          <w:rFonts w:cstheme="minorHAnsi"/>
        </w:rPr>
        <w:t xml:space="preserve"> communication pathways during office hours and after hours (e.g. telephone / text / virtual consult trees)</w:t>
      </w:r>
    </w:p>
    <w:p w14:paraId="0F107C00" w14:textId="05D7E820" w:rsidR="000B0CE4" w:rsidRDefault="000B0CE4" w:rsidP="00916A85">
      <w:pPr>
        <w:pStyle w:val="ListParagraph"/>
        <w:numPr>
          <w:ilvl w:val="1"/>
          <w:numId w:val="22"/>
        </w:numPr>
        <w:spacing w:line="240" w:lineRule="auto"/>
        <w:rPr>
          <w:rFonts w:cstheme="minorHAnsi"/>
        </w:rPr>
      </w:pPr>
      <w:r>
        <w:rPr>
          <w:rFonts w:cstheme="minorHAnsi"/>
        </w:rPr>
        <w:t>Understand</w:t>
      </w:r>
      <w:r w:rsidR="00A872D2">
        <w:rPr>
          <w:rFonts w:cstheme="minorHAnsi"/>
        </w:rPr>
        <w:t>ing</w:t>
      </w:r>
      <w:r>
        <w:rPr>
          <w:rFonts w:cstheme="minorHAnsi"/>
        </w:rPr>
        <w:t xml:space="preserve"> boundaries of primary care service</w:t>
      </w:r>
    </w:p>
    <w:p w14:paraId="0671CE77" w14:textId="77777777" w:rsidR="000B0CE4" w:rsidRDefault="000B0CE4" w:rsidP="00916A85">
      <w:pPr>
        <w:pStyle w:val="ListParagraph"/>
        <w:spacing w:line="240" w:lineRule="auto"/>
        <w:rPr>
          <w:rFonts w:cstheme="minorHAnsi"/>
        </w:rPr>
      </w:pPr>
    </w:p>
    <w:p w14:paraId="570A6320" w14:textId="77777777" w:rsidR="000B0CE4" w:rsidRDefault="000B0CE4" w:rsidP="00057314">
      <w:pPr>
        <w:pStyle w:val="ListParagraph"/>
        <w:numPr>
          <w:ilvl w:val="0"/>
          <w:numId w:val="22"/>
        </w:numPr>
        <w:spacing w:line="240" w:lineRule="auto"/>
        <w:rPr>
          <w:rFonts w:cstheme="minorHAnsi"/>
        </w:rPr>
      </w:pPr>
      <w:r>
        <w:rPr>
          <w:rFonts w:cstheme="minorHAnsi"/>
        </w:rPr>
        <w:t>Refine data collection plan in line with ARC facility capacity and capability, e.g. consider and discuss</w:t>
      </w:r>
    </w:p>
    <w:p w14:paraId="4489AFCC" w14:textId="77777777" w:rsidR="000B0CE4" w:rsidRDefault="000B0CE4" w:rsidP="00975DB2">
      <w:pPr>
        <w:pStyle w:val="ListParagraph"/>
        <w:numPr>
          <w:ilvl w:val="1"/>
          <w:numId w:val="22"/>
        </w:numPr>
        <w:spacing w:line="240" w:lineRule="auto"/>
        <w:rPr>
          <w:rFonts w:cstheme="minorHAnsi"/>
        </w:rPr>
      </w:pPr>
      <w:r>
        <w:rPr>
          <w:rFonts w:cstheme="minorHAnsi"/>
        </w:rPr>
        <w:t>Electronic versus paper systems</w:t>
      </w:r>
    </w:p>
    <w:p w14:paraId="7129F189" w14:textId="77777777" w:rsidR="000B0CE4" w:rsidRDefault="000B0CE4" w:rsidP="00975DB2">
      <w:pPr>
        <w:pStyle w:val="ListParagraph"/>
        <w:numPr>
          <w:ilvl w:val="1"/>
          <w:numId w:val="22"/>
        </w:numPr>
        <w:spacing w:line="240" w:lineRule="auto"/>
        <w:rPr>
          <w:rFonts w:cstheme="minorHAnsi"/>
        </w:rPr>
      </w:pPr>
      <w:r>
        <w:rPr>
          <w:rFonts w:cstheme="minorHAnsi"/>
        </w:rPr>
        <w:t>ARCs ability to search their systems to gather baseline</w:t>
      </w:r>
    </w:p>
    <w:p w14:paraId="7123F919" w14:textId="77777777" w:rsidR="000B0CE4" w:rsidRDefault="000B0CE4" w:rsidP="00975DB2">
      <w:pPr>
        <w:pStyle w:val="ListParagraph"/>
        <w:numPr>
          <w:ilvl w:val="1"/>
          <w:numId w:val="22"/>
        </w:numPr>
        <w:spacing w:line="240" w:lineRule="auto"/>
        <w:rPr>
          <w:rFonts w:cstheme="minorHAnsi"/>
        </w:rPr>
      </w:pPr>
      <w:r>
        <w:rPr>
          <w:rFonts w:cstheme="minorHAnsi"/>
        </w:rPr>
        <w:t>ARCs ability to compare feasibility study data with established benchmarking data</w:t>
      </w:r>
    </w:p>
    <w:p w14:paraId="0C181651" w14:textId="77777777" w:rsidR="000B0CE4" w:rsidRDefault="000B0CE4" w:rsidP="00975DB2">
      <w:pPr>
        <w:pStyle w:val="ListParagraph"/>
        <w:numPr>
          <w:ilvl w:val="1"/>
          <w:numId w:val="22"/>
        </w:numPr>
        <w:spacing w:line="240" w:lineRule="auto"/>
        <w:rPr>
          <w:rFonts w:cstheme="minorHAnsi"/>
        </w:rPr>
      </w:pPr>
      <w:r>
        <w:rPr>
          <w:rFonts w:cstheme="minorHAnsi"/>
        </w:rPr>
        <w:t>Human resources</w:t>
      </w:r>
    </w:p>
    <w:p w14:paraId="131CDA00" w14:textId="77777777" w:rsidR="000B0CE4" w:rsidRDefault="000B0CE4" w:rsidP="00975DB2">
      <w:pPr>
        <w:pStyle w:val="ListParagraph"/>
        <w:spacing w:line="240" w:lineRule="auto"/>
        <w:ind w:left="1440"/>
        <w:rPr>
          <w:rFonts w:cstheme="minorHAnsi"/>
        </w:rPr>
      </w:pPr>
    </w:p>
    <w:p w14:paraId="54E3EACB" w14:textId="46F0C108" w:rsidR="000B0CE4" w:rsidRDefault="000B0CE4" w:rsidP="0047766A">
      <w:pPr>
        <w:spacing w:before="240" w:after="0" w:line="240" w:lineRule="auto"/>
        <w:rPr>
          <w:rFonts w:cstheme="minorHAnsi"/>
          <w:szCs w:val="22"/>
        </w:rPr>
      </w:pPr>
      <w:r>
        <w:rPr>
          <w:rFonts w:cstheme="minorHAnsi"/>
          <w:b/>
          <w:bCs/>
          <w:szCs w:val="22"/>
        </w:rPr>
        <w:t>2</w:t>
      </w:r>
      <w:r w:rsidR="00A872D2">
        <w:rPr>
          <w:rFonts w:cstheme="minorHAnsi"/>
          <w:b/>
          <w:bCs/>
          <w:szCs w:val="22"/>
        </w:rPr>
        <w:t>)</w:t>
      </w:r>
      <w:r>
        <w:rPr>
          <w:rFonts w:cstheme="minorHAnsi"/>
          <w:b/>
          <w:bCs/>
          <w:szCs w:val="22"/>
        </w:rPr>
        <w:t xml:space="preserve"> </w:t>
      </w:r>
      <w:r w:rsidRPr="00D94D9C">
        <w:rPr>
          <w:rFonts w:cstheme="minorHAnsi"/>
          <w:b/>
          <w:bCs/>
          <w:szCs w:val="22"/>
        </w:rPr>
        <w:t xml:space="preserve">PREPARE </w:t>
      </w:r>
      <w:r>
        <w:rPr>
          <w:rFonts w:cstheme="minorHAnsi"/>
          <w:szCs w:val="22"/>
        </w:rPr>
        <w:t>(~3 months February to April 2024)</w:t>
      </w:r>
    </w:p>
    <w:p w14:paraId="46B361CF" w14:textId="77777777" w:rsidR="000B0CE4" w:rsidRPr="00975DB2" w:rsidRDefault="000B0CE4" w:rsidP="0047766A">
      <w:pPr>
        <w:spacing w:before="240" w:after="240" w:line="240" w:lineRule="auto"/>
        <w:rPr>
          <w:rFonts w:cstheme="minorHAnsi"/>
          <w:b/>
          <w:bCs/>
        </w:rPr>
      </w:pPr>
      <w:r>
        <w:rPr>
          <w:rFonts w:cstheme="minorHAnsi"/>
          <w:b/>
          <w:bCs/>
        </w:rPr>
        <w:t>2.1 P</w:t>
      </w:r>
      <w:r w:rsidRPr="00975DB2">
        <w:rPr>
          <w:rFonts w:cstheme="minorHAnsi"/>
          <w:b/>
          <w:bCs/>
        </w:rPr>
        <w:t>articipant activities</w:t>
      </w:r>
    </w:p>
    <w:p w14:paraId="6ABC29E6" w14:textId="123672F8" w:rsidR="000B0CE4" w:rsidRDefault="000B0CE4" w:rsidP="000866C4">
      <w:pPr>
        <w:pStyle w:val="ListParagraph"/>
        <w:numPr>
          <w:ilvl w:val="0"/>
          <w:numId w:val="22"/>
        </w:numPr>
        <w:spacing w:before="120" w:after="0" w:line="240" w:lineRule="auto"/>
        <w:ind w:left="714" w:hanging="357"/>
        <w:contextualSpacing w:val="0"/>
        <w:rPr>
          <w:rFonts w:cstheme="minorHAnsi"/>
        </w:rPr>
      </w:pPr>
      <w:r w:rsidRPr="00D62B06">
        <w:rPr>
          <w:rFonts w:cstheme="minorHAnsi"/>
        </w:rPr>
        <w:t>Attend “How to” workshop</w:t>
      </w:r>
      <w:r>
        <w:rPr>
          <w:rFonts w:cstheme="minorHAnsi"/>
        </w:rPr>
        <w:t xml:space="preserve"> to receive study information, resources and preparation support </w:t>
      </w:r>
    </w:p>
    <w:p w14:paraId="4FA04561" w14:textId="77777777" w:rsidR="000B0CE4" w:rsidRPr="00D62B06" w:rsidRDefault="000B0CE4" w:rsidP="00F628D4">
      <w:pPr>
        <w:pStyle w:val="ListParagraph"/>
        <w:numPr>
          <w:ilvl w:val="1"/>
          <w:numId w:val="22"/>
        </w:numPr>
        <w:spacing w:after="0" w:line="240" w:lineRule="auto"/>
        <w:ind w:left="1434" w:hanging="357"/>
        <w:contextualSpacing w:val="0"/>
        <w:rPr>
          <w:rFonts w:cstheme="minorHAnsi"/>
        </w:rPr>
      </w:pPr>
      <w:r>
        <w:rPr>
          <w:rFonts w:cstheme="minorHAnsi"/>
        </w:rPr>
        <w:t>TIME: full day activity for two to three members of ARC project team to:</w:t>
      </w:r>
    </w:p>
    <w:p w14:paraId="5292787F" w14:textId="77777777" w:rsidR="000B0CE4" w:rsidRDefault="000B0CE4" w:rsidP="00F628D4">
      <w:pPr>
        <w:pStyle w:val="ListParagraph"/>
        <w:numPr>
          <w:ilvl w:val="2"/>
          <w:numId w:val="22"/>
        </w:numPr>
        <w:spacing w:line="240" w:lineRule="auto"/>
        <w:rPr>
          <w:rFonts w:cstheme="minorHAnsi"/>
        </w:rPr>
      </w:pPr>
      <w:r>
        <w:rPr>
          <w:rFonts w:cstheme="minorHAnsi"/>
        </w:rPr>
        <w:t>Receive train the trainer information about DEWS tools</w:t>
      </w:r>
    </w:p>
    <w:p w14:paraId="58258D4E" w14:textId="77777777" w:rsidR="000B0CE4" w:rsidRDefault="000B0CE4" w:rsidP="00F628D4">
      <w:pPr>
        <w:pStyle w:val="ListParagraph"/>
        <w:numPr>
          <w:ilvl w:val="2"/>
          <w:numId w:val="22"/>
        </w:numPr>
        <w:spacing w:line="240" w:lineRule="auto"/>
        <w:rPr>
          <w:rFonts w:cstheme="minorHAnsi"/>
        </w:rPr>
      </w:pPr>
      <w:r>
        <w:rPr>
          <w:rFonts w:cstheme="minorHAnsi"/>
        </w:rPr>
        <w:t xml:space="preserve">Receive quality improvement theory and practices required for project </w:t>
      </w:r>
    </w:p>
    <w:p w14:paraId="33AADC21" w14:textId="77777777" w:rsidR="000B0CE4" w:rsidRDefault="000B0CE4" w:rsidP="00F628D4">
      <w:pPr>
        <w:pStyle w:val="ListParagraph"/>
        <w:numPr>
          <w:ilvl w:val="2"/>
          <w:numId w:val="22"/>
        </w:numPr>
        <w:spacing w:line="240" w:lineRule="auto"/>
        <w:rPr>
          <w:rFonts w:cstheme="minorHAnsi"/>
        </w:rPr>
      </w:pPr>
      <w:r>
        <w:rPr>
          <w:rFonts w:cstheme="minorHAnsi"/>
        </w:rPr>
        <w:t>Complete first draft of escalation mapping tool</w:t>
      </w:r>
    </w:p>
    <w:p w14:paraId="3CCB9BF4" w14:textId="77777777" w:rsidR="000B0CE4" w:rsidRDefault="000B0CE4" w:rsidP="00F628D4">
      <w:pPr>
        <w:pStyle w:val="ListParagraph"/>
        <w:numPr>
          <w:ilvl w:val="2"/>
          <w:numId w:val="22"/>
        </w:numPr>
        <w:spacing w:line="240" w:lineRule="auto"/>
        <w:rPr>
          <w:rFonts w:cstheme="minorHAnsi"/>
        </w:rPr>
      </w:pPr>
      <w:r>
        <w:rPr>
          <w:rFonts w:cstheme="minorHAnsi"/>
        </w:rPr>
        <w:t>Explore and understand data collection activities</w:t>
      </w:r>
    </w:p>
    <w:p w14:paraId="6A2AC1CB" w14:textId="77777777" w:rsidR="000B0CE4" w:rsidRDefault="000B0CE4" w:rsidP="00F628D4">
      <w:pPr>
        <w:pStyle w:val="ListParagraph"/>
        <w:numPr>
          <w:ilvl w:val="2"/>
          <w:numId w:val="22"/>
        </w:numPr>
        <w:spacing w:line="240" w:lineRule="auto"/>
        <w:rPr>
          <w:rFonts w:cstheme="minorHAnsi"/>
        </w:rPr>
      </w:pPr>
      <w:r>
        <w:rPr>
          <w:rFonts w:cstheme="minorHAnsi"/>
        </w:rPr>
        <w:lastRenderedPageBreak/>
        <w:t>Complete on-the-spot problem solving of issue(s) identified in planning phase</w:t>
      </w:r>
    </w:p>
    <w:p w14:paraId="05598701" w14:textId="02988757" w:rsidR="000B0CE4" w:rsidRDefault="000B0CE4" w:rsidP="00F628D4">
      <w:pPr>
        <w:pStyle w:val="ListParagraph"/>
        <w:numPr>
          <w:ilvl w:val="2"/>
          <w:numId w:val="22"/>
        </w:numPr>
        <w:spacing w:after="120" w:line="240" w:lineRule="auto"/>
        <w:contextualSpacing w:val="0"/>
        <w:rPr>
          <w:rFonts w:cstheme="minorHAnsi"/>
        </w:rPr>
      </w:pPr>
      <w:r>
        <w:rPr>
          <w:rFonts w:cstheme="minorHAnsi"/>
        </w:rPr>
        <w:t>Build peer networks</w:t>
      </w:r>
    </w:p>
    <w:p w14:paraId="5C62B982" w14:textId="77777777" w:rsidR="000B0CE4" w:rsidRDefault="000B0CE4" w:rsidP="00353197">
      <w:pPr>
        <w:pStyle w:val="ListParagraph"/>
        <w:numPr>
          <w:ilvl w:val="0"/>
          <w:numId w:val="22"/>
        </w:numPr>
        <w:spacing w:before="240" w:after="0" w:line="240" w:lineRule="auto"/>
        <w:ind w:left="714" w:hanging="357"/>
        <w:contextualSpacing w:val="0"/>
        <w:rPr>
          <w:rFonts w:cstheme="minorHAnsi"/>
        </w:rPr>
      </w:pPr>
      <w:r>
        <w:rPr>
          <w:rFonts w:cstheme="minorHAnsi"/>
        </w:rPr>
        <w:t xml:space="preserve">Continue working through planning and implementation guide </w:t>
      </w:r>
    </w:p>
    <w:p w14:paraId="52739B13" w14:textId="77777777" w:rsidR="000B0CE4" w:rsidRDefault="000B0CE4" w:rsidP="00353197">
      <w:pPr>
        <w:pStyle w:val="ListParagraph"/>
        <w:numPr>
          <w:ilvl w:val="1"/>
          <w:numId w:val="22"/>
        </w:numPr>
        <w:spacing w:line="240" w:lineRule="auto"/>
        <w:rPr>
          <w:rFonts w:cstheme="minorHAnsi"/>
        </w:rPr>
      </w:pPr>
      <w:r>
        <w:rPr>
          <w:rFonts w:cstheme="minorHAnsi"/>
        </w:rPr>
        <w:t>Complete project charter template</w:t>
      </w:r>
    </w:p>
    <w:p w14:paraId="3811027E" w14:textId="77777777" w:rsidR="000B0CE4" w:rsidRDefault="000B0CE4" w:rsidP="0027793D">
      <w:pPr>
        <w:pStyle w:val="ListParagraph"/>
        <w:numPr>
          <w:ilvl w:val="1"/>
          <w:numId w:val="22"/>
        </w:numPr>
        <w:spacing w:after="0" w:line="240" w:lineRule="auto"/>
        <w:ind w:left="1434" w:hanging="357"/>
        <w:contextualSpacing w:val="0"/>
        <w:rPr>
          <w:rFonts w:cstheme="minorHAnsi"/>
        </w:rPr>
      </w:pPr>
      <w:r>
        <w:rPr>
          <w:rFonts w:cstheme="minorHAnsi"/>
        </w:rPr>
        <w:t>Work with primary care provider to finalise escalation mapping tool</w:t>
      </w:r>
    </w:p>
    <w:p w14:paraId="7F996666" w14:textId="77777777" w:rsidR="000B0CE4" w:rsidRDefault="000B0CE4" w:rsidP="0027529D">
      <w:pPr>
        <w:pStyle w:val="ListParagraph"/>
        <w:numPr>
          <w:ilvl w:val="1"/>
          <w:numId w:val="22"/>
        </w:numPr>
        <w:spacing w:after="0" w:line="240" w:lineRule="auto"/>
        <w:ind w:left="1434" w:hanging="357"/>
        <w:contextualSpacing w:val="0"/>
        <w:rPr>
          <w:rFonts w:cstheme="minorHAnsi"/>
        </w:rPr>
      </w:pPr>
      <w:r>
        <w:rPr>
          <w:rFonts w:cstheme="minorHAnsi"/>
        </w:rPr>
        <w:t>Introduce and socialise project with healthcare team so they can raise concerns ask questions</w:t>
      </w:r>
    </w:p>
    <w:p w14:paraId="3AFA53F6" w14:textId="77777777" w:rsidR="000B0CE4" w:rsidRDefault="000B0CE4" w:rsidP="0027529D">
      <w:pPr>
        <w:pStyle w:val="ListParagraph"/>
        <w:numPr>
          <w:ilvl w:val="1"/>
          <w:numId w:val="22"/>
        </w:numPr>
        <w:spacing w:after="0" w:line="240" w:lineRule="auto"/>
        <w:contextualSpacing w:val="0"/>
        <w:rPr>
          <w:rFonts w:cstheme="minorHAnsi"/>
        </w:rPr>
      </w:pPr>
      <w:r>
        <w:rPr>
          <w:rFonts w:cstheme="minorHAnsi"/>
        </w:rPr>
        <w:t>Identify clinical champions whose support for DEWS will influence the clinical team</w:t>
      </w:r>
    </w:p>
    <w:p w14:paraId="3073D66A" w14:textId="77777777" w:rsidR="000B0CE4" w:rsidRDefault="000B0CE4" w:rsidP="0027529D">
      <w:pPr>
        <w:pStyle w:val="ListParagraph"/>
        <w:numPr>
          <w:ilvl w:val="1"/>
          <w:numId w:val="22"/>
        </w:numPr>
        <w:spacing w:after="120" w:line="240" w:lineRule="auto"/>
        <w:contextualSpacing w:val="0"/>
        <w:rPr>
          <w:rFonts w:cstheme="minorHAnsi"/>
        </w:rPr>
      </w:pPr>
      <w:r>
        <w:rPr>
          <w:rFonts w:cstheme="minorHAnsi"/>
        </w:rPr>
        <w:t>Identify existing processes were DEWS reporting will support DEWS testing (e.g. clinical handover)</w:t>
      </w:r>
    </w:p>
    <w:p w14:paraId="66F57660" w14:textId="77777777" w:rsidR="000B0CE4" w:rsidRDefault="000B0CE4" w:rsidP="0027793D">
      <w:pPr>
        <w:pStyle w:val="ListParagraph"/>
        <w:numPr>
          <w:ilvl w:val="0"/>
          <w:numId w:val="22"/>
        </w:numPr>
        <w:spacing w:before="240" w:after="0" w:line="240" w:lineRule="auto"/>
        <w:ind w:left="714" w:hanging="357"/>
        <w:contextualSpacing w:val="0"/>
        <w:rPr>
          <w:rFonts w:cstheme="minorHAnsi"/>
        </w:rPr>
      </w:pPr>
      <w:r>
        <w:rPr>
          <w:rFonts w:cstheme="minorHAnsi"/>
        </w:rPr>
        <w:t>Virtual meetings: ARC project team attend every two weeks with investigators and other ARC facility project teams</w:t>
      </w:r>
    </w:p>
    <w:p w14:paraId="71CB20DB" w14:textId="77777777" w:rsidR="000B0CE4" w:rsidRDefault="000B0CE4" w:rsidP="0027529D">
      <w:pPr>
        <w:pStyle w:val="ListParagraph"/>
        <w:numPr>
          <w:ilvl w:val="1"/>
          <w:numId w:val="22"/>
        </w:numPr>
        <w:spacing w:after="100" w:afterAutospacing="1" w:line="240" w:lineRule="auto"/>
        <w:ind w:left="1434" w:hanging="357"/>
        <w:contextualSpacing w:val="0"/>
        <w:rPr>
          <w:rFonts w:cstheme="minorHAnsi"/>
        </w:rPr>
      </w:pPr>
      <w:r>
        <w:rPr>
          <w:rFonts w:cstheme="minorHAnsi"/>
        </w:rPr>
        <w:t>TIME 4 to 5 meetings of 1 hour via zoom for ARC project team / team representative (ARC decision whether this complete ARC project team or representative)</w:t>
      </w:r>
    </w:p>
    <w:p w14:paraId="18B8658D" w14:textId="77777777" w:rsidR="000B0CE4" w:rsidRDefault="000B0CE4" w:rsidP="0027529D">
      <w:pPr>
        <w:pStyle w:val="ListParagraph"/>
        <w:numPr>
          <w:ilvl w:val="2"/>
          <w:numId w:val="22"/>
        </w:numPr>
        <w:spacing w:line="240" w:lineRule="auto"/>
        <w:rPr>
          <w:rFonts w:cstheme="minorHAnsi"/>
        </w:rPr>
      </w:pPr>
      <w:r>
        <w:rPr>
          <w:rFonts w:cstheme="minorHAnsi"/>
        </w:rPr>
        <w:t xml:space="preserve">Update on progress towards testing </w:t>
      </w:r>
    </w:p>
    <w:p w14:paraId="751C8C97" w14:textId="77777777" w:rsidR="000B0CE4" w:rsidRDefault="000B0CE4" w:rsidP="0027529D">
      <w:pPr>
        <w:pStyle w:val="ListParagraph"/>
        <w:numPr>
          <w:ilvl w:val="2"/>
          <w:numId w:val="22"/>
        </w:numPr>
        <w:spacing w:line="240" w:lineRule="auto"/>
        <w:rPr>
          <w:rFonts w:cstheme="minorHAnsi"/>
        </w:rPr>
      </w:pPr>
      <w:r>
        <w:rPr>
          <w:rFonts w:cstheme="minorHAnsi"/>
        </w:rPr>
        <w:t>Trouble shoot and revise plans</w:t>
      </w:r>
    </w:p>
    <w:p w14:paraId="634A69CD" w14:textId="77777777" w:rsidR="000B0CE4" w:rsidRDefault="000B0CE4" w:rsidP="0027529D">
      <w:pPr>
        <w:pStyle w:val="ListParagraph"/>
        <w:numPr>
          <w:ilvl w:val="2"/>
          <w:numId w:val="22"/>
        </w:numPr>
        <w:spacing w:line="240" w:lineRule="auto"/>
        <w:rPr>
          <w:rFonts w:cstheme="minorHAnsi"/>
        </w:rPr>
      </w:pPr>
      <w:r>
        <w:rPr>
          <w:rFonts w:cstheme="minorHAnsi"/>
        </w:rPr>
        <w:t>Collective on-the-spot problem solving of issue(s) identified in planning phase</w:t>
      </w:r>
    </w:p>
    <w:p w14:paraId="38C9BB82" w14:textId="77777777" w:rsidR="000B0CE4" w:rsidRDefault="000B0CE4" w:rsidP="0027529D">
      <w:pPr>
        <w:pStyle w:val="ListParagraph"/>
        <w:numPr>
          <w:ilvl w:val="2"/>
          <w:numId w:val="22"/>
        </w:numPr>
        <w:spacing w:after="0" w:line="240" w:lineRule="auto"/>
        <w:contextualSpacing w:val="0"/>
        <w:rPr>
          <w:rFonts w:cstheme="minorHAnsi"/>
        </w:rPr>
      </w:pPr>
      <w:r>
        <w:rPr>
          <w:rFonts w:cstheme="minorHAnsi"/>
        </w:rPr>
        <w:t>Building peer networks</w:t>
      </w:r>
    </w:p>
    <w:p w14:paraId="2E2B427E" w14:textId="77777777" w:rsidR="000B0CE4" w:rsidRPr="00057314" w:rsidRDefault="000B0CE4" w:rsidP="00932546">
      <w:pPr>
        <w:spacing w:before="240" w:line="240" w:lineRule="auto"/>
        <w:rPr>
          <w:rFonts w:cstheme="minorHAnsi"/>
          <w:b/>
          <w:bCs/>
        </w:rPr>
      </w:pPr>
      <w:r>
        <w:rPr>
          <w:rFonts w:cstheme="minorHAnsi"/>
          <w:b/>
          <w:bCs/>
        </w:rPr>
        <w:t>2.2 I</w:t>
      </w:r>
      <w:r w:rsidRPr="00057314">
        <w:rPr>
          <w:rFonts w:cstheme="minorHAnsi"/>
          <w:b/>
          <w:bCs/>
        </w:rPr>
        <w:t xml:space="preserve">nvestigator responsibilities </w:t>
      </w:r>
    </w:p>
    <w:p w14:paraId="4CA2B490" w14:textId="77777777" w:rsidR="000B0CE4" w:rsidRDefault="000B0CE4" w:rsidP="0027529D">
      <w:pPr>
        <w:pStyle w:val="ListParagraph"/>
        <w:numPr>
          <w:ilvl w:val="0"/>
          <w:numId w:val="22"/>
        </w:numPr>
        <w:spacing w:line="240" w:lineRule="auto"/>
        <w:rPr>
          <w:rFonts w:cstheme="minorHAnsi"/>
        </w:rPr>
      </w:pPr>
      <w:r>
        <w:rPr>
          <w:rFonts w:cstheme="minorHAnsi"/>
        </w:rPr>
        <w:t xml:space="preserve">Provide “How </w:t>
      </w:r>
      <w:proofErr w:type="spellStart"/>
      <w:r>
        <w:rPr>
          <w:rFonts w:cstheme="minorHAnsi"/>
        </w:rPr>
        <w:t>too</w:t>
      </w:r>
      <w:proofErr w:type="spellEnd"/>
      <w:r>
        <w:rPr>
          <w:rFonts w:cstheme="minorHAnsi"/>
        </w:rPr>
        <w:t>” workshop</w:t>
      </w:r>
    </w:p>
    <w:p w14:paraId="18F5DB85" w14:textId="77777777" w:rsidR="000B0CE4" w:rsidRDefault="000B0CE4" w:rsidP="00932546">
      <w:pPr>
        <w:pStyle w:val="ListParagraph"/>
        <w:numPr>
          <w:ilvl w:val="1"/>
          <w:numId w:val="22"/>
        </w:numPr>
        <w:spacing w:line="240" w:lineRule="auto"/>
        <w:rPr>
          <w:rFonts w:cstheme="minorHAnsi"/>
        </w:rPr>
      </w:pPr>
      <w:r>
        <w:rPr>
          <w:rFonts w:cstheme="minorHAnsi"/>
        </w:rPr>
        <w:t>Planning and hosting workshop, includes any necessary cultural protocols (guided by ARC team)</w:t>
      </w:r>
    </w:p>
    <w:p w14:paraId="2AF343AD" w14:textId="77777777" w:rsidR="000B0CE4" w:rsidRDefault="000B0CE4" w:rsidP="00932546">
      <w:pPr>
        <w:pStyle w:val="ListParagraph"/>
        <w:numPr>
          <w:ilvl w:val="1"/>
          <w:numId w:val="22"/>
        </w:numPr>
        <w:spacing w:line="240" w:lineRule="auto"/>
        <w:rPr>
          <w:rFonts w:cstheme="minorHAnsi"/>
        </w:rPr>
      </w:pPr>
      <w:r>
        <w:rPr>
          <w:rFonts w:cstheme="minorHAnsi"/>
        </w:rPr>
        <w:t>Provide resources</w:t>
      </w:r>
    </w:p>
    <w:p w14:paraId="51780CD4" w14:textId="77777777" w:rsidR="000B0CE4" w:rsidRDefault="000B0CE4" w:rsidP="00932546">
      <w:pPr>
        <w:pStyle w:val="ListParagraph"/>
        <w:numPr>
          <w:ilvl w:val="1"/>
          <w:numId w:val="22"/>
        </w:numPr>
        <w:spacing w:line="240" w:lineRule="auto"/>
        <w:rPr>
          <w:rFonts w:cstheme="minorHAnsi"/>
        </w:rPr>
      </w:pPr>
      <w:r>
        <w:rPr>
          <w:rFonts w:cstheme="minorHAnsi"/>
        </w:rPr>
        <w:t>Focus on workshopping so remain responsive to ARC environment, confirm / refine data collection activities, on-the-spot problem solving of issue identified in planning phase</w:t>
      </w:r>
    </w:p>
    <w:p w14:paraId="0590F7B6" w14:textId="77777777" w:rsidR="000B0CE4" w:rsidRDefault="000B0CE4" w:rsidP="00932546">
      <w:pPr>
        <w:pStyle w:val="ListParagraph"/>
        <w:numPr>
          <w:ilvl w:val="1"/>
          <w:numId w:val="22"/>
        </w:numPr>
        <w:spacing w:line="240" w:lineRule="auto"/>
        <w:rPr>
          <w:rFonts w:cstheme="minorHAnsi"/>
        </w:rPr>
      </w:pPr>
      <w:r>
        <w:rPr>
          <w:rFonts w:cstheme="minorHAnsi"/>
        </w:rPr>
        <w:t>Build a peer network for participants</w:t>
      </w:r>
    </w:p>
    <w:p w14:paraId="257BBAAA" w14:textId="77777777" w:rsidR="000B0CE4" w:rsidRDefault="000B0CE4" w:rsidP="00932546">
      <w:pPr>
        <w:pStyle w:val="ListParagraph"/>
        <w:spacing w:line="240" w:lineRule="auto"/>
        <w:ind w:left="1440"/>
        <w:rPr>
          <w:rFonts w:cstheme="minorHAnsi"/>
        </w:rPr>
      </w:pPr>
    </w:p>
    <w:p w14:paraId="16B4D26B" w14:textId="77777777" w:rsidR="000B0CE4" w:rsidRDefault="000B0CE4" w:rsidP="0027529D">
      <w:pPr>
        <w:pStyle w:val="ListParagraph"/>
        <w:numPr>
          <w:ilvl w:val="0"/>
          <w:numId w:val="22"/>
        </w:numPr>
        <w:spacing w:line="240" w:lineRule="auto"/>
        <w:rPr>
          <w:rFonts w:cstheme="minorHAnsi"/>
        </w:rPr>
      </w:pPr>
      <w:r>
        <w:rPr>
          <w:rFonts w:cstheme="minorHAnsi"/>
        </w:rPr>
        <w:t>Meetings</w:t>
      </w:r>
    </w:p>
    <w:p w14:paraId="31F9115D" w14:textId="77777777" w:rsidR="000B0CE4" w:rsidRDefault="000B0CE4" w:rsidP="0027529D">
      <w:pPr>
        <w:pStyle w:val="ListParagraph"/>
        <w:numPr>
          <w:ilvl w:val="1"/>
          <w:numId w:val="22"/>
        </w:numPr>
        <w:spacing w:line="240" w:lineRule="auto"/>
        <w:rPr>
          <w:rFonts w:cstheme="minorHAnsi"/>
        </w:rPr>
      </w:pPr>
      <w:r>
        <w:rPr>
          <w:rFonts w:cstheme="minorHAnsi"/>
        </w:rPr>
        <w:t>Chair / facilitate meetings</w:t>
      </w:r>
    </w:p>
    <w:p w14:paraId="3B1BE2FE" w14:textId="77777777" w:rsidR="000B0CE4" w:rsidRDefault="000B0CE4" w:rsidP="0027529D">
      <w:pPr>
        <w:pStyle w:val="ListParagraph"/>
        <w:numPr>
          <w:ilvl w:val="1"/>
          <w:numId w:val="22"/>
        </w:numPr>
        <w:spacing w:line="240" w:lineRule="auto"/>
        <w:rPr>
          <w:rFonts w:cstheme="minorHAnsi"/>
        </w:rPr>
      </w:pPr>
      <w:r>
        <w:rPr>
          <w:rFonts w:cstheme="minorHAnsi"/>
        </w:rPr>
        <w:t>Secretariate for formal records</w:t>
      </w:r>
    </w:p>
    <w:p w14:paraId="37E00BAE" w14:textId="77777777" w:rsidR="000B0CE4" w:rsidRDefault="000B0CE4" w:rsidP="0027529D">
      <w:pPr>
        <w:pStyle w:val="ListParagraph"/>
        <w:numPr>
          <w:ilvl w:val="1"/>
          <w:numId w:val="22"/>
        </w:numPr>
        <w:spacing w:line="240" w:lineRule="auto"/>
        <w:rPr>
          <w:rFonts w:cstheme="minorHAnsi"/>
        </w:rPr>
      </w:pPr>
      <w:r>
        <w:rPr>
          <w:rFonts w:cstheme="minorHAnsi"/>
        </w:rPr>
        <w:t>Complete field notes</w:t>
      </w:r>
    </w:p>
    <w:p w14:paraId="292CF126" w14:textId="77777777" w:rsidR="000B0CE4" w:rsidRDefault="000B0CE4" w:rsidP="0027529D">
      <w:pPr>
        <w:pStyle w:val="ListParagraph"/>
        <w:numPr>
          <w:ilvl w:val="1"/>
          <w:numId w:val="22"/>
        </w:numPr>
        <w:spacing w:line="240" w:lineRule="auto"/>
        <w:rPr>
          <w:rFonts w:cstheme="minorHAnsi"/>
        </w:rPr>
      </w:pPr>
      <w:r>
        <w:rPr>
          <w:rFonts w:cstheme="minorHAnsi"/>
        </w:rPr>
        <w:t>Follow up any issues identified including EAG advise if appropriate</w:t>
      </w:r>
    </w:p>
    <w:p w14:paraId="3C2BF79A" w14:textId="77777777" w:rsidR="000B0CE4" w:rsidRDefault="000B0CE4" w:rsidP="0027529D">
      <w:pPr>
        <w:pStyle w:val="ListParagraph"/>
        <w:numPr>
          <w:ilvl w:val="1"/>
          <w:numId w:val="22"/>
        </w:numPr>
        <w:spacing w:line="240" w:lineRule="auto"/>
        <w:rPr>
          <w:rFonts w:cstheme="minorHAnsi"/>
        </w:rPr>
      </w:pPr>
      <w:r>
        <w:rPr>
          <w:rFonts w:cstheme="minorHAnsi"/>
        </w:rPr>
        <w:t>Keep activities within scope of project</w:t>
      </w:r>
    </w:p>
    <w:p w14:paraId="7DC69CA4" w14:textId="77777777" w:rsidR="000B0CE4" w:rsidRDefault="000B0CE4" w:rsidP="0027529D">
      <w:pPr>
        <w:pStyle w:val="ListParagraph"/>
        <w:numPr>
          <w:ilvl w:val="1"/>
          <w:numId w:val="22"/>
        </w:numPr>
        <w:spacing w:line="240" w:lineRule="auto"/>
        <w:rPr>
          <w:rFonts w:cstheme="minorHAnsi"/>
        </w:rPr>
      </w:pPr>
      <w:r>
        <w:rPr>
          <w:rFonts w:cstheme="minorHAnsi"/>
        </w:rPr>
        <w:t xml:space="preserve">Work with teams to resolve roadblocks </w:t>
      </w:r>
    </w:p>
    <w:p w14:paraId="47744DA4" w14:textId="77777777" w:rsidR="000B0CE4" w:rsidRDefault="000B0CE4" w:rsidP="0027529D">
      <w:pPr>
        <w:pStyle w:val="ListParagraph"/>
        <w:spacing w:line="240" w:lineRule="auto"/>
        <w:rPr>
          <w:rFonts w:cstheme="minorHAnsi"/>
        </w:rPr>
      </w:pPr>
    </w:p>
    <w:p w14:paraId="53D37567" w14:textId="737821F8" w:rsidR="000B0CE4" w:rsidRDefault="000B0CE4" w:rsidP="00932546">
      <w:pPr>
        <w:spacing w:before="240" w:after="0" w:line="240" w:lineRule="auto"/>
        <w:rPr>
          <w:rFonts w:cstheme="minorHAnsi"/>
        </w:rPr>
      </w:pPr>
      <w:r>
        <w:rPr>
          <w:rFonts w:cstheme="minorHAnsi"/>
          <w:b/>
          <w:bCs/>
          <w:szCs w:val="22"/>
        </w:rPr>
        <w:t>3</w:t>
      </w:r>
      <w:r w:rsidR="00CE6052">
        <w:rPr>
          <w:rFonts w:cstheme="minorHAnsi"/>
          <w:b/>
          <w:bCs/>
          <w:szCs w:val="22"/>
        </w:rPr>
        <w:t>)</w:t>
      </w:r>
      <w:r>
        <w:rPr>
          <w:rFonts w:cstheme="minorHAnsi"/>
          <w:b/>
          <w:bCs/>
          <w:szCs w:val="22"/>
        </w:rPr>
        <w:t xml:space="preserve"> </w:t>
      </w:r>
      <w:r w:rsidRPr="00D94D9C">
        <w:rPr>
          <w:rFonts w:cstheme="minorHAnsi"/>
          <w:b/>
          <w:bCs/>
          <w:szCs w:val="22"/>
        </w:rPr>
        <w:t>TEST</w:t>
      </w:r>
      <w:r>
        <w:rPr>
          <w:rFonts w:cstheme="minorHAnsi"/>
          <w:b/>
          <w:bCs/>
          <w:szCs w:val="22"/>
        </w:rPr>
        <w:t xml:space="preserve"> </w:t>
      </w:r>
      <w:r>
        <w:rPr>
          <w:rFonts w:cstheme="minorHAnsi"/>
        </w:rPr>
        <w:t>(~ 5 months May to September 2024)</w:t>
      </w:r>
    </w:p>
    <w:p w14:paraId="724BCEAD" w14:textId="77777777" w:rsidR="000B0CE4" w:rsidRPr="00975DB2" w:rsidRDefault="000B0CE4" w:rsidP="00932546">
      <w:pPr>
        <w:spacing w:before="240" w:after="240" w:line="240" w:lineRule="auto"/>
        <w:rPr>
          <w:rFonts w:cstheme="minorHAnsi"/>
          <w:b/>
          <w:bCs/>
        </w:rPr>
      </w:pPr>
      <w:r>
        <w:rPr>
          <w:rFonts w:cstheme="minorHAnsi"/>
          <w:b/>
          <w:bCs/>
        </w:rPr>
        <w:t>3.1 P</w:t>
      </w:r>
      <w:r w:rsidRPr="00975DB2">
        <w:rPr>
          <w:rFonts w:cstheme="minorHAnsi"/>
          <w:b/>
          <w:bCs/>
        </w:rPr>
        <w:t>articipant activities</w:t>
      </w:r>
    </w:p>
    <w:p w14:paraId="6144B004" w14:textId="77777777" w:rsidR="000B0CE4" w:rsidRDefault="000B0CE4" w:rsidP="000866C4">
      <w:pPr>
        <w:pStyle w:val="ListParagraph"/>
        <w:numPr>
          <w:ilvl w:val="0"/>
          <w:numId w:val="22"/>
        </w:numPr>
        <w:spacing w:line="240" w:lineRule="auto"/>
        <w:rPr>
          <w:rFonts w:cstheme="minorHAnsi"/>
        </w:rPr>
      </w:pPr>
      <w:r>
        <w:rPr>
          <w:rFonts w:cstheme="minorHAnsi"/>
        </w:rPr>
        <w:t>Use of DEWS tools begins (spread now includes all clinical team)</w:t>
      </w:r>
    </w:p>
    <w:p w14:paraId="23217C52" w14:textId="77777777" w:rsidR="000B0CE4" w:rsidRDefault="000B0CE4" w:rsidP="00CA1A74">
      <w:pPr>
        <w:pStyle w:val="ListParagraph"/>
        <w:numPr>
          <w:ilvl w:val="1"/>
          <w:numId w:val="22"/>
        </w:numPr>
        <w:spacing w:line="240" w:lineRule="auto"/>
        <w:rPr>
          <w:rFonts w:cstheme="minorHAnsi"/>
        </w:rPr>
      </w:pPr>
      <w:r>
        <w:rPr>
          <w:rFonts w:cstheme="minorHAnsi"/>
        </w:rPr>
        <w:t>Healthcare assistant document Quick DEWS status once per shift</w:t>
      </w:r>
    </w:p>
    <w:p w14:paraId="56AB1AB9" w14:textId="77777777" w:rsidR="000B0CE4" w:rsidRDefault="000B0CE4" w:rsidP="00CA1A74">
      <w:pPr>
        <w:pStyle w:val="ListParagraph"/>
        <w:numPr>
          <w:ilvl w:val="1"/>
          <w:numId w:val="22"/>
        </w:numPr>
        <w:spacing w:line="240" w:lineRule="auto"/>
        <w:rPr>
          <w:rFonts w:cstheme="minorHAnsi"/>
        </w:rPr>
      </w:pPr>
      <w:r>
        <w:rPr>
          <w:rFonts w:cstheme="minorHAnsi"/>
        </w:rPr>
        <w:t>DEWS-RN assessment occurs if Quick DEWS is triggered</w:t>
      </w:r>
    </w:p>
    <w:p w14:paraId="7D2D093D" w14:textId="77777777" w:rsidR="000B0CE4" w:rsidRDefault="000B0CE4" w:rsidP="00CA1A74">
      <w:pPr>
        <w:pStyle w:val="ListParagraph"/>
        <w:numPr>
          <w:ilvl w:val="1"/>
          <w:numId w:val="22"/>
        </w:numPr>
        <w:spacing w:after="120" w:line="240" w:lineRule="auto"/>
        <w:ind w:left="1434" w:hanging="357"/>
        <w:contextualSpacing w:val="0"/>
        <w:rPr>
          <w:rFonts w:cstheme="minorHAnsi"/>
        </w:rPr>
      </w:pPr>
      <w:r>
        <w:rPr>
          <w:rFonts w:cstheme="minorHAnsi"/>
        </w:rPr>
        <w:t xml:space="preserve">SBARR-DEWS completed for referral to primary care / next service as required.  </w:t>
      </w:r>
    </w:p>
    <w:p w14:paraId="43C867CA" w14:textId="77777777" w:rsidR="000B0CE4" w:rsidRDefault="000B0CE4" w:rsidP="00B967AB">
      <w:pPr>
        <w:pStyle w:val="ListParagraph"/>
        <w:numPr>
          <w:ilvl w:val="0"/>
          <w:numId w:val="22"/>
        </w:numPr>
        <w:spacing w:before="120" w:after="0" w:line="240" w:lineRule="auto"/>
        <w:ind w:left="714" w:hanging="357"/>
        <w:contextualSpacing w:val="0"/>
        <w:rPr>
          <w:rFonts w:cstheme="minorHAnsi"/>
        </w:rPr>
      </w:pPr>
      <w:r>
        <w:rPr>
          <w:rFonts w:cstheme="minorHAnsi"/>
        </w:rPr>
        <w:t>Manage issues of DEWS tools use as they arise</w:t>
      </w:r>
    </w:p>
    <w:p w14:paraId="7A428952" w14:textId="77777777" w:rsidR="000B0CE4" w:rsidRDefault="000B0CE4" w:rsidP="00CA1A74">
      <w:pPr>
        <w:pStyle w:val="ListParagraph"/>
        <w:numPr>
          <w:ilvl w:val="0"/>
          <w:numId w:val="22"/>
        </w:numPr>
        <w:spacing w:before="120" w:after="0" w:line="240" w:lineRule="auto"/>
        <w:ind w:left="714" w:hanging="357"/>
        <w:contextualSpacing w:val="0"/>
        <w:rPr>
          <w:rFonts w:cstheme="minorHAnsi"/>
        </w:rPr>
      </w:pPr>
      <w:r>
        <w:rPr>
          <w:rFonts w:cstheme="minorHAnsi"/>
        </w:rPr>
        <w:t xml:space="preserve">Collect and provide data to investigators </w:t>
      </w:r>
    </w:p>
    <w:p w14:paraId="659AFFEE" w14:textId="77777777" w:rsidR="000B0CE4" w:rsidRDefault="000B0CE4" w:rsidP="002E5A9A">
      <w:pPr>
        <w:pStyle w:val="ListParagraph"/>
        <w:numPr>
          <w:ilvl w:val="1"/>
          <w:numId w:val="22"/>
        </w:numPr>
        <w:spacing w:after="0" w:line="240" w:lineRule="auto"/>
        <w:ind w:left="1434" w:hanging="357"/>
        <w:contextualSpacing w:val="0"/>
        <w:rPr>
          <w:rFonts w:cstheme="minorHAnsi"/>
        </w:rPr>
      </w:pPr>
      <w:r>
        <w:rPr>
          <w:rFonts w:cstheme="minorHAnsi"/>
        </w:rPr>
        <w:t>Identify any issues with data collection</w:t>
      </w:r>
    </w:p>
    <w:p w14:paraId="06593218" w14:textId="77777777" w:rsidR="000B0CE4" w:rsidRDefault="000B0CE4" w:rsidP="002E5A9A">
      <w:pPr>
        <w:pStyle w:val="ListParagraph"/>
        <w:numPr>
          <w:ilvl w:val="1"/>
          <w:numId w:val="22"/>
        </w:numPr>
        <w:spacing w:after="0" w:line="240" w:lineRule="auto"/>
        <w:ind w:left="1434" w:hanging="357"/>
        <w:contextualSpacing w:val="0"/>
        <w:rPr>
          <w:rFonts w:cstheme="minorHAnsi"/>
        </w:rPr>
      </w:pPr>
      <w:r>
        <w:rPr>
          <w:rFonts w:cstheme="minorHAnsi"/>
        </w:rPr>
        <w:t>Use data collection to identify issue with testing</w:t>
      </w:r>
    </w:p>
    <w:p w14:paraId="26E37406" w14:textId="77777777" w:rsidR="000B0CE4" w:rsidRDefault="000B0CE4" w:rsidP="00B967AB">
      <w:pPr>
        <w:pStyle w:val="ListParagraph"/>
        <w:numPr>
          <w:ilvl w:val="0"/>
          <w:numId w:val="22"/>
        </w:numPr>
        <w:spacing w:before="240" w:after="0" w:line="240" w:lineRule="auto"/>
        <w:ind w:left="714" w:hanging="357"/>
        <w:contextualSpacing w:val="0"/>
        <w:rPr>
          <w:rFonts w:cstheme="minorHAnsi"/>
        </w:rPr>
      </w:pPr>
      <w:r>
        <w:rPr>
          <w:rFonts w:cstheme="minorHAnsi"/>
        </w:rPr>
        <w:lastRenderedPageBreak/>
        <w:t>Virtual meetings: ARC project team attend every two weeks with investigators and other ARC facility project teams</w:t>
      </w:r>
    </w:p>
    <w:p w14:paraId="7EE6D195" w14:textId="33802066" w:rsidR="000B0CE4" w:rsidRDefault="000B0CE4" w:rsidP="00B967AB">
      <w:pPr>
        <w:pStyle w:val="ListParagraph"/>
        <w:numPr>
          <w:ilvl w:val="1"/>
          <w:numId w:val="22"/>
        </w:numPr>
        <w:spacing w:after="100" w:afterAutospacing="1" w:line="240" w:lineRule="auto"/>
        <w:ind w:left="1434" w:hanging="357"/>
        <w:contextualSpacing w:val="0"/>
        <w:rPr>
          <w:rFonts w:cstheme="minorHAnsi"/>
        </w:rPr>
      </w:pPr>
      <w:r>
        <w:rPr>
          <w:rFonts w:cstheme="minorHAnsi"/>
        </w:rPr>
        <w:t xml:space="preserve">TIME </w:t>
      </w:r>
      <w:r w:rsidR="009E1557">
        <w:rPr>
          <w:rFonts w:cstheme="minorHAnsi"/>
        </w:rPr>
        <w:t>8</w:t>
      </w:r>
      <w:r>
        <w:rPr>
          <w:rFonts w:cstheme="minorHAnsi"/>
        </w:rPr>
        <w:t xml:space="preserve"> to </w:t>
      </w:r>
      <w:r w:rsidR="009E1557">
        <w:rPr>
          <w:rFonts w:cstheme="minorHAnsi"/>
        </w:rPr>
        <w:t>9</w:t>
      </w:r>
      <w:r>
        <w:rPr>
          <w:rFonts w:cstheme="minorHAnsi"/>
        </w:rPr>
        <w:t xml:space="preserve"> meetings of 1 hour via zoom for ARC project team / team representative (ARC decision whether this complete ARC project team or representative)</w:t>
      </w:r>
    </w:p>
    <w:p w14:paraId="7803454D" w14:textId="77777777" w:rsidR="000B0CE4" w:rsidRDefault="000B0CE4" w:rsidP="00CA1A74">
      <w:pPr>
        <w:pStyle w:val="ListParagraph"/>
        <w:numPr>
          <w:ilvl w:val="1"/>
          <w:numId w:val="22"/>
        </w:numPr>
        <w:spacing w:line="240" w:lineRule="auto"/>
        <w:rPr>
          <w:rFonts w:cstheme="minorHAnsi"/>
        </w:rPr>
      </w:pPr>
      <w:r>
        <w:rPr>
          <w:rFonts w:cstheme="minorHAnsi"/>
        </w:rPr>
        <w:t xml:space="preserve">Update on testing progress </w:t>
      </w:r>
    </w:p>
    <w:p w14:paraId="308684B3" w14:textId="77777777" w:rsidR="000B0CE4" w:rsidRDefault="000B0CE4" w:rsidP="00CA1A74">
      <w:pPr>
        <w:pStyle w:val="ListParagraph"/>
        <w:numPr>
          <w:ilvl w:val="1"/>
          <w:numId w:val="22"/>
        </w:numPr>
        <w:spacing w:line="240" w:lineRule="auto"/>
        <w:rPr>
          <w:rFonts w:cstheme="minorHAnsi"/>
        </w:rPr>
      </w:pPr>
      <w:r>
        <w:rPr>
          <w:rFonts w:cstheme="minorHAnsi"/>
        </w:rPr>
        <w:t>Trouble shoot and revise plans / timelines</w:t>
      </w:r>
    </w:p>
    <w:p w14:paraId="339D85E5" w14:textId="77777777" w:rsidR="000B0CE4" w:rsidRDefault="000B0CE4" w:rsidP="00CA1A74">
      <w:pPr>
        <w:pStyle w:val="ListParagraph"/>
        <w:numPr>
          <w:ilvl w:val="1"/>
          <w:numId w:val="22"/>
        </w:numPr>
        <w:spacing w:line="240" w:lineRule="auto"/>
        <w:rPr>
          <w:rFonts w:cstheme="minorHAnsi"/>
        </w:rPr>
      </w:pPr>
      <w:r>
        <w:rPr>
          <w:rFonts w:cstheme="minorHAnsi"/>
        </w:rPr>
        <w:t>Collective on-the-spot problem solving of issue(s) identified</w:t>
      </w:r>
    </w:p>
    <w:p w14:paraId="3D2664E1" w14:textId="77777777" w:rsidR="000B0CE4" w:rsidRDefault="000B0CE4" w:rsidP="00CE0C5B">
      <w:pPr>
        <w:pStyle w:val="ListParagraph"/>
        <w:numPr>
          <w:ilvl w:val="1"/>
          <w:numId w:val="22"/>
        </w:numPr>
        <w:spacing w:after="0" w:line="240" w:lineRule="auto"/>
        <w:ind w:left="1434" w:hanging="357"/>
        <w:contextualSpacing w:val="0"/>
        <w:rPr>
          <w:rFonts w:cstheme="minorHAnsi"/>
        </w:rPr>
      </w:pPr>
      <w:r>
        <w:rPr>
          <w:rFonts w:cstheme="minorHAnsi"/>
        </w:rPr>
        <w:t>Narrative examples of use of tools</w:t>
      </w:r>
    </w:p>
    <w:p w14:paraId="04F8D88B" w14:textId="77777777" w:rsidR="000B0CE4" w:rsidRDefault="000B0CE4" w:rsidP="00CE0C5B">
      <w:pPr>
        <w:pStyle w:val="ListParagraph"/>
        <w:numPr>
          <w:ilvl w:val="1"/>
          <w:numId w:val="22"/>
        </w:numPr>
        <w:spacing w:after="0" w:line="240" w:lineRule="auto"/>
        <w:ind w:left="1434" w:hanging="357"/>
        <w:contextualSpacing w:val="0"/>
        <w:rPr>
          <w:rFonts w:cstheme="minorHAnsi"/>
        </w:rPr>
      </w:pPr>
      <w:r>
        <w:rPr>
          <w:rFonts w:cstheme="minorHAnsi"/>
        </w:rPr>
        <w:t>Building peer networks</w:t>
      </w:r>
    </w:p>
    <w:p w14:paraId="599806F0" w14:textId="77777777" w:rsidR="000B0CE4" w:rsidRPr="00CE0C5B" w:rsidRDefault="000B0CE4" w:rsidP="00CE0C5B">
      <w:pPr>
        <w:spacing w:line="240" w:lineRule="auto"/>
        <w:rPr>
          <w:rFonts w:cstheme="minorHAnsi"/>
        </w:rPr>
      </w:pPr>
    </w:p>
    <w:p w14:paraId="384F191A" w14:textId="77777777" w:rsidR="000B0CE4" w:rsidRDefault="000B0CE4" w:rsidP="00E068A5">
      <w:pPr>
        <w:pStyle w:val="ListParagraph"/>
        <w:numPr>
          <w:ilvl w:val="0"/>
          <w:numId w:val="22"/>
        </w:numPr>
        <w:spacing w:line="240" w:lineRule="auto"/>
        <w:rPr>
          <w:rFonts w:cstheme="minorHAnsi"/>
        </w:rPr>
      </w:pPr>
      <w:r>
        <w:rPr>
          <w:rFonts w:cstheme="minorHAnsi"/>
        </w:rPr>
        <w:t>ARC project team (participants) host one planned site visit from investigators</w:t>
      </w:r>
    </w:p>
    <w:p w14:paraId="4D82D435" w14:textId="539345BD" w:rsidR="000B0CE4" w:rsidRDefault="000B0CE4" w:rsidP="00E068A5">
      <w:pPr>
        <w:pStyle w:val="ListParagraph"/>
        <w:numPr>
          <w:ilvl w:val="1"/>
          <w:numId w:val="22"/>
        </w:numPr>
        <w:spacing w:line="240" w:lineRule="auto"/>
        <w:rPr>
          <w:rFonts w:cstheme="minorHAnsi"/>
        </w:rPr>
      </w:pPr>
      <w:r w:rsidRPr="00422B92">
        <w:rPr>
          <w:rFonts w:cstheme="minorHAnsi"/>
        </w:rPr>
        <w:t>TIME: half</w:t>
      </w:r>
      <w:r w:rsidR="00C653F8">
        <w:rPr>
          <w:rFonts w:cstheme="minorHAnsi"/>
        </w:rPr>
        <w:t>-</w:t>
      </w:r>
      <w:r w:rsidRPr="00422B92">
        <w:rPr>
          <w:rFonts w:cstheme="minorHAnsi"/>
        </w:rPr>
        <w:t>day visit (4 hours) ARC team will need to structure this visit</w:t>
      </w:r>
      <w:r>
        <w:rPr>
          <w:rFonts w:cstheme="minorHAnsi"/>
        </w:rPr>
        <w:t xml:space="preserve"> to get most from the Project Leadership Team</w:t>
      </w:r>
      <w:r w:rsidRPr="00422B92">
        <w:rPr>
          <w:rFonts w:cstheme="minorHAnsi"/>
        </w:rPr>
        <w:t>.  The face</w:t>
      </w:r>
      <w:r w:rsidR="00C653F8">
        <w:rPr>
          <w:rFonts w:cstheme="minorHAnsi"/>
        </w:rPr>
        <w:t>-</w:t>
      </w:r>
      <w:r w:rsidRPr="00422B92">
        <w:rPr>
          <w:rFonts w:cstheme="minorHAnsi"/>
        </w:rPr>
        <w:t>to</w:t>
      </w:r>
      <w:r w:rsidR="00C653F8">
        <w:rPr>
          <w:rFonts w:cstheme="minorHAnsi"/>
        </w:rPr>
        <w:t>-</w:t>
      </w:r>
      <w:r w:rsidRPr="00422B92">
        <w:rPr>
          <w:rFonts w:cstheme="minorHAnsi"/>
        </w:rPr>
        <w:t xml:space="preserve">face time with investigating team may be </w:t>
      </w:r>
      <w:r>
        <w:rPr>
          <w:rFonts w:cstheme="minorHAnsi"/>
        </w:rPr>
        <w:t>delegated to appropriate</w:t>
      </w:r>
      <w:r w:rsidRPr="00422B92">
        <w:rPr>
          <w:rFonts w:cstheme="minorHAnsi"/>
        </w:rPr>
        <w:t xml:space="preserve"> ARC team members</w:t>
      </w:r>
      <w:r>
        <w:rPr>
          <w:rFonts w:cstheme="minorHAnsi"/>
        </w:rPr>
        <w:t>.  Aim of visit is to:</w:t>
      </w:r>
    </w:p>
    <w:p w14:paraId="2F13E652" w14:textId="77777777" w:rsidR="000B0CE4" w:rsidRDefault="000B0CE4" w:rsidP="00E068A5">
      <w:pPr>
        <w:pStyle w:val="ListParagraph"/>
        <w:numPr>
          <w:ilvl w:val="2"/>
          <w:numId w:val="22"/>
        </w:numPr>
        <w:spacing w:line="240" w:lineRule="auto"/>
        <w:rPr>
          <w:rFonts w:cstheme="minorHAnsi"/>
        </w:rPr>
      </w:pPr>
      <w:r>
        <w:rPr>
          <w:rFonts w:cstheme="minorHAnsi"/>
        </w:rPr>
        <w:t>Get a formative understanding of progress</w:t>
      </w:r>
    </w:p>
    <w:p w14:paraId="2977B54D" w14:textId="77777777" w:rsidR="000B0CE4" w:rsidRDefault="000B0CE4" w:rsidP="00E068A5">
      <w:pPr>
        <w:pStyle w:val="ListParagraph"/>
        <w:numPr>
          <w:ilvl w:val="2"/>
          <w:numId w:val="22"/>
        </w:numPr>
        <w:spacing w:after="0" w:line="240" w:lineRule="auto"/>
        <w:ind w:left="2154" w:hanging="357"/>
        <w:contextualSpacing w:val="0"/>
        <w:rPr>
          <w:rFonts w:cstheme="minorHAnsi"/>
        </w:rPr>
      </w:pPr>
      <w:r>
        <w:rPr>
          <w:rFonts w:cstheme="minorHAnsi"/>
        </w:rPr>
        <w:t xml:space="preserve">Provide support for ARC team (such as talk to staff or help with data collection), understand practical issues, celebrate successes and unpack challenges </w:t>
      </w:r>
    </w:p>
    <w:p w14:paraId="707318D2" w14:textId="77777777" w:rsidR="000B0CE4" w:rsidRDefault="000B0CE4" w:rsidP="00B967AB">
      <w:pPr>
        <w:pStyle w:val="ListParagraph"/>
        <w:numPr>
          <w:ilvl w:val="0"/>
          <w:numId w:val="22"/>
        </w:numPr>
        <w:spacing w:before="240" w:after="0" w:line="240" w:lineRule="auto"/>
        <w:ind w:left="714" w:hanging="357"/>
        <w:contextualSpacing w:val="0"/>
        <w:rPr>
          <w:rFonts w:cstheme="minorHAnsi"/>
        </w:rPr>
      </w:pPr>
      <w:r>
        <w:rPr>
          <w:rFonts w:cstheme="minorHAnsi"/>
        </w:rPr>
        <w:t>Work with Project Leadership team to schedule and organise evaluation interviews / hui for ~October 2024</w:t>
      </w:r>
    </w:p>
    <w:p w14:paraId="0A8C25EE" w14:textId="77777777" w:rsidR="000B0CE4" w:rsidRDefault="000B0CE4" w:rsidP="007A4033">
      <w:pPr>
        <w:pStyle w:val="ListParagraph"/>
        <w:numPr>
          <w:ilvl w:val="1"/>
          <w:numId w:val="22"/>
        </w:numPr>
        <w:spacing w:line="240" w:lineRule="auto"/>
        <w:rPr>
          <w:rFonts w:cstheme="minorHAnsi"/>
        </w:rPr>
      </w:pPr>
      <w:r>
        <w:rPr>
          <w:rFonts w:cstheme="minorHAnsi"/>
        </w:rPr>
        <w:t xml:space="preserve">The interview method (focus group or individual, face to face or zoom) will be determined by that which places least demand on participating facility and staff (determine by ARC).  </w:t>
      </w:r>
    </w:p>
    <w:p w14:paraId="3D97D5D5" w14:textId="77777777" w:rsidR="000B0CE4" w:rsidRDefault="000B0CE4" w:rsidP="007A4033">
      <w:pPr>
        <w:pStyle w:val="ListParagraph"/>
        <w:numPr>
          <w:ilvl w:val="1"/>
          <w:numId w:val="22"/>
        </w:numPr>
        <w:spacing w:line="240" w:lineRule="auto"/>
        <w:rPr>
          <w:rFonts w:cstheme="minorHAnsi"/>
        </w:rPr>
      </w:pPr>
      <w:r>
        <w:rPr>
          <w:rFonts w:cstheme="minorHAnsi"/>
        </w:rPr>
        <w:t>Healthcare staff consent for this process will be required (</w:t>
      </w:r>
      <w:proofErr w:type="spellStart"/>
      <w:r>
        <w:rPr>
          <w:rFonts w:cstheme="minorHAnsi"/>
        </w:rPr>
        <w:t>ie</w:t>
      </w:r>
      <w:proofErr w:type="spellEnd"/>
      <w:r>
        <w:rPr>
          <w:rFonts w:cstheme="minorHAnsi"/>
        </w:rPr>
        <w:t xml:space="preserve"> voluntary feedback)</w:t>
      </w:r>
    </w:p>
    <w:p w14:paraId="04F312F7" w14:textId="77777777" w:rsidR="000B0CE4" w:rsidRDefault="000B0CE4" w:rsidP="007A4033">
      <w:pPr>
        <w:pStyle w:val="ListParagraph"/>
        <w:numPr>
          <w:ilvl w:val="2"/>
          <w:numId w:val="22"/>
        </w:numPr>
        <w:spacing w:line="240" w:lineRule="auto"/>
        <w:rPr>
          <w:rFonts w:cstheme="minorHAnsi"/>
        </w:rPr>
      </w:pPr>
      <w:r>
        <w:rPr>
          <w:rFonts w:cstheme="minorHAnsi"/>
        </w:rPr>
        <w:t>Ideally includes interview with primary care and/or other service that received referral from staff during DEWS testing</w:t>
      </w:r>
    </w:p>
    <w:p w14:paraId="7C2B4540" w14:textId="77777777" w:rsidR="000B0CE4" w:rsidRPr="00B967AB" w:rsidRDefault="000B0CE4" w:rsidP="00B967AB">
      <w:pPr>
        <w:spacing w:before="240" w:line="240" w:lineRule="auto"/>
        <w:rPr>
          <w:rFonts w:cstheme="minorHAnsi"/>
          <w:b/>
          <w:bCs/>
        </w:rPr>
      </w:pPr>
      <w:r>
        <w:rPr>
          <w:rFonts w:cstheme="minorHAnsi"/>
          <w:b/>
          <w:bCs/>
        </w:rPr>
        <w:t xml:space="preserve">3.2 </w:t>
      </w:r>
      <w:r w:rsidRPr="00B967AB">
        <w:rPr>
          <w:rFonts w:cstheme="minorHAnsi"/>
          <w:b/>
          <w:bCs/>
        </w:rPr>
        <w:t xml:space="preserve">Investigator responsibilities </w:t>
      </w:r>
    </w:p>
    <w:p w14:paraId="230C98F2" w14:textId="53E737A7" w:rsidR="000B0CE4" w:rsidRDefault="000B0CE4" w:rsidP="00B967AB">
      <w:pPr>
        <w:pStyle w:val="ListParagraph"/>
        <w:numPr>
          <w:ilvl w:val="0"/>
          <w:numId w:val="22"/>
        </w:numPr>
        <w:spacing w:line="240" w:lineRule="auto"/>
        <w:rPr>
          <w:rFonts w:cstheme="minorHAnsi"/>
        </w:rPr>
      </w:pPr>
      <w:r>
        <w:rPr>
          <w:rFonts w:cstheme="minorHAnsi"/>
        </w:rPr>
        <w:t>Feasibility study progress points; online forum every two weeks with all ARC teams to document process, troubleshoot, pragmatic revision of timelines / objectives if required, review and discuss data collection.</w:t>
      </w:r>
    </w:p>
    <w:p w14:paraId="35543695" w14:textId="77777777" w:rsidR="000B0CE4" w:rsidRDefault="000B0CE4" w:rsidP="00E068A5">
      <w:pPr>
        <w:pStyle w:val="ListParagraph"/>
        <w:numPr>
          <w:ilvl w:val="1"/>
          <w:numId w:val="22"/>
        </w:numPr>
        <w:spacing w:after="120" w:line="240" w:lineRule="auto"/>
        <w:ind w:left="1434" w:hanging="357"/>
        <w:contextualSpacing w:val="0"/>
        <w:rPr>
          <w:rFonts w:cstheme="minorHAnsi"/>
        </w:rPr>
      </w:pPr>
      <w:r>
        <w:rPr>
          <w:rFonts w:cstheme="minorHAnsi"/>
        </w:rPr>
        <w:t xml:space="preserve">Option to do this as single site only, for site specific discussion and discussion of items that ARC facilities may not feel comfortable discussion in an open forum. </w:t>
      </w:r>
    </w:p>
    <w:p w14:paraId="7ABED495" w14:textId="77777777" w:rsidR="000B0CE4" w:rsidRPr="00E068A5" w:rsidRDefault="000B0CE4" w:rsidP="00763EA1">
      <w:pPr>
        <w:pStyle w:val="ListParagraph"/>
        <w:numPr>
          <w:ilvl w:val="0"/>
          <w:numId w:val="22"/>
        </w:numPr>
        <w:spacing w:before="120" w:after="0" w:line="240" w:lineRule="auto"/>
        <w:ind w:left="714" w:hanging="357"/>
        <w:contextualSpacing w:val="0"/>
        <w:rPr>
          <w:rFonts w:cstheme="minorHAnsi"/>
        </w:rPr>
      </w:pPr>
      <w:r w:rsidRPr="00E068A5">
        <w:rPr>
          <w:rFonts w:cstheme="minorHAnsi"/>
        </w:rPr>
        <w:t>On-site visit to support, trouble shooting, maintain momentum and understand how DEWS tools have been socialised as part of formative evaluation (investigators make field notes)</w:t>
      </w:r>
    </w:p>
    <w:p w14:paraId="05EE4BE6" w14:textId="77777777" w:rsidR="000B0CE4" w:rsidRDefault="000B0CE4" w:rsidP="00763EA1">
      <w:pPr>
        <w:pStyle w:val="ListParagraph"/>
        <w:numPr>
          <w:ilvl w:val="1"/>
          <w:numId w:val="22"/>
        </w:numPr>
        <w:spacing w:after="120" w:line="240" w:lineRule="auto"/>
        <w:ind w:left="1434" w:hanging="357"/>
        <w:contextualSpacing w:val="0"/>
        <w:rPr>
          <w:rFonts w:cstheme="minorHAnsi"/>
        </w:rPr>
      </w:pPr>
      <w:r>
        <w:rPr>
          <w:rFonts w:cstheme="minorHAnsi"/>
        </w:rPr>
        <w:t>Understand from ARC team specific support is required.</w:t>
      </w:r>
    </w:p>
    <w:p w14:paraId="21E25C19" w14:textId="77777777" w:rsidR="000B0CE4" w:rsidRDefault="000B0CE4" w:rsidP="00763EA1">
      <w:pPr>
        <w:pStyle w:val="ListParagraph"/>
        <w:numPr>
          <w:ilvl w:val="0"/>
          <w:numId w:val="22"/>
        </w:numPr>
        <w:spacing w:before="240" w:after="0" w:line="240" w:lineRule="auto"/>
        <w:rPr>
          <w:rFonts w:cstheme="minorHAnsi"/>
        </w:rPr>
      </w:pPr>
      <w:r w:rsidRPr="00763EA1">
        <w:rPr>
          <w:rFonts w:cstheme="minorHAnsi"/>
        </w:rPr>
        <w:t>Re</w:t>
      </w:r>
      <w:r>
        <w:rPr>
          <w:rFonts w:cstheme="minorHAnsi"/>
        </w:rPr>
        <w:t xml:space="preserve">view </w:t>
      </w:r>
      <w:r w:rsidRPr="00763EA1">
        <w:rPr>
          <w:rFonts w:cstheme="minorHAnsi"/>
        </w:rPr>
        <w:t>data collect</w:t>
      </w:r>
      <w:r>
        <w:rPr>
          <w:rFonts w:cstheme="minorHAnsi"/>
        </w:rPr>
        <w:t xml:space="preserve">ed and submitted by ARC sites </w:t>
      </w:r>
      <w:r w:rsidRPr="00763EA1">
        <w:rPr>
          <w:rFonts w:cstheme="minorHAnsi"/>
        </w:rPr>
        <w:t xml:space="preserve">and </w:t>
      </w:r>
      <w:r>
        <w:rPr>
          <w:rFonts w:cstheme="minorHAnsi"/>
        </w:rPr>
        <w:t xml:space="preserve">provide </w:t>
      </w:r>
      <w:r w:rsidRPr="00763EA1">
        <w:rPr>
          <w:rFonts w:cstheme="minorHAnsi"/>
        </w:rPr>
        <w:t>feedback to ARC sites</w:t>
      </w:r>
      <w:r>
        <w:rPr>
          <w:rFonts w:cstheme="minorHAnsi"/>
        </w:rPr>
        <w:t xml:space="preserve"> so they have a measure of their progress</w:t>
      </w:r>
    </w:p>
    <w:p w14:paraId="03F3DEA3" w14:textId="77777777" w:rsidR="000B0CE4" w:rsidRPr="00763EA1" w:rsidRDefault="000B0CE4" w:rsidP="00763EA1">
      <w:pPr>
        <w:pStyle w:val="ListParagraph"/>
        <w:numPr>
          <w:ilvl w:val="0"/>
          <w:numId w:val="22"/>
        </w:numPr>
        <w:spacing w:before="120" w:after="0" w:line="240" w:lineRule="auto"/>
        <w:ind w:left="714" w:hanging="357"/>
        <w:contextualSpacing w:val="0"/>
        <w:rPr>
          <w:rFonts w:cstheme="minorHAnsi"/>
        </w:rPr>
      </w:pPr>
      <w:r>
        <w:rPr>
          <w:rFonts w:cstheme="minorHAnsi"/>
        </w:rPr>
        <w:t>Draft October evaluation meeting schedule</w:t>
      </w:r>
    </w:p>
    <w:p w14:paraId="3DB0C57E" w14:textId="77777777" w:rsidR="000B0CE4" w:rsidRDefault="000B0CE4" w:rsidP="00D94D9C">
      <w:pPr>
        <w:spacing w:before="240" w:after="0" w:line="240" w:lineRule="auto"/>
        <w:rPr>
          <w:rFonts w:cstheme="minorHAnsi"/>
          <w:b/>
          <w:bCs/>
          <w:szCs w:val="22"/>
        </w:rPr>
      </w:pPr>
    </w:p>
    <w:p w14:paraId="4195480B" w14:textId="62BC0D85" w:rsidR="000B0CE4" w:rsidRDefault="000B0CE4" w:rsidP="00763EA1">
      <w:pPr>
        <w:spacing w:before="240" w:after="0" w:line="240" w:lineRule="auto"/>
        <w:rPr>
          <w:rFonts w:cstheme="minorHAnsi"/>
        </w:rPr>
      </w:pPr>
      <w:r>
        <w:rPr>
          <w:rFonts w:cstheme="minorHAnsi"/>
          <w:b/>
          <w:bCs/>
          <w:szCs w:val="22"/>
        </w:rPr>
        <w:t>4</w:t>
      </w:r>
      <w:r w:rsidR="00CE6052">
        <w:rPr>
          <w:rFonts w:cstheme="minorHAnsi"/>
          <w:b/>
          <w:bCs/>
          <w:szCs w:val="22"/>
        </w:rPr>
        <w:t>)</w:t>
      </w:r>
      <w:r>
        <w:rPr>
          <w:rFonts w:cstheme="minorHAnsi"/>
          <w:b/>
          <w:bCs/>
          <w:szCs w:val="22"/>
        </w:rPr>
        <w:t xml:space="preserve"> </w:t>
      </w:r>
      <w:r w:rsidRPr="00D94D9C">
        <w:rPr>
          <w:rFonts w:cstheme="minorHAnsi"/>
          <w:b/>
          <w:bCs/>
          <w:szCs w:val="22"/>
        </w:rPr>
        <w:t>EVALUATE</w:t>
      </w:r>
      <w:r>
        <w:rPr>
          <w:rFonts w:cstheme="minorHAnsi"/>
          <w:b/>
          <w:bCs/>
          <w:szCs w:val="22"/>
        </w:rPr>
        <w:t xml:space="preserve"> </w:t>
      </w:r>
      <w:r>
        <w:rPr>
          <w:rFonts w:cstheme="minorHAnsi"/>
        </w:rPr>
        <w:t xml:space="preserve"> (~ 2 months October – November 2024) and follow up ~ 6 months)</w:t>
      </w:r>
    </w:p>
    <w:p w14:paraId="16F99C99" w14:textId="77777777" w:rsidR="000B0CE4" w:rsidRPr="00975DB2" w:rsidRDefault="000B0CE4" w:rsidP="00763EA1">
      <w:pPr>
        <w:spacing w:before="240" w:after="240" w:line="240" w:lineRule="auto"/>
        <w:rPr>
          <w:rFonts w:cstheme="minorHAnsi"/>
          <w:b/>
          <w:bCs/>
        </w:rPr>
      </w:pPr>
      <w:r>
        <w:rPr>
          <w:rFonts w:cstheme="minorHAnsi"/>
          <w:b/>
          <w:bCs/>
        </w:rPr>
        <w:t>4.1 P</w:t>
      </w:r>
      <w:r w:rsidRPr="00975DB2">
        <w:rPr>
          <w:rFonts w:cstheme="minorHAnsi"/>
          <w:b/>
          <w:bCs/>
        </w:rPr>
        <w:t>articipant activities</w:t>
      </w:r>
    </w:p>
    <w:p w14:paraId="00F961D1" w14:textId="77777777" w:rsidR="000B0CE4" w:rsidRPr="007A4033" w:rsidRDefault="000B0CE4" w:rsidP="007A4033">
      <w:pPr>
        <w:pStyle w:val="ListParagraph"/>
        <w:numPr>
          <w:ilvl w:val="0"/>
          <w:numId w:val="32"/>
        </w:numPr>
        <w:spacing w:line="240" w:lineRule="auto"/>
        <w:rPr>
          <w:rFonts w:cstheme="minorHAnsi"/>
        </w:rPr>
      </w:pPr>
      <w:r w:rsidRPr="007A4033">
        <w:rPr>
          <w:rFonts w:cstheme="minorHAnsi"/>
        </w:rPr>
        <w:t>Gather final data</w:t>
      </w:r>
    </w:p>
    <w:p w14:paraId="7A2A464B" w14:textId="77777777" w:rsidR="000B0CE4" w:rsidRDefault="000B0CE4" w:rsidP="007A4033">
      <w:pPr>
        <w:pStyle w:val="ListParagraph"/>
        <w:numPr>
          <w:ilvl w:val="1"/>
          <w:numId w:val="22"/>
        </w:numPr>
        <w:spacing w:after="0" w:line="240" w:lineRule="auto"/>
        <w:ind w:left="1434" w:hanging="357"/>
        <w:contextualSpacing w:val="0"/>
        <w:rPr>
          <w:rFonts w:cstheme="minorHAnsi"/>
        </w:rPr>
      </w:pPr>
      <w:r>
        <w:rPr>
          <w:rFonts w:cstheme="minorHAnsi"/>
        </w:rPr>
        <w:t>ARC project team provide final data includes resolving any data gaps</w:t>
      </w:r>
    </w:p>
    <w:p w14:paraId="42D7B45E" w14:textId="77777777" w:rsidR="000B0CE4" w:rsidRDefault="000B0CE4" w:rsidP="007A4033">
      <w:pPr>
        <w:pStyle w:val="ListParagraph"/>
        <w:numPr>
          <w:ilvl w:val="0"/>
          <w:numId w:val="22"/>
        </w:numPr>
        <w:spacing w:before="120" w:after="0" w:line="240" w:lineRule="auto"/>
        <w:ind w:left="714" w:hanging="357"/>
        <w:contextualSpacing w:val="0"/>
        <w:rPr>
          <w:rFonts w:cstheme="minorHAnsi"/>
        </w:rPr>
      </w:pPr>
      <w:r>
        <w:rPr>
          <w:rFonts w:cstheme="minorHAnsi"/>
        </w:rPr>
        <w:t xml:space="preserve">Participate in evaluation interviews: ARC project team and ARC staff semi-structured interviews </w:t>
      </w:r>
    </w:p>
    <w:p w14:paraId="682F4899" w14:textId="77777777" w:rsidR="000B0CE4" w:rsidRDefault="000B0CE4" w:rsidP="00763EA1">
      <w:pPr>
        <w:pStyle w:val="ListParagraph"/>
        <w:numPr>
          <w:ilvl w:val="1"/>
          <w:numId w:val="22"/>
        </w:numPr>
        <w:spacing w:line="240" w:lineRule="auto"/>
        <w:rPr>
          <w:rFonts w:cstheme="minorHAnsi"/>
        </w:rPr>
      </w:pPr>
      <w:r>
        <w:rPr>
          <w:rFonts w:cstheme="minorHAnsi"/>
        </w:rPr>
        <w:t xml:space="preserve">TIME interview will take up to 1 hour.  The interview method (focus group or individual, face to face or zoom) will be determined by that which places least demand on participating facility and staff (determine by ARC) aim to.  </w:t>
      </w:r>
    </w:p>
    <w:p w14:paraId="7900F63D" w14:textId="19E94D91" w:rsidR="000B0CE4" w:rsidRDefault="000B0CE4" w:rsidP="00763EA1">
      <w:pPr>
        <w:pStyle w:val="ListParagraph"/>
        <w:numPr>
          <w:ilvl w:val="2"/>
          <w:numId w:val="22"/>
        </w:numPr>
        <w:spacing w:line="240" w:lineRule="auto"/>
        <w:rPr>
          <w:rFonts w:cstheme="minorHAnsi"/>
        </w:rPr>
      </w:pPr>
      <w:r>
        <w:rPr>
          <w:rFonts w:cstheme="minorHAnsi"/>
        </w:rPr>
        <w:lastRenderedPageBreak/>
        <w:t xml:space="preserve">understand the experience of using DEWS </w:t>
      </w:r>
    </w:p>
    <w:p w14:paraId="34F36823" w14:textId="77777777" w:rsidR="000B0CE4" w:rsidRPr="00751127" w:rsidRDefault="000B0CE4" w:rsidP="00296473">
      <w:pPr>
        <w:pStyle w:val="ListParagraph"/>
        <w:numPr>
          <w:ilvl w:val="2"/>
          <w:numId w:val="22"/>
        </w:numPr>
        <w:spacing w:after="0" w:line="240" w:lineRule="auto"/>
        <w:contextualSpacing w:val="0"/>
        <w:rPr>
          <w:rFonts w:cstheme="minorHAnsi"/>
        </w:rPr>
      </w:pPr>
      <w:r w:rsidRPr="00751127">
        <w:rPr>
          <w:rFonts w:cstheme="minorHAnsi"/>
        </w:rPr>
        <w:t>identify barrier, enablers and lessons learned</w:t>
      </w:r>
    </w:p>
    <w:p w14:paraId="78EEE8CB" w14:textId="77777777" w:rsidR="000B0CE4" w:rsidRDefault="000B0CE4" w:rsidP="00763EA1">
      <w:pPr>
        <w:pStyle w:val="ListParagraph"/>
        <w:numPr>
          <w:ilvl w:val="2"/>
          <w:numId w:val="22"/>
        </w:numPr>
        <w:spacing w:after="120" w:line="240" w:lineRule="auto"/>
        <w:contextualSpacing w:val="0"/>
        <w:rPr>
          <w:rFonts w:cstheme="minorHAnsi"/>
        </w:rPr>
      </w:pPr>
      <w:r>
        <w:rPr>
          <w:rFonts w:cstheme="minorHAnsi"/>
        </w:rPr>
        <w:t>collect recommendations for changes to tools</w:t>
      </w:r>
    </w:p>
    <w:p w14:paraId="0065AB09" w14:textId="77777777" w:rsidR="000B0CE4" w:rsidRDefault="000B0CE4" w:rsidP="007A4033">
      <w:pPr>
        <w:pStyle w:val="ListParagraph"/>
        <w:numPr>
          <w:ilvl w:val="0"/>
          <w:numId w:val="22"/>
        </w:numPr>
        <w:spacing w:before="240" w:line="240" w:lineRule="auto"/>
        <w:ind w:left="714" w:hanging="357"/>
        <w:contextualSpacing w:val="0"/>
        <w:rPr>
          <w:rFonts w:cstheme="minorHAnsi"/>
        </w:rPr>
      </w:pPr>
      <w:r>
        <w:rPr>
          <w:rFonts w:cstheme="minorHAnsi"/>
        </w:rPr>
        <w:t>Review draft evaluation report provided by investigators includes any changes any to DEWS eco system</w:t>
      </w:r>
    </w:p>
    <w:p w14:paraId="575F3256" w14:textId="77777777" w:rsidR="000B0CE4" w:rsidRDefault="000B0CE4" w:rsidP="000866C4">
      <w:pPr>
        <w:pStyle w:val="ListParagraph"/>
        <w:numPr>
          <w:ilvl w:val="0"/>
          <w:numId w:val="22"/>
        </w:numPr>
        <w:spacing w:line="240" w:lineRule="auto"/>
        <w:rPr>
          <w:rFonts w:cstheme="minorHAnsi"/>
        </w:rPr>
      </w:pPr>
      <w:r>
        <w:rPr>
          <w:rFonts w:cstheme="minorHAnsi"/>
        </w:rPr>
        <w:t>Accept virtual connection with investigators at ~ 6 months (voluntary consented process)</w:t>
      </w:r>
    </w:p>
    <w:p w14:paraId="7A1B04AD" w14:textId="77777777" w:rsidR="000B0CE4" w:rsidRDefault="000B0CE4" w:rsidP="00751127">
      <w:pPr>
        <w:pStyle w:val="ListParagraph"/>
        <w:numPr>
          <w:ilvl w:val="1"/>
          <w:numId w:val="22"/>
        </w:numPr>
        <w:spacing w:line="240" w:lineRule="auto"/>
        <w:rPr>
          <w:rFonts w:cstheme="minorHAnsi"/>
        </w:rPr>
      </w:pPr>
      <w:r>
        <w:rPr>
          <w:rFonts w:cstheme="minorHAnsi"/>
        </w:rPr>
        <w:t xml:space="preserve">TIME interview will take up to 1 hour.    </w:t>
      </w:r>
    </w:p>
    <w:p w14:paraId="798F5D9A" w14:textId="77777777" w:rsidR="000B0CE4" w:rsidRDefault="000B0CE4" w:rsidP="00DB43A0">
      <w:pPr>
        <w:pStyle w:val="ListParagraph"/>
        <w:numPr>
          <w:ilvl w:val="1"/>
          <w:numId w:val="22"/>
        </w:numPr>
        <w:spacing w:line="240" w:lineRule="auto"/>
        <w:rPr>
          <w:rFonts w:cstheme="minorHAnsi"/>
        </w:rPr>
      </w:pPr>
      <w:r>
        <w:rPr>
          <w:rFonts w:cstheme="minorHAnsi"/>
        </w:rPr>
        <w:t>Is facility continuing to use DEWS</w:t>
      </w:r>
    </w:p>
    <w:p w14:paraId="0C06C76C" w14:textId="77777777" w:rsidR="000B0CE4" w:rsidRDefault="000B0CE4" w:rsidP="00DB43A0">
      <w:pPr>
        <w:pStyle w:val="ListParagraph"/>
        <w:numPr>
          <w:ilvl w:val="1"/>
          <w:numId w:val="22"/>
        </w:numPr>
        <w:spacing w:line="240" w:lineRule="auto"/>
        <w:rPr>
          <w:rFonts w:cstheme="minorHAnsi"/>
        </w:rPr>
      </w:pPr>
      <w:r>
        <w:rPr>
          <w:rFonts w:cstheme="minorHAnsi"/>
        </w:rPr>
        <w:t xml:space="preserve">Why is that  </w:t>
      </w:r>
    </w:p>
    <w:p w14:paraId="7B1D320D" w14:textId="77777777" w:rsidR="000B0CE4" w:rsidRPr="00751127" w:rsidRDefault="000B0CE4" w:rsidP="00751127">
      <w:pPr>
        <w:spacing w:before="240" w:line="240" w:lineRule="auto"/>
        <w:rPr>
          <w:rFonts w:cstheme="minorHAnsi"/>
          <w:b/>
          <w:bCs/>
        </w:rPr>
      </w:pPr>
      <w:r>
        <w:rPr>
          <w:rFonts w:cstheme="minorHAnsi"/>
          <w:b/>
          <w:bCs/>
        </w:rPr>
        <w:t xml:space="preserve">4.2 </w:t>
      </w:r>
      <w:r w:rsidRPr="00751127">
        <w:rPr>
          <w:rFonts w:cstheme="minorHAnsi"/>
          <w:b/>
          <w:bCs/>
        </w:rPr>
        <w:t xml:space="preserve">Investigator responsibilities </w:t>
      </w:r>
    </w:p>
    <w:p w14:paraId="2A16294A" w14:textId="77777777" w:rsidR="000B0CE4" w:rsidRDefault="000B0CE4" w:rsidP="00751127">
      <w:pPr>
        <w:pStyle w:val="ListParagraph"/>
        <w:numPr>
          <w:ilvl w:val="0"/>
          <w:numId w:val="22"/>
        </w:numPr>
        <w:spacing w:line="240" w:lineRule="auto"/>
        <w:rPr>
          <w:rFonts w:cstheme="minorHAnsi"/>
        </w:rPr>
      </w:pPr>
      <w:r>
        <w:rPr>
          <w:rFonts w:cstheme="minorHAnsi"/>
        </w:rPr>
        <w:t>Gather and analysis final data from all ARC project teams</w:t>
      </w:r>
    </w:p>
    <w:p w14:paraId="2F3ACC6F" w14:textId="77777777" w:rsidR="000B0CE4" w:rsidRDefault="000B0CE4" w:rsidP="00751127">
      <w:pPr>
        <w:pStyle w:val="ListParagraph"/>
        <w:numPr>
          <w:ilvl w:val="1"/>
          <w:numId w:val="22"/>
        </w:numPr>
        <w:spacing w:line="240" w:lineRule="auto"/>
        <w:rPr>
          <w:rFonts w:cstheme="minorHAnsi"/>
        </w:rPr>
      </w:pPr>
      <w:r>
        <w:rPr>
          <w:rFonts w:cstheme="minorHAnsi"/>
        </w:rPr>
        <w:t>Feedback and lessons learned interviews</w:t>
      </w:r>
    </w:p>
    <w:p w14:paraId="7DC17BE9" w14:textId="77777777" w:rsidR="000B0CE4" w:rsidRDefault="000B0CE4" w:rsidP="00751127">
      <w:pPr>
        <w:pStyle w:val="ListParagraph"/>
        <w:numPr>
          <w:ilvl w:val="1"/>
          <w:numId w:val="22"/>
        </w:numPr>
        <w:spacing w:line="240" w:lineRule="auto"/>
        <w:rPr>
          <w:rFonts w:cstheme="minorHAnsi"/>
        </w:rPr>
      </w:pPr>
      <w:r>
        <w:rPr>
          <w:rFonts w:cstheme="minorHAnsi"/>
        </w:rPr>
        <w:t>Refine DEWS tools and Quality improvement implementation package as required</w:t>
      </w:r>
    </w:p>
    <w:p w14:paraId="02BBA5B1" w14:textId="77777777" w:rsidR="000B0CE4" w:rsidRDefault="000B0CE4" w:rsidP="00751127">
      <w:pPr>
        <w:pStyle w:val="ListParagraph"/>
        <w:spacing w:line="240" w:lineRule="auto"/>
        <w:ind w:left="1440"/>
        <w:rPr>
          <w:rFonts w:cstheme="minorHAnsi"/>
        </w:rPr>
      </w:pPr>
    </w:p>
    <w:p w14:paraId="73D01724" w14:textId="77777777" w:rsidR="000B0CE4" w:rsidRDefault="000B0CE4" w:rsidP="00751127">
      <w:pPr>
        <w:pStyle w:val="ListParagraph"/>
        <w:numPr>
          <w:ilvl w:val="0"/>
          <w:numId w:val="22"/>
        </w:numPr>
        <w:spacing w:line="240" w:lineRule="auto"/>
        <w:rPr>
          <w:rFonts w:cstheme="minorHAnsi"/>
        </w:rPr>
      </w:pPr>
      <w:r>
        <w:rPr>
          <w:rFonts w:cstheme="minorHAnsi"/>
        </w:rPr>
        <w:t>Complete draft and final report</w:t>
      </w:r>
    </w:p>
    <w:p w14:paraId="1114C7DB" w14:textId="77777777" w:rsidR="000B0CE4" w:rsidRDefault="000B0CE4" w:rsidP="00751127">
      <w:pPr>
        <w:pStyle w:val="ListParagraph"/>
        <w:numPr>
          <w:ilvl w:val="1"/>
          <w:numId w:val="22"/>
        </w:numPr>
        <w:spacing w:line="240" w:lineRule="auto"/>
        <w:rPr>
          <w:rFonts w:cstheme="minorHAnsi"/>
        </w:rPr>
      </w:pPr>
      <w:r>
        <w:rPr>
          <w:rFonts w:cstheme="minorHAnsi"/>
        </w:rPr>
        <w:t>Understand ARC facilities interest in next steps</w:t>
      </w:r>
    </w:p>
    <w:p w14:paraId="6543C5D8" w14:textId="77777777" w:rsidR="000B0CE4" w:rsidRDefault="000B0CE4" w:rsidP="00751127">
      <w:pPr>
        <w:pStyle w:val="ListParagraph"/>
        <w:spacing w:line="240" w:lineRule="auto"/>
        <w:rPr>
          <w:rFonts w:cstheme="minorHAnsi"/>
        </w:rPr>
      </w:pPr>
    </w:p>
    <w:p w14:paraId="7409CC87" w14:textId="77777777" w:rsidR="000B0CE4" w:rsidRDefault="000B0CE4" w:rsidP="00751127">
      <w:pPr>
        <w:pStyle w:val="ListParagraph"/>
        <w:numPr>
          <w:ilvl w:val="0"/>
          <w:numId w:val="22"/>
        </w:numPr>
        <w:spacing w:line="240" w:lineRule="auto"/>
        <w:rPr>
          <w:rFonts w:cstheme="minorHAnsi"/>
        </w:rPr>
      </w:pPr>
      <w:r>
        <w:rPr>
          <w:rFonts w:cstheme="minorHAnsi"/>
        </w:rPr>
        <w:t>Survey at 6 months re sustainability</w:t>
      </w:r>
    </w:p>
    <w:p w14:paraId="36F847D0" w14:textId="77777777" w:rsidR="000B0CE4" w:rsidRDefault="000B0CE4" w:rsidP="00A364D9">
      <w:pPr>
        <w:spacing w:line="240" w:lineRule="auto"/>
        <w:rPr>
          <w:rFonts w:cstheme="minorHAnsi"/>
          <w:b/>
          <w:bCs/>
        </w:rPr>
      </w:pPr>
    </w:p>
    <w:p w14:paraId="6DE7B846" w14:textId="77777777" w:rsidR="000B0CE4" w:rsidRPr="00285189" w:rsidRDefault="000B0CE4" w:rsidP="00A364D9">
      <w:pPr>
        <w:spacing w:line="240" w:lineRule="auto"/>
        <w:rPr>
          <w:rFonts w:cstheme="minorHAnsi"/>
          <w:b/>
          <w:bCs/>
        </w:rPr>
      </w:pPr>
      <w:r>
        <w:rPr>
          <w:rFonts w:cstheme="minorHAnsi"/>
          <w:b/>
          <w:bCs/>
        </w:rPr>
        <w:t xml:space="preserve">H. </w:t>
      </w:r>
      <w:r w:rsidRPr="00285189">
        <w:rPr>
          <w:rFonts w:cstheme="minorHAnsi"/>
          <w:b/>
          <w:bCs/>
        </w:rPr>
        <w:t>STUDY MEASUREMENT DETAILS</w:t>
      </w:r>
    </w:p>
    <w:p w14:paraId="6D953ABB" w14:textId="77777777" w:rsidR="000B0CE4" w:rsidRPr="00F7733A" w:rsidRDefault="000B0CE4" w:rsidP="00A70F2B">
      <w:pPr>
        <w:spacing w:line="240" w:lineRule="auto"/>
        <w:rPr>
          <w:rFonts w:cstheme="minorHAnsi"/>
        </w:rPr>
      </w:pPr>
      <w:r>
        <w:rPr>
          <w:rFonts w:cstheme="minorHAnsi"/>
        </w:rPr>
        <w:t>It is anticipated that the following measures will be able to be collected by the ARC project team.  However this is a draft measurement plan that will need to reviewed by participating ARC teams.  It may need to be adapted to suit the capacity and capability of the ARC provider and project team.  All data collected will be deidentified and no trace back to individuals will be possible.</w:t>
      </w:r>
    </w:p>
    <w:p w14:paraId="10FB07F4" w14:textId="77777777" w:rsidR="000B0CE4" w:rsidRDefault="000B0CE4" w:rsidP="00763C4A">
      <w:pPr>
        <w:spacing w:before="240" w:line="240" w:lineRule="auto"/>
        <w:rPr>
          <w:rFonts w:cstheme="minorHAnsi"/>
          <w:b/>
          <w:bCs/>
        </w:rPr>
      </w:pPr>
      <w:r>
        <w:rPr>
          <w:rFonts w:cstheme="minorHAnsi"/>
          <w:b/>
          <w:bCs/>
        </w:rPr>
        <w:t>QUALITATIVE</w:t>
      </w:r>
    </w:p>
    <w:p w14:paraId="096CE466" w14:textId="77777777" w:rsidR="000B0CE4" w:rsidRDefault="000B0CE4" w:rsidP="00A70F2B">
      <w:pPr>
        <w:pStyle w:val="ListParagraph"/>
        <w:numPr>
          <w:ilvl w:val="0"/>
          <w:numId w:val="33"/>
        </w:numPr>
        <w:spacing w:line="240" w:lineRule="auto"/>
        <w:rPr>
          <w:rFonts w:cstheme="minorHAnsi"/>
          <w:b/>
          <w:bCs/>
        </w:rPr>
      </w:pPr>
      <w:r>
        <w:rPr>
          <w:rFonts w:cstheme="minorHAnsi"/>
          <w:b/>
          <w:bCs/>
        </w:rPr>
        <w:t>Semi structured interview ARC project teams and ARC healthcare staff</w:t>
      </w:r>
    </w:p>
    <w:p w14:paraId="3182DED8" w14:textId="08D41A43" w:rsidR="000B0CE4" w:rsidRPr="00C01D80" w:rsidRDefault="000B0CE4" w:rsidP="00062B6B">
      <w:pPr>
        <w:pStyle w:val="ListParagraph"/>
        <w:numPr>
          <w:ilvl w:val="1"/>
          <w:numId w:val="33"/>
        </w:numPr>
        <w:spacing w:after="120" w:line="240" w:lineRule="auto"/>
        <w:ind w:left="1434" w:hanging="357"/>
        <w:contextualSpacing w:val="0"/>
        <w:rPr>
          <w:rFonts w:cstheme="minorHAnsi"/>
          <w:b/>
          <w:bCs/>
        </w:rPr>
      </w:pPr>
      <w:r w:rsidRPr="00C01D80">
        <w:rPr>
          <w:rFonts w:cstheme="minorHAnsi"/>
        </w:rPr>
        <w:t xml:space="preserve">Individual or focus group </w:t>
      </w:r>
      <w:r w:rsidRPr="00C01D80">
        <w:rPr>
          <w:rFonts w:cstheme="minorHAnsi"/>
          <w:lang w:val="en-US"/>
        </w:rPr>
        <w:t xml:space="preserve">at participant convenience and/ or ARC capacity.  Options are face to face at the ARC facility or teleconference for people unable to make the date. Completed at end of implementation.  </w:t>
      </w:r>
    </w:p>
    <w:p w14:paraId="04ABCA61" w14:textId="77777777" w:rsidR="000B0CE4" w:rsidRPr="00062B6B" w:rsidRDefault="000B0CE4" w:rsidP="00062B6B">
      <w:pPr>
        <w:pStyle w:val="ListParagraph"/>
        <w:numPr>
          <w:ilvl w:val="1"/>
          <w:numId w:val="33"/>
        </w:numPr>
        <w:spacing w:after="120" w:line="240" w:lineRule="auto"/>
        <w:ind w:left="1434" w:hanging="357"/>
        <w:contextualSpacing w:val="0"/>
        <w:rPr>
          <w:rFonts w:cstheme="minorHAnsi"/>
          <w:b/>
          <w:bCs/>
          <w:color w:val="FF0000"/>
        </w:rPr>
      </w:pPr>
      <w:r w:rsidRPr="00C01D80">
        <w:rPr>
          <w:rFonts w:cstheme="minorHAnsi"/>
        </w:rPr>
        <w:t xml:space="preserve">Transcribed </w:t>
      </w:r>
      <w:r>
        <w:rPr>
          <w:rFonts w:cstheme="minorHAnsi"/>
        </w:rPr>
        <w:t xml:space="preserve">and analysed thematically </w:t>
      </w:r>
    </w:p>
    <w:p w14:paraId="4D7FB0C5" w14:textId="77777777" w:rsidR="000B0CE4" w:rsidRDefault="000B0CE4" w:rsidP="00062B6B">
      <w:pPr>
        <w:pStyle w:val="ListParagraph"/>
        <w:numPr>
          <w:ilvl w:val="0"/>
          <w:numId w:val="33"/>
        </w:numPr>
        <w:spacing w:before="120" w:after="0" w:line="240" w:lineRule="auto"/>
        <w:ind w:left="714" w:hanging="357"/>
        <w:contextualSpacing w:val="0"/>
        <w:rPr>
          <w:rFonts w:cstheme="minorHAnsi"/>
          <w:b/>
          <w:bCs/>
          <w:color w:val="000000" w:themeColor="text1"/>
        </w:rPr>
      </w:pPr>
      <w:r w:rsidRPr="00062B6B">
        <w:rPr>
          <w:rFonts w:cstheme="minorHAnsi"/>
          <w:b/>
          <w:bCs/>
          <w:color w:val="000000" w:themeColor="text1"/>
        </w:rPr>
        <w:t>Meeting minutes</w:t>
      </w:r>
      <w:r>
        <w:rPr>
          <w:rFonts w:cstheme="minorHAnsi"/>
          <w:b/>
          <w:bCs/>
          <w:color w:val="000000" w:themeColor="text1"/>
        </w:rPr>
        <w:t xml:space="preserve"> and field notes</w:t>
      </w:r>
    </w:p>
    <w:p w14:paraId="36AD64FC" w14:textId="2D346B72" w:rsidR="000B0CE4" w:rsidRPr="00B43A4A" w:rsidRDefault="000B0CE4" w:rsidP="00B43A4A">
      <w:pPr>
        <w:pStyle w:val="ListParagraph"/>
        <w:numPr>
          <w:ilvl w:val="1"/>
          <w:numId w:val="33"/>
        </w:numPr>
        <w:spacing w:after="120" w:line="240" w:lineRule="auto"/>
        <w:ind w:left="1434" w:hanging="357"/>
        <w:contextualSpacing w:val="0"/>
        <w:rPr>
          <w:rFonts w:cstheme="minorHAnsi"/>
          <w:b/>
          <w:bCs/>
          <w:color w:val="000000" w:themeColor="text1"/>
        </w:rPr>
      </w:pPr>
      <w:r>
        <w:rPr>
          <w:rFonts w:cstheme="minorHAnsi"/>
          <w:color w:val="000000" w:themeColor="text1"/>
        </w:rPr>
        <w:t>These will be considered research data and thematic analysis for themes will be conducted</w:t>
      </w:r>
      <w:r w:rsidR="00CE6052">
        <w:rPr>
          <w:rFonts w:cstheme="minorHAnsi"/>
          <w:color w:val="000000" w:themeColor="text1"/>
        </w:rPr>
        <w:t xml:space="preserve"> includes case narratives of DEWS escalations</w:t>
      </w:r>
    </w:p>
    <w:p w14:paraId="3507F535" w14:textId="77777777" w:rsidR="000B0CE4" w:rsidRDefault="000B0CE4" w:rsidP="00B43A4A">
      <w:pPr>
        <w:pStyle w:val="ListParagraph"/>
        <w:numPr>
          <w:ilvl w:val="0"/>
          <w:numId w:val="33"/>
        </w:numPr>
        <w:spacing w:line="240" w:lineRule="auto"/>
        <w:rPr>
          <w:rFonts w:cstheme="minorHAnsi"/>
          <w:b/>
          <w:bCs/>
        </w:rPr>
      </w:pPr>
      <w:r>
        <w:rPr>
          <w:rFonts w:cstheme="minorHAnsi"/>
          <w:b/>
          <w:bCs/>
        </w:rPr>
        <w:t>Semi structured interview ARC project teams / team representative</w:t>
      </w:r>
    </w:p>
    <w:p w14:paraId="0D56CE0B" w14:textId="77777777" w:rsidR="000B0CE4" w:rsidRPr="00062B6B" w:rsidRDefault="000B0CE4" w:rsidP="00B43A4A">
      <w:pPr>
        <w:pStyle w:val="ListParagraph"/>
        <w:numPr>
          <w:ilvl w:val="1"/>
          <w:numId w:val="33"/>
        </w:numPr>
        <w:spacing w:before="120" w:after="0" w:line="240" w:lineRule="auto"/>
        <w:contextualSpacing w:val="0"/>
        <w:rPr>
          <w:rFonts w:cstheme="minorHAnsi"/>
          <w:b/>
          <w:bCs/>
          <w:color w:val="000000" w:themeColor="text1"/>
        </w:rPr>
      </w:pPr>
      <w:r>
        <w:rPr>
          <w:rFonts w:cstheme="minorHAnsi"/>
        </w:rPr>
        <w:t>Virtual contact to see if facility continued to use tools after feasibility study</w:t>
      </w:r>
    </w:p>
    <w:p w14:paraId="562B4307" w14:textId="77777777" w:rsidR="000B0CE4" w:rsidRDefault="000B0CE4" w:rsidP="00763C4A">
      <w:pPr>
        <w:spacing w:before="240" w:line="240" w:lineRule="auto"/>
        <w:rPr>
          <w:rFonts w:cstheme="minorHAnsi"/>
          <w:b/>
          <w:bCs/>
        </w:rPr>
      </w:pPr>
      <w:r>
        <w:rPr>
          <w:rFonts w:cstheme="minorHAnsi"/>
          <w:b/>
          <w:bCs/>
        </w:rPr>
        <w:t>QUANTATIVE EVALUATION</w:t>
      </w:r>
    </w:p>
    <w:p w14:paraId="54B744E0" w14:textId="77777777" w:rsidR="000B0CE4" w:rsidRDefault="000B0CE4" w:rsidP="00A70F2B">
      <w:pPr>
        <w:pStyle w:val="ListParagraph"/>
        <w:numPr>
          <w:ilvl w:val="0"/>
          <w:numId w:val="33"/>
        </w:numPr>
        <w:spacing w:line="240" w:lineRule="auto"/>
        <w:rPr>
          <w:rFonts w:cstheme="minorHAnsi"/>
          <w:b/>
          <w:bCs/>
        </w:rPr>
      </w:pPr>
      <w:r>
        <w:rPr>
          <w:rFonts w:cstheme="minorHAnsi"/>
          <w:b/>
          <w:bCs/>
        </w:rPr>
        <w:t xml:space="preserve">Survey of specific elements of study </w:t>
      </w:r>
    </w:p>
    <w:p w14:paraId="15DA1D58" w14:textId="07C32894" w:rsidR="000B0CE4" w:rsidRPr="00A70F2B" w:rsidRDefault="000B0CE4" w:rsidP="00A70F2B">
      <w:pPr>
        <w:pStyle w:val="ListParagraph"/>
        <w:numPr>
          <w:ilvl w:val="1"/>
          <w:numId w:val="33"/>
        </w:numPr>
        <w:spacing w:after="120" w:line="240" w:lineRule="auto"/>
        <w:ind w:left="1434" w:hanging="357"/>
        <w:contextualSpacing w:val="0"/>
        <w:rPr>
          <w:rFonts w:cstheme="minorHAnsi"/>
          <w:color w:val="FF0000"/>
        </w:rPr>
      </w:pPr>
      <w:r>
        <w:rPr>
          <w:rFonts w:cstheme="minorHAnsi"/>
        </w:rPr>
        <w:t xml:space="preserve">Individual survey open and closed questions.  Provides an anonymous way to provide feedback that participant may not feel comfortable sharing in an interview situation </w:t>
      </w:r>
    </w:p>
    <w:p w14:paraId="6BA475E2" w14:textId="77777777" w:rsidR="000B0CE4" w:rsidRPr="00062B6B" w:rsidRDefault="000B0CE4" w:rsidP="00A70F2B">
      <w:pPr>
        <w:pStyle w:val="ListParagraph"/>
        <w:numPr>
          <w:ilvl w:val="0"/>
          <w:numId w:val="33"/>
        </w:numPr>
        <w:spacing w:before="120" w:after="0" w:line="240" w:lineRule="auto"/>
        <w:ind w:left="714" w:hanging="357"/>
        <w:contextualSpacing w:val="0"/>
        <w:rPr>
          <w:rFonts w:cstheme="minorHAnsi"/>
        </w:rPr>
      </w:pPr>
      <w:r w:rsidRPr="00C25FD0">
        <w:rPr>
          <w:rFonts w:cstheme="minorHAnsi"/>
          <w:b/>
          <w:bCs/>
        </w:rPr>
        <w:t>Audit DEWS tools use</w:t>
      </w:r>
      <w:r>
        <w:rPr>
          <w:rFonts w:cstheme="minorHAnsi"/>
          <w:b/>
          <w:bCs/>
        </w:rPr>
        <w:t xml:space="preserve"> </w:t>
      </w:r>
      <w:r w:rsidRPr="00062B6B">
        <w:rPr>
          <w:rFonts w:cstheme="minorHAnsi"/>
        </w:rPr>
        <w:t>(a</w:t>
      </w:r>
      <w:r>
        <w:rPr>
          <w:rFonts w:cstheme="minorHAnsi"/>
        </w:rPr>
        <w:t>n audit</w:t>
      </w:r>
      <w:r w:rsidRPr="00062B6B">
        <w:rPr>
          <w:rFonts w:cstheme="minorHAnsi"/>
        </w:rPr>
        <w:t xml:space="preserve"> form will be provided)</w:t>
      </w:r>
    </w:p>
    <w:p w14:paraId="1F4B52CB" w14:textId="77777777" w:rsidR="000B0CE4" w:rsidRPr="00F7733A" w:rsidRDefault="000B0CE4" w:rsidP="00F7733A">
      <w:pPr>
        <w:spacing w:before="120" w:after="0" w:line="240" w:lineRule="auto"/>
        <w:ind w:left="1080"/>
        <w:rPr>
          <w:rFonts w:cstheme="minorHAnsi"/>
          <w:b/>
          <w:bCs/>
        </w:rPr>
      </w:pPr>
      <w:r>
        <w:rPr>
          <w:rFonts w:cstheme="minorHAnsi"/>
          <w:b/>
          <w:bCs/>
        </w:rPr>
        <w:t>Tool use</w:t>
      </w:r>
    </w:p>
    <w:p w14:paraId="27B3FA9B" w14:textId="3799118D" w:rsidR="000B0CE4" w:rsidRDefault="000B0CE4" w:rsidP="0018679E">
      <w:pPr>
        <w:pStyle w:val="paragraph"/>
        <w:numPr>
          <w:ilvl w:val="0"/>
          <w:numId w:val="41"/>
        </w:numPr>
        <w:spacing w:before="0" w:beforeAutospacing="0" w:after="0" w:afterAutospacing="0"/>
        <w:textAlignment w:val="baseline"/>
        <w:rPr>
          <w:rStyle w:val="eop"/>
          <w:rFonts w:asciiTheme="minorHAnsi" w:hAnsiTheme="minorHAnsi" w:cstheme="minorHAnsi"/>
          <w:sz w:val="22"/>
          <w:szCs w:val="22"/>
        </w:rPr>
      </w:pPr>
      <w:r w:rsidRPr="00F7733A">
        <w:rPr>
          <w:rStyle w:val="normaltextrun"/>
          <w:rFonts w:asciiTheme="minorHAnsi" w:hAnsiTheme="minorHAnsi" w:cstheme="minorHAnsi"/>
          <w:sz w:val="22"/>
          <w:szCs w:val="22"/>
          <w:lang w:val="en-US"/>
        </w:rPr>
        <w:t>Quick DEWS complet</w:t>
      </w:r>
      <w:r w:rsidR="0018679E">
        <w:rPr>
          <w:rStyle w:val="normaltextrun"/>
          <w:rFonts w:asciiTheme="minorHAnsi" w:hAnsiTheme="minorHAnsi" w:cstheme="minorHAnsi"/>
          <w:sz w:val="22"/>
          <w:szCs w:val="22"/>
          <w:lang w:val="en-US"/>
        </w:rPr>
        <w:t>ion</w:t>
      </w:r>
      <w:r w:rsidRPr="00F7733A">
        <w:rPr>
          <w:rStyle w:val="normaltextrun"/>
          <w:rFonts w:asciiTheme="minorHAnsi" w:hAnsiTheme="minorHAnsi" w:cstheme="minorHAnsi"/>
          <w:sz w:val="22"/>
          <w:szCs w:val="22"/>
          <w:lang w:val="en-US"/>
        </w:rPr>
        <w:t>. </w:t>
      </w:r>
      <w:r w:rsidRPr="00F7733A">
        <w:rPr>
          <w:rStyle w:val="eop"/>
          <w:rFonts w:asciiTheme="minorHAnsi" w:hAnsiTheme="minorHAnsi" w:cstheme="minorHAnsi"/>
          <w:sz w:val="22"/>
          <w:szCs w:val="22"/>
        </w:rPr>
        <w:t> </w:t>
      </w:r>
    </w:p>
    <w:p w14:paraId="3EA1E360" w14:textId="279D1790" w:rsidR="000B0CE4" w:rsidRPr="0018679E" w:rsidRDefault="0018679E" w:rsidP="0018679E">
      <w:pPr>
        <w:pStyle w:val="paragraph"/>
        <w:numPr>
          <w:ilvl w:val="0"/>
          <w:numId w:val="41"/>
        </w:numPr>
        <w:spacing w:before="0" w:beforeAutospacing="0" w:after="0" w:afterAutospacing="0"/>
        <w:textAlignment w:val="baseline"/>
        <w:rPr>
          <w:rStyle w:val="normaltextrun"/>
          <w:lang w:val="en-US"/>
        </w:rPr>
      </w:pPr>
      <w:r>
        <w:rPr>
          <w:rStyle w:val="normaltextrun"/>
          <w:rFonts w:asciiTheme="minorHAnsi" w:hAnsiTheme="minorHAnsi" w:cstheme="minorHAnsi"/>
          <w:sz w:val="22"/>
          <w:szCs w:val="22"/>
          <w:lang w:val="en-US"/>
        </w:rPr>
        <w:t>RN-DEWS completion.</w:t>
      </w:r>
      <w:r w:rsidR="000B0CE4" w:rsidRPr="00F7733A">
        <w:rPr>
          <w:rStyle w:val="normaltextrun"/>
          <w:rFonts w:asciiTheme="minorHAnsi" w:hAnsiTheme="minorHAnsi" w:cstheme="minorHAnsi"/>
          <w:sz w:val="22"/>
          <w:szCs w:val="22"/>
          <w:lang w:val="en-US"/>
        </w:rPr>
        <w:t> </w:t>
      </w:r>
      <w:r w:rsidR="000B0CE4" w:rsidRPr="0018679E">
        <w:rPr>
          <w:rStyle w:val="normaltextrun"/>
          <w:lang w:val="en-US"/>
        </w:rPr>
        <w:t> </w:t>
      </w:r>
    </w:p>
    <w:p w14:paraId="639CB642" w14:textId="72D9C665" w:rsidR="000B0CE4" w:rsidRPr="00F7733A" w:rsidRDefault="000B0CE4" w:rsidP="0018679E">
      <w:pPr>
        <w:pStyle w:val="paragraph"/>
        <w:numPr>
          <w:ilvl w:val="0"/>
          <w:numId w:val="41"/>
        </w:numPr>
        <w:spacing w:before="0" w:beforeAutospacing="0" w:after="0" w:afterAutospacing="0"/>
        <w:textAlignment w:val="baseline"/>
        <w:rPr>
          <w:rStyle w:val="normaltextrun"/>
          <w:rFonts w:asciiTheme="minorHAnsi" w:hAnsiTheme="minorHAnsi" w:cstheme="minorHAnsi"/>
          <w:lang w:val="en-US"/>
        </w:rPr>
      </w:pPr>
      <w:r w:rsidRPr="00F7733A">
        <w:rPr>
          <w:rStyle w:val="normaltextrun"/>
          <w:rFonts w:asciiTheme="minorHAnsi" w:hAnsiTheme="minorHAnsi" w:cstheme="minorHAnsi"/>
          <w:sz w:val="22"/>
          <w:szCs w:val="22"/>
          <w:lang w:val="en-US"/>
        </w:rPr>
        <w:t>SBAR DEWS complet</w:t>
      </w:r>
      <w:r w:rsidR="0018679E">
        <w:rPr>
          <w:rStyle w:val="normaltextrun"/>
          <w:rFonts w:asciiTheme="minorHAnsi" w:hAnsiTheme="minorHAnsi" w:cstheme="minorHAnsi"/>
          <w:sz w:val="22"/>
          <w:szCs w:val="22"/>
          <w:lang w:val="en-US"/>
        </w:rPr>
        <w:t>ion.</w:t>
      </w:r>
      <w:r w:rsidRPr="00F7733A">
        <w:rPr>
          <w:rStyle w:val="normaltextrun"/>
          <w:rFonts w:asciiTheme="minorHAnsi" w:hAnsiTheme="minorHAnsi" w:cstheme="minorHAnsi"/>
          <w:lang w:val="en-US"/>
        </w:rPr>
        <w:t> </w:t>
      </w:r>
    </w:p>
    <w:p w14:paraId="0E0900C2" w14:textId="16272B1D" w:rsidR="000B0CE4" w:rsidRPr="00F7733A" w:rsidRDefault="000B0CE4" w:rsidP="00F7733A">
      <w:pPr>
        <w:spacing w:before="120" w:after="0" w:line="240" w:lineRule="auto"/>
        <w:ind w:left="1080"/>
        <w:rPr>
          <w:rFonts w:cstheme="minorHAnsi"/>
          <w:b/>
          <w:bCs/>
        </w:rPr>
      </w:pPr>
      <w:r w:rsidRPr="00F7733A">
        <w:rPr>
          <w:rFonts w:cstheme="minorHAnsi"/>
          <w:b/>
          <w:bCs/>
        </w:rPr>
        <w:t xml:space="preserve">Tool </w:t>
      </w:r>
      <w:r w:rsidR="0018679E">
        <w:rPr>
          <w:rFonts w:cstheme="minorHAnsi"/>
          <w:b/>
          <w:bCs/>
        </w:rPr>
        <w:t xml:space="preserve">elements </w:t>
      </w:r>
    </w:p>
    <w:p w14:paraId="589B5D11" w14:textId="0465FCE3" w:rsidR="000B0CE4" w:rsidRPr="00F7733A" w:rsidRDefault="0018679E" w:rsidP="0018679E">
      <w:pPr>
        <w:pStyle w:val="paragraph"/>
        <w:numPr>
          <w:ilvl w:val="0"/>
          <w:numId w:val="42"/>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lang w:val="en-US"/>
        </w:rPr>
        <w:lastRenderedPageBreak/>
        <w:t xml:space="preserve">Correct calculations </w:t>
      </w:r>
      <w:r w:rsidR="000B0CE4" w:rsidRPr="00F7733A">
        <w:rPr>
          <w:rStyle w:val="normaltextrun"/>
          <w:rFonts w:asciiTheme="minorHAnsi" w:hAnsiTheme="minorHAnsi" w:cstheme="minorHAnsi"/>
          <w:sz w:val="22"/>
          <w:szCs w:val="22"/>
          <w:lang w:val="en-US"/>
        </w:rPr>
        <w:t> </w:t>
      </w:r>
      <w:r w:rsidR="000B0CE4" w:rsidRPr="00F7733A">
        <w:rPr>
          <w:rStyle w:val="eop"/>
          <w:rFonts w:asciiTheme="minorHAnsi" w:hAnsiTheme="minorHAnsi" w:cstheme="minorHAnsi"/>
          <w:sz w:val="22"/>
          <w:szCs w:val="22"/>
        </w:rPr>
        <w:t> </w:t>
      </w:r>
    </w:p>
    <w:p w14:paraId="42F9CA5E" w14:textId="1519D1C4" w:rsidR="000B0CE4" w:rsidRPr="0018679E" w:rsidRDefault="0018679E" w:rsidP="0018679E">
      <w:pPr>
        <w:pStyle w:val="paragraph"/>
        <w:numPr>
          <w:ilvl w:val="0"/>
          <w:numId w:val="42"/>
        </w:numPr>
        <w:spacing w:before="0" w:beforeAutospacing="0" w:after="0" w:afterAutospacing="0"/>
        <w:textAlignment w:val="baseline"/>
        <w:rPr>
          <w:rFonts w:asciiTheme="minorHAnsi" w:hAnsiTheme="minorHAnsi" w:cstheme="minorHAnsi"/>
          <w:sz w:val="22"/>
          <w:szCs w:val="22"/>
        </w:rPr>
      </w:pPr>
      <w:r w:rsidRPr="0018679E">
        <w:rPr>
          <w:rStyle w:val="normaltextrun"/>
          <w:rFonts w:asciiTheme="minorHAnsi" w:hAnsiTheme="minorHAnsi" w:cstheme="minorHAnsi"/>
          <w:sz w:val="22"/>
          <w:szCs w:val="22"/>
          <w:lang w:val="en-US"/>
        </w:rPr>
        <w:t>Modifications</w:t>
      </w:r>
      <w:r w:rsidR="000B0CE4" w:rsidRPr="0018679E">
        <w:rPr>
          <w:rStyle w:val="eop"/>
          <w:rFonts w:asciiTheme="minorHAnsi" w:hAnsiTheme="minorHAnsi" w:cstheme="minorHAnsi"/>
          <w:sz w:val="22"/>
          <w:szCs w:val="22"/>
        </w:rPr>
        <w:t> </w:t>
      </w:r>
    </w:p>
    <w:p w14:paraId="2B2FB7A4" w14:textId="39DCE5CB" w:rsidR="000B0CE4" w:rsidRPr="00F7733A" w:rsidRDefault="0018679E" w:rsidP="0018679E">
      <w:pPr>
        <w:pStyle w:val="paragraph"/>
        <w:numPr>
          <w:ilvl w:val="0"/>
          <w:numId w:val="42"/>
        </w:numPr>
        <w:spacing w:before="0" w:beforeAutospacing="0" w:after="0" w:afterAutospacing="0"/>
        <w:textAlignment w:val="baseline"/>
        <w:rPr>
          <w:rStyle w:val="normaltextrun"/>
          <w:rFonts w:asciiTheme="minorHAnsi" w:hAnsiTheme="minorHAnsi" w:cstheme="minorHAnsi"/>
          <w:lang w:val="en-US"/>
        </w:rPr>
      </w:pPr>
      <w:r>
        <w:rPr>
          <w:rStyle w:val="normaltextrun"/>
          <w:rFonts w:asciiTheme="minorHAnsi" w:hAnsiTheme="minorHAnsi" w:cstheme="minorHAnsi"/>
          <w:sz w:val="22"/>
          <w:szCs w:val="22"/>
          <w:lang w:val="en-US"/>
        </w:rPr>
        <w:t>A</w:t>
      </w:r>
      <w:r w:rsidR="000B0CE4" w:rsidRPr="00F7733A">
        <w:rPr>
          <w:rStyle w:val="normaltextrun"/>
          <w:rFonts w:asciiTheme="minorHAnsi" w:hAnsiTheme="minorHAnsi" w:cstheme="minorHAnsi"/>
          <w:sz w:val="22"/>
          <w:szCs w:val="22"/>
          <w:lang w:val="en-US"/>
        </w:rPr>
        <w:t>dherence to escalation pathway.</w:t>
      </w:r>
      <w:r w:rsidR="000B0CE4" w:rsidRPr="00F7733A">
        <w:rPr>
          <w:rStyle w:val="normaltextrun"/>
          <w:rFonts w:asciiTheme="minorHAnsi" w:hAnsiTheme="minorHAnsi" w:cstheme="minorHAnsi"/>
          <w:lang w:val="en-US"/>
        </w:rPr>
        <w:t> </w:t>
      </w:r>
    </w:p>
    <w:p w14:paraId="60A4E532" w14:textId="77777777" w:rsidR="000B0CE4" w:rsidRDefault="000B0CE4" w:rsidP="00C25FD0">
      <w:pPr>
        <w:pStyle w:val="ListParagraph"/>
        <w:numPr>
          <w:ilvl w:val="0"/>
          <w:numId w:val="33"/>
        </w:numPr>
        <w:spacing w:before="120" w:after="0" w:line="240" w:lineRule="auto"/>
        <w:contextualSpacing w:val="0"/>
        <w:rPr>
          <w:rFonts w:cstheme="minorHAnsi"/>
          <w:b/>
          <w:bCs/>
        </w:rPr>
      </w:pPr>
      <w:r>
        <w:rPr>
          <w:rFonts w:cstheme="minorHAnsi"/>
          <w:b/>
          <w:bCs/>
        </w:rPr>
        <w:t>Change in rates of</w:t>
      </w:r>
    </w:p>
    <w:p w14:paraId="30F9881B" w14:textId="77777777" w:rsidR="000B0CE4" w:rsidRPr="00C25FD0" w:rsidRDefault="000B0CE4" w:rsidP="00F7733A">
      <w:pPr>
        <w:pStyle w:val="ListParagraph"/>
        <w:numPr>
          <w:ilvl w:val="1"/>
          <w:numId w:val="33"/>
        </w:numPr>
        <w:spacing w:after="0" w:line="240" w:lineRule="auto"/>
        <w:ind w:left="1434" w:hanging="357"/>
        <w:contextualSpacing w:val="0"/>
        <w:rPr>
          <w:rFonts w:cstheme="minorHAnsi"/>
          <w:b/>
          <w:bCs/>
        </w:rPr>
      </w:pPr>
      <w:r>
        <w:rPr>
          <w:rFonts w:cstheme="minorHAnsi"/>
        </w:rPr>
        <w:t>Unanticipated deaths</w:t>
      </w:r>
    </w:p>
    <w:p w14:paraId="6FE73E96" w14:textId="77777777" w:rsidR="000B0CE4" w:rsidRPr="00C25FD0" w:rsidRDefault="000B0CE4" w:rsidP="00C25FD0">
      <w:pPr>
        <w:pStyle w:val="ListParagraph"/>
        <w:numPr>
          <w:ilvl w:val="1"/>
          <w:numId w:val="33"/>
        </w:numPr>
        <w:spacing w:after="0" w:line="240" w:lineRule="auto"/>
        <w:ind w:left="1434" w:hanging="357"/>
        <w:contextualSpacing w:val="0"/>
        <w:rPr>
          <w:rFonts w:cstheme="minorHAnsi"/>
          <w:b/>
          <w:bCs/>
        </w:rPr>
      </w:pPr>
      <w:r>
        <w:rPr>
          <w:rFonts w:cstheme="minorHAnsi"/>
        </w:rPr>
        <w:t xml:space="preserve">Ambulance service attendance </w:t>
      </w:r>
    </w:p>
    <w:p w14:paraId="1558E4F9" w14:textId="77777777" w:rsidR="000B0CE4" w:rsidRPr="00C25FD0" w:rsidRDefault="000B0CE4" w:rsidP="00C25FD0">
      <w:pPr>
        <w:pStyle w:val="ListParagraph"/>
        <w:numPr>
          <w:ilvl w:val="1"/>
          <w:numId w:val="33"/>
        </w:numPr>
        <w:spacing w:after="0" w:line="240" w:lineRule="auto"/>
        <w:ind w:left="1434" w:hanging="357"/>
        <w:contextualSpacing w:val="0"/>
        <w:rPr>
          <w:rFonts w:cstheme="minorHAnsi"/>
          <w:b/>
          <w:bCs/>
        </w:rPr>
      </w:pPr>
      <w:r>
        <w:rPr>
          <w:rFonts w:cstheme="minorHAnsi"/>
        </w:rPr>
        <w:t xml:space="preserve">Number of acute consultations by primary care </w:t>
      </w:r>
    </w:p>
    <w:p w14:paraId="0E54EE44" w14:textId="77777777" w:rsidR="000B0CE4" w:rsidRDefault="000B0CE4" w:rsidP="00C25FD0">
      <w:pPr>
        <w:pStyle w:val="ListParagraph"/>
        <w:numPr>
          <w:ilvl w:val="1"/>
          <w:numId w:val="33"/>
        </w:numPr>
        <w:spacing w:after="0" w:line="240" w:lineRule="auto"/>
        <w:ind w:left="1434" w:hanging="357"/>
        <w:contextualSpacing w:val="0"/>
        <w:rPr>
          <w:rFonts w:cstheme="minorHAnsi"/>
        </w:rPr>
      </w:pPr>
      <w:r w:rsidRPr="00C25FD0">
        <w:rPr>
          <w:rFonts w:cstheme="minorHAnsi"/>
        </w:rPr>
        <w:t>Costs to ARC of primary care consultations</w:t>
      </w:r>
    </w:p>
    <w:p w14:paraId="37D712E7" w14:textId="19DAB465" w:rsidR="00C653F8" w:rsidRPr="00C25FD0" w:rsidRDefault="00C653F8" w:rsidP="00C25FD0">
      <w:pPr>
        <w:pStyle w:val="ListParagraph"/>
        <w:numPr>
          <w:ilvl w:val="1"/>
          <w:numId w:val="33"/>
        </w:numPr>
        <w:spacing w:after="0" w:line="240" w:lineRule="auto"/>
        <w:ind w:left="1434" w:hanging="357"/>
        <w:contextualSpacing w:val="0"/>
        <w:rPr>
          <w:rFonts w:cstheme="minorHAnsi"/>
        </w:rPr>
      </w:pPr>
      <w:r>
        <w:rPr>
          <w:rFonts w:cstheme="minorHAnsi"/>
        </w:rPr>
        <w:t>Number of call to primary care providers triggered by DEWS</w:t>
      </w:r>
    </w:p>
    <w:p w14:paraId="6B4556F4" w14:textId="77777777" w:rsidR="000B0CE4" w:rsidRPr="00CE6052" w:rsidRDefault="000B0CE4" w:rsidP="00CE6052">
      <w:pPr>
        <w:pStyle w:val="ListParagraph"/>
        <w:numPr>
          <w:ilvl w:val="0"/>
          <w:numId w:val="33"/>
        </w:numPr>
        <w:spacing w:before="120" w:after="0" w:line="240" w:lineRule="auto"/>
        <w:ind w:left="714" w:hanging="357"/>
        <w:contextualSpacing w:val="0"/>
        <w:rPr>
          <w:rFonts w:cstheme="minorHAnsi"/>
          <w:b/>
          <w:bCs/>
        </w:rPr>
      </w:pPr>
      <w:r w:rsidRPr="00CE6052">
        <w:rPr>
          <w:rFonts w:cstheme="minorHAnsi"/>
          <w:b/>
          <w:bCs/>
        </w:rPr>
        <w:t>Project costs</w:t>
      </w:r>
    </w:p>
    <w:p w14:paraId="5E25CDF1" w14:textId="77777777" w:rsidR="000B0CE4" w:rsidRPr="00C25FD0" w:rsidRDefault="000B0CE4" w:rsidP="00B43A4A">
      <w:pPr>
        <w:pStyle w:val="ListParagraph"/>
        <w:numPr>
          <w:ilvl w:val="1"/>
          <w:numId w:val="34"/>
        </w:numPr>
        <w:spacing w:after="120" w:line="240" w:lineRule="auto"/>
        <w:ind w:left="1434" w:hanging="357"/>
        <w:contextualSpacing w:val="0"/>
        <w:rPr>
          <w:rFonts w:cstheme="minorHAnsi"/>
        </w:rPr>
      </w:pPr>
      <w:r w:rsidRPr="00C25FD0">
        <w:rPr>
          <w:rFonts w:cstheme="minorHAnsi"/>
        </w:rPr>
        <w:t>Costs associated with implementation of DEWS</w:t>
      </w:r>
      <w:r>
        <w:rPr>
          <w:rFonts w:cstheme="minorHAnsi"/>
        </w:rPr>
        <w:t xml:space="preserve"> spread sheet tool supplied</w:t>
      </w:r>
    </w:p>
    <w:p w14:paraId="6B5A87C4" w14:textId="77777777" w:rsidR="000B0CE4" w:rsidRDefault="000B0CE4" w:rsidP="00064654">
      <w:pPr>
        <w:autoSpaceDE w:val="0"/>
        <w:autoSpaceDN w:val="0"/>
        <w:adjustRightInd w:val="0"/>
        <w:spacing w:after="0" w:line="240" w:lineRule="auto"/>
        <w:rPr>
          <w:rFonts w:ascii="Arial" w:hAnsi="Arial" w:cs="Arial"/>
          <w:bCs/>
          <w:sz w:val="20"/>
          <w:szCs w:val="20"/>
        </w:rPr>
      </w:pPr>
    </w:p>
    <w:p w14:paraId="0B1755A7" w14:textId="77777777" w:rsidR="000B0CE4" w:rsidRPr="003802A1" w:rsidRDefault="000B0CE4" w:rsidP="00985356">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I. RECRUITMENT AND SAMPLE</w:t>
      </w:r>
    </w:p>
    <w:p w14:paraId="193DAD6E" w14:textId="196134F9" w:rsidR="000B0CE4" w:rsidRDefault="000B0CE4" w:rsidP="00985356">
      <w:pPr>
        <w:autoSpaceDE w:val="0"/>
        <w:autoSpaceDN w:val="0"/>
        <w:adjustRightInd w:val="0"/>
        <w:spacing w:before="120" w:line="240" w:lineRule="auto"/>
        <w:rPr>
          <w:rFonts w:cstheme="minorHAnsi"/>
          <w:szCs w:val="22"/>
        </w:rPr>
      </w:pPr>
      <w:r>
        <w:rPr>
          <w:rFonts w:cstheme="minorHAnsi"/>
          <w:szCs w:val="22"/>
        </w:rPr>
        <w:t xml:space="preserve">We aim to recruit between three and five </w:t>
      </w:r>
      <w:r w:rsidRPr="008D45A6">
        <w:rPr>
          <w:rFonts w:cstheme="minorHAnsi"/>
          <w:szCs w:val="22"/>
        </w:rPr>
        <w:t xml:space="preserve">ARC facilities.  </w:t>
      </w:r>
      <w:r>
        <w:rPr>
          <w:rFonts w:cstheme="minorHAnsi"/>
          <w:szCs w:val="22"/>
        </w:rPr>
        <w:t xml:space="preserve">An advertisement (invitation to participate) will be distributed </w:t>
      </w:r>
      <w:r w:rsidRPr="008D45A6">
        <w:rPr>
          <w:rFonts w:cstheme="minorHAnsi"/>
          <w:szCs w:val="22"/>
        </w:rPr>
        <w:t xml:space="preserve">via the Quality Leads </w:t>
      </w:r>
      <w:r>
        <w:rPr>
          <w:rFonts w:cstheme="minorHAnsi"/>
          <w:szCs w:val="22"/>
        </w:rPr>
        <w:t>G</w:t>
      </w:r>
      <w:r w:rsidRPr="008D45A6">
        <w:rPr>
          <w:rFonts w:cstheme="minorHAnsi"/>
          <w:szCs w:val="22"/>
        </w:rPr>
        <w:t xml:space="preserve">roup and standard Te </w:t>
      </w:r>
      <w:proofErr w:type="spellStart"/>
      <w:r w:rsidRPr="008D45A6">
        <w:rPr>
          <w:rFonts w:cstheme="minorHAnsi"/>
          <w:szCs w:val="22"/>
        </w:rPr>
        <w:t>Tāhū</w:t>
      </w:r>
      <w:proofErr w:type="spellEnd"/>
      <w:r w:rsidRPr="008D45A6">
        <w:rPr>
          <w:rFonts w:cstheme="minorHAnsi"/>
          <w:szCs w:val="22"/>
        </w:rPr>
        <w:t xml:space="preserve"> Hauora communication pathways.  ARC providers </w:t>
      </w:r>
      <w:r>
        <w:rPr>
          <w:rFonts w:cstheme="minorHAnsi"/>
          <w:szCs w:val="22"/>
        </w:rPr>
        <w:t xml:space="preserve">responding to the invitation </w:t>
      </w:r>
      <w:r w:rsidRPr="008D45A6">
        <w:rPr>
          <w:rFonts w:cstheme="minorHAnsi"/>
          <w:szCs w:val="22"/>
        </w:rPr>
        <w:t xml:space="preserve">will </w:t>
      </w:r>
      <w:proofErr w:type="spellStart"/>
      <w:r>
        <w:rPr>
          <w:rFonts w:cstheme="minorHAnsi"/>
          <w:szCs w:val="22"/>
        </w:rPr>
        <w:t>given</w:t>
      </w:r>
      <w:proofErr w:type="spellEnd"/>
      <w:r>
        <w:rPr>
          <w:rFonts w:cstheme="minorHAnsi"/>
          <w:szCs w:val="22"/>
        </w:rPr>
        <w:t xml:space="preserve"> more detailed information </w:t>
      </w:r>
      <w:r w:rsidR="00CE6052">
        <w:rPr>
          <w:rFonts w:cstheme="minorHAnsi"/>
          <w:szCs w:val="22"/>
        </w:rPr>
        <w:t xml:space="preserve">(Participant Information Sheet) </w:t>
      </w:r>
      <w:r>
        <w:rPr>
          <w:rFonts w:cstheme="minorHAnsi"/>
          <w:szCs w:val="22"/>
        </w:rPr>
        <w:t xml:space="preserve">and asked questions to ensure they meet inclusion criteria.  </w:t>
      </w:r>
    </w:p>
    <w:p w14:paraId="6E330C8E" w14:textId="77777777" w:rsidR="000B0CE4" w:rsidRPr="00842011" w:rsidRDefault="000B0CE4" w:rsidP="00842011">
      <w:pPr>
        <w:autoSpaceDE w:val="0"/>
        <w:autoSpaceDN w:val="0"/>
        <w:adjustRightInd w:val="0"/>
        <w:spacing w:before="240" w:line="240" w:lineRule="auto"/>
        <w:rPr>
          <w:rFonts w:cstheme="minorHAnsi"/>
          <w:b/>
          <w:bCs/>
          <w:szCs w:val="22"/>
        </w:rPr>
      </w:pPr>
      <w:r w:rsidRPr="00842011">
        <w:rPr>
          <w:rFonts w:cstheme="minorHAnsi"/>
          <w:b/>
          <w:bCs/>
          <w:szCs w:val="22"/>
        </w:rPr>
        <w:t>S</w:t>
      </w:r>
      <w:r>
        <w:rPr>
          <w:rFonts w:cstheme="minorHAnsi"/>
          <w:b/>
          <w:bCs/>
          <w:szCs w:val="22"/>
        </w:rPr>
        <w:t>ample</w:t>
      </w:r>
    </w:p>
    <w:p w14:paraId="37759B3F" w14:textId="250559D7" w:rsidR="000B0CE4" w:rsidRDefault="000B0CE4" w:rsidP="00842011">
      <w:pPr>
        <w:autoSpaceDE w:val="0"/>
        <w:autoSpaceDN w:val="0"/>
        <w:adjustRightInd w:val="0"/>
        <w:spacing w:before="120" w:after="0" w:line="240" w:lineRule="auto"/>
        <w:rPr>
          <w:rFonts w:cstheme="minorHAnsi"/>
          <w:szCs w:val="22"/>
        </w:rPr>
      </w:pPr>
      <w:r>
        <w:rPr>
          <w:rFonts w:cstheme="minorHAnsi"/>
          <w:szCs w:val="22"/>
        </w:rPr>
        <w:t xml:space="preserve">This will be a convenience sample however aim to recruit a reasonably representative sample of ARC providers.  </w:t>
      </w:r>
      <w:r w:rsidRPr="00B909CF">
        <w:rPr>
          <w:rFonts w:ascii="Arial" w:hAnsi="Arial" w:cs="Arial"/>
          <w:bCs/>
          <w:szCs w:val="22"/>
        </w:rPr>
        <w:t xml:space="preserve">To ensure we </w:t>
      </w:r>
      <w:r>
        <w:rPr>
          <w:rFonts w:ascii="Arial" w:hAnsi="Arial" w:cs="Arial"/>
          <w:bCs/>
          <w:szCs w:val="22"/>
        </w:rPr>
        <w:t xml:space="preserve">recruit sufficient RNs to test DEWS we will recruit facilities no smaller than 50 beds.  </w:t>
      </w:r>
      <w:r w:rsidR="00CE6052">
        <w:rPr>
          <w:rFonts w:ascii="Arial" w:hAnsi="Arial" w:cs="Arial"/>
          <w:bCs/>
          <w:szCs w:val="22"/>
        </w:rPr>
        <w:t xml:space="preserve">As there are no mandated staffing ratios in ARC this facility </w:t>
      </w:r>
      <w:r>
        <w:rPr>
          <w:rFonts w:ascii="Arial" w:hAnsi="Arial" w:cs="Arial"/>
          <w:bCs/>
          <w:szCs w:val="22"/>
        </w:rPr>
        <w:t>size is an estimate based on clinical practice knowledge</w:t>
      </w:r>
      <w:r w:rsidR="00CE6052">
        <w:rPr>
          <w:rFonts w:ascii="Arial" w:hAnsi="Arial" w:cs="Arial"/>
          <w:bCs/>
          <w:szCs w:val="22"/>
        </w:rPr>
        <w:t>.</w:t>
      </w:r>
      <w:r>
        <w:rPr>
          <w:rFonts w:ascii="Arial" w:hAnsi="Arial" w:cs="Arial"/>
          <w:bCs/>
          <w:szCs w:val="22"/>
        </w:rPr>
        <w:t xml:space="preserve">  </w:t>
      </w:r>
      <w:r w:rsidRPr="008D45A6">
        <w:rPr>
          <w:rFonts w:cstheme="minorHAnsi"/>
          <w:szCs w:val="22"/>
        </w:rPr>
        <w:t xml:space="preserve">In the event of over subscription </w:t>
      </w:r>
      <w:r w:rsidR="00CE6052">
        <w:rPr>
          <w:rFonts w:cstheme="minorHAnsi"/>
          <w:szCs w:val="22"/>
        </w:rPr>
        <w:t xml:space="preserve">the sampling criteria below will be  used to get the representative ARC </w:t>
      </w:r>
      <w:r w:rsidRPr="008D45A6">
        <w:rPr>
          <w:rFonts w:cstheme="minorHAnsi"/>
          <w:szCs w:val="22"/>
        </w:rPr>
        <w:t>samp</w:t>
      </w:r>
      <w:r w:rsidR="00CE6052">
        <w:rPr>
          <w:rFonts w:cstheme="minorHAnsi"/>
          <w:szCs w:val="22"/>
        </w:rPr>
        <w:t>le.</w:t>
      </w:r>
      <w:r w:rsidRPr="008D45A6">
        <w:rPr>
          <w:rFonts w:cstheme="minorHAnsi"/>
          <w:szCs w:val="22"/>
        </w:rPr>
        <w:t xml:space="preserve">  One ARC facility will meet more than one criteria.</w:t>
      </w:r>
    </w:p>
    <w:p w14:paraId="35D19CE0" w14:textId="77777777" w:rsidR="000B0CE4" w:rsidRDefault="000B0CE4" w:rsidP="00842011">
      <w:pPr>
        <w:autoSpaceDE w:val="0"/>
        <w:autoSpaceDN w:val="0"/>
        <w:adjustRightInd w:val="0"/>
        <w:spacing w:before="120" w:after="0" w:line="240" w:lineRule="auto"/>
        <w:rPr>
          <w:rFonts w:cstheme="minorHAnsi"/>
          <w:bCs/>
          <w:lang w:eastAsia="en-GB"/>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872"/>
        <w:gridCol w:w="1872"/>
        <w:gridCol w:w="2388"/>
        <w:gridCol w:w="2268"/>
        <w:gridCol w:w="1467"/>
      </w:tblGrid>
      <w:tr w:rsidR="000B0CE4" w:rsidRPr="00AF2D5F" w14:paraId="013BB1E7" w14:textId="77777777" w:rsidTr="003F14A0">
        <w:trPr>
          <w:trHeight w:val="20"/>
          <w:jc w:val="center"/>
        </w:trPr>
        <w:tc>
          <w:tcPr>
            <w:tcW w:w="1872" w:type="dxa"/>
            <w:shd w:val="clear" w:color="auto" w:fill="D9D9D9" w:themeFill="background1" w:themeFillShade="D9"/>
          </w:tcPr>
          <w:p w14:paraId="457C00CF" w14:textId="77777777" w:rsidR="000B0CE4" w:rsidRDefault="000B0CE4" w:rsidP="009A3789">
            <w:pPr>
              <w:autoSpaceDE w:val="0"/>
              <w:autoSpaceDN w:val="0"/>
              <w:adjustRightInd w:val="0"/>
              <w:spacing w:after="0" w:line="240" w:lineRule="auto"/>
              <w:rPr>
                <w:rFonts w:ascii="Arial" w:hAnsi="Arial" w:cs="Arial"/>
                <w:bCs/>
                <w:sz w:val="20"/>
                <w:szCs w:val="20"/>
              </w:rPr>
            </w:pPr>
            <w:r>
              <w:rPr>
                <w:rFonts w:ascii="Arial" w:hAnsi="Arial" w:cs="Arial"/>
                <w:bCs/>
                <w:sz w:val="20"/>
                <w:szCs w:val="20"/>
              </w:rPr>
              <w:t>Size</w:t>
            </w:r>
          </w:p>
        </w:tc>
        <w:tc>
          <w:tcPr>
            <w:tcW w:w="1872" w:type="dxa"/>
            <w:shd w:val="clear" w:color="auto" w:fill="D9D9D9" w:themeFill="background1" w:themeFillShade="D9"/>
            <w:vAlign w:val="center"/>
          </w:tcPr>
          <w:p w14:paraId="4137F152" w14:textId="77777777" w:rsidR="000B0CE4" w:rsidRPr="00AF2D5F" w:rsidRDefault="000B0CE4" w:rsidP="009A3789">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Population </w:t>
            </w:r>
          </w:p>
        </w:tc>
        <w:tc>
          <w:tcPr>
            <w:tcW w:w="2388" w:type="dxa"/>
            <w:shd w:val="clear" w:color="auto" w:fill="D9D9D9" w:themeFill="background1" w:themeFillShade="D9"/>
            <w:vAlign w:val="center"/>
          </w:tcPr>
          <w:p w14:paraId="1A31B4C0" w14:textId="77777777" w:rsidR="000B0CE4" w:rsidRPr="00AF2D5F" w:rsidRDefault="000B0CE4" w:rsidP="009A3789">
            <w:pPr>
              <w:autoSpaceDE w:val="0"/>
              <w:autoSpaceDN w:val="0"/>
              <w:adjustRightInd w:val="0"/>
              <w:spacing w:after="0" w:line="240" w:lineRule="auto"/>
              <w:rPr>
                <w:rFonts w:ascii="Arial" w:hAnsi="Arial" w:cs="Arial"/>
                <w:bCs/>
                <w:sz w:val="20"/>
                <w:szCs w:val="20"/>
              </w:rPr>
            </w:pPr>
            <w:r w:rsidRPr="00AF2D5F">
              <w:rPr>
                <w:rFonts w:ascii="Arial" w:hAnsi="Arial" w:cs="Arial"/>
                <w:bCs/>
                <w:sz w:val="20"/>
                <w:szCs w:val="20"/>
              </w:rPr>
              <w:t>Service model</w:t>
            </w:r>
          </w:p>
        </w:tc>
        <w:tc>
          <w:tcPr>
            <w:tcW w:w="2268" w:type="dxa"/>
            <w:shd w:val="clear" w:color="auto" w:fill="D9D9D9" w:themeFill="background1" w:themeFillShade="D9"/>
            <w:vAlign w:val="center"/>
          </w:tcPr>
          <w:p w14:paraId="7FEFFB0B" w14:textId="77777777" w:rsidR="000B0CE4" w:rsidRPr="00AF2D5F" w:rsidRDefault="000B0CE4" w:rsidP="009A3789">
            <w:pPr>
              <w:autoSpaceDE w:val="0"/>
              <w:autoSpaceDN w:val="0"/>
              <w:adjustRightInd w:val="0"/>
              <w:spacing w:after="0" w:line="240" w:lineRule="auto"/>
              <w:rPr>
                <w:rFonts w:ascii="Arial" w:hAnsi="Arial" w:cs="Arial"/>
                <w:bCs/>
                <w:sz w:val="20"/>
                <w:szCs w:val="20"/>
              </w:rPr>
            </w:pPr>
            <w:r w:rsidRPr="00AF2D5F">
              <w:rPr>
                <w:rFonts w:ascii="Arial" w:hAnsi="Arial" w:cs="Arial"/>
                <w:bCs/>
                <w:sz w:val="20"/>
                <w:szCs w:val="20"/>
              </w:rPr>
              <w:t>Level of care</w:t>
            </w:r>
          </w:p>
        </w:tc>
        <w:tc>
          <w:tcPr>
            <w:tcW w:w="1467" w:type="dxa"/>
            <w:shd w:val="clear" w:color="auto" w:fill="D9D9D9" w:themeFill="background1" w:themeFillShade="D9"/>
            <w:vAlign w:val="center"/>
          </w:tcPr>
          <w:p w14:paraId="347ED846" w14:textId="77777777" w:rsidR="000B0CE4" w:rsidRPr="00AF2D5F" w:rsidRDefault="000B0CE4" w:rsidP="009A3789">
            <w:pPr>
              <w:autoSpaceDE w:val="0"/>
              <w:autoSpaceDN w:val="0"/>
              <w:adjustRightInd w:val="0"/>
              <w:spacing w:after="0" w:line="240" w:lineRule="auto"/>
              <w:rPr>
                <w:rFonts w:ascii="Arial" w:hAnsi="Arial" w:cs="Arial"/>
                <w:bCs/>
                <w:sz w:val="20"/>
                <w:szCs w:val="20"/>
              </w:rPr>
            </w:pPr>
            <w:r w:rsidRPr="00AF2D5F">
              <w:rPr>
                <w:rFonts w:ascii="Arial" w:hAnsi="Arial" w:cs="Arial"/>
                <w:bCs/>
                <w:sz w:val="20"/>
                <w:szCs w:val="20"/>
              </w:rPr>
              <w:t>Geography</w:t>
            </w:r>
          </w:p>
        </w:tc>
      </w:tr>
      <w:tr w:rsidR="000B0CE4" w:rsidRPr="00AF2D5F" w14:paraId="58C66A05" w14:textId="77777777" w:rsidTr="003F14A0">
        <w:trPr>
          <w:trHeight w:val="317"/>
          <w:jc w:val="center"/>
        </w:trPr>
        <w:tc>
          <w:tcPr>
            <w:tcW w:w="1872" w:type="dxa"/>
          </w:tcPr>
          <w:p w14:paraId="6A248E6F" w14:textId="77777777" w:rsidR="000B0CE4" w:rsidRDefault="000B0CE4" w:rsidP="009A3789">
            <w:pPr>
              <w:autoSpaceDE w:val="0"/>
              <w:autoSpaceDN w:val="0"/>
              <w:adjustRightInd w:val="0"/>
              <w:spacing w:before="40" w:after="40" w:line="240" w:lineRule="auto"/>
              <w:rPr>
                <w:rFonts w:ascii="Arial" w:hAnsi="Arial" w:cs="Arial"/>
                <w:bCs/>
                <w:sz w:val="20"/>
                <w:szCs w:val="20"/>
              </w:rPr>
            </w:pPr>
            <w:r>
              <w:rPr>
                <w:rFonts w:ascii="Arial" w:hAnsi="Arial" w:cs="Arial"/>
                <w:bCs/>
                <w:sz w:val="20"/>
                <w:szCs w:val="20"/>
              </w:rPr>
              <w:t>Large ≥ 70 beds</w:t>
            </w:r>
          </w:p>
          <w:p w14:paraId="177915EA" w14:textId="77777777" w:rsidR="000B0CE4" w:rsidRDefault="000B0CE4" w:rsidP="009A3789">
            <w:pPr>
              <w:autoSpaceDE w:val="0"/>
              <w:autoSpaceDN w:val="0"/>
              <w:adjustRightInd w:val="0"/>
              <w:spacing w:before="40" w:after="40" w:line="240" w:lineRule="auto"/>
              <w:rPr>
                <w:rFonts w:ascii="Arial" w:hAnsi="Arial" w:cs="Arial"/>
                <w:bCs/>
                <w:sz w:val="20"/>
                <w:szCs w:val="20"/>
              </w:rPr>
            </w:pPr>
            <w:r>
              <w:rPr>
                <w:rFonts w:ascii="Arial" w:hAnsi="Arial" w:cs="Arial"/>
                <w:bCs/>
                <w:sz w:val="20"/>
                <w:szCs w:val="20"/>
              </w:rPr>
              <w:t>Small 50 to 70 beds</w:t>
            </w:r>
          </w:p>
        </w:tc>
        <w:tc>
          <w:tcPr>
            <w:tcW w:w="1872" w:type="dxa"/>
          </w:tcPr>
          <w:p w14:paraId="1B4A6BEE" w14:textId="77777777" w:rsidR="000B0CE4" w:rsidRPr="00AF2D5F" w:rsidRDefault="000B0CE4" w:rsidP="009A3789">
            <w:pPr>
              <w:autoSpaceDE w:val="0"/>
              <w:autoSpaceDN w:val="0"/>
              <w:adjustRightInd w:val="0"/>
              <w:spacing w:before="40" w:after="40" w:line="240" w:lineRule="auto"/>
              <w:rPr>
                <w:rFonts w:ascii="Arial" w:hAnsi="Arial" w:cs="Arial"/>
                <w:bCs/>
                <w:sz w:val="20"/>
                <w:szCs w:val="20"/>
              </w:rPr>
            </w:pPr>
            <w:r>
              <w:rPr>
                <w:rFonts w:ascii="Arial" w:hAnsi="Arial" w:cs="Arial"/>
                <w:bCs/>
                <w:sz w:val="20"/>
                <w:szCs w:val="20"/>
              </w:rPr>
              <w:t xml:space="preserve">≥ 20% </w:t>
            </w:r>
            <w:r w:rsidRPr="006508B2">
              <w:rPr>
                <w:rFonts w:cstheme="minorHAnsi"/>
                <w:bCs/>
                <w:lang w:eastAsia="en-GB"/>
              </w:rPr>
              <w:t>Māori</w:t>
            </w:r>
            <w:r>
              <w:rPr>
                <w:rFonts w:ascii="Arial" w:hAnsi="Arial" w:cs="Arial"/>
                <w:bCs/>
                <w:sz w:val="20"/>
                <w:szCs w:val="20"/>
              </w:rPr>
              <w:t xml:space="preserve"> staff*  </w:t>
            </w:r>
          </w:p>
        </w:tc>
        <w:tc>
          <w:tcPr>
            <w:tcW w:w="2388" w:type="dxa"/>
          </w:tcPr>
          <w:p w14:paraId="111B4C9A" w14:textId="77777777" w:rsidR="000B0CE4" w:rsidRDefault="000B0CE4" w:rsidP="009A3789">
            <w:pPr>
              <w:autoSpaceDE w:val="0"/>
              <w:autoSpaceDN w:val="0"/>
              <w:adjustRightInd w:val="0"/>
              <w:spacing w:before="40" w:after="40" w:line="240" w:lineRule="auto"/>
              <w:rPr>
                <w:rFonts w:ascii="Arial" w:hAnsi="Arial" w:cs="Arial"/>
                <w:bCs/>
                <w:sz w:val="20"/>
                <w:szCs w:val="20"/>
              </w:rPr>
            </w:pPr>
            <w:r w:rsidRPr="00AF2D5F">
              <w:rPr>
                <w:rFonts w:ascii="Arial" w:hAnsi="Arial" w:cs="Arial"/>
                <w:bCs/>
                <w:sz w:val="20"/>
                <w:szCs w:val="20"/>
              </w:rPr>
              <w:t>Corporate</w:t>
            </w:r>
            <w:r>
              <w:rPr>
                <w:rFonts w:ascii="Arial" w:hAnsi="Arial" w:cs="Arial"/>
                <w:bCs/>
                <w:sz w:val="20"/>
                <w:szCs w:val="20"/>
              </w:rPr>
              <w:t xml:space="preserve"> for profit</w:t>
            </w:r>
          </w:p>
          <w:p w14:paraId="5F5659D4" w14:textId="77777777" w:rsidR="000B0CE4" w:rsidRDefault="000B0CE4" w:rsidP="009A3789">
            <w:pPr>
              <w:autoSpaceDE w:val="0"/>
              <w:autoSpaceDN w:val="0"/>
              <w:adjustRightInd w:val="0"/>
              <w:spacing w:before="40" w:after="40" w:line="240" w:lineRule="auto"/>
              <w:rPr>
                <w:rFonts w:ascii="Arial" w:hAnsi="Arial" w:cs="Arial"/>
                <w:bCs/>
                <w:sz w:val="20"/>
                <w:szCs w:val="20"/>
              </w:rPr>
            </w:pPr>
            <w:r>
              <w:rPr>
                <w:rFonts w:ascii="Arial" w:hAnsi="Arial" w:cs="Arial"/>
                <w:bCs/>
                <w:sz w:val="20"/>
                <w:szCs w:val="20"/>
              </w:rPr>
              <w:t xml:space="preserve">Not for profit </w:t>
            </w:r>
          </w:p>
          <w:p w14:paraId="0EC10877" w14:textId="77777777" w:rsidR="000B0CE4" w:rsidRDefault="000B0CE4" w:rsidP="009A3789">
            <w:pPr>
              <w:autoSpaceDE w:val="0"/>
              <w:autoSpaceDN w:val="0"/>
              <w:adjustRightInd w:val="0"/>
              <w:spacing w:before="40" w:after="40" w:line="240" w:lineRule="auto"/>
              <w:rPr>
                <w:rFonts w:ascii="Arial" w:hAnsi="Arial" w:cs="Arial"/>
                <w:bCs/>
                <w:sz w:val="20"/>
                <w:szCs w:val="20"/>
              </w:rPr>
            </w:pPr>
            <w:r>
              <w:rPr>
                <w:rFonts w:ascii="Arial" w:hAnsi="Arial" w:cs="Arial"/>
                <w:bCs/>
                <w:sz w:val="20"/>
                <w:szCs w:val="20"/>
              </w:rPr>
              <w:t>Religious and welfare</w:t>
            </w:r>
          </w:p>
          <w:p w14:paraId="1E6E66AB" w14:textId="77777777" w:rsidR="000B0CE4" w:rsidRPr="00AF2D5F" w:rsidRDefault="000B0CE4" w:rsidP="009A3789">
            <w:pPr>
              <w:autoSpaceDE w:val="0"/>
              <w:autoSpaceDN w:val="0"/>
              <w:adjustRightInd w:val="0"/>
              <w:spacing w:before="40" w:after="40" w:line="240" w:lineRule="auto"/>
              <w:rPr>
                <w:rFonts w:ascii="Arial" w:hAnsi="Arial" w:cs="Arial"/>
                <w:bCs/>
                <w:sz w:val="20"/>
                <w:szCs w:val="20"/>
              </w:rPr>
            </w:pPr>
            <w:r>
              <w:rPr>
                <w:rFonts w:ascii="Arial" w:hAnsi="Arial" w:cs="Arial"/>
                <w:bCs/>
                <w:sz w:val="20"/>
                <w:szCs w:val="20"/>
              </w:rPr>
              <w:t>Private ownership</w:t>
            </w:r>
          </w:p>
        </w:tc>
        <w:tc>
          <w:tcPr>
            <w:tcW w:w="2268" w:type="dxa"/>
          </w:tcPr>
          <w:p w14:paraId="0C6572C2" w14:textId="77777777" w:rsidR="000B0CE4" w:rsidRPr="00AF2D5F" w:rsidRDefault="000B0CE4" w:rsidP="009A3789">
            <w:pPr>
              <w:autoSpaceDE w:val="0"/>
              <w:autoSpaceDN w:val="0"/>
              <w:adjustRightInd w:val="0"/>
              <w:spacing w:before="40" w:after="40" w:line="240" w:lineRule="auto"/>
              <w:rPr>
                <w:rFonts w:ascii="Arial" w:hAnsi="Arial" w:cs="Arial"/>
                <w:bCs/>
                <w:sz w:val="20"/>
                <w:szCs w:val="20"/>
              </w:rPr>
            </w:pPr>
            <w:r w:rsidRPr="004D66FB">
              <w:rPr>
                <w:rFonts w:ascii="Arial" w:hAnsi="Arial" w:cs="Arial"/>
                <w:bCs/>
                <w:sz w:val="20"/>
                <w:szCs w:val="20"/>
              </w:rPr>
              <w:t>Hospital</w:t>
            </w:r>
            <w:r>
              <w:rPr>
                <w:rFonts w:ascii="Arial" w:hAnsi="Arial" w:cs="Arial"/>
                <w:bCs/>
                <w:sz w:val="20"/>
                <w:szCs w:val="20"/>
              </w:rPr>
              <w:t xml:space="preserve"> and/or Rest Home and/or Secure Dementia Care</w:t>
            </w:r>
          </w:p>
        </w:tc>
        <w:tc>
          <w:tcPr>
            <w:tcW w:w="1467" w:type="dxa"/>
          </w:tcPr>
          <w:p w14:paraId="2AF03EA4" w14:textId="77777777" w:rsidR="000B0CE4" w:rsidRDefault="000B0CE4" w:rsidP="009A3789">
            <w:pPr>
              <w:autoSpaceDE w:val="0"/>
              <w:autoSpaceDN w:val="0"/>
              <w:adjustRightInd w:val="0"/>
              <w:spacing w:before="40" w:after="40" w:line="240" w:lineRule="auto"/>
              <w:rPr>
                <w:rFonts w:ascii="Arial" w:hAnsi="Arial" w:cs="Arial"/>
                <w:bCs/>
                <w:sz w:val="20"/>
                <w:szCs w:val="20"/>
              </w:rPr>
            </w:pPr>
            <w:r w:rsidRPr="00AF2D5F">
              <w:rPr>
                <w:rFonts w:ascii="Arial" w:hAnsi="Arial" w:cs="Arial"/>
                <w:bCs/>
                <w:sz w:val="20"/>
                <w:szCs w:val="20"/>
              </w:rPr>
              <w:t>Urban</w:t>
            </w:r>
          </w:p>
          <w:p w14:paraId="5D9FDBF7" w14:textId="77777777" w:rsidR="000B0CE4" w:rsidRPr="00AF2D5F" w:rsidRDefault="000B0CE4" w:rsidP="009A3789">
            <w:pPr>
              <w:autoSpaceDE w:val="0"/>
              <w:autoSpaceDN w:val="0"/>
              <w:adjustRightInd w:val="0"/>
              <w:spacing w:before="40" w:after="40" w:line="240" w:lineRule="auto"/>
              <w:rPr>
                <w:rFonts w:ascii="Arial" w:hAnsi="Arial" w:cs="Arial"/>
                <w:bCs/>
                <w:sz w:val="20"/>
                <w:szCs w:val="20"/>
              </w:rPr>
            </w:pPr>
            <w:r>
              <w:rPr>
                <w:rFonts w:ascii="Arial" w:hAnsi="Arial" w:cs="Arial"/>
                <w:bCs/>
                <w:sz w:val="20"/>
                <w:szCs w:val="20"/>
              </w:rPr>
              <w:t>Rural</w:t>
            </w:r>
          </w:p>
        </w:tc>
      </w:tr>
    </w:tbl>
    <w:p w14:paraId="4EDE331B" w14:textId="77777777" w:rsidR="000B0CE4" w:rsidRDefault="000B0CE4" w:rsidP="00985356">
      <w:pPr>
        <w:autoSpaceDE w:val="0"/>
        <w:autoSpaceDN w:val="0"/>
        <w:adjustRightInd w:val="0"/>
        <w:spacing w:after="0" w:line="240" w:lineRule="auto"/>
        <w:rPr>
          <w:rFonts w:ascii="Arial" w:hAnsi="Arial" w:cs="Arial"/>
          <w:bCs/>
        </w:rPr>
      </w:pPr>
    </w:p>
    <w:p w14:paraId="3D5B8539" w14:textId="139C82B0" w:rsidR="000B0CE4" w:rsidRPr="000F2FE8" w:rsidRDefault="000B0CE4" w:rsidP="00985356">
      <w:pPr>
        <w:autoSpaceDE w:val="0"/>
        <w:autoSpaceDN w:val="0"/>
        <w:adjustRightInd w:val="0"/>
        <w:spacing w:after="0" w:line="240" w:lineRule="auto"/>
        <w:rPr>
          <w:rFonts w:ascii="Arial" w:hAnsi="Arial" w:cs="Arial"/>
          <w:bCs/>
          <w:sz w:val="20"/>
          <w:szCs w:val="20"/>
        </w:rPr>
      </w:pPr>
      <w:r w:rsidRPr="000F2FE8">
        <w:rPr>
          <w:rFonts w:ascii="Arial" w:hAnsi="Arial" w:cs="Arial"/>
          <w:bCs/>
          <w:sz w:val="20"/>
          <w:szCs w:val="20"/>
        </w:rPr>
        <w:t xml:space="preserve">* in 2020 the percentage of </w:t>
      </w:r>
      <w:r w:rsidR="000F2FE8" w:rsidRPr="000F2FE8">
        <w:rPr>
          <w:rFonts w:cstheme="minorHAnsi"/>
          <w:bCs/>
          <w:sz w:val="20"/>
          <w:szCs w:val="20"/>
          <w:lang w:eastAsia="en-GB"/>
        </w:rPr>
        <w:t>Māori</w:t>
      </w:r>
      <w:r w:rsidRPr="000F2FE8">
        <w:rPr>
          <w:rFonts w:ascii="Arial" w:hAnsi="Arial" w:cs="Arial"/>
          <w:bCs/>
          <w:sz w:val="20"/>
          <w:szCs w:val="20"/>
        </w:rPr>
        <w:t xml:space="preserve"> working as personal care assistants was 17% (in home based support services and aged residential care combined) and 9% were registered nurses (Te Rau Ora 2022)</w:t>
      </w:r>
    </w:p>
    <w:p w14:paraId="7B12C38E" w14:textId="77777777" w:rsidR="000B0CE4" w:rsidRDefault="000B0CE4" w:rsidP="00064654">
      <w:pPr>
        <w:autoSpaceDE w:val="0"/>
        <w:autoSpaceDN w:val="0"/>
        <w:adjustRightInd w:val="0"/>
        <w:spacing w:after="0" w:line="240" w:lineRule="auto"/>
        <w:rPr>
          <w:rFonts w:ascii="Arial" w:hAnsi="Arial" w:cs="Arial"/>
          <w:bCs/>
          <w:sz w:val="20"/>
          <w:szCs w:val="20"/>
        </w:rPr>
      </w:pPr>
    </w:p>
    <w:p w14:paraId="19E5155A" w14:textId="77777777" w:rsidR="000B0CE4" w:rsidRDefault="000B0CE4" w:rsidP="00064654">
      <w:pPr>
        <w:autoSpaceDE w:val="0"/>
        <w:autoSpaceDN w:val="0"/>
        <w:adjustRightInd w:val="0"/>
        <w:spacing w:after="0" w:line="240" w:lineRule="auto"/>
        <w:rPr>
          <w:rFonts w:ascii="Arial" w:hAnsi="Arial" w:cs="Arial"/>
          <w:bCs/>
          <w:sz w:val="20"/>
          <w:szCs w:val="20"/>
        </w:rPr>
      </w:pPr>
    </w:p>
    <w:p w14:paraId="0470CD6E" w14:textId="77777777" w:rsidR="000B0CE4" w:rsidRDefault="000B0CE4" w:rsidP="00985356">
      <w:pPr>
        <w:autoSpaceDE w:val="0"/>
        <w:autoSpaceDN w:val="0"/>
        <w:adjustRightInd w:val="0"/>
        <w:spacing w:line="240" w:lineRule="auto"/>
        <w:rPr>
          <w:rFonts w:cstheme="minorHAnsi"/>
          <w:b/>
        </w:rPr>
      </w:pPr>
      <w:r w:rsidRPr="0011662F">
        <w:rPr>
          <w:rFonts w:cstheme="minorHAnsi"/>
          <w:b/>
        </w:rPr>
        <w:t>E</w:t>
      </w:r>
      <w:r>
        <w:rPr>
          <w:rFonts w:cstheme="minorHAnsi"/>
          <w:b/>
        </w:rPr>
        <w:t>ligibility Criteria</w:t>
      </w:r>
    </w:p>
    <w:p w14:paraId="76859D1F" w14:textId="77777777" w:rsidR="000B0CE4" w:rsidRDefault="000B0CE4" w:rsidP="00985356">
      <w:pPr>
        <w:autoSpaceDE w:val="0"/>
        <w:autoSpaceDN w:val="0"/>
        <w:adjustRightInd w:val="0"/>
        <w:spacing w:line="240" w:lineRule="auto"/>
        <w:rPr>
          <w:rFonts w:cstheme="minorHAnsi"/>
          <w:bCs/>
          <w:lang w:eastAsia="en-GB"/>
        </w:rPr>
      </w:pPr>
      <w:r>
        <w:rPr>
          <w:rFonts w:cstheme="minorHAnsi"/>
          <w:bCs/>
          <w:lang w:eastAsia="en-GB"/>
        </w:rPr>
        <w:t xml:space="preserve">To be </w:t>
      </w:r>
      <w:r w:rsidRPr="00CF0667">
        <w:rPr>
          <w:rFonts w:cstheme="minorHAnsi"/>
          <w:bCs/>
          <w:lang w:eastAsia="en-GB"/>
        </w:rPr>
        <w:t xml:space="preserve">eligible </w:t>
      </w:r>
      <w:r>
        <w:rPr>
          <w:rFonts w:cstheme="minorHAnsi"/>
          <w:bCs/>
          <w:lang w:eastAsia="en-GB"/>
        </w:rPr>
        <w:t>ARC providers must be delivering long term ag</w:t>
      </w:r>
      <w:r w:rsidRPr="00CF0667">
        <w:rPr>
          <w:rFonts w:cstheme="minorHAnsi"/>
          <w:bCs/>
          <w:lang w:eastAsia="en-GB"/>
        </w:rPr>
        <w:t xml:space="preserve">ed-related residential </w:t>
      </w:r>
      <w:r>
        <w:rPr>
          <w:rFonts w:cstheme="minorHAnsi"/>
          <w:bCs/>
          <w:lang w:eastAsia="en-GB"/>
        </w:rPr>
        <w:t xml:space="preserve">under the Age-related residential care services contact.  Healthcare staff are all competent adults aged 18 to 75 years. </w:t>
      </w:r>
    </w:p>
    <w:p w14:paraId="7EE995E2" w14:textId="77777777" w:rsidR="000B0CE4" w:rsidRDefault="000B0CE4" w:rsidP="00763C4A">
      <w:pPr>
        <w:spacing w:before="240" w:line="240" w:lineRule="auto"/>
        <w:rPr>
          <w:rFonts w:cstheme="minorHAnsi"/>
          <w:b/>
          <w:bCs/>
          <w:szCs w:val="22"/>
        </w:rPr>
      </w:pPr>
      <w:r>
        <w:rPr>
          <w:rFonts w:cstheme="minorHAnsi"/>
          <w:b/>
          <w:bCs/>
          <w:szCs w:val="22"/>
        </w:rPr>
        <w:t>Inclusion c</w:t>
      </w:r>
      <w:r w:rsidRPr="003C12DB">
        <w:rPr>
          <w:rFonts w:cstheme="minorHAnsi"/>
          <w:b/>
          <w:bCs/>
          <w:szCs w:val="22"/>
        </w:rPr>
        <w:t>riteria</w:t>
      </w:r>
      <w:r>
        <w:rPr>
          <w:rFonts w:cstheme="minorHAnsi"/>
          <w:b/>
          <w:bCs/>
          <w:szCs w:val="22"/>
        </w:rPr>
        <w:t xml:space="preserve"> </w:t>
      </w:r>
    </w:p>
    <w:p w14:paraId="62280765" w14:textId="77777777" w:rsidR="000B0CE4" w:rsidRPr="00CF0667" w:rsidRDefault="000B0CE4" w:rsidP="00985356">
      <w:pPr>
        <w:jc w:val="both"/>
        <w:rPr>
          <w:rFonts w:ascii="Arial" w:hAnsi="Arial" w:cs="Arial"/>
          <w:szCs w:val="22"/>
          <w:lang w:val="en-AU" w:eastAsia="en-AU"/>
        </w:rPr>
      </w:pPr>
      <w:r w:rsidRPr="00CF0667">
        <w:rPr>
          <w:rFonts w:ascii="Arial" w:hAnsi="Arial" w:cs="Arial"/>
          <w:szCs w:val="22"/>
          <w:lang w:val="en-AU" w:eastAsia="en-AU"/>
        </w:rPr>
        <w:t>ARC provide</w:t>
      </w:r>
      <w:r>
        <w:rPr>
          <w:rFonts w:ascii="Arial" w:hAnsi="Arial" w:cs="Arial"/>
          <w:szCs w:val="22"/>
          <w:lang w:val="en-AU" w:eastAsia="en-AU"/>
        </w:rPr>
        <w:t xml:space="preserve">rs who </w:t>
      </w:r>
      <w:r w:rsidRPr="00CF0667">
        <w:rPr>
          <w:rFonts w:ascii="Arial" w:hAnsi="Arial" w:cs="Arial"/>
          <w:szCs w:val="22"/>
          <w:lang w:val="en-AU" w:eastAsia="en-AU"/>
        </w:rPr>
        <w:t xml:space="preserve"> </w:t>
      </w:r>
    </w:p>
    <w:p w14:paraId="34B0971E" w14:textId="77777777" w:rsidR="000B0CE4" w:rsidRPr="00CF0667" w:rsidRDefault="000B0CE4" w:rsidP="00985356">
      <w:pPr>
        <w:pStyle w:val="ListParagraph"/>
        <w:numPr>
          <w:ilvl w:val="0"/>
          <w:numId w:val="4"/>
        </w:numPr>
        <w:spacing w:after="0" w:line="240" w:lineRule="auto"/>
        <w:ind w:hanging="357"/>
        <w:contextualSpacing w:val="0"/>
        <w:rPr>
          <w:rFonts w:ascii="Arial" w:hAnsi="Arial" w:cs="Arial"/>
          <w:lang w:val="en-AU" w:eastAsia="en-AU"/>
        </w:rPr>
      </w:pPr>
      <w:r>
        <w:rPr>
          <w:rFonts w:ascii="Arial" w:hAnsi="Arial" w:cs="Arial"/>
          <w:lang w:val="en-AU" w:eastAsia="en-AU"/>
        </w:rPr>
        <w:t xml:space="preserve">sign </w:t>
      </w:r>
      <w:r w:rsidRPr="00CF0667">
        <w:rPr>
          <w:rFonts w:ascii="Arial" w:hAnsi="Arial" w:cs="Arial"/>
          <w:lang w:val="en-AU" w:eastAsia="en-AU"/>
        </w:rPr>
        <w:t>a formal access agreement at the executive level</w:t>
      </w:r>
    </w:p>
    <w:p w14:paraId="75A2232D" w14:textId="77777777" w:rsidR="000B0CE4" w:rsidRDefault="000B0CE4" w:rsidP="00985356">
      <w:pPr>
        <w:pStyle w:val="ListParagraph"/>
        <w:numPr>
          <w:ilvl w:val="0"/>
          <w:numId w:val="4"/>
        </w:numPr>
        <w:spacing w:after="0" w:line="240" w:lineRule="auto"/>
        <w:ind w:hanging="357"/>
        <w:contextualSpacing w:val="0"/>
        <w:rPr>
          <w:rFonts w:ascii="Arial" w:hAnsi="Arial" w:cs="Arial"/>
          <w:lang w:val="en-AU" w:eastAsia="en-AU"/>
        </w:rPr>
      </w:pPr>
      <w:r w:rsidRPr="00CF0667">
        <w:rPr>
          <w:rFonts w:ascii="Arial" w:hAnsi="Arial" w:cs="Arial"/>
          <w:lang w:val="en-AU" w:eastAsia="en-AU"/>
        </w:rPr>
        <w:t xml:space="preserve">hold accreditation to provide </w:t>
      </w:r>
      <w:r>
        <w:rPr>
          <w:rFonts w:ascii="Arial" w:hAnsi="Arial" w:cs="Arial"/>
          <w:lang w:val="en-AU" w:eastAsia="en-AU"/>
        </w:rPr>
        <w:t xml:space="preserve">ARC </w:t>
      </w:r>
      <w:r w:rsidRPr="00CF0667">
        <w:rPr>
          <w:rFonts w:ascii="Arial" w:hAnsi="Arial" w:cs="Arial"/>
          <w:lang w:val="en-AU" w:eastAsia="en-AU"/>
        </w:rPr>
        <w:t xml:space="preserve">services </w:t>
      </w:r>
    </w:p>
    <w:p w14:paraId="2DACC1B0" w14:textId="7049AAA5" w:rsidR="00352DA5" w:rsidRPr="00CF0667" w:rsidRDefault="00352DA5" w:rsidP="00985356">
      <w:pPr>
        <w:pStyle w:val="ListParagraph"/>
        <w:numPr>
          <w:ilvl w:val="0"/>
          <w:numId w:val="4"/>
        </w:numPr>
        <w:spacing w:after="0" w:line="240" w:lineRule="auto"/>
        <w:ind w:hanging="357"/>
        <w:contextualSpacing w:val="0"/>
        <w:rPr>
          <w:rFonts w:ascii="Arial" w:hAnsi="Arial" w:cs="Arial"/>
          <w:lang w:val="en-AU" w:eastAsia="en-AU"/>
        </w:rPr>
      </w:pPr>
      <w:r>
        <w:rPr>
          <w:rFonts w:ascii="Arial" w:hAnsi="Arial" w:cs="Arial"/>
          <w:lang w:val="en-AU" w:eastAsia="en-AU"/>
        </w:rPr>
        <w:t>have a bed capacity of 50 or above</w:t>
      </w:r>
    </w:p>
    <w:p w14:paraId="682C67E9" w14:textId="56A5E327" w:rsidR="000B0CE4" w:rsidRPr="00CF0667" w:rsidRDefault="000B0CE4" w:rsidP="00985356">
      <w:pPr>
        <w:pStyle w:val="ListParagraph"/>
        <w:numPr>
          <w:ilvl w:val="0"/>
          <w:numId w:val="4"/>
        </w:numPr>
        <w:spacing w:after="0" w:line="240" w:lineRule="auto"/>
        <w:ind w:hanging="357"/>
        <w:contextualSpacing w:val="0"/>
        <w:rPr>
          <w:rFonts w:ascii="Arial" w:hAnsi="Arial" w:cs="Arial"/>
          <w:lang w:val="en-AU" w:eastAsia="en-AU"/>
        </w:rPr>
      </w:pPr>
      <w:r w:rsidRPr="00CF0667">
        <w:rPr>
          <w:rFonts w:ascii="Arial" w:hAnsi="Arial" w:cs="Arial"/>
          <w:lang w:val="en-AU" w:eastAsia="en-AU"/>
        </w:rPr>
        <w:t xml:space="preserve">have a contracted primary care </w:t>
      </w:r>
      <w:r>
        <w:rPr>
          <w:rFonts w:ascii="Arial" w:hAnsi="Arial" w:cs="Arial"/>
          <w:lang w:val="en-AU" w:eastAsia="en-AU"/>
        </w:rPr>
        <w:t>provider</w:t>
      </w:r>
      <w:r w:rsidR="00352DA5">
        <w:rPr>
          <w:rFonts w:ascii="Arial" w:hAnsi="Arial" w:cs="Arial"/>
          <w:lang w:val="en-AU" w:eastAsia="en-AU"/>
        </w:rPr>
        <w:t xml:space="preserve"> with at least one year experience at the facility</w:t>
      </w:r>
    </w:p>
    <w:p w14:paraId="0A9B4B83" w14:textId="77777777" w:rsidR="000B0CE4" w:rsidRPr="000D2F88" w:rsidRDefault="000B0CE4" w:rsidP="00985356">
      <w:pPr>
        <w:pStyle w:val="ListParagraph"/>
        <w:numPr>
          <w:ilvl w:val="0"/>
          <w:numId w:val="4"/>
        </w:numPr>
        <w:spacing w:after="0" w:line="240" w:lineRule="auto"/>
        <w:ind w:hanging="357"/>
        <w:contextualSpacing w:val="0"/>
        <w:rPr>
          <w:rFonts w:ascii="Arial" w:hAnsi="Arial" w:cs="Arial"/>
          <w:lang w:val="en-AU" w:eastAsia="en-AU"/>
        </w:rPr>
      </w:pPr>
      <w:r>
        <w:rPr>
          <w:rFonts w:ascii="Arial" w:hAnsi="Arial" w:cs="Arial"/>
          <w:lang w:val="en-AU" w:eastAsia="en-AU"/>
        </w:rPr>
        <w:t xml:space="preserve">agree to provide </w:t>
      </w:r>
      <w:r w:rsidRPr="000D2F88">
        <w:rPr>
          <w:rFonts w:ascii="Arial" w:hAnsi="Arial" w:cs="Arial"/>
          <w:lang w:val="en-AU" w:eastAsia="en-AU"/>
        </w:rPr>
        <w:t xml:space="preserve">sufficient </w:t>
      </w:r>
      <w:r>
        <w:rPr>
          <w:rFonts w:ascii="Arial" w:hAnsi="Arial" w:cs="Arial"/>
          <w:lang w:val="en-AU" w:eastAsia="en-AU"/>
        </w:rPr>
        <w:t xml:space="preserve">human resources </w:t>
      </w:r>
      <w:r w:rsidRPr="000D2F88">
        <w:rPr>
          <w:rFonts w:ascii="Arial" w:hAnsi="Arial" w:cs="Arial"/>
          <w:lang w:val="en-AU" w:eastAsia="en-AU"/>
        </w:rPr>
        <w:t xml:space="preserve">to </w:t>
      </w:r>
      <w:r>
        <w:rPr>
          <w:rFonts w:ascii="Arial" w:hAnsi="Arial" w:cs="Arial"/>
          <w:lang w:val="en-AU" w:eastAsia="en-AU"/>
        </w:rPr>
        <w:t>meet needs of project.</w:t>
      </w:r>
      <w:r w:rsidRPr="000D2F88">
        <w:rPr>
          <w:rFonts w:ascii="Arial" w:hAnsi="Arial" w:cs="Arial"/>
          <w:lang w:val="en-AU" w:eastAsia="en-AU"/>
        </w:rPr>
        <w:t xml:space="preserve"> </w:t>
      </w:r>
    </w:p>
    <w:p w14:paraId="02AC895B" w14:textId="77777777" w:rsidR="000B0CE4" w:rsidRPr="003215BD" w:rsidRDefault="000B0CE4" w:rsidP="00985356">
      <w:pPr>
        <w:pStyle w:val="ListParagraph"/>
        <w:numPr>
          <w:ilvl w:val="0"/>
          <w:numId w:val="4"/>
        </w:numPr>
        <w:spacing w:after="0" w:line="240" w:lineRule="auto"/>
        <w:ind w:hanging="357"/>
        <w:contextualSpacing w:val="0"/>
        <w:rPr>
          <w:rFonts w:ascii="Arial" w:hAnsi="Arial" w:cs="Arial"/>
          <w:color w:val="7030A0"/>
          <w:lang w:val="en-AU" w:eastAsia="en-AU"/>
        </w:rPr>
      </w:pPr>
      <w:r w:rsidRPr="003215BD">
        <w:rPr>
          <w:rFonts w:ascii="Arial" w:hAnsi="Arial" w:cs="Arial"/>
          <w:lang w:val="en-AU" w:eastAsia="en-AU"/>
        </w:rPr>
        <w:t xml:space="preserve">agree to honour the intellectual property and copyright of DEWS authors (Daltrey and Boyd 2022), </w:t>
      </w:r>
    </w:p>
    <w:p w14:paraId="301E1458" w14:textId="77777777" w:rsidR="000B0CE4" w:rsidRDefault="000B0CE4" w:rsidP="00985356">
      <w:pPr>
        <w:spacing w:after="0" w:line="240" w:lineRule="auto"/>
        <w:rPr>
          <w:rFonts w:ascii="Arial" w:hAnsi="Arial" w:cs="Arial"/>
          <w:color w:val="7030A0"/>
          <w:lang w:val="en-AU" w:eastAsia="en-AU"/>
        </w:rPr>
      </w:pPr>
    </w:p>
    <w:p w14:paraId="0CFF34DD" w14:textId="77777777" w:rsidR="000B0CE4" w:rsidRPr="00F9322F" w:rsidRDefault="000B0CE4" w:rsidP="00763C4A">
      <w:pPr>
        <w:pStyle w:val="EndnoteText"/>
        <w:tabs>
          <w:tab w:val="left" w:pos="817"/>
          <w:tab w:val="left" w:pos="9603"/>
        </w:tabs>
        <w:suppressAutoHyphens/>
        <w:spacing w:after="120"/>
        <w:ind w:left="3"/>
        <w:rPr>
          <w:rFonts w:asciiTheme="minorHAnsi" w:hAnsiTheme="minorHAnsi" w:cstheme="minorHAnsi"/>
          <w:b/>
          <w:sz w:val="22"/>
          <w:szCs w:val="22"/>
        </w:rPr>
      </w:pPr>
      <w:r>
        <w:rPr>
          <w:rFonts w:asciiTheme="minorHAnsi" w:hAnsiTheme="minorHAnsi" w:cstheme="minorHAnsi"/>
          <w:b/>
          <w:sz w:val="22"/>
          <w:szCs w:val="22"/>
        </w:rPr>
        <w:t xml:space="preserve">COPY RIGHT AND INTELLECTURAL PROPERTY </w:t>
      </w:r>
    </w:p>
    <w:p w14:paraId="359BB1F1" w14:textId="2A3B1F7F" w:rsidR="000B0CE4" w:rsidRPr="00C55AAF" w:rsidRDefault="000B0CE4" w:rsidP="00CE6052">
      <w:pPr>
        <w:pStyle w:val="EndnoteText"/>
        <w:numPr>
          <w:ilvl w:val="0"/>
          <w:numId w:val="40"/>
        </w:numPr>
        <w:tabs>
          <w:tab w:val="left" w:pos="817"/>
          <w:tab w:val="left" w:pos="9603"/>
        </w:tabs>
        <w:suppressAutoHyphens/>
        <w:spacing w:after="120"/>
        <w:rPr>
          <w:rFonts w:asciiTheme="minorHAnsi" w:hAnsiTheme="minorHAnsi" w:cstheme="minorHAnsi"/>
          <w:i/>
          <w:iCs/>
          <w:sz w:val="22"/>
          <w:szCs w:val="22"/>
        </w:rPr>
      </w:pPr>
      <w:r w:rsidRPr="009C1E33">
        <w:rPr>
          <w:rFonts w:asciiTheme="minorHAnsi" w:hAnsiTheme="minorHAnsi" w:cstheme="minorHAnsi"/>
          <w:sz w:val="22"/>
          <w:szCs w:val="22"/>
        </w:rPr>
        <w:lastRenderedPageBreak/>
        <w:t>Associate professor Michal Boyd and Julie Daltrey de</w:t>
      </w:r>
      <w:r>
        <w:rPr>
          <w:rFonts w:asciiTheme="minorHAnsi" w:hAnsiTheme="minorHAnsi" w:cstheme="minorHAnsi"/>
          <w:sz w:val="22"/>
          <w:szCs w:val="22"/>
        </w:rPr>
        <w:t>signed and developed the DEWS in a three</w:t>
      </w:r>
      <w:r w:rsidR="00C653F8">
        <w:rPr>
          <w:rFonts w:asciiTheme="minorHAnsi" w:hAnsiTheme="minorHAnsi" w:cstheme="minorHAnsi"/>
          <w:sz w:val="22"/>
          <w:szCs w:val="22"/>
        </w:rPr>
        <w:t>-</w:t>
      </w:r>
      <w:r>
        <w:rPr>
          <w:rFonts w:asciiTheme="minorHAnsi" w:hAnsiTheme="minorHAnsi" w:cstheme="minorHAnsi"/>
          <w:sz w:val="22"/>
          <w:szCs w:val="22"/>
        </w:rPr>
        <w:t xml:space="preserve">phase research project </w:t>
      </w:r>
      <w:r w:rsidRPr="00727F15">
        <w:rPr>
          <w:rFonts w:ascii="Arial" w:hAnsi="Arial" w:cs="Arial"/>
          <w:sz w:val="22"/>
          <w:szCs w:val="22"/>
        </w:rPr>
        <w:t xml:space="preserve">“Developing a Deterioration Early Warning System” </w:t>
      </w:r>
      <w:r>
        <w:rPr>
          <w:rFonts w:ascii="Arial" w:hAnsi="Arial" w:cs="Arial"/>
          <w:sz w:val="22"/>
          <w:szCs w:val="22"/>
        </w:rPr>
        <w:t>funded by</w:t>
      </w:r>
      <w:r w:rsidRPr="00727F15">
        <w:rPr>
          <w:rFonts w:ascii="Arial" w:hAnsi="Arial" w:cs="Arial"/>
          <w:sz w:val="22"/>
          <w:szCs w:val="22"/>
        </w:rPr>
        <w:t xml:space="preserve"> Ageing Well National Science Challenge, Ministry of Business, Innovation &amp; Employment, New Zealand (</w:t>
      </w:r>
      <w:r w:rsidRPr="00C55AAF">
        <w:rPr>
          <w:rFonts w:asciiTheme="minorHAnsi" w:hAnsiTheme="minorHAnsi" w:cstheme="minorHAnsi"/>
          <w:sz w:val="22"/>
          <w:szCs w:val="22"/>
        </w:rPr>
        <w:t xml:space="preserve">project 3720418).  </w:t>
      </w:r>
    </w:p>
    <w:p w14:paraId="3106321C" w14:textId="77777777" w:rsidR="000B0CE4" w:rsidRPr="00C55AAF" w:rsidRDefault="000B0CE4" w:rsidP="00CE6052">
      <w:pPr>
        <w:pStyle w:val="Footer"/>
        <w:numPr>
          <w:ilvl w:val="0"/>
          <w:numId w:val="40"/>
        </w:numPr>
        <w:spacing w:after="0" w:line="240" w:lineRule="auto"/>
        <w:rPr>
          <w:rFonts w:eastAsia="Times New Roman" w:cstheme="minorHAnsi"/>
          <w:szCs w:val="22"/>
        </w:rPr>
      </w:pPr>
      <w:r w:rsidRPr="00C55AAF">
        <w:rPr>
          <w:rFonts w:eastAsia="Times New Roman" w:cstheme="minorHAnsi"/>
          <w:szCs w:val="22"/>
        </w:rPr>
        <w:t xml:space="preserve">The DEWS tools (Quick-DEWS, DEWS-RN, SBARR-DEWS) </w:t>
      </w:r>
      <w:r>
        <w:rPr>
          <w:rFonts w:eastAsia="Times New Roman" w:cstheme="minorHAnsi"/>
          <w:szCs w:val="22"/>
        </w:rPr>
        <w:t xml:space="preserve">and supporting materials </w:t>
      </w:r>
      <w:r w:rsidRPr="00C55AAF">
        <w:rPr>
          <w:rFonts w:eastAsia="Times New Roman" w:cstheme="minorHAnsi"/>
          <w:szCs w:val="22"/>
        </w:rPr>
        <w:t>are the copyright</w:t>
      </w:r>
      <w:r w:rsidRPr="00C55AAF">
        <w:rPr>
          <w:rFonts w:eastAsia="Times New Roman" w:cstheme="minorHAnsi"/>
          <w:b/>
          <w:bCs/>
          <w:szCs w:val="22"/>
        </w:rPr>
        <w:t xml:space="preserve"> ©</w:t>
      </w:r>
      <w:r w:rsidRPr="00C55AAF">
        <w:rPr>
          <w:rFonts w:eastAsia="Times New Roman" w:cstheme="minorHAnsi"/>
          <w:szCs w:val="22"/>
        </w:rPr>
        <w:t xml:space="preserve"> Julie Daltrey and Michal Boyd (2022) </w:t>
      </w:r>
      <w:r>
        <w:rPr>
          <w:rFonts w:eastAsia="Times New Roman" w:cstheme="minorHAnsi"/>
          <w:szCs w:val="22"/>
        </w:rPr>
        <w:t xml:space="preserve">they may not be </w:t>
      </w:r>
      <w:r w:rsidRPr="00C55AAF">
        <w:rPr>
          <w:rFonts w:eastAsia="Times New Roman" w:cstheme="minorHAnsi"/>
          <w:szCs w:val="22"/>
        </w:rPr>
        <w:t>copied, distributed, or adapted</w:t>
      </w:r>
      <w:r>
        <w:rPr>
          <w:rFonts w:eastAsia="Times New Roman" w:cstheme="minorHAnsi"/>
          <w:szCs w:val="22"/>
        </w:rPr>
        <w:t xml:space="preserve">, or loaded into patient management systems </w:t>
      </w:r>
      <w:r w:rsidRPr="00C55AAF">
        <w:rPr>
          <w:rFonts w:eastAsia="Times New Roman" w:cstheme="minorHAnsi"/>
          <w:szCs w:val="22"/>
        </w:rPr>
        <w:t>without authors permission (j.daltrey@auckland.ac.nz)</w:t>
      </w:r>
    </w:p>
    <w:p w14:paraId="55BD218E" w14:textId="77777777" w:rsidR="000B0CE4" w:rsidRPr="003215BD" w:rsidRDefault="000B0CE4" w:rsidP="00985356">
      <w:pPr>
        <w:spacing w:after="0" w:line="240" w:lineRule="auto"/>
        <w:rPr>
          <w:rFonts w:ascii="Arial" w:hAnsi="Arial" w:cs="Arial"/>
          <w:color w:val="7030A0"/>
          <w:lang w:val="en-AU" w:eastAsia="en-AU"/>
        </w:rPr>
      </w:pPr>
    </w:p>
    <w:p w14:paraId="53BD2611" w14:textId="77777777" w:rsidR="000B0CE4" w:rsidRDefault="000B0CE4" w:rsidP="00985356">
      <w:pPr>
        <w:spacing w:line="240" w:lineRule="auto"/>
        <w:rPr>
          <w:rFonts w:cstheme="minorHAnsi"/>
          <w:b/>
          <w:bCs/>
          <w:szCs w:val="22"/>
        </w:rPr>
      </w:pPr>
      <w:r w:rsidRPr="00093582">
        <w:rPr>
          <w:rFonts w:cstheme="minorHAnsi"/>
          <w:b/>
          <w:bCs/>
          <w:szCs w:val="22"/>
        </w:rPr>
        <w:t>Exclusion criteria</w:t>
      </w:r>
      <w:r>
        <w:rPr>
          <w:rFonts w:cstheme="minorHAnsi"/>
          <w:b/>
          <w:bCs/>
          <w:szCs w:val="22"/>
        </w:rPr>
        <w:t xml:space="preserve"> </w:t>
      </w:r>
    </w:p>
    <w:p w14:paraId="1A6A4015" w14:textId="77777777" w:rsidR="000B0CE4" w:rsidRPr="00C35AEA" w:rsidRDefault="000B0CE4" w:rsidP="00985356">
      <w:pPr>
        <w:spacing w:after="0" w:line="240" w:lineRule="auto"/>
        <w:jc w:val="both"/>
        <w:rPr>
          <w:rFonts w:ascii="Arial" w:hAnsi="Arial" w:cs="Arial"/>
          <w:szCs w:val="22"/>
          <w:lang w:val="en-AU" w:eastAsia="en-AU"/>
        </w:rPr>
      </w:pPr>
      <w:r>
        <w:rPr>
          <w:rFonts w:ascii="Arial" w:hAnsi="Arial" w:cs="Arial"/>
          <w:szCs w:val="22"/>
          <w:lang w:val="en-AU" w:eastAsia="en-AU"/>
        </w:rPr>
        <w:t xml:space="preserve">ARC providers </w:t>
      </w:r>
      <w:r w:rsidRPr="00C35AEA">
        <w:rPr>
          <w:rFonts w:ascii="Arial" w:hAnsi="Arial" w:cs="Arial"/>
          <w:szCs w:val="22"/>
          <w:lang w:val="en-AU" w:eastAsia="en-AU"/>
        </w:rPr>
        <w:t>will be excluded if they:</w:t>
      </w:r>
    </w:p>
    <w:p w14:paraId="79291A4D" w14:textId="608325F4" w:rsidR="000B0CE4" w:rsidRDefault="00CE6052" w:rsidP="00985356">
      <w:pPr>
        <w:pStyle w:val="ListParagraph"/>
        <w:numPr>
          <w:ilvl w:val="0"/>
          <w:numId w:val="6"/>
        </w:numPr>
        <w:spacing w:after="0" w:line="240" w:lineRule="auto"/>
        <w:jc w:val="both"/>
        <w:rPr>
          <w:rFonts w:ascii="Arial" w:hAnsi="Arial" w:cs="Arial"/>
          <w:lang w:val="en-AU" w:eastAsia="en-AU"/>
        </w:rPr>
      </w:pPr>
      <w:r>
        <w:rPr>
          <w:rFonts w:ascii="Arial" w:hAnsi="Arial" w:cs="Arial"/>
          <w:lang w:val="en-AU" w:eastAsia="en-AU"/>
        </w:rPr>
        <w:t>c</w:t>
      </w:r>
      <w:r w:rsidR="000B0CE4">
        <w:rPr>
          <w:rFonts w:ascii="Arial" w:hAnsi="Arial" w:cs="Arial"/>
          <w:lang w:val="en-AU" w:eastAsia="en-AU"/>
        </w:rPr>
        <w:t xml:space="preserve">annot provide a formal access agreement at </w:t>
      </w:r>
      <w:r w:rsidR="00C653F8">
        <w:rPr>
          <w:rFonts w:ascii="Arial" w:hAnsi="Arial" w:cs="Arial"/>
          <w:lang w:val="en-AU" w:eastAsia="en-AU"/>
        </w:rPr>
        <w:t xml:space="preserve">the </w:t>
      </w:r>
      <w:r w:rsidR="000B0CE4">
        <w:rPr>
          <w:rFonts w:ascii="Arial" w:hAnsi="Arial" w:cs="Arial"/>
          <w:lang w:val="en-AU" w:eastAsia="en-AU"/>
        </w:rPr>
        <w:t>executive level</w:t>
      </w:r>
    </w:p>
    <w:p w14:paraId="38E2F069" w14:textId="77777777" w:rsidR="000B0CE4" w:rsidRDefault="000B0CE4" w:rsidP="00985356">
      <w:pPr>
        <w:pStyle w:val="ListParagraph"/>
        <w:numPr>
          <w:ilvl w:val="0"/>
          <w:numId w:val="6"/>
        </w:numPr>
        <w:spacing w:after="0" w:line="240" w:lineRule="auto"/>
        <w:jc w:val="both"/>
        <w:rPr>
          <w:rFonts w:ascii="Arial" w:hAnsi="Arial" w:cs="Arial"/>
          <w:lang w:val="en-AU" w:eastAsia="en-AU"/>
        </w:rPr>
      </w:pPr>
      <w:r w:rsidRPr="00C35AEA">
        <w:rPr>
          <w:rFonts w:ascii="Arial" w:hAnsi="Arial" w:cs="Arial"/>
          <w:lang w:val="en-AU" w:eastAsia="en-AU"/>
        </w:rPr>
        <w:t xml:space="preserve">do not hold accreditation for providing age-related residential care services </w:t>
      </w:r>
    </w:p>
    <w:p w14:paraId="752DD078" w14:textId="2A2F3E25" w:rsidR="000B0CE4" w:rsidRPr="00C35AEA" w:rsidRDefault="000B0CE4" w:rsidP="00985356">
      <w:pPr>
        <w:pStyle w:val="ListParagraph"/>
        <w:numPr>
          <w:ilvl w:val="0"/>
          <w:numId w:val="6"/>
        </w:numPr>
        <w:spacing w:after="0" w:line="240" w:lineRule="auto"/>
        <w:jc w:val="both"/>
        <w:rPr>
          <w:rFonts w:ascii="Arial" w:hAnsi="Arial" w:cs="Arial"/>
          <w:lang w:val="en-AU" w:eastAsia="en-AU"/>
        </w:rPr>
      </w:pPr>
      <w:r>
        <w:rPr>
          <w:rFonts w:ascii="Arial" w:hAnsi="Arial" w:cs="Arial"/>
          <w:lang w:val="en-AU" w:eastAsia="en-AU"/>
        </w:rPr>
        <w:t xml:space="preserve">do not have a </w:t>
      </w:r>
      <w:r w:rsidR="00C653F8">
        <w:rPr>
          <w:rFonts w:ascii="Arial" w:hAnsi="Arial" w:cs="Arial"/>
          <w:lang w:val="en-AU" w:eastAsia="en-AU"/>
        </w:rPr>
        <w:t xml:space="preserve">reliable and usual </w:t>
      </w:r>
      <w:r>
        <w:rPr>
          <w:rFonts w:ascii="Arial" w:hAnsi="Arial" w:cs="Arial"/>
          <w:lang w:val="en-AU" w:eastAsia="en-AU"/>
        </w:rPr>
        <w:t>contracted</w:t>
      </w:r>
      <w:r w:rsidR="00C653F8">
        <w:rPr>
          <w:rFonts w:ascii="Arial" w:hAnsi="Arial" w:cs="Arial"/>
          <w:lang w:val="en-AU" w:eastAsia="en-AU"/>
        </w:rPr>
        <w:t>/employed</w:t>
      </w:r>
      <w:r>
        <w:rPr>
          <w:rFonts w:ascii="Arial" w:hAnsi="Arial" w:cs="Arial"/>
          <w:lang w:val="en-AU" w:eastAsia="en-AU"/>
        </w:rPr>
        <w:t xml:space="preserve"> primary care service</w:t>
      </w:r>
      <w:r w:rsidR="00C653F8">
        <w:rPr>
          <w:rFonts w:ascii="Arial" w:hAnsi="Arial" w:cs="Arial"/>
          <w:lang w:val="en-AU" w:eastAsia="en-AU"/>
        </w:rPr>
        <w:t xml:space="preserve"> that has been in place for at least one year prior to the start of the project</w:t>
      </w:r>
    </w:p>
    <w:p w14:paraId="79A3941C" w14:textId="568F9BEA" w:rsidR="000B0CE4" w:rsidRDefault="00CE6052" w:rsidP="00985356">
      <w:pPr>
        <w:pStyle w:val="ListParagraph"/>
        <w:numPr>
          <w:ilvl w:val="0"/>
          <w:numId w:val="6"/>
        </w:numPr>
        <w:spacing w:after="0" w:line="240" w:lineRule="auto"/>
        <w:jc w:val="both"/>
        <w:rPr>
          <w:rFonts w:ascii="Arial" w:hAnsi="Arial" w:cs="Arial"/>
          <w:lang w:val="en-AU" w:eastAsia="en-AU"/>
        </w:rPr>
      </w:pPr>
      <w:r>
        <w:rPr>
          <w:rFonts w:ascii="Arial" w:hAnsi="Arial" w:cs="Arial"/>
          <w:lang w:val="en-AU" w:eastAsia="en-AU"/>
        </w:rPr>
        <w:t>cannot</w:t>
      </w:r>
      <w:r w:rsidR="000B0CE4">
        <w:rPr>
          <w:rFonts w:ascii="Arial" w:hAnsi="Arial" w:cs="Arial"/>
          <w:lang w:val="en-AU" w:eastAsia="en-AU"/>
        </w:rPr>
        <w:t xml:space="preserve"> release staff to </w:t>
      </w:r>
      <w:r w:rsidR="000B0CE4" w:rsidRPr="00C35AEA">
        <w:rPr>
          <w:rFonts w:ascii="Arial" w:hAnsi="Arial" w:cs="Arial"/>
          <w:lang w:val="en-AU" w:eastAsia="en-AU"/>
        </w:rPr>
        <w:t xml:space="preserve">meet requirements </w:t>
      </w:r>
      <w:r w:rsidR="000B0CE4">
        <w:rPr>
          <w:rFonts w:ascii="Arial" w:hAnsi="Arial" w:cs="Arial"/>
          <w:lang w:val="en-AU" w:eastAsia="en-AU"/>
        </w:rPr>
        <w:t xml:space="preserve">of project </w:t>
      </w:r>
    </w:p>
    <w:p w14:paraId="72B83167" w14:textId="64F71701" w:rsidR="00965284" w:rsidRPr="00C35AEA" w:rsidRDefault="00965284" w:rsidP="00985356">
      <w:pPr>
        <w:pStyle w:val="ListParagraph"/>
        <w:numPr>
          <w:ilvl w:val="0"/>
          <w:numId w:val="6"/>
        </w:numPr>
        <w:spacing w:after="0" w:line="240" w:lineRule="auto"/>
        <w:jc w:val="both"/>
        <w:rPr>
          <w:rFonts w:ascii="Arial" w:hAnsi="Arial" w:cs="Arial"/>
          <w:lang w:val="en-AU" w:eastAsia="en-AU"/>
        </w:rPr>
      </w:pPr>
      <w:r>
        <w:rPr>
          <w:rFonts w:ascii="Arial" w:hAnsi="Arial" w:cs="Arial"/>
          <w:lang w:val="en-AU" w:eastAsia="en-AU"/>
        </w:rPr>
        <w:t>have less than 50 bed total capacity</w:t>
      </w:r>
    </w:p>
    <w:p w14:paraId="1375F494" w14:textId="391F4FE7" w:rsidR="000B0CE4" w:rsidRPr="003215BD" w:rsidRDefault="00CE6052" w:rsidP="00985356">
      <w:pPr>
        <w:pStyle w:val="ListParagraph"/>
        <w:numPr>
          <w:ilvl w:val="0"/>
          <w:numId w:val="5"/>
        </w:numPr>
        <w:spacing w:after="0" w:line="240" w:lineRule="auto"/>
        <w:jc w:val="both"/>
        <w:rPr>
          <w:rFonts w:ascii="Arial" w:hAnsi="Arial" w:cs="Arial"/>
          <w:lang w:val="en-AU" w:eastAsia="en-AU"/>
        </w:rPr>
      </w:pPr>
      <w:r>
        <w:rPr>
          <w:rFonts w:ascii="Arial" w:hAnsi="Arial" w:cs="Arial"/>
          <w:lang w:val="en-AU" w:eastAsia="en-AU"/>
        </w:rPr>
        <w:t>a</w:t>
      </w:r>
      <w:r w:rsidR="000B0CE4" w:rsidRPr="003215BD">
        <w:rPr>
          <w:rFonts w:ascii="Arial" w:hAnsi="Arial" w:cs="Arial"/>
          <w:lang w:val="en-AU" w:eastAsia="en-AU"/>
        </w:rPr>
        <w:t>re unwilling to agree to intellectual property and copyright protection</w:t>
      </w:r>
      <w:r w:rsidR="000B0CE4">
        <w:rPr>
          <w:rFonts w:ascii="Arial" w:hAnsi="Arial" w:cs="Arial"/>
          <w:lang w:val="en-AU" w:eastAsia="en-AU"/>
        </w:rPr>
        <w:t>s</w:t>
      </w:r>
    </w:p>
    <w:p w14:paraId="2F3495BA" w14:textId="77777777" w:rsidR="000B0CE4" w:rsidRDefault="000B0CE4" w:rsidP="00985356">
      <w:pPr>
        <w:spacing w:after="0" w:line="240" w:lineRule="auto"/>
        <w:rPr>
          <w:rFonts w:cstheme="minorHAnsi"/>
          <w:b/>
          <w:szCs w:val="22"/>
        </w:rPr>
      </w:pPr>
    </w:p>
    <w:p w14:paraId="0F60D0BF" w14:textId="77777777" w:rsidR="000B0CE4" w:rsidRPr="00AF2D5F" w:rsidRDefault="000B0CE4" w:rsidP="00064654">
      <w:pPr>
        <w:autoSpaceDE w:val="0"/>
        <w:autoSpaceDN w:val="0"/>
        <w:adjustRightInd w:val="0"/>
        <w:spacing w:after="0" w:line="240" w:lineRule="auto"/>
        <w:rPr>
          <w:rFonts w:ascii="Arial" w:hAnsi="Arial" w:cs="Arial"/>
          <w:bCs/>
          <w:sz w:val="20"/>
          <w:szCs w:val="20"/>
        </w:rPr>
      </w:pPr>
    </w:p>
    <w:p w14:paraId="1034F081" w14:textId="77777777" w:rsidR="000B0CE4" w:rsidRDefault="000B0CE4" w:rsidP="003802A1">
      <w:pPr>
        <w:spacing w:line="240" w:lineRule="auto"/>
        <w:rPr>
          <w:rFonts w:cstheme="minorHAnsi"/>
          <w:b/>
          <w:bCs/>
          <w:szCs w:val="22"/>
        </w:rPr>
      </w:pPr>
      <w:r>
        <w:rPr>
          <w:rFonts w:cstheme="minorHAnsi"/>
          <w:b/>
          <w:bCs/>
          <w:szCs w:val="22"/>
        </w:rPr>
        <w:t xml:space="preserve">J. </w:t>
      </w:r>
      <w:r w:rsidRPr="000F2999">
        <w:rPr>
          <w:rFonts w:cstheme="minorHAnsi"/>
          <w:b/>
          <w:bCs/>
          <w:szCs w:val="22"/>
        </w:rPr>
        <w:t>RESPONSIVENESS TO MĀORI</w:t>
      </w:r>
    </w:p>
    <w:p w14:paraId="59FB326B" w14:textId="77777777" w:rsidR="000B0CE4" w:rsidRDefault="000B0CE4" w:rsidP="00763C4A">
      <w:pPr>
        <w:autoSpaceDE w:val="0"/>
        <w:autoSpaceDN w:val="0"/>
        <w:adjustRightInd w:val="0"/>
        <w:spacing w:after="0" w:line="240" w:lineRule="auto"/>
        <w:rPr>
          <w:rFonts w:ascii="Arial" w:hAnsi="Arial" w:cs="Arial"/>
          <w:bCs/>
          <w:szCs w:val="22"/>
        </w:rPr>
      </w:pPr>
      <w:r w:rsidRPr="001505D4">
        <w:rPr>
          <w:rFonts w:cstheme="minorHAnsi"/>
          <w:bCs/>
          <w:szCs w:val="22"/>
        </w:rPr>
        <w:t>Māori</w:t>
      </w:r>
      <w:r w:rsidRPr="001505D4">
        <w:rPr>
          <w:rFonts w:ascii="Arial" w:hAnsi="Arial" w:cs="Arial"/>
          <w:bCs/>
          <w:szCs w:val="22"/>
        </w:rPr>
        <w:t xml:space="preserve"> consultation was undertaken throughout the development and codesign of DEWS.  For the initiation of the </w:t>
      </w:r>
      <w:r>
        <w:rPr>
          <w:rFonts w:ascii="Arial" w:hAnsi="Arial" w:cs="Arial"/>
          <w:bCs/>
          <w:szCs w:val="22"/>
        </w:rPr>
        <w:t>feasibility study</w:t>
      </w:r>
      <w:r w:rsidRPr="001505D4">
        <w:rPr>
          <w:rFonts w:ascii="Arial" w:hAnsi="Arial" w:cs="Arial"/>
          <w:bCs/>
          <w:szCs w:val="22"/>
        </w:rPr>
        <w:t xml:space="preserve"> implementation the research team have consulted with and have the endorsement of Ahuahu </w:t>
      </w:r>
      <w:proofErr w:type="spellStart"/>
      <w:r w:rsidRPr="001505D4">
        <w:rPr>
          <w:rFonts w:ascii="Arial" w:hAnsi="Arial" w:cs="Arial"/>
          <w:bCs/>
          <w:szCs w:val="22"/>
        </w:rPr>
        <w:t>Kaunuku</w:t>
      </w:r>
      <w:proofErr w:type="spellEnd"/>
      <w:r w:rsidRPr="001505D4">
        <w:rPr>
          <w:rFonts w:ascii="Arial" w:hAnsi="Arial" w:cs="Arial"/>
          <w:bCs/>
          <w:szCs w:val="22"/>
        </w:rPr>
        <w:t xml:space="preserve"> (</w:t>
      </w:r>
      <w:bookmarkStart w:id="7" w:name="_Hlk149831064"/>
      <w:r w:rsidRPr="001505D4">
        <w:rPr>
          <w:rStyle w:val="xnormaltextrun"/>
          <w:rFonts w:ascii="Arial" w:hAnsi="Arial" w:cs="Arial"/>
          <w:szCs w:val="22"/>
          <w:lang w:val="en-US"/>
        </w:rPr>
        <w:t xml:space="preserve">Te Tāhū Hauora </w:t>
      </w:r>
      <w:r w:rsidRPr="001505D4">
        <w:rPr>
          <w:rFonts w:cstheme="minorHAnsi"/>
          <w:bCs/>
          <w:szCs w:val="22"/>
        </w:rPr>
        <w:t>Māori</w:t>
      </w:r>
      <w:r w:rsidRPr="001505D4">
        <w:rPr>
          <w:rStyle w:val="xnormaltextrun"/>
          <w:rFonts w:ascii="Arial" w:hAnsi="Arial" w:cs="Arial"/>
          <w:szCs w:val="22"/>
          <w:lang w:val="en-US"/>
        </w:rPr>
        <w:t xml:space="preserve"> health outcomes team</w:t>
      </w:r>
      <w:bookmarkEnd w:id="7"/>
      <w:r w:rsidRPr="001505D4">
        <w:rPr>
          <w:rStyle w:val="xnormaltextrun"/>
          <w:rFonts w:ascii="Arial" w:hAnsi="Arial" w:cs="Arial"/>
          <w:szCs w:val="22"/>
          <w:lang w:val="en-US"/>
        </w:rPr>
        <w:t xml:space="preserve">) and </w:t>
      </w:r>
      <w:r w:rsidRPr="001505D4">
        <w:rPr>
          <w:rFonts w:cstheme="minorHAnsi"/>
          <w:bCs/>
          <w:szCs w:val="22"/>
        </w:rPr>
        <w:t>Māori</w:t>
      </w:r>
      <w:r w:rsidRPr="001505D4">
        <w:rPr>
          <w:rStyle w:val="xnormaltextrun"/>
          <w:rFonts w:ascii="Arial" w:hAnsi="Arial" w:cs="Arial"/>
          <w:szCs w:val="22"/>
          <w:lang w:val="en-US"/>
        </w:rPr>
        <w:t xml:space="preserve"> leadership is included the Expert Advisory Group.</w:t>
      </w:r>
      <w:r>
        <w:rPr>
          <w:rStyle w:val="xnormaltextrun"/>
          <w:rFonts w:ascii="Arial" w:hAnsi="Arial" w:cs="Arial"/>
          <w:szCs w:val="22"/>
          <w:lang w:val="en-US"/>
        </w:rPr>
        <w:t xml:space="preserve">  </w:t>
      </w:r>
      <w:r>
        <w:rPr>
          <w:rFonts w:cstheme="minorHAnsi"/>
          <w:szCs w:val="22"/>
        </w:rPr>
        <w:t xml:space="preserve">If there are cultural issues that require additional consultation (over and above the EAG) the research team will refer to </w:t>
      </w:r>
      <w:r w:rsidRPr="001505D4">
        <w:rPr>
          <w:rFonts w:ascii="Arial" w:hAnsi="Arial" w:cs="Arial"/>
          <w:bCs/>
          <w:szCs w:val="22"/>
        </w:rPr>
        <w:t xml:space="preserve">Ahuahu </w:t>
      </w:r>
      <w:proofErr w:type="spellStart"/>
      <w:r w:rsidRPr="001505D4">
        <w:rPr>
          <w:rFonts w:ascii="Arial" w:hAnsi="Arial" w:cs="Arial"/>
          <w:bCs/>
          <w:szCs w:val="22"/>
        </w:rPr>
        <w:t>Kaunuku</w:t>
      </w:r>
      <w:proofErr w:type="spellEnd"/>
      <w:r>
        <w:rPr>
          <w:rFonts w:ascii="Arial" w:hAnsi="Arial" w:cs="Arial"/>
          <w:bCs/>
          <w:szCs w:val="22"/>
        </w:rPr>
        <w:t xml:space="preserve">.  </w:t>
      </w:r>
    </w:p>
    <w:p w14:paraId="14CA1D7F" w14:textId="77777777" w:rsidR="000B0CE4" w:rsidRDefault="000B0CE4" w:rsidP="00763C4A">
      <w:pPr>
        <w:autoSpaceDE w:val="0"/>
        <w:autoSpaceDN w:val="0"/>
        <w:adjustRightInd w:val="0"/>
        <w:spacing w:after="0" w:line="240" w:lineRule="auto"/>
        <w:rPr>
          <w:rFonts w:ascii="Arial" w:hAnsi="Arial" w:cs="Arial"/>
          <w:bCs/>
          <w:szCs w:val="22"/>
        </w:rPr>
      </w:pPr>
    </w:p>
    <w:p w14:paraId="28DA56D2" w14:textId="77777777" w:rsidR="000B0CE4" w:rsidRPr="00CE6052" w:rsidRDefault="000B0CE4" w:rsidP="00CE6052">
      <w:pPr>
        <w:pStyle w:val="ListParagraph"/>
        <w:numPr>
          <w:ilvl w:val="0"/>
          <w:numId w:val="5"/>
        </w:numPr>
        <w:autoSpaceDE w:val="0"/>
        <w:autoSpaceDN w:val="0"/>
        <w:adjustRightInd w:val="0"/>
        <w:spacing w:after="0" w:line="240" w:lineRule="auto"/>
        <w:rPr>
          <w:rFonts w:ascii="Arial" w:hAnsi="Arial" w:cs="Arial"/>
          <w:b/>
        </w:rPr>
      </w:pPr>
      <w:r w:rsidRPr="00CE6052">
        <w:rPr>
          <w:rFonts w:ascii="Arial" w:hAnsi="Arial" w:cs="Arial"/>
          <w:b/>
        </w:rPr>
        <w:t>Site visit</w:t>
      </w:r>
    </w:p>
    <w:p w14:paraId="5B418D48" w14:textId="77777777" w:rsidR="000B0CE4" w:rsidRDefault="000B0CE4" w:rsidP="00CE6052">
      <w:pPr>
        <w:spacing w:after="0" w:line="240" w:lineRule="auto"/>
        <w:ind w:left="720"/>
      </w:pPr>
      <w:r>
        <w:t>Welcome protocol will be determined by provider.</w:t>
      </w:r>
    </w:p>
    <w:p w14:paraId="7CD5D892" w14:textId="3120756F" w:rsidR="000B0CE4" w:rsidRPr="00CE6052" w:rsidRDefault="000B0CE4" w:rsidP="00CE6052">
      <w:pPr>
        <w:pStyle w:val="ListParagraph"/>
        <w:numPr>
          <w:ilvl w:val="0"/>
          <w:numId w:val="5"/>
        </w:numPr>
        <w:spacing w:before="120" w:after="0" w:line="240" w:lineRule="auto"/>
        <w:rPr>
          <w:b/>
          <w:bCs/>
        </w:rPr>
      </w:pPr>
      <w:r w:rsidRPr="00CE6052">
        <w:rPr>
          <w:b/>
          <w:bCs/>
        </w:rPr>
        <w:t>How-to workshop</w:t>
      </w:r>
    </w:p>
    <w:p w14:paraId="32E25BF1" w14:textId="53769373" w:rsidR="000B0CE4" w:rsidRDefault="00CE6052" w:rsidP="00CE6052">
      <w:pPr>
        <w:spacing w:after="0" w:line="240" w:lineRule="auto"/>
        <w:ind w:left="720"/>
      </w:pPr>
      <w:r>
        <w:t xml:space="preserve">Welcome will </w:t>
      </w:r>
      <w:r w:rsidR="000B0CE4">
        <w:t xml:space="preserve">reflect the wairua of the </w:t>
      </w:r>
      <w:r>
        <w:t>DEWS work</w:t>
      </w:r>
      <w:r w:rsidR="000B0CE4">
        <w:t xml:space="preserve">.  </w:t>
      </w:r>
      <w:r>
        <w:t>We will o</w:t>
      </w:r>
      <w:r w:rsidR="000B0CE4">
        <w:t xml:space="preserve">pen and close with </w:t>
      </w:r>
      <w:proofErr w:type="spellStart"/>
      <w:r w:rsidR="000B0CE4">
        <w:t>karakia</w:t>
      </w:r>
      <w:proofErr w:type="spellEnd"/>
      <w:r>
        <w:t xml:space="preserve"> and make d</w:t>
      </w:r>
      <w:r w:rsidR="000B0CE4">
        <w:t>eliberate use of whanaungatanga to ensure all those involved feel safe and a space is created to com</w:t>
      </w:r>
      <w:r>
        <w:t>e</w:t>
      </w:r>
      <w:r w:rsidR="000B0CE4">
        <w:t xml:space="preserve"> together.  </w:t>
      </w:r>
      <w:r>
        <w:t xml:space="preserve">We will ensure the </w:t>
      </w:r>
      <w:r w:rsidR="000B0CE4">
        <w:t xml:space="preserve">holistic aspects of the </w:t>
      </w:r>
      <w:r>
        <w:t xml:space="preserve">DEWS </w:t>
      </w:r>
      <w:r w:rsidR="000B0CE4">
        <w:t>tools are well explained ensuring that it is understood this is more than a Māori world view.</w:t>
      </w:r>
    </w:p>
    <w:p w14:paraId="329B287D" w14:textId="77777777" w:rsidR="000B0CE4" w:rsidRPr="007B6F9E" w:rsidRDefault="000B0CE4" w:rsidP="007B6F9E">
      <w:pPr>
        <w:pStyle w:val="ListParagraph"/>
        <w:numPr>
          <w:ilvl w:val="0"/>
          <w:numId w:val="34"/>
        </w:numPr>
        <w:spacing w:before="120" w:after="0" w:line="240" w:lineRule="auto"/>
        <w:ind w:left="714" w:hanging="357"/>
        <w:contextualSpacing w:val="0"/>
        <w:rPr>
          <w:b/>
          <w:bCs/>
        </w:rPr>
      </w:pPr>
      <w:r w:rsidRPr="007B6F9E">
        <w:rPr>
          <w:b/>
          <w:bCs/>
        </w:rPr>
        <w:t>Zoom sessions</w:t>
      </w:r>
    </w:p>
    <w:p w14:paraId="056D1B01" w14:textId="374648FA" w:rsidR="000B0CE4" w:rsidRPr="00840E3C" w:rsidRDefault="000B0CE4" w:rsidP="007B6F9E">
      <w:pPr>
        <w:spacing w:after="0" w:line="240" w:lineRule="auto"/>
        <w:ind w:left="720"/>
      </w:pPr>
      <w:r w:rsidRPr="00840E3C">
        <w:t xml:space="preserve">Build on the above using a bi-cultural approach to best reflect the </w:t>
      </w:r>
      <w:r w:rsidR="007B6F9E">
        <w:t>work</w:t>
      </w:r>
      <w:r w:rsidRPr="00840E3C">
        <w:t xml:space="preserve"> that has gone into the development of DEWS.</w:t>
      </w:r>
    </w:p>
    <w:p w14:paraId="45B1B5CD" w14:textId="77777777" w:rsidR="000B0CE4" w:rsidRDefault="000B0CE4" w:rsidP="00763C4A">
      <w:pPr>
        <w:autoSpaceDE w:val="0"/>
        <w:autoSpaceDN w:val="0"/>
        <w:adjustRightInd w:val="0"/>
        <w:spacing w:after="0" w:line="240" w:lineRule="auto"/>
        <w:rPr>
          <w:rFonts w:ascii="Arial" w:hAnsi="Arial" w:cs="Arial"/>
          <w:bCs/>
          <w:szCs w:val="22"/>
        </w:rPr>
      </w:pPr>
    </w:p>
    <w:p w14:paraId="4D985B67" w14:textId="77777777" w:rsidR="000B0CE4" w:rsidRDefault="000B0CE4" w:rsidP="00A1772D">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 xml:space="preserve">k: </w:t>
      </w:r>
      <w:r w:rsidRPr="003C12DB">
        <w:rPr>
          <w:rFonts w:asciiTheme="minorHAnsi" w:hAnsiTheme="minorHAnsi" w:cstheme="minorHAnsi"/>
          <w:color w:val="auto"/>
          <w:sz w:val="22"/>
          <w:szCs w:val="22"/>
        </w:rPr>
        <w:t>ETHICAL CONSIDERATIONS</w:t>
      </w:r>
    </w:p>
    <w:p w14:paraId="68F767C4" w14:textId="77777777" w:rsidR="000B0CE4" w:rsidRPr="009625C7" w:rsidRDefault="000B0CE4" w:rsidP="007B6F9E">
      <w:pPr>
        <w:pStyle w:val="ListParagraph"/>
        <w:numPr>
          <w:ilvl w:val="0"/>
          <w:numId w:val="34"/>
        </w:numPr>
        <w:spacing w:after="0" w:line="240" w:lineRule="auto"/>
      </w:pPr>
      <w:r w:rsidRPr="009625C7">
        <w:t>Anonymity</w:t>
      </w:r>
    </w:p>
    <w:p w14:paraId="7654B2E0" w14:textId="1900513D" w:rsidR="000B0CE4" w:rsidRDefault="000B0CE4" w:rsidP="007B6F9E">
      <w:pPr>
        <w:spacing w:after="0" w:line="240" w:lineRule="auto"/>
        <w:ind w:left="720"/>
      </w:pPr>
      <w:r>
        <w:t xml:space="preserve">This is a feasibility study implementation of DEWS using </w:t>
      </w:r>
      <w:r w:rsidR="007B6F9E">
        <w:t>QI</w:t>
      </w:r>
      <w:r>
        <w:t xml:space="preserve"> methodology.  The participants are healthcare staff who are known to each other.  </w:t>
      </w:r>
      <w:r w:rsidR="007B6F9E">
        <w:t>In addition w</w:t>
      </w:r>
      <w:r>
        <w:t xml:space="preserve">e will be bringing together two to three staff members from each participating ARC team for education, peer support and regular support meetings.  Anonymity is not possible in this group.  </w:t>
      </w:r>
    </w:p>
    <w:p w14:paraId="2A5F3210" w14:textId="77777777" w:rsidR="000B0CE4" w:rsidRDefault="000B0CE4" w:rsidP="00A1772D">
      <w:pPr>
        <w:spacing w:after="0" w:line="240" w:lineRule="auto"/>
        <w:ind w:left="360"/>
      </w:pPr>
    </w:p>
    <w:p w14:paraId="21105EDD" w14:textId="77777777" w:rsidR="000B0CE4" w:rsidRPr="009625C7" w:rsidRDefault="000B0CE4" w:rsidP="007B6F9E">
      <w:pPr>
        <w:pStyle w:val="ListParagraph"/>
        <w:numPr>
          <w:ilvl w:val="0"/>
          <w:numId w:val="34"/>
        </w:numPr>
        <w:spacing w:before="120" w:after="0" w:line="240" w:lineRule="auto"/>
      </w:pPr>
      <w:r w:rsidRPr="009625C7">
        <w:t>Confidentiality</w:t>
      </w:r>
    </w:p>
    <w:p w14:paraId="0C140FF7" w14:textId="473A2F9A" w:rsidR="000B0CE4" w:rsidRDefault="000B0CE4" w:rsidP="007B6F9E">
      <w:pPr>
        <w:pStyle w:val="ListParagraph"/>
        <w:numPr>
          <w:ilvl w:val="1"/>
          <w:numId w:val="34"/>
        </w:numPr>
        <w:spacing w:before="120" w:after="0" w:line="240" w:lineRule="auto"/>
        <w:ind w:left="1434" w:hanging="357"/>
        <w:contextualSpacing w:val="0"/>
      </w:pPr>
      <w:r w:rsidRPr="009625C7">
        <w:t>DEWS tools information: This feasibility study involves collecting data to understand the efficacy and use of DEWS tools.  Data collection will be undertaken by the ARC team at the facility level.  This will include the completion of DEWS tools and audit data of completed DEWS tools.  All audit</w:t>
      </w:r>
      <w:r>
        <w:t xml:space="preserve"> data and clinical data shared with investigators will not</w:t>
      </w:r>
      <w:r w:rsidR="000F2FE8">
        <w:t xml:space="preserve"> be</w:t>
      </w:r>
      <w:r>
        <w:t xml:space="preserve"> identifiable.  There will be no sharing of data between ARC facility teams </w:t>
      </w:r>
      <w:r w:rsidRPr="006F20C6">
        <w:t>maintaining confidentiality</w:t>
      </w:r>
      <w:r>
        <w:t xml:space="preserve">.  </w:t>
      </w:r>
    </w:p>
    <w:p w14:paraId="78B53BBC" w14:textId="77777777" w:rsidR="000B0CE4" w:rsidRPr="009625C7" w:rsidRDefault="000B0CE4" w:rsidP="007B6F9E">
      <w:pPr>
        <w:pStyle w:val="ListParagraph"/>
        <w:numPr>
          <w:ilvl w:val="0"/>
          <w:numId w:val="37"/>
        </w:numPr>
        <w:spacing w:before="120" w:after="0" w:line="240" w:lineRule="auto"/>
        <w:ind w:left="1418" w:hanging="425"/>
        <w:contextualSpacing w:val="0"/>
      </w:pPr>
      <w:r w:rsidRPr="009625C7">
        <w:lastRenderedPageBreak/>
        <w:t>Meeting documentation: Records will be kept of regular support meetings (including members from all participating ARC facilities) in the form of meeting minutes.  Meetings will be conducted on-line (via zoom) no electronic recordings of the meeting will be made.  Minutes will be confidential to meeting participants and the research team.  Learnings from meetings may be shared with participating ARC facilities and their healthcare staff teams.</w:t>
      </w:r>
    </w:p>
    <w:p w14:paraId="5BC1A6AA" w14:textId="1E410728" w:rsidR="000B0CE4" w:rsidRDefault="000B0CE4" w:rsidP="007B6F9E">
      <w:pPr>
        <w:pStyle w:val="ListParagraph"/>
        <w:numPr>
          <w:ilvl w:val="0"/>
          <w:numId w:val="37"/>
        </w:numPr>
        <w:spacing w:before="120" w:after="0" w:line="240" w:lineRule="auto"/>
        <w:ind w:left="1418" w:hanging="425"/>
        <w:contextualSpacing w:val="0"/>
      </w:pPr>
      <w:r w:rsidRPr="009625C7">
        <w:t>Evaluation staff interviews / surveys:</w:t>
      </w:r>
      <w:r>
        <w:t xml:space="preserve"> Evaluation interviews will be conducted with healthcare staff.  The content of individual interviews / focus groups is confidential to the research team and will not be shared with the employing organisation.  The data will be collated and examined for themes.  Themes from the interview will inform the project evaluation.</w:t>
      </w:r>
    </w:p>
    <w:p w14:paraId="2F239BE7" w14:textId="77777777" w:rsidR="000B0CE4" w:rsidRPr="009625C7" w:rsidRDefault="000B0CE4" w:rsidP="007B6F9E">
      <w:pPr>
        <w:pStyle w:val="ListParagraph"/>
        <w:numPr>
          <w:ilvl w:val="0"/>
          <w:numId w:val="37"/>
        </w:numPr>
        <w:spacing w:before="240" w:after="0" w:line="240" w:lineRule="auto"/>
        <w:ind w:left="284" w:hanging="284"/>
        <w:contextualSpacing w:val="0"/>
      </w:pPr>
      <w:r w:rsidRPr="009625C7">
        <w:t>Informed consent</w:t>
      </w:r>
    </w:p>
    <w:p w14:paraId="0420C616" w14:textId="6B82E2E6" w:rsidR="000B0CE4" w:rsidRPr="007B6F9E" w:rsidRDefault="000B0CE4" w:rsidP="007B6F9E">
      <w:pPr>
        <w:spacing w:after="0" w:line="240" w:lineRule="auto"/>
        <w:ind w:left="284"/>
        <w:rPr>
          <w:rFonts w:ascii="Arial" w:hAnsi="Arial" w:cs="Arial"/>
          <w:color w:val="000000" w:themeColor="text1"/>
        </w:rPr>
      </w:pPr>
      <w:r w:rsidRPr="009625C7">
        <w:t>Organisation consent will be obtained</w:t>
      </w:r>
      <w:r w:rsidR="007B6F9E">
        <w:t xml:space="preserve"> for the feasibility study.  </w:t>
      </w:r>
      <w:r w:rsidRPr="009625C7">
        <w:t xml:space="preserve">We will not be seeking individual healthcare staff consent for the DEWS feasibility study as recognising and responding to acute deterioration is a core expectation that cannot be ‘opted out’, this feasibility study does not change that expectation.  It is expected that ARC project teams </w:t>
      </w:r>
      <w:r w:rsidRPr="007B6F9E">
        <w:rPr>
          <w:rFonts w:ascii="Arial" w:hAnsi="Arial" w:cs="Arial"/>
          <w:color w:val="000000" w:themeColor="text1"/>
        </w:rPr>
        <w:t>engage their staff in education and improvement activities, providing an opportunity to ask questions, raise concerns and come to a shared understanding of the process.</w:t>
      </w:r>
    </w:p>
    <w:p w14:paraId="785BF34F" w14:textId="77777777" w:rsidR="000B0CE4" w:rsidRPr="009625C7" w:rsidRDefault="000B0CE4" w:rsidP="009625C7">
      <w:pPr>
        <w:spacing w:after="0" w:line="240" w:lineRule="auto"/>
        <w:rPr>
          <w:rFonts w:ascii="Arial" w:hAnsi="Arial" w:cs="Arial"/>
          <w:color w:val="000000" w:themeColor="text1"/>
        </w:rPr>
      </w:pPr>
    </w:p>
    <w:p w14:paraId="7A921C2D" w14:textId="58E435BD" w:rsidR="000B0CE4" w:rsidRPr="009625C7" w:rsidRDefault="000B0CE4" w:rsidP="007B6F9E">
      <w:pPr>
        <w:spacing w:after="0" w:line="240" w:lineRule="auto"/>
        <w:ind w:left="284"/>
      </w:pPr>
      <w:r w:rsidRPr="007B6F9E">
        <w:rPr>
          <w:rFonts w:ascii="Arial" w:hAnsi="Arial" w:cs="Arial"/>
          <w:color w:val="000000" w:themeColor="text1"/>
        </w:rPr>
        <w:t xml:space="preserve">Individual healthcare staff consent will be required for participation in evaluation interviews.  Healthcare staff are all adults with the capacity to comprehend and consent.  Participation in evaluation will be entirely voluntary.    </w:t>
      </w:r>
    </w:p>
    <w:p w14:paraId="524FDB90" w14:textId="77777777" w:rsidR="000B0CE4" w:rsidRPr="009625C7" w:rsidRDefault="000B0CE4" w:rsidP="009625C7">
      <w:pPr>
        <w:spacing w:after="0" w:line="240" w:lineRule="auto"/>
      </w:pPr>
    </w:p>
    <w:p w14:paraId="33175C23" w14:textId="77777777" w:rsidR="007B6F9E" w:rsidRDefault="000B0CE4" w:rsidP="007B6F9E">
      <w:pPr>
        <w:pStyle w:val="ListParagraph"/>
        <w:numPr>
          <w:ilvl w:val="0"/>
          <w:numId w:val="37"/>
        </w:numPr>
        <w:autoSpaceDE w:val="0"/>
        <w:autoSpaceDN w:val="0"/>
        <w:adjustRightInd w:val="0"/>
        <w:spacing w:after="0" w:line="240" w:lineRule="auto"/>
        <w:ind w:left="284" w:hanging="284"/>
        <w:rPr>
          <w:rFonts w:cstheme="minorHAnsi"/>
        </w:rPr>
      </w:pPr>
      <w:r w:rsidRPr="007B6F9E">
        <w:rPr>
          <w:rFonts w:cstheme="minorHAnsi"/>
        </w:rPr>
        <w:t>Conflict of interest / power relationships</w:t>
      </w:r>
    </w:p>
    <w:p w14:paraId="5CA70ED5" w14:textId="6AED760D" w:rsidR="000B0CE4" w:rsidRPr="007B6F9E" w:rsidRDefault="000B0CE4" w:rsidP="007B6F9E">
      <w:pPr>
        <w:autoSpaceDE w:val="0"/>
        <w:autoSpaceDN w:val="0"/>
        <w:adjustRightInd w:val="0"/>
        <w:spacing w:after="0" w:line="240" w:lineRule="auto"/>
        <w:ind w:left="284"/>
        <w:rPr>
          <w:rFonts w:cstheme="minorHAnsi"/>
        </w:rPr>
      </w:pPr>
      <w:r w:rsidRPr="007B6F9E">
        <w:rPr>
          <w:rFonts w:cstheme="minorHAnsi"/>
        </w:rPr>
        <w:t xml:space="preserve">Te </w:t>
      </w:r>
      <w:proofErr w:type="spellStart"/>
      <w:r w:rsidRPr="007B6F9E">
        <w:rPr>
          <w:rFonts w:cstheme="minorHAnsi"/>
        </w:rPr>
        <w:t>Tāhū</w:t>
      </w:r>
      <w:proofErr w:type="spellEnd"/>
      <w:r w:rsidRPr="007B6F9E">
        <w:rPr>
          <w:rFonts w:cstheme="minorHAnsi"/>
        </w:rPr>
        <w:t xml:space="preserve"> </w:t>
      </w:r>
      <w:r w:rsidR="0047405D">
        <w:rPr>
          <w:rFonts w:cstheme="minorHAnsi"/>
        </w:rPr>
        <w:t>Hauora</w:t>
      </w:r>
      <w:r w:rsidR="007B6F9E">
        <w:rPr>
          <w:rFonts w:cstheme="minorHAnsi"/>
        </w:rPr>
        <w:t xml:space="preserve"> </w:t>
      </w:r>
      <w:r w:rsidRPr="007B6F9E">
        <w:rPr>
          <w:rFonts w:cstheme="minorHAnsi"/>
        </w:rPr>
        <w:t xml:space="preserve">is a </w:t>
      </w:r>
      <w:r w:rsidR="007B6F9E">
        <w:rPr>
          <w:rFonts w:cstheme="minorHAnsi"/>
        </w:rPr>
        <w:t xml:space="preserve">statutory </w:t>
      </w:r>
      <w:r w:rsidRPr="007B6F9E">
        <w:rPr>
          <w:rFonts w:cstheme="minorHAnsi"/>
        </w:rPr>
        <w:t>body tasked with supporting quality and systems improvement in collaboration with clinical teams.  Recruitment will be done by advertisement distributed by the Quality Leads group avoiding the perception of coercion.</w:t>
      </w:r>
    </w:p>
    <w:p w14:paraId="0FF0F452" w14:textId="77777777" w:rsidR="000B0CE4" w:rsidRPr="007B6F9E" w:rsidRDefault="000B0CE4" w:rsidP="007B6F9E">
      <w:pPr>
        <w:pStyle w:val="ListParagraph"/>
        <w:numPr>
          <w:ilvl w:val="0"/>
          <w:numId w:val="37"/>
        </w:numPr>
        <w:autoSpaceDE w:val="0"/>
        <w:autoSpaceDN w:val="0"/>
        <w:adjustRightInd w:val="0"/>
        <w:spacing w:before="120" w:after="0" w:line="240" w:lineRule="auto"/>
        <w:ind w:left="284" w:hanging="284"/>
        <w:rPr>
          <w:rFonts w:cstheme="minorHAnsi"/>
          <w:bCs/>
        </w:rPr>
      </w:pPr>
      <w:r w:rsidRPr="007B6F9E">
        <w:rPr>
          <w:rFonts w:cstheme="minorHAnsi"/>
          <w:bCs/>
        </w:rPr>
        <w:t>Right to withdraw</w:t>
      </w:r>
    </w:p>
    <w:p w14:paraId="29D9B9B1" w14:textId="2BD6500C" w:rsidR="000B0CE4" w:rsidRPr="007B6F9E" w:rsidRDefault="000B0CE4" w:rsidP="007B6F9E">
      <w:pPr>
        <w:autoSpaceDE w:val="0"/>
        <w:autoSpaceDN w:val="0"/>
        <w:adjustRightInd w:val="0"/>
        <w:spacing w:after="0" w:line="240" w:lineRule="auto"/>
        <w:ind w:left="284"/>
        <w:rPr>
          <w:rFonts w:cstheme="minorHAnsi"/>
          <w:bCs/>
        </w:rPr>
      </w:pPr>
      <w:r w:rsidRPr="007B6F9E">
        <w:rPr>
          <w:rFonts w:cstheme="minorHAnsi"/>
          <w:bCs/>
        </w:rPr>
        <w:t xml:space="preserve">All participating ARC facilities have the right to withdraw at </w:t>
      </w:r>
      <w:proofErr w:type="spellStart"/>
      <w:r w:rsidRPr="007B6F9E">
        <w:rPr>
          <w:rFonts w:cstheme="minorHAnsi"/>
          <w:bCs/>
        </w:rPr>
        <w:t>anytime</w:t>
      </w:r>
      <w:proofErr w:type="spellEnd"/>
      <w:r w:rsidRPr="007B6F9E">
        <w:rPr>
          <w:rFonts w:cstheme="minorHAnsi"/>
          <w:bCs/>
        </w:rPr>
        <w:t xml:space="preserve"> without explanation.  Any data that can be traced to that facility or individual can also be withdrawn.  At the point of final evaluation where data from all ARC facilities is collated into one data set there will no longer be an option to withdraw information.   </w:t>
      </w:r>
    </w:p>
    <w:p w14:paraId="20B59538" w14:textId="77777777" w:rsidR="000B0CE4" w:rsidRDefault="000B0CE4" w:rsidP="00A1772D">
      <w:pPr>
        <w:autoSpaceDE w:val="0"/>
        <w:autoSpaceDN w:val="0"/>
        <w:adjustRightInd w:val="0"/>
        <w:spacing w:after="0" w:line="240" w:lineRule="auto"/>
        <w:rPr>
          <w:rFonts w:cstheme="minorHAnsi"/>
          <w:bCs/>
        </w:rPr>
      </w:pPr>
    </w:p>
    <w:p w14:paraId="712A379E" w14:textId="14B5AA5D" w:rsidR="000B0CE4" w:rsidRPr="009625C7" w:rsidRDefault="000B0CE4" w:rsidP="009625C7">
      <w:pPr>
        <w:autoSpaceDE w:val="0"/>
        <w:autoSpaceDN w:val="0"/>
        <w:adjustRightInd w:val="0"/>
        <w:spacing w:after="0" w:line="240" w:lineRule="auto"/>
        <w:rPr>
          <w:rFonts w:cstheme="minorHAnsi"/>
          <w:b/>
        </w:rPr>
      </w:pPr>
      <w:r w:rsidRPr="009625C7">
        <w:rPr>
          <w:rFonts w:cstheme="minorHAnsi"/>
          <w:b/>
        </w:rPr>
        <w:t>D</w:t>
      </w:r>
      <w:r w:rsidR="007B6F9E">
        <w:rPr>
          <w:rFonts w:cstheme="minorHAnsi"/>
          <w:b/>
        </w:rPr>
        <w:t>ATA STORAGE</w:t>
      </w:r>
      <w:r w:rsidRPr="009625C7">
        <w:rPr>
          <w:rFonts w:cstheme="minorHAnsi"/>
          <w:b/>
        </w:rPr>
        <w:t xml:space="preserve">: </w:t>
      </w:r>
    </w:p>
    <w:p w14:paraId="7BA4A407" w14:textId="77777777" w:rsidR="000B0CE4" w:rsidRDefault="000B0CE4" w:rsidP="00FA2F9D">
      <w:pPr>
        <w:pStyle w:val="paragraph"/>
        <w:spacing w:before="120" w:beforeAutospacing="0" w:after="0" w:afterAutospacing="0"/>
        <w:ind w:left="357"/>
        <w:textAlignment w:val="baseline"/>
        <w:rPr>
          <w:rStyle w:val="eop"/>
          <w:rFonts w:ascii="Arial" w:hAnsi="Arial" w:cs="Arial"/>
          <w:sz w:val="22"/>
          <w:szCs w:val="22"/>
        </w:rPr>
      </w:pPr>
      <w:r w:rsidRPr="00FD0AA1">
        <w:rPr>
          <w:rStyle w:val="normaltextrun"/>
          <w:rFonts w:ascii="Arial" w:eastAsiaTheme="majorEastAsia" w:hAnsi="Arial" w:cs="Arial"/>
          <w:b/>
          <w:bCs/>
          <w:sz w:val="22"/>
          <w:szCs w:val="22"/>
          <w:lang w:val="en-US"/>
        </w:rPr>
        <w:t>Audit data</w:t>
      </w:r>
      <w:r>
        <w:rPr>
          <w:rStyle w:val="normaltextrun"/>
          <w:rFonts w:ascii="Arial" w:eastAsiaTheme="majorEastAsia" w:hAnsi="Arial" w:cs="Arial"/>
          <w:b/>
          <w:bCs/>
          <w:sz w:val="22"/>
          <w:szCs w:val="22"/>
          <w:lang w:val="en-US"/>
        </w:rPr>
        <w:t xml:space="preserve">.  </w:t>
      </w:r>
      <w:r w:rsidRPr="008F33C0">
        <w:rPr>
          <w:rStyle w:val="normaltextrun"/>
          <w:rFonts w:ascii="Arial" w:eastAsiaTheme="majorEastAsia" w:hAnsi="Arial" w:cs="Arial"/>
          <w:sz w:val="22"/>
          <w:szCs w:val="22"/>
          <w:lang w:val="en-US"/>
        </w:rPr>
        <w:t>All audit data will be non-identifiable.</w:t>
      </w:r>
      <w:r>
        <w:rPr>
          <w:rStyle w:val="normaltextrun"/>
          <w:rFonts w:ascii="Arial" w:eastAsiaTheme="majorEastAsia" w:hAnsi="Arial" w:cs="Arial"/>
          <w:b/>
          <w:bCs/>
          <w:sz w:val="22"/>
          <w:szCs w:val="22"/>
          <w:lang w:val="en-US"/>
        </w:rPr>
        <w:t xml:space="preserve">  </w:t>
      </w:r>
      <w:r w:rsidRPr="008F33C0">
        <w:rPr>
          <w:rStyle w:val="normaltextrun"/>
          <w:rFonts w:ascii="Arial" w:eastAsiaTheme="majorEastAsia" w:hAnsi="Arial" w:cs="Arial"/>
          <w:sz w:val="22"/>
          <w:szCs w:val="22"/>
          <w:lang w:val="en-US"/>
        </w:rPr>
        <w:t xml:space="preserve">It </w:t>
      </w:r>
      <w:r w:rsidRPr="00656620">
        <w:rPr>
          <w:rStyle w:val="normaltextrun"/>
          <w:rFonts w:ascii="Arial" w:eastAsiaTheme="majorEastAsia" w:hAnsi="Arial" w:cs="Arial"/>
          <w:sz w:val="22"/>
          <w:szCs w:val="22"/>
          <w:lang w:val="en-US"/>
        </w:rPr>
        <w:t xml:space="preserve">will be collected </w:t>
      </w:r>
      <w:r>
        <w:rPr>
          <w:rStyle w:val="normaltextrun"/>
          <w:rFonts w:ascii="Arial" w:eastAsiaTheme="majorEastAsia" w:hAnsi="Arial" w:cs="Arial"/>
          <w:sz w:val="22"/>
          <w:szCs w:val="22"/>
          <w:lang w:val="en-US"/>
        </w:rPr>
        <w:t>by the individual ARC</w:t>
      </w:r>
      <w:r w:rsidRPr="00656620">
        <w:rPr>
          <w:rStyle w:val="normaltextrun"/>
          <w:rFonts w:ascii="Arial" w:eastAsiaTheme="majorEastAsia" w:hAnsi="Arial" w:cs="Arial"/>
          <w:sz w:val="22"/>
          <w:szCs w:val="22"/>
          <w:lang w:val="en-US"/>
        </w:rPr>
        <w:t xml:space="preserve"> facility using an electronic data collection form created using Microsoft Forms (MS Forms). The data collection form will be created and owned by Te Tāhū Hauora. </w:t>
      </w:r>
      <w:r>
        <w:rPr>
          <w:rStyle w:val="normaltextrun"/>
          <w:rFonts w:ascii="Arial" w:eastAsiaTheme="majorEastAsia" w:hAnsi="Arial" w:cs="Arial"/>
          <w:sz w:val="22"/>
          <w:szCs w:val="22"/>
          <w:lang w:val="en-US"/>
        </w:rPr>
        <w:t xml:space="preserve"> </w:t>
      </w:r>
      <w:r w:rsidRPr="00656620">
        <w:rPr>
          <w:rStyle w:val="normaltextrun"/>
          <w:rFonts w:ascii="Arial" w:eastAsiaTheme="majorEastAsia" w:hAnsi="Arial" w:cs="Arial"/>
          <w:sz w:val="22"/>
          <w:szCs w:val="22"/>
          <w:lang w:val="en-US"/>
        </w:rPr>
        <w:t xml:space="preserve">MS Forms is encrypted software, which prevents unauthorised access to digital information both at rest and during transfer. </w:t>
      </w:r>
      <w:r>
        <w:rPr>
          <w:rStyle w:val="normaltextrun"/>
          <w:rFonts w:ascii="Arial" w:eastAsiaTheme="majorEastAsia" w:hAnsi="Arial" w:cs="Arial"/>
          <w:sz w:val="22"/>
          <w:szCs w:val="22"/>
          <w:lang w:val="en-US"/>
        </w:rPr>
        <w:t xml:space="preserve">  Each ARC facility will collect their own data and load it into the MS form on a weekly basis.  This is a data entry point only, users cannot view or change data previously entered.  Users will reach the form via electronic link.  Once data is added to the form a specific allocated personal identification number (PIN) allocated to the participating ARC facility is required for submission.  </w:t>
      </w:r>
      <w:r>
        <w:rPr>
          <w:rStyle w:val="xnormaltextrun"/>
          <w:rFonts w:ascii="Arial" w:eastAsia="MS Gothic" w:hAnsi="Arial" w:cs="Arial"/>
          <w:sz w:val="22"/>
          <w:szCs w:val="22"/>
          <w:lang w:val="en-US"/>
        </w:rPr>
        <w:t>If the PIN is not validated a research team member will contact the participating ARC facility to query data entry.  I</w:t>
      </w:r>
      <w:r w:rsidRPr="00656620">
        <w:rPr>
          <w:rStyle w:val="normaltextrun"/>
          <w:rFonts w:ascii="Arial" w:eastAsiaTheme="majorEastAsia" w:hAnsi="Arial" w:cs="Arial"/>
          <w:sz w:val="22"/>
          <w:szCs w:val="22"/>
          <w:lang w:val="en-US"/>
        </w:rPr>
        <w:t>f it is not possible to verify that the form is authentic the results of that audit will be disregarded. </w:t>
      </w:r>
      <w:r w:rsidRPr="00656620">
        <w:rPr>
          <w:rStyle w:val="eop"/>
          <w:rFonts w:ascii="Arial" w:hAnsi="Arial" w:cs="Arial"/>
          <w:sz w:val="22"/>
          <w:szCs w:val="22"/>
        </w:rPr>
        <w:t> </w:t>
      </w:r>
      <w:r>
        <w:rPr>
          <w:rStyle w:val="eop"/>
          <w:rFonts w:ascii="Arial" w:hAnsi="Arial" w:cs="Arial"/>
          <w:sz w:val="22"/>
          <w:szCs w:val="22"/>
        </w:rPr>
        <w:t xml:space="preserve">Validated data is </w:t>
      </w:r>
      <w:r w:rsidRPr="007B63AD">
        <w:rPr>
          <w:rStyle w:val="xnormaltextrun"/>
          <w:rFonts w:ascii="Arial" w:eastAsia="MS Gothic" w:hAnsi="Arial" w:cs="Arial"/>
          <w:sz w:val="22"/>
          <w:szCs w:val="22"/>
          <w:lang w:val="en-US"/>
        </w:rPr>
        <w:t xml:space="preserve">exported </w:t>
      </w:r>
      <w:r>
        <w:rPr>
          <w:rStyle w:val="xnormaltextrun"/>
          <w:rFonts w:ascii="Arial" w:eastAsia="MS Gothic" w:hAnsi="Arial" w:cs="Arial"/>
          <w:sz w:val="22"/>
          <w:szCs w:val="22"/>
          <w:lang w:val="en-US"/>
        </w:rPr>
        <w:t xml:space="preserve">and stored </w:t>
      </w:r>
      <w:r w:rsidRPr="007B63AD">
        <w:rPr>
          <w:rStyle w:val="xnormaltextrun"/>
          <w:rFonts w:ascii="Arial" w:eastAsia="MS Gothic" w:hAnsi="Arial" w:cs="Arial"/>
          <w:sz w:val="22"/>
          <w:szCs w:val="22"/>
          <w:lang w:val="en-US"/>
        </w:rPr>
        <w:t xml:space="preserve">in a secure electronic folder owned by Te Tāhū Hauora. </w:t>
      </w:r>
      <w:r>
        <w:rPr>
          <w:rStyle w:val="xnormaltextrun"/>
          <w:rFonts w:ascii="Arial" w:eastAsia="MS Gothic" w:hAnsi="Arial" w:cs="Arial"/>
          <w:sz w:val="22"/>
          <w:szCs w:val="22"/>
          <w:lang w:val="en-US"/>
        </w:rPr>
        <w:t xml:space="preserve">Data is accessible by the research team only and is password protected.  </w:t>
      </w:r>
      <w:r>
        <w:rPr>
          <w:rStyle w:val="normaltextrun"/>
          <w:rFonts w:ascii="Arial" w:eastAsiaTheme="majorEastAsia" w:hAnsi="Arial" w:cs="Arial"/>
          <w:sz w:val="22"/>
          <w:szCs w:val="22"/>
          <w:lang w:val="en-US"/>
        </w:rPr>
        <w:t>Weekly r</w:t>
      </w:r>
      <w:r w:rsidRPr="00656620">
        <w:rPr>
          <w:rStyle w:val="normaltextrun"/>
          <w:rFonts w:ascii="Arial" w:eastAsiaTheme="majorEastAsia" w:hAnsi="Arial" w:cs="Arial"/>
          <w:sz w:val="22"/>
          <w:szCs w:val="22"/>
          <w:lang w:val="en-US"/>
        </w:rPr>
        <w:t xml:space="preserve">eports will be created </w:t>
      </w:r>
      <w:r>
        <w:rPr>
          <w:rStyle w:val="normaltextrun"/>
          <w:rFonts w:ascii="Arial" w:eastAsiaTheme="majorEastAsia" w:hAnsi="Arial" w:cs="Arial"/>
          <w:sz w:val="22"/>
          <w:szCs w:val="22"/>
          <w:lang w:val="en-US"/>
        </w:rPr>
        <w:t xml:space="preserve">from the data entered </w:t>
      </w:r>
      <w:r w:rsidRPr="00656620">
        <w:rPr>
          <w:rStyle w:val="normaltextrun"/>
          <w:rFonts w:ascii="Arial" w:eastAsiaTheme="majorEastAsia" w:hAnsi="Arial" w:cs="Arial"/>
          <w:sz w:val="22"/>
          <w:szCs w:val="22"/>
          <w:lang w:val="en-US"/>
        </w:rPr>
        <w:t xml:space="preserve">using Microsoft Power BI. This report of aggregated data will be shared with the </w:t>
      </w:r>
      <w:r>
        <w:rPr>
          <w:rStyle w:val="normaltextrun"/>
          <w:rFonts w:ascii="Arial" w:eastAsiaTheme="majorEastAsia" w:hAnsi="Arial" w:cs="Arial"/>
          <w:sz w:val="22"/>
          <w:szCs w:val="22"/>
          <w:lang w:val="en-US"/>
        </w:rPr>
        <w:t xml:space="preserve">research team and each ARC </w:t>
      </w:r>
      <w:r w:rsidRPr="00656620">
        <w:rPr>
          <w:rStyle w:val="normaltextrun"/>
          <w:rFonts w:ascii="Arial" w:eastAsiaTheme="majorEastAsia" w:hAnsi="Arial" w:cs="Arial"/>
          <w:sz w:val="22"/>
          <w:szCs w:val="22"/>
          <w:lang w:val="en-US"/>
        </w:rPr>
        <w:t>facility</w:t>
      </w:r>
      <w:r>
        <w:rPr>
          <w:rStyle w:val="normaltextrun"/>
          <w:rFonts w:ascii="Arial" w:eastAsiaTheme="majorEastAsia" w:hAnsi="Arial" w:cs="Arial"/>
          <w:sz w:val="22"/>
          <w:szCs w:val="22"/>
          <w:lang w:val="en-US"/>
        </w:rPr>
        <w:t xml:space="preserve">.  </w:t>
      </w:r>
      <w:r w:rsidRPr="00656620">
        <w:rPr>
          <w:rStyle w:val="normaltextrun"/>
          <w:rFonts w:ascii="Arial" w:eastAsiaTheme="majorEastAsia" w:hAnsi="Arial" w:cs="Arial"/>
          <w:sz w:val="22"/>
          <w:szCs w:val="22"/>
          <w:lang w:val="en-US"/>
        </w:rPr>
        <w:t xml:space="preserve"> </w:t>
      </w:r>
      <w:r>
        <w:rPr>
          <w:rStyle w:val="normaltextrun"/>
          <w:rFonts w:ascii="Arial" w:eastAsiaTheme="majorEastAsia" w:hAnsi="Arial" w:cs="Arial"/>
          <w:sz w:val="22"/>
          <w:szCs w:val="22"/>
          <w:lang w:val="en-US"/>
        </w:rPr>
        <w:t xml:space="preserve">Individual ARC facilities will see </w:t>
      </w:r>
      <w:r w:rsidRPr="00656620">
        <w:rPr>
          <w:rStyle w:val="normaltextrun"/>
          <w:rFonts w:ascii="Arial" w:eastAsiaTheme="majorEastAsia" w:hAnsi="Arial" w:cs="Arial"/>
          <w:sz w:val="22"/>
          <w:szCs w:val="22"/>
          <w:lang w:val="en-US"/>
        </w:rPr>
        <w:t xml:space="preserve">own data </w:t>
      </w:r>
      <w:r>
        <w:rPr>
          <w:rStyle w:val="normaltextrun"/>
          <w:rFonts w:ascii="Arial" w:eastAsiaTheme="majorEastAsia" w:hAnsi="Arial" w:cs="Arial"/>
          <w:sz w:val="22"/>
          <w:szCs w:val="22"/>
          <w:lang w:val="en-US"/>
        </w:rPr>
        <w:t>only.  This report is to inform DEWS implementation process.</w:t>
      </w:r>
      <w:r w:rsidRPr="00656620">
        <w:rPr>
          <w:rStyle w:val="normaltextrun"/>
          <w:rFonts w:ascii="Arial" w:eastAsiaTheme="majorEastAsia" w:hAnsi="Arial" w:cs="Arial"/>
          <w:sz w:val="22"/>
          <w:szCs w:val="22"/>
          <w:lang w:val="en-US"/>
        </w:rPr>
        <w:t>  </w:t>
      </w:r>
      <w:r w:rsidRPr="00656620">
        <w:rPr>
          <w:rStyle w:val="eop"/>
          <w:rFonts w:ascii="Arial" w:hAnsi="Arial" w:cs="Arial"/>
          <w:sz w:val="22"/>
          <w:szCs w:val="22"/>
        </w:rPr>
        <w:t> </w:t>
      </w:r>
    </w:p>
    <w:p w14:paraId="763595A7" w14:textId="77777777" w:rsidR="000B0CE4" w:rsidRDefault="000B0CE4" w:rsidP="00A1772D">
      <w:pPr>
        <w:pStyle w:val="paragraph"/>
        <w:spacing w:before="0" w:beforeAutospacing="0" w:after="0" w:afterAutospacing="0"/>
        <w:ind w:left="360"/>
        <w:textAlignment w:val="baseline"/>
        <w:rPr>
          <w:rStyle w:val="eop"/>
          <w:rFonts w:ascii="Arial" w:hAnsi="Arial" w:cs="Arial"/>
          <w:sz w:val="22"/>
          <w:szCs w:val="22"/>
        </w:rPr>
      </w:pPr>
    </w:p>
    <w:p w14:paraId="00BB2447" w14:textId="77777777" w:rsidR="000B0CE4" w:rsidRPr="008F33C0" w:rsidRDefault="000B0CE4" w:rsidP="00FA2F9D">
      <w:pPr>
        <w:pStyle w:val="paragraph"/>
        <w:spacing w:before="0" w:beforeAutospacing="0" w:after="0" w:afterAutospacing="0"/>
        <w:ind w:left="360"/>
        <w:textAlignment w:val="baseline"/>
        <w:rPr>
          <w:rStyle w:val="eop"/>
          <w:rFonts w:ascii="Arial" w:hAnsi="Arial" w:cs="Arial"/>
          <w:sz w:val="22"/>
          <w:szCs w:val="22"/>
        </w:rPr>
      </w:pPr>
      <w:r w:rsidRPr="008F33C0">
        <w:rPr>
          <w:rStyle w:val="eop"/>
          <w:rFonts w:ascii="Arial" w:hAnsi="Arial" w:cs="Arial"/>
          <w:b/>
          <w:bCs/>
          <w:sz w:val="22"/>
          <w:szCs w:val="22"/>
        </w:rPr>
        <w:t>Other data</w:t>
      </w:r>
      <w:r>
        <w:rPr>
          <w:rStyle w:val="eop"/>
          <w:rFonts w:ascii="Arial" w:hAnsi="Arial" w:cs="Arial"/>
          <w:b/>
          <w:bCs/>
          <w:sz w:val="22"/>
          <w:szCs w:val="22"/>
        </w:rPr>
        <w:t xml:space="preserve"> </w:t>
      </w:r>
      <w:r>
        <w:rPr>
          <w:rStyle w:val="eop"/>
          <w:rFonts w:ascii="Arial" w:hAnsi="Arial" w:cs="Arial"/>
          <w:sz w:val="22"/>
          <w:szCs w:val="22"/>
        </w:rPr>
        <w:t xml:space="preserve">(field notes, meeting minutes, focus group / individual interviews, survey data) will be stored in a secure share point electronic folder owned by </w:t>
      </w:r>
      <w:r w:rsidRPr="007B63AD">
        <w:rPr>
          <w:rStyle w:val="xnormaltextrun"/>
          <w:rFonts w:ascii="Arial" w:eastAsia="MS Gothic" w:hAnsi="Arial" w:cs="Arial"/>
          <w:sz w:val="22"/>
          <w:szCs w:val="22"/>
          <w:lang w:val="en-US"/>
        </w:rPr>
        <w:t>Te Tāhū Hauora</w:t>
      </w:r>
      <w:r>
        <w:rPr>
          <w:rStyle w:val="xnormaltextrun"/>
          <w:rFonts w:ascii="Arial" w:eastAsia="MS Gothic" w:hAnsi="Arial" w:cs="Arial"/>
          <w:sz w:val="22"/>
          <w:szCs w:val="22"/>
          <w:lang w:val="en-US"/>
        </w:rPr>
        <w:t xml:space="preserve">.  The folder will be password protected and accessible to the research team only.  Meeting minutes and fieldnotes will </w:t>
      </w:r>
      <w:r>
        <w:rPr>
          <w:rStyle w:val="xnormaltextrun"/>
          <w:rFonts w:ascii="Arial" w:eastAsia="MS Gothic" w:hAnsi="Arial" w:cs="Arial"/>
          <w:sz w:val="22"/>
          <w:szCs w:val="22"/>
          <w:lang w:val="en-US"/>
        </w:rPr>
        <w:lastRenderedPageBreak/>
        <w:t>contain names of participating healthcare staff and facilities.  Interview data will not identify individuals but will identify participating ARC facilities.</w:t>
      </w:r>
    </w:p>
    <w:p w14:paraId="266B6DF8" w14:textId="77777777" w:rsidR="000B0CE4" w:rsidRDefault="000B0CE4" w:rsidP="00A1772D">
      <w:pPr>
        <w:pStyle w:val="paragraph"/>
        <w:spacing w:before="0" w:beforeAutospacing="0" w:after="0" w:afterAutospacing="0"/>
        <w:ind w:left="360"/>
        <w:jc w:val="both"/>
        <w:textAlignment w:val="baseline"/>
        <w:rPr>
          <w:rStyle w:val="eop"/>
          <w:rFonts w:ascii="Arial" w:hAnsi="Arial" w:cs="Arial"/>
          <w:sz w:val="22"/>
          <w:szCs w:val="22"/>
        </w:rPr>
      </w:pPr>
    </w:p>
    <w:p w14:paraId="02668316" w14:textId="77777777" w:rsidR="000B0CE4" w:rsidRPr="00FA2F9D" w:rsidRDefault="000B0CE4" w:rsidP="00FA2F9D">
      <w:pPr>
        <w:ind w:left="360"/>
        <w:rPr>
          <w:rFonts w:ascii="Arial" w:hAnsi="Arial" w:cs="Arial"/>
        </w:rPr>
      </w:pPr>
      <w:r w:rsidRPr="00FA2F9D">
        <w:rPr>
          <w:rFonts w:ascii="Arial" w:hAnsi="Arial" w:cs="Arial"/>
          <w:b/>
          <w:bCs/>
        </w:rPr>
        <w:t>Data backup:</w:t>
      </w:r>
      <w:r w:rsidRPr="00FA2F9D">
        <w:rPr>
          <w:rFonts w:ascii="Arial" w:hAnsi="Arial" w:cs="Arial"/>
        </w:rPr>
        <w:t xml:space="preserve">  All data is backed up locally in the Revera data centre, which host our servers.</w:t>
      </w:r>
    </w:p>
    <w:p w14:paraId="31BFA69E" w14:textId="72A3DF4C" w:rsidR="000B0CE4" w:rsidRPr="007B63AD" w:rsidRDefault="000B0CE4" w:rsidP="00FA2F9D">
      <w:pPr>
        <w:pStyle w:val="paragraph"/>
        <w:spacing w:before="0" w:beforeAutospacing="0" w:after="0" w:afterAutospacing="0"/>
        <w:ind w:left="360"/>
        <w:textAlignment w:val="baseline"/>
        <w:rPr>
          <w:rFonts w:asciiTheme="minorHAnsi" w:hAnsiTheme="minorHAnsi" w:cstheme="minorHAnsi"/>
          <w:sz w:val="22"/>
          <w:szCs w:val="22"/>
        </w:rPr>
      </w:pPr>
      <w:r w:rsidRPr="007B63AD">
        <w:rPr>
          <w:rStyle w:val="eop"/>
          <w:rFonts w:asciiTheme="minorHAnsi" w:hAnsiTheme="minorHAnsi" w:cstheme="minorHAnsi"/>
          <w:b/>
          <w:bCs/>
          <w:sz w:val="22"/>
          <w:szCs w:val="22"/>
        </w:rPr>
        <w:t>Data destruction:</w:t>
      </w:r>
      <w:r w:rsidRPr="007B63AD">
        <w:rPr>
          <w:rStyle w:val="eop"/>
          <w:rFonts w:asciiTheme="minorHAnsi" w:hAnsiTheme="minorHAnsi" w:cstheme="minorHAnsi"/>
          <w:sz w:val="22"/>
          <w:szCs w:val="22"/>
        </w:rPr>
        <w:t xml:space="preserve"> </w:t>
      </w:r>
      <w:r>
        <w:rPr>
          <w:rStyle w:val="eop"/>
          <w:rFonts w:asciiTheme="minorHAnsi" w:hAnsiTheme="minorHAnsi" w:cstheme="minorHAnsi"/>
          <w:sz w:val="22"/>
          <w:szCs w:val="22"/>
        </w:rPr>
        <w:t xml:space="preserve">Data will be </w:t>
      </w:r>
      <w:r w:rsidRPr="00813AE0">
        <w:rPr>
          <w:rStyle w:val="eop"/>
          <w:rFonts w:asciiTheme="minorHAnsi" w:hAnsiTheme="minorHAnsi" w:cstheme="minorHAnsi"/>
          <w:sz w:val="22"/>
          <w:szCs w:val="22"/>
        </w:rPr>
        <w:t>ke</w:t>
      </w:r>
      <w:r>
        <w:rPr>
          <w:rStyle w:val="eop"/>
          <w:rFonts w:asciiTheme="minorHAnsi" w:hAnsiTheme="minorHAnsi" w:cstheme="minorHAnsi"/>
          <w:sz w:val="22"/>
          <w:szCs w:val="22"/>
        </w:rPr>
        <w:t xml:space="preserve">pt for </w:t>
      </w:r>
      <w:r w:rsidR="00DB1F96">
        <w:rPr>
          <w:rStyle w:val="eop"/>
          <w:rFonts w:asciiTheme="minorHAnsi" w:hAnsiTheme="minorHAnsi" w:cstheme="minorHAnsi"/>
          <w:sz w:val="22"/>
          <w:szCs w:val="22"/>
        </w:rPr>
        <w:t>6</w:t>
      </w:r>
      <w:r w:rsidRPr="00813AE0">
        <w:rPr>
          <w:rStyle w:val="eop"/>
          <w:rFonts w:asciiTheme="minorHAnsi" w:hAnsiTheme="minorHAnsi" w:cstheme="minorHAnsi"/>
          <w:sz w:val="22"/>
          <w:szCs w:val="22"/>
        </w:rPr>
        <w:t xml:space="preserve"> years.</w:t>
      </w:r>
      <w:r>
        <w:rPr>
          <w:rStyle w:val="eop"/>
          <w:rFonts w:asciiTheme="minorHAnsi" w:hAnsiTheme="minorHAnsi" w:cstheme="minorHAnsi"/>
          <w:sz w:val="22"/>
          <w:szCs w:val="22"/>
        </w:rPr>
        <w:t xml:space="preserve">  </w:t>
      </w:r>
      <w:r w:rsidRPr="007B63AD">
        <w:rPr>
          <w:rFonts w:asciiTheme="minorHAnsi" w:hAnsiTheme="minorHAnsi" w:cstheme="minorHAnsi"/>
          <w:sz w:val="22"/>
          <w:szCs w:val="22"/>
        </w:rPr>
        <w:t xml:space="preserve">Deliberate destruction of data occurs as per the </w:t>
      </w:r>
      <w:r w:rsidRPr="00656620">
        <w:rPr>
          <w:rStyle w:val="normaltextrun"/>
          <w:rFonts w:ascii="Arial" w:eastAsiaTheme="majorEastAsia" w:hAnsi="Arial" w:cs="Arial"/>
          <w:sz w:val="22"/>
          <w:szCs w:val="22"/>
          <w:lang w:val="en-US"/>
        </w:rPr>
        <w:t xml:space="preserve">Te Tāhū Hauora </w:t>
      </w:r>
      <w:r w:rsidRPr="007B63AD">
        <w:rPr>
          <w:rFonts w:asciiTheme="minorHAnsi" w:hAnsiTheme="minorHAnsi" w:cstheme="minorHAnsi"/>
          <w:sz w:val="22"/>
          <w:szCs w:val="22"/>
          <w:lang w:val="en-GB"/>
        </w:rPr>
        <w:t>General Disposal Authority</w:t>
      </w:r>
      <w:r>
        <w:rPr>
          <w:rFonts w:asciiTheme="minorHAnsi" w:hAnsiTheme="minorHAnsi" w:cstheme="minorHAnsi"/>
          <w:sz w:val="22"/>
          <w:szCs w:val="22"/>
          <w:lang w:val="en-GB"/>
        </w:rPr>
        <w:t xml:space="preserve"> policy.  Retention and destruction </w:t>
      </w:r>
      <w:r w:rsidRPr="007B63AD">
        <w:rPr>
          <w:rFonts w:asciiTheme="minorHAnsi" w:hAnsiTheme="minorHAnsi" w:cstheme="minorHAnsi"/>
          <w:sz w:val="22"/>
          <w:szCs w:val="22"/>
          <w:lang w:val="en-GB"/>
        </w:rPr>
        <w:t>schedules are applied automatically to all labelled data when that data reaches its destruction date.  Reports are generated before destruction, and once approved, only then is the data destroyed. Records of all data destruction are retained</w:t>
      </w:r>
    </w:p>
    <w:p w14:paraId="2067BF67" w14:textId="77777777" w:rsidR="000B0CE4" w:rsidRDefault="000B0CE4" w:rsidP="00A1772D">
      <w:pPr>
        <w:pStyle w:val="paragraph"/>
        <w:spacing w:before="0" w:beforeAutospacing="0" w:after="0" w:afterAutospacing="0"/>
        <w:jc w:val="both"/>
        <w:textAlignment w:val="baseline"/>
        <w:rPr>
          <w:rStyle w:val="eop"/>
          <w:rFonts w:ascii="Arial" w:hAnsi="Arial" w:cs="Arial"/>
          <w:color w:val="7030A0"/>
        </w:rPr>
      </w:pPr>
      <w:r>
        <w:rPr>
          <w:rStyle w:val="eop"/>
          <w:rFonts w:ascii="Arial" w:hAnsi="Arial" w:cs="Arial"/>
          <w:color w:val="7030A0"/>
        </w:rPr>
        <w:t> </w:t>
      </w:r>
    </w:p>
    <w:p w14:paraId="47268389" w14:textId="77777777" w:rsidR="000B0CE4" w:rsidRDefault="000B0CE4" w:rsidP="008F7F64">
      <w:pPr>
        <w:pStyle w:val="Heading2"/>
        <w:spacing w:before="0" w:after="120" w:line="240" w:lineRule="auto"/>
        <w:rPr>
          <w:rFonts w:asciiTheme="minorHAnsi" w:eastAsiaTheme="majorEastAsia" w:hAnsiTheme="minorHAnsi" w:cstheme="minorHAnsi"/>
          <w:b/>
          <w:iCs w:val="0"/>
          <w:color w:val="auto"/>
          <w:sz w:val="22"/>
          <w:szCs w:val="22"/>
        </w:rPr>
      </w:pPr>
    </w:p>
    <w:p w14:paraId="2B90E7F0" w14:textId="77777777" w:rsidR="000B0CE4" w:rsidRDefault="000B0CE4" w:rsidP="008F7F64">
      <w:pPr>
        <w:pStyle w:val="Heading2"/>
        <w:spacing w:before="0" w:after="120" w:line="240" w:lineRule="auto"/>
        <w:rPr>
          <w:rFonts w:asciiTheme="minorHAnsi" w:eastAsiaTheme="majorEastAsia" w:hAnsiTheme="minorHAnsi" w:cstheme="minorHAnsi"/>
          <w:b/>
          <w:iCs w:val="0"/>
          <w:color w:val="auto"/>
          <w:sz w:val="22"/>
          <w:szCs w:val="22"/>
        </w:rPr>
      </w:pPr>
      <w:r>
        <w:rPr>
          <w:rFonts w:asciiTheme="minorHAnsi" w:eastAsiaTheme="majorEastAsia" w:hAnsiTheme="minorHAnsi" w:cstheme="minorHAnsi"/>
          <w:b/>
          <w:iCs w:val="0"/>
          <w:color w:val="auto"/>
          <w:sz w:val="22"/>
          <w:szCs w:val="22"/>
        </w:rPr>
        <w:t>L: RISKS and BENEFITS OF PARTICIPATION</w:t>
      </w:r>
    </w:p>
    <w:p w14:paraId="711EB727" w14:textId="77777777" w:rsidR="000B0CE4" w:rsidRPr="00755CC8" w:rsidRDefault="000B0CE4" w:rsidP="0071227F">
      <w:pPr>
        <w:pStyle w:val="Heading2"/>
        <w:spacing w:before="0" w:after="120" w:line="240" w:lineRule="auto"/>
        <w:rPr>
          <w:rFonts w:asciiTheme="minorHAnsi" w:hAnsiTheme="minorHAnsi" w:cstheme="minorHAnsi"/>
          <w:b/>
          <w:bCs w:val="0"/>
          <w:color w:val="auto"/>
          <w:sz w:val="22"/>
          <w:szCs w:val="22"/>
        </w:rPr>
      </w:pPr>
      <w:r w:rsidRPr="00755CC8">
        <w:rPr>
          <w:rFonts w:asciiTheme="minorHAnsi" w:hAnsiTheme="minorHAnsi" w:cstheme="minorHAnsi"/>
          <w:b/>
          <w:bCs w:val="0"/>
          <w:color w:val="auto"/>
          <w:sz w:val="22"/>
          <w:szCs w:val="22"/>
        </w:rPr>
        <w:t>Benefits</w:t>
      </w:r>
    </w:p>
    <w:p w14:paraId="4265529F" w14:textId="77777777" w:rsidR="000B0CE4" w:rsidRDefault="000B0CE4" w:rsidP="009B5E78">
      <w:pPr>
        <w:pStyle w:val="Heading2"/>
        <w:spacing w:before="0" w:line="240" w:lineRule="auto"/>
        <w:rPr>
          <w:rFonts w:asciiTheme="minorHAnsi" w:hAnsiTheme="minorHAnsi" w:cstheme="minorHAnsi"/>
          <w:color w:val="auto"/>
          <w:sz w:val="22"/>
          <w:szCs w:val="22"/>
        </w:rPr>
      </w:pPr>
      <w:r>
        <w:rPr>
          <w:rFonts w:asciiTheme="minorHAnsi" w:hAnsiTheme="minorHAnsi" w:cstheme="minorHAnsi"/>
          <w:color w:val="auto"/>
          <w:sz w:val="22"/>
          <w:szCs w:val="22"/>
        </w:rPr>
        <w:t>Staff capability</w:t>
      </w:r>
    </w:p>
    <w:p w14:paraId="441F768D" w14:textId="77777777" w:rsidR="000B0CE4" w:rsidRDefault="000B0CE4" w:rsidP="00FA2F9D">
      <w:pPr>
        <w:pStyle w:val="Heading2"/>
        <w:numPr>
          <w:ilvl w:val="0"/>
          <w:numId w:val="21"/>
        </w:numPr>
        <w:spacing w:before="0" w:after="120" w:line="240" w:lineRule="auto"/>
        <w:ind w:left="357" w:hanging="357"/>
        <w:rPr>
          <w:rFonts w:asciiTheme="minorHAnsi" w:hAnsiTheme="minorHAnsi" w:cstheme="minorHAnsi"/>
          <w:color w:val="auto"/>
          <w:sz w:val="22"/>
          <w:szCs w:val="22"/>
        </w:rPr>
      </w:pPr>
      <w:r>
        <w:rPr>
          <w:rFonts w:asciiTheme="minorHAnsi" w:hAnsiTheme="minorHAnsi" w:cstheme="minorHAnsi"/>
          <w:color w:val="auto"/>
          <w:sz w:val="22"/>
          <w:szCs w:val="22"/>
        </w:rPr>
        <w:t>This is a quality improvement project to implement and clinical assessment and communication tool.  As part of participation ARC staff will be provided with resident assessment and clinical communication skills training.   Alongside the clinical aspects of this feasibility study key members of ARC staff will lead out the local quality improvement processes increasing the quality improvement capability of the ARC team.</w:t>
      </w:r>
    </w:p>
    <w:p w14:paraId="0613E26E" w14:textId="77777777" w:rsidR="000B0CE4" w:rsidRDefault="000B0CE4" w:rsidP="009B5E78">
      <w:pPr>
        <w:spacing w:after="0"/>
      </w:pPr>
      <w:r>
        <w:t xml:space="preserve">Continuous Quality improvement </w:t>
      </w:r>
    </w:p>
    <w:p w14:paraId="43E25C52" w14:textId="34CAB866" w:rsidR="000B0CE4" w:rsidRPr="009B5E78" w:rsidRDefault="000B0CE4" w:rsidP="00FA2F9D">
      <w:pPr>
        <w:pStyle w:val="ListParagraph"/>
        <w:numPr>
          <w:ilvl w:val="0"/>
          <w:numId w:val="21"/>
        </w:numPr>
        <w:spacing w:after="0" w:line="240" w:lineRule="auto"/>
        <w:ind w:left="357" w:hanging="357"/>
      </w:pPr>
      <w:r>
        <w:t xml:space="preserve">This is key expectation of health providers and this feasibility study can contribute to ARC fulfilling its Health and Disability Sector Standards expectations.  As residents and </w:t>
      </w:r>
      <w:r w:rsidRPr="000F2FE8">
        <w:rPr>
          <w:rFonts w:cstheme="minorHAnsi"/>
        </w:rPr>
        <w:t>their wh</w:t>
      </w:r>
      <w:r w:rsidR="000F2FE8" w:rsidRPr="000F2FE8">
        <w:rPr>
          <w:rFonts w:cstheme="minorHAnsi"/>
        </w:rPr>
        <w:t>ā</w:t>
      </w:r>
      <w:r w:rsidRPr="000F2FE8">
        <w:rPr>
          <w:rFonts w:cstheme="minorHAnsi"/>
        </w:rPr>
        <w:t>nau</w:t>
      </w:r>
      <w:r>
        <w:t xml:space="preserve"> / families become aware of the project being seen to be focused on the clinical safety of their residents may have a positive impact on the reputation of the facility. </w:t>
      </w:r>
    </w:p>
    <w:p w14:paraId="5DFC7EC5" w14:textId="77777777" w:rsidR="000B0CE4" w:rsidRDefault="000B0CE4" w:rsidP="00063ED9">
      <w:pPr>
        <w:pStyle w:val="Heading2"/>
        <w:spacing w:before="120" w:line="240" w:lineRule="auto"/>
        <w:rPr>
          <w:rFonts w:asciiTheme="minorHAnsi" w:hAnsiTheme="minorHAnsi" w:cstheme="minorHAnsi"/>
          <w:color w:val="auto"/>
          <w:sz w:val="22"/>
          <w:szCs w:val="22"/>
        </w:rPr>
      </w:pPr>
      <w:r>
        <w:rPr>
          <w:rFonts w:asciiTheme="minorHAnsi" w:hAnsiTheme="minorHAnsi" w:cstheme="minorHAnsi"/>
          <w:color w:val="auto"/>
          <w:sz w:val="22"/>
          <w:szCs w:val="22"/>
        </w:rPr>
        <w:t>Potential for increased resident safety</w:t>
      </w:r>
    </w:p>
    <w:p w14:paraId="3A982242" w14:textId="77777777" w:rsidR="000B0CE4" w:rsidRDefault="000B0CE4" w:rsidP="00FA2F9D">
      <w:pPr>
        <w:pStyle w:val="ListParagraph"/>
        <w:numPr>
          <w:ilvl w:val="0"/>
          <w:numId w:val="21"/>
        </w:numPr>
        <w:spacing w:line="240" w:lineRule="auto"/>
        <w:ind w:left="357" w:hanging="357"/>
      </w:pPr>
      <w:r>
        <w:t xml:space="preserve">The DEWS is designed to support healthcare staff to recognise and respond (R&amp;R) to acute deterioration.  The hypothesis is that R&amp;R will occur in a more timely manner and that may prevent further deterioration of residents with reversible conditions or enable more time to accomplish peaceful anticipated dying.  Both scenarios would increase resident safety.  At worst the feasibility study will be non-inferior to current practice and will refocus staff on monitoring resident condition. </w:t>
      </w:r>
    </w:p>
    <w:p w14:paraId="79671DE2" w14:textId="77777777" w:rsidR="000B0CE4" w:rsidRDefault="000B0CE4" w:rsidP="00063ED9">
      <w:pPr>
        <w:spacing w:after="0"/>
      </w:pPr>
      <w:r>
        <w:t>Sector wider potential benefits</w:t>
      </w:r>
    </w:p>
    <w:p w14:paraId="03F25420" w14:textId="77777777" w:rsidR="000B0CE4" w:rsidRPr="009B5E78" w:rsidRDefault="000B0CE4" w:rsidP="00FA2F9D">
      <w:pPr>
        <w:pStyle w:val="ListParagraph"/>
        <w:numPr>
          <w:ilvl w:val="0"/>
          <w:numId w:val="21"/>
        </w:numPr>
        <w:spacing w:line="240" w:lineRule="auto"/>
        <w:ind w:left="357" w:hanging="357"/>
      </w:pPr>
      <w:r>
        <w:t xml:space="preserve">If the DEWS feasibility study evaluation demonstrates the effectiveness of the process.  The participating facilities will a) get to influence the tools and implementation processes so they best match ARC sector realities b) provide an evidence based evaluation of whether implementation of DEWS is warranted c) identify areas of further research that add value to the ARC sector </w:t>
      </w:r>
    </w:p>
    <w:p w14:paraId="02920E32" w14:textId="77777777" w:rsidR="000B0CE4" w:rsidRPr="00360C56" w:rsidRDefault="000B0CE4" w:rsidP="0071227F">
      <w:pPr>
        <w:pStyle w:val="Heading2"/>
        <w:spacing w:before="0" w:after="120" w:line="240" w:lineRule="auto"/>
        <w:rPr>
          <w:rFonts w:asciiTheme="minorHAnsi" w:hAnsiTheme="minorHAnsi" w:cstheme="minorHAnsi"/>
          <w:b/>
          <w:bCs w:val="0"/>
          <w:color w:val="auto"/>
          <w:sz w:val="22"/>
          <w:szCs w:val="22"/>
        </w:rPr>
      </w:pPr>
      <w:r w:rsidRPr="00360C56">
        <w:rPr>
          <w:rFonts w:asciiTheme="minorHAnsi" w:hAnsiTheme="minorHAnsi" w:cstheme="minorHAnsi"/>
          <w:b/>
          <w:bCs w:val="0"/>
          <w:color w:val="auto"/>
          <w:sz w:val="22"/>
          <w:szCs w:val="22"/>
        </w:rPr>
        <w:t>Risks</w:t>
      </w:r>
    </w:p>
    <w:p w14:paraId="38373AFA" w14:textId="77777777" w:rsidR="000B0CE4" w:rsidRPr="003F5ACF" w:rsidRDefault="000B0CE4" w:rsidP="003F5ACF">
      <w:pPr>
        <w:pStyle w:val="Heading2"/>
        <w:spacing w:before="0" w:after="120" w:line="240" w:lineRule="auto"/>
        <w:rPr>
          <w:color w:val="auto"/>
          <w:sz w:val="22"/>
          <w:szCs w:val="22"/>
        </w:rPr>
      </w:pPr>
      <w:r w:rsidRPr="003F5ACF">
        <w:rPr>
          <w:rFonts w:asciiTheme="minorHAnsi" w:hAnsiTheme="minorHAnsi" w:cstheme="minorHAnsi"/>
          <w:color w:val="auto"/>
          <w:sz w:val="22"/>
          <w:szCs w:val="22"/>
        </w:rPr>
        <w:t xml:space="preserve">This </w:t>
      </w:r>
      <w:r>
        <w:rPr>
          <w:rFonts w:asciiTheme="minorHAnsi" w:hAnsiTheme="minorHAnsi" w:cstheme="minorHAnsi"/>
          <w:color w:val="auto"/>
          <w:sz w:val="22"/>
          <w:szCs w:val="22"/>
        </w:rPr>
        <w:t>feasibility study</w:t>
      </w:r>
      <w:r w:rsidRPr="003F5ACF">
        <w:rPr>
          <w:rFonts w:asciiTheme="minorHAnsi" w:hAnsiTheme="minorHAnsi" w:cstheme="minorHAnsi"/>
          <w:color w:val="auto"/>
          <w:sz w:val="22"/>
          <w:szCs w:val="22"/>
        </w:rPr>
        <w:t xml:space="preserve"> focuses on healthcare staff.  </w:t>
      </w:r>
      <w:r>
        <w:rPr>
          <w:rFonts w:asciiTheme="minorHAnsi" w:hAnsiTheme="minorHAnsi" w:cstheme="minorHAnsi"/>
          <w:color w:val="auto"/>
          <w:sz w:val="22"/>
          <w:szCs w:val="22"/>
        </w:rPr>
        <w:t xml:space="preserve">It </w:t>
      </w:r>
      <w:r w:rsidRPr="003F5ACF">
        <w:rPr>
          <w:rFonts w:asciiTheme="minorHAnsi" w:hAnsiTheme="minorHAnsi" w:cstheme="minorHAnsi"/>
          <w:color w:val="auto"/>
          <w:sz w:val="22"/>
          <w:szCs w:val="22"/>
        </w:rPr>
        <w:t>test</w:t>
      </w:r>
      <w:r>
        <w:rPr>
          <w:rFonts w:asciiTheme="minorHAnsi" w:hAnsiTheme="minorHAnsi" w:cstheme="minorHAnsi"/>
          <w:color w:val="auto"/>
          <w:sz w:val="22"/>
          <w:szCs w:val="22"/>
        </w:rPr>
        <w:t>s</w:t>
      </w:r>
      <w:r w:rsidRPr="003F5ACF">
        <w:rPr>
          <w:rFonts w:asciiTheme="minorHAnsi" w:hAnsiTheme="minorHAnsi" w:cstheme="minorHAnsi"/>
          <w:color w:val="auto"/>
          <w:sz w:val="22"/>
          <w:szCs w:val="22"/>
        </w:rPr>
        <w:t xml:space="preserve"> a standardised system to support ARC healthcare staff to recognise and respond to the acute deterioration</w:t>
      </w:r>
      <w:r>
        <w:rPr>
          <w:rFonts w:asciiTheme="minorHAnsi" w:hAnsiTheme="minorHAnsi" w:cstheme="minorHAnsi"/>
          <w:color w:val="auto"/>
          <w:sz w:val="22"/>
          <w:szCs w:val="22"/>
        </w:rPr>
        <w:t>.</w:t>
      </w:r>
      <w:r w:rsidRPr="003F5ACF">
        <w:rPr>
          <w:rFonts w:asciiTheme="minorHAnsi" w:hAnsiTheme="minorHAnsi" w:cstheme="minorHAnsi"/>
          <w:color w:val="auto"/>
          <w:sz w:val="22"/>
          <w:szCs w:val="22"/>
        </w:rPr>
        <w:t xml:space="preserve">  Recognising and responding to acute deterioration is a core clinical practice expectation</w:t>
      </w:r>
      <w:r>
        <w:rPr>
          <w:rFonts w:asciiTheme="minorHAnsi" w:hAnsiTheme="minorHAnsi" w:cstheme="minorHAnsi"/>
          <w:color w:val="auto"/>
          <w:sz w:val="22"/>
          <w:szCs w:val="22"/>
        </w:rPr>
        <w:t xml:space="preserve"> that is unchanged by this project.</w:t>
      </w:r>
      <w:r w:rsidRPr="003F5ACF">
        <w:rPr>
          <w:rFonts w:asciiTheme="minorHAnsi" w:hAnsiTheme="minorHAnsi" w:cstheme="minorHAnsi"/>
          <w:color w:val="auto"/>
          <w:sz w:val="22"/>
          <w:szCs w:val="22"/>
        </w:rPr>
        <w:t xml:space="preserve">  The </w:t>
      </w:r>
      <w:r w:rsidRPr="003F5ACF">
        <w:rPr>
          <w:color w:val="auto"/>
          <w:sz w:val="22"/>
          <w:szCs w:val="22"/>
        </w:rPr>
        <w:t>DEWS tools do not replace clinical judgement, they supplement and support exiting clinical decision making and escalation pathways.  As is standard practice health professional</w:t>
      </w:r>
      <w:r>
        <w:rPr>
          <w:color w:val="auto"/>
          <w:sz w:val="22"/>
          <w:szCs w:val="22"/>
        </w:rPr>
        <w:t>s</w:t>
      </w:r>
      <w:r w:rsidRPr="003F5ACF">
        <w:rPr>
          <w:color w:val="auto"/>
          <w:sz w:val="22"/>
          <w:szCs w:val="22"/>
        </w:rPr>
        <w:t xml:space="preserve"> remain responsible for their clinical </w:t>
      </w:r>
      <w:r>
        <w:rPr>
          <w:color w:val="auto"/>
          <w:sz w:val="22"/>
          <w:szCs w:val="22"/>
        </w:rPr>
        <w:t xml:space="preserve">judgement and </w:t>
      </w:r>
      <w:r w:rsidRPr="003F5ACF">
        <w:rPr>
          <w:color w:val="auto"/>
          <w:sz w:val="22"/>
          <w:szCs w:val="22"/>
        </w:rPr>
        <w:t>practice.</w:t>
      </w:r>
    </w:p>
    <w:p w14:paraId="480B96A9" w14:textId="77777777" w:rsidR="000B0CE4" w:rsidRPr="00FA2F9D" w:rsidRDefault="000B0CE4" w:rsidP="008F7F64">
      <w:pPr>
        <w:spacing w:after="0"/>
        <w:rPr>
          <w:bCs/>
        </w:rPr>
      </w:pPr>
      <w:r w:rsidRPr="00FA2F9D">
        <w:rPr>
          <w:bCs/>
        </w:rPr>
        <w:t>DEWS tools</w:t>
      </w:r>
    </w:p>
    <w:p w14:paraId="7F9FBAE4" w14:textId="1A76DA1A" w:rsidR="000B0CE4" w:rsidRPr="00664FD6" w:rsidRDefault="000B0CE4" w:rsidP="000866C4">
      <w:pPr>
        <w:pStyle w:val="ListParagraph"/>
        <w:numPr>
          <w:ilvl w:val="0"/>
          <w:numId w:val="21"/>
        </w:numPr>
        <w:spacing w:after="0" w:line="240" w:lineRule="auto"/>
      </w:pPr>
      <w:r>
        <w:t>The DEWS tools are newly developed.  They are based on the best available evidence.  Tools with similar components (vitals sign tools and non-specific signs tools) have been test</w:t>
      </w:r>
      <w:r w:rsidR="00C653F8">
        <w:t>ed</w:t>
      </w:r>
      <w:r>
        <w:t xml:space="preserve"> in overseas ARC facilities and have been non-inferior.  It is possible that DEWS will over estimate acute deterioration and result in increased contact with the primary care provider (and potentially increased costs).  It is possible (but less likely) that DEWS will underestimate acute deterioration.  The DEWS does not replace clinical judgement education documentation </w:t>
      </w:r>
      <w:r w:rsidRPr="00946106">
        <w:rPr>
          <w:rFonts w:ascii="Arial" w:hAnsi="Arial" w:cs="Arial"/>
        </w:rPr>
        <w:t xml:space="preserve">will emphasise that </w:t>
      </w:r>
      <w:r>
        <w:rPr>
          <w:rFonts w:ascii="Arial" w:hAnsi="Arial" w:cs="Arial"/>
        </w:rPr>
        <w:t xml:space="preserve">healthcare stuff should </w:t>
      </w:r>
      <w:r w:rsidRPr="00946106">
        <w:rPr>
          <w:rFonts w:ascii="Arial" w:hAnsi="Arial" w:cs="Arial"/>
        </w:rPr>
        <w:t xml:space="preserve">escalate any resident </w:t>
      </w:r>
      <w:r>
        <w:rPr>
          <w:rFonts w:ascii="Arial" w:hAnsi="Arial" w:cs="Arial"/>
        </w:rPr>
        <w:t>situation causing them concern</w:t>
      </w:r>
    </w:p>
    <w:p w14:paraId="2DD1B371" w14:textId="77777777" w:rsidR="000B0CE4" w:rsidRDefault="000B0CE4" w:rsidP="008F7F64">
      <w:pPr>
        <w:spacing w:after="0" w:line="240" w:lineRule="auto"/>
        <w:rPr>
          <w:b/>
        </w:rPr>
      </w:pPr>
    </w:p>
    <w:p w14:paraId="60DDBE34" w14:textId="77777777" w:rsidR="000B0CE4" w:rsidRPr="00FA2F9D" w:rsidRDefault="000B0CE4" w:rsidP="008F7F64">
      <w:pPr>
        <w:spacing w:after="0" w:line="240" w:lineRule="auto"/>
        <w:rPr>
          <w:bCs/>
        </w:rPr>
      </w:pPr>
      <w:r w:rsidRPr="00FA2F9D">
        <w:rPr>
          <w:bCs/>
        </w:rPr>
        <w:t>Workforce</w:t>
      </w:r>
    </w:p>
    <w:p w14:paraId="35D6CE06" w14:textId="77777777" w:rsidR="000B0CE4" w:rsidRPr="00230377" w:rsidRDefault="000B0CE4" w:rsidP="000866C4">
      <w:pPr>
        <w:pStyle w:val="ListParagraph"/>
        <w:numPr>
          <w:ilvl w:val="0"/>
          <w:numId w:val="21"/>
        </w:numPr>
        <w:autoSpaceDE w:val="0"/>
        <w:autoSpaceDN w:val="0"/>
        <w:adjustRightInd w:val="0"/>
        <w:spacing w:after="0" w:line="240" w:lineRule="auto"/>
        <w:rPr>
          <w:rFonts w:ascii="Arial" w:hAnsi="Arial" w:cs="Arial"/>
        </w:rPr>
      </w:pPr>
      <w:r>
        <w:rPr>
          <w:rFonts w:ascii="Arial" w:hAnsi="Arial" w:cs="Arial"/>
        </w:rPr>
        <w:t>Feasibility study</w:t>
      </w:r>
      <w:r w:rsidRPr="00230377">
        <w:rPr>
          <w:rFonts w:ascii="Arial" w:hAnsi="Arial" w:cs="Arial"/>
        </w:rPr>
        <w:t xml:space="preserve"> testing the DEWS requires practice change and assimilation of new ways of working</w:t>
      </w:r>
      <w:r>
        <w:rPr>
          <w:rFonts w:ascii="Arial" w:hAnsi="Arial" w:cs="Arial"/>
        </w:rPr>
        <w:t xml:space="preserve">.  Change can be unsettling and may </w:t>
      </w:r>
      <w:r w:rsidRPr="00230377">
        <w:rPr>
          <w:rFonts w:ascii="Arial" w:hAnsi="Arial" w:cs="Arial"/>
        </w:rPr>
        <w:t xml:space="preserve">impacted </w:t>
      </w:r>
      <w:r>
        <w:rPr>
          <w:rFonts w:ascii="Arial" w:hAnsi="Arial" w:cs="Arial"/>
        </w:rPr>
        <w:t xml:space="preserve">on staff wellbeing.  </w:t>
      </w:r>
      <w:r w:rsidRPr="00230377">
        <w:rPr>
          <w:rFonts w:ascii="Arial" w:hAnsi="Arial" w:cs="Arial"/>
        </w:rPr>
        <w:t xml:space="preserve">Facilities will be asked to monitor the effects of change on the wellbeing of their staff.  </w:t>
      </w:r>
    </w:p>
    <w:p w14:paraId="0CAA7CB2" w14:textId="77777777" w:rsidR="000B0CE4" w:rsidRDefault="000B0CE4" w:rsidP="008F7F64">
      <w:pPr>
        <w:autoSpaceDE w:val="0"/>
        <w:autoSpaceDN w:val="0"/>
        <w:adjustRightInd w:val="0"/>
        <w:spacing w:after="0" w:line="240" w:lineRule="auto"/>
        <w:rPr>
          <w:rFonts w:ascii="Arial" w:hAnsi="Arial" w:cs="Arial"/>
        </w:rPr>
      </w:pPr>
    </w:p>
    <w:p w14:paraId="037E7B34" w14:textId="77777777" w:rsidR="000B0CE4" w:rsidRPr="00FA2F9D" w:rsidRDefault="000B0CE4" w:rsidP="008F7F64">
      <w:pPr>
        <w:autoSpaceDE w:val="0"/>
        <w:autoSpaceDN w:val="0"/>
        <w:adjustRightInd w:val="0"/>
        <w:spacing w:after="0" w:line="240" w:lineRule="auto"/>
        <w:rPr>
          <w:rFonts w:ascii="Arial" w:hAnsi="Arial" w:cs="Arial"/>
        </w:rPr>
      </w:pPr>
      <w:r w:rsidRPr="00FA2F9D">
        <w:rPr>
          <w:rFonts w:ascii="Arial" w:hAnsi="Arial" w:cs="Arial"/>
        </w:rPr>
        <w:t>COVID-19 Pandemic</w:t>
      </w:r>
    </w:p>
    <w:p w14:paraId="264938C2" w14:textId="77777777" w:rsidR="000B0CE4" w:rsidRPr="00230377" w:rsidRDefault="000B0CE4" w:rsidP="000866C4">
      <w:pPr>
        <w:pStyle w:val="ListParagraph"/>
        <w:numPr>
          <w:ilvl w:val="0"/>
          <w:numId w:val="21"/>
        </w:numPr>
        <w:autoSpaceDE w:val="0"/>
        <w:autoSpaceDN w:val="0"/>
        <w:adjustRightInd w:val="0"/>
        <w:spacing w:after="0" w:line="240" w:lineRule="auto"/>
        <w:rPr>
          <w:rFonts w:ascii="Arial" w:hAnsi="Arial" w:cs="Arial"/>
        </w:rPr>
      </w:pPr>
      <w:r w:rsidRPr="00230377">
        <w:rPr>
          <w:rFonts w:ascii="Arial" w:hAnsi="Arial" w:cs="Arial"/>
        </w:rPr>
        <w:t>The pandemic is ongoing and there this potential for staff sickness.  The project team will minimise risk to ARC facilities by complying with their infection control procedures during site visits.  Participants with symptoms of viral infections will be asked to stay away from in-person activities.   In the event of a lock down this project will move to a fully on-line process.</w:t>
      </w:r>
    </w:p>
    <w:p w14:paraId="62132D29" w14:textId="77777777" w:rsidR="000B0CE4" w:rsidRDefault="000B0CE4" w:rsidP="008F7F64">
      <w:pPr>
        <w:autoSpaceDE w:val="0"/>
        <w:autoSpaceDN w:val="0"/>
        <w:adjustRightInd w:val="0"/>
        <w:spacing w:after="0" w:line="240" w:lineRule="auto"/>
        <w:rPr>
          <w:rFonts w:ascii="Arial" w:hAnsi="Arial" w:cs="Arial"/>
        </w:rPr>
      </w:pPr>
    </w:p>
    <w:p w14:paraId="14B87110" w14:textId="77777777" w:rsidR="000B0CE4" w:rsidRPr="00FA2F9D" w:rsidRDefault="000B0CE4" w:rsidP="008F7F64">
      <w:pPr>
        <w:autoSpaceDE w:val="0"/>
        <w:autoSpaceDN w:val="0"/>
        <w:adjustRightInd w:val="0"/>
        <w:spacing w:after="0" w:line="240" w:lineRule="auto"/>
        <w:rPr>
          <w:rFonts w:ascii="Arial" w:hAnsi="Arial" w:cs="Arial"/>
        </w:rPr>
      </w:pPr>
      <w:r w:rsidRPr="00FA2F9D">
        <w:rPr>
          <w:rFonts w:ascii="Arial" w:hAnsi="Arial" w:cs="Arial"/>
        </w:rPr>
        <w:t>Potential consumer impact</w:t>
      </w:r>
    </w:p>
    <w:p w14:paraId="02D62D43" w14:textId="77777777" w:rsidR="000B0CE4" w:rsidRDefault="000B0CE4" w:rsidP="000866C4">
      <w:pPr>
        <w:pStyle w:val="paragraph"/>
        <w:numPr>
          <w:ilvl w:val="0"/>
          <w:numId w:val="21"/>
        </w:numPr>
        <w:spacing w:before="0" w:beforeAutospacing="0" w:after="0" w:afterAutospacing="0"/>
        <w:textAlignment w:val="baseline"/>
        <w:rPr>
          <w:rFonts w:asciiTheme="minorHAnsi" w:eastAsiaTheme="minorEastAsia" w:hAnsiTheme="minorHAnsi" w:cstheme="minorHAnsi"/>
          <w:sz w:val="22"/>
          <w:lang w:val="en-GB" w:eastAsia="en-US"/>
        </w:rPr>
      </w:pPr>
      <w:r w:rsidRPr="007C516C">
        <w:rPr>
          <w:rFonts w:asciiTheme="minorHAnsi" w:eastAsiaTheme="minorEastAsia" w:hAnsiTheme="minorHAnsi" w:cstheme="minorHAnsi"/>
          <w:sz w:val="22"/>
          <w:lang w:val="en-GB" w:eastAsia="en-US"/>
        </w:rPr>
        <w:t xml:space="preserve">Residents and  their whānau / families may be aware of staff using DEWS tools, this may raise questions, comments, concerns from consumers to ARC providers.  ARC providers will be encouraged to share openly that they are participating in the DEWS </w:t>
      </w:r>
      <w:r>
        <w:rPr>
          <w:rFonts w:asciiTheme="minorHAnsi" w:eastAsiaTheme="minorEastAsia" w:hAnsiTheme="minorHAnsi" w:cstheme="minorHAnsi"/>
          <w:sz w:val="22"/>
          <w:lang w:val="en-GB" w:eastAsia="en-US"/>
        </w:rPr>
        <w:t>feasibility study</w:t>
      </w:r>
      <w:r w:rsidRPr="007C516C">
        <w:rPr>
          <w:rFonts w:asciiTheme="minorHAnsi" w:eastAsiaTheme="minorEastAsia" w:hAnsiTheme="minorHAnsi" w:cstheme="minorHAnsi"/>
          <w:sz w:val="22"/>
          <w:lang w:val="en-GB" w:eastAsia="en-US"/>
        </w:rPr>
        <w:t xml:space="preserve">.  No increased exposure to clinical intervention is anticipated for the resident.  </w:t>
      </w:r>
    </w:p>
    <w:p w14:paraId="6D930A86" w14:textId="77777777" w:rsidR="000B0CE4" w:rsidRPr="007C516C" w:rsidRDefault="000B0CE4" w:rsidP="007C516C">
      <w:pPr>
        <w:pStyle w:val="paragraph"/>
        <w:spacing w:before="0" w:beforeAutospacing="0" w:after="0" w:afterAutospacing="0"/>
        <w:ind w:left="360"/>
        <w:textAlignment w:val="baseline"/>
        <w:rPr>
          <w:rFonts w:asciiTheme="minorHAnsi" w:eastAsiaTheme="minorEastAsia" w:hAnsiTheme="minorHAnsi" w:cstheme="minorHAnsi"/>
          <w:sz w:val="22"/>
          <w:lang w:val="en-GB" w:eastAsia="en-US"/>
        </w:rPr>
      </w:pPr>
    </w:p>
    <w:p w14:paraId="3D07B6CF" w14:textId="77777777" w:rsidR="000B0CE4" w:rsidRPr="00FA2F9D" w:rsidRDefault="000B0CE4" w:rsidP="008F7F64">
      <w:pPr>
        <w:autoSpaceDE w:val="0"/>
        <w:autoSpaceDN w:val="0"/>
        <w:adjustRightInd w:val="0"/>
        <w:spacing w:after="0" w:line="240" w:lineRule="auto"/>
        <w:rPr>
          <w:rFonts w:cstheme="minorHAnsi"/>
        </w:rPr>
      </w:pPr>
      <w:r w:rsidRPr="00FA2F9D">
        <w:rPr>
          <w:rFonts w:cstheme="minorHAnsi"/>
        </w:rPr>
        <w:t xml:space="preserve">Potential impact on relationship with other services </w:t>
      </w:r>
    </w:p>
    <w:p w14:paraId="6BFD04FA" w14:textId="77777777" w:rsidR="000B0CE4" w:rsidRDefault="000B0CE4" w:rsidP="00FA2F9D">
      <w:pPr>
        <w:pStyle w:val="paragraph"/>
        <w:numPr>
          <w:ilvl w:val="0"/>
          <w:numId w:val="21"/>
        </w:numPr>
        <w:spacing w:before="0" w:beforeAutospacing="0" w:after="0" w:afterAutospacing="0"/>
        <w:ind w:left="357" w:hanging="357"/>
        <w:textAlignment w:val="baseline"/>
        <w:rPr>
          <w:rFonts w:asciiTheme="minorHAnsi" w:eastAsiaTheme="minorEastAsia" w:hAnsiTheme="minorHAnsi" w:cstheme="minorHAnsi"/>
          <w:sz w:val="22"/>
          <w:lang w:val="en-GB" w:eastAsia="en-US"/>
        </w:rPr>
      </w:pPr>
      <w:r w:rsidRPr="007C516C">
        <w:rPr>
          <w:rFonts w:asciiTheme="minorHAnsi" w:eastAsiaTheme="minorEastAsia" w:hAnsiTheme="minorHAnsi" w:cstheme="minorHAnsi"/>
          <w:sz w:val="22"/>
          <w:lang w:val="en-GB" w:eastAsia="en-US"/>
        </w:rPr>
        <w:t xml:space="preserve">The DEWS </w:t>
      </w:r>
      <w:r>
        <w:rPr>
          <w:rFonts w:asciiTheme="minorHAnsi" w:eastAsiaTheme="minorEastAsia" w:hAnsiTheme="minorHAnsi" w:cstheme="minorHAnsi"/>
          <w:sz w:val="22"/>
          <w:lang w:val="en-GB" w:eastAsia="en-US"/>
        </w:rPr>
        <w:t>feasibility study</w:t>
      </w:r>
      <w:r w:rsidRPr="007C516C">
        <w:rPr>
          <w:rFonts w:asciiTheme="minorHAnsi" w:eastAsiaTheme="minorEastAsia" w:hAnsiTheme="minorHAnsi" w:cstheme="minorHAnsi"/>
          <w:sz w:val="22"/>
          <w:lang w:val="en-GB" w:eastAsia="en-US"/>
        </w:rPr>
        <w:t xml:space="preserve"> includes taking stock of currently escalation processes in the event of acute deterioration.  A change or formalisation of escalation processes </w:t>
      </w:r>
      <w:r>
        <w:rPr>
          <w:rFonts w:asciiTheme="minorHAnsi" w:eastAsiaTheme="minorEastAsia" w:hAnsiTheme="minorHAnsi" w:cstheme="minorHAnsi"/>
          <w:sz w:val="22"/>
          <w:lang w:val="en-GB" w:eastAsia="en-US"/>
        </w:rPr>
        <w:t xml:space="preserve">with primary care provider </w:t>
      </w:r>
      <w:r w:rsidRPr="007C516C">
        <w:rPr>
          <w:rFonts w:asciiTheme="minorHAnsi" w:eastAsiaTheme="minorEastAsia" w:hAnsiTheme="minorHAnsi" w:cstheme="minorHAnsi"/>
          <w:sz w:val="22"/>
          <w:lang w:val="en-GB" w:eastAsia="en-US"/>
        </w:rPr>
        <w:t xml:space="preserve">may be required / desired.  </w:t>
      </w:r>
    </w:p>
    <w:p w14:paraId="64B4EC98" w14:textId="77777777" w:rsidR="000B0CE4" w:rsidRDefault="000B0CE4" w:rsidP="000866C4">
      <w:pPr>
        <w:pStyle w:val="paragraph"/>
        <w:numPr>
          <w:ilvl w:val="0"/>
          <w:numId w:val="21"/>
        </w:numPr>
        <w:spacing w:before="0" w:beforeAutospacing="0" w:after="0" w:afterAutospacing="0"/>
        <w:ind w:left="357" w:hanging="357"/>
        <w:textAlignment w:val="baseline"/>
        <w:rPr>
          <w:rFonts w:asciiTheme="minorHAnsi" w:eastAsiaTheme="minorEastAsia" w:hAnsiTheme="minorHAnsi" w:cstheme="minorHAnsi"/>
          <w:sz w:val="22"/>
          <w:lang w:val="en-GB" w:eastAsia="en-US"/>
        </w:rPr>
      </w:pPr>
      <w:r w:rsidRPr="007F5A59">
        <w:rPr>
          <w:rFonts w:asciiTheme="minorHAnsi" w:eastAsiaTheme="minorEastAsia" w:hAnsiTheme="minorHAnsi" w:cstheme="minorHAnsi"/>
          <w:sz w:val="22"/>
          <w:lang w:val="en-GB" w:eastAsia="en-US"/>
        </w:rPr>
        <w:t xml:space="preserve">When talking to other (external providers) references to “DEWS” by ARC staff may cause confusion.  To help mitigate this the Expert Advisory Group will include representative for key stakeholder groups.  </w:t>
      </w:r>
    </w:p>
    <w:p w14:paraId="0BE57424" w14:textId="77777777" w:rsidR="000B0CE4" w:rsidRDefault="000B0CE4" w:rsidP="008F7F64">
      <w:pPr>
        <w:pStyle w:val="paragraph"/>
        <w:spacing w:before="0" w:beforeAutospacing="0" w:after="0" w:afterAutospacing="0"/>
        <w:textAlignment w:val="baseline"/>
        <w:rPr>
          <w:rFonts w:asciiTheme="minorHAnsi" w:eastAsiaTheme="minorEastAsia" w:hAnsiTheme="minorHAnsi" w:cstheme="minorHAnsi"/>
          <w:sz w:val="22"/>
          <w:lang w:val="en-GB" w:eastAsia="en-US"/>
        </w:rPr>
      </w:pPr>
    </w:p>
    <w:p w14:paraId="7CA53249" w14:textId="77777777" w:rsidR="000B0CE4" w:rsidRPr="00864F75" w:rsidRDefault="000B0CE4" w:rsidP="00864F75">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t xml:space="preserve">M. </w:t>
      </w:r>
      <w:r w:rsidRPr="003C12DB">
        <w:rPr>
          <w:rFonts w:asciiTheme="minorHAnsi" w:hAnsiTheme="minorHAnsi" w:cstheme="minorHAnsi"/>
          <w:color w:val="auto"/>
          <w:spacing w:val="-3"/>
          <w:szCs w:val="22"/>
        </w:rPr>
        <w:t xml:space="preserve">DISSEMINIATION </w:t>
      </w:r>
      <w:r>
        <w:rPr>
          <w:rFonts w:asciiTheme="minorHAnsi" w:hAnsiTheme="minorHAnsi" w:cstheme="minorHAnsi"/>
          <w:color w:val="auto"/>
          <w:spacing w:val="-3"/>
          <w:szCs w:val="22"/>
        </w:rPr>
        <w:t>AND INTELLECTURAL PROPERTY</w:t>
      </w:r>
    </w:p>
    <w:p w14:paraId="688716F9" w14:textId="77777777" w:rsidR="000B0CE4" w:rsidRDefault="000B0CE4" w:rsidP="00ED7198">
      <w:pPr>
        <w:pStyle w:val="EndnoteText"/>
        <w:tabs>
          <w:tab w:val="left" w:pos="817"/>
          <w:tab w:val="left" w:pos="9603"/>
        </w:tabs>
        <w:suppressAutoHyphens/>
        <w:spacing w:after="120"/>
        <w:rPr>
          <w:rFonts w:asciiTheme="minorHAnsi" w:hAnsiTheme="minorHAnsi" w:cstheme="minorHAnsi"/>
          <w:sz w:val="22"/>
          <w:szCs w:val="22"/>
        </w:rPr>
      </w:pPr>
      <w:r w:rsidRPr="009C1E33">
        <w:rPr>
          <w:rFonts w:asciiTheme="minorHAnsi" w:hAnsiTheme="minorHAnsi" w:cstheme="minorHAnsi"/>
          <w:sz w:val="22"/>
          <w:szCs w:val="22"/>
        </w:rPr>
        <w:t xml:space="preserve">The </w:t>
      </w:r>
      <w:r>
        <w:rPr>
          <w:rFonts w:asciiTheme="minorHAnsi" w:hAnsiTheme="minorHAnsi" w:cstheme="minorHAnsi"/>
          <w:sz w:val="22"/>
          <w:szCs w:val="22"/>
        </w:rPr>
        <w:t>Project Leadership Team will complete the evaluation report and any subsequent publications.  The intellectual property of this feasibility study is jointly held with the Project Leadership Team.  However the copyright and intellectual proper to of DEWS tools and supporting clinical documents (education &amp; guideline) belongs to Daltrey and Boyd and no changes, copying or dissemination of the DEWS is permitted without authorisation.</w:t>
      </w:r>
    </w:p>
    <w:p w14:paraId="2189436C" w14:textId="3FD18A35" w:rsidR="000B0CE4" w:rsidRPr="00C55AAF" w:rsidRDefault="000B0CE4" w:rsidP="00ED7198">
      <w:pPr>
        <w:pStyle w:val="EndnoteText"/>
        <w:tabs>
          <w:tab w:val="left" w:pos="817"/>
          <w:tab w:val="left" w:pos="9603"/>
        </w:tabs>
        <w:suppressAutoHyphens/>
        <w:spacing w:after="120"/>
        <w:rPr>
          <w:rFonts w:asciiTheme="minorHAnsi" w:hAnsiTheme="minorHAnsi" w:cstheme="minorHAnsi"/>
          <w:sz w:val="22"/>
          <w:szCs w:val="22"/>
        </w:rPr>
      </w:pPr>
      <w:r>
        <w:rPr>
          <w:rFonts w:asciiTheme="minorHAnsi" w:hAnsiTheme="minorHAnsi" w:cstheme="minorHAnsi"/>
          <w:sz w:val="22"/>
          <w:szCs w:val="22"/>
        </w:rPr>
        <w:t xml:space="preserve">The evaluation report will be disseminated through </w:t>
      </w:r>
      <w:r w:rsidRPr="000F2999">
        <w:rPr>
          <w:rStyle w:val="xnormaltextrun"/>
          <w:rFonts w:ascii="Arial" w:eastAsia="MS Gothic" w:hAnsi="Arial" w:cs="Arial"/>
          <w:sz w:val="22"/>
          <w:szCs w:val="22"/>
          <w:lang w:val="en-US"/>
        </w:rPr>
        <w:t>Te Tāhū Hauora</w:t>
      </w:r>
      <w:r>
        <w:rPr>
          <w:rStyle w:val="xnormaltextrun"/>
          <w:rFonts w:ascii="Arial" w:hAnsi="Arial" w:cs="Arial"/>
          <w:sz w:val="22"/>
          <w:szCs w:val="22"/>
          <w:lang w:val="en-US"/>
        </w:rPr>
        <w:t xml:space="preserve"> usual processes.  Academic publications (conference, journal, thesis) will lead by Daltrey and Boyd.  </w:t>
      </w:r>
      <w:r w:rsidRPr="000F2999">
        <w:rPr>
          <w:rStyle w:val="xnormaltextrun"/>
          <w:rFonts w:ascii="Arial" w:eastAsia="MS Gothic" w:hAnsi="Arial" w:cs="Arial"/>
          <w:sz w:val="22"/>
          <w:szCs w:val="22"/>
          <w:lang w:val="en-US"/>
        </w:rPr>
        <w:t>Te Tāhū Hauora</w:t>
      </w:r>
      <w:r>
        <w:rPr>
          <w:rStyle w:val="xnormaltextrun"/>
          <w:rFonts w:ascii="Arial" w:eastAsia="MS Gothic" w:hAnsi="Arial" w:cs="Arial"/>
          <w:sz w:val="22"/>
          <w:szCs w:val="22"/>
          <w:lang w:val="en-US"/>
        </w:rPr>
        <w:t xml:space="preserve"> will be acknowledged on all reports.  </w:t>
      </w:r>
    </w:p>
    <w:p w14:paraId="22F480A8" w14:textId="77777777" w:rsidR="007B6F9E" w:rsidRDefault="007B6F9E" w:rsidP="007B6F9E">
      <w:pPr>
        <w:autoSpaceDE w:val="0"/>
        <w:autoSpaceDN w:val="0"/>
        <w:adjustRightInd w:val="0"/>
        <w:spacing w:line="240" w:lineRule="auto"/>
        <w:rPr>
          <w:rFonts w:cstheme="minorHAnsi"/>
          <w:color w:val="0000FF"/>
          <w:szCs w:val="22"/>
          <w:lang w:eastAsia="en-GB"/>
        </w:rPr>
      </w:pPr>
    </w:p>
    <w:p w14:paraId="3C6C9A42" w14:textId="6A600F27" w:rsidR="00EB08C5" w:rsidRDefault="000B0CE4" w:rsidP="00EB08C5">
      <w:pPr>
        <w:pStyle w:val="Heading3"/>
        <w:tabs>
          <w:tab w:val="left" w:pos="720"/>
        </w:tabs>
        <w:spacing w:before="0" w:after="120" w:line="240" w:lineRule="auto"/>
        <w:rPr>
          <w:rFonts w:asciiTheme="minorHAnsi" w:hAnsiTheme="minorHAnsi" w:cstheme="minorHAnsi"/>
          <w:color w:val="auto"/>
          <w:spacing w:val="-3"/>
          <w:szCs w:val="22"/>
        </w:rPr>
      </w:pPr>
      <w:r w:rsidRPr="00E955A2">
        <w:rPr>
          <w:rFonts w:asciiTheme="minorHAnsi" w:hAnsiTheme="minorHAnsi" w:cstheme="minorHAnsi"/>
          <w:color w:val="auto"/>
          <w:spacing w:val="-3"/>
          <w:szCs w:val="22"/>
        </w:rPr>
        <w:t>N</w:t>
      </w:r>
      <w:r w:rsidRPr="00E955A2">
        <w:rPr>
          <w:rFonts w:asciiTheme="minorHAnsi" w:hAnsiTheme="minorHAnsi" w:cstheme="minorHAnsi"/>
          <w:color w:val="auto"/>
          <w:spacing w:val="-3"/>
          <w:szCs w:val="22"/>
        </w:rPr>
        <w:tab/>
      </w:r>
      <w:r w:rsidR="007B6F9E" w:rsidRPr="00E955A2">
        <w:rPr>
          <w:rFonts w:asciiTheme="minorHAnsi" w:hAnsiTheme="minorHAnsi" w:cstheme="minorHAnsi"/>
          <w:color w:val="auto"/>
          <w:spacing w:val="-3"/>
          <w:szCs w:val="22"/>
        </w:rPr>
        <w:t>LIST OF SUPPORTING DOCUMENTS</w:t>
      </w:r>
    </w:p>
    <w:p w14:paraId="47A9A6BD" w14:textId="0CAE8492" w:rsidR="00B214F6" w:rsidRPr="00B214F6" w:rsidRDefault="00B214F6" w:rsidP="00B214F6">
      <w:pPr>
        <w:spacing w:after="0"/>
        <w:rPr>
          <w:b/>
          <w:bCs/>
        </w:rPr>
      </w:pPr>
      <w:r w:rsidRPr="00B214F6">
        <w:rPr>
          <w:b/>
          <w:bCs/>
        </w:rPr>
        <w:t>Project enrolment</w:t>
      </w:r>
    </w:p>
    <w:p w14:paraId="67FEA97D" w14:textId="57E11F2C" w:rsidR="00E450C5" w:rsidRDefault="00E450C5" w:rsidP="00B214F6">
      <w:pPr>
        <w:pStyle w:val="ListParagraph"/>
        <w:numPr>
          <w:ilvl w:val="0"/>
          <w:numId w:val="44"/>
        </w:numPr>
        <w:spacing w:after="0"/>
        <w:ind w:left="709" w:hanging="283"/>
      </w:pPr>
      <w:r>
        <w:t>Recruitment advertising</w:t>
      </w:r>
    </w:p>
    <w:p w14:paraId="5A7D3B7B" w14:textId="56C1E86E" w:rsidR="00EB08C5" w:rsidRDefault="00EB08C5" w:rsidP="00B214F6">
      <w:pPr>
        <w:pStyle w:val="ListParagraph"/>
        <w:numPr>
          <w:ilvl w:val="0"/>
          <w:numId w:val="44"/>
        </w:numPr>
        <w:spacing w:after="0"/>
        <w:ind w:left="709" w:hanging="283"/>
      </w:pPr>
      <w:r>
        <w:t>Participant information sheets (ARC executive leadership)</w:t>
      </w:r>
    </w:p>
    <w:p w14:paraId="10FEC51D" w14:textId="6E6E629C" w:rsidR="00EB08C5" w:rsidRDefault="00EB08C5" w:rsidP="00B214F6">
      <w:pPr>
        <w:pStyle w:val="ListParagraph"/>
        <w:numPr>
          <w:ilvl w:val="0"/>
          <w:numId w:val="44"/>
        </w:numPr>
        <w:spacing w:after="0"/>
        <w:ind w:left="709" w:hanging="283"/>
      </w:pPr>
      <w:r>
        <w:t>Participant information sheets (evaluation interviews)</w:t>
      </w:r>
    </w:p>
    <w:p w14:paraId="522732C2" w14:textId="58CFF45A" w:rsidR="00EB08C5" w:rsidRDefault="00EB08C5" w:rsidP="00B214F6">
      <w:pPr>
        <w:pStyle w:val="ListParagraph"/>
        <w:numPr>
          <w:ilvl w:val="0"/>
          <w:numId w:val="44"/>
        </w:numPr>
        <w:spacing w:after="0"/>
        <w:ind w:left="709" w:hanging="283"/>
      </w:pPr>
      <w:r>
        <w:t>Consent form, authority to access ARC (ARC executive leadership)</w:t>
      </w:r>
    </w:p>
    <w:p w14:paraId="2F56581A" w14:textId="0EDE1EEE" w:rsidR="00EB08C5" w:rsidRDefault="00EB08C5" w:rsidP="00B214F6">
      <w:pPr>
        <w:pStyle w:val="ListParagraph"/>
        <w:numPr>
          <w:ilvl w:val="0"/>
          <w:numId w:val="44"/>
        </w:numPr>
        <w:spacing w:after="0"/>
        <w:ind w:left="709" w:hanging="283"/>
      </w:pPr>
      <w:r>
        <w:t>Consent form evaluation interviews</w:t>
      </w:r>
    </w:p>
    <w:p w14:paraId="0236F702" w14:textId="41D6B316" w:rsidR="00B214F6" w:rsidRPr="00B214F6" w:rsidRDefault="00B214F6" w:rsidP="00B214F6">
      <w:pPr>
        <w:spacing w:before="120" w:after="0"/>
        <w:rPr>
          <w:b/>
          <w:bCs/>
        </w:rPr>
      </w:pPr>
      <w:r w:rsidRPr="00B214F6">
        <w:rPr>
          <w:b/>
          <w:bCs/>
        </w:rPr>
        <w:t xml:space="preserve">Project </w:t>
      </w:r>
      <w:r>
        <w:rPr>
          <w:b/>
          <w:bCs/>
        </w:rPr>
        <w:t>progress</w:t>
      </w:r>
    </w:p>
    <w:p w14:paraId="4F4724F3" w14:textId="77777777" w:rsidR="00B214F6" w:rsidRPr="00EB08C5" w:rsidRDefault="00B214F6" w:rsidP="00B214F6">
      <w:pPr>
        <w:pStyle w:val="ListParagraph"/>
        <w:numPr>
          <w:ilvl w:val="0"/>
          <w:numId w:val="44"/>
        </w:numPr>
        <w:spacing w:after="0"/>
        <w:ind w:left="709" w:hanging="283"/>
      </w:pPr>
      <w:r>
        <w:t xml:space="preserve">Letter of support </w:t>
      </w:r>
      <w:r w:rsidRPr="00B214F6">
        <w:t xml:space="preserve">Ahuahu </w:t>
      </w:r>
      <w:proofErr w:type="spellStart"/>
      <w:r w:rsidRPr="00B214F6">
        <w:t>Kaunuku</w:t>
      </w:r>
      <w:proofErr w:type="spellEnd"/>
    </w:p>
    <w:p w14:paraId="77614E5F" w14:textId="77777777" w:rsidR="00B214F6" w:rsidRDefault="00B214F6" w:rsidP="00B214F6">
      <w:pPr>
        <w:pStyle w:val="ListParagraph"/>
        <w:numPr>
          <w:ilvl w:val="0"/>
          <w:numId w:val="44"/>
        </w:numPr>
        <w:spacing w:after="0"/>
        <w:ind w:left="709" w:hanging="283"/>
      </w:pPr>
      <w:r>
        <w:t>Terms of reference Executive Advisory Group</w:t>
      </w:r>
    </w:p>
    <w:p w14:paraId="683163C1" w14:textId="77777777" w:rsidR="00B214F6" w:rsidRDefault="00B214F6" w:rsidP="00B214F6">
      <w:pPr>
        <w:pStyle w:val="ListParagraph"/>
        <w:numPr>
          <w:ilvl w:val="0"/>
          <w:numId w:val="44"/>
        </w:numPr>
        <w:spacing w:after="0"/>
        <w:ind w:left="709" w:hanging="283"/>
      </w:pPr>
      <w:r w:rsidRPr="00B214F6">
        <w:t xml:space="preserve">A guide to preparing and implementing the Deterioration Early Warning System | He </w:t>
      </w:r>
      <w:proofErr w:type="spellStart"/>
      <w:r w:rsidRPr="00B214F6">
        <w:t>aratohu</w:t>
      </w:r>
      <w:proofErr w:type="spellEnd"/>
      <w:r w:rsidRPr="00B214F6">
        <w:t xml:space="preserve"> </w:t>
      </w:r>
      <w:proofErr w:type="spellStart"/>
      <w:r w:rsidRPr="00B214F6">
        <w:t>hei</w:t>
      </w:r>
      <w:proofErr w:type="spellEnd"/>
      <w:r w:rsidRPr="00B214F6">
        <w:t xml:space="preserve"> </w:t>
      </w:r>
      <w:proofErr w:type="spellStart"/>
      <w:r w:rsidRPr="00B214F6">
        <w:t>whakarite</w:t>
      </w:r>
      <w:proofErr w:type="spellEnd"/>
      <w:r w:rsidRPr="00B214F6">
        <w:t xml:space="preserve"> </w:t>
      </w:r>
      <w:proofErr w:type="spellStart"/>
      <w:r w:rsidRPr="00B214F6">
        <w:t>pūnaha</w:t>
      </w:r>
      <w:proofErr w:type="spellEnd"/>
      <w:r w:rsidRPr="00B214F6">
        <w:t xml:space="preserve"> </w:t>
      </w:r>
      <w:proofErr w:type="spellStart"/>
      <w:r w:rsidRPr="00B214F6">
        <w:t>kitenga</w:t>
      </w:r>
      <w:proofErr w:type="spellEnd"/>
      <w:r w:rsidRPr="00B214F6">
        <w:t xml:space="preserve"> </w:t>
      </w:r>
      <w:proofErr w:type="spellStart"/>
      <w:r w:rsidRPr="00B214F6">
        <w:t>wawe</w:t>
      </w:r>
      <w:proofErr w:type="spellEnd"/>
      <w:r w:rsidRPr="00B214F6">
        <w:t xml:space="preserve"> </w:t>
      </w:r>
      <w:proofErr w:type="spellStart"/>
      <w:r w:rsidRPr="00B214F6">
        <w:t>i</w:t>
      </w:r>
      <w:proofErr w:type="spellEnd"/>
      <w:r w:rsidRPr="00B214F6">
        <w:t xml:space="preserve"> te </w:t>
      </w:r>
      <w:proofErr w:type="spellStart"/>
      <w:r w:rsidRPr="00B214F6">
        <w:t>āhua</w:t>
      </w:r>
      <w:proofErr w:type="spellEnd"/>
      <w:r w:rsidRPr="00B214F6">
        <w:t xml:space="preserve"> </w:t>
      </w:r>
      <w:proofErr w:type="spellStart"/>
      <w:r w:rsidRPr="00B214F6">
        <w:t>tauheke</w:t>
      </w:r>
      <w:proofErr w:type="spellEnd"/>
      <w:r w:rsidRPr="00B214F6">
        <w:t>”</w:t>
      </w:r>
    </w:p>
    <w:p w14:paraId="6866AEE6" w14:textId="37595BCC" w:rsidR="003A7099" w:rsidRDefault="003A7099" w:rsidP="003A7099">
      <w:pPr>
        <w:pStyle w:val="ListParagraph"/>
        <w:numPr>
          <w:ilvl w:val="1"/>
          <w:numId w:val="44"/>
        </w:numPr>
        <w:spacing w:after="0"/>
        <w:ind w:left="993" w:hanging="284"/>
      </w:pPr>
      <w:r>
        <w:t>Escalation mapping tool</w:t>
      </w:r>
    </w:p>
    <w:p w14:paraId="3C12CC64" w14:textId="7398E249" w:rsidR="003A7099" w:rsidRDefault="003A7099" w:rsidP="003A7099">
      <w:pPr>
        <w:pStyle w:val="ListParagraph"/>
        <w:numPr>
          <w:ilvl w:val="1"/>
          <w:numId w:val="44"/>
        </w:numPr>
        <w:spacing w:after="0"/>
        <w:ind w:left="993" w:hanging="284"/>
      </w:pPr>
      <w:r>
        <w:t>Project charter template</w:t>
      </w:r>
    </w:p>
    <w:p w14:paraId="3D75B65B" w14:textId="0845432C" w:rsidR="003A7099" w:rsidRDefault="003A7099" w:rsidP="003A7099">
      <w:pPr>
        <w:pStyle w:val="ListParagraph"/>
        <w:numPr>
          <w:ilvl w:val="1"/>
          <w:numId w:val="44"/>
        </w:numPr>
        <w:spacing w:after="0"/>
        <w:ind w:left="993" w:hanging="284"/>
      </w:pPr>
      <w:r>
        <w:t>Current status assessment tool</w:t>
      </w:r>
    </w:p>
    <w:p w14:paraId="7C9B89CB" w14:textId="208BC925" w:rsidR="00B214F6" w:rsidRDefault="00B214F6" w:rsidP="000A6B5E">
      <w:pPr>
        <w:pStyle w:val="ListParagraph"/>
        <w:numPr>
          <w:ilvl w:val="0"/>
          <w:numId w:val="44"/>
        </w:numPr>
        <w:spacing w:after="0"/>
        <w:ind w:left="709" w:hanging="283"/>
      </w:pPr>
      <w:r>
        <w:lastRenderedPageBreak/>
        <w:t>DEWS Tools (Quick DEWS, DEWS – RN Assessment, SBARR-DEWS communication tool)</w:t>
      </w:r>
    </w:p>
    <w:p w14:paraId="1FF30001" w14:textId="4E97AEB9" w:rsidR="00B214F6" w:rsidRPr="00B214F6" w:rsidRDefault="00B214F6" w:rsidP="00B214F6">
      <w:pPr>
        <w:spacing w:before="120" w:after="0"/>
        <w:rPr>
          <w:b/>
          <w:bCs/>
        </w:rPr>
      </w:pPr>
      <w:r w:rsidRPr="00B214F6">
        <w:rPr>
          <w:b/>
          <w:bCs/>
        </w:rPr>
        <w:t>Project e</w:t>
      </w:r>
      <w:r>
        <w:rPr>
          <w:b/>
          <w:bCs/>
        </w:rPr>
        <w:t>valuation</w:t>
      </w:r>
    </w:p>
    <w:p w14:paraId="6265231C" w14:textId="20DBF81E" w:rsidR="00B214F6" w:rsidRDefault="00B214F6" w:rsidP="003F3DAD">
      <w:pPr>
        <w:pStyle w:val="ListParagraph"/>
        <w:numPr>
          <w:ilvl w:val="0"/>
          <w:numId w:val="44"/>
        </w:numPr>
        <w:spacing w:after="0"/>
        <w:ind w:left="709" w:hanging="283"/>
      </w:pPr>
      <w:r>
        <w:t>S</w:t>
      </w:r>
      <w:r w:rsidR="00E450C5">
        <w:t>emi-structured interviews</w:t>
      </w:r>
      <w:r>
        <w:t xml:space="preserve"> schedule (ARC quality leads &amp; ARC user group)</w:t>
      </w:r>
    </w:p>
    <w:p w14:paraId="403D25A2" w14:textId="3CF6287C" w:rsidR="00B214F6" w:rsidRPr="00D33316" w:rsidRDefault="00B214F6" w:rsidP="003F3DAD">
      <w:pPr>
        <w:pStyle w:val="ListParagraph"/>
        <w:numPr>
          <w:ilvl w:val="0"/>
          <w:numId w:val="44"/>
        </w:numPr>
        <w:spacing w:after="0"/>
        <w:ind w:left="709" w:hanging="283"/>
        <w:rPr>
          <w:color w:val="FF0000"/>
        </w:rPr>
      </w:pPr>
      <w:r w:rsidRPr="00D33316">
        <w:t>S</w:t>
      </w:r>
      <w:r w:rsidR="00CD03A4" w:rsidRPr="00D33316">
        <w:t>urvey</w:t>
      </w:r>
      <w:r w:rsidRPr="00D33316">
        <w:t xml:space="preserve"> (HCA &amp; RN</w:t>
      </w:r>
      <w:r w:rsidR="00D33316">
        <w:t xml:space="preserve"> &amp; primary care)</w:t>
      </w:r>
    </w:p>
    <w:p w14:paraId="50D23BD7" w14:textId="28D6876D" w:rsidR="00E450C5" w:rsidRDefault="00E450C5" w:rsidP="00505EB6">
      <w:pPr>
        <w:pStyle w:val="ListParagraph"/>
        <w:numPr>
          <w:ilvl w:val="0"/>
          <w:numId w:val="44"/>
        </w:numPr>
        <w:spacing w:after="0"/>
        <w:ind w:left="709" w:hanging="283"/>
      </w:pPr>
      <w:r>
        <w:t>Project costs template</w:t>
      </w:r>
    </w:p>
    <w:p w14:paraId="297B8AC1" w14:textId="77700FC0" w:rsidR="00E450C5" w:rsidRPr="00E955A2" w:rsidRDefault="00E450C5" w:rsidP="00B214F6">
      <w:pPr>
        <w:pStyle w:val="ListParagraph"/>
        <w:numPr>
          <w:ilvl w:val="0"/>
          <w:numId w:val="44"/>
        </w:numPr>
        <w:spacing w:after="0"/>
        <w:ind w:left="709" w:hanging="283"/>
      </w:pPr>
      <w:r w:rsidRPr="00E955A2">
        <w:t>Quality improvement knowledge evaluation</w:t>
      </w:r>
    </w:p>
    <w:p w14:paraId="418AFD25" w14:textId="017511BB" w:rsidR="00E450C5" w:rsidRDefault="00E450C5" w:rsidP="00B214F6">
      <w:pPr>
        <w:pStyle w:val="ListParagraph"/>
        <w:numPr>
          <w:ilvl w:val="0"/>
          <w:numId w:val="44"/>
        </w:numPr>
        <w:spacing w:after="0"/>
        <w:ind w:left="709" w:hanging="283"/>
      </w:pPr>
      <w:r w:rsidRPr="00B214F6">
        <w:t xml:space="preserve">Audit </w:t>
      </w:r>
      <w:r w:rsidR="00B214F6">
        <w:t>information</w:t>
      </w:r>
    </w:p>
    <w:p w14:paraId="43F11CA4" w14:textId="77777777" w:rsidR="00B214F6" w:rsidRPr="00B214F6" w:rsidRDefault="00B214F6" w:rsidP="00D77633">
      <w:pPr>
        <w:pStyle w:val="ListParagraph"/>
        <w:spacing w:after="0"/>
        <w:ind w:left="709"/>
      </w:pPr>
    </w:p>
    <w:p w14:paraId="2A4A5999" w14:textId="77777777" w:rsidR="00E450C5" w:rsidRDefault="00E450C5" w:rsidP="00D77633">
      <w:pPr>
        <w:pStyle w:val="ListParagraph"/>
        <w:spacing w:after="0"/>
        <w:ind w:left="709"/>
      </w:pPr>
    </w:p>
    <w:p w14:paraId="1F3D0E7B" w14:textId="372D4D56" w:rsidR="003A7099" w:rsidRDefault="003A7099">
      <w:pPr>
        <w:spacing w:after="0" w:line="240" w:lineRule="auto"/>
      </w:pPr>
      <w:r>
        <w:br w:type="page"/>
      </w:r>
    </w:p>
    <w:p w14:paraId="017B4B27" w14:textId="46DF11B1" w:rsidR="007B6F9E" w:rsidRPr="007B6F9E" w:rsidRDefault="007B6F9E" w:rsidP="003802A1">
      <w:pPr>
        <w:spacing w:line="240" w:lineRule="auto"/>
        <w:rPr>
          <w:rFonts w:cstheme="minorHAnsi"/>
          <w:b/>
          <w:bCs/>
          <w:szCs w:val="22"/>
          <w:lang w:eastAsia="en-GB"/>
        </w:rPr>
      </w:pPr>
      <w:r w:rsidRPr="007B6F9E">
        <w:rPr>
          <w:rFonts w:cstheme="minorHAnsi"/>
          <w:b/>
          <w:bCs/>
          <w:szCs w:val="22"/>
          <w:lang w:eastAsia="en-GB"/>
        </w:rPr>
        <w:lastRenderedPageBreak/>
        <w:t>O: REFERENCES</w:t>
      </w:r>
    </w:p>
    <w:p w14:paraId="7901E79A" w14:textId="77777777" w:rsidR="000B0CE4" w:rsidRPr="000B0CE4" w:rsidRDefault="000B0CE4">
      <w:pPr>
        <w:divId w:val="1359158235"/>
        <w:rPr>
          <w:rFonts w:ascii="Arial" w:eastAsia="Times New Roman" w:hAnsi="Arial" w:cs="Arial"/>
          <w:color w:val="000000"/>
        </w:rPr>
      </w:pPr>
    </w:p>
    <w:p w14:paraId="591EF242" w14:textId="77777777" w:rsidR="000B0CE4" w:rsidRPr="000B0CE4" w:rsidRDefault="00E955A2" w:rsidP="007B6F9E">
      <w:pPr>
        <w:pStyle w:val="NormalWeb"/>
        <w:spacing w:before="120"/>
        <w:ind w:left="221" w:hanging="221"/>
        <w:divId w:val="1359158235"/>
        <w:rPr>
          <w:rFonts w:ascii="Arial" w:eastAsiaTheme="minorEastAsia" w:hAnsi="Arial" w:cs="Arial"/>
          <w:color w:val="000000"/>
          <w:sz w:val="22"/>
        </w:rPr>
      </w:pPr>
      <w:hyperlink r:id="rId30" w:history="1">
        <w:r w:rsidR="000B0CE4" w:rsidRPr="000B0CE4">
          <w:rPr>
            <w:rStyle w:val="csl-entry"/>
            <w:rFonts w:ascii="Arial" w:hAnsi="Arial" w:cs="Arial"/>
            <w:color w:val="000000"/>
            <w:sz w:val="22"/>
          </w:rPr>
          <w:t xml:space="preserve">Andersson, Å., Frank, C., Willman, A. M., Sandman, P.-O., &amp; Hansebo, G. (2018). Factors contributing to serious adverse events in nursing homes. </w:t>
        </w:r>
        <w:r w:rsidR="000B0CE4" w:rsidRPr="000B0CE4">
          <w:rPr>
            <w:rStyle w:val="csl-entry"/>
            <w:rFonts w:ascii="Arial" w:hAnsi="Arial" w:cs="Arial"/>
            <w:i/>
            <w:iCs/>
            <w:color w:val="000000"/>
            <w:sz w:val="22"/>
          </w:rPr>
          <w:t>Journal of Clinical Nursing</w:t>
        </w:r>
        <w:r w:rsidR="000B0CE4" w:rsidRPr="000B0CE4">
          <w:rPr>
            <w:rStyle w:val="csl-entry"/>
            <w:rFonts w:ascii="Arial" w:hAnsi="Arial" w:cs="Arial"/>
            <w:color w:val="000000"/>
            <w:sz w:val="22"/>
          </w:rPr>
          <w:t xml:space="preserve">, </w:t>
        </w:r>
        <w:r w:rsidR="000B0CE4" w:rsidRPr="000B0CE4">
          <w:rPr>
            <w:rStyle w:val="csl-entry"/>
            <w:rFonts w:ascii="Arial" w:hAnsi="Arial" w:cs="Arial"/>
            <w:i/>
            <w:iCs/>
            <w:color w:val="000000"/>
            <w:sz w:val="22"/>
          </w:rPr>
          <w:t>27</w:t>
        </w:r>
        <w:r w:rsidR="000B0CE4" w:rsidRPr="000B0CE4">
          <w:rPr>
            <w:rStyle w:val="csl-entry"/>
            <w:rFonts w:ascii="Arial" w:hAnsi="Arial" w:cs="Arial"/>
            <w:color w:val="000000"/>
            <w:sz w:val="22"/>
          </w:rPr>
          <w:t>(1–2), e354–e362. https://doi.org/10.1111/jocn.13914</w:t>
        </w:r>
      </w:hyperlink>
    </w:p>
    <w:p w14:paraId="1340BCCC" w14:textId="77777777" w:rsidR="000B0CE4" w:rsidRPr="000B0CE4" w:rsidRDefault="00E955A2" w:rsidP="007B6F9E">
      <w:pPr>
        <w:pStyle w:val="NormalWeb"/>
        <w:spacing w:before="120"/>
        <w:ind w:left="221" w:hanging="221"/>
        <w:divId w:val="1359158235"/>
        <w:rPr>
          <w:rFonts w:ascii="Arial" w:hAnsi="Arial" w:cs="Arial"/>
          <w:color w:val="000000"/>
          <w:sz w:val="22"/>
        </w:rPr>
      </w:pPr>
      <w:hyperlink r:id="rId31" w:history="1">
        <w:r w:rsidR="000B0CE4" w:rsidRPr="000B0CE4">
          <w:rPr>
            <w:rStyle w:val="csl-entry"/>
            <w:rFonts w:ascii="Arial" w:hAnsi="Arial" w:cs="Arial"/>
            <w:color w:val="000000"/>
            <w:sz w:val="22"/>
          </w:rPr>
          <w:t xml:space="preserve">Bingisser, R., &amp; Nickel, C. H. (2019). The last decade of symptom-oriented research in emergency medicine: triage, work-up, and disposition. </w:t>
        </w:r>
        <w:r w:rsidR="000B0CE4" w:rsidRPr="000B0CE4">
          <w:rPr>
            <w:rStyle w:val="csl-entry"/>
            <w:rFonts w:ascii="Arial" w:hAnsi="Arial" w:cs="Arial"/>
            <w:i/>
            <w:iCs/>
            <w:color w:val="000000"/>
            <w:sz w:val="22"/>
          </w:rPr>
          <w:t>Swiss Medical Weekly</w:t>
        </w:r>
        <w:r w:rsidR="000B0CE4" w:rsidRPr="000B0CE4">
          <w:rPr>
            <w:rStyle w:val="csl-entry"/>
            <w:rFonts w:ascii="Arial" w:hAnsi="Arial" w:cs="Arial"/>
            <w:color w:val="000000"/>
            <w:sz w:val="22"/>
          </w:rPr>
          <w:t xml:space="preserve">, </w:t>
        </w:r>
        <w:r w:rsidR="000B0CE4" w:rsidRPr="000B0CE4">
          <w:rPr>
            <w:rStyle w:val="csl-entry"/>
            <w:rFonts w:ascii="Arial" w:hAnsi="Arial" w:cs="Arial"/>
            <w:i/>
            <w:iCs/>
            <w:color w:val="000000"/>
            <w:sz w:val="22"/>
          </w:rPr>
          <w:t>149</w:t>
        </w:r>
        <w:r w:rsidR="000B0CE4" w:rsidRPr="000B0CE4">
          <w:rPr>
            <w:rStyle w:val="csl-entry"/>
            <w:rFonts w:ascii="Arial" w:hAnsi="Arial" w:cs="Arial"/>
            <w:color w:val="000000"/>
            <w:sz w:val="22"/>
          </w:rPr>
          <w:t>, w20141. https://doi.org/10.4414/smw.2019.20141</w:t>
        </w:r>
      </w:hyperlink>
    </w:p>
    <w:p w14:paraId="3597AA63" w14:textId="77777777" w:rsidR="000B0CE4" w:rsidRPr="000B0CE4" w:rsidRDefault="00E955A2" w:rsidP="007B6F9E">
      <w:pPr>
        <w:pStyle w:val="NormalWeb"/>
        <w:spacing w:before="120"/>
        <w:ind w:left="221" w:hanging="221"/>
        <w:divId w:val="1359158235"/>
        <w:rPr>
          <w:rFonts w:ascii="Arial" w:hAnsi="Arial" w:cs="Arial"/>
          <w:color w:val="000000"/>
          <w:sz w:val="22"/>
        </w:rPr>
      </w:pPr>
      <w:hyperlink r:id="rId32" w:history="1">
        <w:r w:rsidR="000B0CE4" w:rsidRPr="000B0CE4">
          <w:rPr>
            <w:rStyle w:val="csl-entry"/>
            <w:rFonts w:ascii="Arial" w:hAnsi="Arial" w:cs="Arial"/>
            <w:color w:val="000000"/>
            <w:sz w:val="22"/>
          </w:rPr>
          <w:t xml:space="preserve">Chambers, S., Spooner, A., Parker, C., Jack, L., Schnitker, L., Beattie, E., Yates, P., &amp; MacAndrew, M. (2022). Clinical indicators of acute deterioration in persons who reside in residential aged care facilities: A rapid review. </w:t>
        </w:r>
        <w:r w:rsidR="000B0CE4" w:rsidRPr="000B0CE4">
          <w:rPr>
            <w:rStyle w:val="csl-entry"/>
            <w:rFonts w:ascii="Arial" w:hAnsi="Arial" w:cs="Arial"/>
            <w:i/>
            <w:iCs/>
            <w:color w:val="000000"/>
            <w:sz w:val="22"/>
          </w:rPr>
          <w:t>Journal of Nursing Scholarship</w:t>
        </w:r>
        <w:r w:rsidR="000B0CE4" w:rsidRPr="000B0CE4">
          <w:rPr>
            <w:rStyle w:val="csl-entry"/>
            <w:rFonts w:ascii="Arial" w:hAnsi="Arial" w:cs="Arial"/>
            <w:color w:val="000000"/>
            <w:sz w:val="22"/>
          </w:rPr>
          <w:t>. https://doi.org/10.1111/jnu.12819</w:t>
        </w:r>
      </w:hyperlink>
    </w:p>
    <w:p w14:paraId="16706E5C" w14:textId="77777777" w:rsidR="000B0CE4" w:rsidRPr="000B0CE4" w:rsidRDefault="00E955A2" w:rsidP="007B6F9E">
      <w:pPr>
        <w:pStyle w:val="NormalWeb"/>
        <w:spacing w:before="120"/>
        <w:ind w:left="221" w:hanging="221"/>
        <w:divId w:val="1359158235"/>
        <w:rPr>
          <w:rFonts w:ascii="Arial" w:hAnsi="Arial" w:cs="Arial"/>
          <w:color w:val="000000"/>
          <w:sz w:val="22"/>
        </w:rPr>
      </w:pPr>
      <w:hyperlink r:id="rId33" w:history="1">
        <w:r w:rsidR="000B0CE4" w:rsidRPr="000B0CE4">
          <w:rPr>
            <w:rStyle w:val="csl-entry"/>
            <w:rFonts w:ascii="Arial" w:hAnsi="Arial" w:cs="Arial"/>
            <w:color w:val="000000"/>
            <w:sz w:val="22"/>
          </w:rPr>
          <w:t xml:space="preserve">Daltrey, J. F., Boyd, M. L., Burholt, V., &amp; Robinson, J. A. (2022). Detecting acute deterioration in older adults living in residential aged care: A scoping review. </w:t>
        </w:r>
        <w:r w:rsidR="000B0CE4" w:rsidRPr="000B0CE4">
          <w:rPr>
            <w:rStyle w:val="csl-entry"/>
            <w:rFonts w:ascii="Arial" w:hAnsi="Arial" w:cs="Arial"/>
            <w:i/>
            <w:iCs/>
            <w:color w:val="000000"/>
            <w:sz w:val="22"/>
          </w:rPr>
          <w:t>Journal of the American Medical Directors Association</w:t>
        </w:r>
        <w:r w:rsidR="000B0CE4" w:rsidRPr="000B0CE4">
          <w:rPr>
            <w:rStyle w:val="csl-entry"/>
            <w:rFonts w:ascii="Arial" w:hAnsi="Arial" w:cs="Arial"/>
            <w:color w:val="000000"/>
            <w:sz w:val="22"/>
          </w:rPr>
          <w:t>. https://doi.org/10.1016/j.jamda.2022.05.018</w:t>
        </w:r>
      </w:hyperlink>
    </w:p>
    <w:p w14:paraId="72468374" w14:textId="77777777" w:rsidR="000B0CE4" w:rsidRPr="000B0CE4" w:rsidRDefault="00E955A2" w:rsidP="007B6F9E">
      <w:pPr>
        <w:pStyle w:val="NormalWeb"/>
        <w:spacing w:before="120"/>
        <w:ind w:left="221" w:hanging="221"/>
        <w:divId w:val="1359158235"/>
        <w:rPr>
          <w:rFonts w:ascii="Arial" w:hAnsi="Arial" w:cs="Arial"/>
          <w:color w:val="000000"/>
          <w:sz w:val="22"/>
        </w:rPr>
      </w:pPr>
      <w:hyperlink r:id="rId34" w:history="1">
        <w:r w:rsidR="000B0CE4" w:rsidRPr="000B0CE4">
          <w:rPr>
            <w:rStyle w:val="csl-entry"/>
            <w:rFonts w:ascii="Arial" w:hAnsi="Arial" w:cs="Arial"/>
            <w:color w:val="000000"/>
            <w:sz w:val="22"/>
          </w:rPr>
          <w:t xml:space="preserve">Glasgow, R. E., Harden, S. M., Gaglio, B., Rabin, B., Smith, M. L., Porter, G. C., Ory, M. G., &amp; Estabrooks, P. A. (2019). RE-AIM Planning and evaluation framework: Adapting to new science and practice with a 20-year review. </w:t>
        </w:r>
        <w:r w:rsidR="000B0CE4" w:rsidRPr="000B0CE4">
          <w:rPr>
            <w:rStyle w:val="csl-entry"/>
            <w:rFonts w:ascii="Arial" w:hAnsi="Arial" w:cs="Arial"/>
            <w:i/>
            <w:iCs/>
            <w:color w:val="000000"/>
            <w:sz w:val="22"/>
          </w:rPr>
          <w:t>Frontiers in Public Health</w:t>
        </w:r>
        <w:r w:rsidR="000B0CE4" w:rsidRPr="000B0CE4">
          <w:rPr>
            <w:rStyle w:val="csl-entry"/>
            <w:rFonts w:ascii="Arial" w:hAnsi="Arial" w:cs="Arial"/>
            <w:color w:val="000000"/>
            <w:sz w:val="22"/>
          </w:rPr>
          <w:t xml:space="preserve">, </w:t>
        </w:r>
        <w:r w:rsidR="000B0CE4" w:rsidRPr="000B0CE4">
          <w:rPr>
            <w:rStyle w:val="csl-entry"/>
            <w:rFonts w:ascii="Arial" w:hAnsi="Arial" w:cs="Arial"/>
            <w:i/>
            <w:iCs/>
            <w:color w:val="000000"/>
            <w:sz w:val="22"/>
          </w:rPr>
          <w:t>7</w:t>
        </w:r>
        <w:r w:rsidR="000B0CE4" w:rsidRPr="000B0CE4">
          <w:rPr>
            <w:rStyle w:val="csl-entry"/>
            <w:rFonts w:ascii="Arial" w:hAnsi="Arial" w:cs="Arial"/>
            <w:color w:val="000000"/>
            <w:sz w:val="22"/>
          </w:rPr>
          <w:t>, 64. https://doi.org/10.3389/fpubh.2019.00064</w:t>
        </w:r>
      </w:hyperlink>
    </w:p>
    <w:p w14:paraId="162DF6A6" w14:textId="77777777" w:rsidR="000B0CE4" w:rsidRPr="000B0CE4" w:rsidRDefault="00E955A2" w:rsidP="007B6F9E">
      <w:pPr>
        <w:pStyle w:val="NormalWeb"/>
        <w:spacing w:before="120"/>
        <w:ind w:left="221" w:hanging="221"/>
        <w:divId w:val="1359158235"/>
        <w:rPr>
          <w:rFonts w:ascii="Arial" w:hAnsi="Arial" w:cs="Arial"/>
          <w:color w:val="000000"/>
          <w:sz w:val="22"/>
        </w:rPr>
      </w:pPr>
      <w:hyperlink r:id="rId35" w:history="1">
        <w:r w:rsidR="000B0CE4" w:rsidRPr="000B0CE4">
          <w:rPr>
            <w:rStyle w:val="csl-entry"/>
            <w:rFonts w:ascii="Arial" w:hAnsi="Arial" w:cs="Arial"/>
            <w:color w:val="000000"/>
            <w:sz w:val="22"/>
          </w:rPr>
          <w:t xml:space="preserve">Hodge, S. Y., Ali, M. R., &amp; Gordon, A. L. (2021). Recognizing and responding to deterioration in care homes: a scoping review protocol. </w:t>
        </w:r>
        <w:r w:rsidR="000B0CE4" w:rsidRPr="000B0CE4">
          <w:rPr>
            <w:rStyle w:val="csl-entry"/>
            <w:rFonts w:ascii="Arial" w:hAnsi="Arial" w:cs="Arial"/>
            <w:i/>
            <w:iCs/>
            <w:color w:val="000000"/>
            <w:sz w:val="22"/>
          </w:rPr>
          <w:t>JBI Evidence Synthesis</w:t>
        </w:r>
        <w:r w:rsidR="000B0CE4" w:rsidRPr="000B0CE4">
          <w:rPr>
            <w:rStyle w:val="csl-entry"/>
            <w:rFonts w:ascii="Arial" w:hAnsi="Arial" w:cs="Arial"/>
            <w:color w:val="000000"/>
            <w:sz w:val="22"/>
          </w:rPr>
          <w:t xml:space="preserve">, </w:t>
        </w:r>
        <w:r w:rsidR="000B0CE4" w:rsidRPr="000B0CE4">
          <w:rPr>
            <w:rStyle w:val="csl-entry"/>
            <w:rFonts w:ascii="Arial" w:hAnsi="Arial" w:cs="Arial"/>
            <w:i/>
            <w:iCs/>
            <w:color w:val="000000"/>
            <w:sz w:val="22"/>
          </w:rPr>
          <w:t>19</w:t>
        </w:r>
        <w:r w:rsidR="000B0CE4" w:rsidRPr="000B0CE4">
          <w:rPr>
            <w:rStyle w:val="csl-entry"/>
            <w:rFonts w:ascii="Arial" w:hAnsi="Arial" w:cs="Arial"/>
            <w:color w:val="000000"/>
            <w:sz w:val="22"/>
          </w:rPr>
          <w:t>(2), 447–453. https://doi.org/10.11124/JBISRIR-D-19-00413</w:t>
        </w:r>
      </w:hyperlink>
    </w:p>
    <w:p w14:paraId="7C5BFB5E" w14:textId="77777777" w:rsidR="000B0CE4" w:rsidRPr="000B0CE4" w:rsidRDefault="00E955A2" w:rsidP="007B6F9E">
      <w:pPr>
        <w:pStyle w:val="NormalWeb"/>
        <w:spacing w:before="120"/>
        <w:ind w:left="221" w:hanging="221"/>
        <w:divId w:val="1359158235"/>
        <w:rPr>
          <w:rFonts w:ascii="Arial" w:hAnsi="Arial" w:cs="Arial"/>
          <w:color w:val="000000"/>
          <w:sz w:val="22"/>
        </w:rPr>
      </w:pPr>
      <w:hyperlink r:id="rId36" w:history="1">
        <w:r w:rsidR="000B0CE4" w:rsidRPr="000B0CE4">
          <w:rPr>
            <w:rStyle w:val="csl-entry"/>
            <w:rFonts w:ascii="Arial" w:hAnsi="Arial" w:cs="Arial"/>
            <w:color w:val="000000"/>
            <w:sz w:val="22"/>
          </w:rPr>
          <w:t xml:space="preserve">Hodge, S. Y., Ali, M. R., Hui, A., Logan, P., &amp; Gordon, A. L. (2023). Recognising and responding to acute deterioration in care home residents: a scoping review. </w:t>
        </w:r>
        <w:r w:rsidR="000B0CE4" w:rsidRPr="000B0CE4">
          <w:rPr>
            <w:rStyle w:val="csl-entry"/>
            <w:rFonts w:ascii="Arial" w:hAnsi="Arial" w:cs="Arial"/>
            <w:i/>
            <w:iCs/>
            <w:color w:val="000000"/>
            <w:sz w:val="22"/>
          </w:rPr>
          <w:t>BMC Geriatrics</w:t>
        </w:r>
        <w:r w:rsidR="000B0CE4" w:rsidRPr="000B0CE4">
          <w:rPr>
            <w:rStyle w:val="csl-entry"/>
            <w:rFonts w:ascii="Arial" w:hAnsi="Arial" w:cs="Arial"/>
            <w:color w:val="000000"/>
            <w:sz w:val="22"/>
          </w:rPr>
          <w:t xml:space="preserve">, </w:t>
        </w:r>
        <w:r w:rsidR="000B0CE4" w:rsidRPr="000B0CE4">
          <w:rPr>
            <w:rStyle w:val="csl-entry"/>
            <w:rFonts w:ascii="Arial" w:hAnsi="Arial" w:cs="Arial"/>
            <w:i/>
            <w:iCs/>
            <w:color w:val="000000"/>
            <w:sz w:val="22"/>
          </w:rPr>
          <w:t>23</w:t>
        </w:r>
        <w:r w:rsidR="000B0CE4" w:rsidRPr="000B0CE4">
          <w:rPr>
            <w:rStyle w:val="csl-entry"/>
            <w:rFonts w:ascii="Arial" w:hAnsi="Arial" w:cs="Arial"/>
            <w:color w:val="000000"/>
            <w:sz w:val="22"/>
          </w:rPr>
          <w:t>(1), 399. https://doi.org/10.1186/s12877-023-04082-y</w:t>
        </w:r>
      </w:hyperlink>
    </w:p>
    <w:p w14:paraId="6FC746C6" w14:textId="77777777" w:rsidR="000B0CE4" w:rsidRPr="000B0CE4" w:rsidRDefault="00E955A2" w:rsidP="007B6F9E">
      <w:pPr>
        <w:pStyle w:val="NormalWeb"/>
        <w:spacing w:before="120"/>
        <w:ind w:left="221" w:hanging="221"/>
        <w:divId w:val="1359158235"/>
        <w:rPr>
          <w:rFonts w:ascii="Arial" w:hAnsi="Arial" w:cs="Arial"/>
          <w:color w:val="000000"/>
          <w:sz w:val="22"/>
        </w:rPr>
      </w:pPr>
      <w:hyperlink r:id="rId37" w:history="1">
        <w:r w:rsidR="000B0CE4" w:rsidRPr="000B0CE4">
          <w:rPr>
            <w:rStyle w:val="csl-entry"/>
            <w:rFonts w:ascii="Arial" w:hAnsi="Arial" w:cs="Arial"/>
            <w:color w:val="000000"/>
            <w:sz w:val="22"/>
          </w:rPr>
          <w:t xml:space="preserve">Jones Rhodes, W. C., Ritzwoller, D. P., &amp; Glasgow, R. E. (2018). Stakeholder perspectives on costs and resource expenditures: tools for addressing economic issues most relevant to patients, providers, and clinics. </w:t>
        </w:r>
        <w:r w:rsidR="000B0CE4" w:rsidRPr="000B0CE4">
          <w:rPr>
            <w:rStyle w:val="csl-entry"/>
            <w:rFonts w:ascii="Arial" w:hAnsi="Arial" w:cs="Arial"/>
            <w:i/>
            <w:iCs/>
            <w:color w:val="000000"/>
            <w:sz w:val="22"/>
          </w:rPr>
          <w:t>Translational Behavioral Medicine</w:t>
        </w:r>
        <w:r w:rsidR="000B0CE4" w:rsidRPr="000B0CE4">
          <w:rPr>
            <w:rStyle w:val="csl-entry"/>
            <w:rFonts w:ascii="Arial" w:hAnsi="Arial" w:cs="Arial"/>
            <w:color w:val="000000"/>
            <w:sz w:val="22"/>
          </w:rPr>
          <w:t xml:space="preserve">, </w:t>
        </w:r>
        <w:r w:rsidR="000B0CE4" w:rsidRPr="000B0CE4">
          <w:rPr>
            <w:rStyle w:val="csl-entry"/>
            <w:rFonts w:ascii="Arial" w:hAnsi="Arial" w:cs="Arial"/>
            <w:i/>
            <w:iCs/>
            <w:color w:val="000000"/>
            <w:sz w:val="22"/>
          </w:rPr>
          <w:t>8</w:t>
        </w:r>
        <w:r w:rsidR="000B0CE4" w:rsidRPr="000B0CE4">
          <w:rPr>
            <w:rStyle w:val="csl-entry"/>
            <w:rFonts w:ascii="Arial" w:hAnsi="Arial" w:cs="Arial"/>
            <w:color w:val="000000"/>
            <w:sz w:val="22"/>
          </w:rPr>
          <w:t>(5), 675–682. https://doi.org/10.1093/tbm/ibx003</w:t>
        </w:r>
      </w:hyperlink>
    </w:p>
    <w:p w14:paraId="4AF2FD0F" w14:textId="77777777" w:rsidR="000B0CE4" w:rsidRPr="000B0CE4" w:rsidRDefault="00E955A2" w:rsidP="007B6F9E">
      <w:pPr>
        <w:pStyle w:val="NormalWeb"/>
        <w:spacing w:before="120"/>
        <w:ind w:left="221" w:hanging="221"/>
        <w:divId w:val="1359158235"/>
        <w:rPr>
          <w:rFonts w:ascii="Arial" w:hAnsi="Arial" w:cs="Arial"/>
          <w:color w:val="000000"/>
          <w:sz w:val="22"/>
        </w:rPr>
      </w:pPr>
      <w:hyperlink r:id="rId38" w:history="1">
        <w:r w:rsidR="000B0CE4" w:rsidRPr="000B0CE4">
          <w:rPr>
            <w:rStyle w:val="csl-entry"/>
            <w:rFonts w:ascii="Arial" w:hAnsi="Arial" w:cs="Arial"/>
            <w:color w:val="000000"/>
            <w:sz w:val="22"/>
          </w:rPr>
          <w:t xml:space="preserve">Karakoumis, J., Nickel, C. H., Kirsch, M., Rohacek, M., Geigy, N., Müller, B., Ackermann, S., &amp; Bingisser, R. (2015). Emergency Presentations With Nonspecific Complaints-the Burden of Morbidity and the Spectrum of Underlying Disease: Nonspecific Complaints and Underlying Disease. </w:t>
        </w:r>
        <w:r w:rsidR="000B0CE4" w:rsidRPr="000B0CE4">
          <w:rPr>
            <w:rStyle w:val="csl-entry"/>
            <w:rFonts w:ascii="Arial" w:hAnsi="Arial" w:cs="Arial"/>
            <w:i/>
            <w:iCs/>
            <w:color w:val="000000"/>
            <w:sz w:val="22"/>
          </w:rPr>
          <w:t>Medicine</w:t>
        </w:r>
        <w:r w:rsidR="000B0CE4" w:rsidRPr="000B0CE4">
          <w:rPr>
            <w:rStyle w:val="csl-entry"/>
            <w:rFonts w:ascii="Arial" w:hAnsi="Arial" w:cs="Arial"/>
            <w:color w:val="000000"/>
            <w:sz w:val="22"/>
          </w:rPr>
          <w:t xml:space="preserve">, </w:t>
        </w:r>
        <w:r w:rsidR="000B0CE4" w:rsidRPr="000B0CE4">
          <w:rPr>
            <w:rStyle w:val="csl-entry"/>
            <w:rFonts w:ascii="Arial" w:hAnsi="Arial" w:cs="Arial"/>
            <w:i/>
            <w:iCs/>
            <w:color w:val="000000"/>
            <w:sz w:val="22"/>
          </w:rPr>
          <w:t>94</w:t>
        </w:r>
        <w:r w:rsidR="000B0CE4" w:rsidRPr="000B0CE4">
          <w:rPr>
            <w:rStyle w:val="csl-entry"/>
            <w:rFonts w:ascii="Arial" w:hAnsi="Arial" w:cs="Arial"/>
            <w:color w:val="000000"/>
            <w:sz w:val="22"/>
          </w:rPr>
          <w:t>(26), e840. https://doi.org/10.1097/MD.0000000000000840</w:t>
        </w:r>
      </w:hyperlink>
    </w:p>
    <w:p w14:paraId="66E30E46" w14:textId="77777777" w:rsidR="000B0CE4" w:rsidRPr="000B0CE4" w:rsidRDefault="00E955A2" w:rsidP="007B6F9E">
      <w:pPr>
        <w:pStyle w:val="NormalWeb"/>
        <w:spacing w:before="120"/>
        <w:ind w:left="221" w:hanging="221"/>
        <w:divId w:val="1359158235"/>
        <w:rPr>
          <w:rFonts w:ascii="Arial" w:hAnsi="Arial" w:cs="Arial"/>
          <w:color w:val="000000"/>
          <w:sz w:val="22"/>
        </w:rPr>
      </w:pPr>
      <w:hyperlink r:id="rId39" w:history="1">
        <w:r w:rsidR="000B0CE4" w:rsidRPr="000B0CE4">
          <w:rPr>
            <w:rStyle w:val="csl-entry"/>
            <w:rFonts w:ascii="Arial" w:hAnsi="Arial" w:cs="Arial"/>
            <w:color w:val="000000"/>
            <w:sz w:val="22"/>
          </w:rPr>
          <w:t xml:space="preserve">Kojima, G. (2015). Prevalence of Frailty in Nursing Homes: A Systematic Review and Meta-Analysis. </w:t>
        </w:r>
        <w:r w:rsidR="000B0CE4" w:rsidRPr="000B0CE4">
          <w:rPr>
            <w:rStyle w:val="csl-entry"/>
            <w:rFonts w:ascii="Arial" w:hAnsi="Arial" w:cs="Arial"/>
            <w:i/>
            <w:iCs/>
            <w:color w:val="000000"/>
            <w:sz w:val="22"/>
          </w:rPr>
          <w:t>Journal of the American Medical Directors Association</w:t>
        </w:r>
        <w:r w:rsidR="000B0CE4" w:rsidRPr="000B0CE4">
          <w:rPr>
            <w:rStyle w:val="csl-entry"/>
            <w:rFonts w:ascii="Arial" w:hAnsi="Arial" w:cs="Arial"/>
            <w:color w:val="000000"/>
            <w:sz w:val="22"/>
          </w:rPr>
          <w:t xml:space="preserve">, </w:t>
        </w:r>
        <w:r w:rsidR="000B0CE4" w:rsidRPr="000B0CE4">
          <w:rPr>
            <w:rStyle w:val="csl-entry"/>
            <w:rFonts w:ascii="Arial" w:hAnsi="Arial" w:cs="Arial"/>
            <w:i/>
            <w:iCs/>
            <w:color w:val="000000"/>
            <w:sz w:val="22"/>
          </w:rPr>
          <w:t>16</w:t>
        </w:r>
        <w:r w:rsidR="000B0CE4" w:rsidRPr="000B0CE4">
          <w:rPr>
            <w:rStyle w:val="csl-entry"/>
            <w:rFonts w:ascii="Arial" w:hAnsi="Arial" w:cs="Arial"/>
            <w:color w:val="000000"/>
            <w:sz w:val="22"/>
          </w:rPr>
          <w:t>(11), 940–945. https://doi.org/10.1016/j.jamda.2015.06.025</w:t>
        </w:r>
      </w:hyperlink>
    </w:p>
    <w:p w14:paraId="2FA78DDD" w14:textId="77777777" w:rsidR="000B0CE4" w:rsidRPr="000B0CE4" w:rsidRDefault="00E955A2" w:rsidP="007B6F9E">
      <w:pPr>
        <w:pStyle w:val="NormalWeb"/>
        <w:spacing w:before="120"/>
        <w:ind w:left="221" w:hanging="221"/>
        <w:divId w:val="1359158235"/>
        <w:rPr>
          <w:rFonts w:ascii="Arial" w:hAnsi="Arial" w:cs="Arial"/>
          <w:color w:val="000000"/>
          <w:sz w:val="22"/>
        </w:rPr>
      </w:pPr>
      <w:hyperlink r:id="rId40" w:history="1">
        <w:r w:rsidR="000B0CE4" w:rsidRPr="000B0CE4">
          <w:rPr>
            <w:rStyle w:val="csl-entry"/>
            <w:rFonts w:ascii="Arial" w:hAnsi="Arial" w:cs="Arial"/>
            <w:color w:val="000000"/>
            <w:sz w:val="22"/>
          </w:rPr>
          <w:t xml:space="preserve">Liau, S. J., Lalic, S., Visvanathan, R., Dowd, L. A., &amp; Bell, J. S. (2021). The FRAIL-NH Scale: Systematic Review of the Use, Validity and Adaptations for Frailty Screening in Nursing Homes. </w:t>
        </w:r>
        <w:r w:rsidR="000B0CE4" w:rsidRPr="000B0CE4">
          <w:rPr>
            <w:rStyle w:val="csl-entry"/>
            <w:rFonts w:ascii="Arial" w:hAnsi="Arial" w:cs="Arial"/>
            <w:i/>
            <w:iCs/>
            <w:color w:val="000000"/>
            <w:sz w:val="22"/>
          </w:rPr>
          <w:t>The Journal of Nutrition, Health &amp; Aging</w:t>
        </w:r>
        <w:r w:rsidR="000B0CE4" w:rsidRPr="000B0CE4">
          <w:rPr>
            <w:rStyle w:val="csl-entry"/>
            <w:rFonts w:ascii="Arial" w:hAnsi="Arial" w:cs="Arial"/>
            <w:color w:val="000000"/>
            <w:sz w:val="22"/>
          </w:rPr>
          <w:t xml:space="preserve">, </w:t>
        </w:r>
        <w:r w:rsidR="000B0CE4" w:rsidRPr="000B0CE4">
          <w:rPr>
            <w:rStyle w:val="csl-entry"/>
            <w:rFonts w:ascii="Arial" w:hAnsi="Arial" w:cs="Arial"/>
            <w:i/>
            <w:iCs/>
            <w:color w:val="000000"/>
            <w:sz w:val="22"/>
          </w:rPr>
          <w:t>25</w:t>
        </w:r>
        <w:r w:rsidR="000B0CE4" w:rsidRPr="000B0CE4">
          <w:rPr>
            <w:rStyle w:val="csl-entry"/>
            <w:rFonts w:ascii="Arial" w:hAnsi="Arial" w:cs="Arial"/>
            <w:color w:val="000000"/>
            <w:sz w:val="22"/>
          </w:rPr>
          <w:t>(10), 1205–1216. https://doi.org/10.1007/s12603-021-1694-3</w:t>
        </w:r>
      </w:hyperlink>
    </w:p>
    <w:p w14:paraId="49FA297B" w14:textId="77777777" w:rsidR="000B0CE4" w:rsidRPr="000B0CE4" w:rsidRDefault="00E955A2" w:rsidP="007B6F9E">
      <w:pPr>
        <w:pStyle w:val="NormalWeb"/>
        <w:spacing w:before="120"/>
        <w:ind w:left="221" w:hanging="221"/>
        <w:divId w:val="1359158235"/>
        <w:rPr>
          <w:rFonts w:ascii="Arial" w:hAnsi="Arial" w:cs="Arial"/>
          <w:color w:val="000000"/>
          <w:sz w:val="22"/>
        </w:rPr>
      </w:pPr>
      <w:hyperlink r:id="rId41" w:history="1">
        <w:r w:rsidR="000B0CE4" w:rsidRPr="000B0CE4">
          <w:rPr>
            <w:rStyle w:val="csl-entry"/>
            <w:rFonts w:ascii="Arial" w:hAnsi="Arial" w:cs="Arial"/>
            <w:color w:val="000000"/>
            <w:sz w:val="22"/>
          </w:rPr>
          <w:t xml:space="preserve">Limpawattana, P., Phungoen, P., Mitsungnern, T., Laosuangkoon, W., &amp; Tansangworn, N. (2016). Atypical presentations of older adults at the emergency department and associated factors. </w:t>
        </w:r>
        <w:r w:rsidR="000B0CE4" w:rsidRPr="000B0CE4">
          <w:rPr>
            <w:rStyle w:val="csl-entry"/>
            <w:rFonts w:ascii="Arial" w:hAnsi="Arial" w:cs="Arial"/>
            <w:i/>
            <w:iCs/>
            <w:color w:val="000000"/>
            <w:sz w:val="22"/>
          </w:rPr>
          <w:t>Archives of Gerontology and Geriatrics</w:t>
        </w:r>
        <w:r w:rsidR="000B0CE4" w:rsidRPr="000B0CE4">
          <w:rPr>
            <w:rStyle w:val="csl-entry"/>
            <w:rFonts w:ascii="Arial" w:hAnsi="Arial" w:cs="Arial"/>
            <w:color w:val="000000"/>
            <w:sz w:val="22"/>
          </w:rPr>
          <w:t xml:space="preserve">, </w:t>
        </w:r>
        <w:r w:rsidR="000B0CE4" w:rsidRPr="000B0CE4">
          <w:rPr>
            <w:rStyle w:val="csl-entry"/>
            <w:rFonts w:ascii="Arial" w:hAnsi="Arial" w:cs="Arial"/>
            <w:i/>
            <w:iCs/>
            <w:color w:val="000000"/>
            <w:sz w:val="22"/>
          </w:rPr>
          <w:t>62</w:t>
        </w:r>
        <w:r w:rsidR="000B0CE4" w:rsidRPr="000B0CE4">
          <w:rPr>
            <w:rStyle w:val="csl-entry"/>
            <w:rFonts w:ascii="Arial" w:hAnsi="Arial" w:cs="Arial"/>
            <w:color w:val="000000"/>
            <w:sz w:val="22"/>
          </w:rPr>
          <w:t>, 97–102. https://doi.org/10.1016/j.archger.2015.08.016</w:t>
        </w:r>
      </w:hyperlink>
    </w:p>
    <w:p w14:paraId="1D16377E" w14:textId="77777777" w:rsidR="000B0CE4" w:rsidRPr="000B0CE4" w:rsidRDefault="00E955A2" w:rsidP="007B6F9E">
      <w:pPr>
        <w:pStyle w:val="NormalWeb"/>
        <w:spacing w:before="120"/>
        <w:ind w:left="221" w:hanging="221"/>
        <w:divId w:val="1359158235"/>
        <w:rPr>
          <w:rFonts w:ascii="Arial" w:hAnsi="Arial" w:cs="Arial"/>
          <w:color w:val="000000"/>
          <w:sz w:val="22"/>
        </w:rPr>
      </w:pPr>
      <w:hyperlink r:id="rId42" w:history="1">
        <w:r w:rsidR="000B0CE4" w:rsidRPr="000B0CE4">
          <w:rPr>
            <w:rStyle w:val="csl-entry"/>
            <w:rFonts w:ascii="Arial" w:hAnsi="Arial" w:cs="Arial"/>
            <w:color w:val="000000"/>
            <w:sz w:val="22"/>
          </w:rPr>
          <w:t xml:space="preserve">Morley, J. E., Vellas, B., van Kan, G. A., Anker, S. D., Bauer, J. M., Bernabei, R., Cesari, M., Chumlea, W. C., Doehner, W., Evans, J., Fried, L. P., Guralnik, J. M., Katz, P. R., Malmstrom, T. K., McCarter, R. J., Gutierrez Robledo, L. M., Rockwood, K., von Haehling, S., Vandewoude, M. F., &amp; Walston, J. (2013). Frailty consensus: a call to action. </w:t>
        </w:r>
        <w:r w:rsidR="000B0CE4" w:rsidRPr="000B0CE4">
          <w:rPr>
            <w:rStyle w:val="csl-entry"/>
            <w:rFonts w:ascii="Arial" w:hAnsi="Arial" w:cs="Arial"/>
            <w:i/>
            <w:iCs/>
            <w:color w:val="000000"/>
            <w:sz w:val="22"/>
          </w:rPr>
          <w:t>Journal of the American Medical Directors Association</w:t>
        </w:r>
        <w:r w:rsidR="000B0CE4" w:rsidRPr="000B0CE4">
          <w:rPr>
            <w:rStyle w:val="csl-entry"/>
            <w:rFonts w:ascii="Arial" w:hAnsi="Arial" w:cs="Arial"/>
            <w:color w:val="000000"/>
            <w:sz w:val="22"/>
          </w:rPr>
          <w:t xml:space="preserve">, </w:t>
        </w:r>
        <w:r w:rsidR="000B0CE4" w:rsidRPr="000B0CE4">
          <w:rPr>
            <w:rStyle w:val="csl-entry"/>
            <w:rFonts w:ascii="Arial" w:hAnsi="Arial" w:cs="Arial"/>
            <w:i/>
            <w:iCs/>
            <w:color w:val="000000"/>
            <w:sz w:val="22"/>
          </w:rPr>
          <w:t>14</w:t>
        </w:r>
        <w:r w:rsidR="000B0CE4" w:rsidRPr="000B0CE4">
          <w:rPr>
            <w:rStyle w:val="csl-entry"/>
            <w:rFonts w:ascii="Arial" w:hAnsi="Arial" w:cs="Arial"/>
            <w:color w:val="000000"/>
            <w:sz w:val="22"/>
          </w:rPr>
          <w:t>(6), 392–397. https://doi.org/10.1016/j.jamda.2013.03.022</w:t>
        </w:r>
      </w:hyperlink>
    </w:p>
    <w:p w14:paraId="785B8E26" w14:textId="77777777" w:rsidR="000B0CE4" w:rsidRPr="000B0CE4" w:rsidRDefault="00E955A2" w:rsidP="007B6F9E">
      <w:pPr>
        <w:pStyle w:val="NormalWeb"/>
        <w:spacing w:before="120"/>
        <w:ind w:left="221" w:hanging="221"/>
        <w:divId w:val="1359158235"/>
        <w:rPr>
          <w:rFonts w:ascii="Arial" w:hAnsi="Arial" w:cs="Arial"/>
          <w:color w:val="000000"/>
          <w:sz w:val="22"/>
        </w:rPr>
      </w:pPr>
      <w:hyperlink r:id="rId43" w:history="1">
        <w:r w:rsidR="000B0CE4" w:rsidRPr="000B0CE4">
          <w:rPr>
            <w:rStyle w:val="csl-entry"/>
            <w:rFonts w:ascii="Arial" w:hAnsi="Arial" w:cs="Arial"/>
            <w:color w:val="000000"/>
            <w:sz w:val="22"/>
          </w:rPr>
          <w:t xml:space="preserve">Mowat, R., Dewar, J., &amp; Ram, F. (2022). Learning from complaints to the Health and Disability Commission Office: A case study into indicators of deterioration in aged residential care organisations in New Zealand. </w:t>
        </w:r>
        <w:r w:rsidR="000B0CE4" w:rsidRPr="000B0CE4">
          <w:rPr>
            <w:rStyle w:val="csl-entry"/>
            <w:rFonts w:ascii="Arial" w:hAnsi="Arial" w:cs="Arial"/>
            <w:i/>
            <w:iCs/>
            <w:color w:val="000000"/>
            <w:sz w:val="22"/>
          </w:rPr>
          <w:t>Australasian Journal on Ageing</w:t>
        </w:r>
        <w:r w:rsidR="000B0CE4" w:rsidRPr="000B0CE4">
          <w:rPr>
            <w:rStyle w:val="csl-entry"/>
            <w:rFonts w:ascii="Arial" w:hAnsi="Arial" w:cs="Arial"/>
            <w:color w:val="000000"/>
            <w:sz w:val="22"/>
          </w:rPr>
          <w:t>. https://doi.org/10.1111/ajag.13141</w:t>
        </w:r>
      </w:hyperlink>
    </w:p>
    <w:p w14:paraId="6B693C8A" w14:textId="77777777" w:rsidR="000B0CE4" w:rsidRPr="000B0CE4" w:rsidRDefault="00E955A2" w:rsidP="007B6F9E">
      <w:pPr>
        <w:pStyle w:val="NormalWeb"/>
        <w:spacing w:before="120"/>
        <w:ind w:left="221" w:hanging="221"/>
        <w:divId w:val="1359158235"/>
        <w:rPr>
          <w:rFonts w:ascii="Arial" w:hAnsi="Arial" w:cs="Arial"/>
          <w:color w:val="000000"/>
          <w:sz w:val="22"/>
        </w:rPr>
      </w:pPr>
      <w:hyperlink r:id="rId44" w:history="1">
        <w:r w:rsidR="000B0CE4" w:rsidRPr="000B0CE4">
          <w:rPr>
            <w:rStyle w:val="csl-entry"/>
            <w:rFonts w:ascii="Arial" w:hAnsi="Arial" w:cs="Arial"/>
            <w:color w:val="000000"/>
            <w:sz w:val="22"/>
          </w:rPr>
          <w:t xml:space="preserve">Pearson, N., Naylor, P.-J., Ashe, M. C., Fernandez, M., Yoong, S. L., &amp; Wolfenden, L. (2020). Guidance for conducting feasibility and pilot studies for implementation trials. </w:t>
        </w:r>
        <w:r w:rsidR="000B0CE4" w:rsidRPr="000B0CE4">
          <w:rPr>
            <w:rStyle w:val="csl-entry"/>
            <w:rFonts w:ascii="Arial" w:hAnsi="Arial" w:cs="Arial"/>
            <w:i/>
            <w:iCs/>
            <w:color w:val="000000"/>
            <w:sz w:val="22"/>
          </w:rPr>
          <w:t>Pilot and Feasibility Studies</w:t>
        </w:r>
        <w:r w:rsidR="000B0CE4" w:rsidRPr="000B0CE4">
          <w:rPr>
            <w:rStyle w:val="csl-entry"/>
            <w:rFonts w:ascii="Arial" w:hAnsi="Arial" w:cs="Arial"/>
            <w:color w:val="000000"/>
            <w:sz w:val="22"/>
          </w:rPr>
          <w:t xml:space="preserve">, </w:t>
        </w:r>
        <w:r w:rsidR="000B0CE4" w:rsidRPr="000B0CE4">
          <w:rPr>
            <w:rStyle w:val="csl-entry"/>
            <w:rFonts w:ascii="Arial" w:hAnsi="Arial" w:cs="Arial"/>
            <w:i/>
            <w:iCs/>
            <w:color w:val="000000"/>
            <w:sz w:val="22"/>
          </w:rPr>
          <w:t>6</w:t>
        </w:r>
        <w:r w:rsidR="000B0CE4" w:rsidRPr="000B0CE4">
          <w:rPr>
            <w:rStyle w:val="csl-entry"/>
            <w:rFonts w:ascii="Arial" w:hAnsi="Arial" w:cs="Arial"/>
            <w:color w:val="000000"/>
            <w:sz w:val="22"/>
          </w:rPr>
          <w:t>(1), 167. https://doi.org/10.1186/s40814-020-00634-w</w:t>
        </w:r>
      </w:hyperlink>
    </w:p>
    <w:p w14:paraId="3F447A56" w14:textId="77777777" w:rsidR="000B0CE4" w:rsidRPr="000B0CE4" w:rsidRDefault="00E955A2" w:rsidP="007B6F9E">
      <w:pPr>
        <w:pStyle w:val="NormalWeb"/>
        <w:spacing w:before="120"/>
        <w:ind w:left="221" w:hanging="221"/>
        <w:divId w:val="1359158235"/>
        <w:rPr>
          <w:rFonts w:ascii="Arial" w:hAnsi="Arial" w:cs="Arial"/>
          <w:color w:val="000000"/>
          <w:sz w:val="22"/>
        </w:rPr>
      </w:pPr>
      <w:hyperlink r:id="rId45" w:history="1">
        <w:r w:rsidR="000B0CE4" w:rsidRPr="000B0CE4">
          <w:rPr>
            <w:rStyle w:val="csl-entry"/>
            <w:rFonts w:ascii="Arial" w:hAnsi="Arial" w:cs="Arial"/>
            <w:color w:val="000000"/>
            <w:sz w:val="22"/>
          </w:rPr>
          <w:t xml:space="preserve">Samaras, N., Chevalley, T., Samaras, D., &amp; Gold, G. (2010). Older patients in the emergency department: a review. </w:t>
        </w:r>
        <w:r w:rsidR="000B0CE4" w:rsidRPr="000B0CE4">
          <w:rPr>
            <w:rStyle w:val="csl-entry"/>
            <w:rFonts w:ascii="Arial" w:hAnsi="Arial" w:cs="Arial"/>
            <w:i/>
            <w:iCs/>
            <w:color w:val="000000"/>
            <w:sz w:val="22"/>
          </w:rPr>
          <w:t>Annals of Emergency Medicine</w:t>
        </w:r>
        <w:r w:rsidR="000B0CE4" w:rsidRPr="000B0CE4">
          <w:rPr>
            <w:rStyle w:val="csl-entry"/>
            <w:rFonts w:ascii="Arial" w:hAnsi="Arial" w:cs="Arial"/>
            <w:color w:val="000000"/>
            <w:sz w:val="22"/>
          </w:rPr>
          <w:t xml:space="preserve">, </w:t>
        </w:r>
        <w:r w:rsidR="000B0CE4" w:rsidRPr="000B0CE4">
          <w:rPr>
            <w:rStyle w:val="csl-entry"/>
            <w:rFonts w:ascii="Arial" w:hAnsi="Arial" w:cs="Arial"/>
            <w:i/>
            <w:iCs/>
            <w:color w:val="000000"/>
            <w:sz w:val="22"/>
          </w:rPr>
          <w:t>56</w:t>
        </w:r>
        <w:r w:rsidR="000B0CE4" w:rsidRPr="000B0CE4">
          <w:rPr>
            <w:rStyle w:val="csl-entry"/>
            <w:rFonts w:ascii="Arial" w:hAnsi="Arial" w:cs="Arial"/>
            <w:color w:val="000000"/>
            <w:sz w:val="22"/>
          </w:rPr>
          <w:t>(3), 261–269. https://doi.org/10.1016/j.annemergmed.2010.04.015</w:t>
        </w:r>
      </w:hyperlink>
    </w:p>
    <w:p w14:paraId="411606FD" w14:textId="77777777" w:rsidR="000B0CE4" w:rsidRPr="000B0CE4" w:rsidRDefault="00E955A2" w:rsidP="007B6F9E">
      <w:pPr>
        <w:pStyle w:val="NormalWeb"/>
        <w:spacing w:before="120"/>
        <w:ind w:left="221" w:hanging="221"/>
        <w:divId w:val="1359158235"/>
        <w:rPr>
          <w:rFonts w:ascii="Arial" w:hAnsi="Arial" w:cs="Arial"/>
          <w:color w:val="000000"/>
          <w:sz w:val="22"/>
        </w:rPr>
      </w:pPr>
      <w:hyperlink r:id="rId46" w:history="1">
        <w:r w:rsidR="000B0CE4" w:rsidRPr="000B0CE4">
          <w:rPr>
            <w:rStyle w:val="csl-entry"/>
            <w:rFonts w:ascii="Arial" w:hAnsi="Arial" w:cs="Arial"/>
            <w:color w:val="000000"/>
            <w:sz w:val="22"/>
          </w:rPr>
          <w:t xml:space="preserve">Simon, N. R., Jauslin, A. S., Bingisser, R., &amp; Nickel, C. H. (2022). Emergency presentations of older patients living with frailty: Presenting symptoms compared with non-frail patients. </w:t>
        </w:r>
        <w:r w:rsidR="000B0CE4" w:rsidRPr="000B0CE4">
          <w:rPr>
            <w:rStyle w:val="csl-entry"/>
            <w:rFonts w:ascii="Arial" w:hAnsi="Arial" w:cs="Arial"/>
            <w:i/>
            <w:iCs/>
            <w:color w:val="000000"/>
            <w:sz w:val="22"/>
          </w:rPr>
          <w:t>The American Journal of Emergency Medicine</w:t>
        </w:r>
        <w:r w:rsidR="000B0CE4" w:rsidRPr="000B0CE4">
          <w:rPr>
            <w:rStyle w:val="csl-entry"/>
            <w:rFonts w:ascii="Arial" w:hAnsi="Arial" w:cs="Arial"/>
            <w:color w:val="000000"/>
            <w:sz w:val="22"/>
          </w:rPr>
          <w:t xml:space="preserve">, </w:t>
        </w:r>
        <w:r w:rsidR="000B0CE4" w:rsidRPr="000B0CE4">
          <w:rPr>
            <w:rStyle w:val="csl-entry"/>
            <w:rFonts w:ascii="Arial" w:hAnsi="Arial" w:cs="Arial"/>
            <w:i/>
            <w:iCs/>
            <w:color w:val="000000"/>
            <w:sz w:val="22"/>
          </w:rPr>
          <w:t>59</w:t>
        </w:r>
        <w:r w:rsidR="000B0CE4" w:rsidRPr="000B0CE4">
          <w:rPr>
            <w:rStyle w:val="csl-entry"/>
            <w:rFonts w:ascii="Arial" w:hAnsi="Arial" w:cs="Arial"/>
            <w:color w:val="000000"/>
            <w:sz w:val="22"/>
          </w:rPr>
          <w:t>, 111–117. https://doi.org/10.1016/j.ajem.2022.06.046</w:t>
        </w:r>
      </w:hyperlink>
    </w:p>
    <w:p w14:paraId="74AABA88" w14:textId="77777777" w:rsidR="005B5172" w:rsidRPr="005B5172" w:rsidRDefault="005B5172" w:rsidP="005B5172">
      <w:pPr>
        <w:spacing w:before="120" w:after="0"/>
        <w:ind w:left="284" w:hanging="284"/>
        <w:divId w:val="1359158235"/>
        <w:rPr>
          <w:rStyle w:val="csl-entry"/>
          <w:rFonts w:eastAsia="Arial Unicode MS"/>
          <w:color w:val="000000"/>
        </w:rPr>
      </w:pPr>
      <w:r w:rsidRPr="005B5172">
        <w:rPr>
          <w:rStyle w:val="csl-entry"/>
          <w:rFonts w:eastAsia="Arial Unicode MS"/>
          <w:color w:val="000000"/>
        </w:rPr>
        <w:t xml:space="preserve">Te Rau Ora Strengthening Moari Health and Well-Being (2022) Maori health and social care (HSC) workforce: 20 year trends </w:t>
      </w:r>
      <w:hyperlink r:id="rId47" w:history="1">
        <w:r w:rsidRPr="005B5172">
          <w:rPr>
            <w:rStyle w:val="csl-entry"/>
            <w:rFonts w:eastAsia="Arial Unicode MS"/>
            <w:color w:val="000000"/>
          </w:rPr>
          <w:t>https://terauora.com/wp-content/uploads/2022/05/1.-MAORI-HEALTH-AND-SOCIAL-CARE-20-YR-TRENDS-SERIES.pdf</w:t>
        </w:r>
      </w:hyperlink>
    </w:p>
    <w:p w14:paraId="0516F846" w14:textId="77777777" w:rsidR="000B0CE4" w:rsidRPr="000B0CE4" w:rsidRDefault="00E955A2" w:rsidP="007B6F9E">
      <w:pPr>
        <w:pStyle w:val="NormalWeb"/>
        <w:spacing w:before="120"/>
        <w:ind w:left="221" w:hanging="221"/>
        <w:divId w:val="1359158235"/>
        <w:rPr>
          <w:rFonts w:ascii="Arial" w:hAnsi="Arial" w:cs="Arial"/>
          <w:color w:val="000000"/>
          <w:sz w:val="22"/>
        </w:rPr>
      </w:pPr>
      <w:hyperlink r:id="rId48" w:history="1">
        <w:r w:rsidR="000B0CE4" w:rsidRPr="000B0CE4">
          <w:rPr>
            <w:rStyle w:val="csl-entry"/>
            <w:rFonts w:ascii="Arial" w:hAnsi="Arial" w:cs="Arial"/>
            <w:color w:val="000000"/>
            <w:sz w:val="22"/>
          </w:rPr>
          <w:t xml:space="preserve">Wachelder, J. J. H., Stassen, P. M., Hubens, L. P. A. M., Brouns, S. H. A., Lambooij, S. L. E., Dieleman, J. P., &amp; Haak, H. R. (2017). Elderly emergency patients presenting with non-specific complaints: Characteristics and outcomes. </w:t>
        </w:r>
        <w:r w:rsidR="000B0CE4" w:rsidRPr="000B0CE4">
          <w:rPr>
            <w:rStyle w:val="csl-entry"/>
            <w:rFonts w:ascii="Arial" w:hAnsi="Arial" w:cs="Arial"/>
            <w:i/>
            <w:iCs/>
            <w:color w:val="000000"/>
            <w:sz w:val="22"/>
          </w:rPr>
          <w:t>Plos One</w:t>
        </w:r>
        <w:r w:rsidR="000B0CE4" w:rsidRPr="000B0CE4">
          <w:rPr>
            <w:rStyle w:val="csl-entry"/>
            <w:rFonts w:ascii="Arial" w:hAnsi="Arial" w:cs="Arial"/>
            <w:color w:val="000000"/>
            <w:sz w:val="22"/>
          </w:rPr>
          <w:t xml:space="preserve">, </w:t>
        </w:r>
        <w:r w:rsidR="000B0CE4" w:rsidRPr="000B0CE4">
          <w:rPr>
            <w:rStyle w:val="csl-entry"/>
            <w:rFonts w:ascii="Arial" w:hAnsi="Arial" w:cs="Arial"/>
            <w:i/>
            <w:iCs/>
            <w:color w:val="000000"/>
            <w:sz w:val="22"/>
          </w:rPr>
          <w:t>12</w:t>
        </w:r>
        <w:r w:rsidR="000B0CE4" w:rsidRPr="000B0CE4">
          <w:rPr>
            <w:rStyle w:val="csl-entry"/>
            <w:rFonts w:ascii="Arial" w:hAnsi="Arial" w:cs="Arial"/>
            <w:color w:val="000000"/>
            <w:sz w:val="22"/>
          </w:rPr>
          <w:t>(11), e0188954. https://doi.org/10.1371/journal.pone.0188954</w:t>
        </w:r>
      </w:hyperlink>
    </w:p>
    <w:p w14:paraId="1DEA47C6" w14:textId="5D3F392B" w:rsidR="000B0CE4" w:rsidRPr="000866C4" w:rsidRDefault="00E955A2" w:rsidP="007B6F9E">
      <w:pPr>
        <w:spacing w:before="120" w:after="0" w:line="240" w:lineRule="auto"/>
        <w:ind w:left="221" w:hanging="221"/>
        <w:divId w:val="1489856514"/>
        <w:rPr>
          <w:rFonts w:ascii="Arial" w:eastAsia="Times New Roman" w:hAnsi="Arial" w:cs="Arial"/>
          <w:color w:val="000000"/>
        </w:rPr>
      </w:pPr>
      <w:hyperlink r:id="rId49" w:history="1">
        <w:r w:rsidR="000B0CE4" w:rsidRPr="000B0CE4">
          <w:rPr>
            <w:rStyle w:val="csl-entry"/>
            <w:rFonts w:ascii="Arial" w:hAnsi="Arial" w:cs="Arial"/>
            <w:color w:val="000000"/>
          </w:rPr>
          <w:t xml:space="preserve">Wall, R. (2016). </w:t>
        </w:r>
        <w:r w:rsidR="000B0CE4" w:rsidRPr="000B0CE4">
          <w:rPr>
            <w:rStyle w:val="csl-entry"/>
            <w:rFonts w:ascii="Arial" w:hAnsi="Arial" w:cs="Arial"/>
            <w:i/>
            <w:iCs/>
            <w:color w:val="000000"/>
          </w:rPr>
          <w:t xml:space="preserve">Complaints to the Health and Disability Commissioner about Residential Aged Care  Facilities: Analysis and Report 2010  -  2014    </w:t>
        </w:r>
        <w:r w:rsidR="000B0CE4" w:rsidRPr="000B0CE4">
          <w:rPr>
            <w:rStyle w:val="csl-entry"/>
            <w:rFonts w:ascii="Arial" w:hAnsi="Arial" w:cs="Arial"/>
            <w:color w:val="000000"/>
          </w:rPr>
          <w:t>. HDC. https://www.hdc.org.nz/news-resources/search-resources/articles/complaints-to-hdc-about-residential-aged-care-facilities-analysis-and-report-2010-2014/</w:t>
        </w:r>
      </w:hyperlink>
      <w:r w:rsidR="000B0CE4" w:rsidRPr="000B0CE4">
        <w:rPr>
          <w:rFonts w:ascii="Arial" w:hAnsi="Arial" w:cs="Arial"/>
          <w:color w:val="000000"/>
        </w:rPr>
        <w:t xml:space="preserve"> </w:t>
      </w:r>
    </w:p>
    <w:p w14:paraId="4A4A1A4A" w14:textId="4F06C016" w:rsidR="000B0CE4" w:rsidRDefault="000B0CE4" w:rsidP="007B6F9E">
      <w:pPr>
        <w:spacing w:before="120" w:after="0" w:line="240" w:lineRule="auto"/>
        <w:ind w:left="221" w:hanging="221"/>
        <w:rPr>
          <w:rFonts w:cstheme="minorHAnsi"/>
          <w:szCs w:val="22"/>
        </w:rPr>
      </w:pPr>
      <w:r w:rsidRPr="000866C4">
        <w:rPr>
          <w:rFonts w:ascii="Arial" w:hAnsi="Arial" w:cs="Arial"/>
          <w:color w:val="000000"/>
        </w:rPr>
        <w:t xml:space="preserve"> </w:t>
      </w:r>
    </w:p>
    <w:p w14:paraId="17DF6772" w14:textId="77777777" w:rsidR="000B0CE4" w:rsidRDefault="000B0CE4" w:rsidP="00AC4967">
      <w:pPr>
        <w:ind w:firstLine="720"/>
        <w:rPr>
          <w:rFonts w:cstheme="minorHAnsi"/>
          <w:szCs w:val="22"/>
        </w:rPr>
      </w:pPr>
    </w:p>
    <w:p w14:paraId="70903CBB" w14:textId="77777777" w:rsidR="000B0CE4" w:rsidRDefault="000B0CE4" w:rsidP="00332E1F">
      <w:pPr>
        <w:pStyle w:val="BodyText"/>
        <w:tabs>
          <w:tab w:val="left" w:pos="709"/>
        </w:tabs>
        <w:spacing w:after="120"/>
        <w:rPr>
          <w:rFonts w:asciiTheme="minorHAnsi" w:hAnsiTheme="minorHAnsi" w:cstheme="minorHAnsi"/>
          <w:bCs/>
          <w:i w:val="0"/>
          <w:iCs/>
          <w:sz w:val="22"/>
          <w:szCs w:val="22"/>
        </w:rPr>
      </w:pPr>
    </w:p>
    <w:p w14:paraId="6876B43D" w14:textId="77777777" w:rsidR="000B0CE4" w:rsidRDefault="000B0CE4" w:rsidP="00AC4967">
      <w:pPr>
        <w:ind w:firstLine="720"/>
        <w:rPr>
          <w:rFonts w:cstheme="minorHAnsi"/>
          <w:szCs w:val="22"/>
        </w:rPr>
      </w:pPr>
    </w:p>
    <w:p w14:paraId="2BA156FB" w14:textId="77777777" w:rsidR="000B0CE4" w:rsidRDefault="000B0CE4" w:rsidP="00DA2746">
      <w:pPr>
        <w:rPr>
          <w:rStyle w:val="Hyperlink"/>
          <w:rFonts w:ascii="Arial" w:hAnsi="Arial" w:cs="Arial"/>
          <w:bCs/>
          <w:sz w:val="20"/>
          <w:szCs w:val="20"/>
        </w:rPr>
      </w:pPr>
    </w:p>
    <w:p w14:paraId="6792AD61" w14:textId="77777777" w:rsidR="000B0CE4" w:rsidRDefault="000B0CE4" w:rsidP="00DA2746">
      <w:pPr>
        <w:rPr>
          <w:rStyle w:val="Hyperlink"/>
          <w:rFonts w:ascii="Arial" w:hAnsi="Arial" w:cs="Arial"/>
          <w:bCs/>
          <w:sz w:val="20"/>
          <w:szCs w:val="20"/>
        </w:rPr>
      </w:pPr>
    </w:p>
    <w:p w14:paraId="74F5EAA1" w14:textId="77777777" w:rsidR="000B0CE4" w:rsidRPr="00AC4967" w:rsidRDefault="000B0CE4" w:rsidP="00DA2746">
      <w:pPr>
        <w:rPr>
          <w:rFonts w:cstheme="minorHAnsi"/>
          <w:szCs w:val="22"/>
        </w:rPr>
      </w:pPr>
    </w:p>
    <w:sectPr w:rsidR="000B0CE4" w:rsidRPr="00AC4967" w:rsidSect="00095136">
      <w:footerReference w:type="default" r:id="rId50"/>
      <w:headerReference w:type="first" r:id="rId51"/>
      <w:pgSz w:w="11900" w:h="16840"/>
      <w:pgMar w:top="1418" w:right="964" w:bottom="1134" w:left="964"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C8C26" w14:textId="77777777" w:rsidR="000C011C" w:rsidRDefault="000C011C" w:rsidP="00234F6D">
      <w:r>
        <w:separator/>
      </w:r>
    </w:p>
  </w:endnote>
  <w:endnote w:type="continuationSeparator" w:id="0">
    <w:p w14:paraId="1728E90E" w14:textId="77777777" w:rsidR="000C011C" w:rsidRDefault="000C011C" w:rsidP="0023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557101"/>
      <w:docPartObj>
        <w:docPartGallery w:val="Page Numbers (Bottom of Page)"/>
        <w:docPartUnique/>
      </w:docPartObj>
    </w:sdtPr>
    <w:sdtEndPr>
      <w:rPr>
        <w:noProof/>
      </w:rPr>
    </w:sdtEndPr>
    <w:sdtContent>
      <w:p w14:paraId="4EBBDBCA" w14:textId="1CAA45C3" w:rsidR="009F4727" w:rsidRDefault="009F4727" w:rsidP="00580154">
        <w:pPr>
          <w:pStyle w:val="Footer"/>
          <w:jc w:val="center"/>
        </w:pPr>
        <w:r>
          <w:fldChar w:fldCharType="begin"/>
        </w:r>
        <w:r>
          <w:instrText xml:space="preserve"> PAGE   \* MERGEFORMAT </w:instrText>
        </w:r>
        <w:r>
          <w:fldChar w:fldCharType="separate"/>
        </w:r>
        <w:r w:rsidR="009A0E8C">
          <w:rPr>
            <w:noProof/>
          </w:rPr>
          <w:t>3</w:t>
        </w:r>
        <w:r>
          <w:rPr>
            <w:noProof/>
          </w:rPr>
          <w:fldChar w:fldCharType="end"/>
        </w:r>
      </w:p>
    </w:sdtContent>
  </w:sdt>
  <w:p w14:paraId="1FAB965D" w14:textId="77777777" w:rsidR="009F4727" w:rsidRDefault="009F4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8C89C" w14:textId="77777777" w:rsidR="000C011C" w:rsidRDefault="000C011C" w:rsidP="00234F6D">
      <w:r>
        <w:separator/>
      </w:r>
    </w:p>
  </w:footnote>
  <w:footnote w:type="continuationSeparator" w:id="0">
    <w:p w14:paraId="7D5CCE9E" w14:textId="77777777" w:rsidR="000C011C" w:rsidRDefault="000C011C" w:rsidP="00234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B8E0" w14:textId="77777777" w:rsidR="009F4727" w:rsidRPr="00234F6D" w:rsidRDefault="009F4727" w:rsidP="00BE008E">
    <w:r>
      <w:rPr>
        <w:noProof/>
        <w:lang w:val="en-NZ" w:eastAsia="en-NZ"/>
      </w:rPr>
      <w:drawing>
        <wp:anchor distT="0" distB="0" distL="114300" distR="114300" simplePos="0" relativeHeight="251667456" behindDoc="0" locked="0" layoutInCell="1" allowOverlap="1" wp14:anchorId="404C265E" wp14:editId="4468B871">
          <wp:simplePos x="0" y="0"/>
          <wp:positionH relativeFrom="column">
            <wp:posOffset>3304540</wp:posOffset>
          </wp:positionH>
          <wp:positionV relativeFrom="paragraph">
            <wp:posOffset>6350</wp:posOffset>
          </wp:positionV>
          <wp:extent cx="3042920" cy="753745"/>
          <wp:effectExtent l="0" t="0" r="508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3042920" cy="753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273"/>
    <w:multiLevelType w:val="hybridMultilevel"/>
    <w:tmpl w:val="C28A9C98"/>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BC1844"/>
    <w:multiLevelType w:val="hybridMultilevel"/>
    <w:tmpl w:val="40BA87CE"/>
    <w:lvl w:ilvl="0" w:tplc="14090001">
      <w:start w:val="1"/>
      <w:numFmt w:val="bullet"/>
      <w:lvlText w:val=""/>
      <w:lvlJc w:val="left"/>
      <w:pPr>
        <w:ind w:left="723" w:hanging="360"/>
      </w:pPr>
      <w:rPr>
        <w:rFonts w:ascii="Symbol" w:hAnsi="Symbol" w:hint="default"/>
      </w:rPr>
    </w:lvl>
    <w:lvl w:ilvl="1" w:tplc="14090003" w:tentative="1">
      <w:start w:val="1"/>
      <w:numFmt w:val="bullet"/>
      <w:lvlText w:val="o"/>
      <w:lvlJc w:val="left"/>
      <w:pPr>
        <w:ind w:left="1443" w:hanging="360"/>
      </w:pPr>
      <w:rPr>
        <w:rFonts w:ascii="Courier New" w:hAnsi="Courier New" w:cs="Courier New" w:hint="default"/>
      </w:rPr>
    </w:lvl>
    <w:lvl w:ilvl="2" w:tplc="14090005" w:tentative="1">
      <w:start w:val="1"/>
      <w:numFmt w:val="bullet"/>
      <w:lvlText w:val=""/>
      <w:lvlJc w:val="left"/>
      <w:pPr>
        <w:ind w:left="2163" w:hanging="360"/>
      </w:pPr>
      <w:rPr>
        <w:rFonts w:ascii="Wingdings" w:hAnsi="Wingdings" w:hint="default"/>
      </w:rPr>
    </w:lvl>
    <w:lvl w:ilvl="3" w:tplc="14090001" w:tentative="1">
      <w:start w:val="1"/>
      <w:numFmt w:val="bullet"/>
      <w:lvlText w:val=""/>
      <w:lvlJc w:val="left"/>
      <w:pPr>
        <w:ind w:left="2883" w:hanging="360"/>
      </w:pPr>
      <w:rPr>
        <w:rFonts w:ascii="Symbol" w:hAnsi="Symbol" w:hint="default"/>
      </w:rPr>
    </w:lvl>
    <w:lvl w:ilvl="4" w:tplc="14090003" w:tentative="1">
      <w:start w:val="1"/>
      <w:numFmt w:val="bullet"/>
      <w:lvlText w:val="o"/>
      <w:lvlJc w:val="left"/>
      <w:pPr>
        <w:ind w:left="3603" w:hanging="360"/>
      </w:pPr>
      <w:rPr>
        <w:rFonts w:ascii="Courier New" w:hAnsi="Courier New" w:cs="Courier New" w:hint="default"/>
      </w:rPr>
    </w:lvl>
    <w:lvl w:ilvl="5" w:tplc="14090005" w:tentative="1">
      <w:start w:val="1"/>
      <w:numFmt w:val="bullet"/>
      <w:lvlText w:val=""/>
      <w:lvlJc w:val="left"/>
      <w:pPr>
        <w:ind w:left="4323" w:hanging="360"/>
      </w:pPr>
      <w:rPr>
        <w:rFonts w:ascii="Wingdings" w:hAnsi="Wingdings" w:hint="default"/>
      </w:rPr>
    </w:lvl>
    <w:lvl w:ilvl="6" w:tplc="14090001" w:tentative="1">
      <w:start w:val="1"/>
      <w:numFmt w:val="bullet"/>
      <w:lvlText w:val=""/>
      <w:lvlJc w:val="left"/>
      <w:pPr>
        <w:ind w:left="5043" w:hanging="360"/>
      </w:pPr>
      <w:rPr>
        <w:rFonts w:ascii="Symbol" w:hAnsi="Symbol" w:hint="default"/>
      </w:rPr>
    </w:lvl>
    <w:lvl w:ilvl="7" w:tplc="14090003" w:tentative="1">
      <w:start w:val="1"/>
      <w:numFmt w:val="bullet"/>
      <w:lvlText w:val="o"/>
      <w:lvlJc w:val="left"/>
      <w:pPr>
        <w:ind w:left="5763" w:hanging="360"/>
      </w:pPr>
      <w:rPr>
        <w:rFonts w:ascii="Courier New" w:hAnsi="Courier New" w:cs="Courier New" w:hint="default"/>
      </w:rPr>
    </w:lvl>
    <w:lvl w:ilvl="8" w:tplc="14090005" w:tentative="1">
      <w:start w:val="1"/>
      <w:numFmt w:val="bullet"/>
      <w:lvlText w:val=""/>
      <w:lvlJc w:val="left"/>
      <w:pPr>
        <w:ind w:left="6483" w:hanging="360"/>
      </w:pPr>
      <w:rPr>
        <w:rFonts w:ascii="Wingdings" w:hAnsi="Wingdings" w:hint="default"/>
      </w:rPr>
    </w:lvl>
  </w:abstractNum>
  <w:abstractNum w:abstractNumId="2" w15:restartNumberingAfterBreak="0">
    <w:nsid w:val="07881AAA"/>
    <w:multiLevelType w:val="hybridMultilevel"/>
    <w:tmpl w:val="254093AC"/>
    <w:lvl w:ilvl="0" w:tplc="AD8A0132">
      <w:start w:val="2"/>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pStyle w:val="StyleHeading2JustifiedLinespacing15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4" w15:restartNumberingAfterBreak="0">
    <w:nsid w:val="08FB3FC0"/>
    <w:multiLevelType w:val="hybridMultilevel"/>
    <w:tmpl w:val="F1E0E8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BB6798A"/>
    <w:multiLevelType w:val="hybridMultilevel"/>
    <w:tmpl w:val="DAD81EA2"/>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0D2D2A55"/>
    <w:multiLevelType w:val="multilevel"/>
    <w:tmpl w:val="94002C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156081"/>
    <w:multiLevelType w:val="hybridMultilevel"/>
    <w:tmpl w:val="0E4825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4EE32ED"/>
    <w:multiLevelType w:val="multilevel"/>
    <w:tmpl w:val="E6747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C95B50"/>
    <w:multiLevelType w:val="hybridMultilevel"/>
    <w:tmpl w:val="98A448BC"/>
    <w:lvl w:ilvl="0" w:tplc="14090003">
      <w:start w:val="1"/>
      <w:numFmt w:val="bullet"/>
      <w:lvlText w:val="o"/>
      <w:lvlJc w:val="left"/>
      <w:pPr>
        <w:ind w:left="2502" w:hanging="360"/>
      </w:pPr>
      <w:rPr>
        <w:rFonts w:ascii="Courier New" w:hAnsi="Courier New" w:cs="Courier New" w:hint="default"/>
      </w:rPr>
    </w:lvl>
    <w:lvl w:ilvl="1" w:tplc="FFFFFFFF">
      <w:start w:val="1"/>
      <w:numFmt w:val="bullet"/>
      <w:lvlText w:val="o"/>
      <w:lvlJc w:val="left"/>
      <w:pPr>
        <w:ind w:left="3222" w:hanging="360"/>
      </w:pPr>
      <w:rPr>
        <w:rFonts w:ascii="Courier New" w:hAnsi="Courier New" w:cs="Courier New" w:hint="default"/>
      </w:rPr>
    </w:lvl>
    <w:lvl w:ilvl="2" w:tplc="FFFFFFFF" w:tentative="1">
      <w:start w:val="1"/>
      <w:numFmt w:val="bullet"/>
      <w:lvlText w:val=""/>
      <w:lvlJc w:val="left"/>
      <w:pPr>
        <w:ind w:left="3942" w:hanging="360"/>
      </w:pPr>
      <w:rPr>
        <w:rFonts w:ascii="Wingdings" w:hAnsi="Wingdings" w:hint="default"/>
      </w:rPr>
    </w:lvl>
    <w:lvl w:ilvl="3" w:tplc="FFFFFFFF" w:tentative="1">
      <w:start w:val="1"/>
      <w:numFmt w:val="bullet"/>
      <w:lvlText w:val=""/>
      <w:lvlJc w:val="left"/>
      <w:pPr>
        <w:ind w:left="4662" w:hanging="360"/>
      </w:pPr>
      <w:rPr>
        <w:rFonts w:ascii="Symbol" w:hAnsi="Symbol" w:hint="default"/>
      </w:rPr>
    </w:lvl>
    <w:lvl w:ilvl="4" w:tplc="FFFFFFFF" w:tentative="1">
      <w:start w:val="1"/>
      <w:numFmt w:val="bullet"/>
      <w:lvlText w:val="o"/>
      <w:lvlJc w:val="left"/>
      <w:pPr>
        <w:ind w:left="5382" w:hanging="360"/>
      </w:pPr>
      <w:rPr>
        <w:rFonts w:ascii="Courier New" w:hAnsi="Courier New" w:cs="Courier New" w:hint="default"/>
      </w:rPr>
    </w:lvl>
    <w:lvl w:ilvl="5" w:tplc="FFFFFFFF" w:tentative="1">
      <w:start w:val="1"/>
      <w:numFmt w:val="bullet"/>
      <w:lvlText w:val=""/>
      <w:lvlJc w:val="left"/>
      <w:pPr>
        <w:ind w:left="6102" w:hanging="360"/>
      </w:pPr>
      <w:rPr>
        <w:rFonts w:ascii="Wingdings" w:hAnsi="Wingdings" w:hint="default"/>
      </w:rPr>
    </w:lvl>
    <w:lvl w:ilvl="6" w:tplc="FFFFFFFF" w:tentative="1">
      <w:start w:val="1"/>
      <w:numFmt w:val="bullet"/>
      <w:lvlText w:val=""/>
      <w:lvlJc w:val="left"/>
      <w:pPr>
        <w:ind w:left="6822" w:hanging="360"/>
      </w:pPr>
      <w:rPr>
        <w:rFonts w:ascii="Symbol" w:hAnsi="Symbol" w:hint="default"/>
      </w:rPr>
    </w:lvl>
    <w:lvl w:ilvl="7" w:tplc="FFFFFFFF" w:tentative="1">
      <w:start w:val="1"/>
      <w:numFmt w:val="bullet"/>
      <w:lvlText w:val="o"/>
      <w:lvlJc w:val="left"/>
      <w:pPr>
        <w:ind w:left="7542" w:hanging="360"/>
      </w:pPr>
      <w:rPr>
        <w:rFonts w:ascii="Courier New" w:hAnsi="Courier New" w:cs="Courier New" w:hint="default"/>
      </w:rPr>
    </w:lvl>
    <w:lvl w:ilvl="8" w:tplc="FFFFFFFF" w:tentative="1">
      <w:start w:val="1"/>
      <w:numFmt w:val="bullet"/>
      <w:lvlText w:val=""/>
      <w:lvlJc w:val="left"/>
      <w:pPr>
        <w:ind w:left="8262" w:hanging="360"/>
      </w:pPr>
      <w:rPr>
        <w:rFonts w:ascii="Wingdings" w:hAnsi="Wingdings" w:hint="default"/>
      </w:rPr>
    </w:lvl>
  </w:abstractNum>
  <w:abstractNum w:abstractNumId="10" w15:restartNumberingAfterBreak="0">
    <w:nsid w:val="1E2E79F0"/>
    <w:multiLevelType w:val="hybridMultilevel"/>
    <w:tmpl w:val="62247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E6075C7"/>
    <w:multiLevelType w:val="hybridMultilevel"/>
    <w:tmpl w:val="2C46CE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15C7E6D"/>
    <w:multiLevelType w:val="hybridMultilevel"/>
    <w:tmpl w:val="C79648A6"/>
    <w:lvl w:ilvl="0" w:tplc="AD8A0132">
      <w:start w:val="2"/>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1D94359"/>
    <w:multiLevelType w:val="hybridMultilevel"/>
    <w:tmpl w:val="F4B6926A"/>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229F6A06"/>
    <w:multiLevelType w:val="hybridMultilevel"/>
    <w:tmpl w:val="614E5F6E"/>
    <w:lvl w:ilvl="0" w:tplc="AD8A0132">
      <w:start w:val="2"/>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6DE559C"/>
    <w:multiLevelType w:val="hybridMultilevel"/>
    <w:tmpl w:val="C7B286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7C432C1"/>
    <w:multiLevelType w:val="hybridMultilevel"/>
    <w:tmpl w:val="BA70E47A"/>
    <w:lvl w:ilvl="0" w:tplc="5954506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2E396AB2"/>
    <w:multiLevelType w:val="hybridMultilevel"/>
    <w:tmpl w:val="2E2CBA50"/>
    <w:lvl w:ilvl="0" w:tplc="AD8A0132">
      <w:start w:val="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3C37F2E"/>
    <w:multiLevelType w:val="hybridMultilevel"/>
    <w:tmpl w:val="317E0E1A"/>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2F38BA"/>
    <w:multiLevelType w:val="hybridMultilevel"/>
    <w:tmpl w:val="51360D3E"/>
    <w:lvl w:ilvl="0" w:tplc="14090001">
      <w:start w:val="1"/>
      <w:numFmt w:val="bullet"/>
      <w:lvlText w:val=""/>
      <w:lvlJc w:val="left"/>
      <w:pPr>
        <w:ind w:left="720" w:hanging="360"/>
      </w:pPr>
      <w:rPr>
        <w:rFonts w:ascii="Symbol" w:hAnsi="Symbol" w:hint="default"/>
      </w:rPr>
    </w:lvl>
    <w:lvl w:ilvl="1" w:tplc="71400DFA">
      <w:start w:val="1"/>
      <w:numFmt w:val="bullet"/>
      <w:lvlText w:val="o"/>
      <w:lvlJc w:val="left"/>
      <w:pPr>
        <w:ind w:left="1440" w:hanging="360"/>
      </w:pPr>
      <w:rPr>
        <w:rFonts w:ascii="Courier New" w:hAnsi="Courier New" w:cs="Courier New" w:hint="default"/>
        <w:color w:val="auto"/>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6121D6F"/>
    <w:multiLevelType w:val="hybridMultilevel"/>
    <w:tmpl w:val="E16EED26"/>
    <w:lvl w:ilvl="0" w:tplc="14090001">
      <w:start w:val="1"/>
      <w:numFmt w:val="bullet"/>
      <w:lvlText w:val=""/>
      <w:lvlJc w:val="left"/>
      <w:pPr>
        <w:ind w:left="2502" w:hanging="360"/>
      </w:pPr>
      <w:rPr>
        <w:rFonts w:ascii="Symbol" w:hAnsi="Symbol" w:hint="default"/>
      </w:rPr>
    </w:lvl>
    <w:lvl w:ilvl="1" w:tplc="14090003">
      <w:start w:val="1"/>
      <w:numFmt w:val="bullet"/>
      <w:lvlText w:val="o"/>
      <w:lvlJc w:val="left"/>
      <w:pPr>
        <w:ind w:left="3222" w:hanging="360"/>
      </w:pPr>
      <w:rPr>
        <w:rFonts w:ascii="Courier New" w:hAnsi="Courier New" w:cs="Courier New" w:hint="default"/>
      </w:rPr>
    </w:lvl>
    <w:lvl w:ilvl="2" w:tplc="14090005" w:tentative="1">
      <w:start w:val="1"/>
      <w:numFmt w:val="bullet"/>
      <w:lvlText w:val=""/>
      <w:lvlJc w:val="left"/>
      <w:pPr>
        <w:ind w:left="3942" w:hanging="360"/>
      </w:pPr>
      <w:rPr>
        <w:rFonts w:ascii="Wingdings" w:hAnsi="Wingdings" w:hint="default"/>
      </w:rPr>
    </w:lvl>
    <w:lvl w:ilvl="3" w:tplc="14090001" w:tentative="1">
      <w:start w:val="1"/>
      <w:numFmt w:val="bullet"/>
      <w:lvlText w:val=""/>
      <w:lvlJc w:val="left"/>
      <w:pPr>
        <w:ind w:left="4662" w:hanging="360"/>
      </w:pPr>
      <w:rPr>
        <w:rFonts w:ascii="Symbol" w:hAnsi="Symbol" w:hint="default"/>
      </w:rPr>
    </w:lvl>
    <w:lvl w:ilvl="4" w:tplc="14090003" w:tentative="1">
      <w:start w:val="1"/>
      <w:numFmt w:val="bullet"/>
      <w:lvlText w:val="o"/>
      <w:lvlJc w:val="left"/>
      <w:pPr>
        <w:ind w:left="5382" w:hanging="360"/>
      </w:pPr>
      <w:rPr>
        <w:rFonts w:ascii="Courier New" w:hAnsi="Courier New" w:cs="Courier New" w:hint="default"/>
      </w:rPr>
    </w:lvl>
    <w:lvl w:ilvl="5" w:tplc="14090005" w:tentative="1">
      <w:start w:val="1"/>
      <w:numFmt w:val="bullet"/>
      <w:lvlText w:val=""/>
      <w:lvlJc w:val="left"/>
      <w:pPr>
        <w:ind w:left="6102" w:hanging="360"/>
      </w:pPr>
      <w:rPr>
        <w:rFonts w:ascii="Wingdings" w:hAnsi="Wingdings" w:hint="default"/>
      </w:rPr>
    </w:lvl>
    <w:lvl w:ilvl="6" w:tplc="14090001" w:tentative="1">
      <w:start w:val="1"/>
      <w:numFmt w:val="bullet"/>
      <w:lvlText w:val=""/>
      <w:lvlJc w:val="left"/>
      <w:pPr>
        <w:ind w:left="6822" w:hanging="360"/>
      </w:pPr>
      <w:rPr>
        <w:rFonts w:ascii="Symbol" w:hAnsi="Symbol" w:hint="default"/>
      </w:rPr>
    </w:lvl>
    <w:lvl w:ilvl="7" w:tplc="14090003" w:tentative="1">
      <w:start w:val="1"/>
      <w:numFmt w:val="bullet"/>
      <w:lvlText w:val="o"/>
      <w:lvlJc w:val="left"/>
      <w:pPr>
        <w:ind w:left="7542" w:hanging="360"/>
      </w:pPr>
      <w:rPr>
        <w:rFonts w:ascii="Courier New" w:hAnsi="Courier New" w:cs="Courier New" w:hint="default"/>
      </w:rPr>
    </w:lvl>
    <w:lvl w:ilvl="8" w:tplc="14090005" w:tentative="1">
      <w:start w:val="1"/>
      <w:numFmt w:val="bullet"/>
      <w:lvlText w:val=""/>
      <w:lvlJc w:val="left"/>
      <w:pPr>
        <w:ind w:left="8262" w:hanging="360"/>
      </w:pPr>
      <w:rPr>
        <w:rFonts w:ascii="Wingdings" w:hAnsi="Wingdings" w:hint="default"/>
      </w:rPr>
    </w:lvl>
  </w:abstractNum>
  <w:abstractNum w:abstractNumId="21" w15:restartNumberingAfterBreak="0">
    <w:nsid w:val="36BF0763"/>
    <w:multiLevelType w:val="hybridMultilevel"/>
    <w:tmpl w:val="89505B14"/>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C695524"/>
    <w:multiLevelType w:val="hybridMultilevel"/>
    <w:tmpl w:val="0160FE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C85088F"/>
    <w:multiLevelType w:val="hybridMultilevel"/>
    <w:tmpl w:val="465E06C8"/>
    <w:lvl w:ilvl="0" w:tplc="AD8A0132">
      <w:start w:val="2"/>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3C890175"/>
    <w:multiLevelType w:val="hybridMultilevel"/>
    <w:tmpl w:val="65642A0C"/>
    <w:lvl w:ilvl="0" w:tplc="AD8A0132">
      <w:start w:val="2"/>
      <w:numFmt w:val="bullet"/>
      <w:lvlText w:val="-"/>
      <w:lvlJc w:val="left"/>
      <w:pPr>
        <w:ind w:left="717" w:hanging="360"/>
      </w:pPr>
      <w:rPr>
        <w:rFonts w:ascii="Calibri" w:eastAsiaTheme="minorHAnsi" w:hAnsi="Calibri" w:cs="Calibri" w:hint="default"/>
      </w:rPr>
    </w:lvl>
    <w:lvl w:ilvl="1" w:tplc="FFFFFFFF">
      <w:start w:val="1"/>
      <w:numFmt w:val="bullet"/>
      <w:lvlText w:val="o"/>
      <w:lvlJc w:val="left"/>
      <w:pPr>
        <w:ind w:left="1437" w:hanging="360"/>
      </w:pPr>
      <w:rPr>
        <w:rFonts w:ascii="Courier New" w:hAnsi="Courier New" w:cs="Courier New" w:hint="default"/>
      </w:rPr>
    </w:lvl>
    <w:lvl w:ilvl="2" w:tplc="FFFFFFFF">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25" w15:restartNumberingAfterBreak="0">
    <w:nsid w:val="3F4F07CF"/>
    <w:multiLevelType w:val="hybridMultilevel"/>
    <w:tmpl w:val="E2C07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FEF75C0"/>
    <w:multiLevelType w:val="hybridMultilevel"/>
    <w:tmpl w:val="4DDC88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B76589"/>
    <w:multiLevelType w:val="hybridMultilevel"/>
    <w:tmpl w:val="DB3E96FE"/>
    <w:lvl w:ilvl="0" w:tplc="AD8A0132">
      <w:start w:val="2"/>
      <w:numFmt w:val="bullet"/>
      <w:lvlText w:val="-"/>
      <w:lvlJc w:val="left"/>
      <w:pPr>
        <w:ind w:left="360" w:hanging="360"/>
      </w:pPr>
      <w:rPr>
        <w:rFonts w:ascii="Calibri" w:eastAsiaTheme="minorHAnsi" w:hAnsi="Calibri" w:cs="Calibri"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43B11573"/>
    <w:multiLevelType w:val="hybridMultilevel"/>
    <w:tmpl w:val="2904CDC4"/>
    <w:lvl w:ilvl="0" w:tplc="59545062">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4795746C"/>
    <w:multiLevelType w:val="hybridMultilevel"/>
    <w:tmpl w:val="36B2B9EE"/>
    <w:lvl w:ilvl="0" w:tplc="467A1624">
      <w:start w:val="9"/>
      <w:numFmt w:val="bullet"/>
      <w:lvlText w:val="-"/>
      <w:lvlJc w:val="left"/>
      <w:pPr>
        <w:ind w:left="360" w:hanging="360"/>
      </w:pPr>
      <w:rPr>
        <w:rFonts w:ascii="Calibri" w:eastAsiaTheme="minorHAnsi" w:hAnsi="Calibri"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491445E4"/>
    <w:multiLevelType w:val="hybridMultilevel"/>
    <w:tmpl w:val="95068312"/>
    <w:lvl w:ilvl="0" w:tplc="DE8C6006">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4BA968EC"/>
    <w:multiLevelType w:val="hybridMultilevel"/>
    <w:tmpl w:val="32483C9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03241B0"/>
    <w:multiLevelType w:val="hybridMultilevel"/>
    <w:tmpl w:val="88AA42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44F0F18"/>
    <w:multiLevelType w:val="hybridMultilevel"/>
    <w:tmpl w:val="86EC937C"/>
    <w:lvl w:ilvl="0" w:tplc="AD8A0132">
      <w:start w:val="2"/>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5C88245A"/>
    <w:multiLevelType w:val="hybridMultilevel"/>
    <w:tmpl w:val="797AA636"/>
    <w:lvl w:ilvl="0" w:tplc="AD8A0132">
      <w:start w:val="2"/>
      <w:numFmt w:val="bullet"/>
      <w:lvlText w:val="-"/>
      <w:lvlJc w:val="left"/>
      <w:pPr>
        <w:ind w:left="363" w:hanging="360"/>
      </w:pPr>
      <w:rPr>
        <w:rFonts w:ascii="Calibri" w:eastAsiaTheme="minorHAnsi" w:hAnsi="Calibri" w:cs="Calibri" w:hint="default"/>
      </w:rPr>
    </w:lvl>
    <w:lvl w:ilvl="1" w:tplc="14090003">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35" w15:restartNumberingAfterBreak="0">
    <w:nsid w:val="61105BF0"/>
    <w:multiLevelType w:val="hybridMultilevel"/>
    <w:tmpl w:val="7B8061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28A091D"/>
    <w:multiLevelType w:val="hybridMultilevel"/>
    <w:tmpl w:val="8146D0AA"/>
    <w:lvl w:ilvl="0" w:tplc="5954506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5554980"/>
    <w:multiLevelType w:val="hybridMultilevel"/>
    <w:tmpl w:val="DF06869E"/>
    <w:lvl w:ilvl="0" w:tplc="14090003">
      <w:start w:val="1"/>
      <w:numFmt w:val="bullet"/>
      <w:lvlText w:val="o"/>
      <w:lvlJc w:val="left"/>
      <w:pPr>
        <w:ind w:left="1440" w:hanging="360"/>
      </w:pPr>
      <w:rPr>
        <w:rFonts w:ascii="Courier New" w:hAnsi="Courier New" w:cs="Courier New"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8" w15:restartNumberingAfterBreak="0">
    <w:nsid w:val="6A656A0A"/>
    <w:multiLevelType w:val="hybridMultilevel"/>
    <w:tmpl w:val="7CA43746"/>
    <w:lvl w:ilvl="0" w:tplc="AD8A0132">
      <w:start w:val="2"/>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718267F3"/>
    <w:multiLevelType w:val="hybridMultilevel"/>
    <w:tmpl w:val="7A7692DE"/>
    <w:lvl w:ilvl="0" w:tplc="AD8A0132">
      <w:start w:val="2"/>
      <w:numFmt w:val="bullet"/>
      <w:lvlText w:val="-"/>
      <w:lvlJc w:val="left"/>
      <w:pPr>
        <w:ind w:left="717" w:hanging="360"/>
      </w:pPr>
      <w:rPr>
        <w:rFonts w:ascii="Calibri" w:eastAsiaTheme="minorHAnsi" w:hAnsi="Calibri" w:cs="Calibri"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40" w15:restartNumberingAfterBreak="0">
    <w:nsid w:val="74ED7178"/>
    <w:multiLevelType w:val="hybridMultilevel"/>
    <w:tmpl w:val="F7A2CD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6091A58"/>
    <w:multiLevelType w:val="hybridMultilevel"/>
    <w:tmpl w:val="09DA634E"/>
    <w:lvl w:ilvl="0" w:tplc="FD040D54">
      <w:start w:val="1"/>
      <w:numFmt w:val="bullet"/>
      <w:lvlText w:val=""/>
      <w:lvlJc w:val="left"/>
      <w:pPr>
        <w:ind w:left="2862" w:hanging="360"/>
      </w:pPr>
      <w:rPr>
        <w:rFonts w:ascii="Symbol" w:hAnsi="Symbol" w:hint="default"/>
        <w:color w:val="auto"/>
      </w:rPr>
    </w:lvl>
    <w:lvl w:ilvl="1" w:tplc="14090003">
      <w:start w:val="1"/>
      <w:numFmt w:val="bullet"/>
      <w:lvlText w:val="o"/>
      <w:lvlJc w:val="left"/>
      <w:pPr>
        <w:ind w:left="3582" w:hanging="360"/>
      </w:pPr>
      <w:rPr>
        <w:rFonts w:ascii="Courier New" w:hAnsi="Courier New" w:cs="Courier New" w:hint="default"/>
      </w:rPr>
    </w:lvl>
    <w:lvl w:ilvl="2" w:tplc="14090005" w:tentative="1">
      <w:start w:val="1"/>
      <w:numFmt w:val="bullet"/>
      <w:lvlText w:val=""/>
      <w:lvlJc w:val="left"/>
      <w:pPr>
        <w:ind w:left="4302" w:hanging="360"/>
      </w:pPr>
      <w:rPr>
        <w:rFonts w:ascii="Wingdings" w:hAnsi="Wingdings" w:hint="default"/>
      </w:rPr>
    </w:lvl>
    <w:lvl w:ilvl="3" w:tplc="14090001" w:tentative="1">
      <w:start w:val="1"/>
      <w:numFmt w:val="bullet"/>
      <w:lvlText w:val=""/>
      <w:lvlJc w:val="left"/>
      <w:pPr>
        <w:ind w:left="5022" w:hanging="360"/>
      </w:pPr>
      <w:rPr>
        <w:rFonts w:ascii="Symbol" w:hAnsi="Symbol" w:hint="default"/>
      </w:rPr>
    </w:lvl>
    <w:lvl w:ilvl="4" w:tplc="14090003" w:tentative="1">
      <w:start w:val="1"/>
      <w:numFmt w:val="bullet"/>
      <w:lvlText w:val="o"/>
      <w:lvlJc w:val="left"/>
      <w:pPr>
        <w:ind w:left="5742" w:hanging="360"/>
      </w:pPr>
      <w:rPr>
        <w:rFonts w:ascii="Courier New" w:hAnsi="Courier New" w:cs="Courier New" w:hint="default"/>
      </w:rPr>
    </w:lvl>
    <w:lvl w:ilvl="5" w:tplc="14090005" w:tentative="1">
      <w:start w:val="1"/>
      <w:numFmt w:val="bullet"/>
      <w:lvlText w:val=""/>
      <w:lvlJc w:val="left"/>
      <w:pPr>
        <w:ind w:left="6462" w:hanging="360"/>
      </w:pPr>
      <w:rPr>
        <w:rFonts w:ascii="Wingdings" w:hAnsi="Wingdings" w:hint="default"/>
      </w:rPr>
    </w:lvl>
    <w:lvl w:ilvl="6" w:tplc="14090001" w:tentative="1">
      <w:start w:val="1"/>
      <w:numFmt w:val="bullet"/>
      <w:lvlText w:val=""/>
      <w:lvlJc w:val="left"/>
      <w:pPr>
        <w:ind w:left="7182" w:hanging="360"/>
      </w:pPr>
      <w:rPr>
        <w:rFonts w:ascii="Symbol" w:hAnsi="Symbol" w:hint="default"/>
      </w:rPr>
    </w:lvl>
    <w:lvl w:ilvl="7" w:tplc="14090003" w:tentative="1">
      <w:start w:val="1"/>
      <w:numFmt w:val="bullet"/>
      <w:lvlText w:val="o"/>
      <w:lvlJc w:val="left"/>
      <w:pPr>
        <w:ind w:left="7902" w:hanging="360"/>
      </w:pPr>
      <w:rPr>
        <w:rFonts w:ascii="Courier New" w:hAnsi="Courier New" w:cs="Courier New" w:hint="default"/>
      </w:rPr>
    </w:lvl>
    <w:lvl w:ilvl="8" w:tplc="14090005" w:tentative="1">
      <w:start w:val="1"/>
      <w:numFmt w:val="bullet"/>
      <w:lvlText w:val=""/>
      <w:lvlJc w:val="left"/>
      <w:pPr>
        <w:ind w:left="8622" w:hanging="360"/>
      </w:pPr>
      <w:rPr>
        <w:rFonts w:ascii="Wingdings" w:hAnsi="Wingdings" w:hint="default"/>
      </w:rPr>
    </w:lvl>
  </w:abstractNum>
  <w:abstractNum w:abstractNumId="42" w15:restartNumberingAfterBreak="0">
    <w:nsid w:val="7C720134"/>
    <w:multiLevelType w:val="hybridMultilevel"/>
    <w:tmpl w:val="AD343AF0"/>
    <w:lvl w:ilvl="0" w:tplc="14090001">
      <w:start w:val="1"/>
      <w:numFmt w:val="bullet"/>
      <w:lvlText w:val=""/>
      <w:lvlJc w:val="left"/>
      <w:pPr>
        <w:ind w:left="783" w:hanging="360"/>
      </w:pPr>
      <w:rPr>
        <w:rFonts w:ascii="Symbol" w:hAnsi="Symbol" w:hint="default"/>
      </w:rPr>
    </w:lvl>
    <w:lvl w:ilvl="1" w:tplc="14090003" w:tentative="1">
      <w:start w:val="1"/>
      <w:numFmt w:val="bullet"/>
      <w:lvlText w:val="o"/>
      <w:lvlJc w:val="left"/>
      <w:pPr>
        <w:ind w:left="1503" w:hanging="360"/>
      </w:pPr>
      <w:rPr>
        <w:rFonts w:ascii="Courier New" w:hAnsi="Courier New" w:cs="Courier New" w:hint="default"/>
      </w:rPr>
    </w:lvl>
    <w:lvl w:ilvl="2" w:tplc="14090005" w:tentative="1">
      <w:start w:val="1"/>
      <w:numFmt w:val="bullet"/>
      <w:lvlText w:val=""/>
      <w:lvlJc w:val="left"/>
      <w:pPr>
        <w:ind w:left="2223" w:hanging="360"/>
      </w:pPr>
      <w:rPr>
        <w:rFonts w:ascii="Wingdings" w:hAnsi="Wingdings" w:hint="default"/>
      </w:rPr>
    </w:lvl>
    <w:lvl w:ilvl="3" w:tplc="14090001" w:tentative="1">
      <w:start w:val="1"/>
      <w:numFmt w:val="bullet"/>
      <w:lvlText w:val=""/>
      <w:lvlJc w:val="left"/>
      <w:pPr>
        <w:ind w:left="2943" w:hanging="360"/>
      </w:pPr>
      <w:rPr>
        <w:rFonts w:ascii="Symbol" w:hAnsi="Symbol" w:hint="default"/>
      </w:rPr>
    </w:lvl>
    <w:lvl w:ilvl="4" w:tplc="14090003" w:tentative="1">
      <w:start w:val="1"/>
      <w:numFmt w:val="bullet"/>
      <w:lvlText w:val="o"/>
      <w:lvlJc w:val="left"/>
      <w:pPr>
        <w:ind w:left="3663" w:hanging="360"/>
      </w:pPr>
      <w:rPr>
        <w:rFonts w:ascii="Courier New" w:hAnsi="Courier New" w:cs="Courier New" w:hint="default"/>
      </w:rPr>
    </w:lvl>
    <w:lvl w:ilvl="5" w:tplc="14090005" w:tentative="1">
      <w:start w:val="1"/>
      <w:numFmt w:val="bullet"/>
      <w:lvlText w:val=""/>
      <w:lvlJc w:val="left"/>
      <w:pPr>
        <w:ind w:left="4383" w:hanging="360"/>
      </w:pPr>
      <w:rPr>
        <w:rFonts w:ascii="Wingdings" w:hAnsi="Wingdings" w:hint="default"/>
      </w:rPr>
    </w:lvl>
    <w:lvl w:ilvl="6" w:tplc="14090001" w:tentative="1">
      <w:start w:val="1"/>
      <w:numFmt w:val="bullet"/>
      <w:lvlText w:val=""/>
      <w:lvlJc w:val="left"/>
      <w:pPr>
        <w:ind w:left="5103" w:hanging="360"/>
      </w:pPr>
      <w:rPr>
        <w:rFonts w:ascii="Symbol" w:hAnsi="Symbol" w:hint="default"/>
      </w:rPr>
    </w:lvl>
    <w:lvl w:ilvl="7" w:tplc="14090003" w:tentative="1">
      <w:start w:val="1"/>
      <w:numFmt w:val="bullet"/>
      <w:lvlText w:val="o"/>
      <w:lvlJc w:val="left"/>
      <w:pPr>
        <w:ind w:left="5823" w:hanging="360"/>
      </w:pPr>
      <w:rPr>
        <w:rFonts w:ascii="Courier New" w:hAnsi="Courier New" w:cs="Courier New" w:hint="default"/>
      </w:rPr>
    </w:lvl>
    <w:lvl w:ilvl="8" w:tplc="14090005" w:tentative="1">
      <w:start w:val="1"/>
      <w:numFmt w:val="bullet"/>
      <w:lvlText w:val=""/>
      <w:lvlJc w:val="left"/>
      <w:pPr>
        <w:ind w:left="6543" w:hanging="360"/>
      </w:pPr>
      <w:rPr>
        <w:rFonts w:ascii="Wingdings" w:hAnsi="Wingdings" w:hint="default"/>
      </w:rPr>
    </w:lvl>
  </w:abstractNum>
  <w:abstractNum w:abstractNumId="43" w15:restartNumberingAfterBreak="0">
    <w:nsid w:val="7FA23362"/>
    <w:multiLevelType w:val="hybridMultilevel"/>
    <w:tmpl w:val="89505B1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6445396">
    <w:abstractNumId w:val="3"/>
  </w:num>
  <w:num w:numId="2" w16cid:durableId="825126131">
    <w:abstractNumId w:val="25"/>
  </w:num>
  <w:num w:numId="3" w16cid:durableId="655259620">
    <w:abstractNumId w:val="22"/>
  </w:num>
  <w:num w:numId="4" w16cid:durableId="967858242">
    <w:abstractNumId w:val="30"/>
  </w:num>
  <w:num w:numId="5" w16cid:durableId="128475374">
    <w:abstractNumId w:val="31"/>
  </w:num>
  <w:num w:numId="6" w16cid:durableId="1210724568">
    <w:abstractNumId w:val="26"/>
  </w:num>
  <w:num w:numId="7" w16cid:durableId="1834829922">
    <w:abstractNumId w:val="4"/>
  </w:num>
  <w:num w:numId="8" w16cid:durableId="880441022">
    <w:abstractNumId w:val="0"/>
  </w:num>
  <w:num w:numId="9" w16cid:durableId="1129472760">
    <w:abstractNumId w:val="2"/>
  </w:num>
  <w:num w:numId="10" w16cid:durableId="1665234101">
    <w:abstractNumId w:val="12"/>
  </w:num>
  <w:num w:numId="11" w16cid:durableId="1515530558">
    <w:abstractNumId w:val="38"/>
  </w:num>
  <w:num w:numId="12" w16cid:durableId="493885489">
    <w:abstractNumId w:val="27"/>
  </w:num>
  <w:num w:numId="13" w16cid:durableId="1595279495">
    <w:abstractNumId w:val="29"/>
  </w:num>
  <w:num w:numId="14" w16cid:durableId="1223711451">
    <w:abstractNumId w:val="28"/>
  </w:num>
  <w:num w:numId="15" w16cid:durableId="311909393">
    <w:abstractNumId w:val="24"/>
  </w:num>
  <w:num w:numId="16" w16cid:durableId="1418209464">
    <w:abstractNumId w:val="33"/>
  </w:num>
  <w:num w:numId="17" w16cid:durableId="61411051">
    <w:abstractNumId w:val="39"/>
  </w:num>
  <w:num w:numId="18" w16cid:durableId="422798914">
    <w:abstractNumId w:val="17"/>
  </w:num>
  <w:num w:numId="19" w16cid:durableId="154614257">
    <w:abstractNumId w:val="14"/>
  </w:num>
  <w:num w:numId="20" w16cid:durableId="197283580">
    <w:abstractNumId w:val="34"/>
  </w:num>
  <w:num w:numId="21" w16cid:durableId="1750420896">
    <w:abstractNumId w:val="23"/>
  </w:num>
  <w:num w:numId="22" w16cid:durableId="1577283885">
    <w:abstractNumId w:val="18"/>
  </w:num>
  <w:num w:numId="23" w16cid:durableId="1080374539">
    <w:abstractNumId w:val="15"/>
  </w:num>
  <w:num w:numId="24" w16cid:durableId="316957975">
    <w:abstractNumId w:val="42"/>
  </w:num>
  <w:num w:numId="25" w16cid:durableId="1033267177">
    <w:abstractNumId w:val="10"/>
  </w:num>
  <w:num w:numId="26" w16cid:durableId="458567480">
    <w:abstractNumId w:val="21"/>
  </w:num>
  <w:num w:numId="27" w16cid:durableId="2075541316">
    <w:abstractNumId w:val="43"/>
  </w:num>
  <w:num w:numId="28" w16cid:durableId="643630051">
    <w:abstractNumId w:val="32"/>
  </w:num>
  <w:num w:numId="29" w16cid:durableId="1048143537">
    <w:abstractNumId w:val="35"/>
  </w:num>
  <w:num w:numId="30" w16cid:durableId="1388339050">
    <w:abstractNumId w:val="11"/>
  </w:num>
  <w:num w:numId="31" w16cid:durableId="1325864490">
    <w:abstractNumId w:val="5"/>
  </w:num>
  <w:num w:numId="32" w16cid:durableId="1874927961">
    <w:abstractNumId w:val="7"/>
  </w:num>
  <w:num w:numId="33" w16cid:durableId="1393308532">
    <w:abstractNumId w:val="19"/>
  </w:num>
  <w:num w:numId="34" w16cid:durableId="1903908278">
    <w:abstractNumId w:val="40"/>
  </w:num>
  <w:num w:numId="35" w16cid:durableId="770050954">
    <w:abstractNumId w:val="6"/>
  </w:num>
  <w:num w:numId="36" w16cid:durableId="682392374">
    <w:abstractNumId w:val="8"/>
  </w:num>
  <w:num w:numId="37" w16cid:durableId="1914075258">
    <w:abstractNumId w:val="20"/>
  </w:num>
  <w:num w:numId="38" w16cid:durableId="1343051063">
    <w:abstractNumId w:val="36"/>
  </w:num>
  <w:num w:numId="39" w16cid:durableId="1202475327">
    <w:abstractNumId w:val="16"/>
  </w:num>
  <w:num w:numId="40" w16cid:durableId="1334800221">
    <w:abstractNumId w:val="1"/>
  </w:num>
  <w:num w:numId="41" w16cid:durableId="1036779928">
    <w:abstractNumId w:val="37"/>
  </w:num>
  <w:num w:numId="42" w16cid:durableId="1137643611">
    <w:abstractNumId w:val="13"/>
  </w:num>
  <w:num w:numId="43" w16cid:durableId="1494296133">
    <w:abstractNumId w:val="9"/>
  </w:num>
  <w:num w:numId="44" w16cid:durableId="1099252706">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F6D"/>
    <w:rsid w:val="00017043"/>
    <w:rsid w:val="0002148A"/>
    <w:rsid w:val="00022A13"/>
    <w:rsid w:val="0003364E"/>
    <w:rsid w:val="00057314"/>
    <w:rsid w:val="00057D2D"/>
    <w:rsid w:val="00062B6B"/>
    <w:rsid w:val="000630CE"/>
    <w:rsid w:val="00063ED9"/>
    <w:rsid w:val="00064654"/>
    <w:rsid w:val="00066385"/>
    <w:rsid w:val="00066A07"/>
    <w:rsid w:val="00067B4C"/>
    <w:rsid w:val="00076F16"/>
    <w:rsid w:val="00077C32"/>
    <w:rsid w:val="000866C4"/>
    <w:rsid w:val="00086828"/>
    <w:rsid w:val="00087A13"/>
    <w:rsid w:val="00090DDB"/>
    <w:rsid w:val="00093582"/>
    <w:rsid w:val="00095136"/>
    <w:rsid w:val="000A0245"/>
    <w:rsid w:val="000A23B9"/>
    <w:rsid w:val="000A4DA5"/>
    <w:rsid w:val="000B0CE4"/>
    <w:rsid w:val="000B1B38"/>
    <w:rsid w:val="000B2E46"/>
    <w:rsid w:val="000C011C"/>
    <w:rsid w:val="000C7CF4"/>
    <w:rsid w:val="000D0F5A"/>
    <w:rsid w:val="000D2F88"/>
    <w:rsid w:val="000E5FCD"/>
    <w:rsid w:val="000E723A"/>
    <w:rsid w:val="000F25C6"/>
    <w:rsid w:val="000F2999"/>
    <w:rsid w:val="000F2FE8"/>
    <w:rsid w:val="0011662F"/>
    <w:rsid w:val="00125CCC"/>
    <w:rsid w:val="00130428"/>
    <w:rsid w:val="00136993"/>
    <w:rsid w:val="00141DFB"/>
    <w:rsid w:val="001444A7"/>
    <w:rsid w:val="001505D4"/>
    <w:rsid w:val="001560EF"/>
    <w:rsid w:val="001601B4"/>
    <w:rsid w:val="001664AD"/>
    <w:rsid w:val="00172503"/>
    <w:rsid w:val="001732B5"/>
    <w:rsid w:val="00180101"/>
    <w:rsid w:val="00180A2E"/>
    <w:rsid w:val="00183B49"/>
    <w:rsid w:val="0018679E"/>
    <w:rsid w:val="00191996"/>
    <w:rsid w:val="00191ACF"/>
    <w:rsid w:val="00192B66"/>
    <w:rsid w:val="001A17EC"/>
    <w:rsid w:val="001A2815"/>
    <w:rsid w:val="001B16DC"/>
    <w:rsid w:val="001B19EB"/>
    <w:rsid w:val="001B41C4"/>
    <w:rsid w:val="001B5720"/>
    <w:rsid w:val="001C016E"/>
    <w:rsid w:val="001D1F95"/>
    <w:rsid w:val="001E070F"/>
    <w:rsid w:val="001F5043"/>
    <w:rsid w:val="001F7E63"/>
    <w:rsid w:val="002126E2"/>
    <w:rsid w:val="002257AB"/>
    <w:rsid w:val="00230377"/>
    <w:rsid w:val="0023215E"/>
    <w:rsid w:val="00234F6D"/>
    <w:rsid w:val="00236B04"/>
    <w:rsid w:val="00236E57"/>
    <w:rsid w:val="00242066"/>
    <w:rsid w:val="00250BE0"/>
    <w:rsid w:val="00251657"/>
    <w:rsid w:val="00262875"/>
    <w:rsid w:val="00266EF7"/>
    <w:rsid w:val="002676B7"/>
    <w:rsid w:val="0027529D"/>
    <w:rsid w:val="002767C1"/>
    <w:rsid w:val="0027793D"/>
    <w:rsid w:val="002817D6"/>
    <w:rsid w:val="0028403C"/>
    <w:rsid w:val="002844AC"/>
    <w:rsid w:val="00285189"/>
    <w:rsid w:val="002878D0"/>
    <w:rsid w:val="00292C82"/>
    <w:rsid w:val="002A65C9"/>
    <w:rsid w:val="002B5D03"/>
    <w:rsid w:val="002C5932"/>
    <w:rsid w:val="002D0BA5"/>
    <w:rsid w:val="002D1722"/>
    <w:rsid w:val="002D1E31"/>
    <w:rsid w:val="002D1F77"/>
    <w:rsid w:val="002D2D7D"/>
    <w:rsid w:val="002D6FB1"/>
    <w:rsid w:val="002E5A6A"/>
    <w:rsid w:val="002E5A9A"/>
    <w:rsid w:val="002F6733"/>
    <w:rsid w:val="002F7B74"/>
    <w:rsid w:val="0030506A"/>
    <w:rsid w:val="00313005"/>
    <w:rsid w:val="003215BD"/>
    <w:rsid w:val="00332E10"/>
    <w:rsid w:val="00332E1F"/>
    <w:rsid w:val="00340F67"/>
    <w:rsid w:val="00350036"/>
    <w:rsid w:val="00352DA5"/>
    <w:rsid w:val="00353197"/>
    <w:rsid w:val="003562B1"/>
    <w:rsid w:val="003606AA"/>
    <w:rsid w:val="00360C56"/>
    <w:rsid w:val="00373AEE"/>
    <w:rsid w:val="003768F0"/>
    <w:rsid w:val="003802A1"/>
    <w:rsid w:val="00393305"/>
    <w:rsid w:val="003A37EA"/>
    <w:rsid w:val="003A7099"/>
    <w:rsid w:val="003B4870"/>
    <w:rsid w:val="003C12DB"/>
    <w:rsid w:val="003C4C4E"/>
    <w:rsid w:val="003C5E3A"/>
    <w:rsid w:val="003C64DC"/>
    <w:rsid w:val="003D3924"/>
    <w:rsid w:val="003E55B7"/>
    <w:rsid w:val="003E5CA2"/>
    <w:rsid w:val="003E5F4F"/>
    <w:rsid w:val="003F0DC1"/>
    <w:rsid w:val="003F5ACF"/>
    <w:rsid w:val="003F65B6"/>
    <w:rsid w:val="00400522"/>
    <w:rsid w:val="00401DE9"/>
    <w:rsid w:val="00403A6A"/>
    <w:rsid w:val="00403BE4"/>
    <w:rsid w:val="00405DF4"/>
    <w:rsid w:val="004140B8"/>
    <w:rsid w:val="004173CA"/>
    <w:rsid w:val="00422B92"/>
    <w:rsid w:val="00441AFA"/>
    <w:rsid w:val="00443E4D"/>
    <w:rsid w:val="0044745A"/>
    <w:rsid w:val="004555A8"/>
    <w:rsid w:val="0046376B"/>
    <w:rsid w:val="004639DC"/>
    <w:rsid w:val="00464731"/>
    <w:rsid w:val="00472921"/>
    <w:rsid w:val="0047405D"/>
    <w:rsid w:val="00475BEA"/>
    <w:rsid w:val="00475FDA"/>
    <w:rsid w:val="0047766A"/>
    <w:rsid w:val="004859A3"/>
    <w:rsid w:val="00485F3F"/>
    <w:rsid w:val="004A140E"/>
    <w:rsid w:val="004B3BCA"/>
    <w:rsid w:val="004B3D96"/>
    <w:rsid w:val="004C746F"/>
    <w:rsid w:val="004C7FC7"/>
    <w:rsid w:val="004D083E"/>
    <w:rsid w:val="004D179B"/>
    <w:rsid w:val="004D39F0"/>
    <w:rsid w:val="004D4197"/>
    <w:rsid w:val="004D479F"/>
    <w:rsid w:val="004D676C"/>
    <w:rsid w:val="004D7EE2"/>
    <w:rsid w:val="004E22C1"/>
    <w:rsid w:val="004E40FF"/>
    <w:rsid w:val="004F0D9E"/>
    <w:rsid w:val="00505256"/>
    <w:rsid w:val="00507EBA"/>
    <w:rsid w:val="00516A71"/>
    <w:rsid w:val="00552E09"/>
    <w:rsid w:val="00554957"/>
    <w:rsid w:val="005558AC"/>
    <w:rsid w:val="005567CC"/>
    <w:rsid w:val="00556CD2"/>
    <w:rsid w:val="005610CB"/>
    <w:rsid w:val="00562DA2"/>
    <w:rsid w:val="005674CF"/>
    <w:rsid w:val="00572405"/>
    <w:rsid w:val="00573120"/>
    <w:rsid w:val="00580154"/>
    <w:rsid w:val="00587CAF"/>
    <w:rsid w:val="00593E1A"/>
    <w:rsid w:val="005A6EAB"/>
    <w:rsid w:val="005A725E"/>
    <w:rsid w:val="005B0713"/>
    <w:rsid w:val="005B4B44"/>
    <w:rsid w:val="005B5172"/>
    <w:rsid w:val="005C6024"/>
    <w:rsid w:val="005D0F2E"/>
    <w:rsid w:val="005D12F5"/>
    <w:rsid w:val="005E5C25"/>
    <w:rsid w:val="005E7E40"/>
    <w:rsid w:val="005F7C56"/>
    <w:rsid w:val="0060660F"/>
    <w:rsid w:val="00611641"/>
    <w:rsid w:val="0062550F"/>
    <w:rsid w:val="006329DA"/>
    <w:rsid w:val="006361A0"/>
    <w:rsid w:val="00642A95"/>
    <w:rsid w:val="006452D8"/>
    <w:rsid w:val="006508B2"/>
    <w:rsid w:val="00656620"/>
    <w:rsid w:val="00663C0E"/>
    <w:rsid w:val="00664FD6"/>
    <w:rsid w:val="00672D9D"/>
    <w:rsid w:val="00673A4C"/>
    <w:rsid w:val="006804C5"/>
    <w:rsid w:val="00680801"/>
    <w:rsid w:val="00685899"/>
    <w:rsid w:val="00686CB6"/>
    <w:rsid w:val="00691376"/>
    <w:rsid w:val="006A0046"/>
    <w:rsid w:val="006A12CD"/>
    <w:rsid w:val="006B56CA"/>
    <w:rsid w:val="006B5F4D"/>
    <w:rsid w:val="006B6502"/>
    <w:rsid w:val="006C1145"/>
    <w:rsid w:val="006D21AC"/>
    <w:rsid w:val="006D689E"/>
    <w:rsid w:val="006D77EB"/>
    <w:rsid w:val="006E0D82"/>
    <w:rsid w:val="006E37FA"/>
    <w:rsid w:val="006F15A5"/>
    <w:rsid w:val="006F20C6"/>
    <w:rsid w:val="006F5D24"/>
    <w:rsid w:val="00707DE2"/>
    <w:rsid w:val="00711B42"/>
    <w:rsid w:val="0071227F"/>
    <w:rsid w:val="0071257C"/>
    <w:rsid w:val="0071773D"/>
    <w:rsid w:val="0072243E"/>
    <w:rsid w:val="00727F15"/>
    <w:rsid w:val="00730202"/>
    <w:rsid w:val="0073358E"/>
    <w:rsid w:val="00734DEC"/>
    <w:rsid w:val="00737A44"/>
    <w:rsid w:val="00740144"/>
    <w:rsid w:val="00741FEC"/>
    <w:rsid w:val="0074226F"/>
    <w:rsid w:val="00743AE3"/>
    <w:rsid w:val="00751127"/>
    <w:rsid w:val="00755CC8"/>
    <w:rsid w:val="00761D9C"/>
    <w:rsid w:val="00763377"/>
    <w:rsid w:val="00763C4A"/>
    <w:rsid w:val="00763EA1"/>
    <w:rsid w:val="007739FB"/>
    <w:rsid w:val="007746BA"/>
    <w:rsid w:val="00775E79"/>
    <w:rsid w:val="00784118"/>
    <w:rsid w:val="00784220"/>
    <w:rsid w:val="007875DF"/>
    <w:rsid w:val="00796D2D"/>
    <w:rsid w:val="00797B69"/>
    <w:rsid w:val="007A4033"/>
    <w:rsid w:val="007B63AD"/>
    <w:rsid w:val="007B6F9E"/>
    <w:rsid w:val="007C516C"/>
    <w:rsid w:val="007E2F62"/>
    <w:rsid w:val="007E59CA"/>
    <w:rsid w:val="007F5A59"/>
    <w:rsid w:val="007F6CD1"/>
    <w:rsid w:val="007F6F4E"/>
    <w:rsid w:val="007F7C65"/>
    <w:rsid w:val="007F7E3C"/>
    <w:rsid w:val="00805750"/>
    <w:rsid w:val="00813AE0"/>
    <w:rsid w:val="008252B7"/>
    <w:rsid w:val="00826F5E"/>
    <w:rsid w:val="00835B09"/>
    <w:rsid w:val="00840A29"/>
    <w:rsid w:val="00840E3C"/>
    <w:rsid w:val="00842011"/>
    <w:rsid w:val="00864F75"/>
    <w:rsid w:val="0087277D"/>
    <w:rsid w:val="008739D9"/>
    <w:rsid w:val="008755A8"/>
    <w:rsid w:val="00881061"/>
    <w:rsid w:val="00886983"/>
    <w:rsid w:val="008B2B3B"/>
    <w:rsid w:val="008B5D15"/>
    <w:rsid w:val="008C62BC"/>
    <w:rsid w:val="008D0806"/>
    <w:rsid w:val="008D45A6"/>
    <w:rsid w:val="008D7BD0"/>
    <w:rsid w:val="008E3512"/>
    <w:rsid w:val="008F0C9F"/>
    <w:rsid w:val="008F33C0"/>
    <w:rsid w:val="008F7008"/>
    <w:rsid w:val="008F7B4D"/>
    <w:rsid w:val="008F7F64"/>
    <w:rsid w:val="00901ED0"/>
    <w:rsid w:val="0090385A"/>
    <w:rsid w:val="00907407"/>
    <w:rsid w:val="00916A85"/>
    <w:rsid w:val="00921562"/>
    <w:rsid w:val="00932546"/>
    <w:rsid w:val="00935841"/>
    <w:rsid w:val="0093643E"/>
    <w:rsid w:val="00946106"/>
    <w:rsid w:val="00950F3F"/>
    <w:rsid w:val="00951A86"/>
    <w:rsid w:val="00953EAB"/>
    <w:rsid w:val="009566C9"/>
    <w:rsid w:val="00956C78"/>
    <w:rsid w:val="009625C7"/>
    <w:rsid w:val="00965284"/>
    <w:rsid w:val="009655F2"/>
    <w:rsid w:val="00966380"/>
    <w:rsid w:val="00970C8D"/>
    <w:rsid w:val="00970CAF"/>
    <w:rsid w:val="00972CE4"/>
    <w:rsid w:val="00973EB9"/>
    <w:rsid w:val="00975DB2"/>
    <w:rsid w:val="00983566"/>
    <w:rsid w:val="00985356"/>
    <w:rsid w:val="00987A19"/>
    <w:rsid w:val="00997241"/>
    <w:rsid w:val="009A0E8C"/>
    <w:rsid w:val="009A11B1"/>
    <w:rsid w:val="009A4D19"/>
    <w:rsid w:val="009B5E78"/>
    <w:rsid w:val="009C1E33"/>
    <w:rsid w:val="009D1E13"/>
    <w:rsid w:val="009E1557"/>
    <w:rsid w:val="009E1989"/>
    <w:rsid w:val="009E3458"/>
    <w:rsid w:val="009E7ADF"/>
    <w:rsid w:val="009F4727"/>
    <w:rsid w:val="00A00E97"/>
    <w:rsid w:val="00A1186D"/>
    <w:rsid w:val="00A13F7C"/>
    <w:rsid w:val="00A1772D"/>
    <w:rsid w:val="00A20D43"/>
    <w:rsid w:val="00A27E45"/>
    <w:rsid w:val="00A31748"/>
    <w:rsid w:val="00A364D9"/>
    <w:rsid w:val="00A40045"/>
    <w:rsid w:val="00A437FE"/>
    <w:rsid w:val="00A50A5B"/>
    <w:rsid w:val="00A70F2B"/>
    <w:rsid w:val="00A837E2"/>
    <w:rsid w:val="00A86F4D"/>
    <w:rsid w:val="00A872D2"/>
    <w:rsid w:val="00A90C36"/>
    <w:rsid w:val="00A966D1"/>
    <w:rsid w:val="00AA2AA0"/>
    <w:rsid w:val="00AA7F35"/>
    <w:rsid w:val="00AC4967"/>
    <w:rsid w:val="00AC4EAA"/>
    <w:rsid w:val="00AD0CDB"/>
    <w:rsid w:val="00AE0D8A"/>
    <w:rsid w:val="00AE12CF"/>
    <w:rsid w:val="00AE1D6E"/>
    <w:rsid w:val="00AE4EDB"/>
    <w:rsid w:val="00AF1D40"/>
    <w:rsid w:val="00AF33FC"/>
    <w:rsid w:val="00AF5D66"/>
    <w:rsid w:val="00B06091"/>
    <w:rsid w:val="00B1446F"/>
    <w:rsid w:val="00B15108"/>
    <w:rsid w:val="00B15CE5"/>
    <w:rsid w:val="00B17F61"/>
    <w:rsid w:val="00B214F6"/>
    <w:rsid w:val="00B2182D"/>
    <w:rsid w:val="00B34E15"/>
    <w:rsid w:val="00B405A6"/>
    <w:rsid w:val="00B4160D"/>
    <w:rsid w:val="00B42631"/>
    <w:rsid w:val="00B43A4A"/>
    <w:rsid w:val="00B44FE3"/>
    <w:rsid w:val="00B461F5"/>
    <w:rsid w:val="00B50C8F"/>
    <w:rsid w:val="00B52DB1"/>
    <w:rsid w:val="00B603B2"/>
    <w:rsid w:val="00B62EC6"/>
    <w:rsid w:val="00B64E2C"/>
    <w:rsid w:val="00B673F2"/>
    <w:rsid w:val="00B678E1"/>
    <w:rsid w:val="00B678FD"/>
    <w:rsid w:val="00B709EF"/>
    <w:rsid w:val="00B75230"/>
    <w:rsid w:val="00B90470"/>
    <w:rsid w:val="00B909CF"/>
    <w:rsid w:val="00B967AB"/>
    <w:rsid w:val="00BA01F8"/>
    <w:rsid w:val="00BA53C2"/>
    <w:rsid w:val="00BB0350"/>
    <w:rsid w:val="00BB0EDE"/>
    <w:rsid w:val="00BB40E8"/>
    <w:rsid w:val="00BB4C5C"/>
    <w:rsid w:val="00BD6366"/>
    <w:rsid w:val="00BE008E"/>
    <w:rsid w:val="00BF01DE"/>
    <w:rsid w:val="00BF5842"/>
    <w:rsid w:val="00C01D80"/>
    <w:rsid w:val="00C16E37"/>
    <w:rsid w:val="00C20A4B"/>
    <w:rsid w:val="00C23E1D"/>
    <w:rsid w:val="00C25FD0"/>
    <w:rsid w:val="00C320D5"/>
    <w:rsid w:val="00C35AEA"/>
    <w:rsid w:val="00C5299E"/>
    <w:rsid w:val="00C55AAF"/>
    <w:rsid w:val="00C56D9D"/>
    <w:rsid w:val="00C5704F"/>
    <w:rsid w:val="00C61B86"/>
    <w:rsid w:val="00C627DE"/>
    <w:rsid w:val="00C62995"/>
    <w:rsid w:val="00C653F8"/>
    <w:rsid w:val="00C702A6"/>
    <w:rsid w:val="00C745C0"/>
    <w:rsid w:val="00C779BB"/>
    <w:rsid w:val="00C83FDB"/>
    <w:rsid w:val="00C84257"/>
    <w:rsid w:val="00C84301"/>
    <w:rsid w:val="00C871DE"/>
    <w:rsid w:val="00C9216D"/>
    <w:rsid w:val="00C93C01"/>
    <w:rsid w:val="00C971CD"/>
    <w:rsid w:val="00C975D7"/>
    <w:rsid w:val="00CA1A74"/>
    <w:rsid w:val="00CA3349"/>
    <w:rsid w:val="00CA7A90"/>
    <w:rsid w:val="00CA7C26"/>
    <w:rsid w:val="00CB2B1E"/>
    <w:rsid w:val="00CB6B22"/>
    <w:rsid w:val="00CC2F84"/>
    <w:rsid w:val="00CC6E86"/>
    <w:rsid w:val="00CD03A4"/>
    <w:rsid w:val="00CD0F04"/>
    <w:rsid w:val="00CE0296"/>
    <w:rsid w:val="00CE060B"/>
    <w:rsid w:val="00CE0C5B"/>
    <w:rsid w:val="00CE6052"/>
    <w:rsid w:val="00CF0667"/>
    <w:rsid w:val="00D027C8"/>
    <w:rsid w:val="00D10D33"/>
    <w:rsid w:val="00D128FC"/>
    <w:rsid w:val="00D33316"/>
    <w:rsid w:val="00D43CE8"/>
    <w:rsid w:val="00D45F97"/>
    <w:rsid w:val="00D467FC"/>
    <w:rsid w:val="00D50E2C"/>
    <w:rsid w:val="00D5231F"/>
    <w:rsid w:val="00D5595B"/>
    <w:rsid w:val="00D56745"/>
    <w:rsid w:val="00D57290"/>
    <w:rsid w:val="00D62B06"/>
    <w:rsid w:val="00D706FE"/>
    <w:rsid w:val="00D77633"/>
    <w:rsid w:val="00D86A75"/>
    <w:rsid w:val="00D94355"/>
    <w:rsid w:val="00D94D9C"/>
    <w:rsid w:val="00DA16AF"/>
    <w:rsid w:val="00DA2746"/>
    <w:rsid w:val="00DA4D3E"/>
    <w:rsid w:val="00DA4E35"/>
    <w:rsid w:val="00DA6A8F"/>
    <w:rsid w:val="00DB1F96"/>
    <w:rsid w:val="00DB43A0"/>
    <w:rsid w:val="00DB684D"/>
    <w:rsid w:val="00DB7C49"/>
    <w:rsid w:val="00DC44FF"/>
    <w:rsid w:val="00DD31D1"/>
    <w:rsid w:val="00DD3812"/>
    <w:rsid w:val="00DE3A52"/>
    <w:rsid w:val="00DE5DA1"/>
    <w:rsid w:val="00DE6852"/>
    <w:rsid w:val="00DF23D5"/>
    <w:rsid w:val="00DF5BCE"/>
    <w:rsid w:val="00E034DD"/>
    <w:rsid w:val="00E04213"/>
    <w:rsid w:val="00E068A5"/>
    <w:rsid w:val="00E136E2"/>
    <w:rsid w:val="00E26C0B"/>
    <w:rsid w:val="00E2707A"/>
    <w:rsid w:val="00E32733"/>
    <w:rsid w:val="00E341A6"/>
    <w:rsid w:val="00E365A2"/>
    <w:rsid w:val="00E4026C"/>
    <w:rsid w:val="00E450C5"/>
    <w:rsid w:val="00E51ACD"/>
    <w:rsid w:val="00E531BE"/>
    <w:rsid w:val="00E560EE"/>
    <w:rsid w:val="00E60311"/>
    <w:rsid w:val="00E65825"/>
    <w:rsid w:val="00E70E1B"/>
    <w:rsid w:val="00E94CA1"/>
    <w:rsid w:val="00E95328"/>
    <w:rsid w:val="00E955A2"/>
    <w:rsid w:val="00E978C5"/>
    <w:rsid w:val="00EA14AE"/>
    <w:rsid w:val="00EA3B87"/>
    <w:rsid w:val="00EB08C5"/>
    <w:rsid w:val="00EB3796"/>
    <w:rsid w:val="00EC4DA5"/>
    <w:rsid w:val="00EC5D32"/>
    <w:rsid w:val="00EC667A"/>
    <w:rsid w:val="00ED08D0"/>
    <w:rsid w:val="00ED7198"/>
    <w:rsid w:val="00EE5562"/>
    <w:rsid w:val="00F0528C"/>
    <w:rsid w:val="00F072D9"/>
    <w:rsid w:val="00F14F66"/>
    <w:rsid w:val="00F222BC"/>
    <w:rsid w:val="00F230C4"/>
    <w:rsid w:val="00F2333D"/>
    <w:rsid w:val="00F24D0E"/>
    <w:rsid w:val="00F25900"/>
    <w:rsid w:val="00F330BB"/>
    <w:rsid w:val="00F439F5"/>
    <w:rsid w:val="00F53BA5"/>
    <w:rsid w:val="00F562DB"/>
    <w:rsid w:val="00F628D4"/>
    <w:rsid w:val="00F75BE4"/>
    <w:rsid w:val="00F7733A"/>
    <w:rsid w:val="00F83D7D"/>
    <w:rsid w:val="00F84C03"/>
    <w:rsid w:val="00F859F2"/>
    <w:rsid w:val="00F876A9"/>
    <w:rsid w:val="00F91DD1"/>
    <w:rsid w:val="00F91FBF"/>
    <w:rsid w:val="00F9322F"/>
    <w:rsid w:val="00F93505"/>
    <w:rsid w:val="00F94432"/>
    <w:rsid w:val="00F965D0"/>
    <w:rsid w:val="00FA0A14"/>
    <w:rsid w:val="00FA2F9D"/>
    <w:rsid w:val="00FA6461"/>
    <w:rsid w:val="00FA6943"/>
    <w:rsid w:val="00FB5293"/>
    <w:rsid w:val="00FB7EC5"/>
    <w:rsid w:val="00FC5FAF"/>
    <w:rsid w:val="00FD0AA1"/>
    <w:rsid w:val="00FD111C"/>
    <w:rsid w:val="00FD1B55"/>
    <w:rsid w:val="00FD25EF"/>
    <w:rsid w:val="00FD4F48"/>
    <w:rsid w:val="00FE1355"/>
    <w:rsid w:val="00FE712F"/>
    <w:rsid w:val="00FF3859"/>
    <w:rsid w:val="00FF7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697E26AC"/>
  <w14:defaultImageDpi w14:val="300"/>
  <w15:docId w15:val="{FBCC2DCA-D4A2-451D-9653-B93D4E68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A8F"/>
    <w:pPr>
      <w:spacing w:after="120" w:line="300" w:lineRule="exact"/>
    </w:pPr>
    <w:rPr>
      <w:sz w:val="22"/>
      <w:lang w:val="en-GB"/>
    </w:rPr>
  </w:style>
  <w:style w:type="paragraph" w:styleId="Heading1">
    <w:name w:val="heading 1"/>
    <w:aliases w:val="Heading A"/>
    <w:basedOn w:val="Normal"/>
    <w:next w:val="Normal"/>
    <w:link w:val="Heading1Char"/>
    <w:qFormat/>
    <w:rsid w:val="00C83FDB"/>
    <w:pPr>
      <w:keepNext/>
      <w:keepLines/>
      <w:spacing w:before="480" w:after="0" w:line="240" w:lineRule="auto"/>
      <w:outlineLvl w:val="0"/>
    </w:pPr>
    <w:rPr>
      <w:rFonts w:asciiTheme="majorHAnsi" w:eastAsiaTheme="majorEastAsia" w:hAnsiTheme="majorHAnsi" w:cstheme="majorBidi"/>
      <w:b/>
      <w:bCs/>
      <w:color w:val="3B0083"/>
      <w:sz w:val="32"/>
      <w:szCs w:val="32"/>
    </w:rPr>
  </w:style>
  <w:style w:type="paragraph" w:styleId="Heading2">
    <w:name w:val="heading 2"/>
    <w:aliases w:val="Heading B"/>
    <w:basedOn w:val="Normal"/>
    <w:next w:val="Normal"/>
    <w:link w:val="Heading2Char"/>
    <w:qFormat/>
    <w:rsid w:val="00C83FDB"/>
    <w:pPr>
      <w:keepNext/>
      <w:spacing w:before="240" w:after="0"/>
      <w:outlineLvl w:val="1"/>
    </w:pPr>
    <w:rPr>
      <w:rFonts w:ascii="Arial" w:eastAsia="MS Gothic" w:hAnsi="Arial" w:cs="Times New Roman"/>
      <w:bCs/>
      <w:iCs/>
      <w:color w:val="331188"/>
      <w:sz w:val="24"/>
      <w:szCs w:val="28"/>
    </w:rPr>
  </w:style>
  <w:style w:type="paragraph" w:styleId="Heading3">
    <w:name w:val="heading 3"/>
    <w:aliases w:val="Heading C"/>
    <w:basedOn w:val="Normal"/>
    <w:next w:val="Normal"/>
    <w:link w:val="Heading3Char"/>
    <w:unhideWhenUsed/>
    <w:qFormat/>
    <w:rsid w:val="003E5CA2"/>
    <w:pPr>
      <w:keepNext/>
      <w:keepLines/>
      <w:spacing w:before="200" w:after="0"/>
      <w:outlineLvl w:val="2"/>
    </w:pPr>
    <w:rPr>
      <w:rFonts w:asciiTheme="majorHAnsi" w:eastAsiaTheme="majorEastAsia" w:hAnsiTheme="majorHAnsi" w:cstheme="majorBidi"/>
      <w:b/>
      <w:bCs/>
      <w:color w:val="332A86"/>
    </w:rPr>
  </w:style>
  <w:style w:type="paragraph" w:styleId="Heading4">
    <w:name w:val="heading 4"/>
    <w:basedOn w:val="Normal"/>
    <w:next w:val="Normal"/>
    <w:link w:val="Heading4Char"/>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spacing w:after="0" w:line="240" w:lineRule="auto"/>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rsid w:val="00C83FDB"/>
    <w:rPr>
      <w:rFonts w:asciiTheme="majorHAnsi" w:eastAsiaTheme="majorEastAsia" w:hAnsiTheme="majorHAnsi" w:cstheme="majorBidi"/>
      <w:b/>
      <w:bCs/>
      <w:color w:val="3B0083"/>
      <w:sz w:val="32"/>
      <w:szCs w:val="32"/>
      <w:lang w:val="en-GB"/>
    </w:rPr>
  </w:style>
  <w:style w:type="character" w:customStyle="1" w:styleId="Heading2Char">
    <w:name w:val="Heading 2 Char"/>
    <w:aliases w:val="Heading B Char"/>
    <w:basedOn w:val="DefaultParagraphFont"/>
    <w:link w:val="Heading2"/>
    <w:uiPriority w:val="9"/>
    <w:rsid w:val="00C83FDB"/>
    <w:rPr>
      <w:rFonts w:ascii="Arial" w:eastAsia="MS Gothic" w:hAnsi="Arial" w:cs="Times New Roman"/>
      <w:bCs/>
      <w:iCs/>
      <w:color w:val="331188"/>
      <w:szCs w:val="28"/>
      <w:lang w:val="en-GB"/>
    </w:rPr>
  </w:style>
  <w:style w:type="character" w:customStyle="1" w:styleId="Heading3Char">
    <w:name w:val="Heading 3 Char"/>
    <w:aliases w:val="Heading C Char"/>
    <w:basedOn w:val="DefaultParagraphFont"/>
    <w:link w:val="Heading3"/>
    <w:uiPriority w:val="9"/>
    <w:rsid w:val="003E5CA2"/>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34F6D"/>
    <w:pPr>
      <w:tabs>
        <w:tab w:val="center" w:pos="4320"/>
        <w:tab w:val="right" w:pos="8640"/>
      </w:tabs>
    </w:pPr>
  </w:style>
  <w:style w:type="character" w:customStyle="1" w:styleId="HeaderChar">
    <w:name w:val="Header Char"/>
    <w:basedOn w:val="DefaultParagraphFont"/>
    <w:link w:val="Header"/>
    <w:rsid w:val="00234F6D"/>
    <w:rPr>
      <w:lang w:val="en-GB"/>
    </w:rPr>
  </w:style>
  <w:style w:type="paragraph" w:styleId="Footer">
    <w:name w:val="footer"/>
    <w:basedOn w:val="Normal"/>
    <w:link w:val="FooterChar"/>
    <w:uiPriority w:val="99"/>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iPriority w:val="99"/>
    <w:unhideWhenUsed/>
    <w:rsid w:val="002126E2"/>
    <w:rPr>
      <w:color w:val="0000FF" w:themeColor="hyperlink"/>
      <w:u w:val="single"/>
    </w:rPr>
  </w:style>
  <w:style w:type="table" w:styleId="TableGrid">
    <w:name w:val="Table Grid"/>
    <w:basedOn w:val="TableNormal"/>
    <w:uiPriority w:val="59"/>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72"/>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semiHidden/>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semiHidden/>
    <w:rsid w:val="00475FDA"/>
    <w:pPr>
      <w:tabs>
        <w:tab w:val="right" w:leader="dot" w:pos="9360"/>
      </w:tabs>
      <w:suppressAutoHyphens/>
      <w:spacing w:before="480" w:after="0" w:line="240" w:lineRule="auto"/>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75FDA"/>
    <w:pPr>
      <w:spacing w:after="0" w:line="240" w:lineRule="auto"/>
    </w:pPr>
    <w:rPr>
      <w:rFonts w:ascii="Times Roman" w:eastAsia="Times New Roman" w:hAnsi="Times Roman" w:cs="Times New Roman"/>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paragraph" w:styleId="Revision">
    <w:name w:val="Revision"/>
    <w:hidden/>
    <w:uiPriority w:val="99"/>
    <w:semiHidden/>
    <w:rsid w:val="00BB4C5C"/>
    <w:rPr>
      <w:sz w:val="22"/>
      <w:lang w:val="en-GB"/>
    </w:rPr>
  </w:style>
  <w:style w:type="character" w:styleId="UnresolvedMention">
    <w:name w:val="Unresolved Mention"/>
    <w:basedOn w:val="DefaultParagraphFont"/>
    <w:uiPriority w:val="99"/>
    <w:semiHidden/>
    <w:unhideWhenUsed/>
    <w:rsid w:val="00507EBA"/>
    <w:rPr>
      <w:color w:val="605E5C"/>
      <w:shd w:val="clear" w:color="auto" w:fill="E1DFDD"/>
    </w:rPr>
  </w:style>
  <w:style w:type="paragraph" w:customStyle="1" w:styleId="paragraph">
    <w:name w:val="paragraph"/>
    <w:basedOn w:val="Normal"/>
    <w:rsid w:val="0030506A"/>
    <w:pPr>
      <w:spacing w:before="100" w:beforeAutospacing="1" w:after="100" w:afterAutospacing="1" w:line="240" w:lineRule="auto"/>
    </w:pPr>
    <w:rPr>
      <w:rFonts w:ascii="Times New Roman" w:eastAsia="Times New Roman" w:hAnsi="Times New Roman" w:cs="Times New Roman"/>
      <w:sz w:val="24"/>
      <w:lang w:val="en-NZ" w:eastAsia="en-NZ"/>
    </w:rPr>
  </w:style>
  <w:style w:type="character" w:customStyle="1" w:styleId="normaltextrun">
    <w:name w:val="normaltextrun"/>
    <w:basedOn w:val="DefaultParagraphFont"/>
    <w:rsid w:val="0030506A"/>
  </w:style>
  <w:style w:type="character" w:customStyle="1" w:styleId="eop">
    <w:name w:val="eop"/>
    <w:basedOn w:val="DefaultParagraphFont"/>
    <w:rsid w:val="0030506A"/>
  </w:style>
  <w:style w:type="character" w:customStyle="1" w:styleId="author">
    <w:name w:val="author"/>
    <w:basedOn w:val="DefaultParagraphFont"/>
    <w:rsid w:val="00AC4967"/>
  </w:style>
  <w:style w:type="character" w:customStyle="1" w:styleId="pubyear">
    <w:name w:val="pubyear"/>
    <w:basedOn w:val="DefaultParagraphFont"/>
    <w:rsid w:val="00AC4967"/>
  </w:style>
  <w:style w:type="character" w:customStyle="1" w:styleId="booktitle">
    <w:name w:val="booktitle"/>
    <w:basedOn w:val="DefaultParagraphFont"/>
    <w:rsid w:val="00AC4967"/>
  </w:style>
  <w:style w:type="character" w:customStyle="1" w:styleId="edition">
    <w:name w:val="edition"/>
    <w:basedOn w:val="DefaultParagraphFont"/>
    <w:rsid w:val="00AC4967"/>
  </w:style>
  <w:style w:type="character" w:styleId="FootnoteReference">
    <w:name w:val="footnote reference"/>
    <w:basedOn w:val="DefaultParagraphFont"/>
    <w:semiHidden/>
    <w:unhideWhenUsed/>
    <w:rsid w:val="0023215E"/>
    <w:rPr>
      <w:vertAlign w:val="superscript"/>
    </w:rPr>
  </w:style>
  <w:style w:type="character" w:customStyle="1" w:styleId="xnormaltextrun">
    <w:name w:val="x_normaltextrun"/>
    <w:basedOn w:val="DefaultParagraphFont"/>
    <w:rsid w:val="007B63AD"/>
  </w:style>
  <w:style w:type="character" w:customStyle="1" w:styleId="csl-entry">
    <w:name w:val="csl-entry"/>
    <w:basedOn w:val="DefaultParagraphFont"/>
    <w:rsid w:val="000866C4"/>
  </w:style>
  <w:style w:type="character" w:customStyle="1" w:styleId="cf01">
    <w:name w:val="cf01"/>
    <w:basedOn w:val="DefaultParagraphFont"/>
    <w:rsid w:val="00E034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6762">
      <w:bodyDiv w:val="1"/>
      <w:marLeft w:val="0"/>
      <w:marRight w:val="0"/>
      <w:marTop w:val="0"/>
      <w:marBottom w:val="0"/>
      <w:divBdr>
        <w:top w:val="none" w:sz="0" w:space="0" w:color="auto"/>
        <w:left w:val="none" w:sz="0" w:space="0" w:color="auto"/>
        <w:bottom w:val="none" w:sz="0" w:space="0" w:color="auto"/>
        <w:right w:val="none" w:sz="0" w:space="0" w:color="auto"/>
      </w:divBdr>
    </w:div>
    <w:div w:id="36396861">
      <w:bodyDiv w:val="1"/>
      <w:marLeft w:val="0"/>
      <w:marRight w:val="0"/>
      <w:marTop w:val="0"/>
      <w:marBottom w:val="0"/>
      <w:divBdr>
        <w:top w:val="none" w:sz="0" w:space="0" w:color="auto"/>
        <w:left w:val="none" w:sz="0" w:space="0" w:color="auto"/>
        <w:bottom w:val="none" w:sz="0" w:space="0" w:color="auto"/>
        <w:right w:val="none" w:sz="0" w:space="0" w:color="auto"/>
      </w:divBdr>
    </w:div>
    <w:div w:id="138613374">
      <w:bodyDiv w:val="1"/>
      <w:marLeft w:val="0"/>
      <w:marRight w:val="0"/>
      <w:marTop w:val="0"/>
      <w:marBottom w:val="0"/>
      <w:divBdr>
        <w:top w:val="none" w:sz="0" w:space="0" w:color="auto"/>
        <w:left w:val="none" w:sz="0" w:space="0" w:color="auto"/>
        <w:bottom w:val="none" w:sz="0" w:space="0" w:color="auto"/>
        <w:right w:val="none" w:sz="0" w:space="0" w:color="auto"/>
      </w:divBdr>
    </w:div>
    <w:div w:id="151023823">
      <w:bodyDiv w:val="1"/>
      <w:marLeft w:val="0"/>
      <w:marRight w:val="0"/>
      <w:marTop w:val="0"/>
      <w:marBottom w:val="0"/>
      <w:divBdr>
        <w:top w:val="none" w:sz="0" w:space="0" w:color="auto"/>
        <w:left w:val="none" w:sz="0" w:space="0" w:color="auto"/>
        <w:bottom w:val="none" w:sz="0" w:space="0" w:color="auto"/>
        <w:right w:val="none" w:sz="0" w:space="0" w:color="auto"/>
      </w:divBdr>
    </w:div>
    <w:div w:id="188377655">
      <w:bodyDiv w:val="1"/>
      <w:marLeft w:val="0"/>
      <w:marRight w:val="0"/>
      <w:marTop w:val="0"/>
      <w:marBottom w:val="0"/>
      <w:divBdr>
        <w:top w:val="none" w:sz="0" w:space="0" w:color="auto"/>
        <w:left w:val="none" w:sz="0" w:space="0" w:color="auto"/>
        <w:bottom w:val="none" w:sz="0" w:space="0" w:color="auto"/>
        <w:right w:val="none" w:sz="0" w:space="0" w:color="auto"/>
      </w:divBdr>
    </w:div>
    <w:div w:id="263147272">
      <w:bodyDiv w:val="1"/>
      <w:marLeft w:val="0"/>
      <w:marRight w:val="0"/>
      <w:marTop w:val="0"/>
      <w:marBottom w:val="0"/>
      <w:divBdr>
        <w:top w:val="none" w:sz="0" w:space="0" w:color="auto"/>
        <w:left w:val="none" w:sz="0" w:space="0" w:color="auto"/>
        <w:bottom w:val="none" w:sz="0" w:space="0" w:color="auto"/>
        <w:right w:val="none" w:sz="0" w:space="0" w:color="auto"/>
      </w:divBdr>
      <w:divsChild>
        <w:div w:id="49035001">
          <w:marLeft w:val="0"/>
          <w:marRight w:val="0"/>
          <w:marTop w:val="0"/>
          <w:marBottom w:val="0"/>
          <w:divBdr>
            <w:top w:val="none" w:sz="0" w:space="0" w:color="auto"/>
            <w:left w:val="none" w:sz="0" w:space="0" w:color="auto"/>
            <w:bottom w:val="none" w:sz="0" w:space="0" w:color="auto"/>
            <w:right w:val="none" w:sz="0" w:space="0" w:color="auto"/>
          </w:divBdr>
        </w:div>
      </w:divsChild>
    </w:div>
    <w:div w:id="304822709">
      <w:bodyDiv w:val="1"/>
      <w:marLeft w:val="0"/>
      <w:marRight w:val="0"/>
      <w:marTop w:val="0"/>
      <w:marBottom w:val="0"/>
      <w:divBdr>
        <w:top w:val="none" w:sz="0" w:space="0" w:color="auto"/>
        <w:left w:val="none" w:sz="0" w:space="0" w:color="auto"/>
        <w:bottom w:val="none" w:sz="0" w:space="0" w:color="auto"/>
        <w:right w:val="none" w:sz="0" w:space="0" w:color="auto"/>
      </w:divBdr>
    </w:div>
    <w:div w:id="430852857">
      <w:bodyDiv w:val="1"/>
      <w:marLeft w:val="0"/>
      <w:marRight w:val="0"/>
      <w:marTop w:val="0"/>
      <w:marBottom w:val="0"/>
      <w:divBdr>
        <w:top w:val="none" w:sz="0" w:space="0" w:color="auto"/>
        <w:left w:val="none" w:sz="0" w:space="0" w:color="auto"/>
        <w:bottom w:val="none" w:sz="0" w:space="0" w:color="auto"/>
        <w:right w:val="none" w:sz="0" w:space="0" w:color="auto"/>
      </w:divBdr>
    </w:div>
    <w:div w:id="497112229">
      <w:bodyDiv w:val="1"/>
      <w:marLeft w:val="0"/>
      <w:marRight w:val="0"/>
      <w:marTop w:val="0"/>
      <w:marBottom w:val="0"/>
      <w:divBdr>
        <w:top w:val="none" w:sz="0" w:space="0" w:color="auto"/>
        <w:left w:val="none" w:sz="0" w:space="0" w:color="auto"/>
        <w:bottom w:val="none" w:sz="0" w:space="0" w:color="auto"/>
        <w:right w:val="none" w:sz="0" w:space="0" w:color="auto"/>
      </w:divBdr>
    </w:div>
    <w:div w:id="511795043">
      <w:bodyDiv w:val="1"/>
      <w:marLeft w:val="0"/>
      <w:marRight w:val="0"/>
      <w:marTop w:val="0"/>
      <w:marBottom w:val="0"/>
      <w:divBdr>
        <w:top w:val="none" w:sz="0" w:space="0" w:color="auto"/>
        <w:left w:val="none" w:sz="0" w:space="0" w:color="auto"/>
        <w:bottom w:val="none" w:sz="0" w:space="0" w:color="auto"/>
        <w:right w:val="none" w:sz="0" w:space="0" w:color="auto"/>
      </w:divBdr>
    </w:div>
    <w:div w:id="553274151">
      <w:bodyDiv w:val="1"/>
      <w:marLeft w:val="0"/>
      <w:marRight w:val="0"/>
      <w:marTop w:val="0"/>
      <w:marBottom w:val="0"/>
      <w:divBdr>
        <w:top w:val="none" w:sz="0" w:space="0" w:color="auto"/>
        <w:left w:val="none" w:sz="0" w:space="0" w:color="auto"/>
        <w:bottom w:val="none" w:sz="0" w:space="0" w:color="auto"/>
        <w:right w:val="none" w:sz="0" w:space="0" w:color="auto"/>
      </w:divBdr>
    </w:div>
    <w:div w:id="556937138">
      <w:bodyDiv w:val="1"/>
      <w:marLeft w:val="0"/>
      <w:marRight w:val="0"/>
      <w:marTop w:val="0"/>
      <w:marBottom w:val="0"/>
      <w:divBdr>
        <w:top w:val="none" w:sz="0" w:space="0" w:color="auto"/>
        <w:left w:val="none" w:sz="0" w:space="0" w:color="auto"/>
        <w:bottom w:val="none" w:sz="0" w:space="0" w:color="auto"/>
        <w:right w:val="none" w:sz="0" w:space="0" w:color="auto"/>
      </w:divBdr>
    </w:div>
    <w:div w:id="569849850">
      <w:bodyDiv w:val="1"/>
      <w:marLeft w:val="0"/>
      <w:marRight w:val="0"/>
      <w:marTop w:val="0"/>
      <w:marBottom w:val="0"/>
      <w:divBdr>
        <w:top w:val="none" w:sz="0" w:space="0" w:color="auto"/>
        <w:left w:val="none" w:sz="0" w:space="0" w:color="auto"/>
        <w:bottom w:val="none" w:sz="0" w:space="0" w:color="auto"/>
        <w:right w:val="none" w:sz="0" w:space="0" w:color="auto"/>
      </w:divBdr>
    </w:div>
    <w:div w:id="600995364">
      <w:bodyDiv w:val="1"/>
      <w:marLeft w:val="0"/>
      <w:marRight w:val="0"/>
      <w:marTop w:val="0"/>
      <w:marBottom w:val="0"/>
      <w:divBdr>
        <w:top w:val="none" w:sz="0" w:space="0" w:color="auto"/>
        <w:left w:val="none" w:sz="0" w:space="0" w:color="auto"/>
        <w:bottom w:val="none" w:sz="0" w:space="0" w:color="auto"/>
        <w:right w:val="none" w:sz="0" w:space="0" w:color="auto"/>
      </w:divBdr>
    </w:div>
    <w:div w:id="678123246">
      <w:bodyDiv w:val="1"/>
      <w:marLeft w:val="0"/>
      <w:marRight w:val="0"/>
      <w:marTop w:val="0"/>
      <w:marBottom w:val="0"/>
      <w:divBdr>
        <w:top w:val="none" w:sz="0" w:space="0" w:color="auto"/>
        <w:left w:val="none" w:sz="0" w:space="0" w:color="auto"/>
        <w:bottom w:val="none" w:sz="0" w:space="0" w:color="auto"/>
        <w:right w:val="none" w:sz="0" w:space="0" w:color="auto"/>
      </w:divBdr>
    </w:div>
    <w:div w:id="712582292">
      <w:bodyDiv w:val="1"/>
      <w:marLeft w:val="0"/>
      <w:marRight w:val="0"/>
      <w:marTop w:val="0"/>
      <w:marBottom w:val="0"/>
      <w:divBdr>
        <w:top w:val="none" w:sz="0" w:space="0" w:color="auto"/>
        <w:left w:val="none" w:sz="0" w:space="0" w:color="auto"/>
        <w:bottom w:val="none" w:sz="0" w:space="0" w:color="auto"/>
        <w:right w:val="none" w:sz="0" w:space="0" w:color="auto"/>
      </w:divBdr>
    </w:div>
    <w:div w:id="767964414">
      <w:bodyDiv w:val="1"/>
      <w:marLeft w:val="0"/>
      <w:marRight w:val="0"/>
      <w:marTop w:val="0"/>
      <w:marBottom w:val="0"/>
      <w:divBdr>
        <w:top w:val="none" w:sz="0" w:space="0" w:color="auto"/>
        <w:left w:val="none" w:sz="0" w:space="0" w:color="auto"/>
        <w:bottom w:val="none" w:sz="0" w:space="0" w:color="auto"/>
        <w:right w:val="none" w:sz="0" w:space="0" w:color="auto"/>
      </w:divBdr>
    </w:div>
    <w:div w:id="818501546">
      <w:bodyDiv w:val="1"/>
      <w:marLeft w:val="0"/>
      <w:marRight w:val="0"/>
      <w:marTop w:val="0"/>
      <w:marBottom w:val="0"/>
      <w:divBdr>
        <w:top w:val="none" w:sz="0" w:space="0" w:color="auto"/>
        <w:left w:val="none" w:sz="0" w:space="0" w:color="auto"/>
        <w:bottom w:val="none" w:sz="0" w:space="0" w:color="auto"/>
        <w:right w:val="none" w:sz="0" w:space="0" w:color="auto"/>
      </w:divBdr>
    </w:div>
    <w:div w:id="822700454">
      <w:bodyDiv w:val="1"/>
      <w:marLeft w:val="0"/>
      <w:marRight w:val="0"/>
      <w:marTop w:val="0"/>
      <w:marBottom w:val="0"/>
      <w:divBdr>
        <w:top w:val="none" w:sz="0" w:space="0" w:color="auto"/>
        <w:left w:val="none" w:sz="0" w:space="0" w:color="auto"/>
        <w:bottom w:val="none" w:sz="0" w:space="0" w:color="auto"/>
        <w:right w:val="none" w:sz="0" w:space="0" w:color="auto"/>
      </w:divBdr>
    </w:div>
    <w:div w:id="936789932">
      <w:bodyDiv w:val="1"/>
      <w:marLeft w:val="0"/>
      <w:marRight w:val="0"/>
      <w:marTop w:val="0"/>
      <w:marBottom w:val="0"/>
      <w:divBdr>
        <w:top w:val="none" w:sz="0" w:space="0" w:color="auto"/>
        <w:left w:val="none" w:sz="0" w:space="0" w:color="auto"/>
        <w:bottom w:val="none" w:sz="0" w:space="0" w:color="auto"/>
        <w:right w:val="none" w:sz="0" w:space="0" w:color="auto"/>
      </w:divBdr>
      <w:divsChild>
        <w:div w:id="1362050316">
          <w:marLeft w:val="0"/>
          <w:marRight w:val="0"/>
          <w:marTop w:val="0"/>
          <w:marBottom w:val="0"/>
          <w:divBdr>
            <w:top w:val="none" w:sz="0" w:space="0" w:color="auto"/>
            <w:left w:val="none" w:sz="0" w:space="0" w:color="auto"/>
            <w:bottom w:val="none" w:sz="0" w:space="0" w:color="auto"/>
            <w:right w:val="none" w:sz="0" w:space="0" w:color="auto"/>
          </w:divBdr>
        </w:div>
        <w:div w:id="498082072">
          <w:marLeft w:val="0"/>
          <w:marRight w:val="0"/>
          <w:marTop w:val="0"/>
          <w:marBottom w:val="0"/>
          <w:divBdr>
            <w:top w:val="none" w:sz="0" w:space="0" w:color="auto"/>
            <w:left w:val="none" w:sz="0" w:space="0" w:color="auto"/>
            <w:bottom w:val="none" w:sz="0" w:space="0" w:color="auto"/>
            <w:right w:val="none" w:sz="0" w:space="0" w:color="auto"/>
          </w:divBdr>
        </w:div>
        <w:div w:id="1546991895">
          <w:marLeft w:val="0"/>
          <w:marRight w:val="0"/>
          <w:marTop w:val="0"/>
          <w:marBottom w:val="0"/>
          <w:divBdr>
            <w:top w:val="none" w:sz="0" w:space="0" w:color="auto"/>
            <w:left w:val="none" w:sz="0" w:space="0" w:color="auto"/>
            <w:bottom w:val="none" w:sz="0" w:space="0" w:color="auto"/>
            <w:right w:val="none" w:sz="0" w:space="0" w:color="auto"/>
          </w:divBdr>
          <w:divsChild>
            <w:div w:id="1561860370">
              <w:marLeft w:val="0"/>
              <w:marRight w:val="0"/>
              <w:marTop w:val="30"/>
              <w:marBottom w:val="30"/>
              <w:divBdr>
                <w:top w:val="none" w:sz="0" w:space="0" w:color="auto"/>
                <w:left w:val="none" w:sz="0" w:space="0" w:color="auto"/>
                <w:bottom w:val="none" w:sz="0" w:space="0" w:color="auto"/>
                <w:right w:val="none" w:sz="0" w:space="0" w:color="auto"/>
              </w:divBdr>
              <w:divsChild>
                <w:div w:id="1148011718">
                  <w:marLeft w:val="0"/>
                  <w:marRight w:val="0"/>
                  <w:marTop w:val="0"/>
                  <w:marBottom w:val="0"/>
                  <w:divBdr>
                    <w:top w:val="none" w:sz="0" w:space="0" w:color="auto"/>
                    <w:left w:val="none" w:sz="0" w:space="0" w:color="auto"/>
                    <w:bottom w:val="none" w:sz="0" w:space="0" w:color="auto"/>
                    <w:right w:val="none" w:sz="0" w:space="0" w:color="auto"/>
                  </w:divBdr>
                  <w:divsChild>
                    <w:div w:id="750783951">
                      <w:marLeft w:val="0"/>
                      <w:marRight w:val="0"/>
                      <w:marTop w:val="0"/>
                      <w:marBottom w:val="0"/>
                      <w:divBdr>
                        <w:top w:val="none" w:sz="0" w:space="0" w:color="auto"/>
                        <w:left w:val="none" w:sz="0" w:space="0" w:color="auto"/>
                        <w:bottom w:val="none" w:sz="0" w:space="0" w:color="auto"/>
                        <w:right w:val="none" w:sz="0" w:space="0" w:color="auto"/>
                      </w:divBdr>
                    </w:div>
                  </w:divsChild>
                </w:div>
                <w:div w:id="956640460">
                  <w:marLeft w:val="0"/>
                  <w:marRight w:val="0"/>
                  <w:marTop w:val="0"/>
                  <w:marBottom w:val="0"/>
                  <w:divBdr>
                    <w:top w:val="none" w:sz="0" w:space="0" w:color="auto"/>
                    <w:left w:val="none" w:sz="0" w:space="0" w:color="auto"/>
                    <w:bottom w:val="none" w:sz="0" w:space="0" w:color="auto"/>
                    <w:right w:val="none" w:sz="0" w:space="0" w:color="auto"/>
                  </w:divBdr>
                  <w:divsChild>
                    <w:div w:id="43599084">
                      <w:marLeft w:val="0"/>
                      <w:marRight w:val="0"/>
                      <w:marTop w:val="0"/>
                      <w:marBottom w:val="0"/>
                      <w:divBdr>
                        <w:top w:val="none" w:sz="0" w:space="0" w:color="auto"/>
                        <w:left w:val="none" w:sz="0" w:space="0" w:color="auto"/>
                        <w:bottom w:val="none" w:sz="0" w:space="0" w:color="auto"/>
                        <w:right w:val="none" w:sz="0" w:space="0" w:color="auto"/>
                      </w:divBdr>
                    </w:div>
                  </w:divsChild>
                </w:div>
                <w:div w:id="1382827877">
                  <w:marLeft w:val="0"/>
                  <w:marRight w:val="0"/>
                  <w:marTop w:val="0"/>
                  <w:marBottom w:val="0"/>
                  <w:divBdr>
                    <w:top w:val="none" w:sz="0" w:space="0" w:color="auto"/>
                    <w:left w:val="none" w:sz="0" w:space="0" w:color="auto"/>
                    <w:bottom w:val="none" w:sz="0" w:space="0" w:color="auto"/>
                    <w:right w:val="none" w:sz="0" w:space="0" w:color="auto"/>
                  </w:divBdr>
                  <w:divsChild>
                    <w:div w:id="583609880">
                      <w:marLeft w:val="0"/>
                      <w:marRight w:val="0"/>
                      <w:marTop w:val="0"/>
                      <w:marBottom w:val="0"/>
                      <w:divBdr>
                        <w:top w:val="none" w:sz="0" w:space="0" w:color="auto"/>
                        <w:left w:val="none" w:sz="0" w:space="0" w:color="auto"/>
                        <w:bottom w:val="none" w:sz="0" w:space="0" w:color="auto"/>
                        <w:right w:val="none" w:sz="0" w:space="0" w:color="auto"/>
                      </w:divBdr>
                    </w:div>
                  </w:divsChild>
                </w:div>
                <w:div w:id="928270634">
                  <w:marLeft w:val="0"/>
                  <w:marRight w:val="0"/>
                  <w:marTop w:val="0"/>
                  <w:marBottom w:val="0"/>
                  <w:divBdr>
                    <w:top w:val="none" w:sz="0" w:space="0" w:color="auto"/>
                    <w:left w:val="none" w:sz="0" w:space="0" w:color="auto"/>
                    <w:bottom w:val="none" w:sz="0" w:space="0" w:color="auto"/>
                    <w:right w:val="none" w:sz="0" w:space="0" w:color="auto"/>
                  </w:divBdr>
                  <w:divsChild>
                    <w:div w:id="444233624">
                      <w:marLeft w:val="0"/>
                      <w:marRight w:val="0"/>
                      <w:marTop w:val="0"/>
                      <w:marBottom w:val="0"/>
                      <w:divBdr>
                        <w:top w:val="none" w:sz="0" w:space="0" w:color="auto"/>
                        <w:left w:val="none" w:sz="0" w:space="0" w:color="auto"/>
                        <w:bottom w:val="none" w:sz="0" w:space="0" w:color="auto"/>
                        <w:right w:val="none" w:sz="0" w:space="0" w:color="auto"/>
                      </w:divBdr>
                    </w:div>
                  </w:divsChild>
                </w:div>
                <w:div w:id="1792744035">
                  <w:marLeft w:val="0"/>
                  <w:marRight w:val="0"/>
                  <w:marTop w:val="0"/>
                  <w:marBottom w:val="0"/>
                  <w:divBdr>
                    <w:top w:val="none" w:sz="0" w:space="0" w:color="auto"/>
                    <w:left w:val="none" w:sz="0" w:space="0" w:color="auto"/>
                    <w:bottom w:val="none" w:sz="0" w:space="0" w:color="auto"/>
                    <w:right w:val="none" w:sz="0" w:space="0" w:color="auto"/>
                  </w:divBdr>
                  <w:divsChild>
                    <w:div w:id="1534222008">
                      <w:marLeft w:val="0"/>
                      <w:marRight w:val="0"/>
                      <w:marTop w:val="0"/>
                      <w:marBottom w:val="0"/>
                      <w:divBdr>
                        <w:top w:val="none" w:sz="0" w:space="0" w:color="auto"/>
                        <w:left w:val="none" w:sz="0" w:space="0" w:color="auto"/>
                        <w:bottom w:val="none" w:sz="0" w:space="0" w:color="auto"/>
                        <w:right w:val="none" w:sz="0" w:space="0" w:color="auto"/>
                      </w:divBdr>
                    </w:div>
                  </w:divsChild>
                </w:div>
                <w:div w:id="810949202">
                  <w:marLeft w:val="0"/>
                  <w:marRight w:val="0"/>
                  <w:marTop w:val="0"/>
                  <w:marBottom w:val="0"/>
                  <w:divBdr>
                    <w:top w:val="none" w:sz="0" w:space="0" w:color="auto"/>
                    <w:left w:val="none" w:sz="0" w:space="0" w:color="auto"/>
                    <w:bottom w:val="none" w:sz="0" w:space="0" w:color="auto"/>
                    <w:right w:val="none" w:sz="0" w:space="0" w:color="auto"/>
                  </w:divBdr>
                  <w:divsChild>
                    <w:div w:id="1736971453">
                      <w:marLeft w:val="0"/>
                      <w:marRight w:val="0"/>
                      <w:marTop w:val="0"/>
                      <w:marBottom w:val="0"/>
                      <w:divBdr>
                        <w:top w:val="none" w:sz="0" w:space="0" w:color="auto"/>
                        <w:left w:val="none" w:sz="0" w:space="0" w:color="auto"/>
                        <w:bottom w:val="none" w:sz="0" w:space="0" w:color="auto"/>
                        <w:right w:val="none" w:sz="0" w:space="0" w:color="auto"/>
                      </w:divBdr>
                    </w:div>
                    <w:div w:id="721372580">
                      <w:marLeft w:val="0"/>
                      <w:marRight w:val="0"/>
                      <w:marTop w:val="0"/>
                      <w:marBottom w:val="0"/>
                      <w:divBdr>
                        <w:top w:val="none" w:sz="0" w:space="0" w:color="auto"/>
                        <w:left w:val="none" w:sz="0" w:space="0" w:color="auto"/>
                        <w:bottom w:val="none" w:sz="0" w:space="0" w:color="auto"/>
                        <w:right w:val="none" w:sz="0" w:space="0" w:color="auto"/>
                      </w:divBdr>
                    </w:div>
                  </w:divsChild>
                </w:div>
                <w:div w:id="421267013">
                  <w:marLeft w:val="0"/>
                  <w:marRight w:val="0"/>
                  <w:marTop w:val="0"/>
                  <w:marBottom w:val="0"/>
                  <w:divBdr>
                    <w:top w:val="none" w:sz="0" w:space="0" w:color="auto"/>
                    <w:left w:val="none" w:sz="0" w:space="0" w:color="auto"/>
                    <w:bottom w:val="none" w:sz="0" w:space="0" w:color="auto"/>
                    <w:right w:val="none" w:sz="0" w:space="0" w:color="auto"/>
                  </w:divBdr>
                  <w:divsChild>
                    <w:div w:id="1394960579">
                      <w:marLeft w:val="0"/>
                      <w:marRight w:val="0"/>
                      <w:marTop w:val="0"/>
                      <w:marBottom w:val="0"/>
                      <w:divBdr>
                        <w:top w:val="none" w:sz="0" w:space="0" w:color="auto"/>
                        <w:left w:val="none" w:sz="0" w:space="0" w:color="auto"/>
                        <w:bottom w:val="none" w:sz="0" w:space="0" w:color="auto"/>
                        <w:right w:val="none" w:sz="0" w:space="0" w:color="auto"/>
                      </w:divBdr>
                    </w:div>
                  </w:divsChild>
                </w:div>
                <w:div w:id="1809319392">
                  <w:marLeft w:val="0"/>
                  <w:marRight w:val="0"/>
                  <w:marTop w:val="0"/>
                  <w:marBottom w:val="0"/>
                  <w:divBdr>
                    <w:top w:val="none" w:sz="0" w:space="0" w:color="auto"/>
                    <w:left w:val="none" w:sz="0" w:space="0" w:color="auto"/>
                    <w:bottom w:val="none" w:sz="0" w:space="0" w:color="auto"/>
                    <w:right w:val="none" w:sz="0" w:space="0" w:color="auto"/>
                  </w:divBdr>
                  <w:divsChild>
                    <w:div w:id="152568795">
                      <w:marLeft w:val="0"/>
                      <w:marRight w:val="0"/>
                      <w:marTop w:val="0"/>
                      <w:marBottom w:val="0"/>
                      <w:divBdr>
                        <w:top w:val="none" w:sz="0" w:space="0" w:color="auto"/>
                        <w:left w:val="none" w:sz="0" w:space="0" w:color="auto"/>
                        <w:bottom w:val="none" w:sz="0" w:space="0" w:color="auto"/>
                        <w:right w:val="none" w:sz="0" w:space="0" w:color="auto"/>
                      </w:divBdr>
                    </w:div>
                  </w:divsChild>
                </w:div>
                <w:div w:id="1042823753">
                  <w:marLeft w:val="0"/>
                  <w:marRight w:val="0"/>
                  <w:marTop w:val="0"/>
                  <w:marBottom w:val="0"/>
                  <w:divBdr>
                    <w:top w:val="none" w:sz="0" w:space="0" w:color="auto"/>
                    <w:left w:val="none" w:sz="0" w:space="0" w:color="auto"/>
                    <w:bottom w:val="none" w:sz="0" w:space="0" w:color="auto"/>
                    <w:right w:val="none" w:sz="0" w:space="0" w:color="auto"/>
                  </w:divBdr>
                  <w:divsChild>
                    <w:div w:id="1800342305">
                      <w:marLeft w:val="0"/>
                      <w:marRight w:val="0"/>
                      <w:marTop w:val="0"/>
                      <w:marBottom w:val="0"/>
                      <w:divBdr>
                        <w:top w:val="none" w:sz="0" w:space="0" w:color="auto"/>
                        <w:left w:val="none" w:sz="0" w:space="0" w:color="auto"/>
                        <w:bottom w:val="none" w:sz="0" w:space="0" w:color="auto"/>
                        <w:right w:val="none" w:sz="0" w:space="0" w:color="auto"/>
                      </w:divBdr>
                    </w:div>
                    <w:div w:id="2125879934">
                      <w:marLeft w:val="0"/>
                      <w:marRight w:val="0"/>
                      <w:marTop w:val="0"/>
                      <w:marBottom w:val="0"/>
                      <w:divBdr>
                        <w:top w:val="none" w:sz="0" w:space="0" w:color="auto"/>
                        <w:left w:val="none" w:sz="0" w:space="0" w:color="auto"/>
                        <w:bottom w:val="none" w:sz="0" w:space="0" w:color="auto"/>
                        <w:right w:val="none" w:sz="0" w:space="0" w:color="auto"/>
                      </w:divBdr>
                    </w:div>
                  </w:divsChild>
                </w:div>
                <w:div w:id="367023850">
                  <w:marLeft w:val="0"/>
                  <w:marRight w:val="0"/>
                  <w:marTop w:val="0"/>
                  <w:marBottom w:val="0"/>
                  <w:divBdr>
                    <w:top w:val="none" w:sz="0" w:space="0" w:color="auto"/>
                    <w:left w:val="none" w:sz="0" w:space="0" w:color="auto"/>
                    <w:bottom w:val="none" w:sz="0" w:space="0" w:color="auto"/>
                    <w:right w:val="none" w:sz="0" w:space="0" w:color="auto"/>
                  </w:divBdr>
                  <w:divsChild>
                    <w:div w:id="740492025">
                      <w:marLeft w:val="0"/>
                      <w:marRight w:val="0"/>
                      <w:marTop w:val="0"/>
                      <w:marBottom w:val="0"/>
                      <w:divBdr>
                        <w:top w:val="none" w:sz="0" w:space="0" w:color="auto"/>
                        <w:left w:val="none" w:sz="0" w:space="0" w:color="auto"/>
                        <w:bottom w:val="none" w:sz="0" w:space="0" w:color="auto"/>
                        <w:right w:val="none" w:sz="0" w:space="0" w:color="auto"/>
                      </w:divBdr>
                    </w:div>
                  </w:divsChild>
                </w:div>
                <w:div w:id="1011837628">
                  <w:marLeft w:val="0"/>
                  <w:marRight w:val="0"/>
                  <w:marTop w:val="0"/>
                  <w:marBottom w:val="0"/>
                  <w:divBdr>
                    <w:top w:val="none" w:sz="0" w:space="0" w:color="auto"/>
                    <w:left w:val="none" w:sz="0" w:space="0" w:color="auto"/>
                    <w:bottom w:val="none" w:sz="0" w:space="0" w:color="auto"/>
                    <w:right w:val="none" w:sz="0" w:space="0" w:color="auto"/>
                  </w:divBdr>
                  <w:divsChild>
                    <w:div w:id="30350483">
                      <w:marLeft w:val="0"/>
                      <w:marRight w:val="0"/>
                      <w:marTop w:val="0"/>
                      <w:marBottom w:val="0"/>
                      <w:divBdr>
                        <w:top w:val="none" w:sz="0" w:space="0" w:color="auto"/>
                        <w:left w:val="none" w:sz="0" w:space="0" w:color="auto"/>
                        <w:bottom w:val="none" w:sz="0" w:space="0" w:color="auto"/>
                        <w:right w:val="none" w:sz="0" w:space="0" w:color="auto"/>
                      </w:divBdr>
                    </w:div>
                  </w:divsChild>
                </w:div>
                <w:div w:id="808597512">
                  <w:marLeft w:val="0"/>
                  <w:marRight w:val="0"/>
                  <w:marTop w:val="0"/>
                  <w:marBottom w:val="0"/>
                  <w:divBdr>
                    <w:top w:val="none" w:sz="0" w:space="0" w:color="auto"/>
                    <w:left w:val="none" w:sz="0" w:space="0" w:color="auto"/>
                    <w:bottom w:val="none" w:sz="0" w:space="0" w:color="auto"/>
                    <w:right w:val="none" w:sz="0" w:space="0" w:color="auto"/>
                  </w:divBdr>
                  <w:divsChild>
                    <w:div w:id="12640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648974">
      <w:bodyDiv w:val="1"/>
      <w:marLeft w:val="0"/>
      <w:marRight w:val="0"/>
      <w:marTop w:val="0"/>
      <w:marBottom w:val="0"/>
      <w:divBdr>
        <w:top w:val="none" w:sz="0" w:space="0" w:color="auto"/>
        <w:left w:val="none" w:sz="0" w:space="0" w:color="auto"/>
        <w:bottom w:val="none" w:sz="0" w:space="0" w:color="auto"/>
        <w:right w:val="none" w:sz="0" w:space="0" w:color="auto"/>
      </w:divBdr>
    </w:div>
    <w:div w:id="1074625532">
      <w:bodyDiv w:val="1"/>
      <w:marLeft w:val="0"/>
      <w:marRight w:val="0"/>
      <w:marTop w:val="0"/>
      <w:marBottom w:val="0"/>
      <w:divBdr>
        <w:top w:val="none" w:sz="0" w:space="0" w:color="auto"/>
        <w:left w:val="none" w:sz="0" w:space="0" w:color="auto"/>
        <w:bottom w:val="none" w:sz="0" w:space="0" w:color="auto"/>
        <w:right w:val="none" w:sz="0" w:space="0" w:color="auto"/>
      </w:divBdr>
    </w:div>
    <w:div w:id="1122460463">
      <w:bodyDiv w:val="1"/>
      <w:marLeft w:val="0"/>
      <w:marRight w:val="0"/>
      <w:marTop w:val="0"/>
      <w:marBottom w:val="0"/>
      <w:divBdr>
        <w:top w:val="none" w:sz="0" w:space="0" w:color="auto"/>
        <w:left w:val="none" w:sz="0" w:space="0" w:color="auto"/>
        <w:bottom w:val="none" w:sz="0" w:space="0" w:color="auto"/>
        <w:right w:val="none" w:sz="0" w:space="0" w:color="auto"/>
      </w:divBdr>
      <w:divsChild>
        <w:div w:id="1021123704">
          <w:marLeft w:val="0"/>
          <w:marRight w:val="0"/>
          <w:marTop w:val="0"/>
          <w:marBottom w:val="0"/>
          <w:divBdr>
            <w:top w:val="none" w:sz="0" w:space="0" w:color="auto"/>
            <w:left w:val="none" w:sz="0" w:space="0" w:color="auto"/>
            <w:bottom w:val="none" w:sz="0" w:space="0" w:color="auto"/>
            <w:right w:val="none" w:sz="0" w:space="0" w:color="auto"/>
          </w:divBdr>
        </w:div>
      </w:divsChild>
    </w:div>
    <w:div w:id="1130513620">
      <w:bodyDiv w:val="1"/>
      <w:marLeft w:val="0"/>
      <w:marRight w:val="0"/>
      <w:marTop w:val="0"/>
      <w:marBottom w:val="0"/>
      <w:divBdr>
        <w:top w:val="none" w:sz="0" w:space="0" w:color="auto"/>
        <w:left w:val="none" w:sz="0" w:space="0" w:color="auto"/>
        <w:bottom w:val="none" w:sz="0" w:space="0" w:color="auto"/>
        <w:right w:val="none" w:sz="0" w:space="0" w:color="auto"/>
      </w:divBdr>
    </w:div>
    <w:div w:id="1142043846">
      <w:bodyDiv w:val="1"/>
      <w:marLeft w:val="0"/>
      <w:marRight w:val="0"/>
      <w:marTop w:val="0"/>
      <w:marBottom w:val="0"/>
      <w:divBdr>
        <w:top w:val="none" w:sz="0" w:space="0" w:color="auto"/>
        <w:left w:val="none" w:sz="0" w:space="0" w:color="auto"/>
        <w:bottom w:val="none" w:sz="0" w:space="0" w:color="auto"/>
        <w:right w:val="none" w:sz="0" w:space="0" w:color="auto"/>
      </w:divBdr>
    </w:div>
    <w:div w:id="1214152674">
      <w:bodyDiv w:val="1"/>
      <w:marLeft w:val="0"/>
      <w:marRight w:val="0"/>
      <w:marTop w:val="0"/>
      <w:marBottom w:val="0"/>
      <w:divBdr>
        <w:top w:val="none" w:sz="0" w:space="0" w:color="auto"/>
        <w:left w:val="none" w:sz="0" w:space="0" w:color="auto"/>
        <w:bottom w:val="none" w:sz="0" w:space="0" w:color="auto"/>
        <w:right w:val="none" w:sz="0" w:space="0" w:color="auto"/>
      </w:divBdr>
    </w:div>
    <w:div w:id="1295332674">
      <w:bodyDiv w:val="1"/>
      <w:marLeft w:val="0"/>
      <w:marRight w:val="0"/>
      <w:marTop w:val="0"/>
      <w:marBottom w:val="0"/>
      <w:divBdr>
        <w:top w:val="none" w:sz="0" w:space="0" w:color="auto"/>
        <w:left w:val="none" w:sz="0" w:space="0" w:color="auto"/>
        <w:bottom w:val="none" w:sz="0" w:space="0" w:color="auto"/>
        <w:right w:val="none" w:sz="0" w:space="0" w:color="auto"/>
      </w:divBdr>
    </w:div>
    <w:div w:id="1361860324">
      <w:bodyDiv w:val="1"/>
      <w:marLeft w:val="0"/>
      <w:marRight w:val="0"/>
      <w:marTop w:val="0"/>
      <w:marBottom w:val="0"/>
      <w:divBdr>
        <w:top w:val="none" w:sz="0" w:space="0" w:color="auto"/>
        <w:left w:val="none" w:sz="0" w:space="0" w:color="auto"/>
        <w:bottom w:val="none" w:sz="0" w:space="0" w:color="auto"/>
        <w:right w:val="none" w:sz="0" w:space="0" w:color="auto"/>
      </w:divBdr>
    </w:div>
    <w:div w:id="1425690531">
      <w:bodyDiv w:val="1"/>
      <w:marLeft w:val="0"/>
      <w:marRight w:val="0"/>
      <w:marTop w:val="0"/>
      <w:marBottom w:val="0"/>
      <w:divBdr>
        <w:top w:val="none" w:sz="0" w:space="0" w:color="auto"/>
        <w:left w:val="none" w:sz="0" w:space="0" w:color="auto"/>
        <w:bottom w:val="none" w:sz="0" w:space="0" w:color="auto"/>
        <w:right w:val="none" w:sz="0" w:space="0" w:color="auto"/>
      </w:divBdr>
    </w:div>
    <w:div w:id="1480683507">
      <w:bodyDiv w:val="1"/>
      <w:marLeft w:val="0"/>
      <w:marRight w:val="0"/>
      <w:marTop w:val="0"/>
      <w:marBottom w:val="0"/>
      <w:divBdr>
        <w:top w:val="none" w:sz="0" w:space="0" w:color="auto"/>
        <w:left w:val="none" w:sz="0" w:space="0" w:color="auto"/>
        <w:bottom w:val="none" w:sz="0" w:space="0" w:color="auto"/>
        <w:right w:val="none" w:sz="0" w:space="0" w:color="auto"/>
      </w:divBdr>
    </w:div>
    <w:div w:id="1482884891">
      <w:bodyDiv w:val="1"/>
      <w:marLeft w:val="0"/>
      <w:marRight w:val="0"/>
      <w:marTop w:val="0"/>
      <w:marBottom w:val="0"/>
      <w:divBdr>
        <w:top w:val="none" w:sz="0" w:space="0" w:color="auto"/>
        <w:left w:val="none" w:sz="0" w:space="0" w:color="auto"/>
        <w:bottom w:val="none" w:sz="0" w:space="0" w:color="auto"/>
        <w:right w:val="none" w:sz="0" w:space="0" w:color="auto"/>
      </w:divBdr>
    </w:div>
    <w:div w:id="1489856514">
      <w:bodyDiv w:val="1"/>
      <w:marLeft w:val="0"/>
      <w:marRight w:val="0"/>
      <w:marTop w:val="0"/>
      <w:marBottom w:val="0"/>
      <w:divBdr>
        <w:top w:val="none" w:sz="0" w:space="0" w:color="auto"/>
        <w:left w:val="none" w:sz="0" w:space="0" w:color="auto"/>
        <w:bottom w:val="none" w:sz="0" w:space="0" w:color="auto"/>
        <w:right w:val="none" w:sz="0" w:space="0" w:color="auto"/>
      </w:divBdr>
      <w:divsChild>
        <w:div w:id="1359158235">
          <w:marLeft w:val="0"/>
          <w:marRight w:val="0"/>
          <w:marTop w:val="0"/>
          <w:marBottom w:val="0"/>
          <w:divBdr>
            <w:top w:val="none" w:sz="0" w:space="0" w:color="auto"/>
            <w:left w:val="none" w:sz="0" w:space="0" w:color="auto"/>
            <w:bottom w:val="none" w:sz="0" w:space="0" w:color="auto"/>
            <w:right w:val="none" w:sz="0" w:space="0" w:color="auto"/>
          </w:divBdr>
        </w:div>
      </w:divsChild>
    </w:div>
    <w:div w:id="1499231651">
      <w:bodyDiv w:val="1"/>
      <w:marLeft w:val="0"/>
      <w:marRight w:val="0"/>
      <w:marTop w:val="0"/>
      <w:marBottom w:val="0"/>
      <w:divBdr>
        <w:top w:val="none" w:sz="0" w:space="0" w:color="auto"/>
        <w:left w:val="none" w:sz="0" w:space="0" w:color="auto"/>
        <w:bottom w:val="none" w:sz="0" w:space="0" w:color="auto"/>
        <w:right w:val="none" w:sz="0" w:space="0" w:color="auto"/>
      </w:divBdr>
    </w:div>
    <w:div w:id="1550216352">
      <w:bodyDiv w:val="1"/>
      <w:marLeft w:val="0"/>
      <w:marRight w:val="0"/>
      <w:marTop w:val="0"/>
      <w:marBottom w:val="0"/>
      <w:divBdr>
        <w:top w:val="none" w:sz="0" w:space="0" w:color="auto"/>
        <w:left w:val="none" w:sz="0" w:space="0" w:color="auto"/>
        <w:bottom w:val="none" w:sz="0" w:space="0" w:color="auto"/>
        <w:right w:val="none" w:sz="0" w:space="0" w:color="auto"/>
      </w:divBdr>
    </w:div>
    <w:div w:id="1623073803">
      <w:bodyDiv w:val="1"/>
      <w:marLeft w:val="0"/>
      <w:marRight w:val="0"/>
      <w:marTop w:val="0"/>
      <w:marBottom w:val="0"/>
      <w:divBdr>
        <w:top w:val="none" w:sz="0" w:space="0" w:color="auto"/>
        <w:left w:val="none" w:sz="0" w:space="0" w:color="auto"/>
        <w:bottom w:val="none" w:sz="0" w:space="0" w:color="auto"/>
        <w:right w:val="none" w:sz="0" w:space="0" w:color="auto"/>
      </w:divBdr>
    </w:div>
    <w:div w:id="1679456991">
      <w:bodyDiv w:val="1"/>
      <w:marLeft w:val="0"/>
      <w:marRight w:val="0"/>
      <w:marTop w:val="0"/>
      <w:marBottom w:val="0"/>
      <w:divBdr>
        <w:top w:val="none" w:sz="0" w:space="0" w:color="auto"/>
        <w:left w:val="none" w:sz="0" w:space="0" w:color="auto"/>
        <w:bottom w:val="none" w:sz="0" w:space="0" w:color="auto"/>
        <w:right w:val="none" w:sz="0" w:space="0" w:color="auto"/>
      </w:divBdr>
      <w:divsChild>
        <w:div w:id="941764140">
          <w:marLeft w:val="0"/>
          <w:marRight w:val="0"/>
          <w:marTop w:val="0"/>
          <w:marBottom w:val="0"/>
          <w:divBdr>
            <w:top w:val="none" w:sz="0" w:space="0" w:color="auto"/>
            <w:left w:val="none" w:sz="0" w:space="0" w:color="auto"/>
            <w:bottom w:val="none" w:sz="0" w:space="0" w:color="auto"/>
            <w:right w:val="none" w:sz="0" w:space="0" w:color="auto"/>
          </w:divBdr>
        </w:div>
      </w:divsChild>
    </w:div>
    <w:div w:id="1690982649">
      <w:bodyDiv w:val="1"/>
      <w:marLeft w:val="0"/>
      <w:marRight w:val="0"/>
      <w:marTop w:val="0"/>
      <w:marBottom w:val="0"/>
      <w:divBdr>
        <w:top w:val="none" w:sz="0" w:space="0" w:color="auto"/>
        <w:left w:val="none" w:sz="0" w:space="0" w:color="auto"/>
        <w:bottom w:val="none" w:sz="0" w:space="0" w:color="auto"/>
        <w:right w:val="none" w:sz="0" w:space="0" w:color="auto"/>
      </w:divBdr>
    </w:div>
    <w:div w:id="1719162273">
      <w:bodyDiv w:val="1"/>
      <w:marLeft w:val="0"/>
      <w:marRight w:val="0"/>
      <w:marTop w:val="0"/>
      <w:marBottom w:val="0"/>
      <w:divBdr>
        <w:top w:val="none" w:sz="0" w:space="0" w:color="auto"/>
        <w:left w:val="none" w:sz="0" w:space="0" w:color="auto"/>
        <w:bottom w:val="none" w:sz="0" w:space="0" w:color="auto"/>
        <w:right w:val="none" w:sz="0" w:space="0" w:color="auto"/>
      </w:divBdr>
      <w:divsChild>
        <w:div w:id="1108160830">
          <w:marLeft w:val="0"/>
          <w:marRight w:val="0"/>
          <w:marTop w:val="0"/>
          <w:marBottom w:val="0"/>
          <w:divBdr>
            <w:top w:val="none" w:sz="0" w:space="0" w:color="auto"/>
            <w:left w:val="none" w:sz="0" w:space="0" w:color="auto"/>
            <w:bottom w:val="none" w:sz="0" w:space="0" w:color="auto"/>
            <w:right w:val="none" w:sz="0" w:space="0" w:color="auto"/>
          </w:divBdr>
        </w:div>
        <w:div w:id="710231979">
          <w:marLeft w:val="0"/>
          <w:marRight w:val="0"/>
          <w:marTop w:val="0"/>
          <w:marBottom w:val="0"/>
          <w:divBdr>
            <w:top w:val="none" w:sz="0" w:space="0" w:color="auto"/>
            <w:left w:val="none" w:sz="0" w:space="0" w:color="auto"/>
            <w:bottom w:val="none" w:sz="0" w:space="0" w:color="auto"/>
            <w:right w:val="none" w:sz="0" w:space="0" w:color="auto"/>
          </w:divBdr>
        </w:div>
        <w:div w:id="42558809">
          <w:marLeft w:val="0"/>
          <w:marRight w:val="0"/>
          <w:marTop w:val="0"/>
          <w:marBottom w:val="0"/>
          <w:divBdr>
            <w:top w:val="none" w:sz="0" w:space="0" w:color="auto"/>
            <w:left w:val="none" w:sz="0" w:space="0" w:color="auto"/>
            <w:bottom w:val="none" w:sz="0" w:space="0" w:color="auto"/>
            <w:right w:val="none" w:sz="0" w:space="0" w:color="auto"/>
          </w:divBdr>
        </w:div>
        <w:div w:id="821893803">
          <w:marLeft w:val="0"/>
          <w:marRight w:val="0"/>
          <w:marTop w:val="0"/>
          <w:marBottom w:val="0"/>
          <w:divBdr>
            <w:top w:val="none" w:sz="0" w:space="0" w:color="auto"/>
            <w:left w:val="none" w:sz="0" w:space="0" w:color="auto"/>
            <w:bottom w:val="none" w:sz="0" w:space="0" w:color="auto"/>
            <w:right w:val="none" w:sz="0" w:space="0" w:color="auto"/>
          </w:divBdr>
        </w:div>
        <w:div w:id="442383650">
          <w:marLeft w:val="0"/>
          <w:marRight w:val="0"/>
          <w:marTop w:val="0"/>
          <w:marBottom w:val="0"/>
          <w:divBdr>
            <w:top w:val="none" w:sz="0" w:space="0" w:color="auto"/>
            <w:left w:val="none" w:sz="0" w:space="0" w:color="auto"/>
            <w:bottom w:val="none" w:sz="0" w:space="0" w:color="auto"/>
            <w:right w:val="none" w:sz="0" w:space="0" w:color="auto"/>
          </w:divBdr>
        </w:div>
      </w:divsChild>
    </w:div>
    <w:div w:id="1729183220">
      <w:bodyDiv w:val="1"/>
      <w:marLeft w:val="0"/>
      <w:marRight w:val="0"/>
      <w:marTop w:val="0"/>
      <w:marBottom w:val="0"/>
      <w:divBdr>
        <w:top w:val="none" w:sz="0" w:space="0" w:color="auto"/>
        <w:left w:val="none" w:sz="0" w:space="0" w:color="auto"/>
        <w:bottom w:val="none" w:sz="0" w:space="0" w:color="auto"/>
        <w:right w:val="none" w:sz="0" w:space="0" w:color="auto"/>
      </w:divBdr>
    </w:div>
    <w:div w:id="1809518563">
      <w:bodyDiv w:val="1"/>
      <w:marLeft w:val="0"/>
      <w:marRight w:val="0"/>
      <w:marTop w:val="0"/>
      <w:marBottom w:val="0"/>
      <w:divBdr>
        <w:top w:val="none" w:sz="0" w:space="0" w:color="auto"/>
        <w:left w:val="none" w:sz="0" w:space="0" w:color="auto"/>
        <w:bottom w:val="none" w:sz="0" w:space="0" w:color="auto"/>
        <w:right w:val="none" w:sz="0" w:space="0" w:color="auto"/>
      </w:divBdr>
    </w:div>
    <w:div w:id="1846094326">
      <w:bodyDiv w:val="1"/>
      <w:marLeft w:val="0"/>
      <w:marRight w:val="0"/>
      <w:marTop w:val="0"/>
      <w:marBottom w:val="0"/>
      <w:divBdr>
        <w:top w:val="none" w:sz="0" w:space="0" w:color="auto"/>
        <w:left w:val="none" w:sz="0" w:space="0" w:color="auto"/>
        <w:bottom w:val="none" w:sz="0" w:space="0" w:color="auto"/>
        <w:right w:val="none" w:sz="0" w:space="0" w:color="auto"/>
      </w:divBdr>
    </w:div>
    <w:div w:id="1847136879">
      <w:bodyDiv w:val="1"/>
      <w:marLeft w:val="0"/>
      <w:marRight w:val="0"/>
      <w:marTop w:val="0"/>
      <w:marBottom w:val="0"/>
      <w:divBdr>
        <w:top w:val="none" w:sz="0" w:space="0" w:color="auto"/>
        <w:left w:val="none" w:sz="0" w:space="0" w:color="auto"/>
        <w:bottom w:val="none" w:sz="0" w:space="0" w:color="auto"/>
        <w:right w:val="none" w:sz="0" w:space="0" w:color="auto"/>
      </w:divBdr>
    </w:div>
    <w:div w:id="1921022938">
      <w:bodyDiv w:val="1"/>
      <w:marLeft w:val="0"/>
      <w:marRight w:val="0"/>
      <w:marTop w:val="0"/>
      <w:marBottom w:val="0"/>
      <w:divBdr>
        <w:top w:val="none" w:sz="0" w:space="0" w:color="auto"/>
        <w:left w:val="none" w:sz="0" w:space="0" w:color="auto"/>
        <w:bottom w:val="none" w:sz="0" w:space="0" w:color="auto"/>
        <w:right w:val="none" w:sz="0" w:space="0" w:color="auto"/>
      </w:divBdr>
    </w:div>
    <w:div w:id="210090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ing.li@hqsc.govt.nz" TargetMode="External"/><Relationship Id="rId18" Type="http://schemas.openxmlformats.org/officeDocument/2006/relationships/hyperlink" Target="https://sciwheel.com/work/citation?ids=7497852&amp;pre=&amp;suf=&amp;sa=0&amp;dbf=0" TargetMode="External"/><Relationship Id="rId26" Type="http://schemas.openxmlformats.org/officeDocument/2006/relationships/hyperlink" Target="https://sciwheel.com/work/citation?ids=7026403&amp;pre=&amp;suf=&amp;sa=0&amp;dbf=0" TargetMode="External"/><Relationship Id="rId39" Type="http://schemas.openxmlformats.org/officeDocument/2006/relationships/hyperlink" Target="https://sciwheel.com/work/bibliography/7497852" TargetMode="External"/><Relationship Id="rId21" Type="http://schemas.openxmlformats.org/officeDocument/2006/relationships/hyperlink" Target="https://sciwheel.com/work/citation?ids=3826845&amp;pre=&amp;suf=&amp;sa=0&amp;dbf=0" TargetMode="External"/><Relationship Id="rId34" Type="http://schemas.openxmlformats.org/officeDocument/2006/relationships/hyperlink" Target="https://sciwheel.com/work/bibliography/7026403" TargetMode="External"/><Relationship Id="rId42" Type="http://schemas.openxmlformats.org/officeDocument/2006/relationships/hyperlink" Target="https://sciwheel.com/work/bibliography/3851230" TargetMode="External"/><Relationship Id="rId47" Type="http://schemas.openxmlformats.org/officeDocument/2006/relationships/hyperlink" Target="https://terauora.com/wp-content/uploads/2022/05/1.-MAORI-HEALTH-AND-SOCIAL-CARE-20-YR-TRENDS-SERIES.pdf"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ciwheel.com/work/citation?ids=12495798&amp;pre=&amp;suf=&amp;sa=0&amp;dbf=0" TargetMode="External"/><Relationship Id="rId29" Type="http://schemas.openxmlformats.org/officeDocument/2006/relationships/image" Target="media/image2.png"/><Relationship Id="rId11" Type="http://schemas.openxmlformats.org/officeDocument/2006/relationships/hyperlink" Target="mailto:Rachael.Spooner@hqsc.govt.nz" TargetMode="External"/><Relationship Id="rId24" Type="http://schemas.openxmlformats.org/officeDocument/2006/relationships/hyperlink" Target="https://sciwheel.com/work/citation?ids=13451614,13829773&amp;pre=&amp;pre=&amp;suf=&amp;suf=&amp;sa=0,0&amp;dbf=0&amp;dbf=0" TargetMode="External"/><Relationship Id="rId32" Type="http://schemas.openxmlformats.org/officeDocument/2006/relationships/hyperlink" Target="https://sciwheel.com/work/bibliography/13829773" TargetMode="External"/><Relationship Id="rId37" Type="http://schemas.openxmlformats.org/officeDocument/2006/relationships/hyperlink" Target="https://sciwheel.com/work/bibliography/13256726" TargetMode="External"/><Relationship Id="rId40" Type="http://schemas.openxmlformats.org/officeDocument/2006/relationships/hyperlink" Target="https://sciwheel.com/work/bibliography/12495798" TargetMode="External"/><Relationship Id="rId45" Type="http://schemas.openxmlformats.org/officeDocument/2006/relationships/hyperlink" Target="https://sciwheel.com/work/bibliography/1788056"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mahashweta.mistry@hqsc.govt.nz" TargetMode="External"/><Relationship Id="rId19" Type="http://schemas.openxmlformats.org/officeDocument/2006/relationships/hyperlink" Target="https://sciwheel.com/work/citation?ids=15363426,13829773,13398021&amp;pre=&amp;pre=&amp;pre=&amp;suf=&amp;suf=&amp;suf=&amp;sa=0,0,0&amp;dbf=0&amp;dbf=0&amp;dbf=0" TargetMode="External"/><Relationship Id="rId31" Type="http://schemas.openxmlformats.org/officeDocument/2006/relationships/hyperlink" Target="https://sciwheel.com/work/bibliography/14446700" TargetMode="External"/><Relationship Id="rId44" Type="http://schemas.openxmlformats.org/officeDocument/2006/relationships/hyperlink" Target="https://sciwheel.com/work/bibliography/10020270"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jdaltrey@gmail.com" TargetMode="External"/><Relationship Id="rId14" Type="http://schemas.openxmlformats.org/officeDocument/2006/relationships/hyperlink" Target="mailto:Nikki.Grae@hqsc.govt.nz" TargetMode="External"/><Relationship Id="rId22" Type="http://schemas.openxmlformats.org/officeDocument/2006/relationships/hyperlink" Target="https://sciwheel.com/work/citation?ids=14446700,5449789,7000685,1788056,12305495&amp;pre=&amp;pre=&amp;pre=&amp;pre=&amp;pre=&amp;suf=&amp;suf=&amp;suf=&amp;suf=&amp;suf=&amp;sa=0,0,0,0,0&amp;dbf=0&amp;dbf=0&amp;dbf=0&amp;dbf=0&amp;dbf=0" TargetMode="External"/><Relationship Id="rId27" Type="http://schemas.openxmlformats.org/officeDocument/2006/relationships/hyperlink" Target="https://sciwheel.com/work/citation?ids=13256726&amp;pre=&amp;suf=&amp;sa=0&amp;dbf=0" TargetMode="External"/><Relationship Id="rId30" Type="http://schemas.openxmlformats.org/officeDocument/2006/relationships/hyperlink" Target="https://sciwheel.com/work/bibliography/3826845" TargetMode="External"/><Relationship Id="rId35" Type="http://schemas.openxmlformats.org/officeDocument/2006/relationships/hyperlink" Target="https://sciwheel.com/work/bibliography/11317420" TargetMode="External"/><Relationship Id="rId43" Type="http://schemas.openxmlformats.org/officeDocument/2006/relationships/hyperlink" Target="https://sciwheel.com/work/bibliography/13754196" TargetMode="External"/><Relationship Id="rId48" Type="http://schemas.openxmlformats.org/officeDocument/2006/relationships/hyperlink" Target="https://sciwheel.com/work/bibliography/5449789" TargetMode="External"/><Relationship Id="rId8" Type="http://schemas.openxmlformats.org/officeDocument/2006/relationships/hyperlink" Target="mailto:Michal.boyd@auckland.ac.nz"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alexis.wevers@hqsc.govt.nz" TargetMode="External"/><Relationship Id="rId17" Type="http://schemas.openxmlformats.org/officeDocument/2006/relationships/hyperlink" Target="https://sciwheel.com/work/citation?ids=3851230&amp;pre=&amp;suf=&amp;sa=0&amp;dbf=0" TargetMode="External"/><Relationship Id="rId25" Type="http://schemas.openxmlformats.org/officeDocument/2006/relationships/hyperlink" Target="https://sciwheel.com/work/citation?ids=10020270&amp;pre=&amp;suf=&amp;sa=0&amp;dbf=0" TargetMode="External"/><Relationship Id="rId33" Type="http://schemas.openxmlformats.org/officeDocument/2006/relationships/hyperlink" Target="https://sciwheel.com/work/bibliography/13451614" TargetMode="External"/><Relationship Id="rId38" Type="http://schemas.openxmlformats.org/officeDocument/2006/relationships/hyperlink" Target="https://sciwheel.com/work/bibliography/12305495" TargetMode="External"/><Relationship Id="rId46" Type="http://schemas.openxmlformats.org/officeDocument/2006/relationships/hyperlink" Target="https://sciwheel.com/work/bibliography/13398021" TargetMode="External"/><Relationship Id="rId20" Type="http://schemas.openxmlformats.org/officeDocument/2006/relationships/hyperlink" Target="https://sciwheel.com/work/citation?ids=13754196,9622970&amp;pre=&amp;pre=&amp;suf=&amp;suf=&amp;sa=0,0&amp;dbf=0&amp;dbf=0" TargetMode="External"/><Relationship Id="rId41" Type="http://schemas.openxmlformats.org/officeDocument/2006/relationships/hyperlink" Target="https://sciwheel.com/work/bibliography/700068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ciwheel.com/work/citation?ids=10020270&amp;pre=&amp;suf=&amp;sa=0&amp;dbf=0" TargetMode="External"/><Relationship Id="rId23" Type="http://schemas.openxmlformats.org/officeDocument/2006/relationships/hyperlink" Target="https://sciwheel.com/work/citation?ids=11317420,13451614,13829773&amp;pre=&amp;pre=&amp;pre=&amp;suf=&amp;suf=&amp;suf=&amp;sa=0,0,0&amp;dbf=0&amp;dbf=0&amp;dbf=0" TargetMode="External"/><Relationship Id="rId28" Type="http://schemas.openxmlformats.org/officeDocument/2006/relationships/image" Target="media/image1.png"/><Relationship Id="rId36" Type="http://schemas.openxmlformats.org/officeDocument/2006/relationships/hyperlink" Target="https://sciwheel.com/work/bibliography/15363426" TargetMode="External"/><Relationship Id="rId49" Type="http://schemas.openxmlformats.org/officeDocument/2006/relationships/hyperlink" Target="https://sciwheel.com/work/bibliography/96229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HR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E7664D-E563-481C-8350-5EEE0A11F0A3}">
  <we:reference id="wa200002534" version="6.0.0.0" store="en-US" storeType="OMEX"/>
  <we:alternateReferences>
    <we:reference id="WA200002534" version="6.0.0.0" store="" storeType="OMEX"/>
  </we:alternateReferences>
  <we:properties>
    <we:property name="sciwheel-csl-items" value="[{&quot;title&quot;:&quot;Implementation of the National Early Warning Score in UK care homes: a qualitative evaluation&quot;,&quot;journalAbbreviation&quot;:&quot;British Journal of General Practice&quot;,&quot;id&quot;:&quot;9782382&quot;,&quot;type&quot;:&quot;article-journal&quot;,&quot;container-title&quot;:&quot;British Journal of General Practice&quot;,&quot;container-title-short&quot;:&quot;British Journal of General Practice&quot;,&quot;author&quot;:[{&quot;family&quot;:&quot;Russell&quot;,&quot;given&quot;:&quot;Siân&quot;},{&quot;family&quot;:&quot;Stocker&quot;,&quot;given&quot;:&quot;Rachel&quot;},{&quot;family&quot;:&quot;Barker&quot;,&quot;given&quot;:&quot;Robert Oliver&quot;},{&quot;family&quot;:&quot;Liddle&quot;,&quot;given&quot;:&quot;Jennifer&quot;},{&quot;family&quot;:&quot;Adamson&quot;,&quot;given&quot;:&quot;Joy&quot;},{&quot;family&quot;:&quot;Hanratty&quot;,&quot;given&quot;:&quot;Barbara&quot;}],&quot;issued&quot;:{&quot;date-parts&quot;:[[&quot;2020&quot;,&quot;10&quot;,&quot;5&quot;]]},&quot;citation-label&quot;:&quot;9782382&quot;},{&quot;title&quot;:&quot;Distribution of the National Early Warning Score (NEWS) in care home residents.&quot;,&quot;page&quot;:&quot;141-145&quot;,&quot;volume&quot;:&quot;49&quot;,&quot;issue&quot;:&quot;1&quot;,&quot;journalAbbreviation&quot;:&quot;Age Ageing&quot;,&quot;id&quot;:&quot;7998094&quot;,&quot;type&quot;:&quot;article-journal&quot;,&quot;container-title&quot;:&quot;Age and Ageing&quot;,&quot;container-title-short&quot;:&quot;Age Ageing&quot;,&quot;abstract&quot;:&quot;BACKGROUND: the National Early Warning Score (NEWS) is a tool based on vital signs that aims to standardise detection of, and response to, clinical deterioration in adults. NEWS has been adopted in hospitals but not adapted for other settings. This study aimed to explore the feasibility of measuring the NEWS in care homes and describe the distribution of NEWS readings amongst care home residents.METHODS: descriptive analysis of all NEWS readings recorded in a 30-month period (2016-19) across 46 care homes in one Clinical Commissioning Group in England. Comparisons were made between measurements taken as a routine reading and those prompted by concern about acute illness.RESULTS: a total of 19,604 NEWS were recorded from 2,424 older adults (≥65 years; mean age 85). Median NEWS was 2. Two thirds (66%) of residents had a low NEWS (≤2), and 28% had a score of 0. Of the total NEWS readings, 6,277 (32%) were known to be routine readings and 2,256 (12%) were measured because of staff concerns. Median NEWS was 1 for routine and 2 for concern recordings. Overall, only 12% of NEWS were high (≥5), but a higher proportion were elevated when there were concerns about acute illness (18%), compared with routine recordings (7%).CONCLUSIONS: use of NEWS in care homes appears to be feasible. The majority of NEWS were not elevated, and the distribution of scores is consistent with other out-of-hospital settings. Further work is required to know if NEWS is triggering the most appropriate response and improving care home resident outcomes.© The Author(s) 2019. Published by Oxford University Press on behalf of the British Geriatrics Society.&quot;,&quot;author&quot;:[{&quot;family&quot;:&quot;Barker&quot;,&quot;given&quot;:&quot;Robert Oliver&quot;},{&quot;family&quot;:&quot;Stocker&quot;,&quot;given&quot;:&quot;Rachel&quot;},{&quot;family&quot;:&quot;Russell&quot;,&quot;given&quot;:&quot;Siân&quot;},{&quot;family&quot;:&quot;Roberts&quot;,&quot;given&quot;:&quot;Anthony&quot;},{&quot;family&quot;:&quot;Kingston&quot;,&quot;given&quot;:&quot;Andrew&quot;},{&quot;family&quot;:&quot;Adamson&quot;,&quot;given&quot;:&quot;Joy&quot;},{&quot;family&quot;:&quot;Hanratty&quot;,&quot;given&quot;:&quot;Barbara&quot;}],&quot;issued&quot;:{&quot;date-parts&quot;:[[&quot;2019&quot;,&quot;12&quot;,&quot;1&quot;]]},&quot;DOI&quot;:&quot;10.1093/ageing/afz130&quot;,&quot;PMID&quot;:&quot;31813952&quot;,&quot;PMCID&quot;:&quot;PMC6911654&quot;,&quot;citation-label&quot;:&quot;7998094&quot;},{&quot;title&quot;:&quot;Experiences of a National Early Warning Score (NEWS) intervention in care homes during the COVID-19 pandemic: a qualitative interview study.&quot;,&quot;page&quot;:&quot;e045469&quot;,&quot;volume&quot;:&quot;11&quot;,&quot;issue&quot;:&quot;7&quot;,&quot;journalAbbreviation&quot;:&quot;BMJ Open&quot;,&quot;id&quot;:&quot;11630948&quot;,&quot;type&quot;:&quot;article-journal&quot;,&quot;container-title&quot;:&quot;BMJ Open&quot;,&quot;container-title-short&quot;:&quot;BMJ Open&quot;,&quot;abstract&quot;:&quot;BACKGROUND: The COVID-19 pandemic has taken a heavy toll on the care home sector, with residents accounting for up to half of all deaths in Europe. The response to acute illness in care homes plays a particularly important role in the care of residents during a pandemic. Digital recording of a National Early Warning Score (NEWS), which involves the measurement of physical observations, started in care homes in one area of England in 2016. Implementation of a NEWS intervention (including equipment, training and support) was accelerated early in the pandemic, despite limited evidence for its use in the care home setting.OBJECTIVES: To understand how a NEWS intervention has been used in care homes in one area of North-East England during the COVID-19 pandemic, and how it has influenced resident care, from the perspective of stakeholders involved in care delivery and commissioning.METHODS: A qualitative interview study with care home (n=10) and National Health Service (n=7) staff. Data were analysed using thematic analysis.RESULTS: Use of the NEWS intervention in care homes in this area accelerated during the COVID-19 pandemic. Stakeholders felt that NEWS, and its associated education and support package, improved the response of care homes and healthcare professionals to deterioration in residents' health during the pandemic. Healthcare professionals valued the ability to remotely monitor resident observations, which facilitated triage and treatment decisions. Care home staff felt empowered by NEWS, providing a common clinical language to communicate concerns with external services, acting as an adjunct to staff intuition of resident deterioration.CONCLUSIONS: The NEWS intervention formed an important part of the care home response to COVID-19 in the study area. Positive staff perceptions now need to be supplemented with data on the impact on resident health and well-being, workload, and service utilisation, during the pandemic and beyond.© Author(s) (or their employer(s)) 2021. Re-use permitted under CC BY. Published by BMJ.&quot;,&quot;author&quot;:[{&quot;family&quot;:&quot;Stocker&quot;,&quot;given&quot;:&quot;Rachel&quot;},{&quot;family&quot;:&quot;Russell&quot;,&quot;given&quot;:&quot;Siân&quot;},{&quot;family&quot;:&quot;Liddle&quot;,&quot;given&quot;:&quot;Jennifer&quot;},{&quot;family&quot;:&quot;Barker&quot;,&quot;given&quot;:&quot;Robert O&quot;},{&quot;family&quot;:&quot;Remmer&quot;,&quot;given&quot;:&quot;Adam&quot;},{&quot;family&quot;:&quot;Gray&quot;,&quot;given&quot;:&quot;Joanne&quot;},{&quot;family&quot;:&quot;Hanratty&quot;,&quot;given&quot;:&quot;Barbara&quot;},{&quot;family&quot;:&quot;Adamson&quot;,&quot;given&quot;:&quot;Joy&quot;}],&quot;issued&quot;:{&quot;date-parts&quot;:[[&quot;2021&quot;,&quot;7&quot;,&quot;27&quot;]]},&quot;DOI&quot;:&quot;10.1136/bmjopen-2020-045469&quot;,&quot;PMID&quot;:&quot;34315790&quot;,&quot;PMCID&quot;:&quot;PMC8318720&quot;,&quot;citation-label&quot;:&quot;11630948&quot;},{&quot;title&quot;:&quot;Recognizing and responding to deterioration in care homes: a scoping review protocol.&quot;,&quot;page&quot;:&quot;447-453&quot;,&quot;volume&quot;:&quot;19&quot;,&quot;issue&quot;:&quot;2&quot;,&quot;journalAbbreviation&quot;:&quot;JBI Evid. Synth.&quot;,&quot;id&quot;:&quot;11317420&quot;,&quot;type&quot;:&quot;article-journal&quot;,&quot;container-title&quot;:&quot;JBI evidence synthesis&quot;,&quot;container-title-short&quot;:&quot;JBI Evid. Synth.&quot;,&quot;abstract&quot;:&quot;OBJECTIVE: To identify the available published primary research and any relevant policies, guidelines, or protocols regarding how care home staff recognize and respond to an acutely deteriorating resident.INTRODUCTION: Older people living in care homes have complex health care needs. Chronic illnesses, comorbidities, frailty, cognitive impairment, and physical dependency can contribute to unpredictable changes in their health status that can lead to residents becoming unwell and acutely deteriorating. Exploring how care home staff recognize and respond to acutely deteriorating health among residents is important to understand whether opportunities exist to minimize these unpredictable changes in health.INCLUSION CRITERIA: This scoping review will consider studies that feature the recognition and response to acute deterioration in care home residents. This review will consider qualitative and quantitative primary research. Non-indexed and gray literature such as policies, deterioration tools, and reports from health policy organizations will also be included.METHODS: The searches will be conducted using bibliographic databases, university repositories, and non-indexed and gray literature, such as reports by health care and health policy organizations. The studies will be independently selected from the inclusion criteria by two researchers based on their title and abstract. In case of disagreement, a third researcher will be consulted. An adapted version of the JBI data extraction form will be used to extrapolate data from included studies. The results will be presented in tabular form, accompanied by a narrative summary related to the objectives of the scoping review.Copyright © 2021 JBI.&quot;,&quot;author&quot;:[{&quot;family&quot;:&quot;Hodge&quot;,&quot;given&quot;:&quot;Sevim Y&quot;},{&quot;family&quot;:&quot;Ali&quot;,&quot;given&quot;:&quot;Mohammad R&quot;},{&quot;family&quot;:&quot;Gordon&quot;,&quot;given&quot;:&quot;Adam L&quot;}],&quot;issued&quot;:{&quot;date-parts&quot;:[[&quot;2021&quot;,&quot;2&quot;]]},&quot;DOI&quot;:&quot;10.11124/JBISRIR-D-19-00413&quot;,&quot;PMID&quot;:&quot;33230017&quot;,&quot;citation-label&quot;:&quot;11317420&quot;},{&quot;title&quot;:&quot;Detecting acute deterioration in older adults living in residential aged care: A scoping review.&quot;,&quot;journalAbbreviation&quot;:&quot;J. Am. Med. Dir. Assoc.&quot;,&quot;id&quot;:&quot;13451614&quot;,&quot;type&quot;:&quot;article-journal&quot;,&quot;container-title&quot;:&quot;Journal of the American Medical Directors Association&quot;,&quot;container-title-short&quot;:&quot;J. Am. Med. Dir. Assoc.&quot;,&quot;abstract&quot;:&quot;OBJECTIVES: To explore models, processes, or tools implemented in residential aged care (RAC) to support registered nurses (RNs) to identify and respond to the acute deterioration of residents.DESIGN: Scoping literature review of English Language articles published in peer reviewed journals.SETTINGS AND PARTICIPANTS: Studies were conducted in RAC facilities providing long-term 24-hour medical, nursing, and social care for people age 65 years or older with age-related disability.METHODS: We completed a MESH term and key word search of MEDLINE, Embase, CINAHL, PubMed, and Google Scholar. Included studies had (1) part of the intervention based in RAC; (2) had a direct impact on RAC day to day practice; and (3) contained or provided access to the detail of the intervention. Data was charted by author, date, country, study design and the components, genesis, and efficacy of the methods used to identify and respond to acute deterioration.RESULTS: We found 46 studies detailing models of care, clinical patterns of acute deterioration, and deterioration detection tools. It was not possible to determine which element of the models care had the greatest impact on RN decision making. The clinical patterns of acute deterioration painted a picture of acute deterioration in the frail. There was limited evidence to support the use of existing deterioration detection tools in the RAC population.CONCLUSION AND IMPLICATIONS: We found no straight forward systematic method to support RAC RNs to identify and respond to the acute deterioration of residents. This is an important practice gap. The clinical pattern of acute deterioration described in the literature has the potential to be used for the development of a tool to support RAC RNs to identify and respond to the acute deterioration of residents.Copyright © 2022 AMDA – The Society for Post-Acute and Long-Term Care Medicine. Published by Elsevier Inc. All rights reserved.&quot;,&quot;author&quot;:[{&quot;family&quot;:&quot;Daltrey&quot;,&quot;given&quot;:&quot;Julie F&quot;},{&quot;family&quot;:&quot;Boyd&quot;,&quot;given&quot;:&quot;Michal L&quot;},{&quot;family&quot;:&quot;Burholt&quot;,&quot;given&quot;:&quot;Vanessa&quot;},{&quot;family&quot;:&quot;Robinson&quot;,&quot;given&quot;:&quot;Jacqualine A&quot;}],&quot;issued&quot;:{&quot;date-parts&quot;:[[&quot;2022&quot;,&quot;6&quot;,&quot;21&quot;]]},&quot;DOI&quot;:&quot;10.1016/j.jamda.2022.05.018&quot;,&quot;PMID&quot;:&quot;35738427&quot;,&quot;citation-label&quot;:&quot;13451614&quot;},{&quot;title&quot;:&quot;Clinical indicators of acute deterioration in persons who reside in residential aged care facilities: A rapid review.&quot;,&quot;journalAbbreviation&quot;:&quot;J. Nurs. Scholarsh.&quot;,&quot;id&quot;:&quot;13829773&quot;,&quot;type&quot;:&quot;article-journal&quot;,&quot;container-title&quot;:&quot;Journal of Nursing Scholarship&quot;,&quot;container-title-short&quot;:&quot;J. Nurs. Scholarsh.&quot;,&quot;abstract&quot;:&quot;PURPOSE: To identify the clinical indicators of acute deterioration in residents and the factors that influence residential aged care facility staff's identification of these.DESIGN: Rapid review and narrative synthesis.METHODS: The WHO and Cochrane Rapid Review Methods Group recommendations guided the review processes. CINAHL, Medline, PubMed, and the Cochrane Library were searched from 2000 to January 2022. Data related to clinical indicators of deterioration were categorized using the Airway, Breathing, Circulation, Disability, Exposure assessment framework, and factors influencing detection were grouped as consumer (resident and family), aged care workforce, and organization factors.RESULTS: Twenty publications were included of which 14 informed clinical indicators; nine highlighted factors that influence staff's identification of these and three informed both. Included article were collectively below moderate quality. Most clinical indicators were grouped into the 'Disability' category with altered level of consciousness, behavior, and pain identified most frequently. Few studies reported more traditional indicators of deterioration used in the general population - changes in vital signs. The most common factors influencing the detection of acute deterioration were organizational and workforce-related including resource, knowledge, and confidence deficits.CONCLUSION: Findings suggest subtle changes in resident's health status, rather than focusing primarily on physiologic parameters used in early warning tools for acute care settings, should be recognized and considered in the design of early warning tools for residential aged care facilities.CLINICAL RELEVANCE: Early warning tools sensitive to the unique needs of residents and support for aged care facility staff are recommended to improve the capacity of aged care facility care staff to identify and manage acute deterioration early to avoid hospitalization.© 2022 The Authors. Journal of Nursing Scholarship published by Wiley Periodicals LLC on behalf of Sigma Theta Tau International.&quot;,&quot;author&quot;:[{&quot;family&quot;:&quot;Chambers&quot;,&quot;given&quot;:&quot;Shirley&quot;},{&quot;family&quot;:&quot;Spooner&quot;,&quot;given&quot;:&quot;Amy&quot;},{&quot;family&quot;:&quot;Parker&quot;,&quot;given&quot;:&quot;Christina&quot;},{&quot;family&quot;:&quot;Jack&quot;,&quot;given&quot;:&quot;Leanne&quot;},{&quot;family&quot;:&quot;Schnitker&quot;,&quot;given&quot;:&quot;Linda&quot;},{&quot;family&quot;:&quot;Beattie&quot;,&quot;given&quot;:&quot;Elizabeth&quot;},{&quot;family&quot;:&quot;Yates&quot;,&quot;given&quot;:&quot;Patsy&quot;},{&quot;family&quot;:&quot;MacAndrew&quot;,&quot;given&quot;:&quot;Margaret&quot;}],&quot;issued&quot;:{&quot;date-parts&quot;:[[&quot;2022&quot;,&quot;10&quot;,&quot;20&quot;]]},&quot;DOI&quot;:&quot;10.1111/jnu.12819&quot;,&quot;PMID&quot;:&quot;36264005&quot;,&quot;PMCID&quot;:&quot;PMC10092821&quot;,&quot;citation-label&quot;:&quot;13829773&quot;},{&quot;title&quot;:&quot;A study to introduce National Early Warning Scores (NEWS) in care homes: Influence on decision-making and referral processes.&quot;,&quot;page&quot;:&quot;519-526&quot;,&quot;volume&quot;:&quot;9&quot;,&quot;issue&quot;:&quot;1&quot;,&quot;journalAbbreviation&quot;:&quot;Nurs. Open&quot;,&quot;id&quot;:&quot;12674434&quot;,&quot;type&quot;:&quot;article-journal&quot;,&quot;container-title&quot;:&quot;Nursing open&quot;,&quot;container-title-short&quot;:&quot;Nurs. Open&quot;,&quot;abstract&quot;:&quot;AIM: Early warning scores are commonly used in hospital settings, but little is known about their use in care homes. This study aimed to evaluate the impacts of National Early Warning Scores alongside other measures in this setting.DESIGN: Convergent parallel design.METHODS: Quantitative data from 276 care home residents from four care homes were used to analyse the relationship between National Early Warning Scores score, resident outcome and functional daily living (Barthel ADL (Barthel Index for Activities of Daily Living)) and Rockwood (frailty). Interviews with care home staff (N = 13) and care practitioners (N = 4) were used to provide qualitative data.RESULTS: A statistically significant link between National Early Warning Scores (p = .000) and Barthel ADL (p = .013) score and hospital admissions was found, while links with Rockwood were insignificant (p = .551). Care home staff reported many benefits of National Early Warning Scores, including improved communication, improved decision-making and role empowerment. Although useful, due to the complexity of the resident population's existing health conditions, National Early Warning Scores alone could not act as a diagnostic tool.© 2021 The Authors. Nursing Open published by John Wiley &amp; Sons Ltd.&quot;,&quot;author&quot;:[{&quot;family&quot;:&quot;Hodgson&quot;,&quot;given&quot;:&quot;Philip&quot;},{&quot;family&quot;:&quot;Greaves&quot;,&quot;given&quot;:&quot;Jane&quot;},{&quot;family&quot;:&quot;Cook&quot;,&quot;given&quot;:&quot;Glenda&quot;},{&quot;family&quot;:&quot;Fraser&quot;,&quot;given&quot;:&quot;Angela&quot;},{&quot;family&quot;:&quot;Bainbridge&quot;,&quot;given&quot;:&quot;Lesley&quot;}],&quot;issued&quot;:{&quot;date-parts&quot;:[[&quot;2022&quot;,&quot;1&quot;]]},&quot;DOI&quot;:&quot;10.1002/nop2.1091&quot;,&quot;PMID&quot;:&quot;34780677&quot;,&quot;PMCID&quot;:&quot;PMC8685833&quot;,&quot;citation-label&quot;:&quot;12674434&quot;},{&quot;title&quot;:&quot;Improving the normalization of complex interventions: part 1 - development of the NoMAD instrument for assessing implementation work based on normalization process theory (NPT).&quot;,&quot;page&quot;:&quot;133&quot;,&quot;volume&quot;:&quot;18&quot;,&quot;issue&quot;:&quot;1&quot;,&quot;journalAbbreviation&quot;:&quot;BMC Med. Res. Methodol.&quot;,&quot;id&quot;:&quot;7627688&quot;,&quot;type&quot;:&quot;article-journal&quot;,&quot;container-title&quot;:&quot;BMC Medical Research Methodology&quot;,&quot;container-title-short&quot;:&quot;BMC Med. Res. Methodol.&quot;,&quot;abstract&quot;:&quot;BACKGROUND: Understanding and measuring implementation processes is a key challenge for implementation researchers. This study draws on Normalization Process Theory (NPT) to develop an instrument that can be applied to assess, monitor or measure factors likely to affect normalization from the perspective of implementation participants.METHODS: An iterative process of instrument development was undertaken using the following methods: theoretical elaboration, item generation and item reduction (team workshops); item appraisal (QAS-99); cognitive testing with complex intervention teams; theory re-validation with NPT experts; and pilot testing of instrument.RESULTS: We initially generated 112 potential questionnaire items; these were then reduced to 47 through team workshops and item appraisal. No concerns about item wording and construction were raised through the item appraisal process. We undertook three rounds of cognitive interviews with professionals (n = 30) involved in the development, evaluation, delivery or reception of complex interventions. We identified minor issues around wording of some items; universal issues around how to engage with people at different time points in an intervention; and conceptual issues around the types of people for whom the instrument should be designed. We managed these by adding extra items (n = 6) and including a new set of option responses: 'not relevant at this stage', 'not relevant to my role' and 'not relevant to this intervention' and decided to design an instrument explicitly for those people either delivering or receiving an intervention. This version of the instrument had 53 items. Twenty-three people with a good working knowledge of NPT reviewed the items for theoretical drift. Items that displayed a poor alignment with NPT sub-constructs were removed (n = 8) and others revised or combined (n = 6). The final instrument, with 43 items, was successfully piloted with five people, with a 100% completion rate of items.CONCLUSION: The process of moving through cycles of theoretical translation, item generation, cognitive testing, and theoretical (re)validation was essential for maintaining a balance between the theoretical integrity of the NPT concepts and the ease with which intended respondents could answer the questions. The final instrument could be easily understood and completed, while retaining theoretical validity. NoMAD represents a measure that can be used to understand implementation participants' experiences. It is intended as a measure that can be used alongside instruments that measure other dimensions of implementation activity, such as implementation fidelity, adoption, and readiness.&quot;,&quot;author&quot;:[{&quot;family&quot;:&quot;Rapley&quot;,&quot;given&quot;:&quot;Tim&quot;},{&quot;family&quot;:&quot;Girling&quot;,&quot;given&quot;:&quot;Melissa&quot;},{&quot;family&quot;:&quot;Mair&quot;,&quot;given&quot;:&quot;Frances S&quot;},{&quot;family&quot;:&quot;Murray&quot;,&quot;given&quot;:&quot;Elizabeth&quot;},{&quot;family&quot;:&quot;Treweek&quot;,&quot;given&quot;:&quot;Shaun&quot;},{&quot;family&quot;:&quot;McColl&quot;,&quot;given&quot;:&quot;Elaine&quot;},{&quot;family&quot;:&quot;Steen&quot;,&quot;given&quot;:&quot;Ian Nicholas&quot;},{&quot;family&quot;:&quot;May&quot;,&quot;given&quot;:&quot;Carl R&quot;},{&quot;family&quot;:&quot;Finch&quot;,&quot;given&quot;:&quot;Tracy L&quot;}],&quot;issued&quot;:{&quot;date-parts&quot;:[[&quot;2018&quot;,&quot;11&quot;,&quot;15&quot;]]},&quot;DOI&quot;:&quot;10.1186/s12874-018-0590-y&quot;,&quot;PMID&quot;:&quot;30442093&quot;,&quot;PMCID&quot;:&quot;PMC6238361&quot;,&quot;citation-label&quot;:&quot;7627688&quot;},{&quot;title&quot;:&quot;Improving the normalization of complex interventions: part 2 - validation of the NoMAD instrument for assessing implementation work based on normalization process theory (NPT).&quot;,&quot;page&quot;:&quot;135&quot;,&quot;volume&quot;:&quot;18&quot;,&quot;issue&quot;:&quot;1&quot;,&quot;journalAbbreviation&quot;:&quot;BMC Med. Res. Methodol.&quot;,&quot;id&quot;:&quot;13769248&quot;,&quot;type&quot;:&quot;article-journal&quot;,&quot;container-title&quot;:&quot;BMC Medical Research Methodology&quot;,&quot;container-title-short&quot;:&quot;BMC Med. Res. Methodol.&quot;,&quot;abstract&quot;:&quot;INTRODUCTION: Successful implementation and embedding of new health care practices relies on co-ordinated, collective behaviour of individuals working within the constraints of health care settings. Normalization Process Theory (NPT) provides a theory of implementation that emphasises collective action in explaining, and shaping, the embedding of new practices. To extend the practical utility of NPT for improving implementation success, an instrument (NoMAD) was developed and validated.METHODS: Descriptive analysis and psychometric testing of an instrument developed by the authors, through an iterative process that included item generation, consensus methods, item appraisal, and cognitive testing. A 46 item questionnaire was tested in 6 sites implementing health related interventions, using paper and online completion. Participants were staff directly involved in working with the interventions. Descriptive analysis and consensus methods were used to remove redundancy, reducing the final tool to 23 items. Data were subject to confirmatory factor analysis which sought to confirm the theoretical structure within the sample.RESULTS: We obtained 831 completed questionnaires, an average response rate of 39% (range: 22-77%). Full completion of items was 50% (n = 413). The confirmatory factor analysis showed the model achieved acceptable fit (CFI = 0.95, TLI = 0.93, RMSEA = 0.08, SRMR = 0.03). Construct validity of the four theoretical constructs of NPT was supported, and internal consistency (Cronbach's alpha) were as follows: Coherence (4 items, α = 0.71); Collective Action (7 items, α = 0.78); Cognitive Participation (4 items, α = 0.81); Reflexive Monitoring (5 items, α = 0.65). The normalisation scale overall, was highly reliable (20 items, α = 0.89).CONCLUSIONS: The NoMAD instrument has good face validity, construct validity and internal consistency, for assessing staff perceptions of factors relevant to embedding interventions that change their work practices. Uses in evaluating and guiding implementation are proposed.&quot;,&quot;author&quot;:[{&quot;family&quot;:&quot;Finch&quot;,&quot;given&quot;:&quot;Tracy L&quot;},{&quot;family&quot;:&quot;Girling&quot;,&quot;given&quot;:&quot;Melissa&quot;},{&quot;family&quot;:&quot;May&quot;,&quot;given&quot;:&quot;Carl R&quot;},{&quot;family&quot;:&quot;Mair&quot;,&quot;given&quot;:&quot;Frances S&quot;},{&quot;family&quot;:&quot;Murray&quot;,&quot;given&quot;:&quot;Elizabeth&quot;},{&quot;family&quot;:&quot;Treweek&quot;,&quot;given&quot;:&quot;Shaun&quot;},{&quot;family&quot;:&quot;McColl&quot;,&quot;given&quot;:&quot;Elaine&quot;},{&quot;family&quot;:&quot;Steen&quot;,&quot;given&quot;:&quot;Ian Nicholas&quot;},{&quot;family&quot;:&quot;Cook&quot;,&quot;given&quot;:&quot;Clare&quot;},{&quot;family&quot;:&quot;Vernazza&quot;,&quot;given&quot;:&quot;Christopher R&quot;},{&quot;family&quot;:&quot;Mackintosh&quot;,&quot;given&quot;:&quot;Nicola&quot;},{&quot;family&quot;:&quot;Sharma&quot;,&quot;given&quot;:&quot;Samridh&quot;},{&quot;family&quot;:&quot;Barbery&quot;,&quot;given&quot;:&quot;Gaery&quot;},{&quot;family&quot;:&quot;Steele&quot;,&quot;given&quot;:&quot;Jimmy&quot;},{&quot;family&quot;:&quot;Rapley&quot;,&quot;given&quot;:&quot;Tim&quot;}],&quot;issued&quot;:{&quot;date-parts&quot;:[[&quot;2018&quot;,&quot;11&quot;,&quot;15&quot;]]},&quot;DOI&quot;:&quot;10.1186/s12874-018-0591-x&quot;,&quot;PMID&quot;:&quot;30442094&quot;,&quot;PMCID&quot;:&quot;PMC6238372&quot;,&quot;citation-label&quot;:&quot;13769248&quot;},{&quot;title&quot;:&quot;Impact of structural and psychological empowerment on job strain in nursing work settings: expanding Kanter's model.&quot;,&quot;page&quot;:&quot;260-272&quot;,&quot;volume&quot;:&quot;31&quot;,&quot;issue&quot;:&quot;5&quot;,&quot;journalAbbreviation&quot;:&quot;J. Nurs. Adm.&quot;,&quot;id&quot;:&quot;2893483&quot;,&quot;type&quot;:&quot;article-journal&quot;,&quot;container-title&quot;:&quot;The Journal of Nursing Administration&quot;,&quot;container-title-short&quot;:&quot;J. Nurs. Adm.&quot;,&quot;abstract&quot;:&quot;OBJECTIVE: In this study, we tested an expanded model of Kanter's structural empowerment, which specified the relationships among structural and psychological empowerment, job strain, and work satisfaction.BACKGROUND: Strategies proposed in Kanter's empowerment theory have the potential to reduce job strain and improve employee work satisfaction and performance in current restructured healthcare settings. The addition to the model of psychological empowerment as an outcome of structural empowerment provides an understanding of the intervening mechanisms between structural work conditions and important organizational outcomes.METHODS: A predictive, nonexperimental design was used to test the model in a random sample of 404 Canadian staff nurses. The Conditions of Work Effectiveness Questionnaire, the Psychological Empowerment Questionnaire, the Job Content Questionnaire, and the Global Satisfaction Scale were used to measure the major study variables.RESULTS: Structural equation modelling analyses revealed a good fit of the hypothesized model to the data based on various fit indices (chi 2 = 1140, df = 545, chi 2/df ratio = 2.09, CFI = 0.986, RMSEA = 0.050). The amount of variance accounted for in the model was 58%. Staff nurses felt that structural empowerment in their workplace resulted in higher levels of psychological empowerment. These heightened feelings of psychological empowerment in turn strongly influenced job strain and work satisfaction. However, job strain did not have a direct effect on work satisfaction.CONCLUSIONS: These results provide initial support for an expanded model of organizational empowerment and offer a broader understanding of the empowerment process.&quot;,&quot;author&quot;:[{&quot;family&quot;:&quot;Laschinger&quot;,&quot;given&quot;:&quot;H K&quot;},{&quot;family&quot;:&quot;Finegan&quot;,&quot;given&quot;:&quot;J&quot;},{&quot;family&quot;:&quot;Shamian&quot;,&quot;given&quot;:&quot;J&quot;},{&quot;family&quot;:&quot;Wilk&quot;,&quot;given&quot;:&quot;P&quot;}],&quot;issued&quot;:{&quot;date-parts&quot;:[[&quot;2001&quot;,&quot;5&quot;]]},&quot;PMID&quot;:&quot;11388162&quot;,&quot;citation-label&quot;:&quot;2893483&quot;},{&quot;title&quot;:&quot;Towards a comprehensive theory of nurse/patient empowerment: applying Kanter's empowerment theory to patient care.&quot;,&quot;page&quot;:&quot;4-13&quot;,&quot;volume&quot;:&quot;18&quot;,&quot;issue&quot;:&quot;1&quot;,&quot;journalAbbreviation&quot;:&quot;J. Nurs. Manag.&quot;,&quot;id&quot;:&quot;11009660&quot;,&quot;type&quot;:&quot;article-journal&quot;,&quot;container-title&quot;:&quot;Journal of Nursing Management&quot;,&quot;container-title-short&quot;:&quot;J. Nurs. Manag.&quot;,&quot;abstract&quot;:&quot;AIM: The purpose of this theoretical paper is to propose an integrated model of nurse/patient empowerment that could be used as a guide for creating high-quality nursing practice work environments that ensure positive outcomes for both nurses and their patients.BACKGROUND: There are few integrated theoretical approaches to nurse and patient empowerment in the literature, although nurse empowerment is assumed to positively affect patient outcomes.EVALUATION: The constructs described in Kanter's (1993) work empowerment theory are conceptually consistent with the nursing care process and can be logically extended to nurses' interactions with their patients and the outcomes of nursing care.KEY ISSUES: We propose a model of nurse/patient empowerment derived from Kanter's theory that suggests that empowering working conditions increase feelings of psychological empowerment in nurses, resulting in greater use of patient empowerment strategies by nurses, and, ultimately, greater patient empowerment and better health outcomes.CONCLUSIONS: Empirical testing of the model is recommended prior to use of the model in clinical practice.IMPLICATIONS FOR NURSING MANAGEMENT: We argue that empowered nurses are more likely to empower their patients, which results in better patient and system outcomes. Strategies for managers to empower nurses and for nurses to empower patients are suggested.&quot;,&quot;author&quot;:[{&quot;family&quot;:&quot;Spence Laschinger&quot;,&quot;given&quot;:&quot;Heather K&quot;},{&quot;family&quot;:&quot;Gilbert&quot;,&quot;given&quot;:&quot;Stephanie&quot;},{&quot;family&quot;:&quot;Smith&quot;,&quot;given&quot;:&quot;Lesley M&quot;},{&quot;family&quot;:&quot;Leslie&quot;,&quot;given&quot;:&quot;Kate&quot;}],&quot;issued&quot;:{&quot;date-parts&quot;:[[&quot;2010&quot;,&quot;1&quot;]]},&quot;DOI&quot;:&quot;10.1111/j.1365-2834.2009.01046.x&quot;,&quot;PMID&quot;:&quot;20465724&quot;,&quot;citation-label&quot;:&quot;11009660&quot;},{&quot;title&quot;:&quot;Safeguarding the retention of nurses: A systematic review on determinants of nurse's intentions to stay.&quot;,&quot;page&quot;:&quot;2842-2858&quot;,&quot;volume&quot;:&quot;10&quot;,&quot;issue&quot;:&quot;5&quot;,&quot;journalAbbreviation&quot;:&quot;Nurs. Open&quot;,&quot;id&quot;:&quot;15362950&quot;,&quot;type&quot;:&quot;article-journal&quot;,&quot;container-title&quot;:&quot;Nursing open&quot;,&quot;container-title-short&quot;:&quot;Nurs. Open&quot;,&quot;abstract&quot;:&quot;AIM: To explore factors that influence registered nurses' intention to stay working in the healthcare sector.DESIGN: A systematic review and narrative synthesis.METHODS: CINAHL, Medline and Cochrane library databases were searched from Jan 2010 to Jan 2022 inclusive and research selected using a structured criterion, quality appraisal and data extraction and synthesis were guided by Campbell's Synthesis Without Meta-analysis.RESULTS: Thirty-four studies identified that nurses stay if they have job satisfaction and/or if they are committed to their organizations. The factors permeating these constructs weigh differently through generations and while not an infallible explanation, demonstrate stark differences in workplace needs by age, which influence the intention to stay, job satisfaction, organizational commitment and ultimately nurse turnover.PUBLIC CONTRIBUTION: Environmental, relational and individual factors have bearing on improving nurse satisfaction and commitment. Understanding why nurses stay through a generational behavioural and career stage lens can bolster safeguarding nurse retention.© 2023 The Authors. Nursing Open published by John Wiley &amp; Sons Ltd.&quot;,&quot;author&quot;:[{&quot;family&quot;:&quot;Pressley&quot;,&quot;given&quot;:&quot;Charlene&quot;},{&quot;family&quot;:&quot;Garside&quot;,&quot;given&quot;:&quot;Joanne&quot;}],&quot;issued&quot;:{&quot;date-parts&quot;:[[&quot;2023&quot;,&quot;5&quot;]]},&quot;DOI&quot;:&quot;10.1002/nop2.1588&quot;,&quot;PMID&quot;:&quot;36646646&quot;,&quot;PMCID&quot;:&quot;PMC10077373&quot;,&quot;citation-label&quot;:&quot;15362950&quot;},{&quot;title&quot;:&quot;Empowerment predicting nurses' work motivation and occupational mental health.&quot;,&quot;page&quot;:&quot;23779608221076811&quot;,&quot;volume&quot;:&quot;8&quot;,&quot;journalAbbreviation&quot;:&quot;SAGE Open Nursing&quot;,&quot;id&quot;:&quot;12817777&quot;,&quot;type&quot;:&quot;article-journal&quot;,&quot;container-title&quot;:&quot;SAGE Open Nursing&quot;,&quot;container-title-short&quot;:&quot;SAGE Open Nursing&quot;,&quot;abstract&quot;:&quot;INTRODUCTION: Empowering nurses is essential for improving work outcomes, and understanding the role of structural and psychological empowerment in supporting nurses' work motivation and occupational mental health are essential to stimulate nurses' productivity and preserve their mental health.OBJECTIVES: To evaluate nurses' perspectives about the levels of structural and psychological empowerment in their working areas. Additionally, to evaluate nurses' motivation and occupational mental health, and to predict the nurses' motivation and occupational mental health through structural and psychological empowerment.METHODS: A descriptive correlational design and quota sampling were used. Two hundred registered nurses were recruited from two hospitals in Jordan. Data were collected using four valid and reliable self-report questionnaires.RESULTS: Nurses who participated in this study were young and have an average total experience in nursing of fewer than 10 years. Nurses in this study reported a moderate level of structure empowerment and a low level of psychological empowerment. Significant positive relationships were documented between both structural, psychological empowerment, and nurses' work motivation (r = 0.85), (r = 0.83) respectively. A significant negative relationship found between both structural, psychological empowerment, and nurses' occupational mental health (r = -0.31), (r = -0.29) respectively.CONCLUSIONS: The levels of nurses' work motivation and occupational mental health can be predicted through the levels of structural and psychological empowerment. The higher workplace empowerment was associated with increased work motivation, as well as reduced the feeling of occupational stress among nurses. Thus, administrators should invest in fostering structural and psychological empowerment in the work environment.© The Author(s) 2022.&quot;,&quot;author&quot;:[{&quot;family&quot;:&quot;Saleh&quot;,&quot;given&quot;:&quot;Mahmoud O&quot;},{&quot;family&quot;:&quot;Eshah&quot;,&quot;given&quot;:&quot;Nidal F&quot;},{&quot;family&quot;:&quot;Rayan&quot;,&quot;given&quot;:&quot;Ahmad H&quot;}],&quot;issued&quot;:{&quot;date-parts&quot;:[[&quot;2022&quot;,&quot;2&quot;,&quot;23&quot;]]},&quot;DOI&quot;:&quot;10.1177/23779608221076811&quot;,&quot;PMID&quot;:&quot;35224187&quot;,&quot;PMCID&quot;:&quot;PMC8874176&quot;,&quot;citation-label&quot;:&quot;12817777&quot;},{&quot;title&quot;:&quot;Nurses' intention to stay in the work environment in acute healthcare: a systematic review.&quot;,&quot;page&quot;:&quot;374-397&quot;,&quot;volume&quot;:&quot;27&quot;,&quot;issue&quot;:&quot;4&quot;,&quot;journalAbbreviation&quot;:&quot;J. Res. Nurs.&quot;,&quot;id&quot;:&quot;15362948&quot;,&quot;type&quot;:&quot;article-journal&quot;,&quot;container-title&quot;:&quot;Journal of research in nursing : JRN&quot;,&quot;container-title-short&quot;:&quot;J. Res. Nurs.&quot;,&quot;author&quot;:[{&quot;family&quot;:&quot;Al Yahyaei&quot;,&quot;given&quot;:&quot;Asma&quot;},{&quot;family&quot;:&quot;Hewison&quot;,&quot;given&quot;:&quot;Alistair&quot;},{&quot;family&quot;:&quot;Efstathiou&quot;,&quot;given&quot;:&quot;Nikolaos&quot;},{&quot;family&quot;:&quot;Carrick-Sen&quot;,&quot;given&quot;:&quot;Debbie&quot;}],&quot;issued&quot;:{&quot;date-parts&quot;:[[&quot;2022&quot;,&quot;6&quot;]]},&quot;DOI&quot;:&quot;10.1177/17449871221080731&quot;,&quot;PMID&quot;:&quot;35832883&quot;,&quot;PMCID&quot;:&quot;PMC9272506&quot;,&quot;citation-label&quot;:&quot;15362948&quot;},{&quot;title&quot;:&quot;The PRECIS-2 tool: designing trials that are fit for purpose.&quot;,&quot;page&quot;:&quot;h2147&quot;,&quot;volume&quot;:&quot;350&quot;,&quot;journalAbbreviation&quot;:&quot;BMJ&quot;,&quot;id&quot;:&quot;650991&quot;,&quot;type&quot;:&quot;article-journal&quot;,&quot;container-title&quot;:&quot;BMJ (Clinical Research Ed.)&quot;,&quot;container-title-short&quot;:&quot;BMJ&quot;,&quot;author&quot;:[{&quot;family&quot;:&quot;Loudon&quot;,&quot;given&quot;:&quot;Kirsty&quot;},{&quot;family&quot;:&quot;Treweek&quot;,&quot;given&quot;:&quot;Shaun&quot;},{&quot;family&quot;:&quot;Sullivan&quot;,&quot;given&quot;:&quot;Frank&quot;},{&quot;family&quot;:&quot;Donnan&quot;,&quot;given&quot;:&quot;Peter&quot;},{&quot;family&quot;:&quot;Thorpe&quot;,&quot;given&quot;:&quot;Kevin E&quot;},{&quot;family&quot;:&quot;Zwarenstein&quot;,&quot;given&quot;:&quot;Merrick&quot;}],&quot;issued&quot;:{&quot;date-parts&quot;:[[&quot;2015&quot;,&quot;5&quot;,&quot;8&quot;]]},&quot;DOI&quot;:&quot;10.1136/bmj.h2147&quot;,&quot;PMID&quot;:&quot;25956159&quot;,&quot;citation-label&quot;:&quot;650991&quot;},{&quot;title&quot;:&quot;RE-AIM Planning and evaluation framework: Adapting to new science and practice with a 20-year review.&quot;,&quot;page&quot;:&quot;64&quot;,&quot;volume&quot;:&quot;7&quot;,&quot;journalAbbreviation&quot;:&quot;Front. Public Health&quot;,&quot;id&quot;:&quot;7026403&quot;,&quot;type&quot;:&quot;article-journal&quot;,&quot;container-title&quot;:&quot;Frontiers in public health&quot;,&quot;container-title-short&quot;:&quot;Front. Public Health&quot;,&quot;abstract&quot;:&quot;The RE-AIM planning and evaluation framework was conceptualized two decades ago. As one of the most frequently applied implementation frameworks, RE-AIM has now been cited in over 2,800 publications. This paper describes the application and evolution of RE-AIM as well as lessons learned from its use. RE-AIM has been applied most often in public health and health behavior change research, but increasingly in more diverse content areas and within clinical, community, and corporate settings. We discuss challenges of using RE-AIM while encouraging a more pragmatic use of key dimensions rather than comprehensive applications of all elements. Current foci of RE-AIM include increasing the emphasis on cost and adaptations to programs and expanding the use of qualitative methods to understand \&quot;how\&quot; and \&quot;why\&quot; results came about. The framework will continue to evolve to focus on contextual and explanatory factors related to RE-AIM outcomes, package RE-AIM for use by non-researchers, and integrate RE-AIM with other pragmatic and reporting frameworks.&quot;,&quot;author&quot;:[{&quot;family&quot;:&quot;Glasgow&quot;,&quot;given&quot;:&quot;Russell E&quot;},{&quot;family&quot;:&quot;Harden&quot;,&quot;given&quot;:&quot;Samantha M&quot;},{&quot;family&quot;:&quot;Gaglio&quot;,&quot;given&quot;:&quot;Bridget&quot;},{&quot;family&quot;:&quot;Rabin&quot;,&quot;given&quot;:&quot;Borsika&quot;},{&quot;family&quot;:&quot;Smith&quot;,&quot;given&quot;:&quot;Matthew Lee&quot;},{&quot;family&quot;:&quot;Porter&quot;,&quot;given&quot;:&quot;Gwenndolyn C&quot;},{&quot;family&quot;:&quot;Ory&quot;,&quot;given&quot;:&quot;Marcia G&quot;},{&quot;family&quot;:&quot;Estabrooks&quot;,&quot;given&quot;:&quot;Paul A&quot;}],&quot;issued&quot;:{&quot;date-parts&quot;:[[&quot;2019&quot;,&quot;3&quot;,&quot;29&quot;]]},&quot;DOI&quot;:&quot;10.3389/fpubh.2019.00064&quot;,&quot;PMID&quot;:&quot;30984733&quot;,&quot;PMCID&quot;:&quot;PMC6450067&quot;,&quot;citation-label&quot;:&quot;7026403&quot;},{&quot;title&quot;:&quot;A practical, robust implementation and sustainability model (PRISM) for integrating research findings into practice.&quot;,&quot;page&quot;:&quot;228-243&quot;,&quot;volume&quot;:&quot;34&quot;,&quot;issue&quot;:&quot;4&quot;,&quot;journalAbbreviation&quot;:&quot;Jt Comm J Qual Patient Saf&quot;,&quot;id&quot;:&quot;4381050&quot;,&quot;type&quot;:&quot;article-journal&quot;,&quot;container-title&quot;:&quot;Joint Commission Journal on Quality and Patient Safety / Joint Commission Resources&quot;,&quot;container-title-short&quot;:&quot;Jt Comm J Qual Patient Saf&quot;,&quot;abstract&quot;:&quot;BACKGROUND: Although numerous studies address the efficacy and effectiveness of health interventions, less research addresses successfully implementing and sustaining interventions. As long as efficacy and effectiveness trials are considered complete without considering implementation in nonresearch settings, the public health potential of the original investments will not be realized. A barrier to progress is the absence of a practical, robust model to help identify the factors that need to be considered and addressed and how to measure success. A conceptual framework for improving practice is needed to integrate the key features for successful program design, predictors of implementation and diffusion, and appropriate outcome measures.DEVELOPING PRISM: A comprehensive model for translating research into practice was developed using concepts from the areas of quality improvement, chronic care, the diffusion of innovations, and measures of the population-based effectiveness of translation. PRISM--the Practical, Robust Implementation and Sustainability Model--evaluates how the health care program or intervention interacts with the recipients to influence program adoption, implementation, maintenance, reach, and effectiveness.DISCUSSION: The PRISM model provides a new tool for researchers and health care decision makers that integrates existing concepts relevant to translating research into practice.&quot;,&quot;author&quot;:[{&quot;family&quot;:&quot;Feldstein&quot;,&quot;given&quot;:&quot;Adrianne C&quot;},{&quot;family&quot;:&quot;Glasgow&quot;,&quot;given&quot;:&quot;Russell E&quot;}],&quot;issued&quot;:{&quot;date-parts&quot;:[[&quot;2008&quot;,&quot;4&quot;]]},&quot;DOI&quot;:&quot;10.1016/S1553-7250(08)34030-6&quot;,&quot;PMID&quot;:&quot;18468362&quot;,&quot;citation-label&quot;:&quot;4381050&quot;},{&quot;title&quot;:&quot;Stakeholder perspectives on costs and resource expenditures: tools for addressing economic issues most relevant to patients, providers, and clinics.&quot;,&quot;page&quot;:&quot;675-682&quot;,&quot;volume&quot;:&quot;8&quot;,&quot;issue&quot;:&quot;5&quot;,&quot;journalAbbreviation&quot;:&quot;Transl. Behav. Med.&quot;,&quot;id&quot;:&quot;13256726&quot;,&quot;type&quot;:&quot;article-journal&quot;,&quot;container-title&quot;:&quot;Translational behavioral medicine&quot;,&quot;container-title-short&quot;:&quot;Transl. Behav. Med.&quot;,&quot;abstract&quot;:&quot;Cost and other resources required are often primary considerations in whether a potential program or policy will be adopted or implemented and an important element in determining value. However, few economic analyses are conducted from the perspective of patient/family or small-scale stakeholders such as local clinics. We outline and discuss alternative cost assessment and resource expenditures options from the perspective of these small, proximal stakeholders. The perspective of these persons differs from larger societal or health plan perspectives, and often differs across individuals in terms of what they value and the types of expenditures about which they are concerned. We discuss key features of the perspectives of patients, health care clinics, and local leaders, and present brief examples and sample templates for collection of consumer/stakeholder relevant cost and return on investment issues. These tools can be used prospectively and iteratively during program planning, intervention delivery, summative analysis, and preparation for dissemination stages. There is an important need for this type of feasible, pragmatic, rapid, and iterative cost and resource expenditure analysis directly relevant to patients/families, small local stakeholders and their organizations. Future research on and use of these approaches is recommended.&quot;,&quot;author&quot;:[{&quot;family&quot;:&quot;Jones Rhodes&quot;,&quot;given&quot;:&quot;Whitney C&quot;},{&quot;family&quot;:&quot;Ritzwoller&quot;,&quot;given&quot;:&quot;Debra P&quot;},{&quot;family&quot;:&quot;Glasgow&quot;,&quot;given&quot;:&quot;Russell E&quot;}],&quot;issued&quot;:{&quot;date-parts&quot;:[[&quot;2018&quot;,&quot;9&quot;,&quot;8&quot;]]},&quot;DOI&quot;:&quot;10.1093/tbm/ibx003&quot;,&quot;PMID&quot;:&quot;29590479&quot;,&quot;citation-label&quot;:&quot;13256726&quot;},{&quot;title&quot;:&quot;Recognising and responding to acute deterioration in care home residents: a scoping review.&quot;,&quot;page&quot;:&quot;399&quot;,&quot;volume&quot;:&quot;23&quot;,&quot;issue&quot;:&quot;1&quot;,&quot;journalAbbreviation&quot;:&quot;BMC Geriatr.&quot;,&quot;id&quot;:&quot;15363426&quot;,&quot;type&quot;:&quot;article-journal&quot;,&quot;container-title&quot;:&quot;BMC Geriatrics&quot;,&quot;container-title-short&quot;:&quot;BMC Geriatr.&quot;,&quot;author&quot;:[{&quot;family&quot;:&quot;Hodge&quot;,&quot;given&quot;:&quot;Sevim Y&quot;},{&quot;family&quot;:&quot;Ali&quot;,&quot;given&quot;:&quot;Mohammad R&quot;},{&quot;family&quot;:&quot;Hui&quot;,&quot;given&quot;:&quot;Ada&quot;},{&quot;family&quot;:&quot;Logan&quot;,&quot;given&quot;:&quot;Pip&quot;},{&quot;family&quot;:&quot;Gordon&quot;,&quot;given&quot;:&quot;Adam L&quot;}],&quot;issued&quot;:{&quot;date-parts&quot;:[[&quot;2023&quot;,&quot;6&quot;,&quot;29&quot;]]},&quot;DOI&quot;:&quot;10.1186/s12877-023-04082-y&quot;,&quot;PMID&quot;:&quot;37386360&quot;,&quot;PMCID&quot;:&quot;PMC10308707&quot;,&quot;citation-label&quot;:&quot;15363426&quot;},{&quot;title&quot;:&quot;Frailty consensus: a call to action.&quot;,&quot;page&quot;:&quot;392-397&quot;,&quot;volume&quot;:&quot;14&quot;,&quot;issue&quot;:&quot;6&quot;,&quot;journalAbbreviation&quot;:&quot;J. Am. Med. Dir. Assoc.&quot;,&quot;id&quot;:&quot;3851230&quot;,&quot;type&quot;:&quot;article-journal&quot;,&quot;container-title&quot;:&quot;Journal of the American Medical Directors Association&quot;,&quot;container-title-short&quot;:&quot;J. Am. Med. Dir. Assoc.&quot;,&quot;abstract&quot;:&quot;Frailty is a clinical state in which there is an increase in an individual's vulnerability for developing increased dependency and/or mortality when exposed to a stressor. Frailty can occur as the result of a range of diseases and medical conditions. A consensus group consisting of delegates from 6 major international, European, and US societies created 4 major consensus points on a specific form of frailty: physical frailty. 1. Physical frailty is an important medical syndrome. The group defined physical frailty as \&quot;a medical syndrome with multiple causes and contributors that is characterized by diminished strength, endurance, and reduced physiologic function that increases an individual's vulnerability for developing increased dependency and/or death.\&quot; 2. Physical frailty can potentially be prevented or treated with specific modalities, such as exercise, protein-calorie supplementation, vitamin D, and reduction of polypharmacy. 3. Simple, rapid screening tests have been developed and validated, such as the simple FRAIL scale, to allow physicians to objectively recognize frail persons. 4. For the purposes of optimally managing individuals with physical frailty, all persons older than 70 years and all individuals with significant weight loss (&gt;5%) due to chronic disease should be screened for frailty.Copyright © 2013 American Medical Directors Association, Inc. Published by Elsevier Inc. All rights reserved.&quot;,&quot;author&quot;:[{&quot;family&quot;:&quot;Morley&quot;,&quot;given&quot;:&quot;John E&quot;},{&quot;family&quot;:&quot;Vellas&quot;,&quot;given&quot;:&quot;Bruno&quot;},{&quot;family&quot;:&quot;van Kan&quot;,&quot;given&quot;:&quot;G Abellan&quot;},{&quot;family&quot;:&quot;Anker&quot;,&quot;given&quot;:&quot;Stefan D&quot;},{&quot;family&quot;:&quot;Bauer&quot;,&quot;given&quot;:&quot;Juergen M&quot;},{&quot;family&quot;:&quot;Bernabei&quot;,&quot;given&quot;:&quot;Roberto&quot;},{&quot;family&quot;:&quot;Cesari&quot;,&quot;given&quot;:&quot;Matteo&quot;},{&quot;family&quot;:&quot;Chumlea&quot;,&quot;given&quot;:&quot;W C&quot;},{&quot;family&quot;:&quot;Doehner&quot;,&quot;given&quot;:&quot;Wolfram&quot;},{&quot;family&quot;:&quot;Evans&quot;,&quot;given&quot;:&quot;Jonathan&quot;},{&quot;family&quot;:&quot;Fried&quot;,&quot;given&quot;:&quot;Linda P&quot;},{&quot;family&quot;:&quot;Guralnik&quot;,&quot;given&quot;:&quot;Jack M&quot;},{&quot;family&quot;:&quot;Katz&quot;,&quot;given&quot;:&quot;Paul R&quot;},{&quot;family&quot;:&quot;Malmstrom&quot;,&quot;given&quot;:&quot;Theodore K&quot;},{&quot;family&quot;:&quot;McCarter&quot;,&quot;given&quot;:&quot;Roger J&quot;},{&quot;family&quot;:&quot;Gutierrez Robledo&quot;,&quot;given&quot;:&quot;Luis M&quot;},{&quot;family&quot;:&quot;Rockwood&quot;,&quot;given&quot;:&quot;Ken&quot;},{&quot;family&quot;:&quot;von Haehling&quot;,&quot;given&quot;:&quot;Stephan&quot;},{&quot;family&quot;:&quot;Vandewoude&quot;,&quot;given&quot;:&quot;Maurits F&quot;},{&quot;family&quot;:&quot;Walston&quot;,&quot;given&quot;:&quot;Jeremy&quot;}],&quot;issued&quot;:{&quot;date-parts&quot;:[[&quot;2013&quot;,&quot;6&quot;]]},&quot;DOI&quot;:&quot;10.1016/j.jamda.2013.03.022&quot;,&quot;PMID&quot;:&quot;23764209&quot;,&quot;PMCID&quot;:&quot;PMC4084863&quot;,&quot;citation-label&quot;:&quot;3851230&quot;},{&quot;title&quot;:&quot;Older patients in the emergency department: a review.&quot;,&quot;page&quot;:&quot;261-269&quot;,&quot;volume&quot;:&quot;56&quot;,&quot;issue&quot;:&quot;3&quot;,&quot;journalAbbreviation&quot;:&quot;Ann. Emerg. Med.&quot;,&quot;id&quot;:&quot;1788056&quot;,&quot;type&quot;:&quot;article-journal&quot;,&quot;container-title&quot;:&quot;Annals of Emergency Medicine&quot;,&quot;container-title-short&quot;:&quot;Ann. Emerg. Med.&quot;,&quot;abstract&quot;:&quot;Older patients account for up to a quarter of all emergency department (ED) visits. Atypical clinical presentation of illness, a high prevalence of cognitive disorders, and the presence of multiple comorbidities complicate their evaluation and management. Increased frailty, delayed diagnosis, and greater illness severity contribute to a higher risk of adverse outcomes. This article will review the most common conditions encountered in older patients, including delirium, dementia, falls, and polypharmacy, and suggest simple and efficient strategies for their evaluation and management. It will discuss age-related changes in the signs and symptoms of acute coronary events, abdominal pain, and infection, examine the yield of different diagnostic approaches in this population, and list the underlying medical problems present in half of all \&quot;social\&quot; admission cases. Complete geriatric assessments are time consuming and beyond the scope of most EDs. We propose a strategy based on the targeting of high-risk patients and provide examples of simple and efficient tools that are appropriate for ED use.Copyright (c) 2010 American College of Emergency Physicians. Published by Mosby, Inc. All rights reserved.&quot;,&quot;author&quot;:[{&quot;family&quot;:&quot;Samaras&quot;,&quot;given&quot;:&quot;Nikolaos&quot;},{&quot;family&quot;:&quot;Chevalley&quot;,&quot;given&quot;:&quot;Thierry&quot;},{&quot;family&quot;:&quot;Samaras&quot;,&quot;given&quot;:&quot;Dimitrios&quot;},{&quot;family&quot;:&quot;Gold&quot;,&quot;given&quot;:&quot;Gabriel&quot;}],&quot;issued&quot;:{&quot;date-parts&quot;:[[&quot;2010&quot;,&quot;9&quot;]]},&quot;DOI&quot;:&quot;10.1016/j.annemergmed.2010.04.015&quot;,&quot;PMID&quot;:&quot;20619500&quot;,&quot;citation-label&quot;:&quot;1788056&quot;},{&quot;title&quot;:&quot;The FRAIL-NH Scale: Systematic Review of the Use, Validity and Adaptations for Frailty Screening in Nursing Homes.&quot;,&quot;page&quot;:&quot;1205-1216&quot;,&quot;volume&quot;:&quot;25&quot;,&quot;issue&quot;:&quot;10&quot;,&quot;journalAbbreviation&quot;:&quot;J. Nutr. Health Aging&quot;,&quot;id&quot;:&quot;12495798&quot;,&quot;type&quot;:&quot;article-journal&quot;,&quot;container-title&quot;:&quot;The journal of nutrition, health &amp; aging&quot;,&quot;container-title-short&quot;:&quot;J. Nutr. Health Aging&quot;,&quot;abstract&quot;:&quot;OBJECTIVES: To investigate frailty prevalence, cross-sectional associations, predictive validity, concurrent validity, and cross-cultural adaptations of the FRAIL-NH scale.DESIGN: Systematic review.SETTING AND PARTICIPANTS: Frail residents living in nursing homes.METHODS: MEDLINE, EMBASE, CINAHL, and Cochrane Library were searched from January 2015 to June 2021 for primary studies that used the FRAIL-NH scale, irrespective of study designs and publication language.RESULTS: Overall, 40 studies conducted across 20 countries utilized the FRAIL-NH scale; majority in Australia (n=14), followed by China (n=6), United States (n=3), and Spain (n=3). The scale has been translated and back-translated into Brazilian Portuguese, Chinese, and Japanese. Various cut-offs have been used, with ≥2 and ≥6 being the most common cut-offs for frail and most frail, respectively. When defined using these cut-offs, frailty prevalence varied from 15.1-79.5% (frail) to 28.5-75.0% (most frail). FRAIL-NH predicted falls (n=2), hospitalization or length of stay (n=4), functional or cognitive decline (n=4), and mortality (n=9) over a median follow-up of 12 months. FRAIL-NH has been compared to 16 other scales, and was correlated with Fried's phenotype (FP), Frailty Index (FI), and FI-Lab. Four studies reported fair-to-moderate agreements between FRAIL-NH and FI, FP, and the Comprehensive Geriatric Assessment. Ten studies assessed the sensitivity and specificity of different FRAIL-NH cut-offs, with ≥8 having the highest sensitivity (94.1%) and specificity (82.8%) for classifying residents as frail based on FI, while two studies reported an optimal cut-off of ≥2 based on FI and FP, respectively.CONCLUSION: In seven years, the FRAIL-NH scale has been applied in 20 countries and adapted into three languages. Despite being applied with a range of cut-offs, FRAIL-NH was associated with higher care needs and demonstrated good agreement with other well-established but more complex scales. FRAIL-NH was predictive of adverse outcomes across different settings, highlighting its value in guiding care for frail residents in nursing homes.&quot;,&quot;author&quot;:[{&quot;family&quot;:&quot;Liau&quot;,&quot;given&quot;:&quot;S J&quot;},{&quot;family&quot;:&quot;Lalic&quot;,&quot;given&quot;:&quot;S&quot;},{&quot;family&quot;:&quot;Visvanathan&quot;,&quot;given&quot;:&quot;R&quot;},{&quot;family&quot;:&quot;Dowd&quot;,&quot;given&quot;:&quot;L A&quot;},{&quot;family&quot;:&quot;Bell&quot;,&quot;given&quot;:&quot;J S&quot;}],&quot;issued&quot;:{&quot;date-parts&quot;:[[&quot;2021&quot;]]},&quot;DOI&quot;:&quot;10.1007/s12603-021-1694-3&quot;,&quot;PMID&quot;:&quot;34866147&quot;,&quot;PMCID&quot;:&quot;PMC8549594&quot;,&quot;citation-label&quot;:&quot;12495798&quot;},{&quot;title&quot;:&quot;The last decade of symptom-oriented research in emergency medicine: triage, work-up, and disposition.&quot;,&quot;page&quot;:&quot;w20141&quot;,&quot;volume&quot;:&quot;149&quot;,&quot;journalAbbreviation&quot;:&quot;Swiss Med Wkly&quot;,&quot;id&quot;:&quot;14446700&quot;,&quot;type&quot;:&quot;article-journal&quot;,&quot;container-title&quot;:&quot;Swiss Medical Weekly&quot;,&quot;container-title-short&quot;:&quot;Swiss Med Wkly&quot;,&quot;abstract&quot;:&quot;As a result of the ever-increasing use of imaging and clinical chemistry, symptom-oriented research has lost ground in many areas of clinical medicine. In emergency medicine, the importance of symptom-oriented research is obvious, as the three major tasks (triage, work-up and disposition) are still under-investigated. Scientific progress is closely linked to the analysis of readily available information, such as the patients’ symptoms. A decade ago, there were more questions than answers. Therefore, we describe the state of the evidence and the importance of symptoms for decisions at triage, during work-up and for disposition. Recent advances in each field focusing on symptoms as predictors of outcome and/or diagnosis are shown. Finally, future directions of research regarding novel triage tools, efficient work-up and evidence-based disposition are discussed. Symptom-oriented research has been a driver for medical progress for centuries, and re-focusing on patient-centred clinical research will strengthen this field in the future in order to support smarter medicine.&quot;,&quot;author&quot;:[{&quot;family&quot;:&quot;Bingisser&quot;,&quot;given&quot;:&quot;Roland&quot;},{&quot;family&quot;:&quot;Nickel&quot;,&quot;given&quot;:&quot;Christian H&quot;}],&quot;issued&quot;:{&quot;date-parts&quot;:[[&quot;2019&quot;,&quot;10&quot;,&quot;7&quot;]]},&quot;DOI&quot;:&quot;10.4414/smw.2019.20141&quot;,&quot;PMID&quot;:&quot;31656038&quot;,&quot;citation-label&quot;:&quot;14446700&quot;},{&quot;title&quot;:&quot;Factors contributing to serious adverse events in nursing homes.&quot;,&quot;page&quot;:&quot;e354-e362&quot;,&quot;volume&quot;:&quot;27&quot;,&quot;issue&quot;:&quot;1-2&quot;,&quot;journalAbbreviation&quot;:&quot;J. Clin. Nurs.&quot;,&quot;id&quot;:&quot;3826845&quot;,&quot;type&quot;:&quot;article-journal&quot;,&quot;container-title&quot;:&quot;Journal of Clinical Nursing&quot;,&quot;container-title-short&quot;:&quot;J. Clin. Nurs.&quot;,&quot;abstract&quot;:&quot;AIMS AND OBJECTIVES: To identify the most common serious adverse events that occurred in nursing homes and their most frequent contributing factors to the improvement of safe nursing care.BACKGROUND: There is a need to improve safe nursing care in nursing homes. Residents are often frail and vulnerable with extensive needs for nursing care. A relatively minor adverse event in nursing care can cause serious injury that could have been preventable.DESIGN: This was a retrospective study, with a total sample of data regarding adverse events (n = 173) in nursing homes, concerning nursing care reported by healthcare providers in Sweden to the Health and Social Care Inspectorate. The reports were analysed with content analysis, and the frequencies of the adverse events, and their contributing factors, were described with descriptive statistics.RESULTS: Medication errors, falls, delayed or inappropriate intervention and missed nursing care contributed to the vast majority (89%) of the serious adverse events. A total of 693 possible contributing factors were identified. The most common contributing factors were (i) lack of competence, (ii) incomplete or lack of documentation, (iii) teamwork failure and (iv) inadequate communication.CONCLUSIONS: The contributing factors frequently interacted yet they varied between different groups of serious adverse events. The resident's safety depends on the availability of staff's competence as well as adequate documentation about the resident's condition. Lack of competence was underestimated by healthcare providers.RELEVANCE TO CLINICAL PRACTICE: Registered nurses and assistant nurses need to have awareness of contributing factors to adverse events in nursing care. A holistic approach to improve patient safety in nursing homes requires competence of the staff, safe environments as well as resident's and relative's participation.© 2017 John Wiley &amp; Sons Ltd.&quot;,&quot;author&quot;:[{&quot;family&quot;:&quot;Andersson&quot;,&quot;given&quot;:&quot;Åsa&quot;},{&quot;family&quot;:&quot;Frank&quot;,&quot;given&quot;:&quot;Catharina&quot;},{&quot;family&quot;:&quot;Willman&quot;,&quot;given&quot;:&quot;Ania Ml&quot;},{&quot;family&quot;:&quot;Sandman&quot;,&quot;given&quot;:&quot;Per-Olof&quot;},{&quot;family&quot;:&quot;Hansebo&quot;,&quot;given&quot;:&quot;Görel&quot;}],&quot;issued&quot;:{&quot;date-parts&quot;:[[&quot;2018&quot;,&quot;1&quot;]]},&quot;DOI&quot;:&quot;10.1111/jocn.13914&quot;,&quot;PMID&quot;:&quot;28618102&quot;,&quot;citation-label&quot;:&quot;3826845&quot;},{&quot;title&quot;:&quot;Learning from complaints to the Health and Disability Commission Office: A case study into indicators of deterioration in aged residential care organisations in New Zealand.&quot;,&quot;journalAbbreviation&quot;:&quot;Australas. J. Ageing&quot;,&quot;id&quot;:&quot;13754196&quot;,&quot;type&quot;:&quot;article-journal&quot;,&quot;container-title&quot;:&quot;Australasian journal on ageing&quot;,&quot;container-title-short&quot;:&quot;Australas. J. Ageing&quot;,&quot;abstract&quot;:&quot;OBJECTIVE: To identify trends in complaints received by the Health and Disability Commissioner (HDC) about aged residential care (ARC) facilities in order to learn from and implement positive changes in care.METHODS: A case study of 24 deidentified publicly available HDC cases across three large New Zealand ARC organisations was completed. Cross-case analysis first involved analysis of each case individually and then compared all cases using inductive thematic analysis with the intention of drawing a single set of conclusions.RESULTS: The speed at which the events occurred was contributory to the complaint, with 58% of the cases being rapid in nature and with sepsis being the predominant contributing factor to rapid decline and death. Six main diagnoses were indicators of deterioration: nutrition/hydration was indicated in 22% of the cases, followed by sepsis 17%, wounds 17%, UTI/renal issues 15%, falls 15% and respiratory issues 15%.CONCLUSIONS: Trends in Health and Disability complaints across multiple organisations can become a powerful tool for widespread quality improvement. This review highlights that the speed of deterioration triggered many complaints, especially in cases of sepsis which is possibly overlooked as a contributing problem. Also, that nutrition/hydration was indicated in many complaints and is an important condition-indicator. Trends in complaints are not generalisable to all large organisations; however, they can be applied to individual facilities.© 2022 The Authors. Australasian Journal on Ageing published by John Wiley &amp; Sons Australia, Ltd on behalf of AJA Inc’.&quot;,&quot;author&quot;:[{&quot;family&quot;:&quot;Mowat&quot;,&quot;given&quot;:&quot;Rebecca&quot;},{&quot;family&quot;:&quot;Dewar&quot;,&quot;given&quot;:&quot;Jan&quot;},{&quot;family&quot;:&quot;Ram&quot;,&quot;given&quot;:&quot;Felix&quot;}],&quot;issued&quot;:{&quot;date-parts&quot;:[[&quot;2022&quot;,&quot;10&quot;,&quot;7&quot;]]},&quot;DOI&quot;:&quot;10.1111/ajag.13141&quot;,&quot;PMID&quot;:&quot;36205132&quot;,&quot;citation-label&quot;:&quot;13754196&quot;},{&quot;title&quot;:&quot;Prevalence of Frailty in Nursing Homes: A Systematic Review and Meta-Analysis.&quot;,&quot;page&quot;:&quot;940-945&quot;,&quot;volume&quot;:&quot;16&quot;,&quot;issue&quot;:&quot;11&quot;,&quot;journalAbbreviation&quot;:&quot;J. Am. Med. Dir. Assoc.&quot;,&quot;id&quot;:&quot;7497852&quot;,&quot;type&quot;:&quot;article-journal&quot;,&quot;container-title&quot;:&quot;Journal of the American Medical Directors Association&quot;,&quot;container-title-short&quot;:&quot;J. Am. Med. Dir. Assoc.&quot;,&quot;abstract&quot;:&quot;BACKGROUND: Nursing home patients are expected to be very frail. However, evidence on frailty in a nursing home setting is scarce in the literature. Especially prevalence of frailty in this population is unknown.OBJECTIVE: To systematically search and analyze the prevalence of frailty among nursing home patients in the literature and synthesize pooled estimates of overall prevalence of frailty and prefrailty as well as prevalence of frailty stratified by age, gender, and frailty definitions.DESIGN: Systematic review using 5 databases: Embase, MEDLINE, CINAHL Plus, PsycINFO, and Cochrane library, and meta-analysis.SETTING: Cross-sectional studies or observational studies with baseline data in a nursing home setting.PARTICIPANTS: Nursing home patients aged 60 years or older.MEASUREMENTS: Prevalence of frailty and prefrailty based on validated criteria or definitions of frailty was collected. In the included studies, meta-analysis was performed using random-effects models to calculate pooled estimates of prevalence of frailty and prefrailty. Methodological quality, heterogeneity, and publication bias were assessed.RESULTS: Nine studies with a total of 1373 nursing home patients were found to report prevalence of frailty. The included studies were highly heterogeneous and mean prevalence of frailty ranged widely from 19.0 to 75.6%. Pooled estimates of prevalence of frailty and prefrailty were 52.3% (95% confidence interval 37.9%-66.5%) (9 studies, n = 1373) and 40.2% (28.9%-52.1%) (7 studies, n = 1163), respectively.CONCLUSIONS: As high as about one-half of the nursing home patients were frail. Approximately 40% were still prefrail and could be targeted by interventions for frailty prevention or treatment to avoid its negative health outcomes.Copyright © 2015 AMDA – The Society for Post-Acute and Long-Term Care Medicine. Published by Elsevier Inc. All rights reserved.&quot;,&quot;author&quot;:[{&quot;family&quot;:&quot;Kojima&quot;,&quot;given&quot;:&quot;Gotaro&quot;}],&quot;issued&quot;:{&quot;date-parts&quot;:[[&quot;2015&quot;,&quot;11&quot;,&quot;1&quot;]]},&quot;DOI&quot;:&quot;10.1016/j.jamda.2015.06.025&quot;,&quot;PMID&quot;:&quot;26255709&quot;,&quot;citation-label&quot;:&quot;7497852&quot;},{&quot;title&quot;:&quot;Emergency presentations of older patients living with frailty: Presenting symptoms compared with non-frail patients.&quot;,&quot;page&quot;:&quot;111-117&quot;,&quot;volume&quot;:&quot;59&quot;,&quot;journalAbbreviation&quot;:&quot;Am. J. Emerg. Med.&quot;,&quot;id&quot;:&quot;13398021&quot;,&quot;type&quot;:&quot;article-journal&quot;,&quot;container-title&quot;:&quot;The American Journal of Emergency Medicine&quot;,&quot;container-title-short&quot;:&quot;Am. J. Emerg. Med.&quot;,&quot;abstract&quot;:&quot;BACKGROUND AND OBJECTIVE: Symptoms may differ between frail and non-frail patients presenting to Emergency Departments (ED). However, the association between frailty status and type of presenting symptoms has not been investigated. We aimed to systematically analyse presenting symptoms in frail and non-frail older emergency patients and hypothesized that frailty may be associated with nonspecific complaints (NSC), such as generalised weakness.METHODS: Secondary analysis of a prospective, single centre, observational all-comer cohort study conducted in the ED of a Swiss tertiary care hospital. All presentations of patients aged 65 years and older were analysed. At triage, presenting symptoms and frailty were systematically assessed using a questionnaire. Patients with a Clinical Frailty Scale (CFS) &gt; 4 were considered frail. Presenting symptoms, stratified by frailty status, were analysed. The association between frailty and generalised weakness was tested by logistic regression.RESULTS: Overall, 2'416 presentations of patients 65 years and older were analysed. Mean age was 78.9 (SD 8.4) years, 1'228 (50.8%) patients were female, and 885 (36.6%) patients were frail (CFS &gt; 4). Generalised weakness, dyspnea, localised weakness, speech disorder, loss of consciousness and gait disturbance were recorded more often in frail patients, whereas chest pain was reported more often by non-frail patients. Generalised weakness was reported as presenting symptom in 166 (18.8%) frail patients and in 153 (10.0%) non-frail patients. Frailty was associated with generalised weakness after adjusting for age, gender and elevated National Early Warning Score 2 (NEWS) ≥ 3 (OR 1.19, CI 1.10-1.29, p &lt;  0.001).CONCLUSION: Presenting symptoms differ in frail and non-frail patients. Frailty is associated with generalised weakness at ED presentation.Copyright © 2022 The Authors. Published by Elsevier Inc. All rights reserved.&quot;,&quot;author&quot;:[{&quot;family&quot;:&quot;Simon&quot;,&quot;given&quot;:&quot;N R&quot;},{&quot;family&quot;:&quot;Jauslin&quot;,&quot;given&quot;:&quot;A S&quot;},{&quot;family&quot;:&quot;Bingisser&quot;,&quot;given&quot;:&quot;R&quot;},{&quot;family&quot;:&quot;Nickel&quot;,&quot;given&quot;:&quot;C H&quot;}],&quot;issued&quot;:{&quot;date-parts&quot;:[[&quot;2022&quot;,&quot;9&quot;]]},&quot;DOI&quot;:&quot;10.1016/j.ajem.2022.06.046&quot;,&quot;PMID&quot;:&quot;35834872&quot;,&quot;citation-label&quot;:&quot;13398021&quot;},{&quot;title&quot;:&quot;Elderly emergency patients presenting with non-specific complaints: Characteristics and outcomes.&quot;,&quot;page&quot;:&quot;e0188954&quot;,&quot;volume&quot;:&quot;12&quot;,&quot;issue&quot;:&quot;11&quot;,&quot;journalAbbreviation&quot;:&quot;PLoS ONE&quot;,&quot;id&quot;:&quot;5449789&quot;,&quot;type&quot;:&quot;article-journal&quot;,&quot;container-title&quot;:&quot;Plos One&quot;,&quot;container-title-short&quot;:&quot;PLoS ONE&quot;,&quot;abstract&quot;:&quot;BACKGROUND: Non-specific complaints (NSC) are common at the emergency department, but only a few studies have shown evidence that these complaints are associated with a poor prognosis in elderly emergency patients.OBJECTIVE: To describe patient characteristics and outcomes in a cohort of elderly emergency patients presenting with NSC. Outcomes were: patient characteristics, hospitalization, 90-day ED-return visits, and 30-day mortality.METHOD: A retrospective cohort study was conducted amongst elderly patients present to the Internal Medicine Emergency Department (ED) between 01-09-2010 and 31-08-2011. NSC were defined as indefinable complaints that lack a pre-differential diagnosis needed to initiate of a standardized patient evaluation. Cox regression was performed to calculate Hazard Ratios (HR) and corrected for confounders such as comorbidity.RESULTS: In total, 1784 patients were enrolled; 244 (13.7%) presented with NSC. Compared to those with SC, comorbidity was higher in the NSC-group (Charlson comorbidity index 3.0 vs. 2.4, p&lt; 0.001). The triage level did not differ, but ED-length of stay was longer in the NSC-group (188 vs. 178 minutes, p = 0.004). Hospitalization was more frequent (84.0 vs. 71.1%, p&lt; 0.001) and the length of hospital stay (9 vs. 6 days, p&lt; 0.001 was longer in the NSC- than in the SC-group. The number of ED-return visits were comparable between both groups (HR 0.8, 95%CI 0.6-1.1). Mortality within 30-days was higher in the NSC- (20.1%) than in the SC-group (11.0%, HR 1.7 95%CI 1.2-2.4).CONCLUSION: Elderly patients present with NSC at the ED regularly. These patients are more often hospitalized and have a substantially higher 30-day mortality than patients with SC.&quot;,&quot;author&quot;:[{&quot;family&quot;:&quot;Wachelder&quot;,&quot;given&quot;:&quot;Joyce J H&quot;},{&quot;family&quot;:&quot;Stassen&quot;,&quot;given&quot;:&quot;Patricia M&quot;},{&quot;family&quot;:&quot;Hubens&quot;,&quot;given&quot;:&quot;Laura P A M&quot;},{&quot;family&quot;:&quot;Brouns&quot;,&quot;given&quot;:&quot;Steffie H A&quot;},{&quot;family&quot;:&quot;Lambooij&quot;,&quot;given&quot;:&quot;Suze L E&quot;},{&quot;family&quot;:&quot;Dieleman&quot;,&quot;given&quot;:&quot;Jeanne P&quot;},{&quot;family&quot;:&quot;Haak&quot;,&quot;given&quot;:&quot;Harm R&quot;}],&quot;issued&quot;:{&quot;date-parts&quot;:[[&quot;2017&quot;,&quot;11&quot;,&quot;30&quot;]]},&quot;DOI&quot;:&quot;10.1371/journal.pone.0188954&quot;,&quot;PMID&quot;:&quot;29190706&quot;,&quot;PMCID&quot;:&quot;PMC5708794&quot;,&quot;citation-label&quot;:&quot;5449789&quot;},{&quot;title&quot;:&quot;Emergency Presentations With Nonspecific Complaints-the Burden of Morbidity and the Spectrum of Underlying Disease: Nonspecific Complaints and Underlying Disease.&quot;,&quot;page&quot;:&quot;e840&quot;,&quot;volume&quot;:&quot;94&quot;,&quot;issue&quot;:&quot;26&quot;,&quot;journalAbbreviation&quot;:&quot;Medicine (Baltimore)&quot;,&quot;id&quot;:&quot;12305495&quot;,&quot;type&quot;:&quot;article-journal&quot;,&quot;container-title&quot;:&quot;Medicine&quot;,&quot;container-title-short&quot;:&quot;Medicine (Baltimore)&quot;,&quot;abstract&quot;:&quot;The prevalence of diagnoses, morbidity, and mortality of patients with nonspecific complaints (NSC) presenting to the emergency department (ED) is unknown.To determine the prevalence of diagnoses, acute morbidity, and mortality of patients with NSC.Prospective observational study with a 30-day follow-up. Patients presenting to 2 EDs were enrolled by a study team and diagnosed according to the World Health Organization ICD-10 System.Of 217,699 presentations to the ED from May 2007 through to February 2011, a total of 1300 patients were enrolled. After exclusion of 90 patients who fulfilled exclusion criteria, 1210 patients were analyzed. No patient was lost to follow-up. In patients with NSC, the underlying diseases were spread throughout 18 chapters of the ICD-10. A total of 58.7% of the patients were diagnosed with acute morbidity. Thirty-day mortality was 6.4% overall. Patients with acute morbidity and suffering from heart failure and pneumonia had mortalities &gt;15%; patients lacking acute morbidity, but suffering from functional impairment or depression/anxiety had mortalities of 0%. Although the history did not allow any prediction, age and sex were predictive of morbidity and mortality.The differential diagnoses in patients presenting with NSC is broad. Acute morbidity and mortality were high in the presented cohort, the predictors of morbidity and mortality being age and sex rather than the nature of the complaints. Urgently needed management strategies could be based on these results.ClinicalTrials.gov (#NCT00920491).&quot;,&quot;author&quot;:[{&quot;family&quot;:&quot;Karakoumis&quot;,&quot;given&quot;:&quot;Julia&quot;},{&quot;family&quot;:&quot;Nickel&quot;,&quot;given&quot;:&quot;Christian H&quot;},{&quot;family&quot;:&quot;Kirsch&quot;,&quot;given&quot;:&quot;Mark&quot;},{&quot;family&quot;:&quot;Rohacek&quot;,&quot;given&quot;:&quot;Martin&quot;},{&quot;family&quot;:&quot;Geigy&quot;,&quot;given&quot;:&quot;Nicolas&quot;},{&quot;family&quot;:&quot;Müller&quot;,&quot;given&quot;:&quot;Beat&quot;},{&quot;family&quot;:&quot;Ackermann&quot;,&quot;given&quot;:&quot;Selina&quot;},{&quot;family&quot;:&quot;Bingisser&quot;,&quot;given&quot;:&quot;Roland&quot;}],&quot;issued&quot;:{&quot;date-parts&quot;:[[&quot;2015&quot;,&quot;7&quot;]]},&quot;DOI&quot;:&quot;10.1097/MD.0000000000000840&quot;,&quot;PMID&quot;:&quot;26131835&quot;,&quot;PMCID&quot;:&quot;PMC4504657&quot;,&quot;citation-label&quot;:&quot;12305495&quot;},{&quot;title&quot;:&quot;Complaints to the Health and Disability Commissioner about Residential Aged Care   Facilities: Analysis and Report 2010  -  2014    &quot;,&quot;publisher&quot;:&quot;HDC&quot;,&quot;accessed&quot;:{&quot;date-parts&quot;:[[&quot;2020&quot;,&quot;9&quot;,&quot;10&quot;]]},&quot;id&quot;:&quot;9622970&quot;,&quot;type&quot;:&quot;report&quot;,&quot;author&quot;:[{&quot;family&quot;:&quot;Wall&quot;,&quot;given&quot;:&quot;Rose&quot;}],&quot;issued&quot;:{&quot;date-parts&quot;:[[&quot;2016&quot;]]},&quot;URL&quot;:&quot;https://www.hdc.org.nz/news-resources/search-resources/articles/complaints-to-hdc-about-residential-aged-care-facilities-analysis-and-report-2010-2014/&quot;,&quot;citation-label&quot;:&quot;9622970&quot;},{&quot;title&quot;:&quot;Atypical presentations of older adults at the emergency department and associated factors.&quot;,&quot;page&quot;:&quot;97-102&quot;,&quot;volume&quot;:&quot;62&quot;,&quot;journalAbbreviation&quot;:&quot;Arch. Gerontol. Geriatr.&quot;,&quot;id&quot;:&quot;7000685&quot;,&quot;type&quot;:&quot;article-journal&quot;,&quot;container-title&quot;:&quot;Archives of Gerontology and Geriatrics&quot;,&quot;container-title-short&quot;:&quot;Arch. Gerontol. Geriatr.&quot;,&quot;abstract&quot;:&quot;OBJECTIVES: The objectives were to determine the prevalence of atypical presentations among older adults at the Emergency Department (ED) of a tertiary care hospital and to identify factors associated with these presentations.MATERIAL AND METHODS: A retrospective medical record audit was randomly reviewed in 633 patients who were aged ≥ 65 years who attended the ED of Srinagarind Medical School Hospital in 2013. Demographic data were collected and were analyzed using descriptive statistics. Regression analysis was used to analyze the variables associated with the outcomes.RESULTS: The prevalence of an atypical presentation was 28.6% (181/633 cases). The failure to develop fever with a disease known to cause fever was the most common atypical presentation of illness (34.42%). Independent factors associated with atypical presentations were complicated urinary tract infection (UTI) (odds ratios (OR) 4.66, 95% confidence interval (CI) 2.0, 10.84, p=0.00) and a background of dementia (OR 3.48, 95% CI 1.38, 8.77, p=0.008).CONCLUSIONS: The prevalence of atypical presentations of older adults at the ED was about a third. The absence of fever with a disease known to cause fever was the most common atypical presentation. Complicated UTI and demented patients were the independent risk factors associated with the atypical presentations. Early awareness of non-specific presentations and applying comprehensive geriatric assessments among older patients at the ED is recommended.Copyright © 2015 Elsevier Ireland Ltd. All rights reserved.&quot;,&quot;author&quot;:[{&quot;family&quot;:&quot;Limpawattana&quot;,&quot;given&quot;:&quot;Panita&quot;},{&quot;family&quot;:&quot;Phungoen&quot;,&quot;given&quot;:&quot;Pariwat&quot;},{&quot;family&quot;:&quot;Mitsungnern&quot;,&quot;given&quot;:&quot;Thapanawong&quot;},{&quot;family&quot;:&quot;Laosuangkoon&quot;,&quot;given&quot;:&quot;Wannisa&quot;},{&quot;family&quot;:&quot;Tansangworn&quot;,&quot;given&quot;:&quot;Natthida&quot;}],&quot;issued&quot;:{&quot;date-parts&quot;:[[&quot;2016&quot;,&quot;2&quot;]]},&quot;DOI&quot;:&quot;10.1016/j.archger.2015.08.016&quot;,&quot;PMID&quot;:&quot;26323650&quot;,&quot;citation-label&quot;:&quot;7000685&quot;},{&quot;title&quot;:&quot;Guidance for conducting feasibility and pilot studies for implementation trials.&quot;,&quot;page&quot;:&quot;167&quot;,&quot;volume&quot;:&quot;6&quot;,&quot;issue&quot;:&quot;1&quot;,&quot;journalAbbreviation&quot;:&quot;Pilot Feasibility Stud.&quot;,&quot;id&quot;:&quot;10020270&quot;,&quot;type&quot;:&quot;article-journal&quot;,&quot;container-title&quot;:&quot;Pilot and Feasibility Studies&quot;,&quot;container-title-short&quot;:&quot;Pilot Feasibility Stud.&quot;,&quot;abstract&quot;:&quot;BACKGROUND: Implementation trials aim to test the effects of implementation strategies on the adoption, integration or uptake of an evidence-based intervention within organisations or settings. Feasibility and pilot studies can assist with building and testing effective implementation strategies by helping to address uncertainties around design and methods, assessing potential implementation strategy effects and identifying potential causal mechanisms. This paper aims to provide broad guidance for the conduct of feasibility and pilot studies for implementation trials.METHODS: We convened a group with a mutual interest in the use of feasibility and pilot trials in implementation science including implementation and behavioural science experts and public health researchers. We conducted a literature review to identify existing recommendations for feasibility and pilot studies, as well as publications describing formative processes for implementation trials. In the absence of previous explicit guidance for the conduct of feasibility or pilot implementation trials specifically, we used the effectiveness-implementation hybrid trial design typology proposed by Curran and colleagues as a framework for conceptualising the application of feasibility and pilot testing of implementation interventions. We discuss and offer guidance regarding the aims, methods, design, measures, progression criteria and reporting for implementation feasibility and pilot studies.CONCLUSIONS: This paper provides a resource for those undertaking preliminary work to enrich and inform larger scale implementation trials.&quot;,&quot;author&quot;:[{&quot;family&quot;:&quot;Pearson&quot;,&quot;given&quot;:&quot;Nicole&quot;},{&quot;family&quot;:&quot;Naylor&quot;,&quot;given&quot;:&quot;Patti-Jean&quot;},{&quot;family&quot;:&quot;Ashe&quot;,&quot;given&quot;:&quot;Maureen C&quot;},{&quot;family&quot;:&quot;Fernandez&quot;,&quot;given&quot;:&quot;Maria&quot;},{&quot;family&quot;:&quot;Yoong&quot;,&quot;given&quot;:&quot;Sze Lin&quot;},{&quot;family&quot;:&quot;Wolfenden&quot;,&quot;given&quot;:&quot;Luke&quot;}],&quot;issued&quot;:{&quot;date-parts&quot;:[[&quot;2020&quot;,&quot;10&quot;,&quot;31&quot;]]},&quot;DOI&quot;:&quot;10.1186/s40814-020-00634-w&quot;,&quot;PMID&quot;:&quot;33292770&quot;,&quot;PMCID&quot;:&quot;PMC7603668&quot;,&quot;citation-label&quot;:&quot;10020270&quot;}]"/>
    <we:property name="sciwheel-selectedStyle" value="{&quot;id&quot;:&quot;apa 7th&quot;,&quot;name&quot;:&quot;APA (American Psychological Association) 7th Editio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CCAB2-52F0-438D-9A53-6D51A36C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8373</Words>
  <Characters>47728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e-fishency ltd</Company>
  <LinksUpToDate>false</LinksUpToDate>
  <CharactersWithSpaces>55990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Rivers-Moore</dc:creator>
  <cp:lastModifiedBy>Julie Daltrey</cp:lastModifiedBy>
  <cp:revision>2</cp:revision>
  <cp:lastPrinted>2023-10-31T04:21:00Z</cp:lastPrinted>
  <dcterms:created xsi:type="dcterms:W3CDTF">2023-12-27T19:08:00Z</dcterms:created>
  <dcterms:modified xsi:type="dcterms:W3CDTF">2023-12-27T19:08:00Z</dcterms:modified>
</cp:coreProperties>
</file>