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2DA2" w14:textId="77777777" w:rsidR="006C6ECC" w:rsidRPr="00932D68" w:rsidRDefault="00932D68" w:rsidP="00932D68">
      <w:pPr>
        <w:spacing w:line="276" w:lineRule="auto"/>
        <w:jc w:val="left"/>
        <w:rPr>
          <w:rFonts w:cstheme="minorHAnsi"/>
          <w:b/>
          <w:sz w:val="26"/>
          <w:szCs w:val="26"/>
          <w:lang w:val="en-NZ"/>
        </w:rPr>
      </w:pPr>
      <w:r w:rsidRPr="00932D68">
        <w:rPr>
          <w:rFonts w:cstheme="minorHAnsi"/>
          <w:b/>
          <w:sz w:val="26"/>
          <w:szCs w:val="26"/>
          <w:lang w:val="en-NZ"/>
        </w:rPr>
        <w:t>A</w:t>
      </w:r>
      <w:r w:rsidR="006C6ECC" w:rsidRPr="00932D68">
        <w:rPr>
          <w:rFonts w:cstheme="minorHAnsi"/>
          <w:b/>
          <w:sz w:val="26"/>
          <w:szCs w:val="26"/>
          <w:lang w:val="en-NZ"/>
        </w:rPr>
        <w:t>DMINISTRATIVE INFORMATION</w:t>
      </w:r>
    </w:p>
    <w:p w14:paraId="3CEA9471" w14:textId="77777777" w:rsidR="00CF38D3" w:rsidRDefault="00D7554B" w:rsidP="004D493D">
      <w:pPr>
        <w:tabs>
          <w:tab w:val="left" w:pos="540"/>
        </w:tabs>
        <w:spacing w:after="160"/>
        <w:ind w:left="720" w:hanging="720"/>
        <w:rPr>
          <w:color w:val="000000" w:themeColor="text1"/>
          <w:lang w:val="en-NZ"/>
        </w:rPr>
      </w:pPr>
      <w:r w:rsidRPr="005B669F">
        <w:rPr>
          <w:color w:val="000000" w:themeColor="text1"/>
          <w:lang w:val="en-NZ"/>
        </w:rPr>
        <w:t>Title</w:t>
      </w:r>
      <w:r w:rsidR="008E2D3C" w:rsidRPr="005B669F">
        <w:rPr>
          <w:color w:val="000000" w:themeColor="text1"/>
          <w:lang w:val="en-NZ"/>
        </w:rPr>
        <w:t>:</w:t>
      </w:r>
      <w:r w:rsidR="00CF38D3" w:rsidRPr="005B669F">
        <w:rPr>
          <w:color w:val="000000" w:themeColor="text1"/>
          <w:lang w:val="en-NZ"/>
        </w:rPr>
        <w:t xml:space="preserve"> </w:t>
      </w:r>
      <w:r w:rsidR="004D493D">
        <w:rPr>
          <w:color w:val="000000" w:themeColor="text1"/>
          <w:lang w:val="en-NZ"/>
        </w:rPr>
        <w:tab/>
      </w:r>
      <w:r w:rsidR="00932D68">
        <w:rPr>
          <w:color w:val="000000" w:themeColor="text1"/>
          <w:lang w:val="en-NZ"/>
        </w:rPr>
        <w:t xml:space="preserve">A novel </w:t>
      </w:r>
      <w:r w:rsidR="003E5EED">
        <w:rPr>
          <w:color w:val="000000" w:themeColor="text1"/>
          <w:lang w:val="en-NZ"/>
        </w:rPr>
        <w:t xml:space="preserve">digital </w:t>
      </w:r>
      <w:r w:rsidR="00932D68">
        <w:rPr>
          <w:color w:val="000000" w:themeColor="text1"/>
          <w:lang w:val="en-NZ"/>
        </w:rPr>
        <w:t>glycaemic monitoring tool: a pilot study</w:t>
      </w:r>
    </w:p>
    <w:p w14:paraId="0E4D7ECF" w14:textId="77777777" w:rsidR="00932D68" w:rsidRPr="005B669F" w:rsidRDefault="00932D68" w:rsidP="004D493D">
      <w:pPr>
        <w:tabs>
          <w:tab w:val="left" w:pos="540"/>
        </w:tabs>
        <w:spacing w:after="160"/>
        <w:ind w:left="720" w:hanging="720"/>
        <w:rPr>
          <w:rFonts w:cs="Arial"/>
          <w:color w:val="000000" w:themeColor="text1"/>
          <w:u w:val="single"/>
        </w:rPr>
      </w:pPr>
      <w:r>
        <w:rPr>
          <w:color w:val="000000" w:themeColor="text1"/>
          <w:lang w:val="en-NZ"/>
        </w:rPr>
        <w:t xml:space="preserve">Short title: A novel </w:t>
      </w:r>
      <w:r w:rsidR="003E5EED">
        <w:rPr>
          <w:color w:val="000000" w:themeColor="text1"/>
          <w:lang w:val="en-NZ"/>
        </w:rPr>
        <w:t xml:space="preserve">digital glucose </w:t>
      </w:r>
      <w:r>
        <w:rPr>
          <w:color w:val="000000" w:themeColor="text1"/>
          <w:lang w:val="en-NZ"/>
        </w:rPr>
        <w:t>monitoring tool: a pilot study</w:t>
      </w:r>
    </w:p>
    <w:p w14:paraId="4E0670D0" w14:textId="77777777" w:rsidR="00D7554B" w:rsidRPr="005B669F" w:rsidRDefault="00D7554B" w:rsidP="006B1DE9">
      <w:pPr>
        <w:spacing w:after="160"/>
        <w:rPr>
          <w:color w:val="000000" w:themeColor="text1"/>
          <w:lang w:val="en-NZ"/>
        </w:rPr>
      </w:pPr>
      <w:r w:rsidRPr="005B669F">
        <w:rPr>
          <w:color w:val="000000" w:themeColor="text1"/>
          <w:lang w:val="en-NZ"/>
        </w:rPr>
        <w:t>Registration</w:t>
      </w:r>
      <w:r w:rsidR="008E2D3C" w:rsidRPr="005B669F">
        <w:rPr>
          <w:color w:val="000000" w:themeColor="text1"/>
          <w:lang w:val="en-NZ"/>
        </w:rPr>
        <w:t>:</w:t>
      </w:r>
      <w:r w:rsidR="006C7C79" w:rsidRPr="005B669F">
        <w:rPr>
          <w:color w:val="000000" w:themeColor="text1"/>
          <w:lang w:val="en-NZ"/>
        </w:rPr>
        <w:t xml:space="preserve"> </w:t>
      </w:r>
      <w:r w:rsidR="006B1DE9" w:rsidRPr="005B669F">
        <w:rPr>
          <w:color w:val="000000" w:themeColor="text1"/>
          <w:lang w:val="en-NZ"/>
        </w:rPr>
        <w:t>Th</w:t>
      </w:r>
      <w:r w:rsidR="00932D68">
        <w:rPr>
          <w:color w:val="000000" w:themeColor="text1"/>
          <w:lang w:val="en-NZ"/>
        </w:rPr>
        <w:t>is trial will be</w:t>
      </w:r>
      <w:r w:rsidR="00432780" w:rsidRPr="005B669F">
        <w:rPr>
          <w:color w:val="000000" w:themeColor="text1"/>
          <w:lang w:val="en-NZ"/>
        </w:rPr>
        <w:t xml:space="preserve"> </w:t>
      </w:r>
      <w:r w:rsidR="006C7C79" w:rsidRPr="005B669F">
        <w:rPr>
          <w:color w:val="000000" w:themeColor="text1"/>
          <w:lang w:val="en-NZ"/>
        </w:rPr>
        <w:t>registered</w:t>
      </w:r>
      <w:r w:rsidR="006B44CF" w:rsidRPr="005B669F">
        <w:rPr>
          <w:color w:val="000000" w:themeColor="text1"/>
          <w:lang w:val="en-NZ"/>
        </w:rPr>
        <w:t xml:space="preserve"> with ANZCTR </w:t>
      </w:r>
    </w:p>
    <w:p w14:paraId="6822BC71" w14:textId="3FA991B5" w:rsidR="00D7554B" w:rsidRPr="005B669F" w:rsidRDefault="00D7554B" w:rsidP="006B1DE9">
      <w:pPr>
        <w:spacing w:after="160"/>
        <w:rPr>
          <w:color w:val="000000" w:themeColor="text1"/>
          <w:lang w:val="en-NZ"/>
        </w:rPr>
      </w:pPr>
      <w:r w:rsidRPr="005B669F">
        <w:rPr>
          <w:color w:val="000000" w:themeColor="text1"/>
          <w:lang w:val="en-NZ"/>
        </w:rPr>
        <w:t xml:space="preserve">Protocol </w:t>
      </w:r>
      <w:r w:rsidR="008E2D3C" w:rsidRPr="005B669F">
        <w:rPr>
          <w:color w:val="000000" w:themeColor="text1"/>
          <w:lang w:val="en-NZ"/>
        </w:rPr>
        <w:t xml:space="preserve">details: </w:t>
      </w:r>
      <w:r w:rsidR="006C6ECC" w:rsidRPr="007B13CA">
        <w:rPr>
          <w:color w:val="000000" w:themeColor="text1"/>
          <w:lang w:val="en-NZ"/>
        </w:rPr>
        <w:t>version</w:t>
      </w:r>
      <w:r w:rsidR="00D50DBB" w:rsidRPr="007B13CA">
        <w:rPr>
          <w:color w:val="000000" w:themeColor="text1"/>
          <w:lang w:val="en-NZ"/>
        </w:rPr>
        <w:t xml:space="preserve"> </w:t>
      </w:r>
      <w:r w:rsidR="00932D68" w:rsidRPr="007B13CA">
        <w:rPr>
          <w:color w:val="000000" w:themeColor="text1"/>
          <w:lang w:val="en-NZ"/>
        </w:rPr>
        <w:t>1.</w:t>
      </w:r>
      <w:r w:rsidR="007B13CA">
        <w:rPr>
          <w:color w:val="000000" w:themeColor="text1"/>
          <w:lang w:val="en-NZ"/>
        </w:rPr>
        <w:t>0</w:t>
      </w:r>
      <w:r w:rsidR="00D50DBB" w:rsidRPr="007B13CA">
        <w:rPr>
          <w:color w:val="000000" w:themeColor="text1"/>
          <w:lang w:val="en-NZ"/>
        </w:rPr>
        <w:t xml:space="preserve">, dated </w:t>
      </w:r>
      <w:r w:rsidR="00932D68" w:rsidRPr="007B13CA">
        <w:rPr>
          <w:color w:val="000000" w:themeColor="text1"/>
          <w:lang w:val="en-NZ"/>
        </w:rPr>
        <w:t>15.08.2023</w:t>
      </w:r>
    </w:p>
    <w:p w14:paraId="17A435F0" w14:textId="77777777" w:rsidR="003C4EDF" w:rsidRPr="00932D68" w:rsidRDefault="003C4EDF" w:rsidP="006B1DE9">
      <w:pPr>
        <w:spacing w:after="160"/>
        <w:rPr>
          <w:iCs/>
          <w:color w:val="000000" w:themeColor="text1"/>
          <w:lang w:val="en-NZ"/>
        </w:rPr>
      </w:pPr>
      <w:r w:rsidRPr="005B669F">
        <w:rPr>
          <w:color w:val="000000" w:themeColor="text1"/>
          <w:lang w:val="en-NZ"/>
        </w:rPr>
        <w:t xml:space="preserve">Funding: </w:t>
      </w:r>
      <w:r w:rsidR="00932D68">
        <w:rPr>
          <w:iCs/>
          <w:color w:val="000000" w:themeColor="text1"/>
          <w:lang w:val="en-NZ"/>
        </w:rPr>
        <w:t xml:space="preserve">this study has received funding from the Health Research Council of New Zealand. In-kind funding of software licensing was provided by Passio Inc. (California, United States). </w:t>
      </w:r>
    </w:p>
    <w:p w14:paraId="11B5E778" w14:textId="77777777" w:rsidR="003C4EDF" w:rsidRPr="00932D68" w:rsidRDefault="00510BF3" w:rsidP="006B1DE9">
      <w:pPr>
        <w:spacing w:after="160"/>
        <w:rPr>
          <w:iCs/>
          <w:color w:val="000000" w:themeColor="text1"/>
          <w:lang w:val="en-NZ"/>
        </w:rPr>
      </w:pPr>
      <w:r>
        <w:rPr>
          <w:color w:val="000000" w:themeColor="text1"/>
          <w:lang w:val="en-NZ"/>
        </w:rPr>
        <w:t>Host Organisation (</w:t>
      </w:r>
      <w:r w:rsidR="003C4EDF" w:rsidRPr="005B669F">
        <w:rPr>
          <w:color w:val="000000" w:themeColor="text1"/>
          <w:lang w:val="en-NZ"/>
        </w:rPr>
        <w:t>Sponsor</w:t>
      </w:r>
      <w:r>
        <w:rPr>
          <w:color w:val="000000" w:themeColor="text1"/>
          <w:lang w:val="en-NZ"/>
        </w:rPr>
        <w:t>)</w:t>
      </w:r>
      <w:r w:rsidR="003C4EDF" w:rsidRPr="005B669F">
        <w:rPr>
          <w:color w:val="000000" w:themeColor="text1"/>
          <w:lang w:val="en-NZ"/>
        </w:rPr>
        <w:t xml:space="preserve">: </w:t>
      </w:r>
      <w:r w:rsidR="00932D68">
        <w:rPr>
          <w:iCs/>
          <w:color w:val="000000" w:themeColor="text1"/>
          <w:lang w:val="en-NZ"/>
        </w:rPr>
        <w:t>University of Otago</w:t>
      </w:r>
    </w:p>
    <w:p w14:paraId="0A7DB1AD" w14:textId="77777777" w:rsidR="003C3834" w:rsidRPr="005B669F" w:rsidRDefault="006C6ECC" w:rsidP="006B1DE9">
      <w:pPr>
        <w:spacing w:after="160"/>
        <w:rPr>
          <w:color w:val="000000" w:themeColor="text1"/>
          <w:lang w:val="en-NZ"/>
        </w:rPr>
      </w:pPr>
      <w:r w:rsidRPr="005B669F">
        <w:rPr>
          <w:color w:val="000000" w:themeColor="text1"/>
          <w:lang w:val="en-NZ"/>
        </w:rPr>
        <w:t>Principal Investigator:</w:t>
      </w:r>
      <w:r w:rsidR="003C3834" w:rsidRPr="005B669F">
        <w:rPr>
          <w:color w:val="000000" w:themeColor="text1"/>
          <w:lang w:val="en-NZ"/>
        </w:rPr>
        <w:t xml:space="preserve"> </w:t>
      </w:r>
      <w:r w:rsidR="00932D68">
        <w:rPr>
          <w:color w:val="000000" w:themeColor="text1"/>
          <w:lang w:val="en-NZ"/>
        </w:rPr>
        <w:t>Lachlan Lee</w:t>
      </w:r>
    </w:p>
    <w:p w14:paraId="1315ED7A" w14:textId="77777777" w:rsidR="003C3834" w:rsidRPr="00932D68" w:rsidRDefault="00932D68" w:rsidP="00804C69">
      <w:pPr>
        <w:ind w:firstLine="720"/>
        <w:rPr>
          <w:iCs/>
          <w:color w:val="000000" w:themeColor="text1"/>
          <w:lang w:val="en-NZ"/>
        </w:rPr>
      </w:pPr>
      <w:r w:rsidRPr="00932D68">
        <w:rPr>
          <w:iCs/>
          <w:color w:val="000000" w:themeColor="text1"/>
          <w:lang w:val="en-NZ"/>
        </w:rPr>
        <w:t>Department of Medicine Wellington</w:t>
      </w:r>
      <w:r w:rsidR="00D50DBB" w:rsidRPr="00932D68">
        <w:rPr>
          <w:iCs/>
          <w:color w:val="000000" w:themeColor="text1"/>
          <w:lang w:val="en-NZ"/>
        </w:rPr>
        <w:t xml:space="preserve"> </w:t>
      </w:r>
      <w:r w:rsidR="003C3834" w:rsidRPr="00932D68">
        <w:rPr>
          <w:iCs/>
          <w:color w:val="000000" w:themeColor="text1"/>
          <w:lang w:val="en-NZ"/>
        </w:rPr>
        <w:t xml:space="preserve">, University </w:t>
      </w:r>
      <w:r w:rsidRPr="00932D68">
        <w:rPr>
          <w:iCs/>
          <w:color w:val="000000" w:themeColor="text1"/>
          <w:lang w:val="en-NZ"/>
        </w:rPr>
        <w:t>of Otago</w:t>
      </w:r>
    </w:p>
    <w:p w14:paraId="4B441A91" w14:textId="77777777" w:rsidR="00A05998" w:rsidRPr="00932D68" w:rsidRDefault="00932D68" w:rsidP="00804C69">
      <w:pPr>
        <w:ind w:firstLine="720"/>
        <w:rPr>
          <w:iCs/>
          <w:color w:val="000000" w:themeColor="text1"/>
          <w:lang w:val="en-NZ"/>
        </w:rPr>
      </w:pPr>
      <w:r w:rsidRPr="00932D68">
        <w:rPr>
          <w:iCs/>
          <w:color w:val="000000" w:themeColor="text1"/>
          <w:lang w:val="en-NZ"/>
        </w:rPr>
        <w:t>23a Mein Street</w:t>
      </w:r>
    </w:p>
    <w:p w14:paraId="0EBBFDD4" w14:textId="77777777" w:rsidR="00A05998" w:rsidRPr="00932D68" w:rsidRDefault="00932D68" w:rsidP="00804C69">
      <w:pPr>
        <w:ind w:firstLine="720"/>
        <w:rPr>
          <w:iCs/>
          <w:color w:val="000000" w:themeColor="text1"/>
          <w:lang w:val="en-NZ"/>
        </w:rPr>
      </w:pPr>
      <w:r w:rsidRPr="00932D68">
        <w:rPr>
          <w:iCs/>
          <w:color w:val="000000" w:themeColor="text1"/>
          <w:lang w:val="en-NZ"/>
        </w:rPr>
        <w:t>Wellington</w:t>
      </w:r>
      <w:r w:rsidR="00D50DBB" w:rsidRPr="00932D68">
        <w:rPr>
          <w:iCs/>
          <w:color w:val="000000" w:themeColor="text1"/>
          <w:lang w:val="en-NZ"/>
        </w:rPr>
        <w:t xml:space="preserve">, </w:t>
      </w:r>
      <w:r w:rsidRPr="00932D68">
        <w:rPr>
          <w:iCs/>
          <w:color w:val="000000" w:themeColor="text1"/>
          <w:lang w:val="en-NZ"/>
        </w:rPr>
        <w:t>6021</w:t>
      </w:r>
    </w:p>
    <w:p w14:paraId="5D0556A0" w14:textId="77777777" w:rsidR="00A05998" w:rsidRPr="005B669F" w:rsidRDefault="00A05998" w:rsidP="00804C69">
      <w:pPr>
        <w:ind w:firstLine="720"/>
        <w:rPr>
          <w:color w:val="000000" w:themeColor="text1"/>
          <w:lang w:val="en-NZ"/>
        </w:rPr>
      </w:pPr>
      <w:r w:rsidRPr="005B669F">
        <w:rPr>
          <w:color w:val="000000" w:themeColor="text1"/>
          <w:lang w:val="en-NZ"/>
        </w:rPr>
        <w:t>New Zealand</w:t>
      </w:r>
    </w:p>
    <w:p w14:paraId="30D92333" w14:textId="77777777" w:rsidR="00A05998" w:rsidRPr="005B669F" w:rsidRDefault="00A05998" w:rsidP="00804C69">
      <w:pPr>
        <w:ind w:firstLine="720"/>
        <w:rPr>
          <w:color w:val="000000" w:themeColor="text1"/>
          <w:lang w:val="en-NZ"/>
        </w:rPr>
      </w:pPr>
      <w:r w:rsidRPr="005B669F">
        <w:rPr>
          <w:color w:val="000000" w:themeColor="text1"/>
          <w:lang w:val="en-NZ"/>
        </w:rPr>
        <w:t xml:space="preserve">Email: </w:t>
      </w:r>
      <w:r w:rsidR="00932D68">
        <w:rPr>
          <w:color w:val="000000" w:themeColor="text1"/>
          <w:lang w:val="en-NZ"/>
        </w:rPr>
        <w:t>leela041@student.otago.ac.nz</w:t>
      </w:r>
    </w:p>
    <w:p w14:paraId="152824A9" w14:textId="77777777" w:rsidR="003C3834" w:rsidRPr="005B669F" w:rsidRDefault="00A05998" w:rsidP="006B1DE9">
      <w:pPr>
        <w:spacing w:after="160"/>
        <w:ind w:firstLine="720"/>
        <w:rPr>
          <w:color w:val="000000" w:themeColor="text1"/>
          <w:lang w:val="en-NZ"/>
        </w:rPr>
      </w:pPr>
      <w:r w:rsidRPr="005B669F">
        <w:rPr>
          <w:color w:val="000000" w:themeColor="text1"/>
          <w:lang w:val="en-NZ"/>
        </w:rPr>
        <w:t>Phone: +64</w:t>
      </w:r>
      <w:r w:rsidR="00B726F1">
        <w:rPr>
          <w:color w:val="000000" w:themeColor="text1"/>
          <w:lang w:val="en-NZ"/>
        </w:rPr>
        <w:t>221597602</w:t>
      </w:r>
    </w:p>
    <w:p w14:paraId="401325A9" w14:textId="77777777" w:rsidR="006C6ECC" w:rsidRPr="005B669F" w:rsidRDefault="006C6ECC" w:rsidP="006B1DE9">
      <w:pPr>
        <w:spacing w:after="160"/>
        <w:rPr>
          <w:color w:val="000000" w:themeColor="text1"/>
          <w:lang w:val="en-NZ"/>
        </w:rPr>
      </w:pPr>
      <w:r w:rsidRPr="005B669F">
        <w:rPr>
          <w:color w:val="000000" w:themeColor="text1"/>
          <w:lang w:val="en-NZ"/>
        </w:rPr>
        <w:t>Investigators:</w:t>
      </w:r>
      <w:r w:rsidR="00932D68">
        <w:rPr>
          <w:color w:val="000000" w:themeColor="text1"/>
          <w:lang w:val="en-NZ"/>
        </w:rPr>
        <w:t xml:space="preserve"> </w:t>
      </w:r>
    </w:p>
    <w:p w14:paraId="39989C10" w14:textId="77777777" w:rsidR="00D50DBB" w:rsidRPr="00932D68" w:rsidRDefault="00DD763D" w:rsidP="00CC59A7">
      <w:pPr>
        <w:rPr>
          <w:iCs/>
          <w:color w:val="000000" w:themeColor="text1"/>
          <w:lang w:val="en-NZ"/>
        </w:rPr>
      </w:pPr>
      <w:r w:rsidRPr="005B669F">
        <w:rPr>
          <w:color w:val="000000" w:themeColor="text1"/>
          <w:lang w:val="en-NZ"/>
        </w:rPr>
        <w:tab/>
      </w:r>
      <w:r w:rsidR="00932D68" w:rsidRPr="00932D68">
        <w:rPr>
          <w:iCs/>
          <w:color w:val="000000" w:themeColor="text1"/>
          <w:lang w:val="en-NZ"/>
        </w:rPr>
        <w:t>Professor Jeremy Krebs</w:t>
      </w:r>
      <w:r w:rsidR="00D50DBB" w:rsidRPr="00932D68">
        <w:rPr>
          <w:iCs/>
          <w:color w:val="000000" w:themeColor="text1"/>
          <w:lang w:val="en-NZ"/>
        </w:rPr>
        <w:t xml:space="preserve">, </w:t>
      </w:r>
      <w:r w:rsidR="00932D68" w:rsidRPr="00932D68">
        <w:rPr>
          <w:iCs/>
          <w:color w:val="000000" w:themeColor="text1"/>
          <w:lang w:val="en-NZ"/>
        </w:rPr>
        <w:t>Department of Medicine Wellington</w:t>
      </w:r>
      <w:r w:rsidR="00D50DBB" w:rsidRPr="00932D68">
        <w:rPr>
          <w:iCs/>
          <w:color w:val="000000" w:themeColor="text1"/>
          <w:lang w:val="en-NZ"/>
        </w:rPr>
        <w:t xml:space="preserve">, University </w:t>
      </w:r>
      <w:r w:rsidR="00932D68" w:rsidRPr="00932D68">
        <w:rPr>
          <w:iCs/>
          <w:color w:val="000000" w:themeColor="text1"/>
          <w:lang w:val="en-NZ"/>
        </w:rPr>
        <w:t>of Otago</w:t>
      </w:r>
    </w:p>
    <w:p w14:paraId="2EA7D938" w14:textId="77777777" w:rsidR="00D50DBB" w:rsidRPr="00932D68" w:rsidRDefault="00D50DBB" w:rsidP="006B1DE9">
      <w:pPr>
        <w:spacing w:after="160"/>
        <w:rPr>
          <w:iCs/>
          <w:color w:val="000000" w:themeColor="text1"/>
          <w:lang w:val="en-NZ"/>
        </w:rPr>
      </w:pPr>
      <w:r w:rsidRPr="00932D68">
        <w:rPr>
          <w:iCs/>
          <w:color w:val="000000" w:themeColor="text1"/>
          <w:lang w:val="en-NZ"/>
        </w:rPr>
        <w:tab/>
      </w:r>
      <w:r w:rsidR="00932D68" w:rsidRPr="00932D68">
        <w:rPr>
          <w:iCs/>
          <w:color w:val="000000" w:themeColor="text1"/>
          <w:lang w:val="en-NZ"/>
        </w:rPr>
        <w:t>Dr Rosemary Hall</w:t>
      </w:r>
      <w:r w:rsidRPr="00932D68">
        <w:rPr>
          <w:iCs/>
          <w:color w:val="000000" w:themeColor="text1"/>
          <w:lang w:val="en-NZ"/>
        </w:rPr>
        <w:t xml:space="preserve">, </w:t>
      </w:r>
      <w:r w:rsidR="00932D68" w:rsidRPr="00932D68">
        <w:rPr>
          <w:iCs/>
          <w:color w:val="000000" w:themeColor="text1"/>
          <w:lang w:val="en-NZ"/>
        </w:rPr>
        <w:t>Department of Medicine Wellington</w:t>
      </w:r>
      <w:r w:rsidRPr="00932D68">
        <w:rPr>
          <w:iCs/>
          <w:color w:val="000000" w:themeColor="text1"/>
          <w:lang w:val="en-NZ"/>
        </w:rPr>
        <w:t>, University</w:t>
      </w:r>
      <w:r w:rsidR="00932D68" w:rsidRPr="00932D68">
        <w:rPr>
          <w:iCs/>
          <w:color w:val="000000" w:themeColor="text1"/>
          <w:lang w:val="en-NZ"/>
        </w:rPr>
        <w:t xml:space="preserve"> of Otago</w:t>
      </w:r>
    </w:p>
    <w:p w14:paraId="78451727" w14:textId="77777777" w:rsidR="00DD763D" w:rsidRPr="005B669F" w:rsidRDefault="00DD763D" w:rsidP="006B1DE9">
      <w:pPr>
        <w:spacing w:after="160"/>
        <w:rPr>
          <w:color w:val="000000" w:themeColor="text1"/>
          <w:lang w:val="en-NZ"/>
        </w:rPr>
      </w:pPr>
      <w:r w:rsidRPr="005B669F">
        <w:rPr>
          <w:color w:val="000000" w:themeColor="text1"/>
          <w:lang w:val="en-NZ"/>
        </w:rPr>
        <w:t xml:space="preserve">Study Sites: </w:t>
      </w:r>
    </w:p>
    <w:p w14:paraId="0D961CE5" w14:textId="77777777" w:rsidR="006C0320" w:rsidRPr="00932D68" w:rsidRDefault="00932D68" w:rsidP="006C0320">
      <w:pPr>
        <w:ind w:firstLine="720"/>
        <w:rPr>
          <w:iCs/>
          <w:color w:val="000000" w:themeColor="text1"/>
          <w:lang w:val="en-NZ"/>
        </w:rPr>
      </w:pPr>
      <w:r w:rsidRPr="00932D68">
        <w:rPr>
          <w:iCs/>
          <w:color w:val="000000" w:themeColor="text1"/>
          <w:lang w:val="en-NZ"/>
        </w:rPr>
        <w:t>Clinical Research Centre, University of Otago Wellington</w:t>
      </w:r>
    </w:p>
    <w:p w14:paraId="52DF3C0E" w14:textId="77777777" w:rsidR="00D50DBB" w:rsidRPr="00932D68" w:rsidRDefault="00932D68" w:rsidP="00D50DBB">
      <w:pPr>
        <w:ind w:firstLine="720"/>
        <w:rPr>
          <w:iCs/>
          <w:color w:val="000000" w:themeColor="text1"/>
          <w:lang w:val="en-NZ"/>
        </w:rPr>
      </w:pPr>
      <w:r w:rsidRPr="00932D68">
        <w:rPr>
          <w:iCs/>
          <w:color w:val="000000" w:themeColor="text1"/>
          <w:lang w:val="en-NZ"/>
        </w:rPr>
        <w:t>Centre for Endocrine, Diabetes, and Obesity Research, Wellington Regional Hospital</w:t>
      </w:r>
    </w:p>
    <w:p w14:paraId="590FCE22" w14:textId="77777777" w:rsidR="00D50DBB" w:rsidRDefault="00D50DBB" w:rsidP="006B1DE9">
      <w:pPr>
        <w:spacing w:after="160"/>
        <w:rPr>
          <w:color w:val="000000" w:themeColor="text1"/>
          <w:lang w:val="en-NZ"/>
        </w:rPr>
      </w:pPr>
    </w:p>
    <w:p w14:paraId="4E63E184" w14:textId="77777777" w:rsidR="004F5773" w:rsidRPr="005B669F" w:rsidRDefault="004F5773" w:rsidP="006B1DE9">
      <w:pPr>
        <w:spacing w:after="160"/>
        <w:rPr>
          <w:color w:val="000000" w:themeColor="text1"/>
          <w:lang w:val="en-NZ"/>
        </w:rPr>
      </w:pPr>
      <w:r w:rsidRPr="005B669F">
        <w:rPr>
          <w:color w:val="000000" w:themeColor="text1"/>
          <w:lang w:val="en-NZ"/>
        </w:rPr>
        <w:t xml:space="preserve">Roles and responsibilities: </w:t>
      </w:r>
    </w:p>
    <w:p w14:paraId="68CF65C2" w14:textId="77777777" w:rsidR="006C7C79" w:rsidRPr="005B669F" w:rsidRDefault="006C7C79" w:rsidP="00D02433">
      <w:pPr>
        <w:ind w:firstLine="720"/>
        <w:rPr>
          <w:color w:val="000000" w:themeColor="text1"/>
          <w:lang w:val="en-NZ"/>
        </w:rPr>
      </w:pPr>
      <w:r w:rsidRPr="005B669F">
        <w:rPr>
          <w:color w:val="000000" w:themeColor="text1"/>
          <w:lang w:val="en-NZ"/>
        </w:rPr>
        <w:t xml:space="preserve">Protocol development: </w:t>
      </w:r>
      <w:r w:rsidR="00932D68">
        <w:rPr>
          <w:color w:val="000000" w:themeColor="text1"/>
          <w:lang w:val="en-NZ"/>
        </w:rPr>
        <w:t>LL, JK, RH</w:t>
      </w:r>
    </w:p>
    <w:p w14:paraId="79AB5117" w14:textId="77777777" w:rsidR="00E364B6" w:rsidRPr="00932D68" w:rsidRDefault="00E364B6" w:rsidP="00E364B6">
      <w:pPr>
        <w:ind w:firstLine="720"/>
        <w:rPr>
          <w:iCs/>
          <w:color w:val="000000" w:themeColor="text1"/>
          <w:lang w:val="en-NZ"/>
        </w:rPr>
      </w:pPr>
      <w:r w:rsidRPr="00E364B6">
        <w:rPr>
          <w:color w:val="000000" w:themeColor="text1"/>
          <w:lang w:val="en-NZ"/>
        </w:rPr>
        <w:t xml:space="preserve">Site </w:t>
      </w:r>
      <w:r w:rsidR="0085475E">
        <w:rPr>
          <w:color w:val="000000" w:themeColor="text1"/>
          <w:lang w:val="en-NZ"/>
        </w:rPr>
        <w:t>Principal I</w:t>
      </w:r>
      <w:r w:rsidRPr="00E364B6">
        <w:rPr>
          <w:color w:val="000000" w:themeColor="text1"/>
          <w:lang w:val="en-NZ"/>
        </w:rPr>
        <w:t>nvestigators:</w:t>
      </w:r>
      <w:r w:rsidR="0085475E">
        <w:rPr>
          <w:color w:val="000000" w:themeColor="text1"/>
          <w:lang w:val="en-NZ"/>
        </w:rPr>
        <w:t xml:space="preserve"> </w:t>
      </w:r>
      <w:r w:rsidR="00932D68">
        <w:rPr>
          <w:iCs/>
          <w:color w:val="000000" w:themeColor="text1"/>
          <w:lang w:val="en-NZ"/>
        </w:rPr>
        <w:t>LL</w:t>
      </w:r>
    </w:p>
    <w:p w14:paraId="3C52D06C" w14:textId="77777777" w:rsidR="00E364B6" w:rsidRDefault="00E364B6" w:rsidP="00D02433">
      <w:pPr>
        <w:ind w:firstLine="720"/>
        <w:rPr>
          <w:color w:val="000000" w:themeColor="text1"/>
          <w:lang w:val="en-NZ"/>
        </w:rPr>
      </w:pPr>
      <w:r>
        <w:rPr>
          <w:color w:val="000000" w:themeColor="text1"/>
          <w:lang w:val="en-NZ"/>
        </w:rPr>
        <w:t xml:space="preserve">Study Coordinator: </w:t>
      </w:r>
      <w:r w:rsidR="00932D68">
        <w:rPr>
          <w:color w:val="000000" w:themeColor="text1"/>
          <w:lang w:val="en-NZ"/>
        </w:rPr>
        <w:t>LL</w:t>
      </w:r>
    </w:p>
    <w:p w14:paraId="50129CD2" w14:textId="77777777" w:rsidR="00D50DBB" w:rsidRDefault="003C4EDF" w:rsidP="00D50DBB">
      <w:pPr>
        <w:ind w:firstLine="720"/>
        <w:rPr>
          <w:color w:val="000000" w:themeColor="text1"/>
          <w:lang w:val="en-NZ"/>
        </w:rPr>
      </w:pPr>
      <w:r w:rsidRPr="005B669F">
        <w:rPr>
          <w:color w:val="000000" w:themeColor="text1"/>
          <w:lang w:val="en-NZ"/>
        </w:rPr>
        <w:t xml:space="preserve">Data </w:t>
      </w:r>
      <w:r w:rsidR="00E364B6">
        <w:rPr>
          <w:color w:val="000000" w:themeColor="text1"/>
          <w:lang w:val="en-NZ"/>
        </w:rPr>
        <w:t>M</w:t>
      </w:r>
      <w:r w:rsidRPr="005B669F">
        <w:rPr>
          <w:color w:val="000000" w:themeColor="text1"/>
          <w:lang w:val="en-NZ"/>
        </w:rPr>
        <w:t xml:space="preserve">anagement: </w:t>
      </w:r>
      <w:r w:rsidR="00932D68">
        <w:rPr>
          <w:color w:val="000000" w:themeColor="text1"/>
          <w:lang w:val="en-NZ"/>
        </w:rPr>
        <w:t>LL</w:t>
      </w:r>
    </w:p>
    <w:p w14:paraId="7516F91B" w14:textId="77777777" w:rsidR="00DF3BED" w:rsidRDefault="00DF3BED" w:rsidP="00D02433">
      <w:pPr>
        <w:ind w:firstLine="720"/>
        <w:rPr>
          <w:color w:val="000000" w:themeColor="text1"/>
          <w:lang w:val="en-NZ"/>
        </w:rPr>
      </w:pPr>
      <w:r>
        <w:rPr>
          <w:color w:val="000000" w:themeColor="text1"/>
          <w:lang w:val="en-NZ"/>
        </w:rPr>
        <w:t>Data Monitoring</w:t>
      </w:r>
      <w:r w:rsidR="002B2524">
        <w:rPr>
          <w:color w:val="000000" w:themeColor="text1"/>
          <w:lang w:val="en-NZ"/>
        </w:rPr>
        <w:t xml:space="preserve"> </w:t>
      </w:r>
      <w:r>
        <w:rPr>
          <w:color w:val="000000" w:themeColor="text1"/>
          <w:lang w:val="en-NZ"/>
        </w:rPr>
        <w:t xml:space="preserve">Committee: </w:t>
      </w:r>
      <w:r w:rsidR="00B726F1">
        <w:rPr>
          <w:color w:val="000000" w:themeColor="text1"/>
          <w:lang w:val="en-NZ"/>
        </w:rPr>
        <w:t>JK, RH</w:t>
      </w:r>
    </w:p>
    <w:p w14:paraId="21B1BB30" w14:textId="77777777" w:rsidR="00DE4847" w:rsidRDefault="00DE4847">
      <w:pPr>
        <w:rPr>
          <w:lang w:val="en-NZ"/>
        </w:rPr>
      </w:pPr>
    </w:p>
    <w:p w14:paraId="3A66DC88" w14:textId="77777777" w:rsidR="00CC59A7" w:rsidRDefault="00DE4847">
      <w:pPr>
        <w:rPr>
          <w:lang w:val="en-NZ"/>
        </w:rPr>
      </w:pPr>
      <w:r w:rsidRPr="397AB28E">
        <w:rPr>
          <w:lang w:val="en-NZ"/>
        </w:rPr>
        <w:t xml:space="preserve">This study protocol follows </w:t>
      </w:r>
      <w:r w:rsidR="00866950" w:rsidRPr="397AB28E">
        <w:rPr>
          <w:lang w:val="en-NZ"/>
        </w:rPr>
        <w:t xml:space="preserve">the </w:t>
      </w:r>
      <w:r w:rsidRPr="397AB28E">
        <w:rPr>
          <w:lang w:val="en-NZ"/>
        </w:rPr>
        <w:t xml:space="preserve">SPIRIT </w:t>
      </w:r>
      <w:r w:rsidR="00866950" w:rsidRPr="397AB28E">
        <w:rPr>
          <w:lang w:val="en-NZ"/>
        </w:rPr>
        <w:t>checklist</w:t>
      </w:r>
      <w:r w:rsidR="007272B1" w:rsidRPr="397AB28E">
        <w:rPr>
          <w:lang w:val="en-NZ"/>
        </w:rPr>
        <w:t xml:space="preserve"> </w:t>
      </w:r>
      <w:r w:rsidRPr="397AB28E">
        <w:rPr>
          <w:lang w:val="en-NZ"/>
        </w:rPr>
        <w:fldChar w:fldCharType="begin"/>
      </w:r>
      <w:r w:rsidRPr="397AB28E">
        <w:rPr>
          <w:lang w:val="en-NZ"/>
        </w:rPr>
        <w:instrText xml:space="preserve"> ADDIN ZOTERO_ITEM CSL_CITATION {"citationID":"g7MI1dAs","properties":{"formattedCitation":"(1,2)","plainCitation":"(1,2)","noteIndex":0},"citationItems":[{"id":3181,"uris":["http://zotero.org/users/5898490/items/2ASYSEGI"],"itemData":{"id":3181,"type":"article-journal","abstract":"The protocol of a clinical trial serves as the foundation for study planning, conduct, reporting, and appraisal. However, trial protocols and existing protocol guidelines vary greatly in content and quality. This article describes the systematic development and scope of SPIRIT (Standard Protocol Items: Recommendations for Interventional Trials) 2013, a guideline for the minimum content of a clinical trial protocol.The 33-item SPIRIT checklist applies to protocols for all clinical trials and focuses on content rather than format. The checklist recommends a full description of what is planned; it does not prescribe how to design or conduct a trial. By providing guidance for key content, the SPIRIT recommendations aim to facilitate the drafting of high-quality protocols. Adherence to SPIRIT would also enhance the transparency and completeness of trial protocols for the benefit of investigators, trial participants, patients, sponsors, funders, research ethics committees or institutional review boards, peer reviewers, journals, trial registries, policymakers, regulators, and other key stakeholders.","container-title":"Annals of Internal Medicine","DOI":"10.7326/0003-4819-158-3-201302050-00583","ISSN":"1539-3704","issue":"3","journalAbbreviation":"Ann Intern Med","language":"eng","note":"PMID: 23295957\nPMCID: PMC5114123","page":"200-207","source":"PubMed","title":"SPIRIT 2013 statement: defining standard protocol items for clinical trials","title-short":"SPIRIT 2013 statement","volume":"158","author":[{"family":"Chan","given":"An-Wen"},{"family":"Tetzlaff","given":"Jennifer M."},{"family":"Altman","given":"Douglas G."},{"family":"Laupacis","given":"Andreas"},{"family":"Gøtzsche","given":"Peter C."},{"family":"Krleža-Jerić","given":"Karmela"},{"family":"Hróbjartsson","given":"Asbjørn"},{"family":"Mann","given":"Howard"},{"family":"Dickersin","given":"Kay"},{"family":"Berlin","given":"Jesse A."},{"family":"Doré","given":"Caroline J."},{"family":"Parulekar","given":"Wendy R."},{"family":"Summerskill","given":"William S. M."},{"family":"Groves","given":"Trish"},{"family":"Schulz","given":"Kenneth F."},{"family":"Sox","given":"Harold C."},{"family":"Rockhold","given":"Frank W."},{"family":"Rennie","given":"Drummond"},{"family":"Moher","given":"David"}],"issued":{"date-parts":[["2013",2,5]]},"citation-key":"chanSPIRIT2013Statement2013"}},{"id":3184,"uris":["http://zotero.org/users/5898490/items/R8PIL6D5"],"itemData":{"id":3184,"type":"article-journal","abstract":"High quality protocols facilitate proper conduct, reporting, and external review of clinical trials. However, the completeness of trial protocols is often inadequate. To help improve the content and quality of protocols, an international group of stakeholders developed the SPIRIT 2013 Statement (Standard Protocol Items: Recommendations for Interventional Trials). The SPIRIT Statement provides guidance in the form of a checklist of recommended items to include in a clinical trial protocol. This SPIRIT 2013 Explanation and Elaboration paper provides important information to promote full understanding of the checklist recommendations. For each checklist item, we provide a rationale and detailed description; a model example from an actual protocol; and relevant references supporting its importance. We strongly recommend that this explanatory paper be used in conjunction with the SPIRIT Statement. A website of resources is also available (www.spirit-statement.org). The SPIRIT 2013 Explanation and Elaboration paper, together with the Statement, should help with the drafting of trial protocols. Complete documentation of key trial elements can facilitate transparency and protocol review for the benefit of all stakeholders.","container-title":"BMJ (Clinical research ed.)","DOI":"10.1136/bmj.e7586","ISSN":"1756-1833","journalAbbreviation":"BMJ","language":"eng","note":"PMID: 23303884\nPMCID: PMC3541470","page":"e7586","source":"PubMed","title":"SPIRIT 2013 explanation and elaboration: guidance for protocols of clinical trials","title-short":"SPIRIT 2013 explanation and elaboration","volume":"346","author":[{"family":"Chan","given":"An-Wen"},{"family":"Tetzlaff","given":"Jennifer M."},{"family":"Gøtzsche","given":"Peter C."},{"family":"Altman","given":"Douglas G."},{"family":"Mann","given":"Howard"},{"family":"Berlin","given":"Jesse A."},{"family":"Dickersin","given":"Kay"},{"family":"Hróbjartsson","given":"Asbjørn"},{"family":"Schulz","given":"Kenneth F."},{"family":"Parulekar","given":"Wendy R."},{"family":"Krleza-Jeric","given":"Karmela"},{"family":"Laupacis","given":"Andreas"},{"family":"Moher","given":"David"}],"issued":{"date-parts":[["2013",1,8]]},"citation-key":"chanSPIRIT2013Explanation2013"}}],"schema":"https://github.com/citation-style-language/schema/raw/master/csl-citation.json"} </w:instrText>
      </w:r>
      <w:r w:rsidRPr="397AB28E">
        <w:rPr>
          <w:lang w:val="en-NZ"/>
        </w:rPr>
        <w:fldChar w:fldCharType="separate"/>
      </w:r>
      <w:r w:rsidR="007272B1" w:rsidRPr="397AB28E">
        <w:rPr>
          <w:noProof/>
          <w:lang w:val="en-NZ"/>
        </w:rPr>
        <w:t>(1,2)</w:t>
      </w:r>
      <w:r w:rsidRPr="397AB28E">
        <w:rPr>
          <w:lang w:val="en-NZ"/>
        </w:rPr>
        <w:fldChar w:fldCharType="end"/>
      </w:r>
      <w:r w:rsidR="007272B1" w:rsidRPr="397AB28E">
        <w:rPr>
          <w:lang w:val="en-NZ"/>
        </w:rPr>
        <w:t>.</w:t>
      </w:r>
      <w:r w:rsidRPr="397AB28E">
        <w:rPr>
          <w:lang w:val="en-NZ"/>
        </w:rPr>
        <w:br w:type="page"/>
      </w:r>
    </w:p>
    <w:p w14:paraId="40C86A43" w14:textId="565A67D8" w:rsidR="397AB28E" w:rsidRDefault="397AB28E" w:rsidP="397AB28E">
      <w:pPr>
        <w:rPr>
          <w:lang w:val="en-NZ"/>
        </w:rPr>
      </w:pPr>
    </w:p>
    <w:p w14:paraId="151945BE" w14:textId="77777777" w:rsidR="00D15C4D" w:rsidRDefault="002B21F8" w:rsidP="002B21F8">
      <w:pPr>
        <w:rPr>
          <w:noProof/>
        </w:rPr>
      </w:pPr>
      <w:bookmarkStart w:id="0" w:name="_Toc441512373"/>
      <w:bookmarkStart w:id="1" w:name="_Toc441520801"/>
      <w:bookmarkStart w:id="2" w:name="_Toc441521017"/>
      <w:r w:rsidRPr="005D5A57">
        <w:rPr>
          <w:rFonts w:asciiTheme="majorHAnsi" w:hAnsiTheme="majorHAnsi"/>
          <w:b/>
          <w:sz w:val="26"/>
          <w:szCs w:val="26"/>
        </w:rPr>
        <w:t>CONTENTS</w:t>
      </w:r>
      <w:r w:rsidR="00EF0612" w:rsidRPr="002B21F8">
        <w:rPr>
          <w:rFonts w:asciiTheme="majorHAnsi" w:hAnsiTheme="majorHAnsi"/>
          <w:b/>
          <w:lang w:val="en-NZ"/>
        </w:rPr>
        <w:fldChar w:fldCharType="begin"/>
      </w:r>
      <w:r w:rsidR="00EF0612" w:rsidRPr="005D5A57">
        <w:rPr>
          <w:rFonts w:asciiTheme="majorHAnsi" w:hAnsiTheme="majorHAnsi"/>
          <w:b/>
          <w:lang w:val="en-NZ"/>
        </w:rPr>
        <w:instrText xml:space="preserve"> TOC \o "1-3" \h \z \u </w:instrText>
      </w:r>
      <w:r w:rsidR="00EF0612" w:rsidRPr="002B21F8">
        <w:rPr>
          <w:rFonts w:asciiTheme="majorHAnsi" w:hAnsiTheme="majorHAnsi"/>
          <w:b/>
          <w:lang w:val="en-NZ"/>
        </w:rPr>
        <w:fldChar w:fldCharType="separate"/>
      </w:r>
    </w:p>
    <w:p w14:paraId="0595564E" w14:textId="1A2157A8" w:rsidR="00D15C4D" w:rsidRDefault="00000000">
      <w:pPr>
        <w:pStyle w:val="TOC1"/>
        <w:tabs>
          <w:tab w:val="left" w:pos="567"/>
          <w:tab w:val="right" w:leader="dot" w:pos="9016"/>
        </w:tabs>
        <w:rPr>
          <w:rFonts w:eastAsiaTheme="minorEastAsia"/>
          <w:bCs w:val="0"/>
          <w:caps w:val="0"/>
          <w:noProof/>
          <w:kern w:val="2"/>
          <w:sz w:val="24"/>
          <w:lang w:val="en-NZ" w:eastAsia="en-GB"/>
          <w14:ligatures w14:val="standardContextual"/>
        </w:rPr>
      </w:pPr>
      <w:hyperlink w:anchor="_Toc149504520" w:history="1">
        <w:r w:rsidR="00D15C4D" w:rsidRPr="002D3D96">
          <w:rPr>
            <w:rStyle w:val="Hyperlink"/>
            <w:rFonts w:cstheme="minorHAnsi"/>
            <w:noProof/>
            <w:lang w:val="en-NZ"/>
          </w:rPr>
          <w:t>1</w:t>
        </w:r>
        <w:r w:rsidR="00D15C4D">
          <w:rPr>
            <w:rFonts w:eastAsiaTheme="minorEastAsia"/>
            <w:bCs w:val="0"/>
            <w:caps w:val="0"/>
            <w:noProof/>
            <w:kern w:val="2"/>
            <w:sz w:val="24"/>
            <w:lang w:val="en-NZ" w:eastAsia="en-GB"/>
            <w14:ligatures w14:val="standardContextual"/>
          </w:rPr>
          <w:tab/>
        </w:r>
        <w:r w:rsidR="00D15C4D" w:rsidRPr="002D3D96">
          <w:rPr>
            <w:rStyle w:val="Hyperlink"/>
            <w:rFonts w:cstheme="minorHAnsi"/>
            <w:noProof/>
          </w:rPr>
          <w:t>Introduction</w:t>
        </w:r>
        <w:r w:rsidR="00D15C4D">
          <w:rPr>
            <w:noProof/>
            <w:webHidden/>
          </w:rPr>
          <w:tab/>
        </w:r>
        <w:r w:rsidR="00D15C4D">
          <w:rPr>
            <w:noProof/>
            <w:webHidden/>
          </w:rPr>
          <w:fldChar w:fldCharType="begin"/>
        </w:r>
        <w:r w:rsidR="00D15C4D">
          <w:rPr>
            <w:noProof/>
            <w:webHidden/>
          </w:rPr>
          <w:instrText xml:space="preserve"> PAGEREF _Toc149504520 \h </w:instrText>
        </w:r>
        <w:r w:rsidR="00D15C4D">
          <w:rPr>
            <w:noProof/>
            <w:webHidden/>
          </w:rPr>
        </w:r>
        <w:r w:rsidR="00D15C4D">
          <w:rPr>
            <w:noProof/>
            <w:webHidden/>
          </w:rPr>
          <w:fldChar w:fldCharType="separate"/>
        </w:r>
        <w:r w:rsidR="00D15C4D">
          <w:rPr>
            <w:noProof/>
            <w:webHidden/>
          </w:rPr>
          <w:t>3</w:t>
        </w:r>
        <w:r w:rsidR="00D15C4D">
          <w:rPr>
            <w:noProof/>
            <w:webHidden/>
          </w:rPr>
          <w:fldChar w:fldCharType="end"/>
        </w:r>
      </w:hyperlink>
    </w:p>
    <w:p w14:paraId="4D1C9E5D" w14:textId="033DA524"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21" w:history="1">
        <w:r w:rsidR="00D15C4D" w:rsidRPr="002D3D96">
          <w:rPr>
            <w:rStyle w:val="Hyperlink"/>
            <w:noProof/>
          </w:rPr>
          <w:t>1.1</w:t>
        </w:r>
        <w:r w:rsidR="00D15C4D">
          <w:rPr>
            <w:rFonts w:eastAsiaTheme="minorEastAsia"/>
            <w:bCs w:val="0"/>
            <w:noProof/>
            <w:kern w:val="2"/>
            <w:sz w:val="24"/>
            <w:szCs w:val="24"/>
            <w:lang w:val="en-NZ" w:eastAsia="en-GB"/>
            <w14:ligatures w14:val="standardContextual"/>
          </w:rPr>
          <w:tab/>
        </w:r>
        <w:r w:rsidR="00D15C4D" w:rsidRPr="002D3D96">
          <w:rPr>
            <w:rStyle w:val="Hyperlink"/>
            <w:noProof/>
          </w:rPr>
          <w:t>Background and Rationale</w:t>
        </w:r>
        <w:r w:rsidR="00D15C4D">
          <w:rPr>
            <w:noProof/>
            <w:webHidden/>
          </w:rPr>
          <w:tab/>
        </w:r>
        <w:r w:rsidR="00D15C4D">
          <w:rPr>
            <w:noProof/>
            <w:webHidden/>
          </w:rPr>
          <w:fldChar w:fldCharType="begin"/>
        </w:r>
        <w:r w:rsidR="00D15C4D">
          <w:rPr>
            <w:noProof/>
            <w:webHidden/>
          </w:rPr>
          <w:instrText xml:space="preserve"> PAGEREF _Toc149504521 \h </w:instrText>
        </w:r>
        <w:r w:rsidR="00D15C4D">
          <w:rPr>
            <w:noProof/>
            <w:webHidden/>
          </w:rPr>
        </w:r>
        <w:r w:rsidR="00D15C4D">
          <w:rPr>
            <w:noProof/>
            <w:webHidden/>
          </w:rPr>
          <w:fldChar w:fldCharType="separate"/>
        </w:r>
        <w:r w:rsidR="00D15C4D">
          <w:rPr>
            <w:noProof/>
            <w:webHidden/>
          </w:rPr>
          <w:t>3</w:t>
        </w:r>
        <w:r w:rsidR="00D15C4D">
          <w:rPr>
            <w:noProof/>
            <w:webHidden/>
          </w:rPr>
          <w:fldChar w:fldCharType="end"/>
        </w:r>
      </w:hyperlink>
    </w:p>
    <w:p w14:paraId="5DF4402F" w14:textId="664ECF44"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22" w:history="1">
        <w:r w:rsidR="00D15C4D" w:rsidRPr="002D3D96">
          <w:rPr>
            <w:rStyle w:val="Hyperlink"/>
            <w:noProof/>
          </w:rPr>
          <w:t>1.2</w:t>
        </w:r>
        <w:r w:rsidR="00D15C4D">
          <w:rPr>
            <w:rFonts w:eastAsiaTheme="minorEastAsia"/>
            <w:bCs w:val="0"/>
            <w:noProof/>
            <w:kern w:val="2"/>
            <w:sz w:val="24"/>
            <w:szCs w:val="24"/>
            <w:lang w:val="en-NZ" w:eastAsia="en-GB"/>
            <w14:ligatures w14:val="standardContextual"/>
          </w:rPr>
          <w:tab/>
        </w:r>
        <w:r w:rsidR="00D15C4D" w:rsidRPr="002D3D96">
          <w:rPr>
            <w:rStyle w:val="Hyperlink"/>
            <w:noProof/>
          </w:rPr>
          <w:t>Objectives and Hypotheses</w:t>
        </w:r>
        <w:r w:rsidR="00D15C4D">
          <w:rPr>
            <w:noProof/>
            <w:webHidden/>
          </w:rPr>
          <w:tab/>
        </w:r>
        <w:r w:rsidR="00D15C4D">
          <w:rPr>
            <w:noProof/>
            <w:webHidden/>
          </w:rPr>
          <w:fldChar w:fldCharType="begin"/>
        </w:r>
        <w:r w:rsidR="00D15C4D">
          <w:rPr>
            <w:noProof/>
            <w:webHidden/>
          </w:rPr>
          <w:instrText xml:space="preserve"> PAGEREF _Toc149504522 \h </w:instrText>
        </w:r>
        <w:r w:rsidR="00D15C4D">
          <w:rPr>
            <w:noProof/>
            <w:webHidden/>
          </w:rPr>
        </w:r>
        <w:r w:rsidR="00D15C4D">
          <w:rPr>
            <w:noProof/>
            <w:webHidden/>
          </w:rPr>
          <w:fldChar w:fldCharType="separate"/>
        </w:r>
        <w:r w:rsidR="00D15C4D">
          <w:rPr>
            <w:noProof/>
            <w:webHidden/>
          </w:rPr>
          <w:t>3</w:t>
        </w:r>
        <w:r w:rsidR="00D15C4D">
          <w:rPr>
            <w:noProof/>
            <w:webHidden/>
          </w:rPr>
          <w:fldChar w:fldCharType="end"/>
        </w:r>
      </w:hyperlink>
    </w:p>
    <w:p w14:paraId="7E4F2236" w14:textId="1F5AB4BC"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23" w:history="1">
        <w:r w:rsidR="00D15C4D" w:rsidRPr="002D3D96">
          <w:rPr>
            <w:rStyle w:val="Hyperlink"/>
            <w:noProof/>
          </w:rPr>
          <w:t>1.3</w:t>
        </w:r>
        <w:r w:rsidR="00D15C4D">
          <w:rPr>
            <w:rFonts w:eastAsiaTheme="minorEastAsia"/>
            <w:bCs w:val="0"/>
            <w:noProof/>
            <w:kern w:val="2"/>
            <w:sz w:val="24"/>
            <w:szCs w:val="24"/>
            <w:lang w:val="en-NZ" w:eastAsia="en-GB"/>
            <w14:ligatures w14:val="standardContextual"/>
          </w:rPr>
          <w:tab/>
        </w:r>
        <w:r w:rsidR="00D15C4D" w:rsidRPr="002D3D96">
          <w:rPr>
            <w:rStyle w:val="Hyperlink"/>
            <w:noProof/>
          </w:rPr>
          <w:t>Study Design</w:t>
        </w:r>
        <w:r w:rsidR="00D15C4D">
          <w:rPr>
            <w:noProof/>
            <w:webHidden/>
          </w:rPr>
          <w:tab/>
        </w:r>
        <w:r w:rsidR="00D15C4D">
          <w:rPr>
            <w:noProof/>
            <w:webHidden/>
          </w:rPr>
          <w:fldChar w:fldCharType="begin"/>
        </w:r>
        <w:r w:rsidR="00D15C4D">
          <w:rPr>
            <w:noProof/>
            <w:webHidden/>
          </w:rPr>
          <w:instrText xml:space="preserve"> PAGEREF _Toc149504523 \h </w:instrText>
        </w:r>
        <w:r w:rsidR="00D15C4D">
          <w:rPr>
            <w:noProof/>
            <w:webHidden/>
          </w:rPr>
        </w:r>
        <w:r w:rsidR="00D15C4D">
          <w:rPr>
            <w:noProof/>
            <w:webHidden/>
          </w:rPr>
          <w:fldChar w:fldCharType="separate"/>
        </w:r>
        <w:r w:rsidR="00D15C4D">
          <w:rPr>
            <w:noProof/>
            <w:webHidden/>
          </w:rPr>
          <w:t>5</w:t>
        </w:r>
        <w:r w:rsidR="00D15C4D">
          <w:rPr>
            <w:noProof/>
            <w:webHidden/>
          </w:rPr>
          <w:fldChar w:fldCharType="end"/>
        </w:r>
      </w:hyperlink>
    </w:p>
    <w:p w14:paraId="3CE07B56" w14:textId="75CB9567" w:rsidR="00D15C4D" w:rsidRDefault="00000000">
      <w:pPr>
        <w:pStyle w:val="TOC1"/>
        <w:tabs>
          <w:tab w:val="left" w:pos="567"/>
          <w:tab w:val="right" w:leader="dot" w:pos="9016"/>
        </w:tabs>
        <w:rPr>
          <w:rFonts w:eastAsiaTheme="minorEastAsia"/>
          <w:bCs w:val="0"/>
          <w:caps w:val="0"/>
          <w:noProof/>
          <w:kern w:val="2"/>
          <w:sz w:val="24"/>
          <w:lang w:val="en-NZ" w:eastAsia="en-GB"/>
          <w14:ligatures w14:val="standardContextual"/>
        </w:rPr>
      </w:pPr>
      <w:hyperlink w:anchor="_Toc149504524" w:history="1">
        <w:r w:rsidR="00D15C4D" w:rsidRPr="002D3D96">
          <w:rPr>
            <w:rStyle w:val="Hyperlink"/>
            <w:rFonts w:cstheme="minorHAnsi"/>
            <w:noProof/>
            <w:lang w:val="en-NZ"/>
          </w:rPr>
          <w:t>2</w:t>
        </w:r>
        <w:r w:rsidR="00D15C4D">
          <w:rPr>
            <w:rFonts w:eastAsiaTheme="minorEastAsia"/>
            <w:bCs w:val="0"/>
            <w:caps w:val="0"/>
            <w:noProof/>
            <w:kern w:val="2"/>
            <w:sz w:val="24"/>
            <w:lang w:val="en-NZ" w:eastAsia="en-GB"/>
            <w14:ligatures w14:val="standardContextual"/>
          </w:rPr>
          <w:tab/>
        </w:r>
        <w:r w:rsidR="00D15C4D" w:rsidRPr="002D3D96">
          <w:rPr>
            <w:rStyle w:val="Hyperlink"/>
            <w:rFonts w:cstheme="minorHAnsi"/>
            <w:noProof/>
            <w:lang w:val="en-NZ"/>
          </w:rPr>
          <w:t>Methods</w:t>
        </w:r>
        <w:r w:rsidR="00D15C4D">
          <w:rPr>
            <w:noProof/>
            <w:webHidden/>
          </w:rPr>
          <w:tab/>
        </w:r>
        <w:r w:rsidR="00D15C4D">
          <w:rPr>
            <w:noProof/>
            <w:webHidden/>
          </w:rPr>
          <w:fldChar w:fldCharType="begin"/>
        </w:r>
        <w:r w:rsidR="00D15C4D">
          <w:rPr>
            <w:noProof/>
            <w:webHidden/>
          </w:rPr>
          <w:instrText xml:space="preserve"> PAGEREF _Toc149504524 \h </w:instrText>
        </w:r>
        <w:r w:rsidR="00D15C4D">
          <w:rPr>
            <w:noProof/>
            <w:webHidden/>
          </w:rPr>
        </w:r>
        <w:r w:rsidR="00D15C4D">
          <w:rPr>
            <w:noProof/>
            <w:webHidden/>
          </w:rPr>
          <w:fldChar w:fldCharType="separate"/>
        </w:r>
        <w:r w:rsidR="00D15C4D">
          <w:rPr>
            <w:noProof/>
            <w:webHidden/>
          </w:rPr>
          <w:t>7</w:t>
        </w:r>
        <w:r w:rsidR="00D15C4D">
          <w:rPr>
            <w:noProof/>
            <w:webHidden/>
          </w:rPr>
          <w:fldChar w:fldCharType="end"/>
        </w:r>
      </w:hyperlink>
    </w:p>
    <w:p w14:paraId="0AE8668A" w14:textId="1108FD2E"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25" w:history="1">
        <w:r w:rsidR="00D15C4D" w:rsidRPr="002D3D96">
          <w:rPr>
            <w:rStyle w:val="Hyperlink"/>
            <w:noProof/>
            <w:lang w:val="en-NZ"/>
          </w:rPr>
          <w:t>2.1</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 xml:space="preserve">Participants, </w:t>
        </w:r>
        <w:r w:rsidR="00D15C4D" w:rsidRPr="002D3D96">
          <w:rPr>
            <w:rStyle w:val="Hyperlink"/>
            <w:noProof/>
          </w:rPr>
          <w:t>Interventions</w:t>
        </w:r>
        <w:r w:rsidR="00D15C4D" w:rsidRPr="002D3D96">
          <w:rPr>
            <w:rStyle w:val="Hyperlink"/>
            <w:noProof/>
            <w:lang w:val="en-NZ"/>
          </w:rPr>
          <w:t xml:space="preserve"> and Outcomes</w:t>
        </w:r>
        <w:r w:rsidR="00D15C4D">
          <w:rPr>
            <w:noProof/>
            <w:webHidden/>
          </w:rPr>
          <w:tab/>
        </w:r>
        <w:r w:rsidR="00D15C4D">
          <w:rPr>
            <w:noProof/>
            <w:webHidden/>
          </w:rPr>
          <w:fldChar w:fldCharType="begin"/>
        </w:r>
        <w:r w:rsidR="00D15C4D">
          <w:rPr>
            <w:noProof/>
            <w:webHidden/>
          </w:rPr>
          <w:instrText xml:space="preserve"> PAGEREF _Toc149504525 \h </w:instrText>
        </w:r>
        <w:r w:rsidR="00D15C4D">
          <w:rPr>
            <w:noProof/>
            <w:webHidden/>
          </w:rPr>
        </w:r>
        <w:r w:rsidR="00D15C4D">
          <w:rPr>
            <w:noProof/>
            <w:webHidden/>
          </w:rPr>
          <w:fldChar w:fldCharType="separate"/>
        </w:r>
        <w:r w:rsidR="00D15C4D">
          <w:rPr>
            <w:noProof/>
            <w:webHidden/>
          </w:rPr>
          <w:t>7</w:t>
        </w:r>
        <w:r w:rsidR="00D15C4D">
          <w:rPr>
            <w:noProof/>
            <w:webHidden/>
          </w:rPr>
          <w:fldChar w:fldCharType="end"/>
        </w:r>
      </w:hyperlink>
    </w:p>
    <w:p w14:paraId="10B27CE0" w14:textId="0E857981"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26" w:history="1">
        <w:r w:rsidR="00D15C4D" w:rsidRPr="002D3D96">
          <w:rPr>
            <w:rStyle w:val="Hyperlink"/>
            <w:noProof/>
            <w:lang w:val="en-NZ"/>
          </w:rPr>
          <w:t>2.1.1</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Study Setting</w:t>
        </w:r>
        <w:r w:rsidR="00D15C4D">
          <w:rPr>
            <w:noProof/>
            <w:webHidden/>
          </w:rPr>
          <w:tab/>
        </w:r>
        <w:r w:rsidR="00D15C4D">
          <w:rPr>
            <w:noProof/>
            <w:webHidden/>
          </w:rPr>
          <w:fldChar w:fldCharType="begin"/>
        </w:r>
        <w:r w:rsidR="00D15C4D">
          <w:rPr>
            <w:noProof/>
            <w:webHidden/>
          </w:rPr>
          <w:instrText xml:space="preserve"> PAGEREF _Toc149504526 \h </w:instrText>
        </w:r>
        <w:r w:rsidR="00D15C4D">
          <w:rPr>
            <w:noProof/>
            <w:webHidden/>
          </w:rPr>
        </w:r>
        <w:r w:rsidR="00D15C4D">
          <w:rPr>
            <w:noProof/>
            <w:webHidden/>
          </w:rPr>
          <w:fldChar w:fldCharType="separate"/>
        </w:r>
        <w:r w:rsidR="00D15C4D">
          <w:rPr>
            <w:noProof/>
            <w:webHidden/>
          </w:rPr>
          <w:t>7</w:t>
        </w:r>
        <w:r w:rsidR="00D15C4D">
          <w:rPr>
            <w:noProof/>
            <w:webHidden/>
          </w:rPr>
          <w:fldChar w:fldCharType="end"/>
        </w:r>
      </w:hyperlink>
    </w:p>
    <w:p w14:paraId="2A6D4E74" w14:textId="6013D9D5"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27" w:history="1">
        <w:r w:rsidR="00D15C4D" w:rsidRPr="002D3D96">
          <w:rPr>
            <w:rStyle w:val="Hyperlink"/>
            <w:noProof/>
            <w:lang w:val="en-NZ"/>
          </w:rPr>
          <w:t>2.1.2</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Eligibility Criteria</w:t>
        </w:r>
        <w:r w:rsidR="00D15C4D">
          <w:rPr>
            <w:noProof/>
            <w:webHidden/>
          </w:rPr>
          <w:tab/>
        </w:r>
        <w:r w:rsidR="00D15C4D">
          <w:rPr>
            <w:noProof/>
            <w:webHidden/>
          </w:rPr>
          <w:fldChar w:fldCharType="begin"/>
        </w:r>
        <w:r w:rsidR="00D15C4D">
          <w:rPr>
            <w:noProof/>
            <w:webHidden/>
          </w:rPr>
          <w:instrText xml:space="preserve"> PAGEREF _Toc149504527 \h </w:instrText>
        </w:r>
        <w:r w:rsidR="00D15C4D">
          <w:rPr>
            <w:noProof/>
            <w:webHidden/>
          </w:rPr>
        </w:r>
        <w:r w:rsidR="00D15C4D">
          <w:rPr>
            <w:noProof/>
            <w:webHidden/>
          </w:rPr>
          <w:fldChar w:fldCharType="separate"/>
        </w:r>
        <w:r w:rsidR="00D15C4D">
          <w:rPr>
            <w:noProof/>
            <w:webHidden/>
          </w:rPr>
          <w:t>7</w:t>
        </w:r>
        <w:r w:rsidR="00D15C4D">
          <w:rPr>
            <w:noProof/>
            <w:webHidden/>
          </w:rPr>
          <w:fldChar w:fldCharType="end"/>
        </w:r>
      </w:hyperlink>
    </w:p>
    <w:p w14:paraId="3E679102" w14:textId="3E741903"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28" w:history="1">
        <w:r w:rsidR="00D15C4D" w:rsidRPr="002D3D96">
          <w:rPr>
            <w:rStyle w:val="Hyperlink"/>
            <w:noProof/>
            <w:lang w:val="en-NZ"/>
          </w:rPr>
          <w:t>2.1.3</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Intervention</w:t>
        </w:r>
        <w:r w:rsidR="00D15C4D">
          <w:rPr>
            <w:noProof/>
            <w:webHidden/>
          </w:rPr>
          <w:tab/>
        </w:r>
        <w:r w:rsidR="00D15C4D">
          <w:rPr>
            <w:noProof/>
            <w:webHidden/>
          </w:rPr>
          <w:fldChar w:fldCharType="begin"/>
        </w:r>
        <w:r w:rsidR="00D15C4D">
          <w:rPr>
            <w:noProof/>
            <w:webHidden/>
          </w:rPr>
          <w:instrText xml:space="preserve"> PAGEREF _Toc149504528 \h </w:instrText>
        </w:r>
        <w:r w:rsidR="00D15C4D">
          <w:rPr>
            <w:noProof/>
            <w:webHidden/>
          </w:rPr>
        </w:r>
        <w:r w:rsidR="00D15C4D">
          <w:rPr>
            <w:noProof/>
            <w:webHidden/>
          </w:rPr>
          <w:fldChar w:fldCharType="separate"/>
        </w:r>
        <w:r w:rsidR="00D15C4D">
          <w:rPr>
            <w:noProof/>
            <w:webHidden/>
          </w:rPr>
          <w:t>7</w:t>
        </w:r>
        <w:r w:rsidR="00D15C4D">
          <w:rPr>
            <w:noProof/>
            <w:webHidden/>
          </w:rPr>
          <w:fldChar w:fldCharType="end"/>
        </w:r>
      </w:hyperlink>
    </w:p>
    <w:p w14:paraId="2632BD8A" w14:textId="442A487A"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29" w:history="1">
        <w:r w:rsidR="00D15C4D" w:rsidRPr="002D3D96">
          <w:rPr>
            <w:rStyle w:val="Hyperlink"/>
            <w:noProof/>
            <w:lang w:val="en-NZ"/>
          </w:rPr>
          <w:t>2.1.4</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Concomitant care and co-interventions</w:t>
        </w:r>
        <w:r w:rsidR="00D15C4D">
          <w:rPr>
            <w:noProof/>
            <w:webHidden/>
          </w:rPr>
          <w:tab/>
        </w:r>
        <w:r w:rsidR="00D15C4D">
          <w:rPr>
            <w:noProof/>
            <w:webHidden/>
          </w:rPr>
          <w:fldChar w:fldCharType="begin"/>
        </w:r>
        <w:r w:rsidR="00D15C4D">
          <w:rPr>
            <w:noProof/>
            <w:webHidden/>
          </w:rPr>
          <w:instrText xml:space="preserve"> PAGEREF _Toc149504529 \h </w:instrText>
        </w:r>
        <w:r w:rsidR="00D15C4D">
          <w:rPr>
            <w:noProof/>
            <w:webHidden/>
          </w:rPr>
        </w:r>
        <w:r w:rsidR="00D15C4D">
          <w:rPr>
            <w:noProof/>
            <w:webHidden/>
          </w:rPr>
          <w:fldChar w:fldCharType="separate"/>
        </w:r>
        <w:r w:rsidR="00D15C4D">
          <w:rPr>
            <w:noProof/>
            <w:webHidden/>
          </w:rPr>
          <w:t>10</w:t>
        </w:r>
        <w:r w:rsidR="00D15C4D">
          <w:rPr>
            <w:noProof/>
            <w:webHidden/>
          </w:rPr>
          <w:fldChar w:fldCharType="end"/>
        </w:r>
      </w:hyperlink>
    </w:p>
    <w:p w14:paraId="039E1960" w14:textId="572997B1"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30" w:history="1">
        <w:r w:rsidR="00D15C4D" w:rsidRPr="002D3D96">
          <w:rPr>
            <w:rStyle w:val="Hyperlink"/>
            <w:noProof/>
            <w:lang w:val="en-NZ"/>
          </w:rPr>
          <w:t>2.1.5</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Outcomes</w:t>
        </w:r>
        <w:r w:rsidR="00D15C4D">
          <w:rPr>
            <w:noProof/>
            <w:webHidden/>
          </w:rPr>
          <w:tab/>
        </w:r>
        <w:r w:rsidR="00D15C4D">
          <w:rPr>
            <w:noProof/>
            <w:webHidden/>
          </w:rPr>
          <w:fldChar w:fldCharType="begin"/>
        </w:r>
        <w:r w:rsidR="00D15C4D">
          <w:rPr>
            <w:noProof/>
            <w:webHidden/>
          </w:rPr>
          <w:instrText xml:space="preserve"> PAGEREF _Toc149504530 \h </w:instrText>
        </w:r>
        <w:r w:rsidR="00D15C4D">
          <w:rPr>
            <w:noProof/>
            <w:webHidden/>
          </w:rPr>
        </w:r>
        <w:r w:rsidR="00D15C4D">
          <w:rPr>
            <w:noProof/>
            <w:webHidden/>
          </w:rPr>
          <w:fldChar w:fldCharType="separate"/>
        </w:r>
        <w:r w:rsidR="00D15C4D">
          <w:rPr>
            <w:noProof/>
            <w:webHidden/>
          </w:rPr>
          <w:t>10</w:t>
        </w:r>
        <w:r w:rsidR="00D15C4D">
          <w:rPr>
            <w:noProof/>
            <w:webHidden/>
          </w:rPr>
          <w:fldChar w:fldCharType="end"/>
        </w:r>
      </w:hyperlink>
    </w:p>
    <w:p w14:paraId="63401ADD" w14:textId="31BE2D4C"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31" w:history="1">
        <w:r w:rsidR="00D15C4D" w:rsidRPr="002D3D96">
          <w:rPr>
            <w:rStyle w:val="Hyperlink"/>
            <w:noProof/>
            <w:lang w:val="en-NZ"/>
          </w:rPr>
          <w:t>2.1.6</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Participant Timeline</w:t>
        </w:r>
        <w:r w:rsidR="00D15C4D">
          <w:rPr>
            <w:noProof/>
            <w:webHidden/>
          </w:rPr>
          <w:tab/>
        </w:r>
        <w:r w:rsidR="00D15C4D">
          <w:rPr>
            <w:noProof/>
            <w:webHidden/>
          </w:rPr>
          <w:fldChar w:fldCharType="begin"/>
        </w:r>
        <w:r w:rsidR="00D15C4D">
          <w:rPr>
            <w:noProof/>
            <w:webHidden/>
          </w:rPr>
          <w:instrText xml:space="preserve"> PAGEREF _Toc149504531 \h </w:instrText>
        </w:r>
        <w:r w:rsidR="00D15C4D">
          <w:rPr>
            <w:noProof/>
            <w:webHidden/>
          </w:rPr>
        </w:r>
        <w:r w:rsidR="00D15C4D">
          <w:rPr>
            <w:noProof/>
            <w:webHidden/>
          </w:rPr>
          <w:fldChar w:fldCharType="separate"/>
        </w:r>
        <w:r w:rsidR="00D15C4D">
          <w:rPr>
            <w:noProof/>
            <w:webHidden/>
          </w:rPr>
          <w:t>11</w:t>
        </w:r>
        <w:r w:rsidR="00D15C4D">
          <w:rPr>
            <w:noProof/>
            <w:webHidden/>
          </w:rPr>
          <w:fldChar w:fldCharType="end"/>
        </w:r>
      </w:hyperlink>
    </w:p>
    <w:p w14:paraId="2D5389D2" w14:textId="65E83853"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32" w:history="1">
        <w:r w:rsidR="00D15C4D" w:rsidRPr="002D3D96">
          <w:rPr>
            <w:rStyle w:val="Hyperlink"/>
            <w:noProof/>
            <w:lang w:val="en-NZ"/>
          </w:rPr>
          <w:t>2.1.7</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Sample Size</w:t>
        </w:r>
        <w:r w:rsidR="00D15C4D">
          <w:rPr>
            <w:noProof/>
            <w:webHidden/>
          </w:rPr>
          <w:tab/>
        </w:r>
        <w:r w:rsidR="00D15C4D">
          <w:rPr>
            <w:noProof/>
            <w:webHidden/>
          </w:rPr>
          <w:fldChar w:fldCharType="begin"/>
        </w:r>
        <w:r w:rsidR="00D15C4D">
          <w:rPr>
            <w:noProof/>
            <w:webHidden/>
          </w:rPr>
          <w:instrText xml:space="preserve"> PAGEREF _Toc149504532 \h </w:instrText>
        </w:r>
        <w:r w:rsidR="00D15C4D">
          <w:rPr>
            <w:noProof/>
            <w:webHidden/>
          </w:rPr>
        </w:r>
        <w:r w:rsidR="00D15C4D">
          <w:rPr>
            <w:noProof/>
            <w:webHidden/>
          </w:rPr>
          <w:fldChar w:fldCharType="separate"/>
        </w:r>
        <w:r w:rsidR="00D15C4D">
          <w:rPr>
            <w:noProof/>
            <w:webHidden/>
          </w:rPr>
          <w:t>12</w:t>
        </w:r>
        <w:r w:rsidR="00D15C4D">
          <w:rPr>
            <w:noProof/>
            <w:webHidden/>
          </w:rPr>
          <w:fldChar w:fldCharType="end"/>
        </w:r>
      </w:hyperlink>
    </w:p>
    <w:p w14:paraId="78DB0897" w14:textId="44D07B1F"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33" w:history="1">
        <w:r w:rsidR="00D15C4D" w:rsidRPr="002D3D96">
          <w:rPr>
            <w:rStyle w:val="Hyperlink"/>
            <w:noProof/>
            <w:lang w:val="en-NZ"/>
          </w:rPr>
          <w:t>2.1.8</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Recruitment</w:t>
        </w:r>
        <w:r w:rsidR="00D15C4D">
          <w:rPr>
            <w:noProof/>
            <w:webHidden/>
          </w:rPr>
          <w:tab/>
        </w:r>
        <w:r w:rsidR="00D15C4D">
          <w:rPr>
            <w:noProof/>
            <w:webHidden/>
          </w:rPr>
          <w:fldChar w:fldCharType="begin"/>
        </w:r>
        <w:r w:rsidR="00D15C4D">
          <w:rPr>
            <w:noProof/>
            <w:webHidden/>
          </w:rPr>
          <w:instrText xml:space="preserve"> PAGEREF _Toc149504533 \h </w:instrText>
        </w:r>
        <w:r w:rsidR="00D15C4D">
          <w:rPr>
            <w:noProof/>
            <w:webHidden/>
          </w:rPr>
        </w:r>
        <w:r w:rsidR="00D15C4D">
          <w:rPr>
            <w:noProof/>
            <w:webHidden/>
          </w:rPr>
          <w:fldChar w:fldCharType="separate"/>
        </w:r>
        <w:r w:rsidR="00D15C4D">
          <w:rPr>
            <w:noProof/>
            <w:webHidden/>
          </w:rPr>
          <w:t>12</w:t>
        </w:r>
        <w:r w:rsidR="00D15C4D">
          <w:rPr>
            <w:noProof/>
            <w:webHidden/>
          </w:rPr>
          <w:fldChar w:fldCharType="end"/>
        </w:r>
      </w:hyperlink>
    </w:p>
    <w:p w14:paraId="05E577C1" w14:textId="51528D32"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34" w:history="1">
        <w:r w:rsidR="00D15C4D" w:rsidRPr="002D3D96">
          <w:rPr>
            <w:rStyle w:val="Hyperlink"/>
            <w:noProof/>
            <w:lang w:val="en-NZ"/>
          </w:rPr>
          <w:t>2.2</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Data Collection, Management and Analysis</w:t>
        </w:r>
        <w:r w:rsidR="00D15C4D">
          <w:rPr>
            <w:noProof/>
            <w:webHidden/>
          </w:rPr>
          <w:tab/>
        </w:r>
        <w:r w:rsidR="00D15C4D">
          <w:rPr>
            <w:noProof/>
            <w:webHidden/>
          </w:rPr>
          <w:fldChar w:fldCharType="begin"/>
        </w:r>
        <w:r w:rsidR="00D15C4D">
          <w:rPr>
            <w:noProof/>
            <w:webHidden/>
          </w:rPr>
          <w:instrText xml:space="preserve"> PAGEREF _Toc149504534 \h </w:instrText>
        </w:r>
        <w:r w:rsidR="00D15C4D">
          <w:rPr>
            <w:noProof/>
            <w:webHidden/>
          </w:rPr>
        </w:r>
        <w:r w:rsidR="00D15C4D">
          <w:rPr>
            <w:noProof/>
            <w:webHidden/>
          </w:rPr>
          <w:fldChar w:fldCharType="separate"/>
        </w:r>
        <w:r w:rsidR="00D15C4D">
          <w:rPr>
            <w:noProof/>
            <w:webHidden/>
          </w:rPr>
          <w:t>12</w:t>
        </w:r>
        <w:r w:rsidR="00D15C4D">
          <w:rPr>
            <w:noProof/>
            <w:webHidden/>
          </w:rPr>
          <w:fldChar w:fldCharType="end"/>
        </w:r>
      </w:hyperlink>
    </w:p>
    <w:p w14:paraId="4F2FD3FF" w14:textId="346D1227"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35" w:history="1">
        <w:r w:rsidR="00D15C4D" w:rsidRPr="002D3D96">
          <w:rPr>
            <w:rStyle w:val="Hyperlink"/>
            <w:noProof/>
            <w:lang w:val="en-NZ"/>
          </w:rPr>
          <w:t>2.2.1</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Data Collection Methods</w:t>
        </w:r>
        <w:r w:rsidR="00D15C4D">
          <w:rPr>
            <w:noProof/>
            <w:webHidden/>
          </w:rPr>
          <w:tab/>
        </w:r>
        <w:r w:rsidR="00D15C4D">
          <w:rPr>
            <w:noProof/>
            <w:webHidden/>
          </w:rPr>
          <w:fldChar w:fldCharType="begin"/>
        </w:r>
        <w:r w:rsidR="00D15C4D">
          <w:rPr>
            <w:noProof/>
            <w:webHidden/>
          </w:rPr>
          <w:instrText xml:space="preserve"> PAGEREF _Toc149504535 \h </w:instrText>
        </w:r>
        <w:r w:rsidR="00D15C4D">
          <w:rPr>
            <w:noProof/>
            <w:webHidden/>
          </w:rPr>
        </w:r>
        <w:r w:rsidR="00D15C4D">
          <w:rPr>
            <w:noProof/>
            <w:webHidden/>
          </w:rPr>
          <w:fldChar w:fldCharType="separate"/>
        </w:r>
        <w:r w:rsidR="00D15C4D">
          <w:rPr>
            <w:noProof/>
            <w:webHidden/>
          </w:rPr>
          <w:t>12</w:t>
        </w:r>
        <w:r w:rsidR="00D15C4D">
          <w:rPr>
            <w:noProof/>
            <w:webHidden/>
          </w:rPr>
          <w:fldChar w:fldCharType="end"/>
        </w:r>
      </w:hyperlink>
    </w:p>
    <w:p w14:paraId="78E4AFE8" w14:textId="04021FD2"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36" w:history="1">
        <w:r w:rsidR="00D15C4D" w:rsidRPr="002D3D96">
          <w:rPr>
            <w:rStyle w:val="Hyperlink"/>
            <w:noProof/>
            <w:lang w:val="en-NZ"/>
          </w:rPr>
          <w:t>2.2.2</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Retention</w:t>
        </w:r>
        <w:r w:rsidR="00D15C4D">
          <w:rPr>
            <w:noProof/>
            <w:webHidden/>
          </w:rPr>
          <w:tab/>
        </w:r>
        <w:r w:rsidR="00D15C4D">
          <w:rPr>
            <w:noProof/>
            <w:webHidden/>
          </w:rPr>
          <w:fldChar w:fldCharType="begin"/>
        </w:r>
        <w:r w:rsidR="00D15C4D">
          <w:rPr>
            <w:noProof/>
            <w:webHidden/>
          </w:rPr>
          <w:instrText xml:space="preserve"> PAGEREF _Toc149504536 \h </w:instrText>
        </w:r>
        <w:r w:rsidR="00D15C4D">
          <w:rPr>
            <w:noProof/>
            <w:webHidden/>
          </w:rPr>
        </w:r>
        <w:r w:rsidR="00D15C4D">
          <w:rPr>
            <w:noProof/>
            <w:webHidden/>
          </w:rPr>
          <w:fldChar w:fldCharType="separate"/>
        </w:r>
        <w:r w:rsidR="00D15C4D">
          <w:rPr>
            <w:noProof/>
            <w:webHidden/>
          </w:rPr>
          <w:t>14</w:t>
        </w:r>
        <w:r w:rsidR="00D15C4D">
          <w:rPr>
            <w:noProof/>
            <w:webHidden/>
          </w:rPr>
          <w:fldChar w:fldCharType="end"/>
        </w:r>
      </w:hyperlink>
    </w:p>
    <w:p w14:paraId="783D420D" w14:textId="557BCC96"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37" w:history="1">
        <w:r w:rsidR="00D15C4D" w:rsidRPr="002D3D96">
          <w:rPr>
            <w:rStyle w:val="Hyperlink"/>
            <w:noProof/>
            <w:lang w:val="en-NZ"/>
          </w:rPr>
          <w:t>2.2.3</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Data Management</w:t>
        </w:r>
        <w:r w:rsidR="00D15C4D">
          <w:rPr>
            <w:noProof/>
            <w:webHidden/>
          </w:rPr>
          <w:tab/>
        </w:r>
        <w:r w:rsidR="00D15C4D">
          <w:rPr>
            <w:noProof/>
            <w:webHidden/>
          </w:rPr>
          <w:fldChar w:fldCharType="begin"/>
        </w:r>
        <w:r w:rsidR="00D15C4D">
          <w:rPr>
            <w:noProof/>
            <w:webHidden/>
          </w:rPr>
          <w:instrText xml:space="preserve"> PAGEREF _Toc149504537 \h </w:instrText>
        </w:r>
        <w:r w:rsidR="00D15C4D">
          <w:rPr>
            <w:noProof/>
            <w:webHidden/>
          </w:rPr>
        </w:r>
        <w:r w:rsidR="00D15C4D">
          <w:rPr>
            <w:noProof/>
            <w:webHidden/>
          </w:rPr>
          <w:fldChar w:fldCharType="separate"/>
        </w:r>
        <w:r w:rsidR="00D15C4D">
          <w:rPr>
            <w:noProof/>
            <w:webHidden/>
          </w:rPr>
          <w:t>14</w:t>
        </w:r>
        <w:r w:rsidR="00D15C4D">
          <w:rPr>
            <w:noProof/>
            <w:webHidden/>
          </w:rPr>
          <w:fldChar w:fldCharType="end"/>
        </w:r>
      </w:hyperlink>
    </w:p>
    <w:p w14:paraId="611BE6C7" w14:textId="17E4D6B6"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38" w:history="1">
        <w:r w:rsidR="00D15C4D" w:rsidRPr="002D3D96">
          <w:rPr>
            <w:rStyle w:val="Hyperlink"/>
            <w:noProof/>
            <w:lang w:val="en-NZ"/>
          </w:rPr>
          <w:t>2.2.4</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Statistical Methods</w:t>
        </w:r>
        <w:r w:rsidR="00D15C4D">
          <w:rPr>
            <w:noProof/>
            <w:webHidden/>
          </w:rPr>
          <w:tab/>
        </w:r>
        <w:r w:rsidR="00D15C4D">
          <w:rPr>
            <w:noProof/>
            <w:webHidden/>
          </w:rPr>
          <w:fldChar w:fldCharType="begin"/>
        </w:r>
        <w:r w:rsidR="00D15C4D">
          <w:rPr>
            <w:noProof/>
            <w:webHidden/>
          </w:rPr>
          <w:instrText xml:space="preserve"> PAGEREF _Toc149504538 \h </w:instrText>
        </w:r>
        <w:r w:rsidR="00D15C4D">
          <w:rPr>
            <w:noProof/>
            <w:webHidden/>
          </w:rPr>
        </w:r>
        <w:r w:rsidR="00D15C4D">
          <w:rPr>
            <w:noProof/>
            <w:webHidden/>
          </w:rPr>
          <w:fldChar w:fldCharType="separate"/>
        </w:r>
        <w:r w:rsidR="00D15C4D">
          <w:rPr>
            <w:noProof/>
            <w:webHidden/>
          </w:rPr>
          <w:t>14</w:t>
        </w:r>
        <w:r w:rsidR="00D15C4D">
          <w:rPr>
            <w:noProof/>
            <w:webHidden/>
          </w:rPr>
          <w:fldChar w:fldCharType="end"/>
        </w:r>
      </w:hyperlink>
    </w:p>
    <w:p w14:paraId="06715C74" w14:textId="7474E688"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39" w:history="1">
        <w:r w:rsidR="00D15C4D" w:rsidRPr="002D3D96">
          <w:rPr>
            <w:rStyle w:val="Hyperlink"/>
            <w:noProof/>
            <w:lang w:val="en-NZ"/>
          </w:rPr>
          <w:t>2.3</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Monitoring</w:t>
        </w:r>
        <w:r w:rsidR="00D15C4D">
          <w:rPr>
            <w:noProof/>
            <w:webHidden/>
          </w:rPr>
          <w:tab/>
        </w:r>
        <w:r w:rsidR="00D15C4D">
          <w:rPr>
            <w:noProof/>
            <w:webHidden/>
          </w:rPr>
          <w:fldChar w:fldCharType="begin"/>
        </w:r>
        <w:r w:rsidR="00D15C4D">
          <w:rPr>
            <w:noProof/>
            <w:webHidden/>
          </w:rPr>
          <w:instrText xml:space="preserve"> PAGEREF _Toc149504539 \h </w:instrText>
        </w:r>
        <w:r w:rsidR="00D15C4D">
          <w:rPr>
            <w:noProof/>
            <w:webHidden/>
          </w:rPr>
        </w:r>
        <w:r w:rsidR="00D15C4D">
          <w:rPr>
            <w:noProof/>
            <w:webHidden/>
          </w:rPr>
          <w:fldChar w:fldCharType="separate"/>
        </w:r>
        <w:r w:rsidR="00D15C4D">
          <w:rPr>
            <w:noProof/>
            <w:webHidden/>
          </w:rPr>
          <w:t>14</w:t>
        </w:r>
        <w:r w:rsidR="00D15C4D">
          <w:rPr>
            <w:noProof/>
            <w:webHidden/>
          </w:rPr>
          <w:fldChar w:fldCharType="end"/>
        </w:r>
      </w:hyperlink>
    </w:p>
    <w:p w14:paraId="45F480CB" w14:textId="5988DDDF"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40" w:history="1">
        <w:r w:rsidR="00D15C4D" w:rsidRPr="002D3D96">
          <w:rPr>
            <w:rStyle w:val="Hyperlink"/>
            <w:noProof/>
            <w:lang w:val="en-NZ"/>
          </w:rPr>
          <w:t>2.3.1</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Study Committee</w:t>
        </w:r>
        <w:r w:rsidR="00D15C4D">
          <w:rPr>
            <w:noProof/>
            <w:webHidden/>
          </w:rPr>
          <w:tab/>
        </w:r>
        <w:r w:rsidR="00D15C4D">
          <w:rPr>
            <w:noProof/>
            <w:webHidden/>
          </w:rPr>
          <w:fldChar w:fldCharType="begin"/>
        </w:r>
        <w:r w:rsidR="00D15C4D">
          <w:rPr>
            <w:noProof/>
            <w:webHidden/>
          </w:rPr>
          <w:instrText xml:space="preserve"> PAGEREF _Toc149504540 \h </w:instrText>
        </w:r>
        <w:r w:rsidR="00D15C4D">
          <w:rPr>
            <w:noProof/>
            <w:webHidden/>
          </w:rPr>
        </w:r>
        <w:r w:rsidR="00D15C4D">
          <w:rPr>
            <w:noProof/>
            <w:webHidden/>
          </w:rPr>
          <w:fldChar w:fldCharType="separate"/>
        </w:r>
        <w:r w:rsidR="00D15C4D">
          <w:rPr>
            <w:noProof/>
            <w:webHidden/>
          </w:rPr>
          <w:t>14</w:t>
        </w:r>
        <w:r w:rsidR="00D15C4D">
          <w:rPr>
            <w:noProof/>
            <w:webHidden/>
          </w:rPr>
          <w:fldChar w:fldCharType="end"/>
        </w:r>
      </w:hyperlink>
    </w:p>
    <w:p w14:paraId="4FFDBD7E" w14:textId="30839B91"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41" w:history="1">
        <w:r w:rsidR="00D15C4D" w:rsidRPr="002D3D96">
          <w:rPr>
            <w:rStyle w:val="Hyperlink"/>
            <w:noProof/>
            <w:lang w:val="en-NZ"/>
          </w:rPr>
          <w:t>2.3.2</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Interim analysis</w:t>
        </w:r>
        <w:r w:rsidR="00D15C4D">
          <w:rPr>
            <w:noProof/>
            <w:webHidden/>
          </w:rPr>
          <w:tab/>
        </w:r>
        <w:r w:rsidR="00D15C4D">
          <w:rPr>
            <w:noProof/>
            <w:webHidden/>
          </w:rPr>
          <w:fldChar w:fldCharType="begin"/>
        </w:r>
        <w:r w:rsidR="00D15C4D">
          <w:rPr>
            <w:noProof/>
            <w:webHidden/>
          </w:rPr>
          <w:instrText xml:space="preserve"> PAGEREF _Toc149504541 \h </w:instrText>
        </w:r>
        <w:r w:rsidR="00D15C4D">
          <w:rPr>
            <w:noProof/>
            <w:webHidden/>
          </w:rPr>
        </w:r>
        <w:r w:rsidR="00D15C4D">
          <w:rPr>
            <w:noProof/>
            <w:webHidden/>
          </w:rPr>
          <w:fldChar w:fldCharType="separate"/>
        </w:r>
        <w:r w:rsidR="00D15C4D">
          <w:rPr>
            <w:noProof/>
            <w:webHidden/>
          </w:rPr>
          <w:t>14</w:t>
        </w:r>
        <w:r w:rsidR="00D15C4D">
          <w:rPr>
            <w:noProof/>
            <w:webHidden/>
          </w:rPr>
          <w:fldChar w:fldCharType="end"/>
        </w:r>
      </w:hyperlink>
    </w:p>
    <w:p w14:paraId="545B6B21" w14:textId="5BB2FD1F"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42" w:history="1">
        <w:r w:rsidR="00D15C4D" w:rsidRPr="002D3D96">
          <w:rPr>
            <w:rStyle w:val="Hyperlink"/>
            <w:noProof/>
            <w:lang w:val="en-NZ"/>
          </w:rPr>
          <w:t>2.3.3</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Harms</w:t>
        </w:r>
        <w:r w:rsidR="00D15C4D">
          <w:rPr>
            <w:noProof/>
            <w:webHidden/>
          </w:rPr>
          <w:tab/>
        </w:r>
        <w:r w:rsidR="00D15C4D">
          <w:rPr>
            <w:noProof/>
            <w:webHidden/>
          </w:rPr>
          <w:fldChar w:fldCharType="begin"/>
        </w:r>
        <w:r w:rsidR="00D15C4D">
          <w:rPr>
            <w:noProof/>
            <w:webHidden/>
          </w:rPr>
          <w:instrText xml:space="preserve"> PAGEREF _Toc149504542 \h </w:instrText>
        </w:r>
        <w:r w:rsidR="00D15C4D">
          <w:rPr>
            <w:noProof/>
            <w:webHidden/>
          </w:rPr>
        </w:r>
        <w:r w:rsidR="00D15C4D">
          <w:rPr>
            <w:noProof/>
            <w:webHidden/>
          </w:rPr>
          <w:fldChar w:fldCharType="separate"/>
        </w:r>
        <w:r w:rsidR="00D15C4D">
          <w:rPr>
            <w:noProof/>
            <w:webHidden/>
          </w:rPr>
          <w:t>15</w:t>
        </w:r>
        <w:r w:rsidR="00D15C4D">
          <w:rPr>
            <w:noProof/>
            <w:webHidden/>
          </w:rPr>
          <w:fldChar w:fldCharType="end"/>
        </w:r>
      </w:hyperlink>
    </w:p>
    <w:p w14:paraId="5229C174" w14:textId="33C3E64C"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43" w:history="1">
        <w:r w:rsidR="00D15C4D" w:rsidRPr="002D3D96">
          <w:rPr>
            <w:rStyle w:val="Hyperlink"/>
            <w:noProof/>
            <w:lang w:val="en-NZ"/>
          </w:rPr>
          <w:t>2.3.4</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Auditing</w:t>
        </w:r>
        <w:r w:rsidR="00D15C4D">
          <w:rPr>
            <w:noProof/>
            <w:webHidden/>
          </w:rPr>
          <w:tab/>
        </w:r>
        <w:r w:rsidR="00D15C4D">
          <w:rPr>
            <w:noProof/>
            <w:webHidden/>
          </w:rPr>
          <w:fldChar w:fldCharType="begin"/>
        </w:r>
        <w:r w:rsidR="00D15C4D">
          <w:rPr>
            <w:noProof/>
            <w:webHidden/>
          </w:rPr>
          <w:instrText xml:space="preserve"> PAGEREF _Toc149504543 \h </w:instrText>
        </w:r>
        <w:r w:rsidR="00D15C4D">
          <w:rPr>
            <w:noProof/>
            <w:webHidden/>
          </w:rPr>
        </w:r>
        <w:r w:rsidR="00D15C4D">
          <w:rPr>
            <w:noProof/>
            <w:webHidden/>
          </w:rPr>
          <w:fldChar w:fldCharType="separate"/>
        </w:r>
        <w:r w:rsidR="00D15C4D">
          <w:rPr>
            <w:noProof/>
            <w:webHidden/>
          </w:rPr>
          <w:t>15</w:t>
        </w:r>
        <w:r w:rsidR="00D15C4D">
          <w:rPr>
            <w:noProof/>
            <w:webHidden/>
          </w:rPr>
          <w:fldChar w:fldCharType="end"/>
        </w:r>
      </w:hyperlink>
    </w:p>
    <w:p w14:paraId="26EF71A2" w14:textId="51950500" w:rsidR="00D15C4D" w:rsidRDefault="00000000">
      <w:pPr>
        <w:pStyle w:val="TOC1"/>
        <w:tabs>
          <w:tab w:val="left" w:pos="567"/>
          <w:tab w:val="right" w:leader="dot" w:pos="9016"/>
        </w:tabs>
        <w:rPr>
          <w:rFonts w:eastAsiaTheme="minorEastAsia"/>
          <w:bCs w:val="0"/>
          <w:caps w:val="0"/>
          <w:noProof/>
          <w:kern w:val="2"/>
          <w:sz w:val="24"/>
          <w:lang w:val="en-NZ" w:eastAsia="en-GB"/>
          <w14:ligatures w14:val="standardContextual"/>
        </w:rPr>
      </w:pPr>
      <w:hyperlink w:anchor="_Toc149504544" w:history="1">
        <w:r w:rsidR="00D15C4D" w:rsidRPr="002D3D96">
          <w:rPr>
            <w:rStyle w:val="Hyperlink"/>
            <w:rFonts w:cstheme="minorHAnsi"/>
            <w:noProof/>
            <w:lang w:val="en-NZ"/>
          </w:rPr>
          <w:t>3</w:t>
        </w:r>
        <w:r w:rsidR="00D15C4D">
          <w:rPr>
            <w:rFonts w:eastAsiaTheme="minorEastAsia"/>
            <w:bCs w:val="0"/>
            <w:caps w:val="0"/>
            <w:noProof/>
            <w:kern w:val="2"/>
            <w:sz w:val="24"/>
            <w:lang w:val="en-NZ" w:eastAsia="en-GB"/>
            <w14:ligatures w14:val="standardContextual"/>
          </w:rPr>
          <w:tab/>
        </w:r>
        <w:r w:rsidR="00D15C4D" w:rsidRPr="002D3D96">
          <w:rPr>
            <w:rStyle w:val="Hyperlink"/>
            <w:rFonts w:cstheme="minorHAnsi"/>
            <w:noProof/>
            <w:lang w:val="en-NZ"/>
          </w:rPr>
          <w:t>Ethics and Dissemination</w:t>
        </w:r>
        <w:r w:rsidR="00D15C4D">
          <w:rPr>
            <w:noProof/>
            <w:webHidden/>
          </w:rPr>
          <w:tab/>
        </w:r>
        <w:r w:rsidR="00D15C4D">
          <w:rPr>
            <w:noProof/>
            <w:webHidden/>
          </w:rPr>
          <w:fldChar w:fldCharType="begin"/>
        </w:r>
        <w:r w:rsidR="00D15C4D">
          <w:rPr>
            <w:noProof/>
            <w:webHidden/>
          </w:rPr>
          <w:instrText xml:space="preserve"> PAGEREF _Toc149504544 \h </w:instrText>
        </w:r>
        <w:r w:rsidR="00D15C4D">
          <w:rPr>
            <w:noProof/>
            <w:webHidden/>
          </w:rPr>
        </w:r>
        <w:r w:rsidR="00D15C4D">
          <w:rPr>
            <w:noProof/>
            <w:webHidden/>
          </w:rPr>
          <w:fldChar w:fldCharType="separate"/>
        </w:r>
        <w:r w:rsidR="00D15C4D">
          <w:rPr>
            <w:noProof/>
            <w:webHidden/>
          </w:rPr>
          <w:t>15</w:t>
        </w:r>
        <w:r w:rsidR="00D15C4D">
          <w:rPr>
            <w:noProof/>
            <w:webHidden/>
          </w:rPr>
          <w:fldChar w:fldCharType="end"/>
        </w:r>
      </w:hyperlink>
    </w:p>
    <w:p w14:paraId="4AE71C4F" w14:textId="4703C8DE"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45" w:history="1">
        <w:r w:rsidR="00D15C4D" w:rsidRPr="002D3D96">
          <w:rPr>
            <w:rStyle w:val="Hyperlink"/>
            <w:noProof/>
            <w:lang w:val="en-NZ"/>
          </w:rPr>
          <w:t>3.1</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Research Ethics Approval</w:t>
        </w:r>
        <w:r w:rsidR="00D15C4D">
          <w:rPr>
            <w:noProof/>
            <w:webHidden/>
          </w:rPr>
          <w:tab/>
        </w:r>
        <w:r w:rsidR="00D15C4D">
          <w:rPr>
            <w:noProof/>
            <w:webHidden/>
          </w:rPr>
          <w:fldChar w:fldCharType="begin"/>
        </w:r>
        <w:r w:rsidR="00D15C4D">
          <w:rPr>
            <w:noProof/>
            <w:webHidden/>
          </w:rPr>
          <w:instrText xml:space="preserve"> PAGEREF _Toc149504545 \h </w:instrText>
        </w:r>
        <w:r w:rsidR="00D15C4D">
          <w:rPr>
            <w:noProof/>
            <w:webHidden/>
          </w:rPr>
        </w:r>
        <w:r w:rsidR="00D15C4D">
          <w:rPr>
            <w:noProof/>
            <w:webHidden/>
          </w:rPr>
          <w:fldChar w:fldCharType="separate"/>
        </w:r>
        <w:r w:rsidR="00D15C4D">
          <w:rPr>
            <w:noProof/>
            <w:webHidden/>
          </w:rPr>
          <w:t>15</w:t>
        </w:r>
        <w:r w:rsidR="00D15C4D">
          <w:rPr>
            <w:noProof/>
            <w:webHidden/>
          </w:rPr>
          <w:fldChar w:fldCharType="end"/>
        </w:r>
      </w:hyperlink>
    </w:p>
    <w:p w14:paraId="1F35CEFB" w14:textId="70390FD2"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46" w:history="1">
        <w:r w:rsidR="00D15C4D" w:rsidRPr="002D3D96">
          <w:rPr>
            <w:rStyle w:val="Hyperlink"/>
            <w:noProof/>
            <w:lang w:val="en-NZ"/>
          </w:rPr>
          <w:t>3.2</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Locality Approval</w:t>
        </w:r>
        <w:r w:rsidR="00D15C4D">
          <w:rPr>
            <w:noProof/>
            <w:webHidden/>
          </w:rPr>
          <w:tab/>
        </w:r>
        <w:r w:rsidR="00D15C4D">
          <w:rPr>
            <w:noProof/>
            <w:webHidden/>
          </w:rPr>
          <w:fldChar w:fldCharType="begin"/>
        </w:r>
        <w:r w:rsidR="00D15C4D">
          <w:rPr>
            <w:noProof/>
            <w:webHidden/>
          </w:rPr>
          <w:instrText xml:space="preserve"> PAGEREF _Toc149504546 \h </w:instrText>
        </w:r>
        <w:r w:rsidR="00D15C4D">
          <w:rPr>
            <w:noProof/>
            <w:webHidden/>
          </w:rPr>
        </w:r>
        <w:r w:rsidR="00D15C4D">
          <w:rPr>
            <w:noProof/>
            <w:webHidden/>
          </w:rPr>
          <w:fldChar w:fldCharType="separate"/>
        </w:r>
        <w:r w:rsidR="00D15C4D">
          <w:rPr>
            <w:noProof/>
            <w:webHidden/>
          </w:rPr>
          <w:t>15</w:t>
        </w:r>
        <w:r w:rsidR="00D15C4D">
          <w:rPr>
            <w:noProof/>
            <w:webHidden/>
          </w:rPr>
          <w:fldChar w:fldCharType="end"/>
        </w:r>
      </w:hyperlink>
    </w:p>
    <w:p w14:paraId="6E522336" w14:textId="0700D4D0"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47" w:history="1">
        <w:r w:rsidR="00D15C4D" w:rsidRPr="002D3D96">
          <w:rPr>
            <w:rStyle w:val="Hyperlink"/>
            <w:noProof/>
            <w:lang w:val="en-NZ"/>
          </w:rPr>
          <w:t>3.3</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Protocol Amendments</w:t>
        </w:r>
        <w:r w:rsidR="00D15C4D">
          <w:rPr>
            <w:noProof/>
            <w:webHidden/>
          </w:rPr>
          <w:tab/>
        </w:r>
        <w:r w:rsidR="00D15C4D">
          <w:rPr>
            <w:noProof/>
            <w:webHidden/>
          </w:rPr>
          <w:fldChar w:fldCharType="begin"/>
        </w:r>
        <w:r w:rsidR="00D15C4D">
          <w:rPr>
            <w:noProof/>
            <w:webHidden/>
          </w:rPr>
          <w:instrText xml:space="preserve"> PAGEREF _Toc149504547 \h </w:instrText>
        </w:r>
        <w:r w:rsidR="00D15C4D">
          <w:rPr>
            <w:noProof/>
            <w:webHidden/>
          </w:rPr>
        </w:r>
        <w:r w:rsidR="00D15C4D">
          <w:rPr>
            <w:noProof/>
            <w:webHidden/>
          </w:rPr>
          <w:fldChar w:fldCharType="separate"/>
        </w:r>
        <w:r w:rsidR="00D15C4D">
          <w:rPr>
            <w:noProof/>
            <w:webHidden/>
          </w:rPr>
          <w:t>15</w:t>
        </w:r>
        <w:r w:rsidR="00D15C4D">
          <w:rPr>
            <w:noProof/>
            <w:webHidden/>
          </w:rPr>
          <w:fldChar w:fldCharType="end"/>
        </w:r>
      </w:hyperlink>
    </w:p>
    <w:p w14:paraId="601DB904" w14:textId="3A2F38C0"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48" w:history="1">
        <w:r w:rsidR="00D15C4D" w:rsidRPr="002D3D96">
          <w:rPr>
            <w:rStyle w:val="Hyperlink"/>
            <w:noProof/>
            <w:lang w:val="en-NZ"/>
          </w:rPr>
          <w:t>3.4</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Consent / Assent</w:t>
        </w:r>
        <w:r w:rsidR="00D15C4D">
          <w:rPr>
            <w:noProof/>
            <w:webHidden/>
          </w:rPr>
          <w:tab/>
        </w:r>
        <w:r w:rsidR="00D15C4D">
          <w:rPr>
            <w:noProof/>
            <w:webHidden/>
          </w:rPr>
          <w:fldChar w:fldCharType="begin"/>
        </w:r>
        <w:r w:rsidR="00D15C4D">
          <w:rPr>
            <w:noProof/>
            <w:webHidden/>
          </w:rPr>
          <w:instrText xml:space="preserve"> PAGEREF _Toc149504548 \h </w:instrText>
        </w:r>
        <w:r w:rsidR="00D15C4D">
          <w:rPr>
            <w:noProof/>
            <w:webHidden/>
          </w:rPr>
        </w:r>
        <w:r w:rsidR="00D15C4D">
          <w:rPr>
            <w:noProof/>
            <w:webHidden/>
          </w:rPr>
          <w:fldChar w:fldCharType="separate"/>
        </w:r>
        <w:r w:rsidR="00D15C4D">
          <w:rPr>
            <w:noProof/>
            <w:webHidden/>
          </w:rPr>
          <w:t>15</w:t>
        </w:r>
        <w:r w:rsidR="00D15C4D">
          <w:rPr>
            <w:noProof/>
            <w:webHidden/>
          </w:rPr>
          <w:fldChar w:fldCharType="end"/>
        </w:r>
      </w:hyperlink>
    </w:p>
    <w:p w14:paraId="6F4FA598" w14:textId="2964038B"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49" w:history="1">
        <w:r w:rsidR="00D15C4D" w:rsidRPr="002D3D96">
          <w:rPr>
            <w:rStyle w:val="Hyperlink"/>
            <w:noProof/>
            <w:lang w:val="en-NZ"/>
          </w:rPr>
          <w:t>3.4.1</w:t>
        </w:r>
        <w:r w:rsidR="00D15C4D">
          <w:rPr>
            <w:rFonts w:eastAsiaTheme="minorEastAsia"/>
            <w:noProof/>
            <w:kern w:val="2"/>
            <w:sz w:val="24"/>
            <w:szCs w:val="24"/>
            <w:lang w:val="en-NZ" w:eastAsia="en-GB"/>
            <w14:ligatures w14:val="standardContextual"/>
          </w:rPr>
          <w:tab/>
        </w:r>
        <w:r w:rsidR="00D15C4D" w:rsidRPr="002D3D96">
          <w:rPr>
            <w:rStyle w:val="Hyperlink"/>
            <w:noProof/>
            <w:lang w:val="en-NZ"/>
          </w:rPr>
          <w:t>Ancillary studies</w:t>
        </w:r>
        <w:r w:rsidR="00D15C4D">
          <w:rPr>
            <w:noProof/>
            <w:webHidden/>
          </w:rPr>
          <w:tab/>
        </w:r>
        <w:r w:rsidR="00D15C4D">
          <w:rPr>
            <w:noProof/>
            <w:webHidden/>
          </w:rPr>
          <w:fldChar w:fldCharType="begin"/>
        </w:r>
        <w:r w:rsidR="00D15C4D">
          <w:rPr>
            <w:noProof/>
            <w:webHidden/>
          </w:rPr>
          <w:instrText xml:space="preserve"> PAGEREF _Toc149504549 \h </w:instrText>
        </w:r>
        <w:r w:rsidR="00D15C4D">
          <w:rPr>
            <w:noProof/>
            <w:webHidden/>
          </w:rPr>
        </w:r>
        <w:r w:rsidR="00D15C4D">
          <w:rPr>
            <w:noProof/>
            <w:webHidden/>
          </w:rPr>
          <w:fldChar w:fldCharType="separate"/>
        </w:r>
        <w:r w:rsidR="00D15C4D">
          <w:rPr>
            <w:noProof/>
            <w:webHidden/>
          </w:rPr>
          <w:t>15</w:t>
        </w:r>
        <w:r w:rsidR="00D15C4D">
          <w:rPr>
            <w:noProof/>
            <w:webHidden/>
          </w:rPr>
          <w:fldChar w:fldCharType="end"/>
        </w:r>
      </w:hyperlink>
    </w:p>
    <w:p w14:paraId="5D909B92" w14:textId="3F6FCCE4"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50" w:history="1">
        <w:r w:rsidR="00D15C4D" w:rsidRPr="002D3D96">
          <w:rPr>
            <w:rStyle w:val="Hyperlink"/>
            <w:noProof/>
            <w:lang w:val="en-NZ"/>
          </w:rPr>
          <w:t>3.5</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Confidentiality</w:t>
        </w:r>
        <w:r w:rsidR="00D15C4D">
          <w:rPr>
            <w:noProof/>
            <w:webHidden/>
          </w:rPr>
          <w:tab/>
        </w:r>
        <w:r w:rsidR="00D15C4D">
          <w:rPr>
            <w:noProof/>
            <w:webHidden/>
          </w:rPr>
          <w:fldChar w:fldCharType="begin"/>
        </w:r>
        <w:r w:rsidR="00D15C4D">
          <w:rPr>
            <w:noProof/>
            <w:webHidden/>
          </w:rPr>
          <w:instrText xml:space="preserve"> PAGEREF _Toc149504550 \h </w:instrText>
        </w:r>
        <w:r w:rsidR="00D15C4D">
          <w:rPr>
            <w:noProof/>
            <w:webHidden/>
          </w:rPr>
        </w:r>
        <w:r w:rsidR="00D15C4D">
          <w:rPr>
            <w:noProof/>
            <w:webHidden/>
          </w:rPr>
          <w:fldChar w:fldCharType="separate"/>
        </w:r>
        <w:r w:rsidR="00D15C4D">
          <w:rPr>
            <w:noProof/>
            <w:webHidden/>
          </w:rPr>
          <w:t>15</w:t>
        </w:r>
        <w:r w:rsidR="00D15C4D">
          <w:rPr>
            <w:noProof/>
            <w:webHidden/>
          </w:rPr>
          <w:fldChar w:fldCharType="end"/>
        </w:r>
      </w:hyperlink>
    </w:p>
    <w:p w14:paraId="0FAD2AB3" w14:textId="284FFC98"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51" w:history="1">
        <w:r w:rsidR="00D15C4D" w:rsidRPr="002D3D96">
          <w:rPr>
            <w:rStyle w:val="Hyperlink"/>
            <w:noProof/>
            <w:lang w:val="en-NZ"/>
          </w:rPr>
          <w:t>3.6</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Declaration of Interests</w:t>
        </w:r>
        <w:r w:rsidR="00D15C4D">
          <w:rPr>
            <w:noProof/>
            <w:webHidden/>
          </w:rPr>
          <w:tab/>
        </w:r>
        <w:r w:rsidR="00D15C4D">
          <w:rPr>
            <w:noProof/>
            <w:webHidden/>
          </w:rPr>
          <w:fldChar w:fldCharType="begin"/>
        </w:r>
        <w:r w:rsidR="00D15C4D">
          <w:rPr>
            <w:noProof/>
            <w:webHidden/>
          </w:rPr>
          <w:instrText xml:space="preserve"> PAGEREF _Toc149504551 \h </w:instrText>
        </w:r>
        <w:r w:rsidR="00D15C4D">
          <w:rPr>
            <w:noProof/>
            <w:webHidden/>
          </w:rPr>
        </w:r>
        <w:r w:rsidR="00D15C4D">
          <w:rPr>
            <w:noProof/>
            <w:webHidden/>
          </w:rPr>
          <w:fldChar w:fldCharType="separate"/>
        </w:r>
        <w:r w:rsidR="00D15C4D">
          <w:rPr>
            <w:noProof/>
            <w:webHidden/>
          </w:rPr>
          <w:t>16</w:t>
        </w:r>
        <w:r w:rsidR="00D15C4D">
          <w:rPr>
            <w:noProof/>
            <w:webHidden/>
          </w:rPr>
          <w:fldChar w:fldCharType="end"/>
        </w:r>
      </w:hyperlink>
    </w:p>
    <w:p w14:paraId="014BD5C5" w14:textId="31384828"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52" w:history="1">
        <w:r w:rsidR="00D15C4D" w:rsidRPr="002D3D96">
          <w:rPr>
            <w:rStyle w:val="Hyperlink"/>
            <w:noProof/>
          </w:rPr>
          <w:t>3.7</w:t>
        </w:r>
        <w:r w:rsidR="00D15C4D">
          <w:rPr>
            <w:rFonts w:eastAsiaTheme="minorEastAsia"/>
            <w:bCs w:val="0"/>
            <w:noProof/>
            <w:kern w:val="2"/>
            <w:sz w:val="24"/>
            <w:szCs w:val="24"/>
            <w:lang w:val="en-NZ" w:eastAsia="en-GB"/>
            <w14:ligatures w14:val="standardContextual"/>
          </w:rPr>
          <w:tab/>
        </w:r>
        <w:r w:rsidR="00D15C4D" w:rsidRPr="002D3D96">
          <w:rPr>
            <w:rStyle w:val="Hyperlink"/>
            <w:noProof/>
          </w:rPr>
          <w:t>Access to Data</w:t>
        </w:r>
        <w:r w:rsidR="00D15C4D">
          <w:rPr>
            <w:noProof/>
            <w:webHidden/>
          </w:rPr>
          <w:tab/>
        </w:r>
        <w:r w:rsidR="00D15C4D">
          <w:rPr>
            <w:noProof/>
            <w:webHidden/>
          </w:rPr>
          <w:fldChar w:fldCharType="begin"/>
        </w:r>
        <w:r w:rsidR="00D15C4D">
          <w:rPr>
            <w:noProof/>
            <w:webHidden/>
          </w:rPr>
          <w:instrText xml:space="preserve"> PAGEREF _Toc149504552 \h </w:instrText>
        </w:r>
        <w:r w:rsidR="00D15C4D">
          <w:rPr>
            <w:noProof/>
            <w:webHidden/>
          </w:rPr>
        </w:r>
        <w:r w:rsidR="00D15C4D">
          <w:rPr>
            <w:noProof/>
            <w:webHidden/>
          </w:rPr>
          <w:fldChar w:fldCharType="separate"/>
        </w:r>
        <w:r w:rsidR="00D15C4D">
          <w:rPr>
            <w:noProof/>
            <w:webHidden/>
          </w:rPr>
          <w:t>16</w:t>
        </w:r>
        <w:r w:rsidR="00D15C4D">
          <w:rPr>
            <w:noProof/>
            <w:webHidden/>
          </w:rPr>
          <w:fldChar w:fldCharType="end"/>
        </w:r>
      </w:hyperlink>
    </w:p>
    <w:p w14:paraId="555497A5" w14:textId="29A2CE4D"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53" w:history="1">
        <w:r w:rsidR="00D15C4D" w:rsidRPr="002D3D96">
          <w:rPr>
            <w:rStyle w:val="Hyperlink"/>
            <w:noProof/>
          </w:rPr>
          <w:t>3.8</w:t>
        </w:r>
        <w:r w:rsidR="00D15C4D">
          <w:rPr>
            <w:rFonts w:eastAsiaTheme="minorEastAsia"/>
            <w:bCs w:val="0"/>
            <w:noProof/>
            <w:kern w:val="2"/>
            <w:sz w:val="24"/>
            <w:szCs w:val="24"/>
            <w:lang w:val="en-NZ" w:eastAsia="en-GB"/>
            <w14:ligatures w14:val="standardContextual"/>
          </w:rPr>
          <w:tab/>
        </w:r>
        <w:r w:rsidR="00D15C4D" w:rsidRPr="002D3D96">
          <w:rPr>
            <w:rStyle w:val="Hyperlink"/>
            <w:noProof/>
          </w:rPr>
          <w:t>Ancillary and Post-trial Care</w:t>
        </w:r>
        <w:r w:rsidR="00D15C4D">
          <w:rPr>
            <w:noProof/>
            <w:webHidden/>
          </w:rPr>
          <w:tab/>
        </w:r>
        <w:r w:rsidR="00D15C4D">
          <w:rPr>
            <w:noProof/>
            <w:webHidden/>
          </w:rPr>
          <w:fldChar w:fldCharType="begin"/>
        </w:r>
        <w:r w:rsidR="00D15C4D">
          <w:rPr>
            <w:noProof/>
            <w:webHidden/>
          </w:rPr>
          <w:instrText xml:space="preserve"> PAGEREF _Toc149504553 \h </w:instrText>
        </w:r>
        <w:r w:rsidR="00D15C4D">
          <w:rPr>
            <w:noProof/>
            <w:webHidden/>
          </w:rPr>
        </w:r>
        <w:r w:rsidR="00D15C4D">
          <w:rPr>
            <w:noProof/>
            <w:webHidden/>
          </w:rPr>
          <w:fldChar w:fldCharType="separate"/>
        </w:r>
        <w:r w:rsidR="00D15C4D">
          <w:rPr>
            <w:noProof/>
            <w:webHidden/>
          </w:rPr>
          <w:t>16</w:t>
        </w:r>
        <w:r w:rsidR="00D15C4D">
          <w:rPr>
            <w:noProof/>
            <w:webHidden/>
          </w:rPr>
          <w:fldChar w:fldCharType="end"/>
        </w:r>
      </w:hyperlink>
    </w:p>
    <w:p w14:paraId="294A6DCF" w14:textId="3E30175A"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54" w:history="1">
        <w:r w:rsidR="00D15C4D" w:rsidRPr="002D3D96">
          <w:rPr>
            <w:rStyle w:val="Hyperlink"/>
            <w:noProof/>
          </w:rPr>
          <w:t>3.9</w:t>
        </w:r>
        <w:r w:rsidR="00D15C4D">
          <w:rPr>
            <w:rFonts w:eastAsiaTheme="minorEastAsia"/>
            <w:bCs w:val="0"/>
            <w:noProof/>
            <w:kern w:val="2"/>
            <w:sz w:val="24"/>
            <w:szCs w:val="24"/>
            <w:lang w:val="en-NZ" w:eastAsia="en-GB"/>
            <w14:ligatures w14:val="standardContextual"/>
          </w:rPr>
          <w:tab/>
        </w:r>
        <w:r w:rsidR="00D15C4D" w:rsidRPr="002D3D96">
          <w:rPr>
            <w:rStyle w:val="Hyperlink"/>
            <w:noProof/>
          </w:rPr>
          <w:t>Dissemination Policy</w:t>
        </w:r>
        <w:r w:rsidR="00D15C4D">
          <w:rPr>
            <w:noProof/>
            <w:webHidden/>
          </w:rPr>
          <w:tab/>
        </w:r>
        <w:r w:rsidR="00D15C4D">
          <w:rPr>
            <w:noProof/>
            <w:webHidden/>
          </w:rPr>
          <w:fldChar w:fldCharType="begin"/>
        </w:r>
        <w:r w:rsidR="00D15C4D">
          <w:rPr>
            <w:noProof/>
            <w:webHidden/>
          </w:rPr>
          <w:instrText xml:space="preserve"> PAGEREF _Toc149504554 \h </w:instrText>
        </w:r>
        <w:r w:rsidR="00D15C4D">
          <w:rPr>
            <w:noProof/>
            <w:webHidden/>
          </w:rPr>
        </w:r>
        <w:r w:rsidR="00D15C4D">
          <w:rPr>
            <w:noProof/>
            <w:webHidden/>
          </w:rPr>
          <w:fldChar w:fldCharType="separate"/>
        </w:r>
        <w:r w:rsidR="00D15C4D">
          <w:rPr>
            <w:noProof/>
            <w:webHidden/>
          </w:rPr>
          <w:t>16</w:t>
        </w:r>
        <w:r w:rsidR="00D15C4D">
          <w:rPr>
            <w:noProof/>
            <w:webHidden/>
          </w:rPr>
          <w:fldChar w:fldCharType="end"/>
        </w:r>
      </w:hyperlink>
    </w:p>
    <w:p w14:paraId="27636D7A" w14:textId="619B783E" w:rsidR="00D15C4D" w:rsidRDefault="00000000">
      <w:pPr>
        <w:pStyle w:val="TOC3"/>
        <w:tabs>
          <w:tab w:val="left" w:pos="1540"/>
          <w:tab w:val="right" w:leader="dot" w:pos="9016"/>
        </w:tabs>
        <w:rPr>
          <w:rFonts w:eastAsiaTheme="minorEastAsia"/>
          <w:noProof/>
          <w:kern w:val="2"/>
          <w:sz w:val="24"/>
          <w:szCs w:val="24"/>
          <w:lang w:val="en-NZ" w:eastAsia="en-GB"/>
          <w14:ligatures w14:val="standardContextual"/>
        </w:rPr>
      </w:pPr>
      <w:hyperlink w:anchor="_Toc149504555" w:history="1">
        <w:r w:rsidR="00D15C4D" w:rsidRPr="002D3D96">
          <w:rPr>
            <w:rStyle w:val="Hyperlink"/>
            <w:noProof/>
            <w:lang w:val="en-AU"/>
          </w:rPr>
          <w:t>3.9.1</w:t>
        </w:r>
        <w:r w:rsidR="00D15C4D">
          <w:rPr>
            <w:rFonts w:eastAsiaTheme="minorEastAsia"/>
            <w:noProof/>
            <w:kern w:val="2"/>
            <w:sz w:val="24"/>
            <w:szCs w:val="24"/>
            <w:lang w:val="en-NZ" w:eastAsia="en-GB"/>
            <w14:ligatures w14:val="standardContextual"/>
          </w:rPr>
          <w:tab/>
        </w:r>
        <w:r w:rsidR="00D15C4D" w:rsidRPr="002D3D96">
          <w:rPr>
            <w:rStyle w:val="Hyperlink"/>
            <w:noProof/>
            <w:lang w:val="en-AU"/>
          </w:rPr>
          <w:t>Authorship policy</w:t>
        </w:r>
        <w:r w:rsidR="00D15C4D">
          <w:rPr>
            <w:noProof/>
            <w:webHidden/>
          </w:rPr>
          <w:tab/>
        </w:r>
        <w:r w:rsidR="00D15C4D">
          <w:rPr>
            <w:noProof/>
            <w:webHidden/>
          </w:rPr>
          <w:fldChar w:fldCharType="begin"/>
        </w:r>
        <w:r w:rsidR="00D15C4D">
          <w:rPr>
            <w:noProof/>
            <w:webHidden/>
          </w:rPr>
          <w:instrText xml:space="preserve"> PAGEREF _Toc149504555 \h </w:instrText>
        </w:r>
        <w:r w:rsidR="00D15C4D">
          <w:rPr>
            <w:noProof/>
            <w:webHidden/>
          </w:rPr>
        </w:r>
        <w:r w:rsidR="00D15C4D">
          <w:rPr>
            <w:noProof/>
            <w:webHidden/>
          </w:rPr>
          <w:fldChar w:fldCharType="separate"/>
        </w:r>
        <w:r w:rsidR="00D15C4D">
          <w:rPr>
            <w:noProof/>
            <w:webHidden/>
          </w:rPr>
          <w:t>16</w:t>
        </w:r>
        <w:r w:rsidR="00D15C4D">
          <w:rPr>
            <w:noProof/>
            <w:webHidden/>
          </w:rPr>
          <w:fldChar w:fldCharType="end"/>
        </w:r>
      </w:hyperlink>
    </w:p>
    <w:p w14:paraId="2C6B9B8B" w14:textId="40853EEB" w:rsidR="00D15C4D" w:rsidRDefault="00000000">
      <w:pPr>
        <w:pStyle w:val="TOC1"/>
        <w:tabs>
          <w:tab w:val="left" w:pos="567"/>
          <w:tab w:val="right" w:leader="dot" w:pos="9016"/>
        </w:tabs>
        <w:rPr>
          <w:rFonts w:eastAsiaTheme="minorEastAsia"/>
          <w:bCs w:val="0"/>
          <w:caps w:val="0"/>
          <w:noProof/>
          <w:kern w:val="2"/>
          <w:sz w:val="24"/>
          <w:lang w:val="en-NZ" w:eastAsia="en-GB"/>
          <w14:ligatures w14:val="standardContextual"/>
        </w:rPr>
      </w:pPr>
      <w:hyperlink w:anchor="_Toc149504556" w:history="1">
        <w:r w:rsidR="00D15C4D" w:rsidRPr="002D3D96">
          <w:rPr>
            <w:rStyle w:val="Hyperlink"/>
            <w:rFonts w:cstheme="minorHAnsi"/>
            <w:noProof/>
            <w:lang w:val="en-NZ"/>
          </w:rPr>
          <w:t>4</w:t>
        </w:r>
        <w:r w:rsidR="00D15C4D">
          <w:rPr>
            <w:rFonts w:eastAsiaTheme="minorEastAsia"/>
            <w:bCs w:val="0"/>
            <w:caps w:val="0"/>
            <w:noProof/>
            <w:kern w:val="2"/>
            <w:sz w:val="24"/>
            <w:lang w:val="en-NZ" w:eastAsia="en-GB"/>
            <w14:ligatures w14:val="standardContextual"/>
          </w:rPr>
          <w:tab/>
        </w:r>
        <w:r w:rsidR="00D15C4D" w:rsidRPr="002D3D96">
          <w:rPr>
            <w:rStyle w:val="Hyperlink"/>
            <w:rFonts w:cstheme="minorHAnsi"/>
            <w:noProof/>
            <w:lang w:val="en-NZ"/>
          </w:rPr>
          <w:t>Appendices</w:t>
        </w:r>
        <w:r w:rsidR="00D15C4D">
          <w:rPr>
            <w:noProof/>
            <w:webHidden/>
          </w:rPr>
          <w:tab/>
        </w:r>
        <w:r w:rsidR="00D15C4D">
          <w:rPr>
            <w:noProof/>
            <w:webHidden/>
          </w:rPr>
          <w:fldChar w:fldCharType="begin"/>
        </w:r>
        <w:r w:rsidR="00D15C4D">
          <w:rPr>
            <w:noProof/>
            <w:webHidden/>
          </w:rPr>
          <w:instrText xml:space="preserve"> PAGEREF _Toc149504556 \h </w:instrText>
        </w:r>
        <w:r w:rsidR="00D15C4D">
          <w:rPr>
            <w:noProof/>
            <w:webHidden/>
          </w:rPr>
        </w:r>
        <w:r w:rsidR="00D15C4D">
          <w:rPr>
            <w:noProof/>
            <w:webHidden/>
          </w:rPr>
          <w:fldChar w:fldCharType="separate"/>
        </w:r>
        <w:r w:rsidR="00D15C4D">
          <w:rPr>
            <w:noProof/>
            <w:webHidden/>
          </w:rPr>
          <w:t>16</w:t>
        </w:r>
        <w:r w:rsidR="00D15C4D">
          <w:rPr>
            <w:noProof/>
            <w:webHidden/>
          </w:rPr>
          <w:fldChar w:fldCharType="end"/>
        </w:r>
      </w:hyperlink>
    </w:p>
    <w:p w14:paraId="373ADC25" w14:textId="11BF2B4D"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57" w:history="1">
        <w:r w:rsidR="00D15C4D" w:rsidRPr="002D3D96">
          <w:rPr>
            <w:rStyle w:val="Hyperlink"/>
            <w:noProof/>
            <w:lang w:val="en-NZ"/>
          </w:rPr>
          <w:t>4.1</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Participant Documents</w:t>
        </w:r>
        <w:r w:rsidR="00D15C4D">
          <w:rPr>
            <w:noProof/>
            <w:webHidden/>
          </w:rPr>
          <w:tab/>
        </w:r>
        <w:r w:rsidR="00D15C4D">
          <w:rPr>
            <w:noProof/>
            <w:webHidden/>
          </w:rPr>
          <w:fldChar w:fldCharType="begin"/>
        </w:r>
        <w:r w:rsidR="00D15C4D">
          <w:rPr>
            <w:noProof/>
            <w:webHidden/>
          </w:rPr>
          <w:instrText xml:space="preserve"> PAGEREF _Toc149504557 \h </w:instrText>
        </w:r>
        <w:r w:rsidR="00D15C4D">
          <w:rPr>
            <w:noProof/>
            <w:webHidden/>
          </w:rPr>
        </w:r>
        <w:r w:rsidR="00D15C4D">
          <w:rPr>
            <w:noProof/>
            <w:webHidden/>
          </w:rPr>
          <w:fldChar w:fldCharType="separate"/>
        </w:r>
        <w:r w:rsidR="00D15C4D">
          <w:rPr>
            <w:noProof/>
            <w:webHidden/>
          </w:rPr>
          <w:t>16</w:t>
        </w:r>
        <w:r w:rsidR="00D15C4D">
          <w:rPr>
            <w:noProof/>
            <w:webHidden/>
          </w:rPr>
          <w:fldChar w:fldCharType="end"/>
        </w:r>
      </w:hyperlink>
    </w:p>
    <w:p w14:paraId="681C3734" w14:textId="4E15205A" w:rsidR="00D15C4D" w:rsidRDefault="00000000">
      <w:pPr>
        <w:pStyle w:val="TOC2"/>
        <w:tabs>
          <w:tab w:val="left" w:pos="1100"/>
          <w:tab w:val="right" w:leader="dot" w:pos="9016"/>
        </w:tabs>
        <w:rPr>
          <w:rFonts w:eastAsiaTheme="minorEastAsia"/>
          <w:bCs w:val="0"/>
          <w:noProof/>
          <w:kern w:val="2"/>
          <w:sz w:val="24"/>
          <w:szCs w:val="24"/>
          <w:lang w:val="en-NZ" w:eastAsia="en-GB"/>
          <w14:ligatures w14:val="standardContextual"/>
        </w:rPr>
      </w:pPr>
      <w:hyperlink w:anchor="_Toc149504558" w:history="1">
        <w:r w:rsidR="00D15C4D" w:rsidRPr="002D3D96">
          <w:rPr>
            <w:rStyle w:val="Hyperlink"/>
            <w:noProof/>
            <w:lang w:val="en-NZ"/>
          </w:rPr>
          <w:t>4.2</w:t>
        </w:r>
        <w:r w:rsidR="00D15C4D">
          <w:rPr>
            <w:rFonts w:eastAsiaTheme="minorEastAsia"/>
            <w:bCs w:val="0"/>
            <w:noProof/>
            <w:kern w:val="2"/>
            <w:sz w:val="24"/>
            <w:szCs w:val="24"/>
            <w:lang w:val="en-NZ" w:eastAsia="en-GB"/>
            <w14:ligatures w14:val="standardContextual"/>
          </w:rPr>
          <w:tab/>
        </w:r>
        <w:r w:rsidR="00D15C4D" w:rsidRPr="002D3D96">
          <w:rPr>
            <w:rStyle w:val="Hyperlink"/>
            <w:noProof/>
            <w:lang w:val="en-NZ"/>
          </w:rPr>
          <w:t>Biological Specimens</w:t>
        </w:r>
        <w:r w:rsidR="00D15C4D">
          <w:rPr>
            <w:noProof/>
            <w:webHidden/>
          </w:rPr>
          <w:tab/>
        </w:r>
        <w:r w:rsidR="00D15C4D">
          <w:rPr>
            <w:noProof/>
            <w:webHidden/>
          </w:rPr>
          <w:fldChar w:fldCharType="begin"/>
        </w:r>
        <w:r w:rsidR="00D15C4D">
          <w:rPr>
            <w:noProof/>
            <w:webHidden/>
          </w:rPr>
          <w:instrText xml:space="preserve"> PAGEREF _Toc149504558 \h </w:instrText>
        </w:r>
        <w:r w:rsidR="00D15C4D">
          <w:rPr>
            <w:noProof/>
            <w:webHidden/>
          </w:rPr>
        </w:r>
        <w:r w:rsidR="00D15C4D">
          <w:rPr>
            <w:noProof/>
            <w:webHidden/>
          </w:rPr>
          <w:fldChar w:fldCharType="separate"/>
        </w:r>
        <w:r w:rsidR="00D15C4D">
          <w:rPr>
            <w:noProof/>
            <w:webHidden/>
          </w:rPr>
          <w:t>16</w:t>
        </w:r>
        <w:r w:rsidR="00D15C4D">
          <w:rPr>
            <w:noProof/>
            <w:webHidden/>
          </w:rPr>
          <w:fldChar w:fldCharType="end"/>
        </w:r>
      </w:hyperlink>
    </w:p>
    <w:p w14:paraId="1D7EB5D6" w14:textId="57988CC4" w:rsidR="00D15C4D" w:rsidRDefault="00000000">
      <w:pPr>
        <w:pStyle w:val="TOC1"/>
        <w:tabs>
          <w:tab w:val="left" w:pos="567"/>
          <w:tab w:val="right" w:leader="dot" w:pos="9016"/>
        </w:tabs>
        <w:rPr>
          <w:rFonts w:eastAsiaTheme="minorEastAsia"/>
          <w:bCs w:val="0"/>
          <w:caps w:val="0"/>
          <w:noProof/>
          <w:kern w:val="2"/>
          <w:sz w:val="24"/>
          <w:lang w:val="en-NZ" w:eastAsia="en-GB"/>
          <w14:ligatures w14:val="standardContextual"/>
        </w:rPr>
      </w:pPr>
      <w:hyperlink w:anchor="_Toc149504559" w:history="1">
        <w:r w:rsidR="00D15C4D" w:rsidRPr="002D3D96">
          <w:rPr>
            <w:rStyle w:val="Hyperlink"/>
            <w:rFonts w:cstheme="minorHAnsi"/>
            <w:noProof/>
          </w:rPr>
          <w:t>5</w:t>
        </w:r>
        <w:r w:rsidR="00D15C4D">
          <w:rPr>
            <w:rFonts w:eastAsiaTheme="minorEastAsia"/>
            <w:bCs w:val="0"/>
            <w:caps w:val="0"/>
            <w:noProof/>
            <w:kern w:val="2"/>
            <w:sz w:val="24"/>
            <w:lang w:val="en-NZ" w:eastAsia="en-GB"/>
            <w14:ligatures w14:val="standardContextual"/>
          </w:rPr>
          <w:tab/>
        </w:r>
        <w:r w:rsidR="00D15C4D" w:rsidRPr="002D3D96">
          <w:rPr>
            <w:rStyle w:val="Hyperlink"/>
            <w:rFonts w:cstheme="minorHAnsi"/>
            <w:noProof/>
          </w:rPr>
          <w:t>REFERENCES</w:t>
        </w:r>
        <w:r w:rsidR="00D15C4D">
          <w:rPr>
            <w:noProof/>
            <w:webHidden/>
          </w:rPr>
          <w:tab/>
        </w:r>
        <w:r w:rsidR="00D15C4D">
          <w:rPr>
            <w:noProof/>
            <w:webHidden/>
          </w:rPr>
          <w:fldChar w:fldCharType="begin"/>
        </w:r>
        <w:r w:rsidR="00D15C4D">
          <w:rPr>
            <w:noProof/>
            <w:webHidden/>
          </w:rPr>
          <w:instrText xml:space="preserve"> PAGEREF _Toc149504559 \h </w:instrText>
        </w:r>
        <w:r w:rsidR="00D15C4D">
          <w:rPr>
            <w:noProof/>
            <w:webHidden/>
          </w:rPr>
        </w:r>
        <w:r w:rsidR="00D15C4D">
          <w:rPr>
            <w:noProof/>
            <w:webHidden/>
          </w:rPr>
          <w:fldChar w:fldCharType="separate"/>
        </w:r>
        <w:r w:rsidR="00D15C4D">
          <w:rPr>
            <w:noProof/>
            <w:webHidden/>
          </w:rPr>
          <w:t>17</w:t>
        </w:r>
        <w:r w:rsidR="00D15C4D">
          <w:rPr>
            <w:noProof/>
            <w:webHidden/>
          </w:rPr>
          <w:fldChar w:fldCharType="end"/>
        </w:r>
      </w:hyperlink>
    </w:p>
    <w:p w14:paraId="016850AD" w14:textId="77777777" w:rsidR="00BA1133" w:rsidRDefault="00EF0612" w:rsidP="00E25349">
      <w:pPr>
        <w:pStyle w:val="Heading1"/>
        <w:numPr>
          <w:ilvl w:val="0"/>
          <w:numId w:val="0"/>
        </w:numPr>
        <w:ind w:left="431" w:hanging="431"/>
        <w:rPr>
          <w:b w:val="0"/>
          <w:caps w:val="0"/>
          <w:lang w:val="en-NZ"/>
        </w:rPr>
      </w:pPr>
      <w:r w:rsidRPr="002B21F8">
        <w:rPr>
          <w:lang w:val="en-NZ"/>
        </w:rPr>
        <w:fldChar w:fldCharType="end"/>
      </w:r>
      <w:bookmarkStart w:id="3" w:name="_Toc441520800"/>
      <w:bookmarkStart w:id="4" w:name="_Toc441521016"/>
      <w:r w:rsidR="00BA1133">
        <w:rPr>
          <w:lang w:val="en-NZ"/>
        </w:rPr>
        <w:br w:type="page"/>
      </w:r>
    </w:p>
    <w:p w14:paraId="19EB9B6C" w14:textId="77777777" w:rsidR="002B21F8" w:rsidRPr="00932D68" w:rsidRDefault="002B21F8" w:rsidP="002B21F8">
      <w:pPr>
        <w:pStyle w:val="Heading1"/>
        <w:rPr>
          <w:rFonts w:asciiTheme="minorHAnsi" w:hAnsiTheme="minorHAnsi" w:cstheme="minorHAnsi"/>
          <w:lang w:val="en-NZ"/>
        </w:rPr>
      </w:pPr>
      <w:bookmarkStart w:id="5" w:name="_Toc149504520"/>
      <w:r w:rsidRPr="00932D68">
        <w:rPr>
          <w:rFonts w:asciiTheme="minorHAnsi" w:hAnsiTheme="minorHAnsi" w:cstheme="minorHAnsi"/>
        </w:rPr>
        <w:lastRenderedPageBreak/>
        <w:t>Introduction</w:t>
      </w:r>
      <w:bookmarkEnd w:id="3"/>
      <w:bookmarkEnd w:id="4"/>
      <w:bookmarkEnd w:id="5"/>
    </w:p>
    <w:p w14:paraId="7EB635E7" w14:textId="77777777" w:rsidR="00932D68" w:rsidRDefault="005D5A57" w:rsidP="00C14EC2">
      <w:pPr>
        <w:pStyle w:val="Heading2"/>
      </w:pPr>
      <w:bookmarkStart w:id="6" w:name="_Toc149504521"/>
      <w:r w:rsidRPr="00BA1133">
        <w:t>Backgr</w:t>
      </w:r>
      <w:r w:rsidR="00A345E1" w:rsidRPr="00BA1133">
        <w:t>ound and Rationale</w:t>
      </w:r>
      <w:bookmarkEnd w:id="0"/>
      <w:bookmarkEnd w:id="1"/>
      <w:bookmarkEnd w:id="2"/>
      <w:bookmarkEnd w:id="6"/>
    </w:p>
    <w:p w14:paraId="1B7F58D7" w14:textId="77777777" w:rsidR="001F2DB1" w:rsidRDefault="001F2DB1" w:rsidP="001F2DB1">
      <w:pPr>
        <w:spacing w:line="276" w:lineRule="auto"/>
        <w:rPr>
          <w:rFonts w:cstheme="minorHAnsi"/>
        </w:rPr>
      </w:pPr>
      <w:r>
        <w:rPr>
          <w:rFonts w:cstheme="minorHAnsi"/>
        </w:rPr>
        <w:t xml:space="preserve">There is significant potential for improvement in health outcomes for nutrition-related conditions. These conditions, chiefly diabetes and obesity, are increasing in prevalence nationally and globally </w:t>
      </w:r>
      <w:r>
        <w:rPr>
          <w:rFonts w:cstheme="minorHAnsi"/>
        </w:rPr>
        <w:fldChar w:fldCharType="begin"/>
      </w:r>
      <w:r w:rsidR="007272B1">
        <w:rPr>
          <w:rFonts w:cstheme="minorHAnsi"/>
        </w:rPr>
        <w:instrText xml:space="preserve"> ADDIN ZOTERO_ITEM CSL_CITATION {"citationID":"cgpo919u","properties":{"formattedCitation":"(3,4)","plainCitation":"(3,4)","noteIndex":0},"citationItems":[{"id":2043,"uris":["http://zotero.org/users/5898490/items/2SKYK67X"],"itemData":{"id":2043,"type":"webpage","abstract":"The Annual Data Explorer presents results from the 2021/22 New Zealand Health Survey, with comparisons to earlier surveys where possible. Results are available by gender, age group, ethnic group, neighbourhood deprivation and disability status.","container-title":"Ministry of Health NZ","language":"en","title":"Annual Update of Key Results 2021/22: New Zealand Health Survey","title-short":"Annual Update of Key Results 2021/22","URL":"https://www.health.govt.nz/publication/annual-update-key-results-2021-22-new-zealand-health-survey","author":[{"literal":"Ministry of Health, New Zealand"}],"accessed":{"date-parts":[["2022",12,8]]},"issued":{"date-parts":[["2022"]]},"citation-key":"ministryofhealthnewzealandAnnualUpdateKey2022"}},{"id":3089,"uris":["http://zotero.org/users/5898490/items/IENUQFIY"],"itemData":{"id":3089,"type":"article-journal","container-title":"Cell Metabolism","DOI":"10.1016/j.cmet.2023.02.003","ISSN":"1550-4131","issue":"3","journalAbbreviation":"Cell Metabolism","language":"English","note":"publisher: Elsevier\nPMID: 36889281","page":"414-428.e3","source":"www.cell.com","title":"The global burden of metabolic disease: Data from 2000 to 2019","title-short":"The global burden of metabolic disease","volume":"35","author":[{"family":"Chew","given":"Nicholas W. S."},{"family":"Ng","given":"Cheng Han"},{"family":"Tan","given":"Darren Jun Hao"},{"family":"Kong","given":"Gwyneth"},{"family":"Lin","given":"Chaoxing"},{"family":"Chin","given":"Yip Han"},{"family":"Lim","given":"Wen Hui"},{"family":"Huang","given":"Daniel Q."},{"family":"Quek","given":"Jingxuan"},{"family":"Fu","given":"Clarissa Elysia"},{"family":"Xiao","given":"Jieling"},{"family":"Syn","given":"Nicholas"},{"family":"Foo","given":"Roger"},{"family":"Khoo","given":"Chin Meng"},{"family":"Wang","given":"Jiong-Wei"},{"family":"Dimitriadis","given":"Georgios K."},{"family":"Young","given":"Dan Yock"},{"family":"Siddiqui","given":"Mohammad Shadab"},{"family":"Lam","given":"Carolyn S. P."},{"family":"Wang","given":"Yibin"},{"family":"Figtree","given":"Gemma A."},{"family":"Chan","given":"Mark Y."},{"family":"Cummings","given":"David E."},{"family":"Noureddin","given":"Mazen"},{"family":"Wong","given":"Vincent Wai-Sun"},{"family":"Ma","given":"Ronald Ching Wan"},{"family":"Mantzoros","given":"Christos S."},{"family":"Sanyal","given":"Arun"},{"family":"Muthiah","given":"Mark Dhinesh"}],"issued":{"date-parts":[["2023",3,7]]},"citation-key":"chewGlobalBurdenMetabolic2023"}}],"schema":"https://github.com/citation-style-language/schema/raw/master/csl-citation.json"} </w:instrText>
      </w:r>
      <w:r>
        <w:rPr>
          <w:rFonts w:cstheme="minorHAnsi"/>
        </w:rPr>
        <w:fldChar w:fldCharType="separate"/>
      </w:r>
      <w:r w:rsidR="007272B1">
        <w:rPr>
          <w:rFonts w:cstheme="minorHAnsi"/>
          <w:noProof/>
        </w:rPr>
        <w:t>(3,4)</w:t>
      </w:r>
      <w:r>
        <w:rPr>
          <w:rFonts w:cstheme="minorHAnsi"/>
        </w:rPr>
        <w:fldChar w:fldCharType="end"/>
      </w:r>
      <w:r>
        <w:rPr>
          <w:rFonts w:cstheme="minorHAnsi"/>
        </w:rPr>
        <w:t>. Developing tools to prevent, identify, and manage these conditions will be important in reducing the</w:t>
      </w:r>
      <w:r w:rsidR="008E3970">
        <w:rPr>
          <w:rFonts w:cstheme="minorHAnsi"/>
        </w:rPr>
        <w:t>ir</w:t>
      </w:r>
      <w:r>
        <w:rPr>
          <w:rFonts w:cstheme="minorHAnsi"/>
        </w:rPr>
        <w:t xml:space="preserve"> burden. </w:t>
      </w:r>
    </w:p>
    <w:p w14:paraId="7F7FDDA9" w14:textId="77777777" w:rsidR="00932D68" w:rsidRPr="00932D68" w:rsidRDefault="00932D68" w:rsidP="001F2DB1">
      <w:pPr>
        <w:spacing w:line="276" w:lineRule="auto"/>
        <w:rPr>
          <w:rFonts w:cstheme="minorHAnsi"/>
        </w:rPr>
      </w:pPr>
      <w:r w:rsidRPr="00932D68">
        <w:rPr>
          <w:rFonts w:cstheme="minorHAnsi"/>
        </w:rPr>
        <w:t>We propose the pilot testing of a novel digital glycaemic management tool. This tool is an iOS application developed by our research team that provides two key functions: (1) nutritional intake recording, and (2) continuous glucose monitoring (CGM) data display. The nutritional intake recording uses both text-based search methods as well as automated image-recognition of food items. The application displays the blood glucose recordings as measured by a continuous glucose monitor, with the data shared wirelessly. The novelty of the application is the linking of glucose data with food intake data in real-time with direct visual feedback to users. Our overall objective is to assess the effect of using the application on a participant’s blood glucose management for people with type 2 diabetes.</w:t>
      </w:r>
      <w:r w:rsidR="004C56E0">
        <w:rPr>
          <w:rFonts w:cstheme="minorHAnsi"/>
        </w:rPr>
        <w:t xml:space="preserve"> This is achieved as the application can blind the user to the glucose readings using an administrative control only accessible to the researchers, allowing comparison of glycaemic management while using the application with only food-tracking enabled, or using the application with food-tracking and glucose-tracking enabled. </w:t>
      </w:r>
      <w:r w:rsidRPr="00932D68">
        <w:rPr>
          <w:rFonts w:cstheme="minorHAnsi"/>
        </w:rPr>
        <w:t xml:space="preserve"> </w:t>
      </w:r>
    </w:p>
    <w:p w14:paraId="67678704" w14:textId="4B692F69" w:rsidR="00932D68" w:rsidRPr="001F2DB1" w:rsidRDefault="00932D68" w:rsidP="001F2DB1">
      <w:pPr>
        <w:spacing w:line="276" w:lineRule="auto"/>
        <w:rPr>
          <w:rFonts w:cstheme="minorHAnsi"/>
        </w:rPr>
      </w:pPr>
      <w:r w:rsidRPr="00932D68">
        <w:rPr>
          <w:rFonts w:cstheme="minorHAnsi"/>
        </w:rPr>
        <w:t xml:space="preserve">Post-prandial glycaemic responses (PPGR) are the blood glucose changes following a meal </w:t>
      </w:r>
      <w:r w:rsidRPr="00932D68">
        <w:rPr>
          <w:rFonts w:cstheme="minorHAnsi"/>
        </w:rPr>
        <w:fldChar w:fldCharType="begin"/>
      </w:r>
      <w:r w:rsidR="00027667">
        <w:rPr>
          <w:rFonts w:cstheme="minorHAnsi"/>
        </w:rPr>
        <w:instrText xml:space="preserve"> ADDIN ZOTERO_ITEM CSL_CITATION {"citationID":"kBd47xac","properties":{"formattedCitation":"(5)","plainCitation":"(5)","noteIndex":0},"citationItems":[{"id":"E6ctEOCX/GWNfdSzw","uris":["http://zotero.org/users/5898490/items/9XDGAY7Z"],"itemData":{"id":1979,"type":"article-journal","abstract":"Postprandial glucose level is an independent risk factor for cardiovascular disease that exerts effects greater than glucose levels at fasting state, whereas increase in serum triglyceride level, under both fasting and postprandial conditions, contributes to the development of arteriosclerosis. Insulin resistance is a prevailing cause of abnormalities in postabsorptive excursion of blood glucose and postprandial lipid profile. Excess fat deposition renders a vicious cycle of hyperglycemia and hypertriglyceridemia in the postprandial state, and both of which are contributors to atherosclerotic change of vessels especially in patients with type 2 diabetes mellitus. Several therapeutic approaches for ameliorating each of these abnormalities have been attempted, including various antidiabetic agents or new compounds targeting lipid metabolism.","container-title":"Journal of Biomedical Research","DOI":"10.7555/JBR.31.20160164","ISSN":"1674-8301","issue":"1","journalAbbreviation":"J Biomed Res","note":"PMID: 29089472\nPMCID: PMC6352876","page":"1-16","source":"PubMed Central","title":"Postprandial hyperglycemia and postprandial hypertriglyceridemia in type 2 diabetes","volume":"33","author":[{"family":"Hiyoshi","given":"Toru"},{"family":"Fujiwara","given":"Mutsunori"},{"family":"Yao","given":"Zemin"}],"issued":{"date-parts":[["2019"]]},"citation-key":"hiyoshiPostprandialHyperglycemiaPostprandial2019"}}],"schema":"https://github.com/citation-style-language/schema/raw/master/csl-citation.json"} </w:instrText>
      </w:r>
      <w:r w:rsidRPr="00932D68">
        <w:rPr>
          <w:rFonts w:cstheme="minorHAnsi"/>
        </w:rPr>
        <w:fldChar w:fldCharType="separate"/>
      </w:r>
      <w:r w:rsidR="007272B1">
        <w:rPr>
          <w:rFonts w:cstheme="minorHAnsi"/>
          <w:noProof/>
        </w:rPr>
        <w:t>(5)</w:t>
      </w:r>
      <w:r w:rsidRPr="00932D68">
        <w:rPr>
          <w:rFonts w:cstheme="minorHAnsi"/>
        </w:rPr>
        <w:fldChar w:fldCharType="end"/>
      </w:r>
      <w:r w:rsidRPr="00932D68">
        <w:rPr>
          <w:rFonts w:cstheme="minorHAnsi"/>
        </w:rPr>
        <w:t>. There is significant inter</w:t>
      </w:r>
      <w:r w:rsidR="006F3F0C">
        <w:rPr>
          <w:rFonts w:cstheme="minorHAnsi"/>
        </w:rPr>
        <w:t xml:space="preserve"> and intra</w:t>
      </w:r>
      <w:r w:rsidRPr="00932D68">
        <w:rPr>
          <w:rFonts w:cstheme="minorHAnsi"/>
        </w:rPr>
        <w:t xml:space="preserve">-individual variation of PPGRs to identical food items </w:t>
      </w:r>
      <w:r w:rsidRPr="00932D68">
        <w:rPr>
          <w:rFonts w:cstheme="minorHAnsi"/>
        </w:rPr>
        <w:fldChar w:fldCharType="begin"/>
      </w:r>
      <w:r w:rsidR="007272B1">
        <w:rPr>
          <w:rFonts w:cstheme="minorHAnsi"/>
        </w:rPr>
        <w:instrText xml:space="preserve"> ADDIN ZOTERO_ITEM CSL_CITATION {"citationID":"8HnOf1Bz","properties":{"formattedCitation":"(6,7)","plainCitation":"(6,7)","noteIndex":0},"citationItems":[{"id":3042,"uris":["http://zotero.org/users/5898490/items/9YL3H8ST"],"itemData":{"id":3042,"type":"article-journal","abstract":"A growing body of research over the last decades has shown that diets based on the low glycaemic index (GI) foods reduce the risk of developing diabetes and improve blood glucose control in people with diabetes. The range of inflexion on the glycaemic response of low GI (LGI) foods is an interesting observation that has not been studied by many. LGI 1 (GI 54 ± 3.3) biscuit was formulated using a basic formulation while the LGI 2 (23.8 ± 3.3) biscuits was a modification of LGI 1 recipe, formulated with the inclusion of functional ingredients. Biscuits were formulated to be iso-caloric (kcal/100 g: 521 ± 12). Each participant consumed identical standard meals for lunch and dinner. Biscuits were consumed as breakfast and mid-afternoon snack. Using a randomized, controlled, crossover study, 13 males [(means ± SD) age: 25.3 ± 1.0 years, BMI 21.6 ± 0.5 kg/m2, fasting blood glucose 4.7 ± 0.1 mmol/L] wore continuous glucose monitoring systems (CGMS™) for 3 days for each test session. The postprandial glycaemic response and insulin response were compared within participants. Total iAUC for breakfast and standard dinner were significantly lower for LGI 2 treatment (p &lt; 0.05) than LGI 1 treatment. Second-meal glucose tolerance was observed at the dinner meal. The overall iAUC insulin response over 180 min was significantly lower for LGI 2 biscuits (p = 0.01). The postprandial glycaemic response of two types of biscuits that fall within the low GI classification (GI 24 and 54) differed with LGI 2 biscuits (GI 24) showing a more suppressed postprandial glycaemic response. Our study shows that even within the low GI range, the GI value matters in influencing postprandial glucose.","container-title":"Nutrition &amp; Diabetes","DOI":"10.1038/s41387-020-0118-5","ISSN":"2044-4052","journalAbbreviation":"Nutr Diabetes","note":"PMID: 32358482\nPMCID: PMC7195487","page":"15","source":"PubMed Central","title":"Postprandial blood glucose response: does the glycaemic index (GI) value matter even in the low GI range?","title-short":"Postprandial blood glucose response","volume":"10","author":[{"family":"Kaur","given":"Bhupinder"},{"family":"Koh","given":"Melvin"},{"family":"Ponnalagu","given":"Shalini"},{"family":"Henry","given":"Christiani Jeyakumar"}],"issued":{"date-parts":[["2020",5,1]]},"citation-key":"kaurPostprandialBloodGlucose2020"}},{"id":2873,"uris":["http://zotero.org/users/5898490/items/78YQIV7Z"],"itemData":{"id":2873,"type":"article-journal","container-title":"Cell","DOI":"10.1016/j.cell.2015.11.001","ISSN":"0092-8674, 1097-4172","issue":"5","journalAbbreviation":"Cell","language":"English","note":"publisher: Elsevier\nPMID: 26590418","page":"1079-1094","source":"www.cell.com","title":"Personalized Nutrition by Prediction of Glycemic Responses","volume":"163","author":[{"family":"Zeevi","given":"David"},{"family":"Korem","given":"Tal"},{"family":"Zmora","given":"Niv"},{"family":"Israeli","given":"David"},{"family":"Rothschild","given":"Daphna"},{"family":"Weinberger","given":"Adina"},{"family":"Ben-Yacov","given":"Orly"},{"family":"Lador","given":"Dar"},{"family":"Avnit-Sagi","given":"Tali"},{"family":"Lotan-Pompan","given":"Maya"},{"family":"Suez","given":"Jotham"},{"family":"Mahdi","given":"Jemal Ali"},{"family":"Matot","given":"Elad"},{"family":"Malka","given":"Gal"},{"family":"Kosower","given":"Noa"},{"family":"Rein","given":"Michal"},{"family":"Zilberman-Schapira","given":"Gili"},{"family":"Dohnalová","given":"Lenka"},{"family":"Pevsner-Fischer","given":"Meirav"},{"family":"Bikovsky","given":"Rony"},{"family":"Halpern","given":"Zamir"},{"family":"Elinav","given":"Eran"},{"family":"Segal","given":"Eran"}],"issued":{"date-parts":[["2015",11,19]]},"citation-key":"zeeviPersonalizedNutritionPrediction2015"}}],"schema":"https://github.com/citation-style-language/schema/raw/master/csl-citation.json"} </w:instrText>
      </w:r>
      <w:r w:rsidRPr="00932D68">
        <w:rPr>
          <w:rFonts w:cstheme="minorHAnsi"/>
        </w:rPr>
        <w:fldChar w:fldCharType="separate"/>
      </w:r>
      <w:r w:rsidR="007272B1">
        <w:rPr>
          <w:rFonts w:cstheme="minorHAnsi"/>
          <w:noProof/>
        </w:rPr>
        <w:t>(6,7)</w:t>
      </w:r>
      <w:r w:rsidRPr="00932D68">
        <w:rPr>
          <w:rFonts w:cstheme="minorHAnsi"/>
        </w:rPr>
        <w:fldChar w:fldCharType="end"/>
      </w:r>
      <w:r w:rsidRPr="00932D68">
        <w:rPr>
          <w:rFonts w:cstheme="minorHAnsi"/>
        </w:rPr>
        <w:t xml:space="preserve">. Glycaemic responses to an individual food are predicted by metrics such as the glycaemic index, but the reported glycaemic index is specific to a food item and not the individual. Glycaemic index is altered considerably with combinations of macronutrients and when food is prepared in a different manner.  Our application aims to inform individuals of their unique post-prandial glycaemic response to </w:t>
      </w:r>
      <w:r w:rsidR="00D343E9">
        <w:rPr>
          <w:rFonts w:cstheme="minorHAnsi"/>
        </w:rPr>
        <w:t>a</w:t>
      </w:r>
      <w:r w:rsidR="00D343E9" w:rsidRPr="00932D68">
        <w:rPr>
          <w:rFonts w:cstheme="minorHAnsi"/>
        </w:rPr>
        <w:t xml:space="preserve"> </w:t>
      </w:r>
      <w:r w:rsidRPr="00932D68">
        <w:rPr>
          <w:rFonts w:cstheme="minorHAnsi"/>
        </w:rPr>
        <w:t xml:space="preserve">food item or habitual meal they consume in a free-living setting. This is possible through the application as it allows nutritional intake tracking and displays continuous glucose monitoring data simultaneously. The primary objective </w:t>
      </w:r>
      <w:r w:rsidR="001F2DB1">
        <w:rPr>
          <w:rFonts w:cstheme="minorHAnsi"/>
        </w:rPr>
        <w:t xml:space="preserve">and research question </w:t>
      </w:r>
      <w:r w:rsidRPr="00932D68">
        <w:rPr>
          <w:rFonts w:cstheme="minorHAnsi"/>
        </w:rPr>
        <w:t>of this pilot study is to examine if users who can visualise their PPGRs using the application, will then adapt their diet to reduce foods with post-prandial hyperglycaemia and therefore improve their glycaemic management</w:t>
      </w:r>
      <w:r w:rsidR="001F2DB1">
        <w:rPr>
          <w:rFonts w:cstheme="minorHAnsi"/>
        </w:rPr>
        <w:t xml:space="preserve"> compared to their baseline. </w:t>
      </w:r>
    </w:p>
    <w:p w14:paraId="09B39094" w14:textId="77777777" w:rsidR="004B6C68" w:rsidRDefault="004B6C68" w:rsidP="00C14EC2">
      <w:pPr>
        <w:rPr>
          <w:i/>
        </w:rPr>
      </w:pPr>
    </w:p>
    <w:p w14:paraId="48BE355D" w14:textId="77777777" w:rsidR="00A345E1" w:rsidRDefault="00A345E1" w:rsidP="00063169">
      <w:pPr>
        <w:pStyle w:val="Heading2"/>
      </w:pPr>
      <w:bookmarkStart w:id="7" w:name="_Toc441512374"/>
      <w:bookmarkStart w:id="8" w:name="_Toc441520802"/>
      <w:bookmarkStart w:id="9" w:name="_Toc441521018"/>
      <w:bookmarkStart w:id="10" w:name="_Toc149504522"/>
      <w:r w:rsidRPr="00BA1133">
        <w:t xml:space="preserve">Objectives </w:t>
      </w:r>
      <w:r w:rsidRPr="00063169">
        <w:t>and</w:t>
      </w:r>
      <w:r w:rsidRPr="00BA1133">
        <w:t xml:space="preserve"> Hypotheses</w:t>
      </w:r>
      <w:bookmarkEnd w:id="7"/>
      <w:bookmarkEnd w:id="8"/>
      <w:bookmarkEnd w:id="9"/>
      <w:bookmarkEnd w:id="10"/>
    </w:p>
    <w:p w14:paraId="44120215" w14:textId="77777777" w:rsidR="004B6C68" w:rsidRDefault="00743E5D" w:rsidP="004C56E0">
      <w:pPr>
        <w:spacing w:line="276" w:lineRule="auto"/>
      </w:pPr>
      <w:r>
        <w:t>The objectives of the</w:t>
      </w:r>
      <w:r w:rsidR="00C14EC2">
        <w:t xml:space="preserve"> </w:t>
      </w:r>
      <w:r w:rsidR="00F12EB2">
        <w:t>study are to:</w:t>
      </w:r>
    </w:p>
    <w:p w14:paraId="01E6BC8B" w14:textId="39A9FD88" w:rsidR="004C56E0" w:rsidRDefault="004C56E0" w:rsidP="004C56E0">
      <w:pPr>
        <w:pStyle w:val="ListParagraph"/>
        <w:numPr>
          <w:ilvl w:val="0"/>
          <w:numId w:val="26"/>
        </w:numPr>
        <w:spacing w:line="276" w:lineRule="auto"/>
      </w:pPr>
      <w:r>
        <w:t xml:space="preserve">Compare </w:t>
      </w:r>
      <w:r w:rsidR="607BE720">
        <w:t xml:space="preserve">both </w:t>
      </w:r>
      <w:r>
        <w:t>the time-in-range</w:t>
      </w:r>
      <w:r w:rsidR="00236C19">
        <w:t xml:space="preserve"> and </w:t>
      </w:r>
      <w:r w:rsidR="389304B8">
        <w:t xml:space="preserve">the </w:t>
      </w:r>
      <w:r w:rsidR="2E4EF6E7">
        <w:t xml:space="preserve">post-prandial </w:t>
      </w:r>
      <w:r w:rsidR="389304B8">
        <w:t>incremental area under curve</w:t>
      </w:r>
      <w:r>
        <w:t xml:space="preserve"> </w:t>
      </w:r>
      <w:r w:rsidR="35003A02">
        <w:t xml:space="preserve">for blood glucose </w:t>
      </w:r>
      <w:r>
        <w:t xml:space="preserve">over ten days using a food tracking-only application and during use of the food and glucose-tracking application in individuals with type 2 diabetes. </w:t>
      </w:r>
    </w:p>
    <w:p w14:paraId="0BDBDCF7" w14:textId="318F1A4D" w:rsidR="004C56E0" w:rsidRDefault="004C56E0" w:rsidP="004C56E0">
      <w:pPr>
        <w:pStyle w:val="ListParagraph"/>
        <w:numPr>
          <w:ilvl w:val="1"/>
          <w:numId w:val="26"/>
        </w:numPr>
        <w:spacing w:line="276" w:lineRule="auto"/>
      </w:pPr>
      <w:r>
        <w:t xml:space="preserve">Time-in-range is the time during a </w:t>
      </w:r>
      <w:r w:rsidR="469BF7B4">
        <w:t>24-hour</w:t>
      </w:r>
      <w:r>
        <w:t xml:space="preserve"> period spent with blood glucose between 3.9 and 10mmol/L, expressed as a percentage </w:t>
      </w:r>
      <w:r>
        <w:fldChar w:fldCharType="begin"/>
      </w:r>
      <w:r>
        <w:instrText xml:space="preserve"> ADDIN ZOTERO_ITEM CSL_CITATION {"citationID":"qXeOWRo0","properties":{"formattedCitation":"(8)","plainCitation":"(8)","noteIndex":0},"citationItems":[{"id":3050,"uris":["http://zotero.org/users/5898490/items/IY5JANGQ"],"itemData":{"id":3050,"type":"webpage","title":"Glycaemic targets in the treatment of diabetes - New Zealand Society for the Study of Diabetes","URL":"https://t2dm.nzssd.org.nz/Section-114-Glycaemic-targets-in-the-treatment-of-diabetes","accessed":{"date-parts":[["2023",7,24]]},"citation-key":"GlycaemicTargetsTreatment"}}],"schema":"https://github.com/citation-style-language/schema/raw/master/csl-citation.json"} </w:instrText>
      </w:r>
      <w:r>
        <w:fldChar w:fldCharType="separate"/>
      </w:r>
      <w:r w:rsidR="007272B1">
        <w:t>(8)</w:t>
      </w:r>
      <w:r>
        <w:fldChar w:fldCharType="end"/>
      </w:r>
      <w:r>
        <w:t xml:space="preserve">. </w:t>
      </w:r>
    </w:p>
    <w:p w14:paraId="25077D10" w14:textId="7E641141" w:rsidR="003E5EED" w:rsidRDefault="003E5EED" w:rsidP="216B5E3F">
      <w:pPr>
        <w:pStyle w:val="ListParagraph"/>
        <w:numPr>
          <w:ilvl w:val="1"/>
          <w:numId w:val="26"/>
        </w:numPr>
        <w:spacing w:line="276" w:lineRule="auto"/>
        <w:rPr>
          <w:rFonts w:ascii="Calibri" w:hAnsi="Calibri"/>
        </w:rPr>
      </w:pPr>
      <w:r>
        <w:t>T</w:t>
      </w:r>
      <w:r w:rsidR="3953E802">
        <w:t xml:space="preserve">he </w:t>
      </w:r>
      <w:r w:rsidR="38D06F36">
        <w:t xml:space="preserve">post-prandial </w:t>
      </w:r>
      <w:r w:rsidR="3953E802">
        <w:t>incremental area under curve (</w:t>
      </w:r>
      <w:proofErr w:type="spellStart"/>
      <w:r w:rsidR="3953E802">
        <w:t>iAUC</w:t>
      </w:r>
      <w:proofErr w:type="spellEnd"/>
      <w:r w:rsidR="3953E802">
        <w:t>) is the calculated area under the blood glucose curve</w:t>
      </w:r>
      <w:r w:rsidR="148E6188">
        <w:t xml:space="preserve"> of a graph</w:t>
      </w:r>
      <w:r w:rsidR="08342FB6">
        <w:t xml:space="preserve"> in the three hours from a the time a meal was recorded</w:t>
      </w:r>
      <w:r w:rsidR="148E6188">
        <w:t xml:space="preserve"> with blood glucose on the y-axis and time on the x-axis</w:t>
      </w:r>
      <w:r w:rsidR="3953E802">
        <w:t xml:space="preserve">, with the baseline </w:t>
      </w:r>
      <w:r w:rsidR="3953E802">
        <w:lastRenderedPageBreak/>
        <w:t>for the curve set at the pre-prandial blood glucose level.</w:t>
      </w:r>
      <w:r w:rsidR="45AC4BFE">
        <w:t xml:space="preserve"> </w:t>
      </w:r>
      <w:r w:rsidR="00F12362">
        <w:t>A</w:t>
      </w:r>
      <w:r w:rsidR="45AC4BFE">
        <w:t xml:space="preserve"> graphic example of an incremental under curve is shown in Figure (1). </w:t>
      </w:r>
    </w:p>
    <w:p w14:paraId="25B58A41" w14:textId="2BF0449F" w:rsidR="00772E1F" w:rsidRDefault="00772E1F" w:rsidP="00772E1F">
      <w:pPr>
        <w:pStyle w:val="ListParagraph"/>
        <w:numPr>
          <w:ilvl w:val="0"/>
          <w:numId w:val="26"/>
        </w:numPr>
        <w:spacing w:line="276" w:lineRule="auto"/>
      </w:pPr>
      <w:r>
        <w:t>Assess the inter-individual and intra-individual variability of post-prandial glyc</w:t>
      </w:r>
      <w:r w:rsidR="00C61267">
        <w:t>a</w:t>
      </w:r>
      <w:r>
        <w:t>emic responses to identical food items</w:t>
      </w:r>
      <w:r w:rsidR="00954D03">
        <w:t xml:space="preserve">. </w:t>
      </w:r>
    </w:p>
    <w:p w14:paraId="76E3BEAA" w14:textId="2D054278" w:rsidR="0940F790" w:rsidRDefault="0940F790" w:rsidP="49379E54">
      <w:pPr>
        <w:pStyle w:val="ListParagraph"/>
        <w:numPr>
          <w:ilvl w:val="1"/>
          <w:numId w:val="26"/>
        </w:numPr>
        <w:spacing w:line="276" w:lineRule="auto"/>
      </w:pPr>
      <w:r>
        <w:t xml:space="preserve">To assess the intra and inter-individual variability in glycaemic response participants will be given two different breakfast cereal foods, </w:t>
      </w:r>
      <w:r w:rsidR="4720FDA6">
        <w:t xml:space="preserve">with each cereal </w:t>
      </w:r>
      <w:r>
        <w:t>to be consumed three times on different days during the overall study.  The order of that the foods will be consumed will be randomised.  The two food items are: a cup of Kellogg’s cornflakes and a cup of Kellogg’s All-Bran cereal and individual dairy milk packages to use with each. One food item will be consumed at visit 1 while fasted, and the other</w:t>
      </w:r>
      <w:r w:rsidR="58AE12AF">
        <w:t>s</w:t>
      </w:r>
      <w:r>
        <w:t xml:space="preserve"> will be provided for consumption </w:t>
      </w:r>
      <w:r w:rsidR="36DE0947">
        <w:t>in a free-living setting</w:t>
      </w:r>
      <w:r>
        <w:t xml:space="preserve"> after an overnight fast. The food item at the visit will be consumed in 12 to 15 minutes, timed by the researcher. The participant will be instructed to consume </w:t>
      </w:r>
      <w:r w:rsidR="44B0C223">
        <w:t xml:space="preserve">the </w:t>
      </w:r>
      <w:r>
        <w:t>food item</w:t>
      </w:r>
      <w:r w:rsidR="59279015">
        <w:t>s in the free-living</w:t>
      </w:r>
      <w:r>
        <w:t xml:space="preserve"> </w:t>
      </w:r>
      <w:r w:rsidR="4C80F889">
        <w:t xml:space="preserve">setting </w:t>
      </w:r>
      <w:r>
        <w:t>in 12 to 15 minutes as well. Participants will be instructed to not consume any other food or drink except water with the cereal and milk or for three hours after.</w:t>
      </w:r>
    </w:p>
    <w:p w14:paraId="40859C1C" w14:textId="77777777" w:rsidR="004C56E0" w:rsidRDefault="004C56E0" w:rsidP="004C56E0">
      <w:pPr>
        <w:pStyle w:val="ListParagraph"/>
        <w:numPr>
          <w:ilvl w:val="0"/>
          <w:numId w:val="26"/>
        </w:numPr>
        <w:spacing w:line="276" w:lineRule="auto"/>
      </w:pPr>
      <w:r>
        <w:t>Assess the accuracy of the energy intake estimates from the application:</w:t>
      </w:r>
    </w:p>
    <w:p w14:paraId="60C2AF78" w14:textId="77777777" w:rsidR="004C56E0" w:rsidRDefault="004C56E0" w:rsidP="004C56E0">
      <w:pPr>
        <w:pStyle w:val="ListParagraph"/>
        <w:numPr>
          <w:ilvl w:val="1"/>
          <w:numId w:val="26"/>
        </w:numPr>
        <w:spacing w:line="276" w:lineRule="auto"/>
      </w:pPr>
      <w:r>
        <w:t xml:space="preserve">The </w:t>
      </w:r>
      <w:r w:rsidR="00543C7D">
        <w:t xml:space="preserve">phone </w:t>
      </w:r>
      <w:r>
        <w:t xml:space="preserve">application provides an estimate of total energy intake by summing the energy intake of each recorded item. Total energy expenditure (TEE) can be estimated by measuring its components; resting energy expenditure (REE), activity-related energy expenditure (AEE), and diet induced thermogenesis (DIT). </w:t>
      </w:r>
      <w:r w:rsidR="003E5EED">
        <w:t>Resting energy expenditure</w:t>
      </w:r>
      <w:r>
        <w:t xml:space="preserve"> is be measured by indirect calorimetry; activity-related energy expenditure is measured by accelerometery; and diet-induced thermogenesis is assumed to be 10% of total energy expenditure. </w:t>
      </w:r>
    </w:p>
    <w:p w14:paraId="27D26B82" w14:textId="77777777" w:rsidR="004C56E0" w:rsidRDefault="004C56E0" w:rsidP="004C56E0">
      <w:pPr>
        <w:pStyle w:val="ListParagraph"/>
        <w:numPr>
          <w:ilvl w:val="0"/>
          <w:numId w:val="26"/>
        </w:numPr>
        <w:spacing w:line="276" w:lineRule="auto"/>
      </w:pPr>
      <w:r>
        <w:t>Explore the user experience of the application:</w:t>
      </w:r>
    </w:p>
    <w:p w14:paraId="4E7316B1" w14:textId="77777777" w:rsidR="004C56E0" w:rsidRPr="004C56E0" w:rsidRDefault="004C56E0" w:rsidP="004C56E0">
      <w:pPr>
        <w:pStyle w:val="ListParagraph"/>
        <w:numPr>
          <w:ilvl w:val="1"/>
          <w:numId w:val="26"/>
        </w:numPr>
        <w:spacing w:line="276" w:lineRule="auto"/>
      </w:pPr>
      <w:r>
        <w:t xml:space="preserve">Participants will complete a questionnaire at the end of each period of data recording to explore the user experience of the application and identify areas for improvement. </w:t>
      </w:r>
    </w:p>
    <w:p w14:paraId="614D3816" w14:textId="792C97E2" w:rsidR="49379E54" w:rsidRDefault="19A0CF05" w:rsidP="397AB28E">
      <w:pPr>
        <w:spacing w:line="276" w:lineRule="auto"/>
        <w:rPr>
          <w:rFonts w:ascii="Calibri" w:eastAsia="Times New Roman" w:hAnsi="Calibri" w:cs="Times New Roman"/>
        </w:rPr>
      </w:pPr>
      <w:r>
        <w:rPr>
          <w:noProof/>
        </w:rPr>
        <w:drawing>
          <wp:inline distT="0" distB="0" distL="0" distR="0" wp14:anchorId="26700342" wp14:editId="542A36C5">
            <wp:extent cx="3078480" cy="2208530"/>
            <wp:effectExtent l="0" t="0" r="0" b="1270"/>
            <wp:docPr id="1332281193" name="Picture 133228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62997"/>
                    <pic:cNvPicPr/>
                  </pic:nvPicPr>
                  <pic:blipFill>
                    <a:blip r:embed="rId8">
                      <a:extLst>
                        <a:ext uri="{28A0092B-C50C-407E-A947-70E740481C1C}">
                          <a14:useLocalDpi xmlns:a14="http://schemas.microsoft.com/office/drawing/2010/main" val="0"/>
                        </a:ext>
                      </a:extLst>
                    </a:blip>
                    <a:stretch>
                      <a:fillRect/>
                    </a:stretch>
                  </pic:blipFill>
                  <pic:spPr>
                    <a:xfrm>
                      <a:off x="0" y="0"/>
                      <a:ext cx="3078480" cy="2208530"/>
                    </a:xfrm>
                    <a:prstGeom prst="rect">
                      <a:avLst/>
                    </a:prstGeom>
                  </pic:spPr>
                </pic:pic>
              </a:graphicData>
            </a:graphic>
          </wp:inline>
        </w:drawing>
      </w:r>
    </w:p>
    <w:p w14:paraId="2397029B" w14:textId="0C0CCAF1" w:rsidR="00027667" w:rsidRDefault="1B61FE28" w:rsidP="49379E54">
      <w:pPr>
        <w:spacing w:line="276" w:lineRule="auto"/>
        <w:rPr>
          <w:rFonts w:ascii="Calibri" w:eastAsia="Times New Roman" w:hAnsi="Calibri" w:cs="Times New Roman"/>
        </w:rPr>
      </w:pPr>
      <w:r w:rsidRPr="49379E54">
        <w:rPr>
          <w:rFonts w:ascii="Calibri" w:eastAsia="Times New Roman" w:hAnsi="Calibri" w:cs="Times New Roman"/>
          <w:b/>
          <w:bCs/>
        </w:rPr>
        <w:t xml:space="preserve">Figure (1): </w:t>
      </w:r>
      <w:r w:rsidRPr="49379E54">
        <w:rPr>
          <w:rFonts w:ascii="Calibri" w:eastAsia="Times New Roman" w:hAnsi="Calibri" w:cs="Times New Roman"/>
        </w:rPr>
        <w:t>graphical example of incremental area under curve (</w:t>
      </w:r>
      <w:proofErr w:type="spellStart"/>
      <w:r w:rsidRPr="49379E54">
        <w:rPr>
          <w:rFonts w:ascii="Calibri" w:eastAsia="Times New Roman" w:hAnsi="Calibri" w:cs="Times New Roman"/>
        </w:rPr>
        <w:t>iAUC</w:t>
      </w:r>
      <w:proofErr w:type="spellEnd"/>
      <w:r w:rsidRPr="49379E54">
        <w:rPr>
          <w:rFonts w:ascii="Calibri" w:eastAsia="Times New Roman" w:hAnsi="Calibri" w:cs="Times New Roman"/>
        </w:rPr>
        <w:t xml:space="preserve">), taken from </w:t>
      </w:r>
      <w:proofErr w:type="spellStart"/>
      <w:r w:rsidRPr="49379E54">
        <w:rPr>
          <w:rFonts w:ascii="Calibri" w:eastAsia="Times New Roman" w:hAnsi="Calibri" w:cs="Times New Roman"/>
        </w:rPr>
        <w:t>Brouns</w:t>
      </w:r>
      <w:proofErr w:type="spellEnd"/>
      <w:r w:rsidRPr="49379E54">
        <w:rPr>
          <w:rFonts w:ascii="Calibri" w:eastAsia="Times New Roman" w:hAnsi="Calibri" w:cs="Times New Roman"/>
        </w:rPr>
        <w:t xml:space="preserve"> et al 2005</w:t>
      </w:r>
      <w:r w:rsidR="00027667">
        <w:rPr>
          <w:rFonts w:ascii="Calibri" w:eastAsia="Times New Roman" w:hAnsi="Calibri" w:cs="Times New Roman"/>
        </w:rPr>
        <w:t xml:space="preserve">. The incremental area under the curve </w:t>
      </w:r>
      <w:r w:rsidR="32C2A9D0">
        <w:rPr>
          <w:rFonts w:ascii="Calibri" w:eastAsia="Times New Roman" w:hAnsi="Calibri" w:cs="Times New Roman"/>
        </w:rPr>
        <w:t>is</w:t>
      </w:r>
      <w:r w:rsidR="00CC0C00">
        <w:rPr>
          <w:rFonts w:ascii="Calibri" w:eastAsia="Times New Roman" w:hAnsi="Calibri" w:cs="Times New Roman"/>
        </w:rPr>
        <w:t xml:space="preserve"> the </w:t>
      </w:r>
      <w:r w:rsidR="00F12362">
        <w:rPr>
          <w:rFonts w:ascii="Calibri" w:eastAsia="Times New Roman" w:hAnsi="Calibri" w:cs="Times New Roman"/>
        </w:rPr>
        <w:t>sum of the positive areas within 3 hours of the recorded meal; i.e., areas 1, 2, 3, 4, and 7</w:t>
      </w:r>
      <w:r w:rsidR="00392DAA">
        <w:rPr>
          <w:rFonts w:ascii="Calibri" w:eastAsia="Times New Roman" w:hAnsi="Calibri" w:cs="Times New Roman"/>
        </w:rPr>
        <w:t xml:space="preserve"> </w:t>
      </w:r>
      <w:r w:rsidR="0075569E">
        <w:rPr>
          <w:rFonts w:ascii="Calibri" w:eastAsia="Times New Roman" w:hAnsi="Calibri" w:cs="Times New Roman"/>
        </w:rPr>
        <w:fldChar w:fldCharType="begin"/>
      </w:r>
      <w:r w:rsidR="00027667">
        <w:rPr>
          <w:rFonts w:ascii="Calibri" w:eastAsia="Times New Roman" w:hAnsi="Calibri" w:cs="Times New Roman"/>
        </w:rPr>
        <w:instrText xml:space="preserve"> ADDIN ZOTERO_ITEM CSL_CITATION {"citationID":"K5mtgaTe","properties":{"formattedCitation":"(9)","plainCitation":"(9)","noteIndex":0},"citationItems":[{"id":3374,"uris":["http://zotero.org/users/5898490/items/ZVEG6FGI"],"itemData":{"id":3374,"type":"article-journal","abstract":"Abstract\n            The glycaemic index (GI) concept was originally introduced to classify different sources of carbohydrate (CHO)-rich foods, usually having an energy content of &gt;80 % from CHO, to their effect on post-meal glycaemia. It was assumed to apply to foods that primarily deliver available CHO, causing hyperglycaemia. Low-GI foods were classified as being digested and absorbed slowly and high-GI foods as being rapidly digested and absorbed, resulting in different glycaemic responses. Low-GI foods were found to induce benefits on certain risk factors for CVD and diabetes. Accordingly it has been proposed that GI classification of foods and drinks could be useful to help consumers make ‘healthy food choices’ within specific food groups. Classification of foods according to their impact on blood glucose responses requires a standardised way of measuring such responses. The present review discusses the most relevant methodological considerations and highlights specific recommendations regarding number of subjects, sex, subject status, inclusion and exclusion criteria, pre-test conditions, CHO test dose, blood sampling procedures, sampling times, test randomisation and calculation of glycaemic response area under the curve. All together, these technical recommendations will help to implement or reinforce measurement of GI in laboratories and help to ensure quality of results. Since there is current international interest in alternative ways of expressing glycaemic responses to foods, some of these methods are discussed.","container-title":"Nutrition Research Reviews","DOI":"10.1079/NRR2005100","ISSN":"0954-4224, 1475-2700","issue":"1","journalAbbreviation":"Nutr. Res. Rev.","language":"en","page":"145-171","source":"DOI.org (Crossref)","title":"Glycaemic index methodology","volume":"18","author":[{"family":"Brouns","given":"F."},{"family":"Bjorck","given":"I."},{"family":"Frayn","given":"K. N."},{"family":"Gibbs","given":"A. L."},{"family":"Lang","given":"V."},{"family":"Slama","given":"G."},{"family":"Wolever","given":"T. M. S."}],"issued":{"date-parts":[["2005",6]]},"citation-key":"brounsGlycaemicIndexMethodology2005"}}],"schema":"https://github.com/citation-style-language/schema/raw/master/csl-citation.json"} </w:instrText>
      </w:r>
      <w:r w:rsidR="0075569E">
        <w:rPr>
          <w:rFonts w:ascii="Calibri" w:eastAsia="Times New Roman" w:hAnsi="Calibri" w:cs="Times New Roman"/>
        </w:rPr>
        <w:fldChar w:fldCharType="separate"/>
      </w:r>
      <w:r w:rsidR="00027667">
        <w:rPr>
          <w:rFonts w:ascii="Calibri" w:eastAsia="Times New Roman" w:hAnsi="Calibri" w:cs="Times New Roman"/>
          <w:noProof/>
        </w:rPr>
        <w:t>(9)</w:t>
      </w:r>
      <w:r w:rsidR="0075569E">
        <w:rPr>
          <w:rFonts w:ascii="Calibri" w:eastAsia="Times New Roman" w:hAnsi="Calibri" w:cs="Times New Roman"/>
        </w:rPr>
        <w:fldChar w:fldCharType="end"/>
      </w:r>
      <w:r w:rsidRPr="49379E54">
        <w:rPr>
          <w:rFonts w:ascii="Calibri" w:eastAsia="Times New Roman" w:hAnsi="Calibri" w:cs="Times New Roman"/>
        </w:rPr>
        <w:t>.</w:t>
      </w:r>
    </w:p>
    <w:p w14:paraId="3DFD53CB" w14:textId="582C1C9F" w:rsidR="00027667" w:rsidRDefault="00027667" w:rsidP="49379E54">
      <w:pPr>
        <w:spacing w:line="276" w:lineRule="auto"/>
        <w:rPr>
          <w:rFonts w:ascii="Calibri" w:eastAsia="Times New Roman" w:hAnsi="Calibri" w:cs="Times New Roman"/>
        </w:rPr>
      </w:pPr>
    </w:p>
    <w:p w14:paraId="303A748B" w14:textId="77777777" w:rsidR="006E66B6" w:rsidRDefault="006E66B6" w:rsidP="004C56E0">
      <w:pPr>
        <w:spacing w:line="276" w:lineRule="auto"/>
      </w:pPr>
      <w:r w:rsidRPr="005435B3">
        <w:t xml:space="preserve">Primary hypothesis: </w:t>
      </w:r>
    </w:p>
    <w:p w14:paraId="4D95D615" w14:textId="0F1CCD7A" w:rsidR="004C56E0" w:rsidRPr="005435B3" w:rsidRDefault="004C56E0" w:rsidP="49379E54">
      <w:pPr>
        <w:pStyle w:val="ListParagraph"/>
        <w:numPr>
          <w:ilvl w:val="0"/>
          <w:numId w:val="1"/>
        </w:numPr>
        <w:spacing w:line="276" w:lineRule="auto"/>
        <w:rPr>
          <w:rFonts w:ascii="Calibri" w:hAnsi="Calibri"/>
        </w:rPr>
      </w:pPr>
      <w:r>
        <w:lastRenderedPageBreak/>
        <w:t xml:space="preserve">Participants will have increased time-in-range during the ten days using the food and glucose-tracking application compared to the ten days using the food tracking-only application. </w:t>
      </w:r>
    </w:p>
    <w:p w14:paraId="1494CC54" w14:textId="4A9CCEA4" w:rsidR="5233DB96" w:rsidRDefault="5233DB96" w:rsidP="49379E54">
      <w:pPr>
        <w:pStyle w:val="ListParagraph"/>
        <w:numPr>
          <w:ilvl w:val="0"/>
          <w:numId w:val="1"/>
        </w:numPr>
        <w:spacing w:line="276" w:lineRule="auto"/>
        <w:rPr>
          <w:rFonts w:ascii="Calibri" w:hAnsi="Calibri"/>
        </w:rPr>
      </w:pPr>
      <w:r w:rsidRPr="49379E54">
        <w:rPr>
          <w:rFonts w:ascii="Calibri" w:hAnsi="Calibri"/>
        </w:rPr>
        <w:t>The post-prandial incremental area under curve (</w:t>
      </w:r>
      <w:proofErr w:type="spellStart"/>
      <w:r w:rsidRPr="49379E54">
        <w:rPr>
          <w:rFonts w:ascii="Calibri" w:hAnsi="Calibri"/>
        </w:rPr>
        <w:t>iAUC</w:t>
      </w:r>
      <w:proofErr w:type="spellEnd"/>
      <w:r w:rsidRPr="49379E54">
        <w:rPr>
          <w:rFonts w:ascii="Calibri" w:hAnsi="Calibri"/>
        </w:rPr>
        <w:t>) will be reduced during the ten days using the food and glucose-tracking application compared to the ten days using the food tracking-only application.</w:t>
      </w:r>
    </w:p>
    <w:p w14:paraId="089F984B" w14:textId="00816716" w:rsidR="49379E54" w:rsidRDefault="49379E54" w:rsidP="49379E54">
      <w:pPr>
        <w:spacing w:line="276" w:lineRule="auto"/>
        <w:rPr>
          <w:rFonts w:ascii="Calibri" w:eastAsia="Times New Roman" w:hAnsi="Calibri" w:cs="Times New Roman"/>
        </w:rPr>
      </w:pPr>
    </w:p>
    <w:p w14:paraId="0842B874" w14:textId="77777777" w:rsidR="006E66B6" w:rsidRPr="005435B3" w:rsidRDefault="006E66B6" w:rsidP="00D560FE">
      <w:pPr>
        <w:spacing w:line="276" w:lineRule="auto"/>
      </w:pPr>
      <w:r w:rsidRPr="005435B3">
        <w:t xml:space="preserve">Secondary hypotheses: </w:t>
      </w:r>
    </w:p>
    <w:p w14:paraId="7037316A" w14:textId="1D63BD59" w:rsidR="00603E77" w:rsidRDefault="000404C4" w:rsidP="49379E54">
      <w:pPr>
        <w:pStyle w:val="ListParagraph"/>
        <w:numPr>
          <w:ilvl w:val="0"/>
          <w:numId w:val="29"/>
        </w:numPr>
        <w:spacing w:line="276" w:lineRule="auto"/>
        <w:rPr>
          <w:rFonts w:ascii="Calibri" w:hAnsi="Calibri"/>
        </w:rPr>
      </w:pPr>
      <w:r>
        <w:t xml:space="preserve">The energy intake estimates from the application will </w:t>
      </w:r>
      <w:r w:rsidR="003E5EED">
        <w:t>approximate</w:t>
      </w:r>
      <w:r>
        <w:t xml:space="preserve"> objectively measured energy expenditure. </w:t>
      </w:r>
    </w:p>
    <w:p w14:paraId="106FB15D" w14:textId="77777777" w:rsidR="000404C4" w:rsidRPr="000404C4" w:rsidRDefault="000404C4" w:rsidP="00D560FE">
      <w:pPr>
        <w:pStyle w:val="ListParagraph"/>
        <w:numPr>
          <w:ilvl w:val="0"/>
          <w:numId w:val="29"/>
        </w:numPr>
        <w:spacing w:line="276" w:lineRule="auto"/>
        <w:rPr>
          <w:iCs/>
        </w:rPr>
      </w:pPr>
      <w:r>
        <w:t xml:space="preserve">Participants will have a positive user experience with the application. </w:t>
      </w:r>
    </w:p>
    <w:p w14:paraId="27F3FEF3" w14:textId="77777777" w:rsidR="00A345E1" w:rsidRDefault="00A345E1" w:rsidP="00BA1133">
      <w:pPr>
        <w:pStyle w:val="Heading2"/>
      </w:pPr>
      <w:bookmarkStart w:id="11" w:name="_Toc441512375"/>
      <w:bookmarkStart w:id="12" w:name="_Toc441520803"/>
      <w:bookmarkStart w:id="13" w:name="_Toc441521019"/>
      <w:bookmarkStart w:id="14" w:name="_Toc149504523"/>
      <w:r w:rsidRPr="00BA1133">
        <w:t>Study Design</w:t>
      </w:r>
      <w:bookmarkEnd w:id="11"/>
      <w:bookmarkEnd w:id="12"/>
      <w:bookmarkEnd w:id="13"/>
      <w:bookmarkEnd w:id="14"/>
    </w:p>
    <w:p w14:paraId="568872AA" w14:textId="77777777" w:rsidR="000404C4" w:rsidRPr="000404C4" w:rsidRDefault="000404C4" w:rsidP="000404C4">
      <w:pPr>
        <w:spacing w:line="276" w:lineRule="auto"/>
      </w:pPr>
      <w:r w:rsidRPr="000404C4">
        <w:t xml:space="preserve">This is a single arm intervention study with before and after comparisons within individuals. An overview of the study design is shown in Figure (1). </w:t>
      </w:r>
    </w:p>
    <w:p w14:paraId="4BA3BB0D" w14:textId="38A967B8" w:rsidR="000404C4" w:rsidRPr="000404C4" w:rsidRDefault="000404C4" w:rsidP="000404C4">
      <w:pPr>
        <w:spacing w:line="276" w:lineRule="auto"/>
      </w:pPr>
      <w:r w:rsidRPr="00F12362">
        <w:rPr>
          <w:b/>
          <w:bCs/>
        </w:rPr>
        <w:t>Figure (</w:t>
      </w:r>
      <w:r w:rsidR="2FC7A056" w:rsidRPr="00F12362">
        <w:rPr>
          <w:b/>
          <w:bCs/>
        </w:rPr>
        <w:t>2</w:t>
      </w:r>
      <w:r w:rsidRPr="00F12362">
        <w:rPr>
          <w:b/>
          <w:bCs/>
        </w:rPr>
        <w:t>):</w:t>
      </w:r>
      <w:r w:rsidRPr="000404C4">
        <w:t xml:space="preserve"> Overview of study design</w:t>
      </w:r>
      <w:r w:rsidRPr="000404C4">
        <w:rPr>
          <w:noProof/>
          <w:lang w:val="en-NZ" w:eastAsia="en-NZ"/>
        </w:rPr>
        <w:drawing>
          <wp:anchor distT="0" distB="0" distL="114300" distR="114300" simplePos="0" relativeHeight="251658240" behindDoc="0" locked="0" layoutInCell="1" allowOverlap="1" wp14:anchorId="66A9960E" wp14:editId="12EE7593">
            <wp:simplePos x="0" y="0"/>
            <wp:positionH relativeFrom="column">
              <wp:posOffset>0</wp:posOffset>
            </wp:positionH>
            <wp:positionV relativeFrom="paragraph">
              <wp:posOffset>272415</wp:posOffset>
            </wp:positionV>
            <wp:extent cx="5731510" cy="1180465"/>
            <wp:effectExtent l="0" t="0" r="0" b="635"/>
            <wp:wrapTopAndBottom/>
            <wp:docPr id="1433327895" name="Picture 1433327895"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27895" name="Picture 2" descr="A diagram of a flow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180465"/>
                    </a:xfrm>
                    <a:prstGeom prst="rect">
                      <a:avLst/>
                    </a:prstGeom>
                  </pic:spPr>
                </pic:pic>
              </a:graphicData>
            </a:graphic>
            <wp14:sizeRelH relativeFrom="page">
              <wp14:pctWidth>0</wp14:pctWidth>
            </wp14:sizeRelH>
            <wp14:sizeRelV relativeFrom="page">
              <wp14:pctHeight>0</wp14:pctHeight>
            </wp14:sizeRelV>
          </wp:anchor>
        </w:drawing>
      </w:r>
    </w:p>
    <w:p w14:paraId="634BACA6" w14:textId="77777777" w:rsidR="000404C4" w:rsidRPr="000404C4" w:rsidRDefault="000404C4" w:rsidP="000404C4">
      <w:pPr>
        <w:spacing w:line="276" w:lineRule="auto"/>
      </w:pPr>
      <w:r w:rsidRPr="000404C4">
        <w:t>Twenty participants will be recruited via screening—see ‘Study Population’ below for detail on inclusion and exclusion criteria—and proceed through the study as follows:</w:t>
      </w:r>
    </w:p>
    <w:p w14:paraId="692B4EB8" w14:textId="77777777" w:rsidR="000404C4" w:rsidRPr="000404C4" w:rsidRDefault="000404C4" w:rsidP="000404C4">
      <w:pPr>
        <w:spacing w:line="276" w:lineRule="auto"/>
      </w:pPr>
      <w:r w:rsidRPr="000404C4">
        <w:t>Visit 1:</w:t>
      </w:r>
    </w:p>
    <w:p w14:paraId="3D77D0B2" w14:textId="77777777" w:rsidR="000404C4" w:rsidRPr="000404C4" w:rsidRDefault="000404C4" w:rsidP="000404C4">
      <w:pPr>
        <w:pStyle w:val="ListParagraph"/>
        <w:numPr>
          <w:ilvl w:val="0"/>
          <w:numId w:val="31"/>
        </w:numPr>
        <w:spacing w:line="276" w:lineRule="auto"/>
      </w:pPr>
      <w:r>
        <w:t xml:space="preserve">After providing written informed consent, at this visit participants will have, height measured, weight and fat-free mass recorded using bio-impedance, and </w:t>
      </w:r>
      <w:r w:rsidR="003E5EED">
        <w:t>resting energy expenditure</w:t>
      </w:r>
      <w:r>
        <w:t xml:space="preserve"> measured via indirect calorimetry—please see ‘Study Procedures’ below for further detail.</w:t>
      </w:r>
    </w:p>
    <w:p w14:paraId="388E0D10" w14:textId="77777777" w:rsidR="000404C4" w:rsidRDefault="000404C4" w:rsidP="000404C4">
      <w:pPr>
        <w:pStyle w:val="ListParagraph"/>
        <w:numPr>
          <w:ilvl w:val="0"/>
          <w:numId w:val="31"/>
        </w:numPr>
        <w:spacing w:line="276" w:lineRule="auto"/>
      </w:pPr>
      <w:r w:rsidRPr="000404C4">
        <w:t>Participants will be provided with an Acti</w:t>
      </w:r>
      <w:r w:rsidR="00D560FE">
        <w:t>G</w:t>
      </w:r>
      <w:r w:rsidRPr="000404C4">
        <w:t xml:space="preserve">raph GT9x accelerometer, CGM, and a food-tracking only version of the application to measure physical activity and glucose, during the </w:t>
      </w:r>
      <w:r w:rsidR="00D560FE" w:rsidRPr="000404C4">
        <w:t>ten-day</w:t>
      </w:r>
      <w:r w:rsidRPr="000404C4">
        <w:t xml:space="preserve"> recording period between Visit 1 and Visit 2. They will not be provided access to the application data and will be blinded to the CGM for the next 10 days. </w:t>
      </w:r>
    </w:p>
    <w:p w14:paraId="3C97F4D5" w14:textId="77777777" w:rsidR="003E5EED" w:rsidRDefault="003E5EED" w:rsidP="000404C4">
      <w:pPr>
        <w:pStyle w:val="ListParagraph"/>
        <w:numPr>
          <w:ilvl w:val="0"/>
          <w:numId w:val="31"/>
        </w:numPr>
        <w:spacing w:line="276" w:lineRule="auto"/>
      </w:pPr>
      <w:r>
        <w:t xml:space="preserve">Participants will be educated </w:t>
      </w:r>
      <w:r w:rsidR="0061467C">
        <w:t xml:space="preserve">on high and low glycaemic index food items. </w:t>
      </w:r>
      <w:r>
        <w:t xml:space="preserve">Participants will be encouraged to use </w:t>
      </w:r>
      <w:r w:rsidR="0061467C">
        <w:t>this information</w:t>
      </w:r>
      <w:r>
        <w:t xml:space="preserve"> to inform their dietary intake throughout the study. </w:t>
      </w:r>
    </w:p>
    <w:p w14:paraId="38901DD1" w14:textId="73D0730A" w:rsidR="3F952039" w:rsidRDefault="3F952039" w:rsidP="49379E54">
      <w:pPr>
        <w:pStyle w:val="ListParagraph"/>
        <w:numPr>
          <w:ilvl w:val="0"/>
          <w:numId w:val="31"/>
        </w:numPr>
        <w:spacing w:line="276" w:lineRule="auto"/>
        <w:rPr>
          <w:rFonts w:ascii="Calibri" w:hAnsi="Calibri"/>
        </w:rPr>
      </w:pPr>
      <w:r w:rsidRPr="49379E54">
        <w:rPr>
          <w:rFonts w:ascii="Calibri" w:hAnsi="Calibri"/>
        </w:rPr>
        <w:t xml:space="preserve">Participants will consume one of the cereal food items and accompanying milk in 12-15 minutes, observed by the researcher. The participant will be instructed to consume the other cereal items in the same </w:t>
      </w:r>
      <w:bookmarkStart w:id="15" w:name="_Int_wMEHAWpP"/>
      <w:r w:rsidRPr="49379E54">
        <w:rPr>
          <w:rFonts w:ascii="Calibri" w:hAnsi="Calibri"/>
        </w:rPr>
        <w:t>timeframe</w:t>
      </w:r>
      <w:bookmarkEnd w:id="15"/>
      <w:r w:rsidRPr="49379E54">
        <w:rPr>
          <w:rFonts w:ascii="Calibri" w:hAnsi="Calibri"/>
        </w:rPr>
        <w:t xml:space="preserve">, and to avoid </w:t>
      </w:r>
      <w:r w:rsidR="7BF72C42" w:rsidRPr="49379E54">
        <w:rPr>
          <w:rFonts w:ascii="Calibri" w:hAnsi="Calibri"/>
        </w:rPr>
        <w:t>any other accompanying food items. The participant will be provided with the other food cereal item and accompanying milk for consumption in the free-living setting. The order in wh</w:t>
      </w:r>
      <w:r w:rsidR="65BD7996" w:rsidRPr="49379E54">
        <w:rPr>
          <w:rFonts w:ascii="Calibri" w:hAnsi="Calibri"/>
        </w:rPr>
        <w:t xml:space="preserve">ich the cereal will be eaten, i.e., all-bran first or cornflakes first, will be randomised. </w:t>
      </w:r>
    </w:p>
    <w:p w14:paraId="149F7D56" w14:textId="7963C5DA" w:rsidR="00D15C4D" w:rsidRDefault="00D15C4D" w:rsidP="49379E54">
      <w:pPr>
        <w:pStyle w:val="ListParagraph"/>
        <w:numPr>
          <w:ilvl w:val="0"/>
          <w:numId w:val="31"/>
        </w:numPr>
        <w:spacing w:line="276" w:lineRule="auto"/>
        <w:rPr>
          <w:rFonts w:ascii="Calibri" w:hAnsi="Calibri"/>
        </w:rPr>
      </w:pPr>
      <w:r>
        <w:rPr>
          <w:rFonts w:ascii="Calibri" w:hAnsi="Calibri"/>
        </w:rPr>
        <w:t xml:space="preserve">Participants will provide a response to a Visual Analogue Scale question rating their understanding of their dietary intake and their blood glucose. </w:t>
      </w:r>
    </w:p>
    <w:p w14:paraId="6FCEFD3B" w14:textId="6CEC947F" w:rsidR="49379E54" w:rsidRDefault="49379E54" w:rsidP="49379E54">
      <w:pPr>
        <w:spacing w:line="276" w:lineRule="auto"/>
        <w:rPr>
          <w:rFonts w:ascii="Calibri" w:eastAsia="Times New Roman" w:hAnsi="Calibri" w:cs="Times New Roman"/>
        </w:rPr>
      </w:pPr>
    </w:p>
    <w:p w14:paraId="6B4BFA92" w14:textId="13201AA5" w:rsidR="000404C4" w:rsidRPr="000404C4" w:rsidRDefault="000404C4" w:rsidP="49379E54">
      <w:pPr>
        <w:spacing w:line="276" w:lineRule="auto"/>
      </w:pPr>
      <w:r>
        <w:lastRenderedPageBreak/>
        <w:t>Visit 2:</w:t>
      </w:r>
    </w:p>
    <w:p w14:paraId="5CD89485" w14:textId="77777777" w:rsidR="00032F8B" w:rsidRPr="000404C4" w:rsidRDefault="00032F8B" w:rsidP="00032F8B">
      <w:pPr>
        <w:pStyle w:val="ListParagraph"/>
        <w:numPr>
          <w:ilvl w:val="0"/>
          <w:numId w:val="31"/>
        </w:numPr>
        <w:spacing w:line="276" w:lineRule="auto"/>
      </w:pPr>
      <w:r w:rsidRPr="000404C4">
        <w:t>Weight and body composition measures will be repeated.</w:t>
      </w:r>
    </w:p>
    <w:p w14:paraId="0CCD5741" w14:textId="7B68E815" w:rsidR="000404C4" w:rsidRPr="000404C4" w:rsidRDefault="000404C4" w:rsidP="000404C4">
      <w:pPr>
        <w:pStyle w:val="ListParagraph"/>
        <w:numPr>
          <w:ilvl w:val="0"/>
          <w:numId w:val="31"/>
        </w:numPr>
        <w:spacing w:line="276" w:lineRule="auto"/>
      </w:pPr>
      <w:r>
        <w:t xml:space="preserve">Participants will be given access to the application with food tracking and glucose tracking enabled. </w:t>
      </w:r>
    </w:p>
    <w:p w14:paraId="3C992291" w14:textId="77777777" w:rsidR="000404C4" w:rsidRPr="000404C4" w:rsidRDefault="000404C4" w:rsidP="000404C4">
      <w:pPr>
        <w:pStyle w:val="ListParagraph"/>
        <w:numPr>
          <w:ilvl w:val="0"/>
          <w:numId w:val="31"/>
        </w:numPr>
        <w:spacing w:line="276" w:lineRule="auto"/>
      </w:pPr>
      <w:r>
        <w:t xml:space="preserve">Participants will be shown how to apply CGMs, and two CGMs will be provided, with the first applied immediately. Participants will be shown how to interpret the blood glucose readings in the application and how to identify post-prandial hyperglycaemia. </w:t>
      </w:r>
    </w:p>
    <w:p w14:paraId="59CFF93A" w14:textId="4A97E614" w:rsidR="000404C4" w:rsidRDefault="000404C4" w:rsidP="000404C4">
      <w:pPr>
        <w:pStyle w:val="ListParagraph"/>
        <w:numPr>
          <w:ilvl w:val="0"/>
          <w:numId w:val="31"/>
        </w:numPr>
        <w:spacing w:line="276" w:lineRule="auto"/>
      </w:pPr>
      <w:r>
        <w:t xml:space="preserve">Participants will be instructed to record for the next 20 days using the CGM and application, with full access to their glucose levels. They will be instructed </w:t>
      </w:r>
      <w:r w:rsidR="5AF95101">
        <w:t>on how to review</w:t>
      </w:r>
      <w:r w:rsidR="0DE20391">
        <w:t xml:space="preserve"> and</w:t>
      </w:r>
      <w:r w:rsidR="5AF95101">
        <w:t xml:space="preserve"> </w:t>
      </w:r>
      <w:r w:rsidR="514A5561">
        <w:t xml:space="preserve">use </w:t>
      </w:r>
      <w:r>
        <w:t xml:space="preserve">the postprandial CGM data and use this to inform their subsequent food choices in a progressive manner over the 20 days between visits. </w:t>
      </w:r>
      <w:r w:rsidR="24E84C85">
        <w:t xml:space="preserve">To inform future nutritional choices, participants will be provided with and shown how to use two additional applications: </w:t>
      </w:r>
      <w:proofErr w:type="spellStart"/>
      <w:r w:rsidR="24E84C85">
        <w:t>FoodSwitch</w:t>
      </w:r>
      <w:proofErr w:type="spellEnd"/>
      <w:r w:rsidR="24E84C85">
        <w:t xml:space="preserve"> (</w:t>
      </w:r>
      <w:r w:rsidR="4036985F">
        <w:t xml:space="preserve">The George Institute for Global Health) which provides healthy alternatives to New Zealand food items, and a mobile glycaemic index reference database. </w:t>
      </w:r>
      <w:r w:rsidR="00140FB2">
        <w:t>The participant will be instructed on how to use the application to review their blood glucose levels throughout the day, and how to identify the food items associated with each ti</w:t>
      </w:r>
      <w:r w:rsidR="002F785A">
        <w:t xml:space="preserve">me-point. </w:t>
      </w:r>
    </w:p>
    <w:p w14:paraId="1A991D22" w14:textId="6CD49E5C" w:rsidR="00F956B7" w:rsidRDefault="00F956B7" w:rsidP="00831516">
      <w:pPr>
        <w:pStyle w:val="ListParagraph"/>
        <w:numPr>
          <w:ilvl w:val="0"/>
          <w:numId w:val="31"/>
        </w:numPr>
        <w:spacing w:line="276" w:lineRule="auto"/>
      </w:pPr>
      <w:r>
        <w:t xml:space="preserve">Participants will be provided with </w:t>
      </w:r>
      <w:r w:rsidR="00831516">
        <w:t>four</w:t>
      </w:r>
      <w:r>
        <w:t xml:space="preserve"> food items: </w:t>
      </w:r>
      <w:r w:rsidR="00831516">
        <w:t xml:space="preserve">two sets of </w:t>
      </w:r>
      <w:r>
        <w:t>Kellogg’s cornflakes and</w:t>
      </w:r>
      <w:r w:rsidR="00831516">
        <w:t xml:space="preserve"> two sets of</w:t>
      </w:r>
      <w:r>
        <w:t xml:space="preserve"> Kellogg’s All-Bran cereal</w:t>
      </w:r>
      <w:r w:rsidR="27AF01B8">
        <w:t>. Participants will be instructed to consume these food items and accompanying milk in the same manner as instructed in Visit 1.</w:t>
      </w:r>
    </w:p>
    <w:p w14:paraId="364AB724" w14:textId="61053C5C" w:rsidR="00D15C4D" w:rsidRPr="00D15C4D" w:rsidRDefault="00D15C4D" w:rsidP="00D15C4D">
      <w:pPr>
        <w:pStyle w:val="ListParagraph"/>
        <w:numPr>
          <w:ilvl w:val="0"/>
          <w:numId w:val="31"/>
        </w:numPr>
        <w:spacing w:line="276" w:lineRule="auto"/>
        <w:rPr>
          <w:rFonts w:ascii="Calibri" w:hAnsi="Calibri"/>
        </w:rPr>
      </w:pPr>
      <w:r>
        <w:rPr>
          <w:rFonts w:ascii="Calibri" w:hAnsi="Calibri"/>
        </w:rPr>
        <w:t xml:space="preserve">Participants will provide a response to a Visual Analogue Scale question rating their understanding of their dietary intake and their blood glucose. </w:t>
      </w:r>
    </w:p>
    <w:p w14:paraId="7EFF6CE0" w14:textId="77777777" w:rsidR="000404C4" w:rsidRPr="000404C4" w:rsidRDefault="000404C4" w:rsidP="000404C4">
      <w:pPr>
        <w:spacing w:line="276" w:lineRule="auto"/>
      </w:pPr>
      <w:r w:rsidRPr="000404C4">
        <w:t>Visit 3:</w:t>
      </w:r>
    </w:p>
    <w:p w14:paraId="2800D12D" w14:textId="77777777" w:rsidR="000404C4" w:rsidRPr="000404C4" w:rsidRDefault="000404C4" w:rsidP="000404C4">
      <w:pPr>
        <w:pStyle w:val="ListParagraph"/>
        <w:numPr>
          <w:ilvl w:val="0"/>
          <w:numId w:val="31"/>
        </w:numPr>
        <w:spacing w:line="276" w:lineRule="auto"/>
      </w:pPr>
      <w:r>
        <w:t>Weight and body composition measures will be repeated.</w:t>
      </w:r>
    </w:p>
    <w:p w14:paraId="1A17FF91" w14:textId="1B796930" w:rsidR="29008ED8" w:rsidRDefault="29008ED8" w:rsidP="397AB28E">
      <w:pPr>
        <w:pStyle w:val="ListParagraph"/>
        <w:numPr>
          <w:ilvl w:val="0"/>
          <w:numId w:val="31"/>
        </w:numPr>
        <w:spacing w:line="276" w:lineRule="auto"/>
        <w:rPr>
          <w:rFonts w:ascii="Calibri" w:hAnsi="Calibri"/>
        </w:rPr>
      </w:pPr>
      <w:r w:rsidRPr="397AB28E">
        <w:rPr>
          <w:rFonts w:ascii="Calibri" w:hAnsi="Calibri"/>
        </w:rPr>
        <w:t>Participants will return the accelerometers.</w:t>
      </w:r>
    </w:p>
    <w:p w14:paraId="4265724E" w14:textId="44662991" w:rsidR="00B67550" w:rsidRPr="00D15C4D" w:rsidRDefault="000404C4" w:rsidP="00D15C4D">
      <w:pPr>
        <w:pStyle w:val="ListParagraph"/>
        <w:numPr>
          <w:ilvl w:val="0"/>
          <w:numId w:val="31"/>
        </w:numPr>
        <w:spacing w:line="276" w:lineRule="auto"/>
        <w:rPr>
          <w:rFonts w:ascii="Calibri" w:hAnsi="Calibri"/>
        </w:rPr>
      </w:pPr>
      <w:r w:rsidRPr="000404C4">
        <w:t xml:space="preserve">Participants will complete a questionnaire exploring the experience of using the application and its </w:t>
      </w:r>
      <w:proofErr w:type="gramStart"/>
      <w:r w:rsidRPr="000404C4">
        <w:t>features</w:t>
      </w:r>
      <w:r w:rsidR="00D15C4D">
        <w:t>, and</w:t>
      </w:r>
      <w:proofErr w:type="gramEnd"/>
      <w:r w:rsidR="00D15C4D">
        <w:t xml:space="preserve"> </w:t>
      </w:r>
      <w:r w:rsidR="00D15C4D">
        <w:rPr>
          <w:rFonts w:ascii="Calibri" w:hAnsi="Calibri"/>
        </w:rPr>
        <w:t>provide a response to a Visual Analogue Scale question rating their understanding of their dietary intake and their blood glucose</w:t>
      </w:r>
      <w:r>
        <w:t xml:space="preserve">—please see Appendix (A) for detail. </w:t>
      </w:r>
    </w:p>
    <w:p w14:paraId="48DEF4B3" w14:textId="77777777" w:rsidR="0024666B" w:rsidRPr="00DA3D56" w:rsidRDefault="00DA3D56" w:rsidP="00B67550">
      <w:pPr>
        <w:rPr>
          <w:i/>
        </w:rPr>
      </w:pPr>
      <w:r w:rsidRPr="00DA3D56">
        <w:rPr>
          <w:i/>
        </w:rPr>
        <w:t>Study Synopsis:</w:t>
      </w:r>
    </w:p>
    <w:tbl>
      <w:tblPr>
        <w:tblStyle w:val="TableGrid"/>
        <w:tblW w:w="0" w:type="auto"/>
        <w:tblLook w:val="04A0" w:firstRow="1" w:lastRow="0" w:firstColumn="1" w:lastColumn="0" w:noHBand="0" w:noVBand="1"/>
      </w:tblPr>
      <w:tblGrid>
        <w:gridCol w:w="2515"/>
        <w:gridCol w:w="6501"/>
      </w:tblGrid>
      <w:tr w:rsidR="00B7483E" w14:paraId="657859E5" w14:textId="77777777" w:rsidTr="49379E54">
        <w:tc>
          <w:tcPr>
            <w:tcW w:w="2515" w:type="dxa"/>
          </w:tcPr>
          <w:p w14:paraId="2C5E531E" w14:textId="77777777" w:rsidR="00B7483E" w:rsidRPr="005D4630" w:rsidRDefault="00B7483E" w:rsidP="00B67550">
            <w:pPr>
              <w:rPr>
                <w:b/>
              </w:rPr>
            </w:pPr>
            <w:r w:rsidRPr="005D4630">
              <w:rPr>
                <w:b/>
              </w:rPr>
              <w:t>Participants</w:t>
            </w:r>
          </w:p>
        </w:tc>
        <w:tc>
          <w:tcPr>
            <w:tcW w:w="6501" w:type="dxa"/>
          </w:tcPr>
          <w:p w14:paraId="39A76271" w14:textId="77777777" w:rsidR="00B7483E" w:rsidRDefault="000404C4" w:rsidP="00B67550">
            <w:r>
              <w:t>Wellington-based individuals with type 2 diabetes.</w:t>
            </w:r>
          </w:p>
        </w:tc>
      </w:tr>
      <w:tr w:rsidR="00B7483E" w14:paraId="04EFB1BA" w14:textId="77777777" w:rsidTr="49379E54">
        <w:tc>
          <w:tcPr>
            <w:tcW w:w="2515" w:type="dxa"/>
          </w:tcPr>
          <w:p w14:paraId="551DA605" w14:textId="77777777" w:rsidR="00B7483E" w:rsidRPr="005D4630" w:rsidRDefault="00B7483E" w:rsidP="00B67550">
            <w:pPr>
              <w:rPr>
                <w:b/>
              </w:rPr>
            </w:pPr>
            <w:r w:rsidRPr="005D4630">
              <w:rPr>
                <w:b/>
              </w:rPr>
              <w:t>Intervention</w:t>
            </w:r>
          </w:p>
        </w:tc>
        <w:tc>
          <w:tcPr>
            <w:tcW w:w="6501" w:type="dxa"/>
          </w:tcPr>
          <w:p w14:paraId="6D76E302" w14:textId="77777777" w:rsidR="00B7483E" w:rsidRDefault="000404C4" w:rsidP="00B67550">
            <w:r>
              <w:t>Food and glucose-tracking digital health application.</w:t>
            </w:r>
          </w:p>
        </w:tc>
      </w:tr>
      <w:tr w:rsidR="00B7483E" w14:paraId="43A7DDFA" w14:textId="77777777" w:rsidTr="49379E54">
        <w:tc>
          <w:tcPr>
            <w:tcW w:w="2515" w:type="dxa"/>
          </w:tcPr>
          <w:p w14:paraId="7A81D28E" w14:textId="77777777" w:rsidR="00B7483E" w:rsidRPr="005D4630" w:rsidRDefault="00B7483E" w:rsidP="00B67550">
            <w:pPr>
              <w:rPr>
                <w:b/>
              </w:rPr>
            </w:pPr>
            <w:r w:rsidRPr="005D4630">
              <w:rPr>
                <w:b/>
              </w:rPr>
              <w:t>Primary Outcome(s)</w:t>
            </w:r>
          </w:p>
        </w:tc>
        <w:tc>
          <w:tcPr>
            <w:tcW w:w="6501" w:type="dxa"/>
          </w:tcPr>
          <w:p w14:paraId="4077618C" w14:textId="312090AC" w:rsidR="00B7483E" w:rsidRDefault="000404C4" w:rsidP="49379E54">
            <w:r>
              <w:t xml:space="preserve">Time-in-range (%) during the ten days with the food tracking-only application compared to time-in-range in the last ten days of using the food and glucose-tracking application. </w:t>
            </w:r>
          </w:p>
          <w:p w14:paraId="0F046BCA" w14:textId="5B8B928D" w:rsidR="00B7483E" w:rsidRDefault="00B7483E" w:rsidP="49379E54"/>
          <w:p w14:paraId="6177954F" w14:textId="7E9EA368" w:rsidR="00B7483E" w:rsidRDefault="27C13CE9" w:rsidP="49379E54">
            <w:r>
              <w:t>Post-prandial incremental area under curve (</w:t>
            </w:r>
            <w:proofErr w:type="spellStart"/>
            <w:r>
              <w:t>iAUC</w:t>
            </w:r>
            <w:proofErr w:type="spellEnd"/>
            <w:r>
              <w:t xml:space="preserve">) during the ten days with the food tracking-only application </w:t>
            </w:r>
            <w:proofErr w:type="spellStart"/>
            <w:r>
              <w:t>comapred</w:t>
            </w:r>
            <w:proofErr w:type="spellEnd"/>
            <w:r>
              <w:t xml:space="preserve"> to time-in-range in the last ten days of using the food and glucose-tracking application. </w:t>
            </w:r>
          </w:p>
        </w:tc>
      </w:tr>
      <w:tr w:rsidR="00B7483E" w14:paraId="146224F5" w14:textId="77777777" w:rsidTr="49379E54">
        <w:tc>
          <w:tcPr>
            <w:tcW w:w="2515" w:type="dxa"/>
          </w:tcPr>
          <w:p w14:paraId="19FB9757" w14:textId="77777777" w:rsidR="00B7483E" w:rsidRPr="005D4630" w:rsidRDefault="00B7483E" w:rsidP="00B67550">
            <w:pPr>
              <w:rPr>
                <w:b/>
              </w:rPr>
            </w:pPr>
            <w:r w:rsidRPr="005D4630">
              <w:rPr>
                <w:b/>
              </w:rPr>
              <w:t>Planned Sample Size</w:t>
            </w:r>
          </w:p>
        </w:tc>
        <w:tc>
          <w:tcPr>
            <w:tcW w:w="6501" w:type="dxa"/>
          </w:tcPr>
          <w:p w14:paraId="63E99E13" w14:textId="77777777" w:rsidR="00B7483E" w:rsidRDefault="000404C4" w:rsidP="00B67550">
            <w:r>
              <w:t>20</w:t>
            </w:r>
          </w:p>
        </w:tc>
      </w:tr>
      <w:tr w:rsidR="00B7483E" w14:paraId="459D385D" w14:textId="77777777" w:rsidTr="49379E54">
        <w:tc>
          <w:tcPr>
            <w:tcW w:w="2515" w:type="dxa"/>
          </w:tcPr>
          <w:p w14:paraId="14308D9E" w14:textId="77777777" w:rsidR="00B7483E" w:rsidRPr="005D4630" w:rsidRDefault="00B7483E" w:rsidP="00B67550">
            <w:pPr>
              <w:rPr>
                <w:b/>
              </w:rPr>
            </w:pPr>
            <w:r w:rsidRPr="005D4630">
              <w:rPr>
                <w:b/>
              </w:rPr>
              <w:t>Study Duration</w:t>
            </w:r>
          </w:p>
        </w:tc>
        <w:tc>
          <w:tcPr>
            <w:tcW w:w="6501" w:type="dxa"/>
          </w:tcPr>
          <w:p w14:paraId="25B5AC3C" w14:textId="77777777" w:rsidR="00B7483E" w:rsidRDefault="000404C4" w:rsidP="00B67550">
            <w:r>
              <w:t xml:space="preserve">30 days per participant. </w:t>
            </w:r>
          </w:p>
        </w:tc>
      </w:tr>
    </w:tbl>
    <w:p w14:paraId="3B8814F6" w14:textId="77777777" w:rsidR="00A345E1" w:rsidRPr="001F2DB1" w:rsidRDefault="00A345E1" w:rsidP="00554DEF">
      <w:pPr>
        <w:pStyle w:val="Heading1"/>
        <w:rPr>
          <w:rFonts w:asciiTheme="minorHAnsi" w:hAnsiTheme="minorHAnsi" w:cstheme="minorHAnsi"/>
          <w:lang w:val="en-NZ"/>
        </w:rPr>
      </w:pPr>
      <w:bookmarkStart w:id="16" w:name="_Toc441512376"/>
      <w:bookmarkStart w:id="17" w:name="_Toc441520804"/>
      <w:bookmarkStart w:id="18" w:name="_Toc441521020"/>
      <w:bookmarkStart w:id="19" w:name="_Toc149504524"/>
      <w:r w:rsidRPr="001F2DB1">
        <w:rPr>
          <w:rFonts w:asciiTheme="minorHAnsi" w:hAnsiTheme="minorHAnsi" w:cstheme="minorHAnsi"/>
          <w:lang w:val="en-NZ"/>
        </w:rPr>
        <w:lastRenderedPageBreak/>
        <w:t>Methods</w:t>
      </w:r>
      <w:bookmarkEnd w:id="16"/>
      <w:bookmarkEnd w:id="17"/>
      <w:bookmarkEnd w:id="18"/>
      <w:bookmarkEnd w:id="19"/>
    </w:p>
    <w:p w14:paraId="6E98FEA7" w14:textId="77777777" w:rsidR="00A345E1" w:rsidRDefault="00A345E1" w:rsidP="003D6FCC">
      <w:pPr>
        <w:pStyle w:val="Heading2"/>
        <w:rPr>
          <w:lang w:val="en-NZ"/>
        </w:rPr>
      </w:pPr>
      <w:bookmarkStart w:id="20" w:name="_Toc441512377"/>
      <w:bookmarkStart w:id="21" w:name="_Toc441520805"/>
      <w:bookmarkStart w:id="22" w:name="_Toc441521021"/>
      <w:bookmarkStart w:id="23" w:name="_Toc149504525"/>
      <w:r>
        <w:rPr>
          <w:lang w:val="en-NZ"/>
        </w:rPr>
        <w:t xml:space="preserve">Participants, </w:t>
      </w:r>
      <w:r w:rsidR="00DF0886">
        <w:t>Interventions</w:t>
      </w:r>
      <w:r>
        <w:rPr>
          <w:lang w:val="en-NZ"/>
        </w:rPr>
        <w:t xml:space="preserve"> and Outcomes</w:t>
      </w:r>
      <w:bookmarkEnd w:id="20"/>
      <w:bookmarkEnd w:id="21"/>
      <w:bookmarkEnd w:id="22"/>
      <w:bookmarkEnd w:id="23"/>
    </w:p>
    <w:p w14:paraId="7E6E2BF9" w14:textId="77777777" w:rsidR="008667AE" w:rsidRPr="000404C4" w:rsidRDefault="00A345E1" w:rsidP="008667AE">
      <w:pPr>
        <w:pStyle w:val="Heading3"/>
        <w:rPr>
          <w:lang w:val="en-NZ"/>
        </w:rPr>
      </w:pPr>
      <w:bookmarkStart w:id="24" w:name="_Toc441512378"/>
      <w:bookmarkStart w:id="25" w:name="_Toc441520806"/>
      <w:bookmarkStart w:id="26" w:name="_Toc441521022"/>
      <w:bookmarkStart w:id="27" w:name="_Toc149504526"/>
      <w:r>
        <w:rPr>
          <w:lang w:val="en-NZ"/>
        </w:rPr>
        <w:t>Study Setting</w:t>
      </w:r>
      <w:bookmarkEnd w:id="24"/>
      <w:bookmarkEnd w:id="25"/>
      <w:bookmarkEnd w:id="26"/>
      <w:bookmarkEnd w:id="27"/>
    </w:p>
    <w:p w14:paraId="6399F175" w14:textId="00732799" w:rsidR="000404C4" w:rsidRPr="000404C4" w:rsidRDefault="000404C4" w:rsidP="49379E54">
      <w:pPr>
        <w:spacing w:line="276" w:lineRule="auto"/>
        <w:rPr>
          <w:lang w:val="en-NZ"/>
        </w:rPr>
      </w:pPr>
      <w:r w:rsidRPr="49379E54">
        <w:rPr>
          <w:lang w:val="en-NZ"/>
        </w:rPr>
        <w:t xml:space="preserve">This study will be conducted at the Centre for Clinical Research (CRC) in the University of Otago, Wellington and at the Centre for Endocrine, Diabetes, and Obesity Research (CEDOR) in the Wellington Regional Hospital. Both sites are located on the same grounds. The CRC contains the indirect calorimeter and the accelerometer </w:t>
      </w:r>
      <w:r w:rsidR="142079D6" w:rsidRPr="49379E54">
        <w:rPr>
          <w:lang w:val="en-NZ"/>
        </w:rPr>
        <w:t>equipment and</w:t>
      </w:r>
      <w:r w:rsidRPr="49379E54">
        <w:rPr>
          <w:lang w:val="en-NZ"/>
        </w:rPr>
        <w:t xml:space="preserve"> will only be used for Visit 1. </w:t>
      </w:r>
      <w:r w:rsidR="3774F453" w:rsidRPr="49379E54">
        <w:rPr>
          <w:lang w:val="en-NZ"/>
        </w:rPr>
        <w:t>CEDOR contains</w:t>
      </w:r>
      <w:r w:rsidRPr="49379E54">
        <w:rPr>
          <w:lang w:val="en-NZ"/>
        </w:rPr>
        <w:t xml:space="preserve"> the bio-impedance scale and will be the site for all subsequent visits. Both sites </w:t>
      </w:r>
      <w:r w:rsidR="647DB791" w:rsidRPr="49379E54">
        <w:rPr>
          <w:lang w:val="en-NZ"/>
        </w:rPr>
        <w:t>are in</w:t>
      </w:r>
      <w:r w:rsidRPr="49379E54">
        <w:rPr>
          <w:lang w:val="en-NZ"/>
        </w:rPr>
        <w:t xml:space="preserve"> Wellington, New Zealand. </w:t>
      </w:r>
    </w:p>
    <w:p w14:paraId="23D0F50A" w14:textId="77777777" w:rsidR="00A345E1" w:rsidRDefault="00A345E1" w:rsidP="003D6FCC">
      <w:pPr>
        <w:pStyle w:val="Heading3"/>
        <w:rPr>
          <w:lang w:val="en-NZ"/>
        </w:rPr>
      </w:pPr>
      <w:bookmarkStart w:id="28" w:name="_Toc441512379"/>
      <w:bookmarkStart w:id="29" w:name="_Toc441520807"/>
      <w:bookmarkStart w:id="30" w:name="_Toc441521023"/>
      <w:bookmarkStart w:id="31" w:name="_Toc149504527"/>
      <w:r>
        <w:rPr>
          <w:lang w:val="en-NZ"/>
        </w:rPr>
        <w:t>Eligibility Criteria</w:t>
      </w:r>
      <w:bookmarkEnd w:id="28"/>
      <w:bookmarkEnd w:id="29"/>
      <w:bookmarkEnd w:id="30"/>
      <w:bookmarkEnd w:id="31"/>
    </w:p>
    <w:p w14:paraId="22554AD0" w14:textId="77777777" w:rsidR="000404C4" w:rsidRPr="000404C4" w:rsidRDefault="000404C4" w:rsidP="000404C4">
      <w:pPr>
        <w:spacing w:line="276" w:lineRule="auto"/>
        <w:rPr>
          <w:iCs/>
          <w:lang w:val="en-NZ"/>
        </w:rPr>
      </w:pPr>
      <w:r w:rsidRPr="000404C4">
        <w:rPr>
          <w:iCs/>
          <w:lang w:val="en-NZ"/>
        </w:rPr>
        <w:t>Inclusion criteria:</w:t>
      </w:r>
    </w:p>
    <w:p w14:paraId="3D23E0A9" w14:textId="77777777" w:rsidR="000404C4" w:rsidRPr="000404C4" w:rsidRDefault="000404C4" w:rsidP="000404C4">
      <w:pPr>
        <w:pStyle w:val="ListParagraph"/>
        <w:numPr>
          <w:ilvl w:val="0"/>
          <w:numId w:val="31"/>
        </w:numPr>
        <w:spacing w:line="276" w:lineRule="auto"/>
        <w:rPr>
          <w:iCs/>
          <w:lang w:val="en-NZ"/>
        </w:rPr>
      </w:pPr>
      <w:r w:rsidRPr="000404C4">
        <w:rPr>
          <w:iCs/>
          <w:lang w:val="en-NZ"/>
        </w:rPr>
        <w:t xml:space="preserve">Aged ≥18 years </w:t>
      </w:r>
    </w:p>
    <w:p w14:paraId="246E77BB" w14:textId="71CB5F0B" w:rsidR="000404C4" w:rsidRPr="000404C4" w:rsidRDefault="00602A67" w:rsidP="000404C4">
      <w:pPr>
        <w:pStyle w:val="ListParagraph"/>
        <w:numPr>
          <w:ilvl w:val="0"/>
          <w:numId w:val="31"/>
        </w:numPr>
        <w:spacing w:line="276" w:lineRule="auto"/>
        <w:rPr>
          <w:iCs/>
          <w:lang w:val="en-NZ"/>
        </w:rPr>
      </w:pPr>
      <w:r>
        <w:rPr>
          <w:iCs/>
          <w:lang w:val="en-NZ"/>
        </w:rPr>
        <w:t xml:space="preserve">Type 2 diabetes with an </w:t>
      </w:r>
      <w:r w:rsidR="000404C4" w:rsidRPr="000404C4">
        <w:rPr>
          <w:iCs/>
          <w:lang w:val="en-NZ"/>
        </w:rPr>
        <w:t>HbA1c 65</w:t>
      </w:r>
      <w:r w:rsidR="003331A4">
        <w:rPr>
          <w:iCs/>
          <w:lang w:val="en-NZ"/>
        </w:rPr>
        <w:t>-90</w:t>
      </w:r>
      <w:r w:rsidR="000404C4" w:rsidRPr="000404C4">
        <w:rPr>
          <w:iCs/>
          <w:lang w:val="en-NZ"/>
        </w:rPr>
        <w:t xml:space="preserve"> mmol/mol</w:t>
      </w:r>
      <w:r w:rsidR="00C25989">
        <w:rPr>
          <w:iCs/>
          <w:lang w:val="en-NZ"/>
        </w:rPr>
        <w:t xml:space="preserve"> on any </w:t>
      </w:r>
      <w:r w:rsidR="003E4E98">
        <w:rPr>
          <w:iCs/>
          <w:lang w:val="en-NZ"/>
        </w:rPr>
        <w:t>hypog</w:t>
      </w:r>
      <w:r w:rsidR="00804B17">
        <w:rPr>
          <w:iCs/>
          <w:lang w:val="en-NZ"/>
        </w:rPr>
        <w:t xml:space="preserve">lycaemic </w:t>
      </w:r>
      <w:r w:rsidR="00C25989">
        <w:rPr>
          <w:iCs/>
          <w:lang w:val="en-NZ"/>
        </w:rPr>
        <w:t>therapeutic regimen other than insulin</w:t>
      </w:r>
      <w:r w:rsidR="00157862">
        <w:rPr>
          <w:iCs/>
          <w:lang w:val="en-NZ"/>
        </w:rPr>
        <w:t>.</w:t>
      </w:r>
    </w:p>
    <w:p w14:paraId="3CF40D96" w14:textId="77777777" w:rsidR="000404C4" w:rsidRDefault="000404C4" w:rsidP="000404C4">
      <w:pPr>
        <w:pStyle w:val="ListParagraph"/>
        <w:numPr>
          <w:ilvl w:val="1"/>
          <w:numId w:val="31"/>
        </w:numPr>
        <w:spacing w:line="276" w:lineRule="auto"/>
        <w:rPr>
          <w:iCs/>
          <w:lang w:val="en-NZ"/>
        </w:rPr>
      </w:pPr>
      <w:r w:rsidRPr="000404C4">
        <w:rPr>
          <w:iCs/>
          <w:lang w:val="en-NZ"/>
        </w:rPr>
        <w:t>If the individual has a high baseline time-in-range, the potential improvements will be difficult to detect at smaller sample sizes, which necessitates selecting for those who have the greatest potential for benefit.</w:t>
      </w:r>
      <w:r w:rsidR="003331A4">
        <w:rPr>
          <w:iCs/>
          <w:lang w:val="en-NZ"/>
        </w:rPr>
        <w:t xml:space="preserve"> Participants </w:t>
      </w:r>
      <w:r w:rsidR="00FF2FFC">
        <w:rPr>
          <w:iCs/>
          <w:lang w:val="en-NZ"/>
        </w:rPr>
        <w:t xml:space="preserve">with an HbA1c </w:t>
      </w:r>
      <w:r w:rsidR="003331A4">
        <w:rPr>
          <w:iCs/>
          <w:lang w:val="en-NZ"/>
        </w:rPr>
        <w:t xml:space="preserve"> </w:t>
      </w:r>
      <w:r w:rsidR="00FF2FFC">
        <w:rPr>
          <w:iCs/>
          <w:lang w:val="en-NZ"/>
        </w:rPr>
        <w:t>&gt;</w:t>
      </w:r>
      <w:r w:rsidR="003331A4">
        <w:rPr>
          <w:iCs/>
          <w:lang w:val="en-NZ"/>
        </w:rPr>
        <w:t xml:space="preserve">90 mmol/mol should </w:t>
      </w:r>
      <w:r w:rsidR="00A7765B">
        <w:rPr>
          <w:iCs/>
          <w:lang w:val="en-NZ"/>
        </w:rPr>
        <w:t>have additional therapy</w:t>
      </w:r>
      <w:r w:rsidR="003331A4">
        <w:rPr>
          <w:iCs/>
          <w:lang w:val="en-NZ"/>
        </w:rPr>
        <w:t xml:space="preserve"> initiated and will therefore be ineligible for this trial. </w:t>
      </w:r>
    </w:p>
    <w:p w14:paraId="7092F393" w14:textId="3D4DA193" w:rsidR="000404C4" w:rsidRPr="000404C4" w:rsidRDefault="000404C4" w:rsidP="2C934468">
      <w:pPr>
        <w:pStyle w:val="ListParagraph"/>
        <w:numPr>
          <w:ilvl w:val="0"/>
          <w:numId w:val="31"/>
        </w:numPr>
        <w:spacing w:line="276" w:lineRule="auto"/>
        <w:rPr>
          <w:lang w:val="en-NZ"/>
        </w:rPr>
      </w:pPr>
      <w:r w:rsidRPr="2C934468">
        <w:rPr>
          <w:lang w:val="en-NZ"/>
        </w:rPr>
        <w:t xml:space="preserve">Speaks and reads English   </w:t>
      </w:r>
    </w:p>
    <w:p w14:paraId="50974DDB" w14:textId="0E98854B" w:rsidR="000404C4" w:rsidRPr="000404C4" w:rsidRDefault="000404C4" w:rsidP="49379E54">
      <w:pPr>
        <w:pStyle w:val="ListParagraph"/>
        <w:numPr>
          <w:ilvl w:val="1"/>
          <w:numId w:val="31"/>
        </w:numPr>
        <w:spacing w:line="276" w:lineRule="auto"/>
        <w:rPr>
          <w:lang w:val="en-NZ"/>
        </w:rPr>
      </w:pPr>
      <w:r w:rsidRPr="49379E54">
        <w:rPr>
          <w:lang w:val="en-NZ"/>
        </w:rPr>
        <w:t xml:space="preserve">Due to scope limitations, the </w:t>
      </w:r>
      <w:r w:rsidR="53BF26F2" w:rsidRPr="49379E54">
        <w:rPr>
          <w:lang w:val="en-NZ"/>
        </w:rPr>
        <w:t>application has</w:t>
      </w:r>
      <w:r w:rsidRPr="49379E54">
        <w:rPr>
          <w:lang w:val="en-NZ"/>
        </w:rPr>
        <w:t xml:space="preserve"> only been developed in English</w:t>
      </w:r>
    </w:p>
    <w:p w14:paraId="5792A359" w14:textId="77777777" w:rsidR="000404C4" w:rsidRPr="000404C4" w:rsidRDefault="000404C4" w:rsidP="000404C4">
      <w:pPr>
        <w:pStyle w:val="ListParagraph"/>
        <w:numPr>
          <w:ilvl w:val="0"/>
          <w:numId w:val="31"/>
        </w:numPr>
        <w:spacing w:line="276" w:lineRule="auto"/>
        <w:rPr>
          <w:iCs/>
          <w:lang w:val="en-NZ"/>
        </w:rPr>
      </w:pPr>
      <w:r w:rsidRPr="000404C4">
        <w:rPr>
          <w:iCs/>
          <w:lang w:val="en-NZ"/>
        </w:rPr>
        <w:t>Owns an iOS device capable of running iOS 16 and above</w:t>
      </w:r>
    </w:p>
    <w:p w14:paraId="2F91708A" w14:textId="77777777" w:rsidR="000404C4" w:rsidRDefault="000404C4" w:rsidP="000404C4">
      <w:pPr>
        <w:pStyle w:val="ListParagraph"/>
        <w:numPr>
          <w:ilvl w:val="1"/>
          <w:numId w:val="31"/>
        </w:numPr>
        <w:spacing w:line="276" w:lineRule="auto"/>
        <w:rPr>
          <w:iCs/>
          <w:lang w:val="en-NZ"/>
        </w:rPr>
      </w:pPr>
      <w:r w:rsidRPr="000404C4">
        <w:rPr>
          <w:iCs/>
          <w:lang w:val="en-NZ"/>
        </w:rPr>
        <w:t>These are the technical specifications required to use the application</w:t>
      </w:r>
    </w:p>
    <w:p w14:paraId="7997247D" w14:textId="184F079D" w:rsidR="0092506E" w:rsidRPr="000404C4" w:rsidRDefault="00781EEB" w:rsidP="0092506E">
      <w:pPr>
        <w:pStyle w:val="ListParagraph"/>
        <w:numPr>
          <w:ilvl w:val="0"/>
          <w:numId w:val="31"/>
        </w:numPr>
        <w:spacing w:line="276" w:lineRule="auto"/>
        <w:rPr>
          <w:iCs/>
          <w:lang w:val="en-NZ"/>
        </w:rPr>
      </w:pPr>
      <w:r>
        <w:rPr>
          <w:iCs/>
          <w:lang w:val="en-NZ"/>
        </w:rPr>
        <w:t>Able to consume dairy milk</w:t>
      </w:r>
      <w:r w:rsidR="00835F4D">
        <w:rPr>
          <w:iCs/>
          <w:lang w:val="en-NZ"/>
        </w:rPr>
        <w:t xml:space="preserve"> and gluten</w:t>
      </w:r>
    </w:p>
    <w:p w14:paraId="365FBEC1" w14:textId="77777777" w:rsidR="000404C4" w:rsidRPr="000404C4" w:rsidRDefault="000404C4" w:rsidP="000404C4">
      <w:pPr>
        <w:spacing w:line="276" w:lineRule="auto"/>
        <w:rPr>
          <w:iCs/>
          <w:lang w:val="en-NZ"/>
        </w:rPr>
      </w:pPr>
      <w:r w:rsidRPr="000404C4">
        <w:rPr>
          <w:iCs/>
          <w:lang w:val="en-NZ"/>
        </w:rPr>
        <w:t>Exclusion criteria:</w:t>
      </w:r>
    </w:p>
    <w:p w14:paraId="1225C8CF" w14:textId="56B14118" w:rsidR="00157862" w:rsidRDefault="00157862" w:rsidP="2C934468">
      <w:pPr>
        <w:pStyle w:val="ListParagraph"/>
        <w:numPr>
          <w:ilvl w:val="0"/>
          <w:numId w:val="31"/>
        </w:numPr>
        <w:spacing w:line="276" w:lineRule="auto"/>
        <w:rPr>
          <w:lang w:val="en-NZ"/>
        </w:rPr>
      </w:pPr>
      <w:r w:rsidRPr="2C934468">
        <w:rPr>
          <w:lang w:val="en-NZ"/>
        </w:rPr>
        <w:t xml:space="preserve">Type 1 diabetes </w:t>
      </w:r>
      <w:r w:rsidR="004B3A82" w:rsidRPr="2C934468">
        <w:rPr>
          <w:lang w:val="en-NZ"/>
        </w:rPr>
        <w:t>or</w:t>
      </w:r>
      <w:r w:rsidR="00C83EDD" w:rsidRPr="2C934468">
        <w:rPr>
          <w:lang w:val="en-NZ"/>
        </w:rPr>
        <w:t xml:space="preserve"> </w:t>
      </w:r>
      <w:r w:rsidR="004B3A82" w:rsidRPr="2C934468">
        <w:rPr>
          <w:lang w:val="en-NZ"/>
        </w:rPr>
        <w:t xml:space="preserve">forms of diabetes </w:t>
      </w:r>
      <w:r w:rsidR="00C83EDD" w:rsidRPr="2C934468">
        <w:rPr>
          <w:lang w:val="en-NZ"/>
        </w:rPr>
        <w:t xml:space="preserve">other than type 2. </w:t>
      </w:r>
    </w:p>
    <w:p w14:paraId="75CD0DA6" w14:textId="6702A675" w:rsidR="3E391E87" w:rsidRDefault="0091484D" w:rsidP="2C934468">
      <w:pPr>
        <w:pStyle w:val="ListParagraph"/>
        <w:numPr>
          <w:ilvl w:val="0"/>
          <w:numId w:val="31"/>
        </w:numPr>
        <w:spacing w:line="276" w:lineRule="auto"/>
        <w:rPr>
          <w:rFonts w:ascii="Calibri" w:hAnsi="Calibri"/>
          <w:lang w:val="en-NZ"/>
        </w:rPr>
      </w:pPr>
      <w:r>
        <w:rPr>
          <w:rFonts w:ascii="Calibri" w:hAnsi="Calibri"/>
          <w:lang w:val="en-NZ"/>
        </w:rPr>
        <w:t>C</w:t>
      </w:r>
      <w:r w:rsidR="3E391E87" w:rsidRPr="2C934468">
        <w:rPr>
          <w:rFonts w:ascii="Calibri" w:hAnsi="Calibri"/>
          <w:lang w:val="en-NZ"/>
        </w:rPr>
        <w:t>hanges to diabetes-related medications or dosing in the last three months</w:t>
      </w:r>
    </w:p>
    <w:p w14:paraId="4E9566BE" w14:textId="28D17224" w:rsidR="000404C4" w:rsidRPr="000404C4" w:rsidRDefault="000404C4" w:rsidP="2C934468">
      <w:pPr>
        <w:pStyle w:val="ListParagraph"/>
        <w:numPr>
          <w:ilvl w:val="0"/>
          <w:numId w:val="31"/>
        </w:numPr>
        <w:spacing w:line="276" w:lineRule="auto"/>
        <w:rPr>
          <w:lang w:val="en-NZ"/>
        </w:rPr>
      </w:pPr>
      <w:r w:rsidRPr="2C934468">
        <w:rPr>
          <w:lang w:val="en-NZ"/>
        </w:rPr>
        <w:t xml:space="preserve">Insulin </w:t>
      </w:r>
      <w:r w:rsidR="3E6147BC" w:rsidRPr="2C934468">
        <w:rPr>
          <w:lang w:val="en-NZ"/>
        </w:rPr>
        <w:t>or intention to initiate insulin</w:t>
      </w:r>
      <w:r w:rsidR="3ACFC747" w:rsidRPr="2C934468">
        <w:rPr>
          <w:lang w:val="en-NZ"/>
        </w:rPr>
        <w:t xml:space="preserve"> </w:t>
      </w:r>
      <w:r w:rsidR="3E6147BC" w:rsidRPr="2C934468">
        <w:rPr>
          <w:lang w:val="en-NZ"/>
        </w:rPr>
        <w:t>therapy during the trial</w:t>
      </w:r>
    </w:p>
    <w:p w14:paraId="5493740B" w14:textId="485BC375" w:rsidR="000404C4" w:rsidRDefault="000404C4" w:rsidP="2C934468">
      <w:pPr>
        <w:pStyle w:val="ListParagraph"/>
        <w:numPr>
          <w:ilvl w:val="1"/>
          <w:numId w:val="31"/>
        </w:numPr>
        <w:spacing w:line="276" w:lineRule="auto"/>
        <w:rPr>
          <w:lang w:val="en-NZ"/>
        </w:rPr>
      </w:pPr>
      <w:r w:rsidRPr="49379E54">
        <w:rPr>
          <w:lang w:val="en-NZ"/>
        </w:rPr>
        <w:t xml:space="preserve">Although this application may have future benefit to people living with </w:t>
      </w:r>
      <w:r w:rsidR="02491285" w:rsidRPr="49379E54">
        <w:rPr>
          <w:lang w:val="en-NZ"/>
        </w:rPr>
        <w:t>diabetes who</w:t>
      </w:r>
      <w:r w:rsidRPr="49379E54">
        <w:rPr>
          <w:lang w:val="en-NZ"/>
        </w:rPr>
        <w:t xml:space="preserve"> require insulin therapy, the use of insulin will make it difficult to assess the isolated effect of dietary change on glycaemic management.</w:t>
      </w:r>
    </w:p>
    <w:p w14:paraId="659F7949" w14:textId="6BB8B510" w:rsidR="031A58E1" w:rsidRDefault="0091484D" w:rsidP="2C934468">
      <w:pPr>
        <w:pStyle w:val="ListParagraph"/>
        <w:numPr>
          <w:ilvl w:val="0"/>
          <w:numId w:val="31"/>
        </w:numPr>
        <w:spacing w:line="276" w:lineRule="auto"/>
        <w:rPr>
          <w:rFonts w:ascii="Calibri" w:hAnsi="Calibri"/>
          <w:lang w:val="en-NZ"/>
        </w:rPr>
      </w:pPr>
      <w:r>
        <w:rPr>
          <w:rFonts w:ascii="Calibri" w:hAnsi="Calibri"/>
          <w:lang w:val="en-NZ"/>
        </w:rPr>
        <w:t>I</w:t>
      </w:r>
      <w:r w:rsidR="031A58E1" w:rsidRPr="397AB28E">
        <w:rPr>
          <w:rFonts w:ascii="Calibri" w:hAnsi="Calibri"/>
          <w:lang w:val="en-NZ"/>
        </w:rPr>
        <w:t>ntention to change dosage of anti-hyperglycaemic agents</w:t>
      </w:r>
      <w:r w:rsidR="30835B4C" w:rsidRPr="397AB28E">
        <w:rPr>
          <w:rFonts w:ascii="Calibri" w:hAnsi="Calibri"/>
          <w:lang w:val="en-NZ"/>
        </w:rPr>
        <w:t xml:space="preserve"> or initiate continuous glucose monitoring</w:t>
      </w:r>
      <w:r w:rsidR="031A58E1" w:rsidRPr="397AB28E">
        <w:rPr>
          <w:rFonts w:ascii="Calibri" w:hAnsi="Calibri"/>
          <w:lang w:val="en-NZ"/>
        </w:rPr>
        <w:t xml:space="preserve"> during the trial</w:t>
      </w:r>
    </w:p>
    <w:p w14:paraId="37D7AEDA" w14:textId="77777777" w:rsidR="006D5BC2" w:rsidRDefault="006D5BC2" w:rsidP="00D560FE">
      <w:pPr>
        <w:pStyle w:val="ListParagraph"/>
        <w:numPr>
          <w:ilvl w:val="0"/>
          <w:numId w:val="31"/>
        </w:numPr>
        <w:spacing w:line="276" w:lineRule="auto"/>
        <w:rPr>
          <w:iCs/>
          <w:lang w:val="en-NZ"/>
        </w:rPr>
      </w:pPr>
      <w:r w:rsidRPr="2C934468">
        <w:rPr>
          <w:lang w:val="en-NZ"/>
        </w:rPr>
        <w:t xml:space="preserve">Pregnancy </w:t>
      </w:r>
    </w:p>
    <w:p w14:paraId="685BA767" w14:textId="77777777" w:rsidR="00D560FE" w:rsidRDefault="00D560FE" w:rsidP="00D560FE">
      <w:pPr>
        <w:pStyle w:val="ListParagraph"/>
        <w:numPr>
          <w:ilvl w:val="0"/>
          <w:numId w:val="31"/>
        </w:numPr>
        <w:spacing w:line="276" w:lineRule="auto"/>
        <w:rPr>
          <w:iCs/>
          <w:lang w:val="en-NZ"/>
        </w:rPr>
      </w:pPr>
      <w:r w:rsidRPr="2C934468">
        <w:rPr>
          <w:lang w:val="en-NZ"/>
        </w:rPr>
        <w:t xml:space="preserve">Participation in another trial requiring a prescriptive nutritional intake. </w:t>
      </w:r>
    </w:p>
    <w:p w14:paraId="1F31FBD4" w14:textId="77777777" w:rsidR="00D560FE" w:rsidRPr="00D560FE" w:rsidRDefault="00D560FE" w:rsidP="00D560FE">
      <w:pPr>
        <w:pStyle w:val="ListParagraph"/>
        <w:numPr>
          <w:ilvl w:val="1"/>
          <w:numId w:val="31"/>
        </w:numPr>
        <w:spacing w:line="276" w:lineRule="auto"/>
        <w:rPr>
          <w:iCs/>
          <w:lang w:val="en-NZ"/>
        </w:rPr>
      </w:pPr>
      <w:r>
        <w:rPr>
          <w:iCs/>
          <w:lang w:val="en-NZ"/>
        </w:rPr>
        <w:t xml:space="preserve">As this study is examining the effect of changing nutritional intake informed by the application, the participant must be able to change their intake at will, which would contradict the other trial. </w:t>
      </w:r>
    </w:p>
    <w:p w14:paraId="5B96AC96" w14:textId="77777777" w:rsidR="000404C4" w:rsidRPr="00C36977" w:rsidRDefault="000404C4" w:rsidP="00BE4147">
      <w:pPr>
        <w:rPr>
          <w:i/>
          <w:lang w:val="en-NZ"/>
        </w:rPr>
      </w:pPr>
    </w:p>
    <w:p w14:paraId="3E67D5A7" w14:textId="5204F016" w:rsidR="00D90361" w:rsidRDefault="00866950" w:rsidP="00D90361">
      <w:pPr>
        <w:pStyle w:val="Heading3"/>
        <w:rPr>
          <w:lang w:val="en-NZ"/>
        </w:rPr>
      </w:pPr>
      <w:bookmarkStart w:id="32" w:name="_Toc149504528"/>
      <w:r w:rsidRPr="2C934468">
        <w:rPr>
          <w:lang w:val="en-NZ"/>
        </w:rPr>
        <w:t>Intervention</w:t>
      </w:r>
      <w:bookmarkEnd w:id="32"/>
    </w:p>
    <w:p w14:paraId="307C355F" w14:textId="730A4C18" w:rsidR="00D560FE" w:rsidRDefault="00D560FE" w:rsidP="49379E54">
      <w:pPr>
        <w:rPr>
          <w:lang w:val="en-NZ"/>
        </w:rPr>
      </w:pPr>
      <w:r w:rsidRPr="49379E54">
        <w:rPr>
          <w:lang w:val="en-NZ"/>
        </w:rPr>
        <w:t xml:space="preserve">Both the food tracking-only and the food and glucose-tracking applications exist on the same platform. The different functionalities of the application; the ability to record and review nutritional intake, and </w:t>
      </w:r>
      <w:r w:rsidRPr="49379E54">
        <w:rPr>
          <w:lang w:val="en-NZ"/>
        </w:rPr>
        <w:lastRenderedPageBreak/>
        <w:t xml:space="preserve">the ability to track glucose levels via the CGM, can be independently activated or inactivated through an administrative option that is not accessible to the participants, and is controlled from the Firestore database that is username and password protected. </w:t>
      </w:r>
    </w:p>
    <w:p w14:paraId="28183EDA" w14:textId="77777777" w:rsidR="004E122B" w:rsidRDefault="004E122B" w:rsidP="00D90361">
      <w:pPr>
        <w:rPr>
          <w:iCs/>
          <w:lang w:val="en-NZ"/>
        </w:rPr>
      </w:pPr>
      <w:r>
        <w:rPr>
          <w:iCs/>
          <w:lang w:val="en-NZ"/>
        </w:rPr>
        <w:t>The food-tracking functionality is shown in Figure (2):</w:t>
      </w:r>
    </w:p>
    <w:p w14:paraId="452FF3A8" w14:textId="1517E2D1" w:rsidR="004E122B" w:rsidRDefault="00800502" w:rsidP="49379E54">
      <w:pPr>
        <w:rPr>
          <w:lang w:val="en-NZ"/>
        </w:rPr>
      </w:pPr>
      <w:r>
        <w:rPr>
          <w:iCs/>
          <w:noProof/>
          <w:lang w:val="en-NZ" w:eastAsia="en-NZ"/>
        </w:rPr>
        <w:drawing>
          <wp:anchor distT="0" distB="0" distL="114300" distR="114300" simplePos="0" relativeHeight="251658243" behindDoc="0" locked="0" layoutInCell="1" allowOverlap="1" wp14:anchorId="61213DC0" wp14:editId="534AD52D">
            <wp:simplePos x="0" y="0"/>
            <wp:positionH relativeFrom="column">
              <wp:posOffset>4018280</wp:posOffset>
            </wp:positionH>
            <wp:positionV relativeFrom="paragraph">
              <wp:posOffset>518160</wp:posOffset>
            </wp:positionV>
            <wp:extent cx="1939925" cy="4221480"/>
            <wp:effectExtent l="0" t="0" r="3175" b="0"/>
            <wp:wrapTopAndBottom/>
            <wp:docPr id="128713195" name="Picture 12871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3195" name="Picture 128713195"/>
                    <pic:cNvPicPr/>
                  </pic:nvPicPr>
                  <pic:blipFill>
                    <a:blip r:embed="rId10">
                      <a:extLst>
                        <a:ext uri="{28A0092B-C50C-407E-A947-70E740481C1C}">
                          <a14:useLocalDpi xmlns:a14="http://schemas.microsoft.com/office/drawing/2010/main" val="0"/>
                        </a:ext>
                      </a:extLst>
                    </a:blip>
                    <a:stretch>
                      <a:fillRect/>
                    </a:stretch>
                  </pic:blipFill>
                  <pic:spPr>
                    <a:xfrm>
                      <a:off x="0" y="0"/>
                      <a:ext cx="1939925" cy="4221480"/>
                    </a:xfrm>
                    <a:prstGeom prst="rect">
                      <a:avLst/>
                    </a:prstGeom>
                  </pic:spPr>
                </pic:pic>
              </a:graphicData>
            </a:graphic>
            <wp14:sizeRelH relativeFrom="page">
              <wp14:pctWidth>0</wp14:pctWidth>
            </wp14:sizeRelH>
            <wp14:sizeRelV relativeFrom="page">
              <wp14:pctHeight>0</wp14:pctHeight>
            </wp14:sizeRelV>
          </wp:anchor>
        </w:drawing>
      </w:r>
      <w:r>
        <w:rPr>
          <w:iCs/>
          <w:noProof/>
          <w:lang w:val="en-NZ" w:eastAsia="en-NZ"/>
        </w:rPr>
        <w:drawing>
          <wp:anchor distT="0" distB="0" distL="114300" distR="114300" simplePos="0" relativeHeight="251658244" behindDoc="0" locked="0" layoutInCell="1" allowOverlap="1" wp14:anchorId="78E104CC" wp14:editId="6B820410">
            <wp:simplePos x="0" y="0"/>
            <wp:positionH relativeFrom="margin">
              <wp:posOffset>1851025</wp:posOffset>
            </wp:positionH>
            <wp:positionV relativeFrom="paragraph">
              <wp:posOffset>518795</wp:posOffset>
            </wp:positionV>
            <wp:extent cx="1946275" cy="4221480"/>
            <wp:effectExtent l="0" t="0" r="0" b="0"/>
            <wp:wrapTopAndBottom/>
            <wp:docPr id="853729542" name="Picture 85372954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29542" name="Picture 3" descr="A screenshot of a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46275" cy="4221480"/>
                    </a:xfrm>
                    <a:prstGeom prst="rect">
                      <a:avLst/>
                    </a:prstGeom>
                  </pic:spPr>
                </pic:pic>
              </a:graphicData>
            </a:graphic>
            <wp14:sizeRelH relativeFrom="page">
              <wp14:pctWidth>0</wp14:pctWidth>
            </wp14:sizeRelH>
            <wp14:sizeRelV relativeFrom="page">
              <wp14:pctHeight>0</wp14:pctHeight>
            </wp14:sizeRelV>
          </wp:anchor>
        </w:drawing>
      </w:r>
      <w:r w:rsidR="007F0D07">
        <w:rPr>
          <w:iCs/>
          <w:noProof/>
          <w:lang w:val="en-NZ" w:eastAsia="en-NZ"/>
        </w:rPr>
        <w:drawing>
          <wp:anchor distT="0" distB="0" distL="114300" distR="114300" simplePos="0" relativeHeight="251658241" behindDoc="0" locked="0" layoutInCell="1" allowOverlap="1" wp14:anchorId="75E2C0B0" wp14:editId="170708EA">
            <wp:simplePos x="0" y="0"/>
            <wp:positionH relativeFrom="column">
              <wp:posOffset>112395</wp:posOffset>
            </wp:positionH>
            <wp:positionV relativeFrom="paragraph">
              <wp:posOffset>462845</wp:posOffset>
            </wp:positionV>
            <wp:extent cx="1582420" cy="4277995"/>
            <wp:effectExtent l="0" t="0" r="5080" b="1905"/>
            <wp:wrapTopAndBottom/>
            <wp:docPr id="532140048" name="Picture 532140048"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40048" name="Picture 1" descr="A screenshot of a phone&#10;&#10;Description automatically generated"/>
                    <pic:cNvPicPr/>
                  </pic:nvPicPr>
                  <pic:blipFill rotWithShape="1">
                    <a:blip r:embed="rId12">
                      <a:extLst>
                        <a:ext uri="{28A0092B-C50C-407E-A947-70E740481C1C}">
                          <a14:useLocalDpi xmlns:a14="http://schemas.microsoft.com/office/drawing/2010/main" val="0"/>
                        </a:ext>
                      </a:extLst>
                    </a:blip>
                    <a:srcRect l="3444"/>
                    <a:stretch/>
                  </pic:blipFill>
                  <pic:spPr bwMode="auto">
                    <a:xfrm>
                      <a:off x="0" y="0"/>
                      <a:ext cx="1582420" cy="427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122B" w:rsidRPr="49379E54">
        <w:rPr>
          <w:b/>
          <w:bCs/>
          <w:lang w:val="en-NZ"/>
        </w:rPr>
        <w:t>Figure (</w:t>
      </w:r>
      <w:r w:rsidR="26D9461D" w:rsidRPr="49379E54">
        <w:rPr>
          <w:b/>
          <w:bCs/>
          <w:lang w:val="en-NZ"/>
        </w:rPr>
        <w:t>3</w:t>
      </w:r>
      <w:r w:rsidR="004E122B" w:rsidRPr="49379E54">
        <w:rPr>
          <w:b/>
          <w:bCs/>
          <w:lang w:val="en-NZ"/>
        </w:rPr>
        <w:t xml:space="preserve">): </w:t>
      </w:r>
      <w:r w:rsidR="004E122B" w:rsidRPr="49379E54">
        <w:rPr>
          <w:lang w:val="en-NZ"/>
        </w:rPr>
        <w:t xml:space="preserve">Food-tracking functionalities of the application: dashboard screen to review intake (left), text-based input (centre), and automated image-based input (right). </w:t>
      </w:r>
    </w:p>
    <w:p w14:paraId="5BA3524A" w14:textId="77777777" w:rsidR="004E122B" w:rsidRDefault="004E122B" w:rsidP="00D90361">
      <w:pPr>
        <w:rPr>
          <w:iCs/>
          <w:lang w:val="en-NZ"/>
        </w:rPr>
      </w:pPr>
    </w:p>
    <w:p w14:paraId="2398CE0E" w14:textId="77777777" w:rsidR="004E122B" w:rsidRDefault="007F0D07" w:rsidP="00D90361">
      <w:pPr>
        <w:rPr>
          <w:iCs/>
          <w:lang w:val="en-NZ"/>
        </w:rPr>
      </w:pPr>
      <w:r>
        <w:rPr>
          <w:iCs/>
          <w:lang w:val="en-NZ"/>
        </w:rPr>
        <w:t>The food-tracking functionality has three primary features. The first is the ability to review recorded nutritional intake using a ‘home’ or dashboard screen. This shows a sum of the energy (in kilocalories or kilojoules per user preference), carbohydrates (grams), protein (grams), and fat (grams), among a list of micro-nutrients. Per participant preference, the energy ring and numeric summary can be disabled. Recording nutritional intake is achieved using text-based input; searching an integrated database, and automated image-based input; where machine-learning algorithms recognise the food items in the camera view.</w:t>
      </w:r>
      <w:r w:rsidR="00E54EEC">
        <w:rPr>
          <w:iCs/>
          <w:lang w:val="en-NZ"/>
        </w:rPr>
        <w:t xml:space="preserve"> The navigation bar at the bottom of the screen allows users to switch between viewing the dashboard, text-based input, and image-based input. </w:t>
      </w:r>
      <w:r>
        <w:rPr>
          <w:iCs/>
          <w:lang w:val="en-NZ"/>
        </w:rPr>
        <w:t xml:space="preserve"> The text-based and image-based input uses the Passio Inc. Nutrition AI Software Development Kit, provided as in-kind funding from Passio Inc. (California, United States). </w:t>
      </w:r>
    </w:p>
    <w:p w14:paraId="3825BB83" w14:textId="77777777" w:rsidR="007F0D07" w:rsidRDefault="007F0D07" w:rsidP="00D90361">
      <w:pPr>
        <w:rPr>
          <w:iCs/>
          <w:lang w:val="en-NZ"/>
        </w:rPr>
      </w:pPr>
      <w:r>
        <w:rPr>
          <w:iCs/>
          <w:lang w:val="en-NZ"/>
        </w:rPr>
        <w:t xml:space="preserve">The glucose tracking functionality is shown in Figure (3). </w:t>
      </w:r>
    </w:p>
    <w:p w14:paraId="1A9774EC" w14:textId="77777777" w:rsidR="007F0D07" w:rsidRDefault="007F0D07" w:rsidP="00D90361">
      <w:pPr>
        <w:rPr>
          <w:iCs/>
          <w:lang w:val="en-NZ"/>
        </w:rPr>
      </w:pPr>
    </w:p>
    <w:p w14:paraId="3F6D3D87" w14:textId="283F0C67" w:rsidR="007F0D07" w:rsidRDefault="007F0D07" w:rsidP="49379E54">
      <w:pPr>
        <w:rPr>
          <w:lang w:val="en-NZ"/>
        </w:rPr>
      </w:pPr>
      <w:r w:rsidRPr="49379E54">
        <w:rPr>
          <w:b/>
          <w:bCs/>
          <w:lang w:val="en-NZ"/>
        </w:rPr>
        <w:t>Figure (</w:t>
      </w:r>
      <w:r w:rsidR="26213A98" w:rsidRPr="49379E54">
        <w:rPr>
          <w:b/>
          <w:bCs/>
          <w:lang w:val="en-NZ"/>
        </w:rPr>
        <w:t>4</w:t>
      </w:r>
      <w:r w:rsidRPr="49379E54">
        <w:rPr>
          <w:b/>
          <w:bCs/>
          <w:lang w:val="en-NZ"/>
        </w:rPr>
        <w:t xml:space="preserve">). </w:t>
      </w:r>
      <w:r w:rsidRPr="49379E54">
        <w:rPr>
          <w:lang w:val="en-NZ"/>
        </w:rPr>
        <w:t xml:space="preserve">Glucose-tracking functionality of the application. </w:t>
      </w:r>
    </w:p>
    <w:p w14:paraId="5CDE3BEF" w14:textId="77777777" w:rsidR="007F0D07" w:rsidRDefault="007F0D07" w:rsidP="00D90361">
      <w:pPr>
        <w:rPr>
          <w:iCs/>
          <w:lang w:val="en-NZ"/>
        </w:rPr>
      </w:pPr>
    </w:p>
    <w:p w14:paraId="54AE1C23" w14:textId="77777777" w:rsidR="007F0D07" w:rsidRDefault="007F0D07" w:rsidP="00D90361">
      <w:pPr>
        <w:rPr>
          <w:iCs/>
          <w:lang w:val="en-NZ"/>
        </w:rPr>
      </w:pPr>
      <w:r>
        <w:rPr>
          <w:iCs/>
          <w:noProof/>
          <w:lang w:val="en-NZ" w:eastAsia="en-NZ"/>
        </w:rPr>
        <w:lastRenderedPageBreak/>
        <w:drawing>
          <wp:anchor distT="0" distB="0" distL="114300" distR="114300" simplePos="0" relativeHeight="251658242" behindDoc="0" locked="0" layoutInCell="1" allowOverlap="1" wp14:anchorId="03EDBEEB" wp14:editId="52C202E7">
            <wp:simplePos x="0" y="0"/>
            <wp:positionH relativeFrom="margin">
              <wp:align>center</wp:align>
            </wp:positionH>
            <wp:positionV relativeFrom="paragraph">
              <wp:posOffset>282</wp:posOffset>
            </wp:positionV>
            <wp:extent cx="1671320" cy="3611880"/>
            <wp:effectExtent l="0" t="0" r="5080" b="0"/>
            <wp:wrapTopAndBottom/>
            <wp:docPr id="135546780" name="Picture 135546780"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6780" name="Picture 2" descr="A screenshot of a pho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71320" cy="3611880"/>
                    </a:xfrm>
                    <a:prstGeom prst="rect">
                      <a:avLst/>
                    </a:prstGeom>
                  </pic:spPr>
                </pic:pic>
              </a:graphicData>
            </a:graphic>
            <wp14:sizeRelH relativeFrom="page">
              <wp14:pctWidth>0</wp14:pctWidth>
            </wp14:sizeRelH>
            <wp14:sizeRelV relativeFrom="page">
              <wp14:pctHeight>0</wp14:pctHeight>
            </wp14:sizeRelV>
          </wp:anchor>
        </w:drawing>
      </w:r>
    </w:p>
    <w:p w14:paraId="367A3C2A" w14:textId="109F9AE2" w:rsidR="007F0D07" w:rsidRDefault="007F0D07" w:rsidP="216B5E3F">
      <w:pPr>
        <w:rPr>
          <w:lang w:val="en-NZ"/>
        </w:rPr>
      </w:pPr>
      <w:r w:rsidRPr="216B5E3F">
        <w:rPr>
          <w:lang w:val="en-NZ"/>
        </w:rPr>
        <w:t xml:space="preserve">The glucose-tracking shows participants a graph of their blood glucose level recorded by the continuous glucose monitor over time. The current daily average blood glucose level and last recorded blood glucose are shown above this graph. Indicators for recorded food items during the day will be </w:t>
      </w:r>
      <w:r w:rsidR="7C9E8014" w:rsidRPr="216B5E3F">
        <w:rPr>
          <w:lang w:val="en-NZ"/>
        </w:rPr>
        <w:t>shown but</w:t>
      </w:r>
      <w:r w:rsidRPr="216B5E3F">
        <w:rPr>
          <w:lang w:val="en-NZ"/>
        </w:rPr>
        <w:t xml:space="preserve"> are not displayed in Figure (3). </w:t>
      </w:r>
    </w:p>
    <w:p w14:paraId="0A62DBBF" w14:textId="56291E68" w:rsidR="007F0D07" w:rsidRDefault="007F0D07" w:rsidP="2C934468">
      <w:pPr>
        <w:rPr>
          <w:lang w:val="en-NZ"/>
        </w:rPr>
      </w:pPr>
      <w:r w:rsidRPr="49379E54">
        <w:rPr>
          <w:lang w:val="en-NZ"/>
        </w:rPr>
        <w:t xml:space="preserve">Shown in the left-most image of Figure (2) and in Figure (3) is the Food/Glucose tab-bar. This allows the user to </w:t>
      </w:r>
      <w:r w:rsidR="00E54EEC" w:rsidRPr="49379E54">
        <w:rPr>
          <w:lang w:val="en-NZ"/>
        </w:rPr>
        <w:t xml:space="preserve">switch between viewing the food-tracking and glucose-tracking. This tab-bar will only be enabled in the food and glucose-tracking application. In the food-tracking application, the user will not see the tab-bar and be unable to access the glucose functionality. </w:t>
      </w:r>
      <w:r w:rsidR="003331A4" w:rsidRPr="49379E54">
        <w:rPr>
          <w:lang w:val="en-NZ"/>
        </w:rPr>
        <w:t>At Visit 2</w:t>
      </w:r>
      <w:r w:rsidR="36973247" w:rsidRPr="49379E54">
        <w:rPr>
          <w:lang w:val="en-NZ"/>
        </w:rPr>
        <w:t xml:space="preserve"> the</w:t>
      </w:r>
      <w:r w:rsidR="003331A4" w:rsidRPr="49379E54">
        <w:rPr>
          <w:lang w:val="en-NZ"/>
        </w:rPr>
        <w:t xml:space="preserve"> blood glucose levels and trends</w:t>
      </w:r>
      <w:r w:rsidR="5F86ED05" w:rsidRPr="49379E54">
        <w:rPr>
          <w:lang w:val="en-NZ"/>
        </w:rPr>
        <w:t xml:space="preserve"> from the </w:t>
      </w:r>
      <w:r w:rsidR="514DAB4A" w:rsidRPr="49379E54">
        <w:rPr>
          <w:lang w:val="en-NZ"/>
        </w:rPr>
        <w:t>previous 10 days of blinded recording</w:t>
      </w:r>
      <w:r w:rsidR="003331A4" w:rsidRPr="49379E54">
        <w:rPr>
          <w:lang w:val="en-NZ"/>
        </w:rPr>
        <w:t xml:space="preserve"> will be </w:t>
      </w:r>
      <w:r w:rsidR="20F1CE14" w:rsidRPr="49379E54">
        <w:rPr>
          <w:lang w:val="en-NZ"/>
        </w:rPr>
        <w:t>un-blinded</w:t>
      </w:r>
      <w:r w:rsidR="001F7FC0" w:rsidRPr="49379E54">
        <w:rPr>
          <w:lang w:val="en-NZ"/>
        </w:rPr>
        <w:t xml:space="preserve"> to identify food items that have induce</w:t>
      </w:r>
      <w:r w:rsidR="00E62898" w:rsidRPr="49379E54">
        <w:rPr>
          <w:lang w:val="en-NZ"/>
        </w:rPr>
        <w:t>d</w:t>
      </w:r>
      <w:r w:rsidR="001F7FC0" w:rsidRPr="49379E54">
        <w:rPr>
          <w:lang w:val="en-NZ"/>
        </w:rPr>
        <w:t xml:space="preserve"> post-prandial hyperglycaemia, and the participant will be encouraged to avoid these food items </w:t>
      </w:r>
      <w:r w:rsidR="00835F4D" w:rsidRPr="49379E54">
        <w:rPr>
          <w:lang w:val="en-NZ"/>
        </w:rPr>
        <w:t>and choose a lower glycaemic index</w:t>
      </w:r>
      <w:r w:rsidR="00A92D5D" w:rsidRPr="49379E54">
        <w:rPr>
          <w:lang w:val="en-NZ"/>
        </w:rPr>
        <w:t xml:space="preserve"> or lower carbohydrate</w:t>
      </w:r>
      <w:r w:rsidR="00835F4D" w:rsidRPr="49379E54">
        <w:rPr>
          <w:lang w:val="en-NZ"/>
        </w:rPr>
        <w:t xml:space="preserve"> alternative</w:t>
      </w:r>
      <w:r w:rsidR="006551D9" w:rsidRPr="49379E54">
        <w:rPr>
          <w:lang w:val="en-NZ"/>
        </w:rPr>
        <w:t>.</w:t>
      </w:r>
      <w:r w:rsidR="32598E06" w:rsidRPr="49379E54">
        <w:rPr>
          <w:lang w:val="en-NZ"/>
        </w:rPr>
        <w:t xml:space="preserve"> Identifying food items that result in post-prandial</w:t>
      </w:r>
      <w:r w:rsidR="006551D9" w:rsidRPr="49379E54">
        <w:rPr>
          <w:lang w:val="en-NZ"/>
        </w:rPr>
        <w:t xml:space="preserve"> </w:t>
      </w:r>
      <w:r w:rsidR="6E4893B1" w:rsidRPr="49379E54">
        <w:rPr>
          <w:lang w:val="en-NZ"/>
        </w:rPr>
        <w:t>hyperglycaemia will involve assessing the absolute rise in blood glucose after the meal, ideally avoiding any foods that raise blood glucose by more than 3 mmol/L</w:t>
      </w:r>
      <w:r w:rsidR="1AD67406" w:rsidRPr="49379E54">
        <w:rPr>
          <w:lang w:val="en-NZ"/>
        </w:rPr>
        <w:t>.</w:t>
      </w:r>
      <w:r w:rsidR="6E4893B1" w:rsidRPr="49379E54">
        <w:rPr>
          <w:lang w:val="en-NZ"/>
        </w:rPr>
        <w:t xml:space="preserve"> </w:t>
      </w:r>
      <w:r w:rsidR="006551D9" w:rsidRPr="49379E54">
        <w:rPr>
          <w:lang w:val="en-NZ"/>
        </w:rPr>
        <w:t xml:space="preserve">This review process also functions </w:t>
      </w:r>
      <w:r w:rsidR="00854A08" w:rsidRPr="49379E54">
        <w:rPr>
          <w:lang w:val="en-NZ"/>
        </w:rPr>
        <w:t xml:space="preserve">as an example of how to </w:t>
      </w:r>
      <w:r w:rsidR="4569D3FF" w:rsidRPr="49379E54">
        <w:rPr>
          <w:lang w:val="en-NZ"/>
        </w:rPr>
        <w:t xml:space="preserve">review </w:t>
      </w:r>
      <w:r w:rsidR="00854A08" w:rsidRPr="49379E54">
        <w:rPr>
          <w:lang w:val="en-NZ"/>
        </w:rPr>
        <w:t xml:space="preserve">and apply the application feedback. </w:t>
      </w:r>
    </w:p>
    <w:p w14:paraId="0D94E29D" w14:textId="77777777" w:rsidR="003331A4" w:rsidRDefault="003331A4" w:rsidP="00D90361">
      <w:pPr>
        <w:rPr>
          <w:iCs/>
          <w:lang w:val="en-NZ"/>
        </w:rPr>
      </w:pPr>
      <w:r>
        <w:rPr>
          <w:iCs/>
          <w:lang w:val="en-NZ"/>
        </w:rPr>
        <w:t>The food-tracking functionality will be enabled throughout the study. Food-tracking</w:t>
      </w:r>
      <w:r w:rsidR="00AD71D0">
        <w:rPr>
          <w:iCs/>
          <w:lang w:val="en-NZ"/>
        </w:rPr>
        <w:t xml:space="preserve"> is significantly affected by under-reporting, a well-recognised issue in dietary assessment. </w:t>
      </w:r>
      <w:r w:rsidR="00ED4F74">
        <w:rPr>
          <w:iCs/>
          <w:lang w:val="en-NZ"/>
        </w:rPr>
        <w:t>Our previous work</w:t>
      </w:r>
      <w:r w:rsidR="00AD71D0">
        <w:rPr>
          <w:iCs/>
          <w:lang w:val="en-NZ"/>
        </w:rPr>
        <w:t xml:space="preserve"> has shown that prompts to record dietary intake improve the reporting rate for image-based dietary assessment, especially if those prompts are sent at time-points close to the participants meal-times.</w:t>
      </w:r>
      <w:r w:rsidR="007735E3">
        <w:rPr>
          <w:iCs/>
          <w:lang w:val="en-NZ"/>
        </w:rPr>
        <w:t xml:space="preserve"> Adherence to the food-tracking functionality is particularly important to this study as we examine post-prandial hyperglycaemia, which can only be assessed if the meal timing is known.</w:t>
      </w:r>
      <w:r w:rsidR="00AD71D0">
        <w:rPr>
          <w:iCs/>
          <w:lang w:val="en-NZ"/>
        </w:rPr>
        <w:t xml:space="preserve"> </w:t>
      </w:r>
      <w:r w:rsidR="00ED4F74">
        <w:rPr>
          <w:iCs/>
          <w:lang w:val="en-NZ"/>
        </w:rPr>
        <w:t xml:space="preserve">We have developed a novel algorithm to determine the timing of these prompts, shown below in Figure (4). </w:t>
      </w:r>
    </w:p>
    <w:p w14:paraId="23C66BAA" w14:textId="77777777" w:rsidR="00ED4F74" w:rsidRDefault="00ED4F74" w:rsidP="00D90361">
      <w:pPr>
        <w:rPr>
          <w:iCs/>
          <w:lang w:val="en-NZ"/>
        </w:rPr>
      </w:pPr>
    </w:p>
    <w:p w14:paraId="0E1D2F4E" w14:textId="27729657" w:rsidR="007735E3" w:rsidRPr="00800502" w:rsidRDefault="00ED4F74" w:rsidP="49379E54">
      <w:pPr>
        <w:rPr>
          <w:lang w:val="en-NZ"/>
        </w:rPr>
      </w:pPr>
      <w:r w:rsidRPr="49379E54">
        <w:rPr>
          <w:b/>
          <w:bCs/>
          <w:lang w:val="en-NZ"/>
        </w:rPr>
        <w:t>Figure (</w:t>
      </w:r>
      <w:r w:rsidR="17405FC6" w:rsidRPr="49379E54">
        <w:rPr>
          <w:b/>
          <w:bCs/>
          <w:lang w:val="en-NZ"/>
        </w:rPr>
        <w:t>5</w:t>
      </w:r>
      <w:r w:rsidRPr="49379E54">
        <w:rPr>
          <w:b/>
          <w:bCs/>
          <w:lang w:val="en-NZ"/>
        </w:rPr>
        <w:t xml:space="preserve">). </w:t>
      </w:r>
      <w:r w:rsidRPr="49379E54">
        <w:rPr>
          <w:lang w:val="en-NZ"/>
        </w:rPr>
        <w:t xml:space="preserve">Overview of novel energy-weighted prompt algorithm. </w:t>
      </w:r>
    </w:p>
    <w:p w14:paraId="10AC6EF3" w14:textId="77777777" w:rsidR="00ED4F74" w:rsidRPr="007735E3" w:rsidRDefault="007735E3" w:rsidP="49379E54">
      <w:pPr>
        <w:rPr>
          <w:i/>
          <w:iCs/>
          <w:sz w:val="18"/>
          <w:szCs w:val="18"/>
          <w:lang w:val="en-NZ"/>
        </w:rPr>
      </w:pPr>
      <w:r w:rsidRPr="007735E3">
        <w:rPr>
          <w:i/>
          <w:noProof/>
          <w:sz w:val="18"/>
          <w:szCs w:val="18"/>
          <w:lang w:val="en-NZ" w:eastAsia="en-NZ"/>
        </w:rPr>
        <w:lastRenderedPageBreak/>
        <w:drawing>
          <wp:anchor distT="0" distB="0" distL="114300" distR="114300" simplePos="0" relativeHeight="251658245" behindDoc="0" locked="0" layoutInCell="1" allowOverlap="1" wp14:anchorId="77F64755" wp14:editId="3E1B8BE7">
            <wp:simplePos x="0" y="0"/>
            <wp:positionH relativeFrom="column">
              <wp:posOffset>0</wp:posOffset>
            </wp:positionH>
            <wp:positionV relativeFrom="paragraph">
              <wp:posOffset>56021</wp:posOffset>
            </wp:positionV>
            <wp:extent cx="5731510" cy="2173605"/>
            <wp:effectExtent l="0" t="0" r="0" b="0"/>
            <wp:wrapTopAndBottom/>
            <wp:docPr id="1175069941" name="Picture 117506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69941" name="Picture 1175069941"/>
                    <pic:cNvPicPr/>
                  </pic:nvPicPr>
                  <pic:blipFill>
                    <a:blip r:embed="rId14">
                      <a:extLst>
                        <a:ext uri="{28A0092B-C50C-407E-A947-70E740481C1C}">
                          <a14:useLocalDpi xmlns:a14="http://schemas.microsoft.com/office/drawing/2010/main" val="0"/>
                        </a:ext>
                      </a:extLst>
                    </a:blip>
                    <a:stretch>
                      <a:fillRect/>
                    </a:stretch>
                  </pic:blipFill>
                  <pic:spPr>
                    <a:xfrm>
                      <a:off x="0" y="0"/>
                      <a:ext cx="5731510" cy="2173605"/>
                    </a:xfrm>
                    <a:prstGeom prst="rect">
                      <a:avLst/>
                    </a:prstGeom>
                  </pic:spPr>
                </pic:pic>
              </a:graphicData>
            </a:graphic>
            <wp14:sizeRelH relativeFrom="page">
              <wp14:pctWidth>0</wp14:pctWidth>
            </wp14:sizeRelH>
            <wp14:sizeRelV relativeFrom="page">
              <wp14:pctHeight>0</wp14:pctHeight>
            </wp14:sizeRelV>
          </wp:anchor>
        </w:drawing>
      </w:r>
      <w:r w:rsidRPr="49379E54">
        <w:rPr>
          <w:i/>
          <w:iCs/>
          <w:sz w:val="18"/>
          <w:szCs w:val="18"/>
          <w:lang w:val="en-NZ"/>
        </w:rPr>
        <w:t xml:space="preserve">Each food item recorded in the food log has an associated time and energy value. Each food item is categorised into a meal-time as a breakfast, lunch, or dinner item by time. Within each meal-time label, the time and energy value of each food item is used to calculate an energy-weighted time average. If the user reports to the application during set-up that they regularly eat breakfast, lunch, or dinner, they will receive a prompt at the energy-weighted mean time-point. </w:t>
      </w:r>
    </w:p>
    <w:p w14:paraId="422908D0" w14:textId="77777777" w:rsidR="007735E3" w:rsidRDefault="007735E3" w:rsidP="00D90361">
      <w:pPr>
        <w:rPr>
          <w:i/>
          <w:lang w:val="en-NZ"/>
        </w:rPr>
      </w:pPr>
    </w:p>
    <w:p w14:paraId="3B43F7AB" w14:textId="77777777" w:rsidR="00ED4F74" w:rsidRDefault="007735E3" w:rsidP="00D90361">
      <w:pPr>
        <w:rPr>
          <w:iCs/>
          <w:lang w:val="en-NZ"/>
        </w:rPr>
      </w:pPr>
      <w:r>
        <w:rPr>
          <w:iCs/>
          <w:lang w:val="en-NZ"/>
        </w:rPr>
        <w:t xml:space="preserve">This energy-weighted prompt algorithm will be active while the participant uses the application. This is algorithm is intended to increase adherence to the food-tracking functionality of the baseline and intervention periods. </w:t>
      </w:r>
    </w:p>
    <w:p w14:paraId="3981285F" w14:textId="37498FB2" w:rsidR="005D3F2E" w:rsidRPr="00ED4F74" w:rsidRDefault="00A6427E" w:rsidP="49379E54">
      <w:pPr>
        <w:rPr>
          <w:lang w:val="en-NZ"/>
        </w:rPr>
      </w:pPr>
      <w:r w:rsidRPr="49379E54">
        <w:rPr>
          <w:lang w:val="en-NZ"/>
        </w:rPr>
        <w:t>Inter- and intra-individual variability of post-prandial hyperglycaemic responses will be assessed using two identical meals;</w:t>
      </w:r>
      <w:r w:rsidR="00954D03" w:rsidRPr="49379E54">
        <w:rPr>
          <w:lang w:val="en-NZ"/>
        </w:rPr>
        <w:t xml:space="preserve"> Kellogg’s cornflakes and Kellogg’s All-Bran cereal</w:t>
      </w:r>
      <w:r w:rsidR="00A16854" w:rsidRPr="49379E54">
        <w:rPr>
          <w:lang w:val="en-NZ"/>
        </w:rPr>
        <w:t xml:space="preserve"> </w:t>
      </w:r>
      <w:r w:rsidR="00D03818">
        <w:t>and individual dairy milk packages</w:t>
      </w:r>
      <w:r w:rsidR="00954D03" w:rsidRPr="49379E54">
        <w:rPr>
          <w:lang w:val="en-NZ"/>
        </w:rPr>
        <w:t xml:space="preserve">. These items were selected for their high and low glycaemic indices, respectively. </w:t>
      </w:r>
    </w:p>
    <w:p w14:paraId="2AF6A8C4" w14:textId="77777777" w:rsidR="00A345E1" w:rsidRDefault="00D90361" w:rsidP="00DF0886">
      <w:pPr>
        <w:pStyle w:val="Heading3"/>
        <w:rPr>
          <w:lang w:val="en-NZ"/>
        </w:rPr>
      </w:pPr>
      <w:bookmarkStart w:id="33" w:name="_Toc149504529"/>
      <w:r>
        <w:rPr>
          <w:lang w:val="en-NZ"/>
        </w:rPr>
        <w:t>Concomitant care and co-interventions</w:t>
      </w:r>
      <w:bookmarkEnd w:id="33"/>
      <w:r w:rsidR="00866950">
        <w:rPr>
          <w:lang w:val="en-NZ"/>
        </w:rPr>
        <w:t xml:space="preserve"> </w:t>
      </w:r>
    </w:p>
    <w:p w14:paraId="53B54264" w14:textId="77777777" w:rsidR="007735E3" w:rsidRDefault="007026A0" w:rsidP="00DB4742">
      <w:pPr>
        <w:rPr>
          <w:iCs/>
          <w:lang w:val="en-NZ"/>
        </w:rPr>
      </w:pPr>
      <w:r>
        <w:rPr>
          <w:iCs/>
          <w:lang w:val="en-NZ"/>
        </w:rPr>
        <w:t>Concomitant care</w:t>
      </w:r>
      <w:r w:rsidR="00986C7E">
        <w:rPr>
          <w:iCs/>
          <w:lang w:val="en-NZ"/>
        </w:rPr>
        <w:t xml:space="preserve"> will remain with the usual primary care team and </w:t>
      </w:r>
      <w:r>
        <w:rPr>
          <w:iCs/>
          <w:lang w:val="en-NZ"/>
        </w:rPr>
        <w:t xml:space="preserve">will be unaffected during this trial. Participants will be asked </w:t>
      </w:r>
      <w:r w:rsidR="001F7FC0">
        <w:rPr>
          <w:iCs/>
          <w:lang w:val="en-NZ"/>
        </w:rPr>
        <w:t xml:space="preserve">to monitor their blood sugar as they normally do between Visit 1 and 2. </w:t>
      </w:r>
    </w:p>
    <w:p w14:paraId="6BC0D256" w14:textId="77777777" w:rsidR="00800502" w:rsidRPr="007735E3" w:rsidRDefault="00800502" w:rsidP="00DB4742">
      <w:pPr>
        <w:rPr>
          <w:iCs/>
          <w:lang w:val="en-NZ"/>
        </w:rPr>
      </w:pPr>
    </w:p>
    <w:p w14:paraId="5F522F8A" w14:textId="77777777" w:rsidR="00A345E1" w:rsidRDefault="00A345E1" w:rsidP="003D6FCC">
      <w:pPr>
        <w:pStyle w:val="Heading3"/>
        <w:rPr>
          <w:lang w:val="en-NZ"/>
        </w:rPr>
      </w:pPr>
      <w:bookmarkStart w:id="34" w:name="_Toc441512381"/>
      <w:bookmarkStart w:id="35" w:name="_Toc441520809"/>
      <w:bookmarkStart w:id="36" w:name="_Toc441521025"/>
      <w:bookmarkStart w:id="37" w:name="_Toc149504530"/>
      <w:r>
        <w:rPr>
          <w:lang w:val="en-NZ"/>
        </w:rPr>
        <w:t>Outcomes</w:t>
      </w:r>
      <w:bookmarkEnd w:id="34"/>
      <w:bookmarkEnd w:id="35"/>
      <w:bookmarkEnd w:id="36"/>
      <w:bookmarkEnd w:id="37"/>
    </w:p>
    <w:p w14:paraId="6EF6BC8A" w14:textId="77777777" w:rsidR="00186BFB" w:rsidRDefault="00186BFB" w:rsidP="008667AE">
      <w:pPr>
        <w:rPr>
          <w:rFonts w:cs="Arial"/>
          <w:i/>
          <w:color w:val="000000"/>
        </w:rPr>
      </w:pPr>
    </w:p>
    <w:p w14:paraId="0AABDA32" w14:textId="77777777" w:rsidR="00AA6C0A" w:rsidRDefault="00AA6C0A" w:rsidP="49379E54">
      <w:pPr>
        <w:pStyle w:val="ListParagraph"/>
        <w:numPr>
          <w:ilvl w:val="0"/>
          <w:numId w:val="35"/>
        </w:numPr>
        <w:rPr>
          <w:rFonts w:cs="Arial"/>
          <w:color w:val="000000"/>
        </w:rPr>
      </w:pPr>
      <w:r w:rsidRPr="49379E54">
        <w:rPr>
          <w:rFonts w:cs="Arial"/>
          <w:color w:val="000000" w:themeColor="text1"/>
        </w:rPr>
        <w:t>Time-in-range (TIR%)</w:t>
      </w:r>
      <w:r w:rsidR="0026008C" w:rsidRPr="49379E54">
        <w:rPr>
          <w:rFonts w:cs="Arial"/>
          <w:color w:val="000000" w:themeColor="text1"/>
        </w:rPr>
        <w:t>:</w:t>
      </w:r>
    </w:p>
    <w:p w14:paraId="7DDE5E64" w14:textId="77777777" w:rsidR="0026008C" w:rsidRPr="004D5630" w:rsidRDefault="00AA6C0A" w:rsidP="00AA6C0A">
      <w:pPr>
        <w:pStyle w:val="ListParagraph"/>
        <w:numPr>
          <w:ilvl w:val="1"/>
          <w:numId w:val="35"/>
        </w:numPr>
        <w:rPr>
          <w:rFonts w:cs="Arial"/>
          <w:iCs/>
          <w:color w:val="000000"/>
        </w:rPr>
      </w:pPr>
      <w:r>
        <w:t xml:space="preserve">The time during a 24-hour period spent with blood glucose between 3.9 and 10mmol/L, expressed as a percentage. </w:t>
      </w:r>
    </w:p>
    <w:p w14:paraId="56D8254D" w14:textId="77777777" w:rsidR="00AA6C0A" w:rsidRPr="004D5630" w:rsidRDefault="00AA6C0A" w:rsidP="00AA6C0A">
      <w:pPr>
        <w:pStyle w:val="ListParagraph"/>
        <w:numPr>
          <w:ilvl w:val="1"/>
          <w:numId w:val="35"/>
        </w:numPr>
        <w:rPr>
          <w:rFonts w:cs="Arial"/>
          <w:iCs/>
          <w:color w:val="000000"/>
        </w:rPr>
      </w:pPr>
      <w:r>
        <w:t xml:space="preserve">The TIR% of Day 1 to 10 after Visit 1 (Visit 1 being V1 Day 0), and Day 11-20 after Visit 2 (Visit 2 being V2 Day 0) will be included in analysis. </w:t>
      </w:r>
    </w:p>
    <w:p w14:paraId="3D1BE84B" w14:textId="77777777" w:rsidR="0026008C" w:rsidRPr="004D5630" w:rsidRDefault="0026008C" w:rsidP="49379E54">
      <w:pPr>
        <w:pStyle w:val="ListParagraph"/>
        <w:numPr>
          <w:ilvl w:val="1"/>
          <w:numId w:val="35"/>
        </w:numPr>
        <w:rPr>
          <w:rFonts w:cs="Arial"/>
          <w:color w:val="000000"/>
        </w:rPr>
      </w:pPr>
      <w:r>
        <w:t xml:space="preserve">These will be compared using a paired t-test. </w:t>
      </w:r>
    </w:p>
    <w:p w14:paraId="64D6E000" w14:textId="0FF66A91" w:rsidR="5BB48D10" w:rsidRDefault="5BB48D10" w:rsidP="49379E54">
      <w:pPr>
        <w:pStyle w:val="ListParagraph"/>
        <w:numPr>
          <w:ilvl w:val="0"/>
          <w:numId w:val="35"/>
        </w:numPr>
        <w:rPr>
          <w:rFonts w:ascii="Calibri" w:hAnsi="Calibri"/>
          <w:color w:val="000000" w:themeColor="text1"/>
        </w:rPr>
      </w:pPr>
      <w:r w:rsidRPr="49379E54">
        <w:rPr>
          <w:rFonts w:ascii="Calibri" w:hAnsi="Calibri"/>
          <w:color w:val="000000" w:themeColor="text1"/>
        </w:rPr>
        <w:t>Post-prandial incremental area under curve (</w:t>
      </w:r>
      <w:proofErr w:type="spellStart"/>
      <w:r w:rsidRPr="49379E54">
        <w:rPr>
          <w:rFonts w:ascii="Calibri" w:hAnsi="Calibri"/>
          <w:color w:val="000000" w:themeColor="text1"/>
        </w:rPr>
        <w:t>iAUC</w:t>
      </w:r>
      <w:proofErr w:type="spellEnd"/>
      <w:r w:rsidRPr="49379E54">
        <w:rPr>
          <w:rFonts w:ascii="Calibri" w:hAnsi="Calibri"/>
          <w:color w:val="000000" w:themeColor="text1"/>
        </w:rPr>
        <w:t>):</w:t>
      </w:r>
    </w:p>
    <w:p w14:paraId="2B091488" w14:textId="3A674FF6" w:rsidR="5BB48D10" w:rsidRDefault="5BB48D10" w:rsidP="49379E54">
      <w:pPr>
        <w:pStyle w:val="ListParagraph"/>
        <w:numPr>
          <w:ilvl w:val="1"/>
          <w:numId w:val="35"/>
        </w:numPr>
        <w:rPr>
          <w:rFonts w:ascii="Calibri" w:hAnsi="Calibri"/>
          <w:color w:val="000000" w:themeColor="text1"/>
        </w:rPr>
      </w:pPr>
      <w:r w:rsidRPr="49379E54">
        <w:rPr>
          <w:rFonts w:ascii="Calibri" w:hAnsi="Calibri"/>
          <w:color w:val="000000" w:themeColor="text1"/>
        </w:rPr>
        <w:t>The area under the glucose curve in the three hours after a recorded meal</w:t>
      </w:r>
      <w:r w:rsidR="0816EE47" w:rsidRPr="49379E54">
        <w:rPr>
          <w:rFonts w:ascii="Calibri" w:hAnsi="Calibri"/>
          <w:color w:val="000000" w:themeColor="text1"/>
        </w:rPr>
        <w:t xml:space="preserve">, with the baseline set at the most recent pre-prandial blood glucose. </w:t>
      </w:r>
    </w:p>
    <w:p w14:paraId="4073EB57" w14:textId="0E0C9F95" w:rsidR="0816EE47" w:rsidRDefault="0816EE47" w:rsidP="49379E54">
      <w:pPr>
        <w:pStyle w:val="ListParagraph"/>
        <w:numPr>
          <w:ilvl w:val="1"/>
          <w:numId w:val="35"/>
        </w:numPr>
        <w:rPr>
          <w:rFonts w:ascii="Calibri" w:hAnsi="Calibri"/>
          <w:color w:val="000000" w:themeColor="text1"/>
        </w:rPr>
      </w:pPr>
      <w:r w:rsidRPr="216B5E3F">
        <w:rPr>
          <w:rFonts w:ascii="Calibri" w:hAnsi="Calibri"/>
          <w:color w:val="000000" w:themeColor="text1"/>
        </w:rPr>
        <w:t xml:space="preserve">The post-prandial </w:t>
      </w:r>
      <w:proofErr w:type="spellStart"/>
      <w:r w:rsidRPr="216B5E3F">
        <w:rPr>
          <w:rFonts w:ascii="Calibri" w:hAnsi="Calibri"/>
          <w:color w:val="000000" w:themeColor="text1"/>
        </w:rPr>
        <w:t>iAUC</w:t>
      </w:r>
      <w:proofErr w:type="spellEnd"/>
      <w:r w:rsidRPr="216B5E3F">
        <w:rPr>
          <w:rFonts w:ascii="Calibri" w:hAnsi="Calibri"/>
          <w:color w:val="000000" w:themeColor="text1"/>
        </w:rPr>
        <w:t xml:space="preserve"> of Day 1 to 10 after Visit 1 (Visit 1 being V1 Day 0) and Da</w:t>
      </w:r>
      <w:r w:rsidR="68F5271F" w:rsidRPr="216B5E3F">
        <w:rPr>
          <w:rFonts w:ascii="Calibri" w:hAnsi="Calibri"/>
          <w:color w:val="000000" w:themeColor="text1"/>
        </w:rPr>
        <w:t>y</w:t>
      </w:r>
      <w:r w:rsidRPr="216B5E3F">
        <w:rPr>
          <w:rFonts w:ascii="Calibri" w:hAnsi="Calibri"/>
          <w:color w:val="000000" w:themeColor="text1"/>
        </w:rPr>
        <w:t xml:space="preserve"> 11-20 after Visit 2 (Visit 2 being V2 Day) will be included in </w:t>
      </w:r>
      <w:proofErr w:type="gramStart"/>
      <w:r w:rsidRPr="216B5E3F">
        <w:rPr>
          <w:rFonts w:ascii="Calibri" w:hAnsi="Calibri"/>
          <w:color w:val="000000" w:themeColor="text1"/>
        </w:rPr>
        <w:t>analysis</w:t>
      </w:r>
      <w:proofErr w:type="gramEnd"/>
    </w:p>
    <w:p w14:paraId="1FA96F1E" w14:textId="7BE2E5C3" w:rsidR="0816EE47" w:rsidRDefault="0816EE47" w:rsidP="49379E54">
      <w:pPr>
        <w:pStyle w:val="ListParagraph"/>
        <w:numPr>
          <w:ilvl w:val="1"/>
          <w:numId w:val="35"/>
        </w:numPr>
        <w:rPr>
          <w:rFonts w:ascii="Calibri" w:hAnsi="Calibri"/>
          <w:color w:val="000000" w:themeColor="text1"/>
        </w:rPr>
      </w:pPr>
      <w:r w:rsidRPr="49379E54">
        <w:rPr>
          <w:rFonts w:ascii="Calibri" w:hAnsi="Calibri"/>
          <w:color w:val="000000" w:themeColor="text1"/>
        </w:rPr>
        <w:t>These will be compared using a paired t-</w:t>
      </w:r>
      <w:proofErr w:type="gramStart"/>
      <w:r w:rsidRPr="49379E54">
        <w:rPr>
          <w:rFonts w:ascii="Calibri" w:hAnsi="Calibri"/>
          <w:color w:val="000000" w:themeColor="text1"/>
        </w:rPr>
        <w:t>test</w:t>
      </w:r>
      <w:proofErr w:type="gramEnd"/>
    </w:p>
    <w:p w14:paraId="72AB5F9B" w14:textId="77777777" w:rsidR="00AA6C0A" w:rsidRPr="004D5630" w:rsidRDefault="0026008C" w:rsidP="00AA6C0A">
      <w:pPr>
        <w:pStyle w:val="ListParagraph"/>
        <w:numPr>
          <w:ilvl w:val="0"/>
          <w:numId w:val="35"/>
        </w:numPr>
        <w:rPr>
          <w:rFonts w:cs="Arial"/>
          <w:iCs/>
          <w:color w:val="000000"/>
        </w:rPr>
      </w:pPr>
      <w:r>
        <w:t>Duration of p</w:t>
      </w:r>
      <w:r w:rsidR="00AA6C0A">
        <w:t>ost-prandial hyper-glycaemia</w:t>
      </w:r>
      <w:r>
        <w:t>:</w:t>
      </w:r>
    </w:p>
    <w:p w14:paraId="337FBFC3" w14:textId="77777777" w:rsidR="0026008C" w:rsidRPr="004D5630" w:rsidRDefault="00AA6C0A" w:rsidP="00AA6C0A">
      <w:pPr>
        <w:pStyle w:val="ListParagraph"/>
        <w:numPr>
          <w:ilvl w:val="1"/>
          <w:numId w:val="35"/>
        </w:numPr>
        <w:rPr>
          <w:rFonts w:cs="Arial"/>
          <w:iCs/>
          <w:color w:val="000000"/>
        </w:rPr>
      </w:pPr>
      <w:r>
        <w:t xml:space="preserve">The </w:t>
      </w:r>
      <w:r w:rsidR="0026008C">
        <w:t xml:space="preserve">total </w:t>
      </w:r>
      <w:r>
        <w:t xml:space="preserve">time during the three hours after </w:t>
      </w:r>
      <w:r w:rsidR="0026008C">
        <w:t>each</w:t>
      </w:r>
      <w:r>
        <w:t xml:space="preserve"> </w:t>
      </w:r>
      <w:r w:rsidR="0026008C">
        <w:t xml:space="preserve">recorded </w:t>
      </w:r>
      <w:r>
        <w:t xml:space="preserve">meal spent with blood glucose above 10 mmol/L, expressed as a percentage. </w:t>
      </w:r>
    </w:p>
    <w:p w14:paraId="46EC5875" w14:textId="77777777" w:rsidR="0026008C" w:rsidRPr="004D5630" w:rsidRDefault="0026008C" w:rsidP="00AA6C0A">
      <w:pPr>
        <w:pStyle w:val="ListParagraph"/>
        <w:numPr>
          <w:ilvl w:val="1"/>
          <w:numId w:val="35"/>
        </w:numPr>
        <w:rPr>
          <w:rFonts w:cs="Arial"/>
          <w:iCs/>
          <w:color w:val="000000"/>
        </w:rPr>
      </w:pPr>
      <w:r>
        <w:t xml:space="preserve">A meal is defined as any number of food items recorded within 1 hour of each other. </w:t>
      </w:r>
    </w:p>
    <w:p w14:paraId="740A5851" w14:textId="38C06AB2" w:rsidR="00AA6C0A" w:rsidRPr="004D5630" w:rsidRDefault="0026008C" w:rsidP="397AB28E">
      <w:pPr>
        <w:pStyle w:val="ListParagraph"/>
        <w:numPr>
          <w:ilvl w:val="1"/>
          <w:numId w:val="35"/>
        </w:numPr>
        <w:rPr>
          <w:rFonts w:cs="Arial"/>
          <w:color w:val="000000"/>
        </w:rPr>
      </w:pPr>
      <w:r>
        <w:t>The post-prandial hyperglycaemia of Day 1 to 10 after Visit 1, and Day 11-</w:t>
      </w:r>
      <w:r w:rsidR="7A550513">
        <w:t>3</w:t>
      </w:r>
      <w:r>
        <w:t xml:space="preserve">0 </w:t>
      </w:r>
      <w:r w:rsidR="5BE0AB85">
        <w:t xml:space="preserve">(the 20 days following Visit 2) </w:t>
      </w:r>
      <w:r>
        <w:t>after Visit 2 will be included in analysis.</w:t>
      </w:r>
    </w:p>
    <w:p w14:paraId="4BEB1722" w14:textId="77777777" w:rsidR="0026008C" w:rsidRPr="001646E4" w:rsidRDefault="0026008C" w:rsidP="00AA6C0A">
      <w:pPr>
        <w:pStyle w:val="ListParagraph"/>
        <w:numPr>
          <w:ilvl w:val="1"/>
          <w:numId w:val="35"/>
        </w:numPr>
        <w:rPr>
          <w:rFonts w:cs="Arial"/>
          <w:iCs/>
          <w:color w:val="000000"/>
        </w:rPr>
      </w:pPr>
      <w:r>
        <w:lastRenderedPageBreak/>
        <w:t xml:space="preserve">These will be compared using a paired t-test. </w:t>
      </w:r>
    </w:p>
    <w:p w14:paraId="2F615D0A" w14:textId="77777777" w:rsidR="005948F3" w:rsidRPr="001646E4" w:rsidRDefault="005948F3" w:rsidP="005948F3">
      <w:pPr>
        <w:pStyle w:val="ListParagraph"/>
        <w:numPr>
          <w:ilvl w:val="0"/>
          <w:numId w:val="35"/>
        </w:numPr>
        <w:rPr>
          <w:rFonts w:cs="Arial"/>
          <w:iCs/>
          <w:color w:val="000000"/>
        </w:rPr>
      </w:pPr>
      <w:r>
        <w:t>Intra-individual and inter-individual variability:</w:t>
      </w:r>
    </w:p>
    <w:p w14:paraId="7645CB3F" w14:textId="270DD134" w:rsidR="005948F3" w:rsidRPr="001646E4" w:rsidRDefault="005948F3" w:rsidP="49379E54">
      <w:pPr>
        <w:pStyle w:val="ListParagraph"/>
        <w:numPr>
          <w:ilvl w:val="1"/>
          <w:numId w:val="35"/>
        </w:numPr>
        <w:rPr>
          <w:rFonts w:cs="Arial"/>
          <w:color w:val="000000"/>
        </w:rPr>
      </w:pPr>
      <w:r>
        <w:t xml:space="preserve">Intra-individual: standard deviations in </w:t>
      </w:r>
      <w:r w:rsidR="5E3C7887">
        <w:t xml:space="preserve">the post-prandial </w:t>
      </w:r>
      <w:proofErr w:type="spellStart"/>
      <w:r w:rsidR="5E3C7887">
        <w:t>iAUC</w:t>
      </w:r>
      <w:proofErr w:type="spellEnd"/>
      <w:r w:rsidR="5E4DA44B">
        <w:t xml:space="preserve"> in the three hours</w:t>
      </w:r>
      <w:r w:rsidR="5E3C7887">
        <w:t xml:space="preserve"> following consumption of the provided meals</w:t>
      </w:r>
      <w:r>
        <w:t>, resulting in two standard deviations for the high and low glycaemic index food items per participant</w:t>
      </w:r>
      <w:r w:rsidR="001646E4">
        <w:t xml:space="preserve">. </w:t>
      </w:r>
    </w:p>
    <w:p w14:paraId="154DD928" w14:textId="3275B007" w:rsidR="005948F3" w:rsidRPr="004D5630" w:rsidRDefault="005948F3" w:rsidP="49379E54">
      <w:pPr>
        <w:pStyle w:val="ListParagraph"/>
        <w:numPr>
          <w:ilvl w:val="1"/>
          <w:numId w:val="35"/>
        </w:numPr>
        <w:rPr>
          <w:rFonts w:cs="Arial"/>
          <w:color w:val="000000"/>
        </w:rPr>
      </w:pPr>
      <w:r>
        <w:t xml:space="preserve">Inter-individual: standard deviations in </w:t>
      </w:r>
      <w:r w:rsidR="0FC25834">
        <w:t xml:space="preserve">the post-prandial </w:t>
      </w:r>
      <w:proofErr w:type="spellStart"/>
      <w:r w:rsidR="0FC25834">
        <w:t>iAUC</w:t>
      </w:r>
      <w:proofErr w:type="spellEnd"/>
      <w:r>
        <w:t xml:space="preserve"> in the three hours following consumption of the provided meals, resulting in two </w:t>
      </w:r>
      <w:r w:rsidR="001646E4">
        <w:t>standard deviations for the high and low glycaemic index food items for the participant cohort.</w:t>
      </w:r>
    </w:p>
    <w:p w14:paraId="14E348FF" w14:textId="77777777" w:rsidR="0026008C" w:rsidRPr="004D5630" w:rsidRDefault="0026008C" w:rsidP="0026008C">
      <w:pPr>
        <w:pStyle w:val="ListParagraph"/>
        <w:numPr>
          <w:ilvl w:val="0"/>
          <w:numId w:val="35"/>
        </w:numPr>
        <w:rPr>
          <w:rFonts w:cs="Arial"/>
          <w:iCs/>
          <w:color w:val="000000"/>
        </w:rPr>
      </w:pPr>
      <w:r>
        <w:t>Agreement between energy intake recorded by the application and objectively measured energy expenditure:</w:t>
      </w:r>
    </w:p>
    <w:p w14:paraId="6E7429B6" w14:textId="77777777" w:rsidR="0026008C" w:rsidRPr="004D5630" w:rsidRDefault="0026008C" w:rsidP="0026008C">
      <w:pPr>
        <w:pStyle w:val="ListParagraph"/>
        <w:numPr>
          <w:ilvl w:val="1"/>
          <w:numId w:val="35"/>
        </w:numPr>
        <w:rPr>
          <w:rFonts w:cs="Arial"/>
          <w:iCs/>
          <w:color w:val="000000"/>
        </w:rPr>
      </w:pPr>
      <w:r>
        <w:t>Energy intake is reported by the application directly. Energy expenditure will be calculated by summing resting energy expenditure (measured via indirect calorimetry), activity-related energy expenditure (measured via accelerometery), and diet-induced thermogenesis (assumed to be 10% of total).</w:t>
      </w:r>
    </w:p>
    <w:p w14:paraId="79712B77" w14:textId="5A3B987D" w:rsidR="0026008C" w:rsidRPr="004D5630" w:rsidRDefault="0026008C" w:rsidP="397AB28E">
      <w:pPr>
        <w:pStyle w:val="ListParagraph"/>
        <w:numPr>
          <w:ilvl w:val="1"/>
          <w:numId w:val="35"/>
        </w:numPr>
        <w:rPr>
          <w:rFonts w:cs="Arial"/>
          <w:color w:val="000000"/>
        </w:rPr>
      </w:pPr>
      <w:r>
        <w:t xml:space="preserve">Day </w:t>
      </w:r>
      <w:r w:rsidR="004D5630">
        <w:t>1 to 10 after Visit 1</w:t>
      </w:r>
      <w:r w:rsidR="6055A7C0">
        <w:t xml:space="preserve"> </w:t>
      </w:r>
      <w:r w:rsidR="444FEA1F">
        <w:t>and Days 11-</w:t>
      </w:r>
      <w:r w:rsidR="361A91EE">
        <w:t>3</w:t>
      </w:r>
      <w:r w:rsidR="444FEA1F">
        <w:t>0</w:t>
      </w:r>
      <w:r w:rsidR="7EC45748">
        <w:t xml:space="preserve"> (the 20 days following Visit 2)</w:t>
      </w:r>
      <w:r w:rsidR="44EB0A5D">
        <w:t xml:space="preserve"> </w:t>
      </w:r>
      <w:r w:rsidR="004D5630">
        <w:t xml:space="preserve">will be included in analysis. </w:t>
      </w:r>
    </w:p>
    <w:p w14:paraId="059D7A48" w14:textId="77777777" w:rsidR="004D5630" w:rsidRPr="00F117C2" w:rsidRDefault="0026008C" w:rsidP="004D5630">
      <w:pPr>
        <w:pStyle w:val="ListParagraph"/>
        <w:numPr>
          <w:ilvl w:val="1"/>
          <w:numId w:val="35"/>
        </w:numPr>
        <w:rPr>
          <w:rFonts w:cs="Arial"/>
          <w:iCs/>
          <w:color w:val="000000"/>
        </w:rPr>
      </w:pPr>
      <w:r>
        <w:t xml:space="preserve">Agreement will be assessed using Bland-Altman analysis. </w:t>
      </w:r>
    </w:p>
    <w:p w14:paraId="382BEC18" w14:textId="4AE9A021" w:rsidR="00F117C2" w:rsidRPr="00F117C2" w:rsidRDefault="00F117C2" w:rsidP="00F117C2">
      <w:pPr>
        <w:pStyle w:val="ListParagraph"/>
        <w:numPr>
          <w:ilvl w:val="0"/>
          <w:numId w:val="35"/>
        </w:numPr>
        <w:rPr>
          <w:rFonts w:cs="Arial"/>
          <w:iCs/>
          <w:color w:val="000000"/>
        </w:rPr>
      </w:pPr>
      <w:r>
        <w:t>Qualitative user experience of the application:</w:t>
      </w:r>
    </w:p>
    <w:p w14:paraId="3F73EB49" w14:textId="55728BF4" w:rsidR="00F117C2" w:rsidRPr="005015C3" w:rsidRDefault="00F117C2" w:rsidP="00F117C2">
      <w:pPr>
        <w:pStyle w:val="ListParagraph"/>
        <w:numPr>
          <w:ilvl w:val="1"/>
          <w:numId w:val="35"/>
        </w:numPr>
        <w:rPr>
          <w:rFonts w:cs="Arial"/>
          <w:iCs/>
          <w:color w:val="000000"/>
        </w:rPr>
      </w:pPr>
      <w:r>
        <w:t xml:space="preserve">Qualitative experience will be assessed </w:t>
      </w:r>
      <w:r w:rsidR="005015C3">
        <w:t>at Visit 3 with a short questionnaire.</w:t>
      </w:r>
    </w:p>
    <w:p w14:paraId="323F789C" w14:textId="68B9D041" w:rsidR="005015C3" w:rsidRPr="004D5630" w:rsidRDefault="005015C3" w:rsidP="00F117C2">
      <w:pPr>
        <w:pStyle w:val="ListParagraph"/>
        <w:numPr>
          <w:ilvl w:val="1"/>
          <w:numId w:val="35"/>
        </w:numPr>
        <w:rPr>
          <w:rFonts w:cs="Arial"/>
          <w:iCs/>
          <w:color w:val="000000"/>
        </w:rPr>
      </w:pPr>
      <w:r>
        <w:t xml:space="preserve">At Visit 1 and 2 participants will </w:t>
      </w:r>
      <w:r w:rsidR="00DD01FA">
        <w:t xml:space="preserve">provide a response to a Visual Analogue Scale rating their understanding of the relationship between their </w:t>
      </w:r>
      <w:r w:rsidR="003E58FB">
        <w:t xml:space="preserve">dietary intake </w:t>
      </w:r>
      <w:r w:rsidR="00DD01FA">
        <w:t xml:space="preserve">and their </w:t>
      </w:r>
      <w:r w:rsidR="003E58FB">
        <w:t xml:space="preserve">blood glucose. </w:t>
      </w:r>
    </w:p>
    <w:p w14:paraId="0568CDFD" w14:textId="77777777" w:rsidR="007026A0" w:rsidRPr="007026A0" w:rsidRDefault="007026A0" w:rsidP="008667AE">
      <w:pPr>
        <w:rPr>
          <w:rFonts w:cs="Arial"/>
          <w:iCs/>
          <w:color w:val="000000"/>
        </w:rPr>
      </w:pPr>
    </w:p>
    <w:p w14:paraId="20B30E5F" w14:textId="77777777" w:rsidR="00A345E1" w:rsidRDefault="00A345E1" w:rsidP="00EB5E35">
      <w:pPr>
        <w:pStyle w:val="Heading3"/>
        <w:rPr>
          <w:lang w:val="en-NZ"/>
        </w:rPr>
      </w:pPr>
      <w:bookmarkStart w:id="38" w:name="_Toc441512382"/>
      <w:bookmarkStart w:id="39" w:name="_Toc441520810"/>
      <w:bookmarkStart w:id="40" w:name="_Toc441521026"/>
      <w:bookmarkStart w:id="41" w:name="_Toc149504531"/>
      <w:r>
        <w:rPr>
          <w:lang w:val="en-NZ"/>
        </w:rPr>
        <w:t>Participant Timeline</w:t>
      </w:r>
      <w:bookmarkEnd w:id="38"/>
      <w:bookmarkEnd w:id="39"/>
      <w:bookmarkEnd w:id="40"/>
      <w:bookmarkEnd w:id="41"/>
    </w:p>
    <w:p w14:paraId="103B137A" w14:textId="77777777" w:rsidR="00603E77" w:rsidRDefault="00EB5E35" w:rsidP="00800502">
      <w:pPr>
        <w:keepNext/>
        <w:rPr>
          <w:lang w:val="en-NZ"/>
        </w:rPr>
      </w:pPr>
      <w:r>
        <w:rPr>
          <w:lang w:val="en-NZ"/>
        </w:rPr>
        <w:t>The study schedule is as follows:</w:t>
      </w:r>
    </w:p>
    <w:p w14:paraId="4566F54E" w14:textId="77777777" w:rsidR="004D5630" w:rsidRPr="00800502" w:rsidRDefault="004D5630" w:rsidP="00800502">
      <w:pPr>
        <w:keepNext/>
        <w:rPr>
          <w:lang w:val="en-NZ"/>
        </w:rPr>
      </w:pPr>
    </w:p>
    <w:tbl>
      <w:tblPr>
        <w:tblW w:w="8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260"/>
        <w:gridCol w:w="1260"/>
        <w:gridCol w:w="1260"/>
        <w:gridCol w:w="1260"/>
      </w:tblGrid>
      <w:tr w:rsidR="007026A0" w:rsidRPr="00F34DB8" w14:paraId="30265465" w14:textId="77777777" w:rsidTr="007026A0">
        <w:trPr>
          <w:trHeight w:val="363"/>
        </w:trPr>
        <w:tc>
          <w:tcPr>
            <w:tcW w:w="2970" w:type="dxa"/>
            <w:shd w:val="clear" w:color="auto" w:fill="auto"/>
            <w:vAlign w:val="bottom"/>
          </w:tcPr>
          <w:p w14:paraId="19DD7DD7" w14:textId="77777777" w:rsidR="007026A0" w:rsidRPr="00F34DB8" w:rsidRDefault="007026A0" w:rsidP="00C95A20">
            <w:pPr>
              <w:jc w:val="right"/>
              <w:rPr>
                <w:rFonts w:ascii="Arial" w:hAnsi="Arial" w:cs="Arial"/>
                <w:b/>
                <w:bCs/>
                <w:sz w:val="20"/>
                <w:szCs w:val="20"/>
              </w:rPr>
            </w:pPr>
          </w:p>
        </w:tc>
        <w:tc>
          <w:tcPr>
            <w:tcW w:w="1260" w:type="dxa"/>
            <w:shd w:val="clear" w:color="auto" w:fill="auto"/>
            <w:vAlign w:val="center"/>
          </w:tcPr>
          <w:p w14:paraId="6131660A" w14:textId="77777777" w:rsidR="007026A0" w:rsidRPr="00F34DB8" w:rsidRDefault="007026A0" w:rsidP="00C95A20">
            <w:pPr>
              <w:jc w:val="center"/>
              <w:rPr>
                <w:rFonts w:ascii="Arial" w:hAnsi="Arial" w:cs="Arial"/>
                <w:b/>
                <w:sz w:val="20"/>
                <w:szCs w:val="20"/>
              </w:rPr>
            </w:pPr>
            <w:r w:rsidRPr="00F34DB8">
              <w:rPr>
                <w:rFonts w:ascii="Arial" w:hAnsi="Arial" w:cs="Arial"/>
                <w:b/>
                <w:bCs/>
                <w:sz w:val="20"/>
                <w:szCs w:val="20"/>
              </w:rPr>
              <w:t>Enrolment</w:t>
            </w:r>
          </w:p>
        </w:tc>
        <w:tc>
          <w:tcPr>
            <w:tcW w:w="1260" w:type="dxa"/>
            <w:shd w:val="clear" w:color="auto" w:fill="auto"/>
            <w:vAlign w:val="center"/>
          </w:tcPr>
          <w:p w14:paraId="3F246BAB" w14:textId="77777777" w:rsidR="007026A0" w:rsidRPr="00F34DB8" w:rsidRDefault="007026A0" w:rsidP="00C95A20">
            <w:pPr>
              <w:jc w:val="center"/>
              <w:rPr>
                <w:rFonts w:ascii="Arial" w:hAnsi="Arial" w:cs="Arial"/>
                <w:b/>
                <w:sz w:val="20"/>
                <w:szCs w:val="20"/>
              </w:rPr>
            </w:pPr>
            <w:r>
              <w:rPr>
                <w:rFonts w:ascii="Arial" w:hAnsi="Arial" w:cs="Arial"/>
                <w:b/>
                <w:sz w:val="20"/>
                <w:szCs w:val="20"/>
              </w:rPr>
              <w:t>Visit 1</w:t>
            </w:r>
          </w:p>
        </w:tc>
        <w:tc>
          <w:tcPr>
            <w:tcW w:w="1260" w:type="dxa"/>
          </w:tcPr>
          <w:p w14:paraId="73435762" w14:textId="77777777" w:rsidR="007026A0" w:rsidRDefault="007026A0" w:rsidP="00C95A20">
            <w:pPr>
              <w:jc w:val="center"/>
              <w:rPr>
                <w:rFonts w:ascii="Arial" w:hAnsi="Arial" w:cs="Arial"/>
                <w:b/>
                <w:sz w:val="20"/>
                <w:szCs w:val="20"/>
              </w:rPr>
            </w:pPr>
            <w:r>
              <w:rPr>
                <w:rFonts w:ascii="Arial" w:hAnsi="Arial" w:cs="Arial"/>
                <w:b/>
                <w:sz w:val="20"/>
                <w:szCs w:val="20"/>
              </w:rPr>
              <w:t>Visit 2</w:t>
            </w:r>
          </w:p>
        </w:tc>
        <w:tc>
          <w:tcPr>
            <w:tcW w:w="1260" w:type="dxa"/>
          </w:tcPr>
          <w:p w14:paraId="797C49C0" w14:textId="77777777" w:rsidR="007026A0" w:rsidRDefault="007026A0" w:rsidP="00C95A20">
            <w:pPr>
              <w:jc w:val="center"/>
              <w:rPr>
                <w:rFonts w:ascii="Arial" w:hAnsi="Arial" w:cs="Arial"/>
                <w:b/>
                <w:sz w:val="20"/>
                <w:szCs w:val="20"/>
              </w:rPr>
            </w:pPr>
            <w:r>
              <w:rPr>
                <w:rFonts w:ascii="Arial" w:hAnsi="Arial" w:cs="Arial"/>
                <w:b/>
                <w:sz w:val="20"/>
                <w:szCs w:val="20"/>
              </w:rPr>
              <w:t>Visit 3</w:t>
            </w:r>
          </w:p>
        </w:tc>
      </w:tr>
      <w:tr w:rsidR="007026A0" w:rsidRPr="00F34DB8" w14:paraId="39D77071" w14:textId="77777777" w:rsidTr="007026A0">
        <w:trPr>
          <w:trHeight w:val="345"/>
        </w:trPr>
        <w:tc>
          <w:tcPr>
            <w:tcW w:w="2970" w:type="dxa"/>
            <w:shd w:val="clear" w:color="auto" w:fill="E6E6E6"/>
            <w:vAlign w:val="center"/>
          </w:tcPr>
          <w:p w14:paraId="49807418" w14:textId="77777777" w:rsidR="007026A0" w:rsidRPr="00F34DB8" w:rsidRDefault="007026A0" w:rsidP="00C95A20">
            <w:pPr>
              <w:jc w:val="right"/>
              <w:rPr>
                <w:rFonts w:ascii="Arial" w:hAnsi="Arial" w:cs="Arial"/>
                <w:bCs/>
                <w:sz w:val="20"/>
                <w:szCs w:val="20"/>
              </w:rPr>
            </w:pPr>
            <w:r w:rsidRPr="00F34DB8">
              <w:rPr>
                <w:rFonts w:ascii="Arial" w:hAnsi="Arial" w:cs="Arial"/>
                <w:b/>
                <w:bCs/>
                <w:sz w:val="20"/>
                <w:szCs w:val="20"/>
              </w:rPr>
              <w:t>TIMEPOINT</w:t>
            </w:r>
          </w:p>
        </w:tc>
        <w:tc>
          <w:tcPr>
            <w:tcW w:w="1260" w:type="dxa"/>
            <w:shd w:val="clear" w:color="auto" w:fill="E6E6E6"/>
            <w:vAlign w:val="center"/>
          </w:tcPr>
          <w:p w14:paraId="5FF2888B" w14:textId="77777777" w:rsidR="007026A0" w:rsidRPr="007026A0" w:rsidRDefault="007026A0" w:rsidP="00C95A20">
            <w:pPr>
              <w:jc w:val="center"/>
              <w:rPr>
                <w:rFonts w:ascii="Arial" w:hAnsi="Arial" w:cs="Arial"/>
                <w:b/>
                <w:bCs/>
                <w:iCs/>
                <w:sz w:val="20"/>
                <w:szCs w:val="20"/>
              </w:rPr>
            </w:pPr>
            <w:r>
              <w:rPr>
                <w:rFonts w:ascii="Arial" w:hAnsi="Arial" w:cs="Arial"/>
                <w:b/>
                <w:bCs/>
                <w:iCs/>
                <w:sz w:val="20"/>
                <w:szCs w:val="20"/>
              </w:rPr>
              <w:t>0</w:t>
            </w:r>
          </w:p>
        </w:tc>
        <w:tc>
          <w:tcPr>
            <w:tcW w:w="1260" w:type="dxa"/>
            <w:shd w:val="clear" w:color="auto" w:fill="E6E6E6"/>
            <w:vAlign w:val="center"/>
          </w:tcPr>
          <w:p w14:paraId="766D35CD" w14:textId="77777777" w:rsidR="007026A0" w:rsidRPr="00F34DB8" w:rsidRDefault="007026A0" w:rsidP="00C95A20">
            <w:pPr>
              <w:jc w:val="center"/>
              <w:rPr>
                <w:rFonts w:ascii="Arial" w:hAnsi="Arial" w:cs="Arial"/>
                <w:b/>
                <w:bCs/>
                <w:sz w:val="20"/>
                <w:szCs w:val="20"/>
              </w:rPr>
            </w:pPr>
            <w:r>
              <w:rPr>
                <w:rFonts w:ascii="Arial" w:hAnsi="Arial" w:cs="Arial"/>
                <w:b/>
                <w:bCs/>
                <w:sz w:val="20"/>
                <w:szCs w:val="20"/>
              </w:rPr>
              <w:t>1</w:t>
            </w:r>
          </w:p>
        </w:tc>
        <w:tc>
          <w:tcPr>
            <w:tcW w:w="1260" w:type="dxa"/>
            <w:shd w:val="clear" w:color="auto" w:fill="E6E6E6"/>
          </w:tcPr>
          <w:p w14:paraId="56B5FC99" w14:textId="77777777" w:rsidR="007026A0" w:rsidRPr="00F34DB8" w:rsidRDefault="007026A0" w:rsidP="00C95A20">
            <w:pPr>
              <w:jc w:val="center"/>
              <w:rPr>
                <w:rFonts w:ascii="Arial" w:hAnsi="Arial" w:cs="Arial"/>
                <w:b/>
                <w:bCs/>
                <w:sz w:val="20"/>
                <w:szCs w:val="20"/>
              </w:rPr>
            </w:pPr>
            <w:r>
              <w:rPr>
                <w:rFonts w:ascii="Arial" w:hAnsi="Arial" w:cs="Arial"/>
                <w:b/>
                <w:bCs/>
                <w:sz w:val="20"/>
                <w:szCs w:val="20"/>
              </w:rPr>
              <w:t>2</w:t>
            </w:r>
          </w:p>
        </w:tc>
        <w:tc>
          <w:tcPr>
            <w:tcW w:w="1260" w:type="dxa"/>
            <w:shd w:val="clear" w:color="auto" w:fill="E6E6E6"/>
          </w:tcPr>
          <w:p w14:paraId="1EA84E7A" w14:textId="77777777" w:rsidR="007026A0" w:rsidRDefault="007026A0" w:rsidP="00C95A20">
            <w:pPr>
              <w:jc w:val="center"/>
              <w:rPr>
                <w:rFonts w:ascii="Arial" w:hAnsi="Arial" w:cs="Arial"/>
                <w:b/>
                <w:bCs/>
                <w:sz w:val="20"/>
                <w:szCs w:val="20"/>
              </w:rPr>
            </w:pPr>
            <w:r>
              <w:rPr>
                <w:rFonts w:ascii="Arial" w:hAnsi="Arial" w:cs="Arial"/>
                <w:b/>
                <w:bCs/>
                <w:sz w:val="20"/>
                <w:szCs w:val="20"/>
              </w:rPr>
              <w:t>3</w:t>
            </w:r>
          </w:p>
        </w:tc>
      </w:tr>
      <w:tr w:rsidR="007026A0" w:rsidRPr="00F34DB8" w14:paraId="7772C456" w14:textId="77777777" w:rsidTr="007026A0">
        <w:trPr>
          <w:trHeight w:val="540"/>
        </w:trPr>
        <w:tc>
          <w:tcPr>
            <w:tcW w:w="2970" w:type="dxa"/>
            <w:shd w:val="clear" w:color="auto" w:fill="auto"/>
            <w:vAlign w:val="center"/>
          </w:tcPr>
          <w:p w14:paraId="19017BE4" w14:textId="77777777" w:rsidR="007026A0" w:rsidRPr="00F34DB8" w:rsidRDefault="007026A0" w:rsidP="00C95A20">
            <w:pPr>
              <w:jc w:val="right"/>
              <w:rPr>
                <w:rFonts w:ascii="Arial" w:hAnsi="Arial" w:cs="Arial"/>
                <w:b/>
                <w:sz w:val="20"/>
                <w:szCs w:val="20"/>
              </w:rPr>
            </w:pPr>
            <w:r w:rsidRPr="00F34DB8">
              <w:rPr>
                <w:rFonts w:ascii="Arial" w:hAnsi="Arial" w:cs="Arial"/>
                <w:b/>
                <w:sz w:val="20"/>
                <w:szCs w:val="20"/>
              </w:rPr>
              <w:t>Eligibility screen</w:t>
            </w:r>
          </w:p>
        </w:tc>
        <w:tc>
          <w:tcPr>
            <w:tcW w:w="1260" w:type="dxa"/>
            <w:shd w:val="clear" w:color="auto" w:fill="auto"/>
            <w:vAlign w:val="center"/>
          </w:tcPr>
          <w:p w14:paraId="68FA8F53" w14:textId="77777777" w:rsidR="007026A0" w:rsidRPr="00F34DB8" w:rsidRDefault="007026A0" w:rsidP="00C95A20">
            <w:pPr>
              <w:jc w:val="center"/>
              <w:rPr>
                <w:rFonts w:ascii="Arial" w:hAnsi="Arial" w:cs="Arial"/>
                <w:szCs w:val="20"/>
              </w:rPr>
            </w:pPr>
            <w:r w:rsidRPr="00F34DB8">
              <w:rPr>
                <w:rFonts w:ascii="Arial" w:hAnsi="Arial" w:cs="Arial"/>
                <w:szCs w:val="20"/>
              </w:rPr>
              <w:t>X</w:t>
            </w:r>
          </w:p>
        </w:tc>
        <w:tc>
          <w:tcPr>
            <w:tcW w:w="1260" w:type="dxa"/>
            <w:shd w:val="clear" w:color="auto" w:fill="auto"/>
            <w:vAlign w:val="center"/>
          </w:tcPr>
          <w:p w14:paraId="6F595783" w14:textId="77777777" w:rsidR="007026A0" w:rsidRPr="00F34DB8" w:rsidRDefault="007026A0" w:rsidP="00C95A20">
            <w:pPr>
              <w:jc w:val="center"/>
              <w:rPr>
                <w:rFonts w:ascii="Arial" w:hAnsi="Arial" w:cs="Arial"/>
                <w:szCs w:val="20"/>
              </w:rPr>
            </w:pPr>
          </w:p>
        </w:tc>
        <w:tc>
          <w:tcPr>
            <w:tcW w:w="1260" w:type="dxa"/>
          </w:tcPr>
          <w:p w14:paraId="517F402A" w14:textId="77777777" w:rsidR="007026A0" w:rsidRPr="00F34DB8" w:rsidRDefault="007026A0" w:rsidP="00C95A20">
            <w:pPr>
              <w:jc w:val="center"/>
              <w:rPr>
                <w:rFonts w:ascii="Arial" w:hAnsi="Arial" w:cs="Arial"/>
                <w:szCs w:val="20"/>
              </w:rPr>
            </w:pPr>
          </w:p>
        </w:tc>
        <w:tc>
          <w:tcPr>
            <w:tcW w:w="1260" w:type="dxa"/>
          </w:tcPr>
          <w:p w14:paraId="19CD639A" w14:textId="77777777" w:rsidR="007026A0" w:rsidRPr="00F34DB8" w:rsidRDefault="007026A0" w:rsidP="00C95A20">
            <w:pPr>
              <w:jc w:val="center"/>
              <w:rPr>
                <w:rFonts w:ascii="Arial" w:hAnsi="Arial" w:cs="Arial"/>
                <w:szCs w:val="20"/>
              </w:rPr>
            </w:pPr>
          </w:p>
        </w:tc>
      </w:tr>
      <w:tr w:rsidR="007026A0" w:rsidRPr="00F34DB8" w14:paraId="10E3845E" w14:textId="77777777" w:rsidTr="007026A0">
        <w:trPr>
          <w:trHeight w:val="540"/>
        </w:trPr>
        <w:tc>
          <w:tcPr>
            <w:tcW w:w="2970" w:type="dxa"/>
            <w:shd w:val="clear" w:color="auto" w:fill="auto"/>
            <w:vAlign w:val="center"/>
          </w:tcPr>
          <w:p w14:paraId="08E31CB1" w14:textId="77777777" w:rsidR="007026A0" w:rsidRPr="00F34DB8" w:rsidRDefault="007026A0" w:rsidP="00C95A20">
            <w:pPr>
              <w:jc w:val="right"/>
              <w:rPr>
                <w:rFonts w:ascii="Arial" w:hAnsi="Arial" w:cs="Arial"/>
                <w:b/>
                <w:sz w:val="20"/>
                <w:szCs w:val="20"/>
              </w:rPr>
            </w:pPr>
            <w:r w:rsidRPr="00F34DB8">
              <w:rPr>
                <w:rFonts w:ascii="Arial" w:hAnsi="Arial" w:cs="Arial"/>
                <w:b/>
                <w:sz w:val="20"/>
                <w:szCs w:val="20"/>
              </w:rPr>
              <w:t>Informed consent</w:t>
            </w:r>
            <w:r w:rsidRPr="00F34DB8" w:rsidDel="003C5F28">
              <w:rPr>
                <w:rFonts w:ascii="Arial" w:hAnsi="Arial" w:cs="Arial"/>
                <w:b/>
                <w:sz w:val="20"/>
                <w:szCs w:val="20"/>
              </w:rPr>
              <w:t xml:space="preserve"> </w:t>
            </w:r>
          </w:p>
        </w:tc>
        <w:tc>
          <w:tcPr>
            <w:tcW w:w="1260" w:type="dxa"/>
            <w:shd w:val="clear" w:color="auto" w:fill="auto"/>
            <w:vAlign w:val="center"/>
          </w:tcPr>
          <w:p w14:paraId="0BD0791D" w14:textId="77777777" w:rsidR="007026A0" w:rsidRPr="00F34DB8" w:rsidRDefault="007026A0" w:rsidP="00C95A20">
            <w:pPr>
              <w:jc w:val="center"/>
              <w:rPr>
                <w:rFonts w:ascii="Arial" w:hAnsi="Arial" w:cs="Arial"/>
                <w:szCs w:val="20"/>
              </w:rPr>
            </w:pPr>
            <w:r w:rsidRPr="00F34DB8">
              <w:rPr>
                <w:rFonts w:ascii="Arial" w:hAnsi="Arial" w:cs="Arial"/>
                <w:szCs w:val="20"/>
              </w:rPr>
              <w:t>X</w:t>
            </w:r>
          </w:p>
        </w:tc>
        <w:tc>
          <w:tcPr>
            <w:tcW w:w="1260" w:type="dxa"/>
            <w:shd w:val="clear" w:color="auto" w:fill="auto"/>
            <w:vAlign w:val="center"/>
          </w:tcPr>
          <w:p w14:paraId="57C2F399" w14:textId="77777777" w:rsidR="007026A0" w:rsidRPr="00F34DB8" w:rsidRDefault="007026A0" w:rsidP="00C95A20">
            <w:pPr>
              <w:jc w:val="center"/>
              <w:rPr>
                <w:rFonts w:ascii="Arial" w:hAnsi="Arial" w:cs="Arial"/>
                <w:szCs w:val="20"/>
              </w:rPr>
            </w:pPr>
          </w:p>
        </w:tc>
        <w:tc>
          <w:tcPr>
            <w:tcW w:w="1260" w:type="dxa"/>
          </w:tcPr>
          <w:p w14:paraId="6D0818E9" w14:textId="77777777" w:rsidR="007026A0" w:rsidRPr="00F34DB8" w:rsidRDefault="007026A0" w:rsidP="00C95A20">
            <w:pPr>
              <w:jc w:val="center"/>
              <w:rPr>
                <w:rFonts w:ascii="Arial" w:hAnsi="Arial" w:cs="Arial"/>
                <w:szCs w:val="20"/>
              </w:rPr>
            </w:pPr>
          </w:p>
        </w:tc>
        <w:tc>
          <w:tcPr>
            <w:tcW w:w="1260" w:type="dxa"/>
          </w:tcPr>
          <w:p w14:paraId="6AB084CC" w14:textId="77777777" w:rsidR="007026A0" w:rsidRPr="00F34DB8" w:rsidRDefault="007026A0" w:rsidP="00C95A20">
            <w:pPr>
              <w:jc w:val="center"/>
              <w:rPr>
                <w:rFonts w:ascii="Arial" w:hAnsi="Arial" w:cs="Arial"/>
                <w:szCs w:val="20"/>
              </w:rPr>
            </w:pPr>
          </w:p>
        </w:tc>
      </w:tr>
      <w:tr w:rsidR="007026A0" w:rsidRPr="00F34DB8" w14:paraId="36A0A20B" w14:textId="77777777" w:rsidTr="007026A0">
        <w:trPr>
          <w:trHeight w:val="540"/>
        </w:trPr>
        <w:tc>
          <w:tcPr>
            <w:tcW w:w="2970" w:type="dxa"/>
            <w:shd w:val="clear" w:color="auto" w:fill="auto"/>
            <w:vAlign w:val="center"/>
          </w:tcPr>
          <w:p w14:paraId="0359C01A" w14:textId="77777777" w:rsidR="007026A0" w:rsidRPr="00F34DB8" w:rsidRDefault="007026A0" w:rsidP="00C95A20">
            <w:pPr>
              <w:jc w:val="right"/>
              <w:rPr>
                <w:rFonts w:ascii="Arial" w:hAnsi="Arial" w:cs="Arial"/>
                <w:b/>
                <w:i/>
                <w:sz w:val="20"/>
                <w:szCs w:val="20"/>
              </w:rPr>
            </w:pPr>
          </w:p>
        </w:tc>
        <w:tc>
          <w:tcPr>
            <w:tcW w:w="1260" w:type="dxa"/>
            <w:shd w:val="clear" w:color="auto" w:fill="auto"/>
            <w:vAlign w:val="center"/>
          </w:tcPr>
          <w:p w14:paraId="252B5088" w14:textId="77777777" w:rsidR="007026A0" w:rsidRPr="00F34DB8" w:rsidRDefault="007026A0" w:rsidP="00C95A20">
            <w:pPr>
              <w:jc w:val="center"/>
              <w:rPr>
                <w:rFonts w:ascii="Arial" w:hAnsi="Arial" w:cs="Arial"/>
                <w:szCs w:val="20"/>
              </w:rPr>
            </w:pPr>
            <w:r w:rsidRPr="00F34DB8">
              <w:rPr>
                <w:rFonts w:ascii="Arial" w:hAnsi="Arial" w:cs="Arial"/>
                <w:szCs w:val="20"/>
              </w:rPr>
              <w:t>X</w:t>
            </w:r>
          </w:p>
        </w:tc>
        <w:tc>
          <w:tcPr>
            <w:tcW w:w="1260" w:type="dxa"/>
            <w:shd w:val="clear" w:color="auto" w:fill="auto"/>
            <w:vAlign w:val="center"/>
          </w:tcPr>
          <w:p w14:paraId="09BD35E5" w14:textId="77777777" w:rsidR="007026A0" w:rsidRPr="00F34DB8" w:rsidRDefault="007026A0" w:rsidP="00C95A20">
            <w:pPr>
              <w:jc w:val="center"/>
              <w:rPr>
                <w:rFonts w:ascii="Arial" w:hAnsi="Arial" w:cs="Arial"/>
                <w:szCs w:val="20"/>
              </w:rPr>
            </w:pPr>
          </w:p>
        </w:tc>
        <w:tc>
          <w:tcPr>
            <w:tcW w:w="1260" w:type="dxa"/>
          </w:tcPr>
          <w:p w14:paraId="3AC9466B" w14:textId="77777777" w:rsidR="007026A0" w:rsidRPr="00F34DB8" w:rsidRDefault="007026A0" w:rsidP="00C95A20">
            <w:pPr>
              <w:jc w:val="center"/>
              <w:rPr>
                <w:rFonts w:ascii="Arial" w:hAnsi="Arial" w:cs="Arial"/>
                <w:szCs w:val="20"/>
              </w:rPr>
            </w:pPr>
          </w:p>
        </w:tc>
        <w:tc>
          <w:tcPr>
            <w:tcW w:w="1260" w:type="dxa"/>
          </w:tcPr>
          <w:p w14:paraId="569F4180" w14:textId="77777777" w:rsidR="007026A0" w:rsidRPr="00F34DB8" w:rsidRDefault="007026A0" w:rsidP="00C95A20">
            <w:pPr>
              <w:jc w:val="center"/>
              <w:rPr>
                <w:rFonts w:ascii="Arial" w:hAnsi="Arial" w:cs="Arial"/>
                <w:szCs w:val="20"/>
              </w:rPr>
            </w:pPr>
          </w:p>
        </w:tc>
      </w:tr>
      <w:tr w:rsidR="007026A0" w:rsidRPr="00F34DB8" w14:paraId="1A7BD6F3" w14:textId="77777777" w:rsidTr="007026A0">
        <w:trPr>
          <w:trHeight w:val="540"/>
        </w:trPr>
        <w:tc>
          <w:tcPr>
            <w:tcW w:w="2970" w:type="dxa"/>
            <w:shd w:val="clear" w:color="auto" w:fill="auto"/>
            <w:vAlign w:val="center"/>
          </w:tcPr>
          <w:p w14:paraId="4B7551F8" w14:textId="77777777" w:rsidR="007026A0" w:rsidRPr="00F34DB8" w:rsidRDefault="007026A0" w:rsidP="00C95A20">
            <w:pPr>
              <w:jc w:val="right"/>
              <w:rPr>
                <w:rFonts w:ascii="Arial" w:hAnsi="Arial" w:cs="Arial"/>
                <w:b/>
                <w:bCs/>
                <w:sz w:val="20"/>
                <w:szCs w:val="20"/>
              </w:rPr>
            </w:pPr>
            <w:r w:rsidRPr="00F34DB8">
              <w:rPr>
                <w:rFonts w:ascii="Arial" w:hAnsi="Arial" w:cs="Arial"/>
                <w:b/>
                <w:bCs/>
                <w:sz w:val="20"/>
                <w:szCs w:val="20"/>
              </w:rPr>
              <w:t>INTERVENTIONS:</w:t>
            </w:r>
          </w:p>
        </w:tc>
        <w:tc>
          <w:tcPr>
            <w:tcW w:w="1260" w:type="dxa"/>
            <w:shd w:val="clear" w:color="auto" w:fill="auto"/>
            <w:vAlign w:val="center"/>
          </w:tcPr>
          <w:p w14:paraId="6ED665FE" w14:textId="77777777" w:rsidR="007026A0" w:rsidRPr="00F34DB8" w:rsidRDefault="007026A0" w:rsidP="00C95A20">
            <w:pPr>
              <w:jc w:val="center"/>
              <w:rPr>
                <w:rFonts w:ascii="Arial" w:hAnsi="Arial" w:cs="Arial"/>
                <w:sz w:val="20"/>
                <w:szCs w:val="20"/>
              </w:rPr>
            </w:pPr>
          </w:p>
        </w:tc>
        <w:tc>
          <w:tcPr>
            <w:tcW w:w="1260" w:type="dxa"/>
            <w:shd w:val="clear" w:color="auto" w:fill="auto"/>
            <w:vAlign w:val="center"/>
          </w:tcPr>
          <w:p w14:paraId="3213A561" w14:textId="77777777" w:rsidR="007026A0" w:rsidRPr="00F34DB8" w:rsidRDefault="007026A0" w:rsidP="00C95A20">
            <w:pPr>
              <w:jc w:val="center"/>
              <w:rPr>
                <w:rFonts w:ascii="Arial" w:hAnsi="Arial" w:cs="Arial"/>
                <w:sz w:val="20"/>
                <w:szCs w:val="20"/>
              </w:rPr>
            </w:pPr>
          </w:p>
        </w:tc>
        <w:tc>
          <w:tcPr>
            <w:tcW w:w="1260" w:type="dxa"/>
          </w:tcPr>
          <w:p w14:paraId="36BC477E" w14:textId="77777777" w:rsidR="007026A0" w:rsidRPr="00F34DB8" w:rsidRDefault="007026A0" w:rsidP="00C95A20">
            <w:pPr>
              <w:jc w:val="center"/>
              <w:rPr>
                <w:rFonts w:ascii="Arial" w:hAnsi="Arial" w:cs="Arial"/>
                <w:sz w:val="20"/>
                <w:szCs w:val="20"/>
              </w:rPr>
            </w:pPr>
          </w:p>
        </w:tc>
        <w:tc>
          <w:tcPr>
            <w:tcW w:w="1260" w:type="dxa"/>
          </w:tcPr>
          <w:p w14:paraId="700F6AA9" w14:textId="77777777" w:rsidR="007026A0" w:rsidRPr="00F34DB8" w:rsidRDefault="007026A0" w:rsidP="00C95A20">
            <w:pPr>
              <w:jc w:val="center"/>
              <w:rPr>
                <w:rFonts w:ascii="Arial" w:hAnsi="Arial" w:cs="Arial"/>
                <w:sz w:val="20"/>
                <w:szCs w:val="20"/>
              </w:rPr>
            </w:pPr>
          </w:p>
        </w:tc>
      </w:tr>
      <w:tr w:rsidR="007026A0" w:rsidRPr="00F34DB8" w14:paraId="33CFF9E0" w14:textId="77777777" w:rsidTr="007026A0">
        <w:trPr>
          <w:trHeight w:val="540"/>
        </w:trPr>
        <w:tc>
          <w:tcPr>
            <w:tcW w:w="2970" w:type="dxa"/>
            <w:shd w:val="clear" w:color="auto" w:fill="auto"/>
            <w:vAlign w:val="center"/>
          </w:tcPr>
          <w:p w14:paraId="1BF1DE01" w14:textId="77777777" w:rsidR="007026A0" w:rsidRDefault="007026A0" w:rsidP="00C95A20">
            <w:pPr>
              <w:jc w:val="right"/>
              <w:rPr>
                <w:rFonts w:ascii="Arial" w:hAnsi="Arial" w:cs="Arial"/>
                <w:b/>
                <w:bCs/>
                <w:iCs/>
                <w:sz w:val="20"/>
                <w:szCs w:val="20"/>
              </w:rPr>
            </w:pPr>
            <w:r>
              <w:rPr>
                <w:rFonts w:ascii="Arial" w:hAnsi="Arial" w:cs="Arial"/>
                <w:b/>
                <w:bCs/>
                <w:iCs/>
                <w:sz w:val="20"/>
                <w:szCs w:val="20"/>
              </w:rPr>
              <w:t>CGM recording</w:t>
            </w:r>
          </w:p>
        </w:tc>
        <w:tc>
          <w:tcPr>
            <w:tcW w:w="1260" w:type="dxa"/>
            <w:shd w:val="clear" w:color="auto" w:fill="auto"/>
            <w:vAlign w:val="center"/>
          </w:tcPr>
          <w:p w14:paraId="28DE88E8" w14:textId="77777777" w:rsidR="007026A0" w:rsidRPr="00F34DB8" w:rsidRDefault="007026A0" w:rsidP="00C95A20">
            <w:pPr>
              <w:jc w:val="center"/>
              <w:rPr>
                <w:rFonts w:ascii="Arial" w:hAnsi="Arial" w:cs="Arial"/>
                <w:sz w:val="20"/>
                <w:szCs w:val="20"/>
              </w:rPr>
            </w:pPr>
          </w:p>
        </w:tc>
        <w:tc>
          <w:tcPr>
            <w:tcW w:w="1260" w:type="dxa"/>
            <w:shd w:val="clear" w:color="auto" w:fill="auto"/>
            <w:vAlign w:val="center"/>
          </w:tcPr>
          <w:p w14:paraId="7C36FD20" w14:textId="77777777" w:rsidR="007026A0" w:rsidRPr="00F34DB8" w:rsidRDefault="007026A0" w:rsidP="00C95A20">
            <w:pPr>
              <w:jc w:val="center"/>
              <w:rPr>
                <w:rFonts w:ascii="Arial" w:hAnsi="Arial"/>
                <w:noProof/>
              </w:rPr>
            </w:pPr>
            <w:r w:rsidRPr="00F34DB8">
              <w:rPr>
                <w:rFonts w:ascii="Arial" w:hAnsi="Arial"/>
                <w:noProof/>
                <w:lang w:val="en-NZ" w:eastAsia="en-NZ"/>
              </w:rPr>
              <mc:AlternateContent>
                <mc:Choice Requires="wps">
                  <w:drawing>
                    <wp:anchor distT="0" distB="0" distL="114300" distR="114300" simplePos="0" relativeHeight="251658246" behindDoc="0" locked="0" layoutInCell="1" allowOverlap="1" wp14:anchorId="41D2F8B5" wp14:editId="559BFEC9">
                      <wp:simplePos x="0" y="0"/>
                      <wp:positionH relativeFrom="column">
                        <wp:posOffset>158115</wp:posOffset>
                      </wp:positionH>
                      <wp:positionV relativeFrom="paragraph">
                        <wp:posOffset>119380</wp:posOffset>
                      </wp:positionV>
                      <wp:extent cx="827405" cy="635"/>
                      <wp:effectExtent l="38100" t="38100" r="36195" b="50165"/>
                      <wp:wrapNone/>
                      <wp:docPr id="2118722378" name="Straight Arrow Connector 2118722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635"/>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2BA7B442">
                    <v:shapetype id="_x0000_t32" coordsize="21600,21600" o:oned="t" filled="f" o:spt="32" path="m,l21600,21600e" w14:anchorId="1A6D91C9">
                      <v:path fillok="f" arrowok="t" o:connecttype="none"/>
                      <o:lock v:ext="edit" shapetype="t"/>
                    </v:shapetype>
                    <v:shape id="Straight Arrow Connector 2118722378" style="position:absolute;margin-left:12.45pt;margin-top:9.4pt;width:65.1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7272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">
                      <v:stroke startarrow="diamond" startarrowlength="short" endarrow="diamond" endarrowlength="short"/>
                    </v:shape>
                  </w:pict>
                </mc:Fallback>
              </mc:AlternateContent>
            </w:r>
          </w:p>
        </w:tc>
        <w:tc>
          <w:tcPr>
            <w:tcW w:w="1260" w:type="dxa"/>
          </w:tcPr>
          <w:p w14:paraId="6499B473" w14:textId="77777777" w:rsidR="007026A0" w:rsidRPr="00F34DB8" w:rsidRDefault="007026A0" w:rsidP="00C95A20">
            <w:pPr>
              <w:jc w:val="center"/>
              <w:rPr>
                <w:rFonts w:ascii="Arial" w:hAnsi="Arial"/>
                <w:noProof/>
              </w:rPr>
            </w:pPr>
            <w:r w:rsidRPr="00F34DB8">
              <w:rPr>
                <w:rFonts w:ascii="Arial" w:hAnsi="Arial"/>
                <w:noProof/>
                <w:lang w:val="en-NZ" w:eastAsia="en-NZ"/>
              </w:rPr>
              <mc:AlternateContent>
                <mc:Choice Requires="wps">
                  <w:drawing>
                    <wp:anchor distT="0" distB="0" distL="114300" distR="114300" simplePos="0" relativeHeight="251658247" behindDoc="0" locked="0" layoutInCell="1" allowOverlap="1" wp14:anchorId="5C8A465A" wp14:editId="3FB9C2A9">
                      <wp:simplePos x="0" y="0"/>
                      <wp:positionH relativeFrom="column">
                        <wp:posOffset>360469</wp:posOffset>
                      </wp:positionH>
                      <wp:positionV relativeFrom="paragraph">
                        <wp:posOffset>173073</wp:posOffset>
                      </wp:positionV>
                      <wp:extent cx="827405" cy="635"/>
                      <wp:effectExtent l="38100" t="38100" r="36195" b="50165"/>
                      <wp:wrapNone/>
                      <wp:docPr id="1821896205" name="Straight Arrow Connector 1821896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635"/>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6A9942A">
                    <v:shape id="Straight Arrow Connector 1821896205" style="position:absolute;margin-left:28.4pt;margin-top:13.65pt;width:65.1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7272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" w14:anchorId="630C9A38">
                      <v:stroke startarrow="diamond" startarrowlength="short" endarrow="diamond" endarrowlength="short"/>
                    </v:shape>
                  </w:pict>
                </mc:Fallback>
              </mc:AlternateContent>
            </w:r>
          </w:p>
        </w:tc>
        <w:tc>
          <w:tcPr>
            <w:tcW w:w="1260" w:type="dxa"/>
          </w:tcPr>
          <w:p w14:paraId="77AC9B55" w14:textId="77777777" w:rsidR="007026A0" w:rsidRPr="00F34DB8" w:rsidRDefault="007026A0" w:rsidP="00C95A20">
            <w:pPr>
              <w:jc w:val="center"/>
              <w:rPr>
                <w:rFonts w:ascii="Arial" w:hAnsi="Arial"/>
                <w:noProof/>
              </w:rPr>
            </w:pPr>
          </w:p>
        </w:tc>
      </w:tr>
      <w:tr w:rsidR="007026A0" w:rsidRPr="00F34DB8" w14:paraId="732BE0C3" w14:textId="77777777" w:rsidTr="007026A0">
        <w:trPr>
          <w:trHeight w:val="540"/>
        </w:trPr>
        <w:tc>
          <w:tcPr>
            <w:tcW w:w="2970" w:type="dxa"/>
            <w:shd w:val="clear" w:color="auto" w:fill="auto"/>
            <w:vAlign w:val="center"/>
          </w:tcPr>
          <w:p w14:paraId="4CB1D2BA" w14:textId="77777777" w:rsidR="007026A0" w:rsidRPr="007026A0" w:rsidRDefault="007026A0" w:rsidP="00C95A20">
            <w:pPr>
              <w:jc w:val="right"/>
              <w:rPr>
                <w:rFonts w:ascii="Arial" w:hAnsi="Arial" w:cs="Arial"/>
                <w:b/>
                <w:bCs/>
                <w:iCs/>
                <w:sz w:val="20"/>
                <w:szCs w:val="20"/>
              </w:rPr>
            </w:pPr>
            <w:r>
              <w:rPr>
                <w:rFonts w:ascii="Arial" w:hAnsi="Arial" w:cs="Arial"/>
                <w:b/>
                <w:bCs/>
                <w:iCs/>
                <w:sz w:val="20"/>
                <w:szCs w:val="20"/>
              </w:rPr>
              <w:t>Food tracking</w:t>
            </w:r>
            <w:r w:rsidR="001F7FC0">
              <w:rPr>
                <w:rFonts w:ascii="Arial" w:hAnsi="Arial" w:cs="Arial"/>
                <w:b/>
                <w:bCs/>
                <w:iCs/>
                <w:sz w:val="20"/>
                <w:szCs w:val="20"/>
              </w:rPr>
              <w:t xml:space="preserve"> enabled for participant</w:t>
            </w:r>
          </w:p>
        </w:tc>
        <w:tc>
          <w:tcPr>
            <w:tcW w:w="1260" w:type="dxa"/>
            <w:shd w:val="clear" w:color="auto" w:fill="auto"/>
            <w:vAlign w:val="center"/>
          </w:tcPr>
          <w:p w14:paraId="5CEE06EE" w14:textId="77777777" w:rsidR="007026A0" w:rsidRPr="00F34DB8" w:rsidRDefault="007026A0" w:rsidP="00C95A20">
            <w:pPr>
              <w:jc w:val="center"/>
              <w:rPr>
                <w:rFonts w:ascii="Arial" w:hAnsi="Arial" w:cs="Arial"/>
                <w:sz w:val="20"/>
                <w:szCs w:val="20"/>
              </w:rPr>
            </w:pPr>
          </w:p>
        </w:tc>
        <w:tc>
          <w:tcPr>
            <w:tcW w:w="1260" w:type="dxa"/>
            <w:shd w:val="clear" w:color="auto" w:fill="auto"/>
            <w:vAlign w:val="center"/>
          </w:tcPr>
          <w:p w14:paraId="328CBEBD" w14:textId="77777777" w:rsidR="007026A0" w:rsidRPr="00F34DB8" w:rsidRDefault="007026A0" w:rsidP="00C95A20">
            <w:pPr>
              <w:jc w:val="center"/>
              <w:rPr>
                <w:rFonts w:ascii="Arial" w:hAnsi="Arial" w:cs="Arial"/>
                <w:sz w:val="20"/>
                <w:szCs w:val="20"/>
              </w:rPr>
            </w:pPr>
            <w:r w:rsidRPr="00F34DB8">
              <w:rPr>
                <w:rFonts w:ascii="Arial" w:hAnsi="Arial"/>
                <w:noProof/>
                <w:lang w:val="en-NZ" w:eastAsia="en-NZ"/>
              </w:rPr>
              <mc:AlternateContent>
                <mc:Choice Requires="wps">
                  <w:drawing>
                    <wp:anchor distT="0" distB="0" distL="114300" distR="114300" simplePos="0" relativeHeight="251658248" behindDoc="0" locked="0" layoutInCell="1" allowOverlap="1" wp14:anchorId="546DB0AC" wp14:editId="0F1FAA2D">
                      <wp:simplePos x="0" y="0"/>
                      <wp:positionH relativeFrom="column">
                        <wp:posOffset>168910</wp:posOffset>
                      </wp:positionH>
                      <wp:positionV relativeFrom="paragraph">
                        <wp:posOffset>99060</wp:posOffset>
                      </wp:positionV>
                      <wp:extent cx="827405" cy="635"/>
                      <wp:effectExtent l="38100" t="38100" r="36195" b="50165"/>
                      <wp:wrapNone/>
                      <wp:docPr id="1188287984" name="Straight Arrow Connector 1188287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635"/>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2F408F3">
                    <v:shape id="Straight Arrow Connector 1188287984" style="position:absolute;margin-left:13.3pt;margin-top:7.8pt;width:65.1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7272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" w14:anchorId="7CDB1831">
                      <v:stroke startarrow="diamond" startarrowlength="short" endarrow="diamond" endarrowlength="short"/>
                    </v:shape>
                  </w:pict>
                </mc:Fallback>
              </mc:AlternateContent>
            </w:r>
          </w:p>
        </w:tc>
        <w:tc>
          <w:tcPr>
            <w:tcW w:w="1260" w:type="dxa"/>
          </w:tcPr>
          <w:p w14:paraId="5C7E302D" w14:textId="77777777" w:rsidR="007026A0" w:rsidRPr="00F34DB8" w:rsidRDefault="007026A0" w:rsidP="00C95A20">
            <w:pPr>
              <w:jc w:val="center"/>
              <w:rPr>
                <w:rFonts w:ascii="Arial" w:hAnsi="Arial"/>
                <w:noProof/>
              </w:rPr>
            </w:pPr>
          </w:p>
        </w:tc>
        <w:tc>
          <w:tcPr>
            <w:tcW w:w="1260" w:type="dxa"/>
          </w:tcPr>
          <w:p w14:paraId="700B0E2E" w14:textId="77777777" w:rsidR="007026A0" w:rsidRPr="00F34DB8" w:rsidRDefault="007026A0" w:rsidP="00C95A20">
            <w:pPr>
              <w:jc w:val="center"/>
              <w:rPr>
                <w:rFonts w:ascii="Arial" w:hAnsi="Arial"/>
                <w:noProof/>
              </w:rPr>
            </w:pPr>
          </w:p>
        </w:tc>
      </w:tr>
      <w:tr w:rsidR="007026A0" w:rsidRPr="00F34DB8" w14:paraId="3931DAC4" w14:textId="77777777" w:rsidTr="007026A0">
        <w:trPr>
          <w:trHeight w:val="540"/>
        </w:trPr>
        <w:tc>
          <w:tcPr>
            <w:tcW w:w="2970" w:type="dxa"/>
            <w:shd w:val="clear" w:color="auto" w:fill="auto"/>
            <w:vAlign w:val="center"/>
          </w:tcPr>
          <w:p w14:paraId="755A81D0" w14:textId="77777777" w:rsidR="007026A0" w:rsidRPr="007026A0" w:rsidRDefault="001F7FC0" w:rsidP="00C95A20">
            <w:pPr>
              <w:jc w:val="right"/>
              <w:rPr>
                <w:rFonts w:ascii="Arial" w:hAnsi="Arial" w:cs="Arial"/>
                <w:b/>
                <w:bCs/>
                <w:iCs/>
                <w:sz w:val="20"/>
                <w:szCs w:val="20"/>
              </w:rPr>
            </w:pPr>
            <w:r>
              <w:rPr>
                <w:rFonts w:ascii="Arial" w:hAnsi="Arial" w:cs="Arial"/>
                <w:b/>
                <w:bCs/>
                <w:iCs/>
                <w:sz w:val="20"/>
                <w:szCs w:val="20"/>
              </w:rPr>
              <w:t>Glucose tracking enabled for participant</w:t>
            </w:r>
          </w:p>
        </w:tc>
        <w:tc>
          <w:tcPr>
            <w:tcW w:w="1260" w:type="dxa"/>
            <w:shd w:val="clear" w:color="auto" w:fill="auto"/>
            <w:vAlign w:val="center"/>
          </w:tcPr>
          <w:p w14:paraId="2C32F4D6" w14:textId="77777777" w:rsidR="007026A0" w:rsidRPr="00F34DB8" w:rsidRDefault="007026A0" w:rsidP="00C95A20">
            <w:pPr>
              <w:jc w:val="center"/>
              <w:rPr>
                <w:rFonts w:ascii="Arial" w:hAnsi="Arial" w:cs="Arial"/>
                <w:sz w:val="20"/>
                <w:szCs w:val="20"/>
              </w:rPr>
            </w:pPr>
          </w:p>
        </w:tc>
        <w:tc>
          <w:tcPr>
            <w:tcW w:w="1260" w:type="dxa"/>
            <w:shd w:val="clear" w:color="auto" w:fill="auto"/>
            <w:vAlign w:val="center"/>
          </w:tcPr>
          <w:p w14:paraId="39E77B5A" w14:textId="77777777" w:rsidR="007026A0" w:rsidRPr="00F34DB8" w:rsidRDefault="007026A0" w:rsidP="00C95A20">
            <w:pPr>
              <w:jc w:val="center"/>
              <w:rPr>
                <w:rFonts w:ascii="Arial" w:hAnsi="Arial" w:cs="Arial"/>
                <w:sz w:val="20"/>
                <w:szCs w:val="20"/>
              </w:rPr>
            </w:pPr>
          </w:p>
        </w:tc>
        <w:tc>
          <w:tcPr>
            <w:tcW w:w="1260" w:type="dxa"/>
          </w:tcPr>
          <w:p w14:paraId="0073FBB9" w14:textId="77777777" w:rsidR="007026A0" w:rsidRPr="00F34DB8" w:rsidRDefault="007026A0" w:rsidP="00C95A20">
            <w:pPr>
              <w:jc w:val="center"/>
              <w:rPr>
                <w:rFonts w:ascii="Arial" w:hAnsi="Arial" w:cs="Arial"/>
                <w:sz w:val="20"/>
                <w:szCs w:val="20"/>
              </w:rPr>
            </w:pPr>
          </w:p>
        </w:tc>
        <w:tc>
          <w:tcPr>
            <w:tcW w:w="1260" w:type="dxa"/>
          </w:tcPr>
          <w:p w14:paraId="7C8C9B61" w14:textId="77777777" w:rsidR="00AF2AEF" w:rsidRPr="00F34DB8" w:rsidRDefault="007026A0" w:rsidP="00AF2AEF">
            <w:pPr>
              <w:jc w:val="center"/>
              <w:rPr>
                <w:rFonts w:ascii="Arial" w:hAnsi="Arial" w:cs="Arial"/>
                <w:sz w:val="20"/>
                <w:szCs w:val="20"/>
              </w:rPr>
            </w:pPr>
            <w:r w:rsidRPr="00F34DB8">
              <w:rPr>
                <w:rFonts w:ascii="Arial" w:hAnsi="Arial"/>
                <w:noProof/>
                <w:lang w:val="en-NZ" w:eastAsia="en-NZ"/>
              </w:rPr>
              <mc:AlternateContent>
                <mc:Choice Requires="wps">
                  <w:drawing>
                    <wp:anchor distT="0" distB="0" distL="114300" distR="114300" simplePos="0" relativeHeight="251658249" behindDoc="0" locked="0" layoutInCell="1" allowOverlap="1" wp14:anchorId="4CD04535" wp14:editId="6CFBD951">
                      <wp:simplePos x="0" y="0"/>
                      <wp:positionH relativeFrom="column">
                        <wp:posOffset>-440125</wp:posOffset>
                      </wp:positionH>
                      <wp:positionV relativeFrom="paragraph">
                        <wp:posOffset>173707</wp:posOffset>
                      </wp:positionV>
                      <wp:extent cx="827405" cy="635"/>
                      <wp:effectExtent l="38100" t="38100" r="36195" b="50165"/>
                      <wp:wrapNone/>
                      <wp:docPr id="1173760288" name="Straight Arrow Connector 1173760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635"/>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756B5BF">
                    <v:shape id="Straight Arrow Connector 1173760288" style="position:absolute;margin-left:-34.65pt;margin-top:13.7pt;width:65.1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7272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" w14:anchorId="05F37031">
                      <v:stroke startarrow="diamond" startarrowlength="short" endarrow="diamond" endarrowlength="short"/>
                    </v:shape>
                  </w:pict>
                </mc:Fallback>
              </mc:AlternateContent>
            </w:r>
          </w:p>
        </w:tc>
      </w:tr>
      <w:tr w:rsidR="0093164D" w:rsidRPr="00F34DB8" w14:paraId="35497FA9" w14:textId="77777777" w:rsidTr="007026A0">
        <w:trPr>
          <w:trHeight w:val="540"/>
        </w:trPr>
        <w:tc>
          <w:tcPr>
            <w:tcW w:w="2970" w:type="dxa"/>
            <w:shd w:val="clear" w:color="auto" w:fill="auto"/>
            <w:vAlign w:val="center"/>
          </w:tcPr>
          <w:p w14:paraId="48A26041" w14:textId="77777777" w:rsidR="0093164D" w:rsidRDefault="0093164D" w:rsidP="00C95A20">
            <w:pPr>
              <w:jc w:val="right"/>
              <w:rPr>
                <w:rFonts w:ascii="Arial" w:hAnsi="Arial" w:cs="Arial"/>
                <w:b/>
                <w:bCs/>
                <w:iCs/>
                <w:sz w:val="20"/>
                <w:szCs w:val="20"/>
              </w:rPr>
            </w:pPr>
            <w:r>
              <w:rPr>
                <w:rFonts w:ascii="Arial" w:hAnsi="Arial" w:cs="Arial"/>
                <w:b/>
                <w:bCs/>
                <w:iCs/>
                <w:sz w:val="20"/>
                <w:szCs w:val="20"/>
              </w:rPr>
              <w:t>Low and High GI Food Items</w:t>
            </w:r>
          </w:p>
        </w:tc>
        <w:tc>
          <w:tcPr>
            <w:tcW w:w="1260" w:type="dxa"/>
            <w:shd w:val="clear" w:color="auto" w:fill="auto"/>
            <w:vAlign w:val="center"/>
          </w:tcPr>
          <w:p w14:paraId="1853694B" w14:textId="77777777" w:rsidR="0093164D" w:rsidRPr="00F34DB8" w:rsidRDefault="0093164D" w:rsidP="00C95A20">
            <w:pPr>
              <w:jc w:val="center"/>
              <w:rPr>
                <w:rFonts w:ascii="Arial" w:hAnsi="Arial" w:cs="Arial"/>
                <w:sz w:val="20"/>
                <w:szCs w:val="20"/>
              </w:rPr>
            </w:pPr>
          </w:p>
        </w:tc>
        <w:tc>
          <w:tcPr>
            <w:tcW w:w="1260" w:type="dxa"/>
            <w:shd w:val="clear" w:color="auto" w:fill="auto"/>
            <w:vAlign w:val="center"/>
          </w:tcPr>
          <w:p w14:paraId="52FB2741" w14:textId="77777777" w:rsidR="0093164D" w:rsidRPr="00F34DB8" w:rsidRDefault="0093164D" w:rsidP="00C95A20">
            <w:pPr>
              <w:jc w:val="center"/>
              <w:rPr>
                <w:rFonts w:ascii="Arial" w:hAnsi="Arial" w:cs="Arial"/>
                <w:sz w:val="20"/>
                <w:szCs w:val="20"/>
              </w:rPr>
            </w:pPr>
            <w:r>
              <w:rPr>
                <w:rFonts w:ascii="Arial" w:hAnsi="Arial" w:cs="Arial"/>
                <w:sz w:val="20"/>
                <w:szCs w:val="20"/>
              </w:rPr>
              <w:t>X</w:t>
            </w:r>
          </w:p>
        </w:tc>
        <w:tc>
          <w:tcPr>
            <w:tcW w:w="1260" w:type="dxa"/>
          </w:tcPr>
          <w:p w14:paraId="081DCD9F" w14:textId="3704C86E" w:rsidR="0093164D" w:rsidRPr="00F34DB8" w:rsidRDefault="0093164D" w:rsidP="00C95A20">
            <w:pPr>
              <w:jc w:val="center"/>
              <w:rPr>
                <w:rFonts w:ascii="Arial" w:hAnsi="Arial" w:cs="Arial"/>
                <w:sz w:val="20"/>
                <w:szCs w:val="20"/>
              </w:rPr>
            </w:pPr>
            <w:r>
              <w:rPr>
                <w:rFonts w:ascii="Arial" w:hAnsi="Arial" w:cs="Arial"/>
                <w:sz w:val="20"/>
                <w:szCs w:val="20"/>
              </w:rPr>
              <w:t>X</w:t>
            </w:r>
          </w:p>
        </w:tc>
        <w:tc>
          <w:tcPr>
            <w:tcW w:w="1260" w:type="dxa"/>
          </w:tcPr>
          <w:p w14:paraId="7A65FA8A" w14:textId="77777777" w:rsidR="0093164D" w:rsidRPr="00F34DB8" w:rsidRDefault="0093164D" w:rsidP="00AF2AEF">
            <w:pPr>
              <w:jc w:val="center"/>
              <w:rPr>
                <w:rFonts w:ascii="Arial" w:hAnsi="Arial"/>
                <w:noProof/>
              </w:rPr>
            </w:pPr>
          </w:p>
        </w:tc>
      </w:tr>
      <w:tr w:rsidR="007026A0" w:rsidRPr="00F34DB8" w14:paraId="6782F903" w14:textId="77777777" w:rsidTr="007026A0">
        <w:trPr>
          <w:trHeight w:val="540"/>
        </w:trPr>
        <w:tc>
          <w:tcPr>
            <w:tcW w:w="2970" w:type="dxa"/>
            <w:shd w:val="clear" w:color="auto" w:fill="auto"/>
            <w:vAlign w:val="center"/>
          </w:tcPr>
          <w:p w14:paraId="5FB35614" w14:textId="77777777" w:rsidR="007026A0" w:rsidRPr="00F34DB8" w:rsidRDefault="007026A0" w:rsidP="00C95A20">
            <w:pPr>
              <w:jc w:val="right"/>
              <w:rPr>
                <w:rFonts w:ascii="Arial" w:hAnsi="Arial" w:cs="Arial"/>
                <w:b/>
                <w:bCs/>
                <w:sz w:val="20"/>
                <w:szCs w:val="20"/>
              </w:rPr>
            </w:pPr>
            <w:r w:rsidRPr="00F34DB8">
              <w:rPr>
                <w:rFonts w:ascii="Arial" w:hAnsi="Arial" w:cs="Arial"/>
                <w:b/>
                <w:bCs/>
                <w:sz w:val="20"/>
                <w:szCs w:val="20"/>
              </w:rPr>
              <w:t>ASSESSMENTS:</w:t>
            </w:r>
          </w:p>
        </w:tc>
        <w:tc>
          <w:tcPr>
            <w:tcW w:w="1260" w:type="dxa"/>
            <w:shd w:val="clear" w:color="auto" w:fill="auto"/>
            <w:vAlign w:val="center"/>
          </w:tcPr>
          <w:p w14:paraId="7DFA1561" w14:textId="77777777" w:rsidR="007026A0" w:rsidRPr="00F34DB8" w:rsidRDefault="007026A0" w:rsidP="00C95A20">
            <w:pPr>
              <w:jc w:val="center"/>
              <w:rPr>
                <w:rFonts w:ascii="Arial" w:hAnsi="Arial" w:cs="Arial"/>
                <w:sz w:val="20"/>
                <w:szCs w:val="20"/>
              </w:rPr>
            </w:pPr>
          </w:p>
        </w:tc>
        <w:tc>
          <w:tcPr>
            <w:tcW w:w="1260" w:type="dxa"/>
            <w:shd w:val="clear" w:color="auto" w:fill="auto"/>
            <w:vAlign w:val="center"/>
          </w:tcPr>
          <w:p w14:paraId="7E131B74" w14:textId="77777777" w:rsidR="007026A0" w:rsidRPr="00F34DB8" w:rsidRDefault="007026A0" w:rsidP="00C95A20">
            <w:pPr>
              <w:jc w:val="center"/>
              <w:rPr>
                <w:rFonts w:ascii="Arial" w:hAnsi="Arial" w:cs="Arial"/>
                <w:sz w:val="20"/>
                <w:szCs w:val="20"/>
              </w:rPr>
            </w:pPr>
          </w:p>
        </w:tc>
        <w:tc>
          <w:tcPr>
            <w:tcW w:w="1260" w:type="dxa"/>
          </w:tcPr>
          <w:p w14:paraId="3E111CAA" w14:textId="77777777" w:rsidR="007026A0" w:rsidRPr="00F34DB8" w:rsidRDefault="007026A0" w:rsidP="00C95A20">
            <w:pPr>
              <w:jc w:val="center"/>
              <w:rPr>
                <w:rFonts w:ascii="Arial" w:hAnsi="Arial" w:cs="Arial"/>
                <w:sz w:val="20"/>
                <w:szCs w:val="20"/>
              </w:rPr>
            </w:pPr>
          </w:p>
        </w:tc>
        <w:tc>
          <w:tcPr>
            <w:tcW w:w="1260" w:type="dxa"/>
          </w:tcPr>
          <w:p w14:paraId="31857269" w14:textId="77777777" w:rsidR="007026A0" w:rsidRPr="00F34DB8" w:rsidRDefault="007026A0" w:rsidP="00C95A20">
            <w:pPr>
              <w:jc w:val="center"/>
              <w:rPr>
                <w:rFonts w:ascii="Arial" w:hAnsi="Arial" w:cs="Arial"/>
                <w:sz w:val="20"/>
                <w:szCs w:val="20"/>
              </w:rPr>
            </w:pPr>
          </w:p>
        </w:tc>
      </w:tr>
      <w:tr w:rsidR="007026A0" w:rsidRPr="00F34DB8" w14:paraId="4EFCF97D" w14:textId="77777777" w:rsidTr="007026A0">
        <w:trPr>
          <w:trHeight w:val="540"/>
        </w:trPr>
        <w:tc>
          <w:tcPr>
            <w:tcW w:w="2970" w:type="dxa"/>
            <w:shd w:val="clear" w:color="auto" w:fill="auto"/>
            <w:vAlign w:val="bottom"/>
          </w:tcPr>
          <w:p w14:paraId="2697E43F" w14:textId="77777777" w:rsidR="007026A0" w:rsidRPr="007026A0" w:rsidRDefault="007026A0" w:rsidP="00C95A20">
            <w:pPr>
              <w:jc w:val="right"/>
              <w:rPr>
                <w:rFonts w:ascii="Arial" w:hAnsi="Arial" w:cs="Arial"/>
                <w:b/>
                <w:bCs/>
                <w:iCs/>
                <w:sz w:val="20"/>
                <w:szCs w:val="20"/>
              </w:rPr>
            </w:pPr>
            <w:r>
              <w:rPr>
                <w:rFonts w:ascii="Arial" w:hAnsi="Arial" w:cs="Arial"/>
                <w:b/>
                <w:bCs/>
                <w:iCs/>
                <w:sz w:val="20"/>
                <w:szCs w:val="20"/>
              </w:rPr>
              <w:t>Height</w:t>
            </w:r>
          </w:p>
        </w:tc>
        <w:tc>
          <w:tcPr>
            <w:tcW w:w="1260" w:type="dxa"/>
            <w:shd w:val="clear" w:color="auto" w:fill="auto"/>
            <w:vAlign w:val="center"/>
          </w:tcPr>
          <w:p w14:paraId="2C1C1DE7" w14:textId="77777777" w:rsidR="007026A0" w:rsidRPr="00F34DB8" w:rsidRDefault="007026A0" w:rsidP="00C95A20">
            <w:pPr>
              <w:jc w:val="center"/>
              <w:rPr>
                <w:rFonts w:ascii="Arial" w:hAnsi="Arial" w:cs="Arial"/>
                <w:szCs w:val="20"/>
              </w:rPr>
            </w:pPr>
            <w:r w:rsidRPr="00F34DB8">
              <w:rPr>
                <w:rFonts w:ascii="Arial" w:hAnsi="Arial" w:cs="Arial"/>
                <w:szCs w:val="20"/>
              </w:rPr>
              <w:t>X</w:t>
            </w:r>
          </w:p>
        </w:tc>
        <w:tc>
          <w:tcPr>
            <w:tcW w:w="1260" w:type="dxa"/>
            <w:shd w:val="clear" w:color="auto" w:fill="auto"/>
            <w:vAlign w:val="center"/>
          </w:tcPr>
          <w:p w14:paraId="4DB3F8AA" w14:textId="77777777" w:rsidR="007026A0" w:rsidRPr="00F34DB8" w:rsidRDefault="007026A0" w:rsidP="00C95A20">
            <w:pPr>
              <w:jc w:val="center"/>
              <w:rPr>
                <w:rFonts w:ascii="Arial" w:hAnsi="Arial" w:cs="Arial"/>
                <w:szCs w:val="20"/>
              </w:rPr>
            </w:pPr>
          </w:p>
        </w:tc>
        <w:tc>
          <w:tcPr>
            <w:tcW w:w="1260" w:type="dxa"/>
          </w:tcPr>
          <w:p w14:paraId="0C57721E" w14:textId="77777777" w:rsidR="007026A0" w:rsidRPr="00F34DB8" w:rsidRDefault="007026A0" w:rsidP="00C95A20">
            <w:pPr>
              <w:jc w:val="center"/>
              <w:rPr>
                <w:rFonts w:ascii="Arial" w:hAnsi="Arial" w:cs="Arial"/>
                <w:szCs w:val="20"/>
              </w:rPr>
            </w:pPr>
          </w:p>
        </w:tc>
        <w:tc>
          <w:tcPr>
            <w:tcW w:w="1260" w:type="dxa"/>
          </w:tcPr>
          <w:p w14:paraId="11C1B301" w14:textId="77777777" w:rsidR="007026A0" w:rsidRPr="00F34DB8" w:rsidRDefault="007026A0" w:rsidP="00C95A20">
            <w:pPr>
              <w:jc w:val="center"/>
              <w:rPr>
                <w:rFonts w:ascii="Arial" w:hAnsi="Arial" w:cs="Arial"/>
                <w:szCs w:val="20"/>
              </w:rPr>
            </w:pPr>
          </w:p>
        </w:tc>
      </w:tr>
      <w:tr w:rsidR="007026A0" w:rsidRPr="00F34DB8" w14:paraId="2A91A00F" w14:textId="77777777" w:rsidTr="007026A0">
        <w:trPr>
          <w:trHeight w:val="540"/>
        </w:trPr>
        <w:tc>
          <w:tcPr>
            <w:tcW w:w="2970" w:type="dxa"/>
            <w:shd w:val="clear" w:color="auto" w:fill="auto"/>
            <w:vAlign w:val="bottom"/>
          </w:tcPr>
          <w:p w14:paraId="59FC1F3A" w14:textId="77777777" w:rsidR="007026A0" w:rsidRPr="007026A0" w:rsidRDefault="007026A0" w:rsidP="00C95A20">
            <w:pPr>
              <w:jc w:val="right"/>
              <w:rPr>
                <w:rFonts w:ascii="Arial" w:hAnsi="Arial" w:cs="Arial"/>
                <w:b/>
                <w:bCs/>
                <w:iCs/>
                <w:sz w:val="20"/>
                <w:szCs w:val="20"/>
              </w:rPr>
            </w:pPr>
            <w:r>
              <w:rPr>
                <w:rFonts w:ascii="Arial" w:hAnsi="Arial" w:cs="Arial"/>
                <w:b/>
                <w:bCs/>
                <w:iCs/>
                <w:sz w:val="20"/>
                <w:szCs w:val="20"/>
              </w:rPr>
              <w:lastRenderedPageBreak/>
              <w:t>Bio</w:t>
            </w:r>
            <w:r w:rsidR="004D5630">
              <w:rPr>
                <w:rFonts w:ascii="Arial" w:hAnsi="Arial" w:cs="Arial"/>
                <w:b/>
                <w:bCs/>
                <w:iCs/>
                <w:sz w:val="20"/>
                <w:szCs w:val="20"/>
              </w:rPr>
              <w:t xml:space="preserve">electrical </w:t>
            </w:r>
            <w:r>
              <w:rPr>
                <w:rFonts w:ascii="Arial" w:hAnsi="Arial" w:cs="Arial"/>
                <w:b/>
                <w:bCs/>
                <w:iCs/>
                <w:sz w:val="20"/>
                <w:szCs w:val="20"/>
              </w:rPr>
              <w:t>impedance</w:t>
            </w:r>
          </w:p>
        </w:tc>
        <w:tc>
          <w:tcPr>
            <w:tcW w:w="1260" w:type="dxa"/>
            <w:shd w:val="clear" w:color="auto" w:fill="auto"/>
            <w:vAlign w:val="center"/>
          </w:tcPr>
          <w:p w14:paraId="3846E6B6" w14:textId="77777777" w:rsidR="007026A0" w:rsidRPr="00F34DB8" w:rsidRDefault="007026A0" w:rsidP="00C95A20">
            <w:pPr>
              <w:jc w:val="center"/>
              <w:rPr>
                <w:rFonts w:ascii="Arial" w:hAnsi="Arial" w:cs="Arial"/>
                <w:szCs w:val="20"/>
              </w:rPr>
            </w:pPr>
            <w:r>
              <w:rPr>
                <w:rFonts w:ascii="Arial" w:hAnsi="Arial" w:cs="Arial"/>
                <w:szCs w:val="20"/>
              </w:rPr>
              <w:t>X</w:t>
            </w:r>
          </w:p>
        </w:tc>
        <w:tc>
          <w:tcPr>
            <w:tcW w:w="1260" w:type="dxa"/>
            <w:shd w:val="clear" w:color="auto" w:fill="auto"/>
            <w:vAlign w:val="center"/>
          </w:tcPr>
          <w:p w14:paraId="130DAA83" w14:textId="77777777" w:rsidR="007026A0" w:rsidRPr="00F34DB8" w:rsidRDefault="007026A0" w:rsidP="00C95A20">
            <w:pPr>
              <w:jc w:val="center"/>
              <w:rPr>
                <w:rFonts w:ascii="Arial" w:hAnsi="Arial" w:cs="Arial"/>
                <w:szCs w:val="20"/>
              </w:rPr>
            </w:pPr>
            <w:r>
              <w:rPr>
                <w:rFonts w:ascii="Arial" w:hAnsi="Arial" w:cs="Arial"/>
                <w:szCs w:val="20"/>
              </w:rPr>
              <w:t>X</w:t>
            </w:r>
          </w:p>
        </w:tc>
        <w:tc>
          <w:tcPr>
            <w:tcW w:w="1260" w:type="dxa"/>
          </w:tcPr>
          <w:p w14:paraId="0E5327A1" w14:textId="77777777" w:rsidR="007026A0" w:rsidRPr="00F34DB8" w:rsidRDefault="007026A0" w:rsidP="00C95A20">
            <w:pPr>
              <w:jc w:val="center"/>
              <w:rPr>
                <w:rFonts w:ascii="Arial" w:hAnsi="Arial" w:cs="Arial"/>
                <w:szCs w:val="20"/>
              </w:rPr>
            </w:pPr>
            <w:r>
              <w:rPr>
                <w:rFonts w:ascii="Arial" w:hAnsi="Arial" w:cs="Arial"/>
                <w:szCs w:val="20"/>
              </w:rPr>
              <w:t>X</w:t>
            </w:r>
          </w:p>
        </w:tc>
        <w:tc>
          <w:tcPr>
            <w:tcW w:w="1260" w:type="dxa"/>
          </w:tcPr>
          <w:p w14:paraId="2723FC45" w14:textId="77777777" w:rsidR="007026A0" w:rsidRPr="00F34DB8" w:rsidRDefault="007026A0" w:rsidP="00C95A20">
            <w:pPr>
              <w:jc w:val="center"/>
              <w:rPr>
                <w:rFonts w:ascii="Arial" w:hAnsi="Arial" w:cs="Arial"/>
                <w:szCs w:val="20"/>
              </w:rPr>
            </w:pPr>
            <w:r>
              <w:rPr>
                <w:rFonts w:ascii="Arial" w:hAnsi="Arial" w:cs="Arial"/>
                <w:szCs w:val="20"/>
              </w:rPr>
              <w:t>X</w:t>
            </w:r>
          </w:p>
        </w:tc>
      </w:tr>
      <w:tr w:rsidR="007026A0" w:rsidRPr="00F34DB8" w14:paraId="16246954" w14:textId="77777777" w:rsidTr="007026A0">
        <w:trPr>
          <w:trHeight w:val="540"/>
        </w:trPr>
        <w:tc>
          <w:tcPr>
            <w:tcW w:w="2970" w:type="dxa"/>
            <w:shd w:val="clear" w:color="auto" w:fill="auto"/>
            <w:vAlign w:val="bottom"/>
          </w:tcPr>
          <w:p w14:paraId="2FB633BF" w14:textId="77777777" w:rsidR="007026A0" w:rsidRPr="00800502" w:rsidRDefault="00800502" w:rsidP="00C95A20">
            <w:pPr>
              <w:jc w:val="right"/>
              <w:rPr>
                <w:rFonts w:ascii="Arial" w:hAnsi="Arial" w:cs="Arial"/>
                <w:b/>
                <w:bCs/>
                <w:iCs/>
                <w:sz w:val="20"/>
                <w:szCs w:val="20"/>
              </w:rPr>
            </w:pPr>
            <w:r>
              <w:rPr>
                <w:rFonts w:ascii="Arial" w:hAnsi="Arial" w:cs="Arial"/>
                <w:b/>
                <w:bCs/>
                <w:iCs/>
                <w:sz w:val="20"/>
                <w:szCs w:val="20"/>
              </w:rPr>
              <w:t>Indirect calorimetry</w:t>
            </w:r>
          </w:p>
        </w:tc>
        <w:tc>
          <w:tcPr>
            <w:tcW w:w="1260" w:type="dxa"/>
            <w:shd w:val="clear" w:color="auto" w:fill="auto"/>
            <w:vAlign w:val="center"/>
          </w:tcPr>
          <w:p w14:paraId="7BEBE71F" w14:textId="77777777" w:rsidR="007026A0" w:rsidRPr="00F34DB8" w:rsidRDefault="007026A0" w:rsidP="00C95A20">
            <w:pPr>
              <w:jc w:val="center"/>
              <w:rPr>
                <w:rFonts w:ascii="Arial" w:hAnsi="Arial" w:cs="Arial"/>
                <w:szCs w:val="20"/>
              </w:rPr>
            </w:pPr>
          </w:p>
        </w:tc>
        <w:tc>
          <w:tcPr>
            <w:tcW w:w="1260" w:type="dxa"/>
            <w:shd w:val="clear" w:color="auto" w:fill="auto"/>
            <w:vAlign w:val="center"/>
          </w:tcPr>
          <w:p w14:paraId="240E8E11" w14:textId="77777777" w:rsidR="007026A0" w:rsidRPr="00F34DB8" w:rsidRDefault="00800502" w:rsidP="00C95A20">
            <w:pPr>
              <w:jc w:val="center"/>
              <w:rPr>
                <w:rFonts w:ascii="Arial" w:hAnsi="Arial" w:cs="Arial"/>
                <w:szCs w:val="20"/>
              </w:rPr>
            </w:pPr>
            <w:r>
              <w:rPr>
                <w:rFonts w:ascii="Arial" w:hAnsi="Arial" w:cs="Arial"/>
                <w:szCs w:val="20"/>
              </w:rPr>
              <w:t>X</w:t>
            </w:r>
          </w:p>
        </w:tc>
        <w:tc>
          <w:tcPr>
            <w:tcW w:w="1260" w:type="dxa"/>
          </w:tcPr>
          <w:p w14:paraId="5D6CFB1D" w14:textId="77777777" w:rsidR="007026A0" w:rsidRPr="00F34DB8" w:rsidRDefault="007026A0" w:rsidP="00C95A20">
            <w:pPr>
              <w:jc w:val="center"/>
              <w:rPr>
                <w:rFonts w:ascii="Arial" w:hAnsi="Arial" w:cs="Arial"/>
                <w:szCs w:val="20"/>
              </w:rPr>
            </w:pPr>
          </w:p>
        </w:tc>
        <w:tc>
          <w:tcPr>
            <w:tcW w:w="1260" w:type="dxa"/>
          </w:tcPr>
          <w:p w14:paraId="38EA78AD" w14:textId="77777777" w:rsidR="007026A0" w:rsidRPr="00F34DB8" w:rsidRDefault="007026A0" w:rsidP="00C95A20">
            <w:pPr>
              <w:jc w:val="center"/>
              <w:rPr>
                <w:rFonts w:ascii="Arial" w:hAnsi="Arial" w:cs="Arial"/>
                <w:szCs w:val="20"/>
              </w:rPr>
            </w:pPr>
          </w:p>
        </w:tc>
      </w:tr>
      <w:tr w:rsidR="00800502" w:rsidRPr="00F34DB8" w14:paraId="1941DD5E" w14:textId="77777777" w:rsidTr="007026A0">
        <w:trPr>
          <w:trHeight w:val="540"/>
        </w:trPr>
        <w:tc>
          <w:tcPr>
            <w:tcW w:w="2970" w:type="dxa"/>
            <w:shd w:val="clear" w:color="auto" w:fill="auto"/>
            <w:vAlign w:val="bottom"/>
          </w:tcPr>
          <w:p w14:paraId="0DE98540" w14:textId="77777777" w:rsidR="00800502" w:rsidRDefault="00800502" w:rsidP="00C95A20">
            <w:pPr>
              <w:jc w:val="right"/>
              <w:rPr>
                <w:rFonts w:ascii="Arial" w:hAnsi="Arial" w:cs="Arial"/>
                <w:b/>
                <w:bCs/>
                <w:iCs/>
                <w:sz w:val="20"/>
                <w:szCs w:val="20"/>
              </w:rPr>
            </w:pPr>
            <w:r>
              <w:rPr>
                <w:rFonts w:ascii="Arial" w:hAnsi="Arial" w:cs="Arial"/>
                <w:b/>
                <w:bCs/>
                <w:iCs/>
                <w:sz w:val="20"/>
                <w:szCs w:val="20"/>
              </w:rPr>
              <w:t>Accelerometery</w:t>
            </w:r>
          </w:p>
        </w:tc>
        <w:tc>
          <w:tcPr>
            <w:tcW w:w="1260" w:type="dxa"/>
            <w:shd w:val="clear" w:color="auto" w:fill="auto"/>
            <w:vAlign w:val="center"/>
          </w:tcPr>
          <w:p w14:paraId="52A99189" w14:textId="77777777" w:rsidR="00800502" w:rsidRPr="00F34DB8" w:rsidRDefault="00800502" w:rsidP="00C95A20">
            <w:pPr>
              <w:jc w:val="center"/>
              <w:rPr>
                <w:rFonts w:ascii="Arial" w:hAnsi="Arial" w:cs="Arial"/>
                <w:szCs w:val="20"/>
              </w:rPr>
            </w:pPr>
          </w:p>
        </w:tc>
        <w:tc>
          <w:tcPr>
            <w:tcW w:w="1260" w:type="dxa"/>
            <w:shd w:val="clear" w:color="auto" w:fill="auto"/>
            <w:vAlign w:val="center"/>
          </w:tcPr>
          <w:p w14:paraId="4E4111D4" w14:textId="77777777" w:rsidR="00800502" w:rsidRPr="00F34DB8" w:rsidRDefault="00800502" w:rsidP="00C95A20">
            <w:pPr>
              <w:jc w:val="center"/>
              <w:rPr>
                <w:rFonts w:ascii="Arial" w:hAnsi="Arial" w:cs="Arial"/>
                <w:szCs w:val="20"/>
              </w:rPr>
            </w:pPr>
            <w:r w:rsidRPr="00F34DB8">
              <w:rPr>
                <w:rFonts w:ascii="Arial" w:hAnsi="Arial"/>
                <w:noProof/>
                <w:lang w:val="en-NZ" w:eastAsia="en-NZ"/>
              </w:rPr>
              <mc:AlternateContent>
                <mc:Choice Requires="wps">
                  <w:drawing>
                    <wp:anchor distT="0" distB="0" distL="114300" distR="114300" simplePos="0" relativeHeight="251658250" behindDoc="0" locked="0" layoutInCell="1" allowOverlap="1" wp14:anchorId="14CCFB2E" wp14:editId="16CCC5D7">
                      <wp:simplePos x="0" y="0"/>
                      <wp:positionH relativeFrom="column">
                        <wp:posOffset>329565</wp:posOffset>
                      </wp:positionH>
                      <wp:positionV relativeFrom="paragraph">
                        <wp:posOffset>148590</wp:posOffset>
                      </wp:positionV>
                      <wp:extent cx="827405" cy="635"/>
                      <wp:effectExtent l="38100" t="38100" r="36195" b="50165"/>
                      <wp:wrapNone/>
                      <wp:docPr id="1152732872" name="Straight Arrow Connector 1152732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635"/>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2BB220F0">
                    <v:shape id="Straight Arrow Connector 1152732872" style="position:absolute;margin-left:25.95pt;margin-top:11.7pt;width:65.1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7272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" w14:anchorId="43BD48A7">
                      <v:stroke startarrow="diamond" startarrowlength="short" endarrow="diamond" endarrowlength="short"/>
                    </v:shape>
                  </w:pict>
                </mc:Fallback>
              </mc:AlternateContent>
            </w:r>
          </w:p>
        </w:tc>
        <w:tc>
          <w:tcPr>
            <w:tcW w:w="1260" w:type="dxa"/>
          </w:tcPr>
          <w:p w14:paraId="3155E2C9" w14:textId="77777777" w:rsidR="00800502" w:rsidRPr="00F34DB8" w:rsidRDefault="00800502" w:rsidP="00C95A20">
            <w:pPr>
              <w:jc w:val="center"/>
              <w:rPr>
                <w:rFonts w:ascii="Arial" w:hAnsi="Arial" w:cs="Arial"/>
                <w:szCs w:val="20"/>
              </w:rPr>
            </w:pPr>
          </w:p>
        </w:tc>
        <w:tc>
          <w:tcPr>
            <w:tcW w:w="1260" w:type="dxa"/>
          </w:tcPr>
          <w:p w14:paraId="46E9FAA8" w14:textId="77777777" w:rsidR="00800502" w:rsidRPr="00F34DB8" w:rsidRDefault="00800502" w:rsidP="00C95A20">
            <w:pPr>
              <w:jc w:val="center"/>
              <w:rPr>
                <w:rFonts w:ascii="Arial" w:hAnsi="Arial" w:cs="Arial"/>
                <w:szCs w:val="20"/>
              </w:rPr>
            </w:pPr>
          </w:p>
        </w:tc>
      </w:tr>
      <w:tr w:rsidR="00800502" w:rsidRPr="00F34DB8" w14:paraId="5C2E6F4A" w14:textId="77777777" w:rsidTr="007026A0">
        <w:trPr>
          <w:trHeight w:val="540"/>
        </w:trPr>
        <w:tc>
          <w:tcPr>
            <w:tcW w:w="2970" w:type="dxa"/>
            <w:shd w:val="clear" w:color="auto" w:fill="auto"/>
            <w:vAlign w:val="bottom"/>
          </w:tcPr>
          <w:p w14:paraId="0ED62CED" w14:textId="77777777" w:rsidR="00800502" w:rsidRDefault="00800502" w:rsidP="00C95A20">
            <w:pPr>
              <w:jc w:val="right"/>
              <w:rPr>
                <w:rFonts w:ascii="Arial" w:hAnsi="Arial" w:cs="Arial"/>
                <w:b/>
                <w:bCs/>
                <w:iCs/>
                <w:sz w:val="20"/>
                <w:szCs w:val="20"/>
              </w:rPr>
            </w:pPr>
            <w:r>
              <w:rPr>
                <w:rFonts w:ascii="Arial" w:hAnsi="Arial" w:cs="Arial"/>
                <w:b/>
                <w:bCs/>
                <w:iCs/>
                <w:sz w:val="20"/>
                <w:szCs w:val="20"/>
              </w:rPr>
              <w:t>Qualitative questionnaire</w:t>
            </w:r>
          </w:p>
        </w:tc>
        <w:tc>
          <w:tcPr>
            <w:tcW w:w="1260" w:type="dxa"/>
            <w:shd w:val="clear" w:color="auto" w:fill="auto"/>
            <w:vAlign w:val="center"/>
          </w:tcPr>
          <w:p w14:paraId="49864867" w14:textId="77777777" w:rsidR="00800502" w:rsidRPr="00F34DB8" w:rsidRDefault="00800502" w:rsidP="00C95A20">
            <w:pPr>
              <w:jc w:val="center"/>
              <w:rPr>
                <w:rFonts w:ascii="Arial" w:hAnsi="Arial" w:cs="Arial"/>
                <w:szCs w:val="20"/>
              </w:rPr>
            </w:pPr>
          </w:p>
        </w:tc>
        <w:tc>
          <w:tcPr>
            <w:tcW w:w="1260" w:type="dxa"/>
            <w:shd w:val="clear" w:color="auto" w:fill="auto"/>
            <w:vAlign w:val="center"/>
          </w:tcPr>
          <w:p w14:paraId="3F947C1F" w14:textId="530B3FDC" w:rsidR="00800502" w:rsidRPr="00F34DB8" w:rsidRDefault="00E3593A" w:rsidP="00C95A20">
            <w:pPr>
              <w:jc w:val="center"/>
              <w:rPr>
                <w:rFonts w:ascii="Arial" w:hAnsi="Arial" w:cs="Arial"/>
                <w:szCs w:val="20"/>
              </w:rPr>
            </w:pPr>
            <w:r>
              <w:rPr>
                <w:rFonts w:ascii="Arial" w:hAnsi="Arial" w:cs="Arial"/>
                <w:szCs w:val="20"/>
              </w:rPr>
              <w:t>X</w:t>
            </w:r>
          </w:p>
        </w:tc>
        <w:tc>
          <w:tcPr>
            <w:tcW w:w="1260" w:type="dxa"/>
          </w:tcPr>
          <w:p w14:paraId="3E6A8FE6" w14:textId="719DB655" w:rsidR="00800502" w:rsidRPr="00F34DB8" w:rsidRDefault="00E3593A" w:rsidP="00C95A20">
            <w:pPr>
              <w:jc w:val="center"/>
              <w:rPr>
                <w:rFonts w:ascii="Arial" w:hAnsi="Arial" w:cs="Arial"/>
                <w:szCs w:val="20"/>
              </w:rPr>
            </w:pPr>
            <w:r>
              <w:rPr>
                <w:rFonts w:ascii="Arial" w:hAnsi="Arial" w:cs="Arial"/>
                <w:szCs w:val="20"/>
              </w:rPr>
              <w:t>X</w:t>
            </w:r>
          </w:p>
        </w:tc>
        <w:tc>
          <w:tcPr>
            <w:tcW w:w="1260" w:type="dxa"/>
          </w:tcPr>
          <w:p w14:paraId="191F2DD8" w14:textId="77777777" w:rsidR="00800502" w:rsidRPr="00F34DB8" w:rsidRDefault="00800502" w:rsidP="00C95A20">
            <w:pPr>
              <w:jc w:val="center"/>
              <w:rPr>
                <w:rFonts w:ascii="Arial" w:hAnsi="Arial" w:cs="Arial"/>
                <w:szCs w:val="20"/>
              </w:rPr>
            </w:pPr>
            <w:r>
              <w:rPr>
                <w:rFonts w:ascii="Arial" w:hAnsi="Arial" w:cs="Arial"/>
                <w:szCs w:val="20"/>
              </w:rPr>
              <w:t>X</w:t>
            </w:r>
          </w:p>
        </w:tc>
      </w:tr>
    </w:tbl>
    <w:p w14:paraId="7C705015" w14:textId="77777777" w:rsidR="002C203B" w:rsidRPr="00AF2AEF" w:rsidRDefault="00A345E1" w:rsidP="00603E77">
      <w:pPr>
        <w:pStyle w:val="Heading3"/>
        <w:spacing w:before="200"/>
        <w:rPr>
          <w:lang w:val="en-NZ"/>
        </w:rPr>
      </w:pPr>
      <w:bookmarkStart w:id="42" w:name="_Toc441512383"/>
      <w:bookmarkStart w:id="43" w:name="_Toc441520811"/>
      <w:bookmarkStart w:id="44" w:name="_Toc441521027"/>
      <w:bookmarkStart w:id="45" w:name="_Toc149504532"/>
      <w:r>
        <w:rPr>
          <w:lang w:val="en-NZ"/>
        </w:rPr>
        <w:t>Sample Size</w:t>
      </w:r>
      <w:bookmarkEnd w:id="42"/>
      <w:bookmarkEnd w:id="43"/>
      <w:bookmarkEnd w:id="44"/>
      <w:bookmarkEnd w:id="45"/>
    </w:p>
    <w:p w14:paraId="7BBD2C89" w14:textId="460B71BD" w:rsidR="002C203B" w:rsidRPr="00AF2AEF" w:rsidRDefault="00AE6FD3" w:rsidP="49379E54">
      <w:pPr>
        <w:rPr>
          <w:i/>
          <w:iCs/>
          <w:lang w:val="en-AU"/>
        </w:rPr>
      </w:pPr>
      <w:r>
        <w:rPr>
          <w:rFonts w:ascii="Calibri" w:eastAsia="Times New Roman" w:hAnsi="Calibri"/>
          <w:color w:val="000000"/>
          <w:shd w:val="clear" w:color="auto" w:fill="FFFFFF"/>
        </w:rPr>
        <w:t xml:space="preserve">For a sample size of </w:t>
      </w:r>
      <w:r w:rsidR="00614C5B">
        <w:rPr>
          <w:rFonts w:ascii="Calibri" w:eastAsia="Times New Roman" w:hAnsi="Calibri"/>
          <w:color w:val="000000"/>
          <w:shd w:val="clear" w:color="auto" w:fill="FFFFFF"/>
        </w:rPr>
        <w:t>twenty participants</w:t>
      </w:r>
      <w:r>
        <w:rPr>
          <w:rFonts w:ascii="Calibri" w:eastAsia="Times New Roman" w:hAnsi="Calibri"/>
          <w:color w:val="000000"/>
          <w:shd w:val="clear" w:color="auto" w:fill="FFFFFF"/>
        </w:rPr>
        <w:t xml:space="preserve">, this gives a </w:t>
      </w:r>
      <w:r w:rsidR="006505E3">
        <w:rPr>
          <w:rFonts w:ascii="Calibri" w:eastAsia="Times New Roman" w:hAnsi="Calibri"/>
          <w:color w:val="000000"/>
          <w:shd w:val="clear" w:color="auto" w:fill="FFFFFF"/>
        </w:rPr>
        <w:t>projected</w:t>
      </w:r>
      <w:r>
        <w:rPr>
          <w:rFonts w:ascii="Calibri" w:eastAsia="Times New Roman" w:hAnsi="Calibri"/>
          <w:color w:val="000000"/>
          <w:shd w:val="clear" w:color="auto" w:fill="FFFFFF"/>
        </w:rPr>
        <w:t xml:space="preserve"> a </w:t>
      </w:r>
      <w:r w:rsidR="00BF6435">
        <w:rPr>
          <w:rFonts w:ascii="Calibri" w:eastAsia="Times New Roman" w:hAnsi="Calibri"/>
          <w:color w:val="000000"/>
          <w:shd w:val="clear" w:color="auto" w:fill="FFFFFF"/>
        </w:rPr>
        <w:t>9</w:t>
      </w:r>
      <w:r>
        <w:rPr>
          <w:rFonts w:ascii="Calibri" w:eastAsia="Times New Roman" w:hAnsi="Calibri"/>
          <w:color w:val="000000"/>
          <w:shd w:val="clear" w:color="auto" w:fill="FFFFFF"/>
        </w:rPr>
        <w:t>5% CI</w:t>
      </w:r>
      <w:r w:rsidR="006505E3">
        <w:rPr>
          <w:rFonts w:ascii="Calibri" w:eastAsia="Times New Roman" w:hAnsi="Calibri"/>
          <w:color w:val="000000"/>
          <w:shd w:val="clear" w:color="auto" w:fill="FFFFFF"/>
        </w:rPr>
        <w:t xml:space="preserve"> </w:t>
      </w:r>
      <w:r>
        <w:rPr>
          <w:rFonts w:ascii="Calibri" w:eastAsia="Times New Roman" w:hAnsi="Calibri"/>
          <w:color w:val="000000"/>
          <w:shd w:val="clear" w:color="auto" w:fill="FFFFFF"/>
        </w:rPr>
        <w:t>of +/- 12.8</w:t>
      </w:r>
      <w:r w:rsidR="00BF6435">
        <w:rPr>
          <w:rFonts w:ascii="Calibri" w:eastAsia="Times New Roman" w:hAnsi="Calibri"/>
          <w:color w:val="000000"/>
          <w:shd w:val="clear" w:color="auto" w:fill="FFFFFF"/>
        </w:rPr>
        <w:t xml:space="preserve">% time-in-range. </w:t>
      </w:r>
      <w:r w:rsidR="00C947A9">
        <w:rPr>
          <w:rFonts w:ascii="Calibri" w:eastAsia="Times New Roman" w:hAnsi="Calibri"/>
          <w:color w:val="000000"/>
          <w:shd w:val="clear" w:color="auto" w:fill="FFFFFF"/>
        </w:rPr>
        <w:t>A change of 10%</w:t>
      </w:r>
      <w:r w:rsidR="003955C5">
        <w:rPr>
          <w:rFonts w:ascii="Calibri" w:eastAsia="Times New Roman" w:hAnsi="Calibri"/>
          <w:color w:val="000000"/>
          <w:shd w:val="clear" w:color="auto" w:fill="FFFFFF"/>
        </w:rPr>
        <w:t xml:space="preserve"> in time-in-range</w:t>
      </w:r>
      <w:r w:rsidR="00C947A9">
        <w:rPr>
          <w:rFonts w:ascii="Calibri" w:eastAsia="Times New Roman" w:hAnsi="Calibri"/>
          <w:color w:val="000000"/>
          <w:shd w:val="clear" w:color="auto" w:fill="FFFFFF"/>
        </w:rPr>
        <w:t xml:space="preserve"> </w:t>
      </w:r>
      <w:r w:rsidR="004021A8">
        <w:rPr>
          <w:rFonts w:ascii="Calibri" w:eastAsia="Times New Roman" w:hAnsi="Calibri"/>
          <w:color w:val="000000"/>
          <w:shd w:val="clear" w:color="auto" w:fill="FFFFFF"/>
        </w:rPr>
        <w:t xml:space="preserve">has been shown to reflect a change of </w:t>
      </w:r>
      <w:r w:rsidR="003955C5">
        <w:rPr>
          <w:rFonts w:ascii="Calibri" w:eastAsia="Times New Roman" w:hAnsi="Calibri"/>
          <w:color w:val="000000"/>
          <w:shd w:val="clear" w:color="auto" w:fill="FFFFFF"/>
        </w:rPr>
        <w:t xml:space="preserve">9 </w:t>
      </w:r>
      <w:r w:rsidR="002D1B44">
        <w:rPr>
          <w:rFonts w:ascii="Calibri" w:eastAsia="Times New Roman" w:hAnsi="Calibri"/>
          <w:color w:val="000000"/>
          <w:shd w:val="clear" w:color="auto" w:fill="FFFFFF"/>
        </w:rPr>
        <w:t>mmol/L</w:t>
      </w:r>
      <w:r w:rsidR="00922E94">
        <w:rPr>
          <w:rFonts w:ascii="Calibri" w:eastAsia="Times New Roman" w:hAnsi="Calibri"/>
          <w:color w:val="000000"/>
          <w:shd w:val="clear" w:color="auto" w:fill="FFFFFF"/>
        </w:rPr>
        <w:t xml:space="preserve"> HbA1c</w:t>
      </w:r>
      <w:r w:rsidR="00732AFC">
        <w:rPr>
          <w:rFonts w:ascii="Calibri" w:eastAsia="Times New Roman" w:hAnsi="Calibri"/>
          <w:color w:val="000000"/>
          <w:shd w:val="clear" w:color="auto" w:fill="FFFFFF"/>
        </w:rPr>
        <w:t xml:space="preserve"> </w:t>
      </w:r>
      <w:r w:rsidR="003955C5">
        <w:rPr>
          <w:rFonts w:ascii="Calibri" w:eastAsia="Times New Roman" w:hAnsi="Calibri"/>
          <w:color w:val="000000"/>
          <w:shd w:val="clear" w:color="auto" w:fill="FFFFFF"/>
        </w:rPr>
        <w:fldChar w:fldCharType="begin"/>
      </w:r>
      <w:r w:rsidR="00027667">
        <w:rPr>
          <w:rFonts w:ascii="Calibri" w:eastAsia="Times New Roman" w:hAnsi="Calibri"/>
          <w:color w:val="000000"/>
          <w:shd w:val="clear" w:color="auto" w:fill="FFFFFF"/>
        </w:rPr>
        <w:instrText xml:space="preserve"> ADDIN ZOTERO_ITEM CSL_CITATION {"citationID":"QllVMqAD","properties":{"formattedCitation":"(10)","plainCitation":"(10)","noteIndex":0},"citationItems":[{"id":2305,"uris":["http://zotero.org/users/5898490/items/9U7TEXFB"],"itemData":{"id":2305,"type":"article-journal","abstract":"Background: There has been recent recognition of the limitations of hemoglobin A1c (HbA1c) in describing both short- and long-term glycemic control. Continuous glucose monitoring (CGM) provides robust data about short-term glycemic control and provides metrics such as percent time-in-range (%TIR) that are now routinely reported to describe the change in glycemic control after an intervention in a clinical study or a change in therapy in a patient’s care. Recent studies have shown that %TIR may have similar associations with diabetes microvascular complications as does HbA1c. The relationship of %TIR to the long-standing metric of overall glycemic control has not been clearly deﬁned to date.\nMethods: Articles that report paired HbA1c and %TIR metrics (n = 1137) or HbA1c and frequent selfmonitoring of blood glucose (SMBG) (n = 1440) across a wide range of HbA1c, technologies, and subject demographics were reviewed to determine the correlation of these metrics.\nResults: Selected paired HbA1c and %TIR data from 18 articles were evaluated by linear regression analysis and Pearson’s correlation coefﬁcient. There was an excellent correlation between the two (R = -0.84; R2 = 0.71). This relationship did not change after excluding one study that used SMBG or six studies with £7 days of CGM. For every absolute 10% change in %TIR, there was a 0.8% (9 mmol/mol) change in HbA1c.\nConclusions: There is a good correlation between HbA1c and %TIR that may permit the transition to %TIR as the preferred metric for determining the outcome of clinical studies, predicting of the risk of diabetes complications, and assessing of an individual patient’s glycemic control.","container-title":"Diabetes Technology &amp; Therapeutics","DOI":"10.1089/dia.2018.0310","ISSN":"1520-9156, 1557-8593","issue":"2","journalAbbreviation":"Diabetes Technology &amp; Therapeutics","language":"en","page":"81-85","source":"DOI.org (Crossref)","title":"The Relationship of Hemoglobin A1C to Time-in-Range in Patients with Diabetes","volume":"21","author":[{"family":"Vigersky","given":"Robert A."},{"family":"McMahon","given":"Chantal"}],"issued":{"date-parts":[["2019",2]]},"citation-key":"vigerskyRelationshipHemoglobinA1C2019"}}],"schema":"https://github.com/citation-style-language/schema/raw/master/csl-citation.json"} </w:instrText>
      </w:r>
      <w:r w:rsidR="003955C5">
        <w:rPr>
          <w:rFonts w:ascii="Calibri" w:eastAsia="Times New Roman" w:hAnsi="Calibri"/>
          <w:color w:val="000000"/>
          <w:shd w:val="clear" w:color="auto" w:fill="FFFFFF"/>
        </w:rPr>
        <w:fldChar w:fldCharType="separate"/>
      </w:r>
      <w:r w:rsidR="00027667">
        <w:rPr>
          <w:rFonts w:ascii="Calibri" w:eastAsia="Times New Roman" w:hAnsi="Calibri"/>
          <w:noProof/>
          <w:color w:val="000000"/>
          <w:shd w:val="clear" w:color="auto" w:fill="FFFFFF"/>
        </w:rPr>
        <w:t>(10)</w:t>
      </w:r>
      <w:r w:rsidR="003955C5">
        <w:rPr>
          <w:rFonts w:ascii="Calibri" w:eastAsia="Times New Roman" w:hAnsi="Calibri"/>
          <w:color w:val="000000"/>
          <w:shd w:val="clear" w:color="auto" w:fill="FFFFFF"/>
        </w:rPr>
        <w:fldChar w:fldCharType="end"/>
      </w:r>
      <w:r w:rsidR="00A66EA2">
        <w:rPr>
          <w:rFonts w:ascii="Calibri" w:eastAsia="Times New Roman" w:hAnsi="Calibri"/>
          <w:color w:val="000000"/>
          <w:shd w:val="clear" w:color="auto" w:fill="FFFFFF"/>
        </w:rPr>
        <w:t xml:space="preserve">. A change of </w:t>
      </w:r>
      <w:r w:rsidR="00332AD5">
        <w:rPr>
          <w:rFonts w:ascii="Calibri" w:eastAsia="Times New Roman" w:hAnsi="Calibri"/>
          <w:color w:val="000000"/>
          <w:shd w:val="clear" w:color="auto" w:fill="FFFFFF"/>
        </w:rPr>
        <w:t xml:space="preserve">5-10 </w:t>
      </w:r>
      <w:r w:rsidR="00A66EA2">
        <w:rPr>
          <w:rFonts w:ascii="Calibri" w:eastAsia="Times New Roman" w:hAnsi="Calibri"/>
          <w:color w:val="000000"/>
          <w:shd w:val="clear" w:color="auto" w:fill="FFFFFF"/>
        </w:rPr>
        <w:t xml:space="preserve">mmol/L in HbA1c </w:t>
      </w:r>
      <w:r w:rsidR="00C36734">
        <w:rPr>
          <w:rFonts w:ascii="Calibri" w:eastAsia="Times New Roman" w:hAnsi="Calibri"/>
          <w:color w:val="000000"/>
          <w:shd w:val="clear" w:color="auto" w:fill="FFFFFF"/>
        </w:rPr>
        <w:t xml:space="preserve">is generally considered to be clinically relevant. </w:t>
      </w:r>
      <w:r w:rsidR="007B13CA">
        <w:rPr>
          <w:rFonts w:ascii="Calibri" w:eastAsia="Times New Roman" w:hAnsi="Calibri"/>
          <w:color w:val="000000"/>
          <w:shd w:val="clear" w:color="auto" w:fill="FFFFFF"/>
        </w:rPr>
        <w:t xml:space="preserve">A larger sample size, informed by this pilot study, will be able to examine a smaller effect size. </w:t>
      </w:r>
    </w:p>
    <w:p w14:paraId="23628E2A" w14:textId="77777777" w:rsidR="00A345E1" w:rsidRDefault="00A345E1" w:rsidP="003D6FCC">
      <w:pPr>
        <w:pStyle w:val="Heading3"/>
        <w:rPr>
          <w:lang w:val="en-NZ"/>
        </w:rPr>
      </w:pPr>
      <w:bookmarkStart w:id="46" w:name="_Toc441512384"/>
      <w:bookmarkStart w:id="47" w:name="_Toc441520812"/>
      <w:bookmarkStart w:id="48" w:name="_Toc441521028"/>
      <w:bookmarkStart w:id="49" w:name="_Toc149504533"/>
      <w:r w:rsidRPr="49379E54">
        <w:rPr>
          <w:lang w:val="en-NZ"/>
        </w:rPr>
        <w:t>Recruitment</w:t>
      </w:r>
      <w:bookmarkEnd w:id="46"/>
      <w:bookmarkEnd w:id="47"/>
      <w:bookmarkEnd w:id="48"/>
      <w:bookmarkEnd w:id="49"/>
    </w:p>
    <w:p w14:paraId="16F4A79E" w14:textId="7AA278D6" w:rsidR="00800502" w:rsidRPr="00800502" w:rsidRDefault="00800502" w:rsidP="2C934468">
      <w:pPr>
        <w:rPr>
          <w:lang w:val="en-NZ"/>
        </w:rPr>
      </w:pPr>
      <w:r w:rsidRPr="2C934468">
        <w:rPr>
          <w:lang w:val="en-NZ"/>
        </w:rPr>
        <w:t xml:space="preserve">Recruitment will be multi-modal. Posters will be circulated on </w:t>
      </w:r>
      <w:r w:rsidR="00E931BC" w:rsidRPr="2C934468">
        <w:rPr>
          <w:lang w:val="en-NZ"/>
        </w:rPr>
        <w:t xml:space="preserve">social media such as Facebook and Instagram, </w:t>
      </w:r>
      <w:r w:rsidRPr="2C934468">
        <w:rPr>
          <w:lang w:val="en-NZ"/>
        </w:rPr>
        <w:t xml:space="preserve">Wellington Regional Hospital staff-wide mailing lists, </w:t>
      </w:r>
      <w:r w:rsidR="00680721" w:rsidRPr="2C934468">
        <w:rPr>
          <w:lang w:val="en-NZ"/>
        </w:rPr>
        <w:t xml:space="preserve">through diabetes clinics at CEDOR, and </w:t>
      </w:r>
      <w:r w:rsidR="0031599B" w:rsidRPr="2C934468">
        <w:rPr>
          <w:lang w:val="en-NZ"/>
        </w:rPr>
        <w:t xml:space="preserve">information will be </w:t>
      </w:r>
      <w:r w:rsidR="00680721" w:rsidRPr="2C934468">
        <w:rPr>
          <w:lang w:val="en-NZ"/>
        </w:rPr>
        <w:t>circulate</w:t>
      </w:r>
      <w:r w:rsidR="0031599B" w:rsidRPr="2C934468">
        <w:rPr>
          <w:lang w:val="en-NZ"/>
        </w:rPr>
        <w:t>d</w:t>
      </w:r>
      <w:r w:rsidR="00680721" w:rsidRPr="2C934468">
        <w:rPr>
          <w:lang w:val="en-NZ"/>
        </w:rPr>
        <w:t xml:space="preserve"> via word-of-mout</w:t>
      </w:r>
      <w:r w:rsidR="0031599B" w:rsidRPr="2C934468">
        <w:rPr>
          <w:lang w:val="en-NZ"/>
        </w:rPr>
        <w:t>h. T</w:t>
      </w:r>
      <w:r w:rsidRPr="2C934468">
        <w:rPr>
          <w:lang w:val="en-NZ"/>
        </w:rPr>
        <w:t>he participant information and consent form will be circulated through a CEDOR participant list of people with type 2 diabetes</w:t>
      </w:r>
      <w:r w:rsidR="00BC750C" w:rsidRPr="2C934468">
        <w:rPr>
          <w:lang w:val="en-NZ"/>
        </w:rPr>
        <w:t xml:space="preserve"> who</w:t>
      </w:r>
      <w:r w:rsidRPr="2C934468">
        <w:rPr>
          <w:lang w:val="en-NZ"/>
        </w:rPr>
        <w:t xml:space="preserve"> have expressed interest in participating in studies</w:t>
      </w:r>
      <w:r w:rsidR="00BC750C" w:rsidRPr="2C934468">
        <w:rPr>
          <w:lang w:val="en-NZ"/>
        </w:rPr>
        <w:t>.</w:t>
      </w:r>
      <w:r w:rsidRPr="2C934468">
        <w:rPr>
          <w:lang w:val="en-NZ"/>
        </w:rPr>
        <w:t xml:space="preserve">  </w:t>
      </w:r>
    </w:p>
    <w:p w14:paraId="0339F660" w14:textId="77777777" w:rsidR="00A345E1" w:rsidRDefault="00A345E1" w:rsidP="00947B74">
      <w:pPr>
        <w:pStyle w:val="Heading2"/>
        <w:rPr>
          <w:lang w:val="en-NZ"/>
        </w:rPr>
      </w:pPr>
      <w:bookmarkStart w:id="50" w:name="_Toc441512389"/>
      <w:bookmarkStart w:id="51" w:name="_Toc441520817"/>
      <w:bookmarkStart w:id="52" w:name="_Toc441521033"/>
      <w:bookmarkStart w:id="53" w:name="_Toc149504534"/>
      <w:r>
        <w:rPr>
          <w:lang w:val="en-NZ"/>
        </w:rPr>
        <w:t>Data Collection, Management and Analysis</w:t>
      </w:r>
      <w:bookmarkEnd w:id="50"/>
      <w:bookmarkEnd w:id="51"/>
      <w:bookmarkEnd w:id="52"/>
      <w:bookmarkEnd w:id="53"/>
    </w:p>
    <w:p w14:paraId="61AD612B" w14:textId="77777777" w:rsidR="00A345E1" w:rsidRDefault="00A345E1" w:rsidP="00947B74">
      <w:pPr>
        <w:pStyle w:val="Heading3"/>
        <w:rPr>
          <w:lang w:val="en-NZ"/>
        </w:rPr>
      </w:pPr>
      <w:bookmarkStart w:id="54" w:name="_Toc441512390"/>
      <w:bookmarkStart w:id="55" w:name="_Toc441520818"/>
      <w:bookmarkStart w:id="56" w:name="_Toc441521034"/>
      <w:bookmarkStart w:id="57" w:name="_Toc149504535"/>
      <w:r>
        <w:rPr>
          <w:lang w:val="en-NZ"/>
        </w:rPr>
        <w:t>Data Collection Methods</w:t>
      </w:r>
      <w:bookmarkEnd w:id="54"/>
      <w:bookmarkEnd w:id="55"/>
      <w:bookmarkEnd w:id="56"/>
      <w:bookmarkEnd w:id="57"/>
    </w:p>
    <w:p w14:paraId="5375937A" w14:textId="77777777" w:rsidR="002E4C8D" w:rsidRDefault="00F07A38" w:rsidP="00603E77">
      <w:pPr>
        <w:rPr>
          <w:iCs/>
          <w:lang w:val="en-NZ"/>
        </w:rPr>
      </w:pPr>
      <w:r>
        <w:rPr>
          <w:iCs/>
          <w:lang w:val="en-NZ"/>
        </w:rPr>
        <w:t>Data collection methods</w:t>
      </w:r>
      <w:r w:rsidR="002E4C8D">
        <w:rPr>
          <w:iCs/>
          <w:lang w:val="en-NZ"/>
        </w:rPr>
        <w:t xml:space="preserve"> are as follows:</w:t>
      </w:r>
    </w:p>
    <w:p w14:paraId="60A78C88" w14:textId="77777777" w:rsidR="002E4C8D" w:rsidRDefault="002E4C8D" w:rsidP="002E4C8D">
      <w:pPr>
        <w:pStyle w:val="ListParagraph"/>
        <w:numPr>
          <w:ilvl w:val="0"/>
          <w:numId w:val="31"/>
        </w:numPr>
        <w:rPr>
          <w:iCs/>
          <w:lang w:val="en-NZ"/>
        </w:rPr>
      </w:pPr>
      <w:r w:rsidRPr="2C934468">
        <w:rPr>
          <w:lang w:val="en-NZ"/>
        </w:rPr>
        <w:t>Height</w:t>
      </w:r>
    </w:p>
    <w:p w14:paraId="16C715C0" w14:textId="77777777" w:rsidR="002E4C8D" w:rsidRDefault="002E4C8D" w:rsidP="002E4C8D">
      <w:pPr>
        <w:pStyle w:val="ListParagraph"/>
        <w:numPr>
          <w:ilvl w:val="1"/>
          <w:numId w:val="31"/>
        </w:numPr>
        <w:rPr>
          <w:iCs/>
          <w:lang w:val="en-NZ"/>
        </w:rPr>
      </w:pPr>
      <w:r>
        <w:rPr>
          <w:iCs/>
          <w:lang w:val="en-NZ"/>
        </w:rPr>
        <w:t xml:space="preserve">Measured using a calibrated wall-mounted stadiometer. Height will be measured three </w:t>
      </w:r>
      <w:r w:rsidR="00512EA9">
        <w:rPr>
          <w:iCs/>
          <w:lang w:val="en-NZ"/>
        </w:rPr>
        <w:t xml:space="preserve">times to the nearest </w:t>
      </w:r>
      <w:r w:rsidR="00AF070D">
        <w:rPr>
          <w:iCs/>
          <w:lang w:val="en-NZ"/>
        </w:rPr>
        <w:t>centimetre</w:t>
      </w:r>
      <w:r w:rsidR="00512EA9">
        <w:rPr>
          <w:iCs/>
          <w:lang w:val="en-NZ"/>
        </w:rPr>
        <w:t xml:space="preserve"> </w:t>
      </w:r>
      <w:r>
        <w:rPr>
          <w:iCs/>
          <w:lang w:val="en-NZ"/>
        </w:rPr>
        <w:t xml:space="preserve">and the mean will be recorded as height.  </w:t>
      </w:r>
    </w:p>
    <w:p w14:paraId="6E9A2024" w14:textId="77777777" w:rsidR="002E4C8D" w:rsidRDefault="002E4C8D" w:rsidP="002E4C8D">
      <w:pPr>
        <w:pStyle w:val="ListParagraph"/>
        <w:numPr>
          <w:ilvl w:val="0"/>
          <w:numId w:val="31"/>
        </w:numPr>
        <w:rPr>
          <w:iCs/>
          <w:lang w:val="en-NZ"/>
        </w:rPr>
      </w:pPr>
      <w:r w:rsidRPr="2C934468">
        <w:rPr>
          <w:lang w:val="en-NZ"/>
        </w:rPr>
        <w:t>Weight and body composition metrics</w:t>
      </w:r>
    </w:p>
    <w:p w14:paraId="29D00A87" w14:textId="37F09A2D" w:rsidR="002E4C8D" w:rsidRDefault="002E4C8D" w:rsidP="49379E54">
      <w:pPr>
        <w:pStyle w:val="ListParagraph"/>
        <w:numPr>
          <w:ilvl w:val="1"/>
          <w:numId w:val="31"/>
        </w:numPr>
        <w:rPr>
          <w:lang w:val="en-NZ"/>
        </w:rPr>
      </w:pPr>
      <w:r w:rsidRPr="49379E54">
        <w:rPr>
          <w:lang w:val="en-NZ"/>
        </w:rPr>
        <w:t xml:space="preserve">Measured using </w:t>
      </w:r>
      <w:r w:rsidR="004D5630" w:rsidRPr="49379E54">
        <w:rPr>
          <w:lang w:val="en-NZ"/>
        </w:rPr>
        <w:t xml:space="preserve">a two-electrode foot-to-foot bioelectrical </w:t>
      </w:r>
      <w:r w:rsidRPr="49379E54">
        <w:rPr>
          <w:lang w:val="en-NZ"/>
        </w:rPr>
        <w:t>impedance scale, the TBF-400 (Tanita Corporation, Arlington Heights, IL).</w:t>
      </w:r>
      <w:r w:rsidR="004D5630" w:rsidRPr="49379E54">
        <w:rPr>
          <w:lang w:val="en-NZ"/>
        </w:rPr>
        <w:t xml:space="preserve"> The scale passes a weak electrical current through the body, with the voltage measured to calculate the impedance (electrical resistance) of the body, with impedance used to estimate body composition (i.e., muscle mass, fat mass, free-water mass, bone mass etc.).</w:t>
      </w:r>
      <w:r w:rsidRPr="49379E54">
        <w:rPr>
          <w:lang w:val="en-NZ"/>
        </w:rPr>
        <w:t xml:space="preserve"> </w:t>
      </w:r>
      <w:r w:rsidR="00512EA9" w:rsidRPr="49379E54">
        <w:rPr>
          <w:lang w:val="en-NZ"/>
        </w:rPr>
        <w:t xml:space="preserve">Weight will be measured to the nearest </w:t>
      </w:r>
      <w:r w:rsidR="00AF070D" w:rsidRPr="49379E54">
        <w:rPr>
          <w:lang w:val="en-NZ"/>
        </w:rPr>
        <w:t>tenth of a kilogram</w:t>
      </w:r>
      <w:r w:rsidR="00A33B4C" w:rsidRPr="49379E54">
        <w:rPr>
          <w:lang w:val="en-NZ"/>
        </w:rPr>
        <w:t xml:space="preserve">. </w:t>
      </w:r>
      <w:r w:rsidRPr="49379E54">
        <w:rPr>
          <w:lang w:val="en-NZ"/>
        </w:rPr>
        <w:t>Results will be recorded digitally and the print-off will be kept in physical files. The print-off will be scanned and re-printed to avoid data loss by ink-fade.</w:t>
      </w:r>
      <w:r w:rsidR="004D5630" w:rsidRPr="49379E54">
        <w:rPr>
          <w:lang w:val="en-NZ"/>
        </w:rPr>
        <w:t xml:space="preserve"> Weight and body composition metrics will be used to </w:t>
      </w:r>
      <w:r w:rsidR="00F55292" w:rsidRPr="49379E54">
        <w:rPr>
          <w:lang w:val="en-NZ"/>
        </w:rPr>
        <w:t xml:space="preserve">assess if differences in energy intake recorded via the application and objectively measured energy expenditure are due to </w:t>
      </w:r>
      <w:r w:rsidR="4EB29F1A" w:rsidRPr="49379E54">
        <w:rPr>
          <w:lang w:val="en-NZ"/>
        </w:rPr>
        <w:t>misreporting</w:t>
      </w:r>
      <w:r w:rsidR="00F55292" w:rsidRPr="49379E54">
        <w:rPr>
          <w:lang w:val="en-NZ"/>
        </w:rPr>
        <w:t xml:space="preserve"> or changes in energy stores. </w:t>
      </w:r>
    </w:p>
    <w:p w14:paraId="2D30A3DA" w14:textId="77777777" w:rsidR="002E4C8D" w:rsidRDefault="002E4C8D" w:rsidP="002E4C8D">
      <w:pPr>
        <w:pStyle w:val="ListParagraph"/>
        <w:numPr>
          <w:ilvl w:val="0"/>
          <w:numId w:val="31"/>
        </w:numPr>
        <w:rPr>
          <w:iCs/>
          <w:lang w:val="en-NZ"/>
        </w:rPr>
      </w:pPr>
      <w:r w:rsidRPr="2C934468">
        <w:rPr>
          <w:lang w:val="en-NZ"/>
        </w:rPr>
        <w:t xml:space="preserve">Novel glycaemic monitoring application. </w:t>
      </w:r>
    </w:p>
    <w:p w14:paraId="3E0AAE9F" w14:textId="77777777" w:rsidR="002E4C8D" w:rsidRDefault="002E4C8D" w:rsidP="002E4C8D">
      <w:pPr>
        <w:pStyle w:val="ListParagraph"/>
        <w:numPr>
          <w:ilvl w:val="1"/>
          <w:numId w:val="31"/>
        </w:numPr>
        <w:rPr>
          <w:iCs/>
          <w:lang w:val="en-NZ"/>
        </w:rPr>
      </w:pPr>
      <w:r>
        <w:rPr>
          <w:iCs/>
          <w:lang w:val="en-NZ"/>
        </w:rPr>
        <w:t>P</w:t>
      </w:r>
      <w:r w:rsidRPr="002E4C8D">
        <w:rPr>
          <w:iCs/>
          <w:lang w:val="en-NZ"/>
        </w:rPr>
        <w:t xml:space="preserve">articipants will be instructed to record all dietary intake and view blood glucose data for </w:t>
      </w:r>
      <w:r>
        <w:rPr>
          <w:iCs/>
          <w:lang w:val="en-NZ"/>
        </w:rPr>
        <w:t>30</w:t>
      </w:r>
      <w:r w:rsidRPr="002E4C8D">
        <w:rPr>
          <w:iCs/>
          <w:lang w:val="en-NZ"/>
        </w:rPr>
        <w:t xml:space="preserve"> days</w:t>
      </w:r>
      <w:r>
        <w:rPr>
          <w:iCs/>
          <w:lang w:val="en-NZ"/>
        </w:rPr>
        <w:t xml:space="preserve"> total</w:t>
      </w:r>
      <w:r w:rsidRPr="002E4C8D">
        <w:rPr>
          <w:iCs/>
          <w:lang w:val="en-NZ"/>
        </w:rPr>
        <w:t xml:space="preserve"> using the application. This is currently an iOS-only app that allows for both image-based and text-based input. The image-based method uses the on-device camera and the Passio Nutrition AI Software Development Kit (Passio Inc., California) to identify and quantify food items through automated recognition software. Both the image-based and text-based methods use the Passio nutrition database for food item names, energy, and macronutrient information. The application displays total energy intake and macronutrient data from the foods consumed that day, with the option of </w:t>
      </w:r>
      <w:r w:rsidRPr="002E4C8D">
        <w:rPr>
          <w:iCs/>
          <w:lang w:val="en-NZ"/>
        </w:rPr>
        <w:lastRenderedPageBreak/>
        <w:t xml:space="preserve">this being turned off.  The application pairs with the </w:t>
      </w:r>
      <w:proofErr w:type="spellStart"/>
      <w:r w:rsidRPr="002E4C8D">
        <w:rPr>
          <w:iCs/>
          <w:lang w:val="en-NZ"/>
        </w:rPr>
        <w:t>AiDEX</w:t>
      </w:r>
      <w:proofErr w:type="spellEnd"/>
      <w:r w:rsidRPr="002E4C8D">
        <w:rPr>
          <w:iCs/>
          <w:lang w:val="en-NZ"/>
        </w:rPr>
        <w:t xml:space="preserve"> Continuous Glucose Monitor and displays the blood glucose information using a custom display.  </w:t>
      </w:r>
    </w:p>
    <w:p w14:paraId="3AD9EE17" w14:textId="77777777" w:rsidR="00F07A38" w:rsidRDefault="00F07A38" w:rsidP="00F07A38">
      <w:pPr>
        <w:pStyle w:val="ListParagraph"/>
        <w:numPr>
          <w:ilvl w:val="0"/>
          <w:numId w:val="31"/>
        </w:numPr>
        <w:rPr>
          <w:iCs/>
          <w:lang w:val="en-NZ"/>
        </w:rPr>
      </w:pPr>
      <w:r w:rsidRPr="2C934468">
        <w:rPr>
          <w:lang w:val="en-NZ"/>
        </w:rPr>
        <w:t>Continuous glucose monitoring (CGM)</w:t>
      </w:r>
    </w:p>
    <w:p w14:paraId="558FCA83" w14:textId="6C3009B5" w:rsidR="00F07A38" w:rsidRDefault="00F07A38" w:rsidP="2C934468">
      <w:pPr>
        <w:pStyle w:val="ListParagraph"/>
        <w:numPr>
          <w:ilvl w:val="1"/>
          <w:numId w:val="31"/>
        </w:numPr>
        <w:rPr>
          <w:lang w:val="en-NZ"/>
        </w:rPr>
      </w:pPr>
      <w:r w:rsidRPr="49379E54">
        <w:rPr>
          <w:lang w:val="en-NZ"/>
        </w:rPr>
        <w:t xml:space="preserve">The CGMs are </w:t>
      </w:r>
      <w:proofErr w:type="spellStart"/>
      <w:r w:rsidRPr="49379E54">
        <w:rPr>
          <w:lang w:val="en-NZ"/>
        </w:rPr>
        <w:t>AiDEX</w:t>
      </w:r>
      <w:proofErr w:type="spellEnd"/>
      <w:r w:rsidRPr="49379E54">
        <w:rPr>
          <w:lang w:val="en-NZ"/>
        </w:rPr>
        <w:t xml:space="preserve"> CGM’s (</w:t>
      </w:r>
      <w:proofErr w:type="spellStart"/>
      <w:r w:rsidRPr="49379E54">
        <w:rPr>
          <w:lang w:val="en-NZ"/>
        </w:rPr>
        <w:t>Microtech</w:t>
      </w:r>
      <w:proofErr w:type="spellEnd"/>
      <w:r w:rsidRPr="49379E54">
        <w:rPr>
          <w:lang w:val="en-NZ"/>
        </w:rPr>
        <w:t xml:space="preserve"> Medical, Beijing, China). These </w:t>
      </w:r>
      <w:r w:rsidR="005D1F71" w:rsidRPr="49379E54">
        <w:rPr>
          <w:lang w:val="en-NZ"/>
        </w:rPr>
        <w:t>record</w:t>
      </w:r>
      <w:r w:rsidRPr="49379E54">
        <w:rPr>
          <w:lang w:val="en-NZ"/>
        </w:rPr>
        <w:t xml:space="preserve"> blood glucose levels every five minutes that are transmitted to the application via Bluetooth</w:t>
      </w:r>
      <w:r w:rsidR="00AF070D" w:rsidRPr="49379E54">
        <w:rPr>
          <w:lang w:val="en-NZ"/>
        </w:rPr>
        <w:t xml:space="preserve"> (approximate range of ten metres)</w:t>
      </w:r>
      <w:r w:rsidRPr="49379E54">
        <w:rPr>
          <w:lang w:val="en-NZ"/>
        </w:rPr>
        <w:t xml:space="preserve"> and do not require Near Field Communication (NFC) to record on the </w:t>
      </w:r>
      <w:r w:rsidR="4AB9DA2D" w:rsidRPr="49379E54">
        <w:rPr>
          <w:lang w:val="en-NZ"/>
        </w:rPr>
        <w:t>application and can communicate at a range of approximately ten metres</w:t>
      </w:r>
      <w:r w:rsidRPr="49379E54">
        <w:rPr>
          <w:lang w:val="en-NZ"/>
        </w:rPr>
        <w:t xml:space="preserve">. Each sensor is accompanied by a transmitter that facilitates the Bluetooth transmission. This transmitter will be re-used between sensors. Participants will be provided with a single CGM sensor at Visit 1, and provided with two CGM sensors at Visit 2. Participants are to wear the CGM for ten continuous days between Visit 1 and 2. After Visit 2, participants will wear the first CGM for ten continuous days, discard of the CGM, and immediately apply the other CGM for another ten continuous days. </w:t>
      </w:r>
    </w:p>
    <w:p w14:paraId="0858DB7C" w14:textId="77777777" w:rsidR="00F07A38" w:rsidRDefault="00F07A38" w:rsidP="00F07A38">
      <w:pPr>
        <w:pStyle w:val="ListParagraph"/>
        <w:numPr>
          <w:ilvl w:val="0"/>
          <w:numId w:val="31"/>
        </w:numPr>
        <w:rPr>
          <w:iCs/>
          <w:lang w:val="en-NZ"/>
        </w:rPr>
      </w:pPr>
      <w:r w:rsidRPr="2C934468">
        <w:rPr>
          <w:lang w:val="en-NZ"/>
        </w:rPr>
        <w:t>Accelerometery</w:t>
      </w:r>
    </w:p>
    <w:p w14:paraId="53E8D9FF" w14:textId="30DFB8C6" w:rsidR="00F07A38" w:rsidRPr="00F07A38" w:rsidRDefault="00F07A38" w:rsidP="397AB28E">
      <w:pPr>
        <w:pStyle w:val="ListParagraph"/>
        <w:numPr>
          <w:ilvl w:val="1"/>
          <w:numId w:val="31"/>
        </w:numPr>
        <w:rPr>
          <w:lang w:val="en-NZ"/>
        </w:rPr>
      </w:pPr>
      <w:r w:rsidRPr="397AB28E">
        <w:rPr>
          <w:lang w:val="en-NZ"/>
        </w:rPr>
        <w:t xml:space="preserve">Participants will be provided an ActiGraph GT9X (ActiGraph Corporation, Pensacola, FL), a tri-axial accelerometer, and accompanying wrist-strap at Visit 1. Participants will be instructed to wear it continuously until Visit 2, except when showering or swimming for more than 30 minutes. Participants will be encouraged to continue with normal activity, and only the time-keeping feature will be displayed to the participant. Data generated from the ActiGraph will be processed </w:t>
      </w:r>
      <w:r w:rsidR="003955C5" w:rsidRPr="397AB28E">
        <w:rPr>
          <w:lang w:val="en-NZ"/>
        </w:rPr>
        <w:t xml:space="preserve">using GGIR (2.10-1) using the thresholds stated in Hildebrand et al </w:t>
      </w:r>
      <w:r w:rsidRPr="397AB28E">
        <w:rPr>
          <w:lang w:val="en-NZ"/>
        </w:rPr>
        <w:fldChar w:fldCharType="begin"/>
      </w:r>
      <w:r w:rsidRPr="397AB28E">
        <w:rPr>
          <w:lang w:val="en-NZ"/>
        </w:rPr>
        <w:instrText xml:space="preserve"> ADDIN ZOTERO_ITEM CSL_CITATION {"citationID":"zNttKh96","properties":{"formattedCitation":"(11,12)","plainCitation":"(11,12)","noteIndex":0},"citationItems":[{"id":3059,"uris":["http://zotero.org/users/5898490/items/CJ4982MM"],"itemData":{"id":3059,"type":"article-journal","abstract":"Accelerometers are widely used to measure sedentary time, physical activity, physical activity energy expenditure (PAEE), and sleep-related behaviors, with the ActiGraph being the most frequently used brand by researchers. However, data collection and processing criteria have evolved in a myriad of ways out of the need to answer unique research questions; as a result there is no consensus.","container-title":"Sports Medicine","DOI":"10.1007/s40279-017-0716-0","ISSN":"0112-1642, 1179-2035","issue":"9","journalAbbreviation":"Sports Med","language":"en","page":"1821-1845","source":"DOI.org (Crossref)","title":"Accelerometer Data Collection and Processing Criteria to Assess Physical Activity and Other Outcomes: A Systematic Review and Practical Considerations","title-short":"Accelerometer Data Collection and Processing Criteria to Assess Physical Activity and Other Outcomes","volume":"47","author":[{"family":"Migueles","given":"Jairo H."},{"family":"Cadenas-Sanchez","given":"Cristina"},{"family":"Ekelund","given":"Ulf"},{"family":"Delisle Nyström","given":"Christine"},{"family":"Mora-Gonzalez","given":"Jose"},{"family":"Löf","given":"Marie"},{"family":"Labayen","given":"Idoia"},{"family":"Ruiz","given":"Jonatan R."},{"family":"Ortega","given":"Francisco B."}],"issued":{"date-parts":[["2017",9]]},"citation-key":"miguelesAccelerometerDataCollection2017"}},{"id":3178,"uris":["http://zotero.org/users/5898490/items/S3FD58XV"],"itemData":{"id":3178,"type":"article-journal","abstract":"PurposeThe study aims were to compare raw triaxial accelerometer output from ActiGraph GT3X+ (AG) and GENEActiv (GA) placed on the hip and the wrist and to develop regression equations for estimating energy expenditure.MethodsThirty children (7-11 yr) and 30 adults (18-65 yr) completed eight activities (ranging from lying to running) while wearing one AG and one GA on the hip and the wrist. Oxygen consumption (V˙O2) was measured with indirect calorimetry. Analysis involved the use of ANOVA to examine the effect of activity, brand, and placement on the acceleration values, intraclass correlation coefficient to evaluate the agreement between the two brands and placements, and linear regression to establish intensity thresholds.ResultsA significant difference in acceleration values between the hip and the wrist placement was found (P ConclusionsAccelerometer outputs from AG and GA seem comparable when attached to the same body location in adults, whereas inconsistent differences are apparent between the two brands and placements in children, hence limiting the comparability between brands in this age group.","container-title":"Medicine and science in sports and exercise","DOI":"10.1249/mss.0000000000000289","ISSN":"1530-0315","issue":"9","journalAbbreviation":"Med Sci Sports Exerc","language":"eng","note":"PMID: 24887173","page":"1816-1824","source":"Europe PMC","title":"Age group comparability of raw accelerometer output from wrist- and hip-worn monitors","volume":"46","author":[{"family":"Hildebrand","given":"Maria"},{"family":"VAN Hees","given":"Vincent T"},{"family":"Hansen","given":"Bjorge Hermann"},{"family":"Ekelund","given":"Ulf"}],"issued":{"date-parts":[["2014",9,1]]},"citation-key":"hildebrandAgeGroupComparability2014"}}],"schema":"https://github.com/citation-style-language/schema/raw/master/csl-citation.json"} </w:instrText>
      </w:r>
      <w:r w:rsidRPr="397AB28E">
        <w:rPr>
          <w:lang w:val="en-NZ"/>
        </w:rPr>
        <w:fldChar w:fldCharType="separate"/>
      </w:r>
      <w:r w:rsidR="00027667" w:rsidRPr="397AB28E">
        <w:rPr>
          <w:noProof/>
          <w:lang w:val="en-NZ"/>
        </w:rPr>
        <w:t>(11,12)</w:t>
      </w:r>
      <w:r w:rsidRPr="397AB28E">
        <w:rPr>
          <w:lang w:val="en-NZ"/>
        </w:rPr>
        <w:fldChar w:fldCharType="end"/>
      </w:r>
      <w:r w:rsidR="003955C5" w:rsidRPr="397AB28E">
        <w:rPr>
          <w:lang w:val="en-NZ"/>
        </w:rPr>
        <w:t>.</w:t>
      </w:r>
      <w:r w:rsidRPr="397AB28E">
        <w:rPr>
          <w:lang w:val="en-NZ"/>
        </w:rPr>
        <w:t xml:space="preserve"> Accelerometery is used to estimate total energy intake: we can first estimate total energy expenditure by measuring its components; </w:t>
      </w:r>
      <w:r w:rsidR="003E5EED" w:rsidRPr="397AB28E">
        <w:rPr>
          <w:lang w:val="en-NZ"/>
        </w:rPr>
        <w:t>resting energy expenditure</w:t>
      </w:r>
      <w:r w:rsidRPr="397AB28E">
        <w:rPr>
          <w:lang w:val="en-NZ"/>
        </w:rPr>
        <w:t>, activity-related energy expenditure, and diet-induced thermogenesis (assumed to be 10% of total). Accelerometery using the ActiGraph GT9X provides measurement of activity-related energy expenditure</w:t>
      </w:r>
      <w:r w:rsidR="3B331E1E" w:rsidRPr="397AB28E">
        <w:rPr>
          <w:lang w:val="en-NZ"/>
        </w:rPr>
        <w:t>.</w:t>
      </w:r>
    </w:p>
    <w:p w14:paraId="26FFDD16" w14:textId="77777777" w:rsidR="00F07A38" w:rsidRDefault="00F07A38" w:rsidP="00F07A38">
      <w:pPr>
        <w:pStyle w:val="ListParagraph"/>
        <w:numPr>
          <w:ilvl w:val="0"/>
          <w:numId w:val="31"/>
        </w:numPr>
        <w:rPr>
          <w:iCs/>
          <w:lang w:val="en-NZ"/>
        </w:rPr>
      </w:pPr>
      <w:r w:rsidRPr="2C934468">
        <w:rPr>
          <w:lang w:val="en-NZ"/>
        </w:rPr>
        <w:t xml:space="preserve">Indirect calorimetry </w:t>
      </w:r>
    </w:p>
    <w:p w14:paraId="40D1597A" w14:textId="77777777" w:rsidR="00AF070D" w:rsidRDefault="00F07A38" w:rsidP="00F07A38">
      <w:pPr>
        <w:pStyle w:val="ListParagraph"/>
        <w:numPr>
          <w:ilvl w:val="1"/>
          <w:numId w:val="31"/>
        </w:numPr>
        <w:rPr>
          <w:iCs/>
          <w:lang w:val="en-NZ"/>
        </w:rPr>
      </w:pPr>
      <w:r>
        <w:rPr>
          <w:iCs/>
          <w:lang w:val="en-NZ"/>
        </w:rPr>
        <w:t>C</w:t>
      </w:r>
      <w:r w:rsidRPr="00F07A38">
        <w:rPr>
          <w:iCs/>
          <w:lang w:val="en-NZ"/>
        </w:rPr>
        <w:t xml:space="preserve">alorimetry will be carried out by trained investigators only, who have demonstrated competence at conducting nitrogen gas validation </w:t>
      </w:r>
      <w:r w:rsidR="00AF070D">
        <w:rPr>
          <w:iCs/>
          <w:lang w:val="en-NZ"/>
        </w:rPr>
        <w:t>by</w:t>
      </w:r>
      <w:r w:rsidR="00AF070D" w:rsidRPr="00F07A38">
        <w:rPr>
          <w:iCs/>
          <w:lang w:val="en-NZ"/>
        </w:rPr>
        <w:t xml:space="preserve"> </w:t>
      </w:r>
      <w:r w:rsidRPr="00F07A38">
        <w:rPr>
          <w:iCs/>
          <w:lang w:val="en-NZ"/>
        </w:rPr>
        <w:t xml:space="preserve">obtaining a score of 98-102% of target O2 retrieval. </w:t>
      </w:r>
    </w:p>
    <w:p w14:paraId="3A6277E9" w14:textId="77777777" w:rsidR="00AF070D" w:rsidRDefault="00F07A38" w:rsidP="00F07A38">
      <w:pPr>
        <w:pStyle w:val="ListParagraph"/>
        <w:numPr>
          <w:ilvl w:val="1"/>
          <w:numId w:val="31"/>
        </w:numPr>
        <w:rPr>
          <w:iCs/>
          <w:lang w:val="en-NZ"/>
        </w:rPr>
      </w:pPr>
      <w:r w:rsidRPr="00F07A38">
        <w:rPr>
          <w:iCs/>
          <w:lang w:val="en-NZ"/>
        </w:rPr>
        <w:t xml:space="preserve">Calorimetry recordings must all include the date of calibration for CO2, O2 and WVP sensors, the operator name, the participant ID, and the raw data file-name as a minimum data set. Prior to completing a visit the calorimetry raw data will be checked across all channels for baselining errors, significant artefact or other errors that may require a repeat recording. Once the raw data has been checked it should be immediately backed up and the file-name recorded in the participants file. </w:t>
      </w:r>
    </w:p>
    <w:p w14:paraId="0665CC83" w14:textId="77777777" w:rsidR="009956AF" w:rsidRDefault="00F07A38" w:rsidP="009956AF">
      <w:pPr>
        <w:pStyle w:val="ListParagraph"/>
        <w:numPr>
          <w:ilvl w:val="1"/>
          <w:numId w:val="31"/>
        </w:numPr>
        <w:rPr>
          <w:iCs/>
          <w:lang w:val="en-NZ"/>
        </w:rPr>
      </w:pPr>
      <w:r w:rsidRPr="00F07A38">
        <w:rPr>
          <w:iCs/>
          <w:lang w:val="en-NZ"/>
        </w:rPr>
        <w:t xml:space="preserve">Participants will be recorded reclining at 30-45° for the duration of the recording. Participants will be monitored visually during all recordings. Any movement occurring during a calorimetry recording will be recorded along with the sample numbers over which the movement occurred. In the event of artefact, the signal processing technique used to correct the artefact will be noted, e.g. smoothing, rolling averages etc. </w:t>
      </w:r>
    </w:p>
    <w:p w14:paraId="627483F8" w14:textId="5EBEA159" w:rsidR="00F07A38" w:rsidRPr="009956AF" w:rsidRDefault="00F07A38" w:rsidP="009956AF">
      <w:pPr>
        <w:pStyle w:val="ListParagraph"/>
        <w:numPr>
          <w:ilvl w:val="1"/>
          <w:numId w:val="31"/>
        </w:numPr>
        <w:rPr>
          <w:iCs/>
          <w:lang w:val="en-NZ"/>
        </w:rPr>
      </w:pPr>
      <w:r w:rsidRPr="009956AF">
        <w:rPr>
          <w:iCs/>
          <w:lang w:val="en-NZ"/>
        </w:rPr>
        <w:t xml:space="preserve">Recorded visit data will have pre-specified ranges or drop down menus to reduce operator error. Data checking will occur separate to data entry and prior to statistical analysis. A data checking log will be kept that details any errors identified, any changes to the data set made, the reasons for this and by whom. Indirect calorimetry allows measurement of </w:t>
      </w:r>
      <w:r w:rsidR="003E5EED" w:rsidRPr="009956AF">
        <w:rPr>
          <w:iCs/>
          <w:lang w:val="en-NZ"/>
        </w:rPr>
        <w:t>resting energy expenditure</w:t>
      </w:r>
      <w:r w:rsidRPr="009956AF">
        <w:rPr>
          <w:iCs/>
          <w:lang w:val="en-NZ"/>
        </w:rPr>
        <w:t>, which will be used to calculate total energy expenditure, and therefore total energy intake under the assumption of body mass stability</w:t>
      </w:r>
    </w:p>
    <w:p w14:paraId="2AF7B981" w14:textId="77777777" w:rsidR="00F07A38" w:rsidRDefault="00F07A38" w:rsidP="00F07A38">
      <w:pPr>
        <w:pStyle w:val="ListParagraph"/>
        <w:numPr>
          <w:ilvl w:val="0"/>
          <w:numId w:val="31"/>
        </w:numPr>
        <w:rPr>
          <w:iCs/>
          <w:lang w:val="en-NZ"/>
        </w:rPr>
      </w:pPr>
      <w:r w:rsidRPr="2C934468">
        <w:rPr>
          <w:lang w:val="en-NZ"/>
        </w:rPr>
        <w:t>Qualitative questionnaire</w:t>
      </w:r>
    </w:p>
    <w:p w14:paraId="7C945FBA" w14:textId="107125DE" w:rsidR="00F07A38" w:rsidRDefault="00F07A38" w:rsidP="00F07A38">
      <w:pPr>
        <w:pStyle w:val="ListParagraph"/>
        <w:numPr>
          <w:ilvl w:val="1"/>
          <w:numId w:val="31"/>
        </w:numPr>
        <w:rPr>
          <w:iCs/>
          <w:lang w:val="en-NZ"/>
        </w:rPr>
      </w:pPr>
      <w:r>
        <w:rPr>
          <w:iCs/>
          <w:lang w:val="en-NZ"/>
        </w:rPr>
        <w:t>P</w:t>
      </w:r>
      <w:r w:rsidRPr="00F07A38">
        <w:rPr>
          <w:iCs/>
          <w:lang w:val="en-NZ"/>
        </w:rPr>
        <w:t>articipants will complete a questionnaire hosted on REDCap (Vanderbilt University) at Visit 3</w:t>
      </w:r>
      <w:r w:rsidR="00E3593A">
        <w:rPr>
          <w:iCs/>
          <w:lang w:val="en-NZ"/>
        </w:rPr>
        <w:t>, with a sub-set question delivered at Visit 1 and 2,</w:t>
      </w:r>
      <w:r w:rsidRPr="00F07A38">
        <w:rPr>
          <w:iCs/>
          <w:lang w:val="en-NZ"/>
        </w:rPr>
        <w:t xml:space="preserve"> exploring their perspective </w:t>
      </w:r>
      <w:r w:rsidRPr="00F07A38">
        <w:rPr>
          <w:iCs/>
          <w:lang w:val="en-NZ"/>
        </w:rPr>
        <w:lastRenderedPageBreak/>
        <w:t xml:space="preserve">on the usability of the application. The questionnaire will use both Likert scales and free-text. Please see Appendix A for the questionnaire. </w:t>
      </w:r>
      <w:r>
        <w:rPr>
          <w:iCs/>
          <w:lang w:val="en-NZ"/>
        </w:rPr>
        <w:t xml:space="preserve">The questionnaire is used </w:t>
      </w:r>
      <w:r w:rsidRPr="00F07A38">
        <w:rPr>
          <w:iCs/>
          <w:lang w:val="en-NZ"/>
        </w:rPr>
        <w:t>to identify points of improvement for the application we must understand the qualitative experience. Once these areas for improvement are known we can make changes for further iterations of the application</w:t>
      </w:r>
    </w:p>
    <w:p w14:paraId="632968EA" w14:textId="77777777" w:rsidR="00F07A38" w:rsidRPr="00F07A38" w:rsidRDefault="00F07A38" w:rsidP="00F07A38">
      <w:pPr>
        <w:rPr>
          <w:iCs/>
          <w:lang w:val="en-NZ"/>
        </w:rPr>
      </w:pPr>
    </w:p>
    <w:p w14:paraId="46AACD12" w14:textId="77777777" w:rsidR="00B27094" w:rsidRPr="00633814" w:rsidRDefault="00B27094" w:rsidP="00633814">
      <w:pPr>
        <w:pStyle w:val="Heading3"/>
        <w:rPr>
          <w:lang w:val="en-NZ"/>
        </w:rPr>
      </w:pPr>
      <w:bookmarkStart w:id="58" w:name="_Toc149504536"/>
      <w:r w:rsidRPr="00633814">
        <w:rPr>
          <w:lang w:val="en-NZ"/>
        </w:rPr>
        <w:t>Retention</w:t>
      </w:r>
      <w:bookmarkEnd w:id="58"/>
    </w:p>
    <w:p w14:paraId="218A133E" w14:textId="77777777" w:rsidR="00D3055C" w:rsidRPr="00D3055C" w:rsidRDefault="00D3055C" w:rsidP="00603E77">
      <w:pPr>
        <w:rPr>
          <w:iCs/>
          <w:lang w:val="en-NZ"/>
        </w:rPr>
      </w:pPr>
      <w:r>
        <w:rPr>
          <w:iCs/>
          <w:lang w:val="en-NZ"/>
        </w:rPr>
        <w:t xml:space="preserve">Participants are free to withdraw from the study at any point. The energy-weighted algorithm will assist in retention during the study. If a participant </w:t>
      </w:r>
      <w:r w:rsidR="00773279">
        <w:rPr>
          <w:iCs/>
          <w:lang w:val="en-NZ"/>
        </w:rPr>
        <w:t>chooses to withdraw</w:t>
      </w:r>
      <w:r>
        <w:rPr>
          <w:iCs/>
          <w:lang w:val="en-NZ"/>
        </w:rPr>
        <w:t xml:space="preserve"> the</w:t>
      </w:r>
      <w:r w:rsidR="00B06BDC">
        <w:rPr>
          <w:iCs/>
          <w:lang w:val="en-NZ"/>
        </w:rPr>
        <w:t xml:space="preserve">y </w:t>
      </w:r>
      <w:r>
        <w:rPr>
          <w:iCs/>
          <w:lang w:val="en-NZ"/>
        </w:rPr>
        <w:t>will be invited to fill out the qualitative questionnaire at that point. If the participant has completed ten days of food tracking this data will be used to assess the accuracy of the energy intake estimates from the application. If the participant completes at least ten days the food and glucose-tracking component, th</w:t>
      </w:r>
      <w:r w:rsidR="00773279">
        <w:rPr>
          <w:iCs/>
          <w:lang w:val="en-NZ"/>
        </w:rPr>
        <w:t>ese</w:t>
      </w:r>
      <w:r>
        <w:rPr>
          <w:iCs/>
          <w:lang w:val="en-NZ"/>
        </w:rPr>
        <w:t xml:space="preserve"> data will be included in a sub-analyses of the primary outcome. </w:t>
      </w:r>
    </w:p>
    <w:p w14:paraId="4910F3FC" w14:textId="77777777" w:rsidR="00650CFF" w:rsidRPr="0020356B" w:rsidRDefault="00A345E1" w:rsidP="003A10E1">
      <w:pPr>
        <w:pStyle w:val="Heading3"/>
        <w:rPr>
          <w:lang w:val="en-NZ"/>
        </w:rPr>
      </w:pPr>
      <w:bookmarkStart w:id="59" w:name="_Toc441512391"/>
      <w:bookmarkStart w:id="60" w:name="_Toc441520819"/>
      <w:bookmarkStart w:id="61" w:name="_Toc441521035"/>
      <w:bookmarkStart w:id="62" w:name="_Toc149504537"/>
      <w:r>
        <w:rPr>
          <w:lang w:val="en-NZ"/>
        </w:rPr>
        <w:t>Data Management</w:t>
      </w:r>
      <w:bookmarkEnd w:id="59"/>
      <w:bookmarkEnd w:id="60"/>
      <w:bookmarkEnd w:id="61"/>
      <w:bookmarkEnd w:id="62"/>
    </w:p>
    <w:p w14:paraId="2A6CE8CF" w14:textId="1ED901FA" w:rsidR="00D3055C" w:rsidRPr="00D3055C" w:rsidRDefault="1AAF2986" w:rsidP="2C934468">
      <w:pPr>
        <w:rPr>
          <w:lang w:val="en-NZ"/>
        </w:rPr>
      </w:pPr>
      <w:r w:rsidRPr="2C934468">
        <w:rPr>
          <w:lang w:val="en-NZ"/>
        </w:rPr>
        <w:t xml:space="preserve">Standard </w:t>
      </w:r>
      <w:r w:rsidR="28F72214" w:rsidRPr="2C934468">
        <w:rPr>
          <w:lang w:val="en-NZ"/>
        </w:rPr>
        <w:t xml:space="preserve">clinical and research </w:t>
      </w:r>
      <w:r w:rsidRPr="2C934468">
        <w:rPr>
          <w:lang w:val="en-NZ"/>
        </w:rPr>
        <w:t>practice for continuous glucose monitoring data management is to be sent to a secure cloud storage datab</w:t>
      </w:r>
      <w:r w:rsidR="0C47CC1A" w:rsidRPr="2C934468">
        <w:rPr>
          <w:lang w:val="en-NZ"/>
        </w:rPr>
        <w:t>a</w:t>
      </w:r>
      <w:r w:rsidRPr="2C934468">
        <w:rPr>
          <w:lang w:val="en-NZ"/>
        </w:rPr>
        <w:t>se.  This study shall adhere to standard practice, and a</w:t>
      </w:r>
      <w:r w:rsidR="00D3055C" w:rsidRPr="2C934468">
        <w:rPr>
          <w:lang w:val="en-NZ"/>
        </w:rPr>
        <w:t>ll data recorded via the application</w:t>
      </w:r>
      <w:r w:rsidR="0020356B" w:rsidRPr="2C934468">
        <w:rPr>
          <w:lang w:val="en-NZ"/>
        </w:rPr>
        <w:t xml:space="preserve"> including continuous glucose monitoring data</w:t>
      </w:r>
      <w:r w:rsidR="00D3055C" w:rsidRPr="2C934468">
        <w:rPr>
          <w:lang w:val="en-NZ"/>
        </w:rPr>
        <w:t xml:space="preserve"> is stored in Firestore, a secure cloud database (Alphabet Inc., US). An ad-hoc </w:t>
      </w:r>
      <w:r w:rsidR="0020356B" w:rsidRPr="2C934468">
        <w:rPr>
          <w:lang w:val="en-NZ"/>
        </w:rPr>
        <w:t xml:space="preserve">cleaning and </w:t>
      </w:r>
      <w:r w:rsidR="00D3055C" w:rsidRPr="2C934468">
        <w:rPr>
          <w:lang w:val="en-NZ"/>
        </w:rPr>
        <w:t>exporting algorithm will convert t</w:t>
      </w:r>
      <w:r w:rsidR="00832D7E" w:rsidRPr="2C934468">
        <w:rPr>
          <w:lang w:val="en-NZ"/>
        </w:rPr>
        <w:t>hese</w:t>
      </w:r>
      <w:r w:rsidR="00D3055C" w:rsidRPr="2C934468">
        <w:rPr>
          <w:lang w:val="en-NZ"/>
        </w:rPr>
        <w:t xml:space="preserve"> data into a csv. file for analysis in R (</w:t>
      </w:r>
      <w:r w:rsidR="0020356B" w:rsidRPr="2C934468">
        <w:rPr>
          <w:lang w:val="en-NZ"/>
        </w:rPr>
        <w:t xml:space="preserve">R Foundation, Vienna, Austria). All data stored in this database is de-identified, and will only contain Study ID, height, weight, and self-reported metrics such as physical activity level and regular </w:t>
      </w:r>
      <w:r w:rsidR="389CDC01" w:rsidRPr="2C934468">
        <w:rPr>
          <w:lang w:val="en-NZ"/>
        </w:rPr>
        <w:t>mealtimes</w:t>
      </w:r>
      <w:r w:rsidR="0020356B" w:rsidRPr="2C934468">
        <w:rPr>
          <w:lang w:val="en-NZ"/>
        </w:rPr>
        <w:t xml:space="preserve">. Anthropometric, body composition, indirect calorimetry will be stored in a secure REDCap database (Vanderbilt University). This REDCap database will only contain de-identified data. Accelerometery data can only be processed through proprietary </w:t>
      </w:r>
      <w:proofErr w:type="spellStart"/>
      <w:r w:rsidR="0020356B" w:rsidRPr="2C934468">
        <w:rPr>
          <w:lang w:val="en-NZ"/>
        </w:rPr>
        <w:t>ActiLife</w:t>
      </w:r>
      <w:proofErr w:type="spellEnd"/>
      <w:r w:rsidR="0020356B" w:rsidRPr="2C934468">
        <w:rPr>
          <w:lang w:val="en-NZ"/>
        </w:rPr>
        <w:t xml:space="preserve"> software (ActiGraph Corporation, Pensacola, FL), after which the data will be transcribed to the exported csv. Firestore file and deleted from </w:t>
      </w:r>
      <w:proofErr w:type="spellStart"/>
      <w:r w:rsidR="0020356B" w:rsidRPr="2C934468">
        <w:rPr>
          <w:lang w:val="en-NZ"/>
        </w:rPr>
        <w:t>ActiLife</w:t>
      </w:r>
      <w:proofErr w:type="spellEnd"/>
      <w:r w:rsidR="0020356B" w:rsidRPr="2C934468">
        <w:rPr>
          <w:lang w:val="en-NZ"/>
        </w:rPr>
        <w:t xml:space="preserve">. The Firestore database will be deleted after ten years. A physical copy of all baseline measurements will be stored in a locked cabinet in CEDOR to prevent data loss and will be </w:t>
      </w:r>
      <w:r w:rsidR="009E10D6" w:rsidRPr="2C934468">
        <w:rPr>
          <w:lang w:val="en-NZ"/>
        </w:rPr>
        <w:t xml:space="preserve">archived at the end of the study </w:t>
      </w:r>
      <w:r w:rsidR="007D75CF" w:rsidRPr="2C934468">
        <w:rPr>
          <w:lang w:val="en-NZ"/>
        </w:rPr>
        <w:t xml:space="preserve">and </w:t>
      </w:r>
      <w:r w:rsidR="0020356B" w:rsidRPr="2C934468">
        <w:rPr>
          <w:lang w:val="en-NZ"/>
        </w:rPr>
        <w:t xml:space="preserve">destroyed after ten years. </w:t>
      </w:r>
    </w:p>
    <w:p w14:paraId="2F2C1402" w14:textId="77777777" w:rsidR="00A345E1" w:rsidRPr="007035C8" w:rsidRDefault="00A345E1" w:rsidP="00947B74">
      <w:pPr>
        <w:pStyle w:val="Heading3"/>
        <w:rPr>
          <w:lang w:val="en-NZ"/>
        </w:rPr>
      </w:pPr>
      <w:bookmarkStart w:id="63" w:name="_Toc441512392"/>
      <w:bookmarkStart w:id="64" w:name="_Toc441520820"/>
      <w:bookmarkStart w:id="65" w:name="_Toc441521036"/>
      <w:bookmarkStart w:id="66" w:name="_Toc149504538"/>
      <w:r w:rsidRPr="007035C8">
        <w:rPr>
          <w:lang w:val="en-NZ"/>
        </w:rPr>
        <w:t>Statistical Methods</w:t>
      </w:r>
      <w:bookmarkEnd w:id="63"/>
      <w:bookmarkEnd w:id="64"/>
      <w:bookmarkEnd w:id="65"/>
      <w:bookmarkEnd w:id="66"/>
    </w:p>
    <w:p w14:paraId="49085D27" w14:textId="67B29314" w:rsidR="0041109C" w:rsidRPr="007035C8" w:rsidRDefault="002D527B" w:rsidP="0041109C">
      <w:r w:rsidRPr="007035C8">
        <w:t xml:space="preserve">Statistical analysis will be performed with </w:t>
      </w:r>
      <w:r w:rsidR="001646E4" w:rsidRPr="007035C8">
        <w:t xml:space="preserve">R 4.2 (R Foundation, Vienna, Austria). </w:t>
      </w:r>
    </w:p>
    <w:p w14:paraId="6E53F641" w14:textId="391CB777" w:rsidR="001646E4" w:rsidRPr="00B726F1" w:rsidRDefault="00F24057" w:rsidP="00127C64">
      <w:pPr>
        <w:rPr>
          <w:highlight w:val="yellow"/>
          <w:lang w:val="en-NZ"/>
        </w:rPr>
      </w:pPr>
      <w:r w:rsidRPr="49379E54">
        <w:rPr>
          <w:lang w:val="en-NZ"/>
        </w:rPr>
        <w:t xml:space="preserve">Paired t-tests will be used to compare the primary outcome of time-in-range and </w:t>
      </w:r>
      <w:r w:rsidR="007035C8" w:rsidRPr="49379E54">
        <w:rPr>
          <w:lang w:val="en-NZ"/>
        </w:rPr>
        <w:t>duration of post-prandial hyperglycaemia. Standard deviations will be used to compare inter-individual and intra-individual variability of post-prandial glycaemic responses to the provided food items. Bland-Altman analysis</w:t>
      </w:r>
      <w:r w:rsidR="007B13CA" w:rsidRPr="49379E54">
        <w:rPr>
          <w:lang w:val="en-NZ"/>
        </w:rPr>
        <w:t xml:space="preserve"> using the </w:t>
      </w:r>
      <w:proofErr w:type="spellStart"/>
      <w:r w:rsidR="007B13CA" w:rsidRPr="49379E54">
        <w:rPr>
          <w:lang w:val="en-NZ"/>
        </w:rPr>
        <w:t>blandr</w:t>
      </w:r>
      <w:proofErr w:type="spellEnd"/>
      <w:r w:rsidR="007B13CA" w:rsidRPr="49379E54">
        <w:rPr>
          <w:lang w:val="en-NZ"/>
        </w:rPr>
        <w:t xml:space="preserve"> package in R 4.2</w:t>
      </w:r>
      <w:r w:rsidR="007035C8" w:rsidRPr="49379E54">
        <w:rPr>
          <w:lang w:val="en-NZ"/>
        </w:rPr>
        <w:t xml:space="preserve"> will be used to assess the accuracy of the energy intake measurements from the application</w:t>
      </w:r>
      <w:r w:rsidR="007B13CA" w:rsidRPr="49379E54">
        <w:rPr>
          <w:lang w:val="en-NZ"/>
        </w:rPr>
        <w:t xml:space="preserve"> </w:t>
      </w:r>
      <w:r w:rsidRPr="49379E54">
        <w:rPr>
          <w:lang w:val="en-NZ"/>
        </w:rPr>
        <w:fldChar w:fldCharType="begin"/>
      </w:r>
      <w:r w:rsidR="00027667">
        <w:rPr>
          <w:lang w:val="en-NZ"/>
        </w:rPr>
        <w:instrText xml:space="preserve"> ADDIN ZOTERO_ITEM CSL_CITATION {"citationID":"zbxdqnjM","properties":{"formattedCitation":"(13,14)","plainCitation":"(13,14)","noteIndex":0},"citationItems":[{"id":3222,"uris":["http://zotero.org/users/5898490/items/TCBJBHHX"],"itemData":{"id":3222,"type":"article-journal","DOI":"10.5281/zenodo.824514","note":"DOI: 10.5281/zenodo.1244740","source":"Zenodo","title":"blandr: a Bland-Altman Method Comparison package for R","title-short":"deepankardatta/blandr","URL":"https://github.com/deepankardatta/blandr","author":[{"family":"Datta","given":"Deepankar"}],"accessed":{"date-parts":[["2023",8,24]]},"issued":{"date-parts":[["2017"]]},"citation-key":"dattaBlandrBlandAltmanMethod2017"}},{"id":3243,"uris":["http://zotero.org/users/5898490/items/38WTEH5B"],"itemData":{"id":3243,"type":"article-journal","container-title":"The Statistician","DOI":"10.2307/2987937","ISSN":"00390526","issue":"3","journalAbbreviation":"The Statistician","page":"307","source":"DOI.org (Crossref)","title":"Measurement in Medicine: The Analysis of Method Comparison Studies","title-short":"Measurement in Medicine","volume":"32","author":[{"family":"Altman","given":"D. G."},{"family":"Bland","given":"J. M."}],"issued":{"date-parts":[["1983",9]]},"citation-key":"altmanMeasurementMedicineAnalysis1983"}}],"schema":"https://github.com/citation-style-language/schema/raw/master/csl-citation.json"} </w:instrText>
      </w:r>
      <w:r w:rsidRPr="49379E54">
        <w:rPr>
          <w:lang w:val="en-NZ"/>
        </w:rPr>
        <w:fldChar w:fldCharType="separate"/>
      </w:r>
      <w:r w:rsidR="00027667">
        <w:rPr>
          <w:noProof/>
          <w:lang w:val="en-NZ"/>
        </w:rPr>
        <w:t>(13,14)</w:t>
      </w:r>
      <w:r w:rsidRPr="49379E54">
        <w:rPr>
          <w:lang w:val="en-NZ"/>
        </w:rPr>
        <w:fldChar w:fldCharType="end"/>
      </w:r>
      <w:r w:rsidR="007035C8" w:rsidRPr="49379E54">
        <w:rPr>
          <w:lang w:val="en-NZ"/>
        </w:rPr>
        <w:t xml:space="preserve">. For significance tests, </w:t>
      </w:r>
      <w:r w:rsidR="007035C8" w:rsidRPr="49379E54">
        <w:rPr>
          <w:rFonts w:cs="Arial"/>
          <w:color w:val="000000" w:themeColor="text1"/>
        </w:rPr>
        <w:t xml:space="preserve">alpha level will be set at 0.05 (two tailed). </w:t>
      </w:r>
    </w:p>
    <w:p w14:paraId="73583BF9" w14:textId="77777777" w:rsidR="00A345E1" w:rsidRDefault="00A345E1" w:rsidP="00947B74">
      <w:pPr>
        <w:pStyle w:val="Heading2"/>
        <w:rPr>
          <w:lang w:val="en-NZ"/>
        </w:rPr>
      </w:pPr>
      <w:bookmarkStart w:id="67" w:name="_Toc441512393"/>
      <w:bookmarkStart w:id="68" w:name="_Toc441520821"/>
      <w:bookmarkStart w:id="69" w:name="_Toc441521037"/>
      <w:bookmarkStart w:id="70" w:name="_Toc149504539"/>
      <w:r>
        <w:rPr>
          <w:lang w:val="en-NZ"/>
        </w:rPr>
        <w:t>Monitoring</w:t>
      </w:r>
      <w:bookmarkEnd w:id="67"/>
      <w:bookmarkEnd w:id="68"/>
      <w:bookmarkEnd w:id="69"/>
      <w:bookmarkEnd w:id="70"/>
    </w:p>
    <w:p w14:paraId="1B01B758" w14:textId="77777777" w:rsidR="00754C82" w:rsidRDefault="00AF070D" w:rsidP="00947B74">
      <w:pPr>
        <w:pStyle w:val="Heading3"/>
        <w:rPr>
          <w:lang w:val="en-NZ"/>
        </w:rPr>
      </w:pPr>
      <w:bookmarkStart w:id="71" w:name="_Toc149504540"/>
      <w:r>
        <w:rPr>
          <w:lang w:val="en-NZ"/>
        </w:rPr>
        <w:t>Study</w:t>
      </w:r>
      <w:r w:rsidR="00EC2D22">
        <w:rPr>
          <w:lang w:val="en-NZ"/>
        </w:rPr>
        <w:t xml:space="preserve"> Committee</w:t>
      </w:r>
      <w:bookmarkEnd w:id="71"/>
    </w:p>
    <w:p w14:paraId="2BE3766C" w14:textId="77777777" w:rsidR="001B136C" w:rsidRDefault="0020700F" w:rsidP="0020700F">
      <w:pPr>
        <w:rPr>
          <w:lang w:val="en-NZ"/>
        </w:rPr>
      </w:pPr>
      <w:r>
        <w:rPr>
          <w:lang w:val="en-NZ"/>
        </w:rPr>
        <w:t xml:space="preserve">A </w:t>
      </w:r>
      <w:r w:rsidR="00AF070D">
        <w:rPr>
          <w:lang w:val="en-NZ"/>
        </w:rPr>
        <w:t>Study</w:t>
      </w:r>
      <w:r>
        <w:rPr>
          <w:lang w:val="en-NZ"/>
        </w:rPr>
        <w:t xml:space="preserve"> Committee </w:t>
      </w:r>
      <w:r w:rsidR="00B726F1">
        <w:rPr>
          <w:lang w:val="en-NZ"/>
        </w:rPr>
        <w:t xml:space="preserve"> will meet </w:t>
      </w:r>
      <w:r w:rsidR="00AF070D">
        <w:rPr>
          <w:lang w:val="en-NZ"/>
        </w:rPr>
        <w:t xml:space="preserve">fortnightly </w:t>
      </w:r>
      <w:r w:rsidR="00B726F1">
        <w:rPr>
          <w:lang w:val="en-NZ"/>
        </w:rPr>
        <w:t xml:space="preserve">to </w:t>
      </w:r>
      <w:r w:rsidR="005F1CF4">
        <w:rPr>
          <w:lang w:val="en-NZ"/>
        </w:rPr>
        <w:t>monitor recruitment,</w:t>
      </w:r>
      <w:r w:rsidR="007F36E6">
        <w:rPr>
          <w:lang w:val="en-NZ"/>
        </w:rPr>
        <w:t xml:space="preserve"> sample size assumptions,</w:t>
      </w:r>
      <w:r w:rsidR="005F1CF4">
        <w:rPr>
          <w:lang w:val="en-NZ"/>
        </w:rPr>
        <w:t xml:space="preserve"> completeness of data acquisition, </w:t>
      </w:r>
      <w:r w:rsidR="007F36E6">
        <w:rPr>
          <w:lang w:val="en-NZ"/>
        </w:rPr>
        <w:t>and evidence for group differences in the main efficacy and safety outcome measures</w:t>
      </w:r>
      <w:r w:rsidR="00C60C43">
        <w:rPr>
          <w:lang w:val="en-NZ"/>
        </w:rPr>
        <w:t xml:space="preserve"> (harms)</w:t>
      </w:r>
      <w:r w:rsidR="007F36E6">
        <w:rPr>
          <w:lang w:val="en-NZ"/>
        </w:rPr>
        <w:t xml:space="preserve">. </w:t>
      </w:r>
    </w:p>
    <w:p w14:paraId="5042E3B3" w14:textId="77777777" w:rsidR="00CF2F5A" w:rsidRPr="00B2351A" w:rsidRDefault="00CF2F5A" w:rsidP="00CF2F5A">
      <w:pPr>
        <w:rPr>
          <w:i/>
        </w:rPr>
      </w:pPr>
      <w:r w:rsidRPr="00B2351A">
        <w:rPr>
          <w:i/>
        </w:rPr>
        <w:t xml:space="preserve">The </w:t>
      </w:r>
      <w:r w:rsidR="00AF070D">
        <w:rPr>
          <w:i/>
        </w:rPr>
        <w:t>Study</w:t>
      </w:r>
      <w:r w:rsidR="00AF070D" w:rsidRPr="00B2351A">
        <w:rPr>
          <w:i/>
        </w:rPr>
        <w:t xml:space="preserve"> </w:t>
      </w:r>
      <w:r w:rsidRPr="00B2351A">
        <w:rPr>
          <w:i/>
        </w:rPr>
        <w:t>Committee comprises:</w:t>
      </w:r>
      <w:r>
        <w:rPr>
          <w:i/>
        </w:rPr>
        <w:t xml:space="preserve"> </w:t>
      </w:r>
      <w:r w:rsidR="0020356B">
        <w:rPr>
          <w:i/>
        </w:rPr>
        <w:t>Professor Jeremy Krebs, Dr Rosemary Hall, Lachlan Lee</w:t>
      </w:r>
      <w:r w:rsidR="00B726F1">
        <w:rPr>
          <w:i/>
        </w:rPr>
        <w:t xml:space="preserve">. </w:t>
      </w:r>
      <w:r w:rsidR="0020356B">
        <w:rPr>
          <w:i/>
        </w:rPr>
        <w:t xml:space="preserve"> </w:t>
      </w:r>
    </w:p>
    <w:p w14:paraId="31263B65" w14:textId="77777777" w:rsidR="001B136C" w:rsidRDefault="001B136C" w:rsidP="001B136C">
      <w:pPr>
        <w:pStyle w:val="Heading3"/>
        <w:rPr>
          <w:lang w:val="en-NZ"/>
        </w:rPr>
      </w:pPr>
      <w:bookmarkStart w:id="72" w:name="_Toc149504541"/>
      <w:r>
        <w:rPr>
          <w:lang w:val="en-NZ"/>
        </w:rPr>
        <w:t>Interim analysis</w:t>
      </w:r>
      <w:bookmarkEnd w:id="72"/>
    </w:p>
    <w:p w14:paraId="22C164B7" w14:textId="77777777" w:rsidR="0020700F" w:rsidRPr="00CC2C71" w:rsidRDefault="00347ABA" w:rsidP="0020700F">
      <w:pPr>
        <w:rPr>
          <w:i/>
          <w:lang w:val="en-NZ"/>
        </w:rPr>
      </w:pPr>
      <w:r>
        <w:rPr>
          <w:lang w:val="en-NZ"/>
        </w:rPr>
        <w:t xml:space="preserve">There will be no </w:t>
      </w:r>
      <w:r w:rsidR="000A07D5">
        <w:rPr>
          <w:lang w:val="en-NZ"/>
        </w:rPr>
        <w:t>interim analysis</w:t>
      </w:r>
      <w:r w:rsidR="002E4C8D">
        <w:rPr>
          <w:lang w:val="en-NZ"/>
        </w:rPr>
        <w:t xml:space="preserve">. </w:t>
      </w:r>
    </w:p>
    <w:p w14:paraId="70417DD8" w14:textId="77777777" w:rsidR="00754C82" w:rsidRDefault="00754C82" w:rsidP="00947B74">
      <w:pPr>
        <w:pStyle w:val="Heading3"/>
        <w:rPr>
          <w:lang w:val="en-NZ"/>
        </w:rPr>
      </w:pPr>
      <w:bookmarkStart w:id="73" w:name="_Toc441512395"/>
      <w:bookmarkStart w:id="74" w:name="_Toc441520823"/>
      <w:bookmarkStart w:id="75" w:name="_Toc441521039"/>
      <w:bookmarkStart w:id="76" w:name="_Toc149504542"/>
      <w:r>
        <w:rPr>
          <w:lang w:val="en-NZ"/>
        </w:rPr>
        <w:lastRenderedPageBreak/>
        <w:t>Harms</w:t>
      </w:r>
      <w:bookmarkEnd w:id="73"/>
      <w:bookmarkEnd w:id="74"/>
      <w:bookmarkEnd w:id="75"/>
      <w:bookmarkEnd w:id="76"/>
    </w:p>
    <w:p w14:paraId="1B85BE9B" w14:textId="77777777" w:rsidR="00FF66B4" w:rsidRDefault="00E53802" w:rsidP="009A1057">
      <w:pPr>
        <w:rPr>
          <w:lang w:val="en-NZ"/>
        </w:rPr>
      </w:pPr>
      <w:r>
        <w:rPr>
          <w:lang w:val="en-NZ"/>
        </w:rPr>
        <w:t xml:space="preserve">The following Serious Adverse Events will be </w:t>
      </w:r>
      <w:r w:rsidR="00631626">
        <w:rPr>
          <w:lang w:val="en-NZ"/>
        </w:rPr>
        <w:t xml:space="preserve">reported to </w:t>
      </w:r>
      <w:r w:rsidR="00AF070D">
        <w:rPr>
          <w:lang w:val="en-NZ"/>
        </w:rPr>
        <w:t>the Study Committee:</w:t>
      </w:r>
    </w:p>
    <w:p w14:paraId="74EE12CD" w14:textId="77777777" w:rsidR="00FF66B4" w:rsidRPr="00FF66B4" w:rsidRDefault="00FF66B4" w:rsidP="00FF66B4">
      <w:pPr>
        <w:pStyle w:val="ListParagraph"/>
        <w:numPr>
          <w:ilvl w:val="0"/>
          <w:numId w:val="25"/>
        </w:numPr>
        <w:rPr>
          <w:lang w:val="en-NZ"/>
        </w:rPr>
      </w:pPr>
      <w:r w:rsidRPr="00FF66B4">
        <w:rPr>
          <w:lang w:val="en-NZ"/>
        </w:rPr>
        <w:t>Death</w:t>
      </w:r>
    </w:p>
    <w:p w14:paraId="6C544226" w14:textId="77777777" w:rsidR="00B726F1" w:rsidRPr="00B726F1" w:rsidRDefault="00B726F1" w:rsidP="00B726F1">
      <w:pPr>
        <w:pStyle w:val="ListParagraph"/>
        <w:numPr>
          <w:ilvl w:val="0"/>
          <w:numId w:val="25"/>
        </w:numPr>
        <w:rPr>
          <w:i/>
          <w:lang w:val="en-NZ"/>
        </w:rPr>
      </w:pPr>
      <w:r>
        <w:rPr>
          <w:iCs/>
          <w:lang w:val="en-NZ"/>
        </w:rPr>
        <w:t>Hospital admission</w:t>
      </w:r>
    </w:p>
    <w:p w14:paraId="777A996C" w14:textId="77777777" w:rsidR="009A1057" w:rsidRPr="00B726F1" w:rsidRDefault="001B136C" w:rsidP="009A1057">
      <w:pPr>
        <w:pStyle w:val="Heading3"/>
        <w:rPr>
          <w:lang w:val="en-NZ"/>
        </w:rPr>
      </w:pPr>
      <w:bookmarkStart w:id="77" w:name="_Toc149504543"/>
      <w:r>
        <w:rPr>
          <w:lang w:val="en-NZ"/>
        </w:rPr>
        <w:t>Auditing</w:t>
      </w:r>
      <w:bookmarkEnd w:id="77"/>
    </w:p>
    <w:p w14:paraId="355CBA8C" w14:textId="77777777" w:rsidR="00B726F1" w:rsidRPr="00B726F1" w:rsidRDefault="00B726F1" w:rsidP="009A1057">
      <w:pPr>
        <w:rPr>
          <w:lang w:val="en-NZ"/>
        </w:rPr>
      </w:pPr>
      <w:r>
        <w:rPr>
          <w:lang w:val="en-NZ"/>
        </w:rPr>
        <w:t xml:space="preserve">Auditing of trial conduct and documentation completeness will be undertaken monthly by the site principal investigator. All previously un-audited hard-copy and digital records will be examined for errors. </w:t>
      </w:r>
    </w:p>
    <w:p w14:paraId="416D5F81" w14:textId="77777777" w:rsidR="00754C82" w:rsidRPr="001F2DB1" w:rsidRDefault="00754C82" w:rsidP="00A63CAA">
      <w:pPr>
        <w:pStyle w:val="Heading1"/>
        <w:rPr>
          <w:rFonts w:asciiTheme="minorHAnsi" w:hAnsiTheme="minorHAnsi" w:cstheme="minorHAnsi"/>
          <w:lang w:val="en-NZ"/>
        </w:rPr>
      </w:pPr>
      <w:bookmarkStart w:id="78" w:name="_Toc441512397"/>
      <w:bookmarkStart w:id="79" w:name="_Toc441520825"/>
      <w:bookmarkStart w:id="80" w:name="_Toc441521041"/>
      <w:bookmarkStart w:id="81" w:name="_Toc149504544"/>
      <w:r w:rsidRPr="001F2DB1">
        <w:rPr>
          <w:rFonts w:asciiTheme="minorHAnsi" w:hAnsiTheme="minorHAnsi" w:cstheme="minorHAnsi"/>
          <w:lang w:val="en-NZ"/>
        </w:rPr>
        <w:t>Ethics and Dissemination</w:t>
      </w:r>
      <w:bookmarkEnd w:id="78"/>
      <w:bookmarkEnd w:id="79"/>
      <w:bookmarkEnd w:id="80"/>
      <w:bookmarkEnd w:id="81"/>
    </w:p>
    <w:p w14:paraId="1BF5BF1E" w14:textId="77777777" w:rsidR="00754C82" w:rsidRDefault="00754C82" w:rsidP="00A63CAA">
      <w:pPr>
        <w:pStyle w:val="Heading2"/>
        <w:rPr>
          <w:lang w:val="en-NZ"/>
        </w:rPr>
      </w:pPr>
      <w:bookmarkStart w:id="82" w:name="_Toc441512398"/>
      <w:bookmarkStart w:id="83" w:name="_Toc441520826"/>
      <w:bookmarkStart w:id="84" w:name="_Toc441521042"/>
      <w:bookmarkStart w:id="85" w:name="_Toc149504545"/>
      <w:r>
        <w:rPr>
          <w:lang w:val="en-NZ"/>
        </w:rPr>
        <w:t>Research Ethics Approval</w:t>
      </w:r>
      <w:bookmarkEnd w:id="82"/>
      <w:bookmarkEnd w:id="83"/>
      <w:bookmarkEnd w:id="84"/>
      <w:bookmarkEnd w:id="85"/>
    </w:p>
    <w:p w14:paraId="3DB1A0EA" w14:textId="77777777" w:rsidR="0020356B" w:rsidRPr="0020356B" w:rsidRDefault="0020356B" w:rsidP="0020356B">
      <w:pPr>
        <w:rPr>
          <w:lang w:val="en-NZ"/>
        </w:rPr>
      </w:pPr>
      <w:r>
        <w:rPr>
          <w:lang w:val="en-NZ"/>
        </w:rPr>
        <w:t xml:space="preserve">Ethics approval is being </w:t>
      </w:r>
      <w:r w:rsidR="00B726F1">
        <w:rPr>
          <w:lang w:val="en-NZ"/>
        </w:rPr>
        <w:t xml:space="preserve">sought through the Health and Disability Ethics Committee. </w:t>
      </w:r>
    </w:p>
    <w:p w14:paraId="627701A1" w14:textId="77777777" w:rsidR="00631626" w:rsidRDefault="00746E33" w:rsidP="00631626">
      <w:pPr>
        <w:pStyle w:val="Heading2"/>
        <w:rPr>
          <w:lang w:val="en-NZ"/>
        </w:rPr>
      </w:pPr>
      <w:bookmarkStart w:id="86" w:name="_Toc149504546"/>
      <w:r>
        <w:rPr>
          <w:lang w:val="en-NZ"/>
        </w:rPr>
        <w:t>Locality Approval</w:t>
      </w:r>
      <w:bookmarkStart w:id="87" w:name="_Toc441512399"/>
      <w:bookmarkStart w:id="88" w:name="_Toc441520827"/>
      <w:bookmarkStart w:id="89" w:name="_Toc441521043"/>
      <w:bookmarkEnd w:id="86"/>
    </w:p>
    <w:p w14:paraId="0A86686A" w14:textId="77777777" w:rsidR="0020356B" w:rsidRPr="0020356B" w:rsidRDefault="0020356B" w:rsidP="0020356B">
      <w:pPr>
        <w:rPr>
          <w:lang w:val="en-NZ"/>
        </w:rPr>
      </w:pPr>
      <w:r>
        <w:rPr>
          <w:lang w:val="en-NZ"/>
        </w:rPr>
        <w:t xml:space="preserve">Locality approval is being sought through Te </w:t>
      </w:r>
      <w:proofErr w:type="spellStart"/>
      <w:r>
        <w:rPr>
          <w:lang w:val="en-NZ"/>
        </w:rPr>
        <w:t>Whatu</w:t>
      </w:r>
      <w:proofErr w:type="spellEnd"/>
      <w:r>
        <w:rPr>
          <w:lang w:val="en-NZ"/>
        </w:rPr>
        <w:t xml:space="preserve"> Ora Wellington and the University of Otago Wellington. </w:t>
      </w:r>
    </w:p>
    <w:p w14:paraId="616065B3" w14:textId="77777777" w:rsidR="00754C82" w:rsidRDefault="00754C82" w:rsidP="00A63CAA">
      <w:pPr>
        <w:pStyle w:val="Heading2"/>
        <w:rPr>
          <w:lang w:val="en-NZ"/>
        </w:rPr>
      </w:pPr>
      <w:bookmarkStart w:id="90" w:name="_Toc149504547"/>
      <w:r>
        <w:rPr>
          <w:lang w:val="en-NZ"/>
        </w:rPr>
        <w:t>Protocol Amendments</w:t>
      </w:r>
      <w:bookmarkEnd w:id="87"/>
      <w:bookmarkEnd w:id="88"/>
      <w:bookmarkEnd w:id="89"/>
      <w:bookmarkEnd w:id="90"/>
    </w:p>
    <w:p w14:paraId="4A2A70E6" w14:textId="77777777" w:rsidR="002B2524" w:rsidRPr="002B2524" w:rsidRDefault="002B2524" w:rsidP="002B2524">
      <w:pPr>
        <w:rPr>
          <w:lang w:val="en-NZ"/>
        </w:rPr>
      </w:pPr>
      <w:r>
        <w:rPr>
          <w:lang w:val="en-NZ"/>
        </w:rPr>
        <w:t xml:space="preserve">All amendments to the final version of this protocol will require review and approval of the </w:t>
      </w:r>
      <w:r w:rsidR="006A591A" w:rsidRPr="005B669F">
        <w:rPr>
          <w:color w:val="000000" w:themeColor="text1"/>
          <w:lang w:val="en-NZ"/>
        </w:rPr>
        <w:t>Steering Committee</w:t>
      </w:r>
      <w:r w:rsidR="006A591A">
        <w:rPr>
          <w:color w:val="000000" w:themeColor="text1"/>
          <w:lang w:val="en-NZ"/>
        </w:rPr>
        <w:t xml:space="preserve">, and will be submitted to HDEC and </w:t>
      </w:r>
      <w:r w:rsidR="00434327">
        <w:rPr>
          <w:color w:val="000000" w:themeColor="text1"/>
          <w:lang w:val="en-NZ"/>
        </w:rPr>
        <w:t xml:space="preserve">local Te </w:t>
      </w:r>
      <w:proofErr w:type="spellStart"/>
      <w:r w:rsidR="00434327">
        <w:rPr>
          <w:color w:val="000000" w:themeColor="text1"/>
          <w:lang w:val="en-NZ"/>
        </w:rPr>
        <w:t>Whatu</w:t>
      </w:r>
      <w:proofErr w:type="spellEnd"/>
      <w:r w:rsidR="00434327">
        <w:rPr>
          <w:color w:val="000000" w:themeColor="text1"/>
          <w:lang w:val="en-NZ"/>
        </w:rPr>
        <w:t xml:space="preserve"> Ora</w:t>
      </w:r>
      <w:r w:rsidR="006A591A">
        <w:rPr>
          <w:color w:val="000000" w:themeColor="text1"/>
          <w:lang w:val="en-NZ"/>
        </w:rPr>
        <w:t xml:space="preserve"> Research Offices, as appropriate. </w:t>
      </w:r>
      <w:r w:rsidR="00712E83">
        <w:rPr>
          <w:color w:val="000000" w:themeColor="text1"/>
          <w:lang w:val="en-NZ"/>
        </w:rPr>
        <w:t xml:space="preserve">All amendments, including approval date, will be recorded with this protocol (appendix 4.6). </w:t>
      </w:r>
    </w:p>
    <w:p w14:paraId="5939FE78" w14:textId="77777777" w:rsidR="00754C82" w:rsidRDefault="00754C82" w:rsidP="00A63CAA">
      <w:pPr>
        <w:pStyle w:val="Heading2"/>
        <w:rPr>
          <w:lang w:val="en-NZ"/>
        </w:rPr>
      </w:pPr>
      <w:bookmarkStart w:id="91" w:name="_Toc441512400"/>
      <w:bookmarkStart w:id="92" w:name="_Toc441520828"/>
      <w:bookmarkStart w:id="93" w:name="_Toc441521044"/>
      <w:bookmarkStart w:id="94" w:name="_Toc149504548"/>
      <w:r>
        <w:rPr>
          <w:lang w:val="en-NZ"/>
        </w:rPr>
        <w:t xml:space="preserve">Consent </w:t>
      </w:r>
      <w:r w:rsidR="00021FE7">
        <w:rPr>
          <w:lang w:val="en-NZ"/>
        </w:rPr>
        <w:t>/</w:t>
      </w:r>
      <w:r>
        <w:rPr>
          <w:lang w:val="en-NZ"/>
        </w:rPr>
        <w:t xml:space="preserve"> </w:t>
      </w:r>
      <w:r w:rsidR="00770B66">
        <w:rPr>
          <w:lang w:val="en-NZ"/>
        </w:rPr>
        <w:t>A</w:t>
      </w:r>
      <w:r>
        <w:rPr>
          <w:lang w:val="en-NZ"/>
        </w:rPr>
        <w:t>ssent</w:t>
      </w:r>
      <w:bookmarkEnd w:id="91"/>
      <w:bookmarkEnd w:id="92"/>
      <w:bookmarkEnd w:id="93"/>
      <w:bookmarkEnd w:id="94"/>
    </w:p>
    <w:p w14:paraId="20E43669" w14:textId="77777777" w:rsidR="00434327" w:rsidRPr="00434327" w:rsidRDefault="00434327" w:rsidP="009F4E91">
      <w:pPr>
        <w:rPr>
          <w:iCs/>
          <w:lang w:val="en-NZ"/>
        </w:rPr>
      </w:pPr>
      <w:r>
        <w:rPr>
          <w:iCs/>
          <w:lang w:val="en-NZ"/>
        </w:rPr>
        <w:t xml:space="preserve">Informed consent will be obtained at the screening visit. The protocol of the study will be explained and the participant will have the opportunity to ask questions at any point. Informed consent will be documented using a dated hard-copy PISCF that contains the participant’s first and last name, signature, and a researcher name and signature. </w:t>
      </w:r>
    </w:p>
    <w:p w14:paraId="6E081470" w14:textId="77777777" w:rsidR="00021FE7" w:rsidRPr="00800502" w:rsidRDefault="00021FE7" w:rsidP="00021FE7">
      <w:pPr>
        <w:pStyle w:val="Heading3"/>
        <w:rPr>
          <w:lang w:val="en-NZ"/>
        </w:rPr>
      </w:pPr>
      <w:bookmarkStart w:id="95" w:name="_Toc149504549"/>
      <w:r>
        <w:rPr>
          <w:lang w:val="en-NZ"/>
        </w:rPr>
        <w:t>Ancillary studies</w:t>
      </w:r>
      <w:bookmarkEnd w:id="95"/>
    </w:p>
    <w:p w14:paraId="4704F2AA" w14:textId="77777777" w:rsidR="00800502" w:rsidRPr="00800502" w:rsidRDefault="00800502" w:rsidP="00021FE7">
      <w:pPr>
        <w:rPr>
          <w:iCs/>
          <w:lang w:val="en-NZ"/>
        </w:rPr>
      </w:pPr>
      <w:r>
        <w:rPr>
          <w:iCs/>
          <w:lang w:val="en-NZ"/>
        </w:rPr>
        <w:t xml:space="preserve">No ancillary studies are planned for this study. </w:t>
      </w:r>
    </w:p>
    <w:p w14:paraId="23DE45D7" w14:textId="77777777" w:rsidR="00754C82" w:rsidRDefault="00754C82" w:rsidP="00A63CAA">
      <w:pPr>
        <w:pStyle w:val="Heading2"/>
        <w:rPr>
          <w:lang w:val="en-NZ"/>
        </w:rPr>
      </w:pPr>
      <w:bookmarkStart w:id="96" w:name="_Toc441512401"/>
      <w:bookmarkStart w:id="97" w:name="_Toc441520829"/>
      <w:bookmarkStart w:id="98" w:name="_Toc441521045"/>
      <w:bookmarkStart w:id="99" w:name="_Toc149504550"/>
      <w:r>
        <w:rPr>
          <w:lang w:val="en-NZ"/>
        </w:rPr>
        <w:t>Confidentiality</w:t>
      </w:r>
      <w:bookmarkEnd w:id="96"/>
      <w:bookmarkEnd w:id="97"/>
      <w:bookmarkEnd w:id="98"/>
      <w:bookmarkEnd w:id="99"/>
    </w:p>
    <w:p w14:paraId="212A1A08" w14:textId="77777777" w:rsidR="0061674A" w:rsidRDefault="00A716CF" w:rsidP="00A736EF">
      <w:pPr>
        <w:rPr>
          <w:lang w:val="en-NZ"/>
        </w:rPr>
      </w:pPr>
      <w:r>
        <w:rPr>
          <w:lang w:val="en-NZ"/>
        </w:rPr>
        <w:t>Electronic d</w:t>
      </w:r>
      <w:r w:rsidR="00A629BD">
        <w:rPr>
          <w:lang w:val="en-NZ"/>
        </w:rPr>
        <w:t xml:space="preserve">atabases </w:t>
      </w:r>
      <w:r>
        <w:rPr>
          <w:lang w:val="en-NZ"/>
        </w:rPr>
        <w:t xml:space="preserve">will be stored on secure servers </w:t>
      </w:r>
      <w:r w:rsidR="008274BB">
        <w:rPr>
          <w:lang w:val="en-NZ"/>
        </w:rPr>
        <w:t xml:space="preserve">and </w:t>
      </w:r>
      <w:r>
        <w:rPr>
          <w:lang w:val="en-NZ"/>
        </w:rPr>
        <w:t xml:space="preserve">access </w:t>
      </w:r>
      <w:r w:rsidR="008274BB">
        <w:rPr>
          <w:lang w:val="en-NZ"/>
        </w:rPr>
        <w:t xml:space="preserve">will be </w:t>
      </w:r>
      <w:r>
        <w:rPr>
          <w:lang w:val="en-NZ"/>
        </w:rPr>
        <w:t>control</w:t>
      </w:r>
      <w:r w:rsidR="008274BB">
        <w:rPr>
          <w:lang w:val="en-NZ"/>
        </w:rPr>
        <w:t>led</w:t>
      </w:r>
      <w:r>
        <w:rPr>
          <w:lang w:val="en-NZ"/>
        </w:rPr>
        <w:t xml:space="preserve"> by unique user ID, with full electronic tracking log. </w:t>
      </w:r>
      <w:r w:rsidR="00434327">
        <w:rPr>
          <w:lang w:val="en-NZ"/>
        </w:rPr>
        <w:t>Data</w:t>
      </w:r>
      <w:r>
        <w:rPr>
          <w:lang w:val="en-NZ"/>
        </w:rPr>
        <w:t xml:space="preserve"> will be identifiable only by study ID</w:t>
      </w:r>
      <w:r w:rsidR="00B726F1">
        <w:rPr>
          <w:lang w:val="en-NZ"/>
        </w:rPr>
        <w:t xml:space="preserve"> and DOB</w:t>
      </w:r>
      <w:r>
        <w:rPr>
          <w:lang w:val="en-NZ"/>
        </w:rPr>
        <w:t>.</w:t>
      </w:r>
      <w:r w:rsidR="0058334D">
        <w:rPr>
          <w:lang w:val="en-NZ"/>
        </w:rPr>
        <w:t xml:space="preserve"> Forms will not contain identifiable information such as names, address, </w:t>
      </w:r>
      <w:r w:rsidR="005401EB">
        <w:rPr>
          <w:lang w:val="en-NZ"/>
        </w:rPr>
        <w:t xml:space="preserve">or </w:t>
      </w:r>
      <w:r w:rsidR="0058334D">
        <w:rPr>
          <w:lang w:val="en-NZ"/>
        </w:rPr>
        <w:t>NHI</w:t>
      </w:r>
      <w:r w:rsidR="005401EB">
        <w:rPr>
          <w:lang w:val="en-NZ"/>
        </w:rPr>
        <w:t xml:space="preserve">. </w:t>
      </w:r>
      <w:r w:rsidR="0058334D">
        <w:rPr>
          <w:lang w:val="en-NZ"/>
        </w:rPr>
        <w:t>Extracted data files will contain DOB, as th</w:t>
      </w:r>
      <w:r w:rsidR="00B726F1">
        <w:rPr>
          <w:lang w:val="en-NZ"/>
        </w:rPr>
        <w:t>is</w:t>
      </w:r>
      <w:r w:rsidR="0058334D">
        <w:rPr>
          <w:lang w:val="en-NZ"/>
        </w:rPr>
        <w:t xml:space="preserve"> </w:t>
      </w:r>
      <w:r w:rsidR="00B726F1">
        <w:rPr>
          <w:lang w:val="en-NZ"/>
        </w:rPr>
        <w:t>is</w:t>
      </w:r>
      <w:r w:rsidR="0058334D">
        <w:rPr>
          <w:lang w:val="en-NZ"/>
        </w:rPr>
        <w:t xml:space="preserve"> necessary for analysis, but participant initials will be removed. </w:t>
      </w:r>
      <w:r w:rsidR="008274BB">
        <w:rPr>
          <w:lang w:val="en-NZ"/>
        </w:rPr>
        <w:t xml:space="preserve">Contact and personal </w:t>
      </w:r>
      <w:r w:rsidR="00DF1EB4">
        <w:rPr>
          <w:lang w:val="en-NZ"/>
        </w:rPr>
        <w:t xml:space="preserve">information </w:t>
      </w:r>
      <w:r w:rsidR="008274BB">
        <w:rPr>
          <w:lang w:val="en-NZ"/>
        </w:rPr>
        <w:t>will be stored separate</w:t>
      </w:r>
      <w:r w:rsidR="00DF1EB4">
        <w:rPr>
          <w:lang w:val="en-NZ"/>
        </w:rPr>
        <w:t xml:space="preserve">ly from </w:t>
      </w:r>
      <w:r w:rsidR="00434327">
        <w:rPr>
          <w:lang w:val="en-NZ"/>
        </w:rPr>
        <w:t>study</w:t>
      </w:r>
      <w:r w:rsidR="0058334D">
        <w:rPr>
          <w:lang w:val="en-NZ"/>
        </w:rPr>
        <w:t xml:space="preserve"> data. </w:t>
      </w:r>
      <w:r w:rsidR="0061674A">
        <w:rPr>
          <w:lang w:val="en-NZ"/>
        </w:rPr>
        <w:t>H</w:t>
      </w:r>
      <w:r w:rsidR="00DF1EB4">
        <w:rPr>
          <w:lang w:val="en-NZ"/>
        </w:rPr>
        <w:t xml:space="preserve">ard copy </w:t>
      </w:r>
      <w:r w:rsidR="00434327">
        <w:rPr>
          <w:lang w:val="en-NZ"/>
        </w:rPr>
        <w:t>PISCFs, which contain first and last names,</w:t>
      </w:r>
      <w:r w:rsidR="00DF1EB4">
        <w:rPr>
          <w:lang w:val="en-NZ"/>
        </w:rPr>
        <w:t xml:space="preserve"> will be stored in a locked cabinet</w:t>
      </w:r>
      <w:r w:rsidR="008274BB">
        <w:rPr>
          <w:lang w:val="en-NZ"/>
        </w:rPr>
        <w:t xml:space="preserve">. </w:t>
      </w:r>
      <w:r w:rsidR="0061674A">
        <w:rPr>
          <w:lang w:val="en-NZ"/>
        </w:rPr>
        <w:t>Study reports will contain only summary data</w:t>
      </w:r>
      <w:r w:rsidR="006E1036">
        <w:rPr>
          <w:lang w:val="en-NZ"/>
        </w:rPr>
        <w:t xml:space="preserve"> and individual participant data will not be reported. </w:t>
      </w:r>
      <w:r w:rsidR="007A3303">
        <w:rPr>
          <w:lang w:val="en-NZ"/>
        </w:rPr>
        <w:t>Identifiable data will not be released to any third party</w:t>
      </w:r>
      <w:r w:rsidR="007834B0">
        <w:rPr>
          <w:lang w:val="en-NZ"/>
        </w:rPr>
        <w:t xml:space="preserve">. </w:t>
      </w:r>
      <w:r w:rsidR="00DE0ACE">
        <w:rPr>
          <w:lang w:val="en-NZ"/>
        </w:rPr>
        <w:t>R</w:t>
      </w:r>
      <w:r w:rsidR="007A3303">
        <w:rPr>
          <w:lang w:val="en-NZ"/>
        </w:rPr>
        <w:t xml:space="preserve">esearch staff </w:t>
      </w:r>
      <w:r w:rsidR="007834B0">
        <w:rPr>
          <w:lang w:val="en-NZ"/>
        </w:rPr>
        <w:t xml:space="preserve">will be </w:t>
      </w:r>
      <w:r w:rsidR="00C21257">
        <w:rPr>
          <w:lang w:val="en-NZ"/>
        </w:rPr>
        <w:t>certified in</w:t>
      </w:r>
      <w:r w:rsidR="007834B0">
        <w:rPr>
          <w:lang w:val="en-NZ"/>
        </w:rPr>
        <w:t xml:space="preserve"> </w:t>
      </w:r>
      <w:r w:rsidR="00C21257">
        <w:rPr>
          <w:lang w:val="en-NZ"/>
        </w:rPr>
        <w:t>best practice for clinical trials</w:t>
      </w:r>
      <w:r w:rsidR="00B726F1">
        <w:rPr>
          <w:lang w:val="en-NZ"/>
        </w:rPr>
        <w:t xml:space="preserve">. </w:t>
      </w:r>
    </w:p>
    <w:p w14:paraId="67355EF9" w14:textId="0ABF6910" w:rsidR="00A716CF" w:rsidRDefault="005401EB" w:rsidP="00A736EF">
      <w:pPr>
        <w:rPr>
          <w:lang w:val="en-NZ"/>
        </w:rPr>
      </w:pPr>
      <w:r>
        <w:rPr>
          <w:lang w:val="en-NZ"/>
        </w:rPr>
        <w:t>At the completion of the study,</w:t>
      </w:r>
      <w:r w:rsidR="0061674A">
        <w:rPr>
          <w:lang w:val="en-NZ"/>
        </w:rPr>
        <w:t xml:space="preserve"> all</w:t>
      </w:r>
      <w:r>
        <w:rPr>
          <w:lang w:val="en-NZ"/>
        </w:rPr>
        <w:t xml:space="preserve"> electronic data will be </w:t>
      </w:r>
      <w:r w:rsidR="005948F3">
        <w:rPr>
          <w:lang w:val="en-NZ"/>
        </w:rPr>
        <w:t>deleted after ten years</w:t>
      </w:r>
      <w:r>
        <w:rPr>
          <w:lang w:val="en-NZ"/>
        </w:rPr>
        <w:t xml:space="preserve"> and accessible only to the study investigators. </w:t>
      </w:r>
      <w:r w:rsidR="0061674A">
        <w:rPr>
          <w:lang w:val="en-NZ"/>
        </w:rPr>
        <w:t xml:space="preserve">All hard copy records </w:t>
      </w:r>
      <w:r w:rsidR="004325AC">
        <w:rPr>
          <w:lang w:val="en-NZ"/>
        </w:rPr>
        <w:t xml:space="preserve">that have been </w:t>
      </w:r>
      <w:r w:rsidR="0061674A">
        <w:rPr>
          <w:lang w:val="en-NZ"/>
        </w:rPr>
        <w:t>digitally scanned</w:t>
      </w:r>
      <w:r w:rsidR="004325AC">
        <w:rPr>
          <w:lang w:val="en-NZ"/>
        </w:rPr>
        <w:t xml:space="preserve"> will be </w:t>
      </w:r>
      <w:r w:rsidR="0061674A">
        <w:rPr>
          <w:lang w:val="en-NZ"/>
        </w:rPr>
        <w:t xml:space="preserve">added to the archive, and then destroyed. </w:t>
      </w:r>
      <w:r w:rsidR="004325AC">
        <w:rPr>
          <w:lang w:val="en-NZ"/>
        </w:rPr>
        <w:t xml:space="preserve">Remaining hard copy records will be stored in a locked cabinet in a secure office, and will be accessible only to the study investigators. Records will be retained for 10 years after the </w:t>
      </w:r>
      <w:r w:rsidR="00AA6C0A">
        <w:rPr>
          <w:lang w:val="en-NZ"/>
        </w:rPr>
        <w:t xml:space="preserve">study is complete, and will then be destroyed. </w:t>
      </w:r>
    </w:p>
    <w:p w14:paraId="05896DE6" w14:textId="77777777" w:rsidR="00754C82" w:rsidRDefault="00754C82" w:rsidP="00A63CAA">
      <w:pPr>
        <w:pStyle w:val="Heading2"/>
        <w:rPr>
          <w:lang w:val="en-NZ"/>
        </w:rPr>
      </w:pPr>
      <w:bookmarkStart w:id="100" w:name="_Toc441512402"/>
      <w:bookmarkStart w:id="101" w:name="_Toc441520830"/>
      <w:bookmarkStart w:id="102" w:name="_Toc441521046"/>
      <w:bookmarkStart w:id="103" w:name="_Toc149504551"/>
      <w:r>
        <w:rPr>
          <w:lang w:val="en-NZ"/>
        </w:rPr>
        <w:lastRenderedPageBreak/>
        <w:t>Declaration of Interests</w:t>
      </w:r>
      <w:bookmarkEnd w:id="100"/>
      <w:bookmarkEnd w:id="101"/>
      <w:bookmarkEnd w:id="102"/>
      <w:bookmarkEnd w:id="103"/>
    </w:p>
    <w:p w14:paraId="0449B234" w14:textId="19DDE088" w:rsidR="000C6789" w:rsidRPr="000C6789" w:rsidRDefault="00E36E2A" w:rsidP="000C6789">
      <w:pPr>
        <w:rPr>
          <w:lang w:val="en-NZ"/>
        </w:rPr>
      </w:pPr>
      <w:r w:rsidRPr="49379E54">
        <w:rPr>
          <w:lang w:val="en-NZ"/>
        </w:rPr>
        <w:t xml:space="preserve">Investigators will declare any financial, </w:t>
      </w:r>
      <w:r w:rsidR="0C6402B1" w:rsidRPr="49379E54">
        <w:rPr>
          <w:lang w:val="en-NZ"/>
        </w:rPr>
        <w:t>intellectual,</w:t>
      </w:r>
      <w:r w:rsidRPr="49379E54">
        <w:rPr>
          <w:lang w:val="en-NZ"/>
        </w:rPr>
        <w:t xml:space="preserve"> or other potential conflicts of interest, as outlined by the ICMJE</w:t>
      </w:r>
      <w:r w:rsidR="46B097ED" w:rsidRPr="49379E54">
        <w:rPr>
          <w:lang w:val="en-NZ"/>
        </w:rPr>
        <w:t xml:space="preserve"> </w:t>
      </w:r>
      <w:r w:rsidRPr="49379E54">
        <w:rPr>
          <w:lang w:val="en-NZ"/>
        </w:rPr>
        <w:fldChar w:fldCharType="begin"/>
      </w:r>
      <w:r w:rsidR="00027667">
        <w:rPr>
          <w:lang w:val="en-NZ"/>
        </w:rPr>
        <w:instrText xml:space="preserve"> ADDIN ZOTERO_ITEM CSL_CITATION {"citationID":"MB9j22zz","properties":{"formattedCitation":"(15)","plainCitation":"(15)","noteIndex":0},"citationItems":[{"id":3187,"uris":["http://zotero.org/users/5898490/items/KWKE6XGL"],"itemData":{"id":3187,"type":"article-journal","container-title":"Croatian Medical Journal","DOI":"10.3325/cmj.2010.51.287","ISSN":"0353-9504","issue":"4","journalAbbreviation":"Croat Med J","note":"PMID: 20718080\nPMCID: PMC2931432","page":"287-288","source":"PubMed Central","title":"Toward More Uniform Conflict Disclosures: The Updated ICMJE Conflict of Interest Reporting Form","title-short":"Toward More Uniform Conflict Disclosures","volume":"51","author":[{"family":"Drazen","given":"Jeffrey M."},{"family":"Leeuw","given":"Peter W.","non-dropping-particle":"de"},{"family":"Laine","given":"Christine"},{"family":"Mulrow","given":"Cynthia"},{"family":"DeAngelis","given":"Catherine D."},{"family":"Frizelle","given":"Frank A."},{"family":"Godlee","given":"Fiona"},{"family":"Haug","given":"Charlotte"},{"family":"Hébert","given":"Paul C."},{"family":"James","given":"Astrid"},{"family":"Kotzin","given":"Sheldon"},{"family":"Marusić","given":"Ana"},{"family":"Reyes","given":"Humberto"},{"family":"Rosenberg","given":"Jacob"},{"family":"Sahni","given":"Peush"},{"family":"Van Der Weyden","given":"Martin B."},{"family":"Zhaori","given":"Getu"}],"issued":{"date-parts":[["2010",8]]},"citation-key":"drazenMoreUniformConflict2010"}}],"schema":"https://github.com/citation-style-language/schema/raw/master/csl-citation.json"} </w:instrText>
      </w:r>
      <w:r w:rsidRPr="49379E54">
        <w:rPr>
          <w:lang w:val="en-NZ"/>
        </w:rPr>
        <w:fldChar w:fldCharType="separate"/>
      </w:r>
      <w:r w:rsidR="00027667">
        <w:rPr>
          <w:noProof/>
          <w:lang w:val="en-NZ"/>
        </w:rPr>
        <w:t>(15)</w:t>
      </w:r>
      <w:r w:rsidRPr="49379E54">
        <w:rPr>
          <w:lang w:val="en-NZ"/>
        </w:rPr>
        <w:fldChar w:fldCharType="end"/>
      </w:r>
      <w:r w:rsidR="007272B1" w:rsidRPr="49379E54">
        <w:rPr>
          <w:lang w:val="en-NZ"/>
        </w:rPr>
        <w:t>.</w:t>
      </w:r>
    </w:p>
    <w:p w14:paraId="1A46175C" w14:textId="77777777" w:rsidR="00754C82" w:rsidRDefault="00754C82" w:rsidP="00BA1133">
      <w:pPr>
        <w:pStyle w:val="Heading2"/>
      </w:pPr>
      <w:bookmarkStart w:id="104" w:name="_Toc441512403"/>
      <w:bookmarkStart w:id="105" w:name="_Toc441520831"/>
      <w:bookmarkStart w:id="106" w:name="_Toc441521047"/>
      <w:bookmarkStart w:id="107" w:name="_Toc149504552"/>
      <w:r w:rsidRPr="00BA1133">
        <w:t>Access to Data</w:t>
      </w:r>
      <w:bookmarkEnd w:id="104"/>
      <w:bookmarkEnd w:id="105"/>
      <w:bookmarkEnd w:id="106"/>
      <w:bookmarkEnd w:id="107"/>
    </w:p>
    <w:p w14:paraId="0DFAED2E" w14:textId="0CE2FE7F" w:rsidR="005059BD" w:rsidRPr="005059BD" w:rsidRDefault="003B27B4" w:rsidP="005059BD">
      <w:r>
        <w:t xml:space="preserve">The </w:t>
      </w:r>
      <w:r w:rsidR="520422D6">
        <w:t>investigators</w:t>
      </w:r>
      <w:r>
        <w:t xml:space="preserve"> will </w:t>
      </w:r>
      <w:r w:rsidR="008836B2">
        <w:t xml:space="preserve">have access to the full dataset and oversee analysis, </w:t>
      </w:r>
      <w:proofErr w:type="gramStart"/>
      <w:r w:rsidR="008836B2">
        <w:t>interpretation</w:t>
      </w:r>
      <w:proofErr w:type="gramEnd"/>
      <w:r w:rsidR="008836B2">
        <w:t xml:space="preserve"> and reporting of results. </w:t>
      </w:r>
      <w:r w:rsidR="002D4D18">
        <w:t xml:space="preserve">Approval will be sought from the </w:t>
      </w:r>
      <w:r w:rsidR="3C736EC5">
        <w:t>investigators</w:t>
      </w:r>
      <w:r w:rsidR="002D4D18">
        <w:t xml:space="preserve"> prior to publication of </w:t>
      </w:r>
      <w:r w:rsidR="00F1156B">
        <w:t xml:space="preserve">study data. </w:t>
      </w:r>
      <w:r w:rsidR="00865E12">
        <w:t xml:space="preserve">Care will be taken to avoid duplication </w:t>
      </w:r>
      <w:r w:rsidR="000D1066">
        <w:t>in</w:t>
      </w:r>
      <w:r w:rsidR="00865E12">
        <w:t xml:space="preserve"> reporting of results. </w:t>
      </w:r>
    </w:p>
    <w:p w14:paraId="6E69BF7F" w14:textId="77777777" w:rsidR="00754C82" w:rsidRDefault="00754C82" w:rsidP="00BA1133">
      <w:pPr>
        <w:pStyle w:val="Heading2"/>
      </w:pPr>
      <w:bookmarkStart w:id="108" w:name="_Toc441512404"/>
      <w:bookmarkStart w:id="109" w:name="_Toc441520832"/>
      <w:bookmarkStart w:id="110" w:name="_Toc441521048"/>
      <w:bookmarkStart w:id="111" w:name="_Toc149504553"/>
      <w:r w:rsidRPr="00BA1133">
        <w:t>Ancillary and Post-</w:t>
      </w:r>
      <w:r w:rsidRPr="00BA1133">
        <w:rPr>
          <w:rStyle w:val="Heading3Char"/>
          <w:szCs w:val="26"/>
        </w:rPr>
        <w:t>trial</w:t>
      </w:r>
      <w:r w:rsidRPr="00BA1133">
        <w:t xml:space="preserve"> Care</w:t>
      </w:r>
      <w:bookmarkEnd w:id="108"/>
      <w:bookmarkEnd w:id="109"/>
      <w:bookmarkEnd w:id="110"/>
      <w:bookmarkEnd w:id="111"/>
    </w:p>
    <w:p w14:paraId="69E45768" w14:textId="77777777" w:rsidR="002E4C8D" w:rsidRPr="002E4C8D" w:rsidRDefault="002E4C8D" w:rsidP="00021FE7">
      <w:bookmarkStart w:id="112" w:name="_Toc441512405"/>
      <w:bookmarkStart w:id="113" w:name="_Toc441520833"/>
      <w:bookmarkStart w:id="114" w:name="_Toc441521049"/>
      <w:r>
        <w:t xml:space="preserve">No compensation will be provided through the study. Any compensation for accidents will be sought through the Accident Compensation Corporation. No ancillary or post-trial care is specifically provided. </w:t>
      </w:r>
    </w:p>
    <w:p w14:paraId="77FA1CC0" w14:textId="77777777" w:rsidR="00754C82" w:rsidRDefault="00754C82" w:rsidP="00793BAE">
      <w:pPr>
        <w:pStyle w:val="Heading2"/>
      </w:pPr>
      <w:bookmarkStart w:id="115" w:name="_Toc149504554"/>
      <w:r w:rsidRPr="00BA1133">
        <w:t>Dissemination Policy</w:t>
      </w:r>
      <w:bookmarkEnd w:id="112"/>
      <w:bookmarkEnd w:id="113"/>
      <w:bookmarkEnd w:id="114"/>
      <w:bookmarkEnd w:id="115"/>
    </w:p>
    <w:p w14:paraId="512DE823" w14:textId="134F22DE" w:rsidR="003078B0" w:rsidRPr="003078B0" w:rsidRDefault="003078B0" w:rsidP="00203E94">
      <w:pPr>
        <w:rPr>
          <w:rFonts w:cs="OpenSans"/>
          <w:iCs/>
          <w:color w:val="000000" w:themeColor="text1"/>
          <w:lang w:val="en-AU"/>
        </w:rPr>
      </w:pPr>
      <w:r>
        <w:rPr>
          <w:rFonts w:cs="OpenSans"/>
          <w:iCs/>
          <w:color w:val="000000" w:themeColor="text1"/>
          <w:lang w:val="en-AU"/>
        </w:rPr>
        <w:t>The results from this study will be submitted for publication</w:t>
      </w:r>
      <w:r w:rsidR="00D31E0B">
        <w:rPr>
          <w:rFonts w:cs="OpenSans"/>
          <w:iCs/>
          <w:color w:val="000000" w:themeColor="text1"/>
          <w:lang w:val="en-AU"/>
        </w:rPr>
        <w:t xml:space="preserve"> in peer reviewed journals</w:t>
      </w:r>
      <w:r>
        <w:rPr>
          <w:rFonts w:cs="OpenSans"/>
          <w:iCs/>
          <w:color w:val="000000" w:themeColor="text1"/>
          <w:lang w:val="en-AU"/>
        </w:rPr>
        <w:t xml:space="preserve"> and be included in LL’s doctoral thesis. </w:t>
      </w:r>
    </w:p>
    <w:p w14:paraId="692F6041" w14:textId="77777777" w:rsidR="004973D6" w:rsidRDefault="004973D6" w:rsidP="004973D6">
      <w:pPr>
        <w:pStyle w:val="Heading3"/>
        <w:rPr>
          <w:lang w:val="en-AU"/>
        </w:rPr>
      </w:pPr>
      <w:bookmarkStart w:id="116" w:name="_Toc149504555"/>
      <w:r>
        <w:rPr>
          <w:lang w:val="en-AU"/>
        </w:rPr>
        <w:t>Authorship policy</w:t>
      </w:r>
      <w:bookmarkEnd w:id="116"/>
    </w:p>
    <w:p w14:paraId="598C79C6" w14:textId="29E6F70B" w:rsidR="002E4C8D" w:rsidRPr="002E4C8D" w:rsidRDefault="002E4C8D" w:rsidP="004973D6">
      <w:pPr>
        <w:rPr>
          <w:iCs/>
          <w:lang w:val="en-AU"/>
        </w:rPr>
      </w:pPr>
      <w:r>
        <w:rPr>
          <w:iCs/>
          <w:lang w:val="en-AU"/>
        </w:rPr>
        <w:t xml:space="preserve">All named investigators in this protocol (JK, RH, LL) will be authors in future publications. Additional authorship will be at the discretion </w:t>
      </w:r>
      <w:r w:rsidR="00D31E0B">
        <w:rPr>
          <w:iCs/>
          <w:lang w:val="en-AU"/>
        </w:rPr>
        <w:t xml:space="preserve">of the investigators </w:t>
      </w:r>
      <w:r>
        <w:rPr>
          <w:iCs/>
          <w:lang w:val="en-AU"/>
        </w:rPr>
        <w:t xml:space="preserve">based on contribution to the study. </w:t>
      </w:r>
    </w:p>
    <w:p w14:paraId="7D288ACD" w14:textId="77777777" w:rsidR="00770B66" w:rsidRPr="001F2DB1" w:rsidRDefault="00770B66" w:rsidP="00770B66">
      <w:pPr>
        <w:pStyle w:val="Heading1"/>
        <w:rPr>
          <w:rFonts w:asciiTheme="minorHAnsi" w:hAnsiTheme="minorHAnsi" w:cstheme="minorHAnsi"/>
          <w:lang w:val="en-NZ"/>
        </w:rPr>
      </w:pPr>
      <w:bookmarkStart w:id="117" w:name="_Toc441512406"/>
      <w:bookmarkStart w:id="118" w:name="_Toc441520834"/>
      <w:bookmarkStart w:id="119" w:name="_Toc441521050"/>
      <w:bookmarkStart w:id="120" w:name="_Toc149504556"/>
      <w:r w:rsidRPr="001F2DB1">
        <w:rPr>
          <w:rFonts w:asciiTheme="minorHAnsi" w:hAnsiTheme="minorHAnsi" w:cstheme="minorHAnsi"/>
          <w:lang w:val="en-NZ"/>
        </w:rPr>
        <w:t>Appendices</w:t>
      </w:r>
      <w:bookmarkEnd w:id="117"/>
      <w:bookmarkEnd w:id="118"/>
      <w:bookmarkEnd w:id="119"/>
      <w:bookmarkEnd w:id="120"/>
    </w:p>
    <w:p w14:paraId="1761CD91" w14:textId="77777777" w:rsidR="009D54CE" w:rsidRDefault="00770B66" w:rsidP="00770B66">
      <w:pPr>
        <w:pStyle w:val="Heading2"/>
        <w:rPr>
          <w:lang w:val="en-NZ"/>
        </w:rPr>
      </w:pPr>
      <w:bookmarkStart w:id="121" w:name="_Toc149504557"/>
      <w:bookmarkStart w:id="122" w:name="_Toc441512407"/>
      <w:bookmarkStart w:id="123" w:name="_Toc441520835"/>
      <w:bookmarkStart w:id="124" w:name="_Toc441521051"/>
      <w:r>
        <w:rPr>
          <w:lang w:val="en-NZ"/>
        </w:rPr>
        <w:t xml:space="preserve">Participant </w:t>
      </w:r>
      <w:r w:rsidR="00242BC5">
        <w:rPr>
          <w:lang w:val="en-NZ"/>
        </w:rPr>
        <w:t>Documents</w:t>
      </w:r>
      <w:bookmarkEnd w:id="121"/>
    </w:p>
    <w:p w14:paraId="1E17E727" w14:textId="77777777" w:rsidR="00EA2142" w:rsidRDefault="00A1724F" w:rsidP="00EB1B53">
      <w:pPr>
        <w:rPr>
          <w:lang w:val="en-NZ"/>
        </w:rPr>
      </w:pPr>
      <w:r>
        <w:rPr>
          <w:lang w:val="en-NZ"/>
        </w:rPr>
        <w:t xml:space="preserve">The </w:t>
      </w:r>
      <w:r w:rsidR="00EA2142">
        <w:rPr>
          <w:lang w:val="en-NZ"/>
        </w:rPr>
        <w:t xml:space="preserve">following </w:t>
      </w:r>
      <w:r w:rsidR="00242BC5">
        <w:rPr>
          <w:lang w:val="en-NZ"/>
        </w:rPr>
        <w:t xml:space="preserve">participant </w:t>
      </w:r>
      <w:r w:rsidR="00EA2142">
        <w:rPr>
          <w:lang w:val="en-NZ"/>
        </w:rPr>
        <w:t>documents are to accompany this protocol:</w:t>
      </w:r>
    </w:p>
    <w:tbl>
      <w:tblPr>
        <w:tblStyle w:val="TableGrid"/>
        <w:tblW w:w="0" w:type="auto"/>
        <w:tblLook w:val="04A0" w:firstRow="1" w:lastRow="0" w:firstColumn="1" w:lastColumn="0" w:noHBand="0" w:noVBand="1"/>
      </w:tblPr>
      <w:tblGrid>
        <w:gridCol w:w="5712"/>
        <w:gridCol w:w="1736"/>
        <w:gridCol w:w="1568"/>
      </w:tblGrid>
      <w:tr w:rsidR="00EA2142" w:rsidRPr="00D42E80" w14:paraId="7038B689" w14:textId="77777777" w:rsidTr="003078B0">
        <w:tc>
          <w:tcPr>
            <w:tcW w:w="5712" w:type="dxa"/>
          </w:tcPr>
          <w:p w14:paraId="160B94D8" w14:textId="77777777" w:rsidR="00EA2142" w:rsidRPr="00800DB2" w:rsidRDefault="00EA2142" w:rsidP="0000753F">
            <w:pPr>
              <w:rPr>
                <w:sz w:val="20"/>
                <w:szCs w:val="20"/>
                <w:lang w:val="en-NZ"/>
              </w:rPr>
            </w:pPr>
            <w:r w:rsidRPr="00800DB2">
              <w:rPr>
                <w:sz w:val="20"/>
                <w:szCs w:val="20"/>
                <w:lang w:val="en-NZ"/>
              </w:rPr>
              <w:t>Title</w:t>
            </w:r>
          </w:p>
        </w:tc>
        <w:tc>
          <w:tcPr>
            <w:tcW w:w="1736" w:type="dxa"/>
          </w:tcPr>
          <w:p w14:paraId="5559D57E" w14:textId="77777777" w:rsidR="00EA2142" w:rsidRPr="0004098A" w:rsidRDefault="00EA2142" w:rsidP="0000753F">
            <w:pPr>
              <w:jc w:val="center"/>
              <w:rPr>
                <w:sz w:val="20"/>
                <w:szCs w:val="20"/>
                <w:lang w:val="en-NZ"/>
              </w:rPr>
            </w:pPr>
            <w:r w:rsidRPr="0004098A">
              <w:rPr>
                <w:sz w:val="20"/>
                <w:szCs w:val="20"/>
                <w:lang w:val="en-NZ"/>
              </w:rPr>
              <w:t>Version</w:t>
            </w:r>
          </w:p>
        </w:tc>
        <w:tc>
          <w:tcPr>
            <w:tcW w:w="1568" w:type="dxa"/>
          </w:tcPr>
          <w:p w14:paraId="7260375C" w14:textId="77777777" w:rsidR="00EA2142" w:rsidRPr="00DA07AC" w:rsidRDefault="00EA2142" w:rsidP="0000753F">
            <w:pPr>
              <w:jc w:val="center"/>
              <w:rPr>
                <w:sz w:val="20"/>
                <w:szCs w:val="20"/>
                <w:lang w:val="en-NZ"/>
              </w:rPr>
            </w:pPr>
            <w:r w:rsidRPr="00DA07AC">
              <w:rPr>
                <w:sz w:val="20"/>
                <w:szCs w:val="20"/>
                <w:lang w:val="en-NZ"/>
              </w:rPr>
              <w:t>Date</w:t>
            </w:r>
          </w:p>
        </w:tc>
      </w:tr>
      <w:tr w:rsidR="00EA2142" w:rsidRPr="00D42E80" w14:paraId="0D3DC60C" w14:textId="77777777" w:rsidTr="003078B0">
        <w:tc>
          <w:tcPr>
            <w:tcW w:w="5712" w:type="dxa"/>
          </w:tcPr>
          <w:p w14:paraId="4ABF982F" w14:textId="77777777" w:rsidR="00EA2142" w:rsidRPr="00800DB2" w:rsidRDefault="00242BC5" w:rsidP="0000753F">
            <w:pPr>
              <w:jc w:val="left"/>
              <w:rPr>
                <w:sz w:val="20"/>
                <w:szCs w:val="20"/>
                <w:lang w:val="en-NZ"/>
              </w:rPr>
            </w:pPr>
            <w:r>
              <w:rPr>
                <w:sz w:val="20"/>
                <w:szCs w:val="20"/>
                <w:lang w:val="en-NZ"/>
              </w:rPr>
              <w:t>Participant Information Sheet and Consent</w:t>
            </w:r>
          </w:p>
        </w:tc>
        <w:tc>
          <w:tcPr>
            <w:tcW w:w="1736" w:type="dxa"/>
          </w:tcPr>
          <w:p w14:paraId="333E2B00" w14:textId="77777777" w:rsidR="00EA2142" w:rsidRPr="0004098A" w:rsidRDefault="003078B0" w:rsidP="008D56DF">
            <w:pPr>
              <w:jc w:val="center"/>
              <w:rPr>
                <w:sz w:val="20"/>
                <w:szCs w:val="20"/>
                <w:lang w:val="en-NZ"/>
              </w:rPr>
            </w:pPr>
            <w:r>
              <w:rPr>
                <w:sz w:val="20"/>
                <w:szCs w:val="20"/>
                <w:lang w:val="en-NZ"/>
              </w:rPr>
              <w:t>1.0</w:t>
            </w:r>
          </w:p>
        </w:tc>
        <w:tc>
          <w:tcPr>
            <w:tcW w:w="1568" w:type="dxa"/>
          </w:tcPr>
          <w:p w14:paraId="7304765D" w14:textId="77777777" w:rsidR="00EA2142" w:rsidRPr="00DA07AC" w:rsidRDefault="003078B0" w:rsidP="0000753F">
            <w:pPr>
              <w:jc w:val="center"/>
              <w:rPr>
                <w:sz w:val="20"/>
                <w:szCs w:val="20"/>
                <w:lang w:val="en-NZ"/>
              </w:rPr>
            </w:pPr>
            <w:r>
              <w:rPr>
                <w:sz w:val="20"/>
                <w:szCs w:val="20"/>
                <w:lang w:val="en-NZ"/>
              </w:rPr>
              <w:t>15 August 2023</w:t>
            </w:r>
          </w:p>
        </w:tc>
      </w:tr>
      <w:tr w:rsidR="00EA2142" w:rsidRPr="00D42E80" w14:paraId="087D6857" w14:textId="77777777" w:rsidTr="003078B0">
        <w:tc>
          <w:tcPr>
            <w:tcW w:w="5712" w:type="dxa"/>
          </w:tcPr>
          <w:p w14:paraId="15E3825E" w14:textId="77777777" w:rsidR="00EA2142" w:rsidRPr="00242BC5" w:rsidRDefault="003078B0" w:rsidP="008D56DF">
            <w:pPr>
              <w:jc w:val="left"/>
              <w:rPr>
                <w:i/>
                <w:sz w:val="20"/>
                <w:szCs w:val="20"/>
              </w:rPr>
            </w:pPr>
            <w:r>
              <w:rPr>
                <w:iCs/>
                <w:sz w:val="20"/>
                <w:szCs w:val="20"/>
              </w:rPr>
              <w:t>User experience questionnaire</w:t>
            </w:r>
            <w:r w:rsidR="00242BC5">
              <w:rPr>
                <w:i/>
                <w:sz w:val="20"/>
                <w:szCs w:val="20"/>
              </w:rPr>
              <w:t xml:space="preserve"> </w:t>
            </w:r>
          </w:p>
        </w:tc>
        <w:tc>
          <w:tcPr>
            <w:tcW w:w="1736" w:type="dxa"/>
          </w:tcPr>
          <w:p w14:paraId="540D18FA" w14:textId="77777777" w:rsidR="00EA2142" w:rsidRPr="0004098A" w:rsidRDefault="003078B0" w:rsidP="0000753F">
            <w:pPr>
              <w:jc w:val="center"/>
              <w:rPr>
                <w:sz w:val="20"/>
                <w:szCs w:val="20"/>
                <w:lang w:val="en-NZ"/>
              </w:rPr>
            </w:pPr>
            <w:r>
              <w:rPr>
                <w:sz w:val="20"/>
                <w:szCs w:val="20"/>
                <w:lang w:val="en-NZ"/>
              </w:rPr>
              <w:t>1.0</w:t>
            </w:r>
          </w:p>
        </w:tc>
        <w:tc>
          <w:tcPr>
            <w:tcW w:w="1568" w:type="dxa"/>
          </w:tcPr>
          <w:p w14:paraId="15841DF1" w14:textId="77777777" w:rsidR="00EA2142" w:rsidRPr="00DA07AC" w:rsidRDefault="003078B0" w:rsidP="0000753F">
            <w:pPr>
              <w:jc w:val="center"/>
              <w:rPr>
                <w:sz w:val="20"/>
                <w:szCs w:val="20"/>
                <w:lang w:val="en-NZ"/>
              </w:rPr>
            </w:pPr>
            <w:r>
              <w:rPr>
                <w:sz w:val="20"/>
                <w:szCs w:val="20"/>
                <w:lang w:val="en-NZ"/>
              </w:rPr>
              <w:t>15 August 2023</w:t>
            </w:r>
          </w:p>
        </w:tc>
      </w:tr>
    </w:tbl>
    <w:p w14:paraId="44611615" w14:textId="0A8D9673" w:rsidR="009956AF" w:rsidRPr="009956AF" w:rsidRDefault="009956AF" w:rsidP="009956AF">
      <w:pPr>
        <w:rPr>
          <w:lang w:val="en-NZ"/>
        </w:rPr>
      </w:pPr>
      <w:bookmarkStart w:id="125" w:name="_Toc441512408"/>
      <w:bookmarkStart w:id="126" w:name="_Toc441520836"/>
      <w:bookmarkStart w:id="127" w:name="_Toc441521052"/>
      <w:bookmarkEnd w:id="122"/>
      <w:bookmarkEnd w:id="123"/>
      <w:bookmarkEnd w:id="124"/>
    </w:p>
    <w:p w14:paraId="0AB7507A" w14:textId="7B2FA141" w:rsidR="00242BC5" w:rsidRPr="00B726F1" w:rsidRDefault="00242BC5" w:rsidP="00242BC5">
      <w:pPr>
        <w:pStyle w:val="Heading2"/>
        <w:rPr>
          <w:lang w:val="en-NZ"/>
        </w:rPr>
      </w:pPr>
      <w:bookmarkStart w:id="128" w:name="_Toc149504558"/>
      <w:r>
        <w:rPr>
          <w:lang w:val="en-NZ"/>
        </w:rPr>
        <w:t>Biological Specimens</w:t>
      </w:r>
      <w:bookmarkEnd w:id="125"/>
      <w:bookmarkEnd w:id="126"/>
      <w:bookmarkEnd w:id="127"/>
      <w:bookmarkEnd w:id="128"/>
    </w:p>
    <w:p w14:paraId="3596FCD0" w14:textId="77777777" w:rsidR="00E16FFF" w:rsidRPr="003078B0" w:rsidRDefault="003078B0" w:rsidP="003078B0">
      <w:pPr>
        <w:rPr>
          <w:iCs/>
          <w:lang w:val="en-NZ"/>
        </w:rPr>
      </w:pPr>
      <w:r>
        <w:rPr>
          <w:iCs/>
          <w:lang w:val="en-NZ"/>
        </w:rPr>
        <w:t xml:space="preserve">Biological specimens involved in this study are the HbA1c point-of-care test discs and the continuous glucose monitors. These specimens are to be disposed of immediately after use into sharps containers. Participants will return the CGMs within the sharps containers at Visit 2 and Visit 3 for disposal by the researcher. No biological specimens will be stored. </w:t>
      </w:r>
      <w:r w:rsidR="00E16FFF" w:rsidRPr="00242BC5">
        <w:rPr>
          <w:i/>
        </w:rPr>
        <w:br w:type="page"/>
      </w:r>
    </w:p>
    <w:p w14:paraId="7C6D7CA5" w14:textId="77777777" w:rsidR="000D01BB" w:rsidRPr="00B726F1" w:rsidRDefault="000D01BB" w:rsidP="000D01BB">
      <w:pPr>
        <w:pStyle w:val="Heading1"/>
        <w:rPr>
          <w:rFonts w:asciiTheme="minorHAnsi" w:hAnsiTheme="minorHAnsi" w:cstheme="minorHAnsi"/>
        </w:rPr>
      </w:pPr>
      <w:bookmarkStart w:id="129" w:name="_Toc149504559"/>
      <w:r w:rsidRPr="00B726F1">
        <w:rPr>
          <w:rFonts w:asciiTheme="minorHAnsi" w:hAnsiTheme="minorHAnsi" w:cstheme="minorHAnsi"/>
        </w:rPr>
        <w:lastRenderedPageBreak/>
        <w:t>REFERENCES</w:t>
      </w:r>
      <w:bookmarkEnd w:id="129"/>
    </w:p>
    <w:p w14:paraId="54A0DA37" w14:textId="77777777" w:rsidR="00027667" w:rsidRPr="00027667" w:rsidRDefault="007272B1" w:rsidP="00027667">
      <w:pPr>
        <w:pStyle w:val="Bibliography"/>
        <w:rPr>
          <w:rFonts w:ascii="Calibri" w:cs="Calibri"/>
        </w:rPr>
      </w:pPr>
      <w:r>
        <w:rPr>
          <w:lang w:val="en-NZ"/>
        </w:rPr>
        <w:fldChar w:fldCharType="begin"/>
      </w:r>
      <w:r>
        <w:rPr>
          <w:lang w:val="en-NZ"/>
        </w:rPr>
        <w:instrText xml:space="preserve"> ADDIN ZOTERO_BIBL {"uncited":[],"omitted":[],"custom":[]} CSL_BIBLIOGRAPHY </w:instrText>
      </w:r>
      <w:r>
        <w:rPr>
          <w:lang w:val="en-NZ"/>
        </w:rPr>
        <w:fldChar w:fldCharType="separate"/>
      </w:r>
      <w:r w:rsidR="00027667" w:rsidRPr="00027667">
        <w:rPr>
          <w:rFonts w:ascii="Calibri" w:cs="Calibri"/>
        </w:rPr>
        <w:t>1.</w:t>
      </w:r>
      <w:r w:rsidR="00027667" w:rsidRPr="00027667">
        <w:rPr>
          <w:rFonts w:ascii="Calibri" w:cs="Calibri"/>
        </w:rPr>
        <w:tab/>
        <w:t xml:space="preserve">Chan AW, Tetzlaff JM, Altman DG, Laupacis A, Gøtzsche PC, Krleža-Jerić K, et al. SPIRIT 2013 statement: defining standard protocol items for clinical trials. Ann Intern Med. 2013 Feb 5;158(3):200–7. </w:t>
      </w:r>
    </w:p>
    <w:p w14:paraId="39E0427A" w14:textId="77777777" w:rsidR="00027667" w:rsidRPr="00027667" w:rsidRDefault="00027667" w:rsidP="00027667">
      <w:pPr>
        <w:pStyle w:val="Bibliography"/>
        <w:rPr>
          <w:rFonts w:ascii="Calibri" w:cs="Calibri"/>
        </w:rPr>
      </w:pPr>
      <w:r w:rsidRPr="00027667">
        <w:rPr>
          <w:rFonts w:ascii="Calibri" w:cs="Calibri"/>
        </w:rPr>
        <w:t>2.</w:t>
      </w:r>
      <w:r w:rsidRPr="00027667">
        <w:rPr>
          <w:rFonts w:ascii="Calibri" w:cs="Calibri"/>
        </w:rPr>
        <w:tab/>
        <w:t xml:space="preserve">Chan AW, Tetzlaff JM, Gøtzsche PC, Altman DG, Mann H, Berlin JA, et al. SPIRIT 2013 explanation and elaboration: guidance for protocols of clinical trials. BMJ. 2013 Jan 8;346:e7586. </w:t>
      </w:r>
    </w:p>
    <w:p w14:paraId="6B631BA2" w14:textId="77777777" w:rsidR="00027667" w:rsidRPr="00027667" w:rsidRDefault="00027667" w:rsidP="00027667">
      <w:pPr>
        <w:pStyle w:val="Bibliography"/>
        <w:rPr>
          <w:rFonts w:ascii="Calibri" w:cs="Calibri"/>
        </w:rPr>
      </w:pPr>
      <w:r w:rsidRPr="00027667">
        <w:rPr>
          <w:rFonts w:ascii="Calibri" w:cs="Calibri"/>
        </w:rPr>
        <w:t>3.</w:t>
      </w:r>
      <w:r w:rsidRPr="00027667">
        <w:rPr>
          <w:rFonts w:ascii="Calibri" w:cs="Calibri"/>
        </w:rPr>
        <w:tab/>
        <w:t>Ministry of Health, New Zealand. Ministry of Health NZ. 2022 [cited 2022 Dec 8]. Annual Update of Key Results 2021/22: New Zealand Health Survey. Available from: https://www.health.govt.nz/publication/annual-update-key-results-2021-22-new-zealand-health-survey</w:t>
      </w:r>
    </w:p>
    <w:p w14:paraId="54280379" w14:textId="77777777" w:rsidR="00027667" w:rsidRPr="00027667" w:rsidRDefault="00027667" w:rsidP="00027667">
      <w:pPr>
        <w:pStyle w:val="Bibliography"/>
        <w:rPr>
          <w:rFonts w:ascii="Calibri" w:cs="Calibri"/>
        </w:rPr>
      </w:pPr>
      <w:r w:rsidRPr="00027667">
        <w:rPr>
          <w:rFonts w:ascii="Calibri" w:cs="Calibri"/>
        </w:rPr>
        <w:t>4.</w:t>
      </w:r>
      <w:r w:rsidRPr="00027667">
        <w:rPr>
          <w:rFonts w:ascii="Calibri" w:cs="Calibri"/>
        </w:rPr>
        <w:tab/>
        <w:t xml:space="preserve">Chew NWS, Ng CH, Tan DJH, Kong G, Lin C, Chin YH, et al. The global burden of metabolic disease: Data from 2000 to 2019. Cell Metabolism. 2023 Mar 7;35(3):414-428.e3. </w:t>
      </w:r>
    </w:p>
    <w:p w14:paraId="1E1A08E8" w14:textId="77777777" w:rsidR="00027667" w:rsidRPr="00027667" w:rsidRDefault="00027667" w:rsidP="00027667">
      <w:pPr>
        <w:pStyle w:val="Bibliography"/>
        <w:rPr>
          <w:rFonts w:ascii="Calibri" w:cs="Calibri"/>
        </w:rPr>
      </w:pPr>
      <w:r w:rsidRPr="00027667">
        <w:rPr>
          <w:rFonts w:ascii="Calibri" w:cs="Calibri"/>
        </w:rPr>
        <w:t>5.</w:t>
      </w:r>
      <w:r w:rsidRPr="00027667">
        <w:rPr>
          <w:rFonts w:ascii="Calibri" w:cs="Calibri"/>
        </w:rPr>
        <w:tab/>
        <w:t xml:space="preserve">Hiyoshi T, Fujiwara M, Yao Z. Postprandial hyperglycemia and postprandial hypertriglyceridemia in type 2 diabetes. J Biomed Res. 2019;33(1):1–16. </w:t>
      </w:r>
    </w:p>
    <w:p w14:paraId="67D47EDA" w14:textId="77777777" w:rsidR="00027667" w:rsidRPr="00027667" w:rsidRDefault="00027667" w:rsidP="00027667">
      <w:pPr>
        <w:pStyle w:val="Bibliography"/>
        <w:rPr>
          <w:rFonts w:ascii="Calibri" w:cs="Calibri"/>
        </w:rPr>
      </w:pPr>
      <w:r w:rsidRPr="00027667">
        <w:rPr>
          <w:rFonts w:ascii="Calibri" w:cs="Calibri"/>
        </w:rPr>
        <w:t>6.</w:t>
      </w:r>
      <w:r w:rsidRPr="00027667">
        <w:rPr>
          <w:rFonts w:ascii="Calibri" w:cs="Calibri"/>
        </w:rPr>
        <w:tab/>
        <w:t xml:space="preserve">Kaur B, Koh M, Ponnalagu S, Henry CJ. Postprandial blood glucose response: does the glycaemic index (GI) value matter even in the low GI range? Nutr Diabetes. 2020 May 1;10:15. </w:t>
      </w:r>
    </w:p>
    <w:p w14:paraId="5E13517A" w14:textId="77777777" w:rsidR="00027667" w:rsidRPr="00027667" w:rsidRDefault="00027667" w:rsidP="00027667">
      <w:pPr>
        <w:pStyle w:val="Bibliography"/>
        <w:rPr>
          <w:rFonts w:ascii="Calibri" w:cs="Calibri"/>
        </w:rPr>
      </w:pPr>
      <w:r w:rsidRPr="00027667">
        <w:rPr>
          <w:rFonts w:ascii="Calibri" w:cs="Calibri"/>
        </w:rPr>
        <w:t>7.</w:t>
      </w:r>
      <w:r w:rsidRPr="00027667">
        <w:rPr>
          <w:rFonts w:ascii="Calibri" w:cs="Calibri"/>
        </w:rPr>
        <w:tab/>
        <w:t xml:space="preserve">Zeevi D, Korem T, Zmora N, Israeli D, Rothschild D, Weinberger A, et al. Personalized Nutrition by Prediction of Glycemic Responses. Cell. 2015 Nov 19;163(5):1079–94. </w:t>
      </w:r>
    </w:p>
    <w:p w14:paraId="26299ED2" w14:textId="77777777" w:rsidR="00027667" w:rsidRPr="00027667" w:rsidRDefault="00027667" w:rsidP="00027667">
      <w:pPr>
        <w:pStyle w:val="Bibliography"/>
        <w:rPr>
          <w:rFonts w:ascii="Calibri" w:cs="Calibri"/>
        </w:rPr>
      </w:pPr>
      <w:r w:rsidRPr="00027667">
        <w:rPr>
          <w:rFonts w:ascii="Calibri" w:cs="Calibri"/>
        </w:rPr>
        <w:t>8.</w:t>
      </w:r>
      <w:r w:rsidRPr="00027667">
        <w:rPr>
          <w:rFonts w:ascii="Calibri" w:cs="Calibri"/>
        </w:rPr>
        <w:tab/>
        <w:t>Glycaemic targets in the treatment of diabetes - New Zealand Society for the Study of Diabetes [Internet]. [cited 2023 Jul 24]. Available from: https://t2dm.nzssd.org.nz/Section-114-Glycaemic-targets-in-the-treatment-of-diabetes</w:t>
      </w:r>
    </w:p>
    <w:p w14:paraId="25BEAE8A" w14:textId="77777777" w:rsidR="00027667" w:rsidRPr="00027667" w:rsidRDefault="00027667" w:rsidP="00027667">
      <w:pPr>
        <w:pStyle w:val="Bibliography"/>
        <w:rPr>
          <w:rFonts w:ascii="Calibri" w:cs="Calibri"/>
        </w:rPr>
      </w:pPr>
      <w:r w:rsidRPr="00027667">
        <w:rPr>
          <w:rFonts w:ascii="Calibri" w:cs="Calibri"/>
        </w:rPr>
        <w:t>9.</w:t>
      </w:r>
      <w:r w:rsidRPr="00027667">
        <w:rPr>
          <w:rFonts w:ascii="Calibri" w:cs="Calibri"/>
        </w:rPr>
        <w:tab/>
        <w:t xml:space="preserve">Brouns F, Bjorck I, Frayn KN, Gibbs AL, Lang V, Slama G, et al. Glycaemic index methodology. Nutr Res Rev. 2005 Jun;18(1):145–71. </w:t>
      </w:r>
    </w:p>
    <w:p w14:paraId="1F3AAC37" w14:textId="77777777" w:rsidR="00027667" w:rsidRPr="00027667" w:rsidRDefault="00027667" w:rsidP="00027667">
      <w:pPr>
        <w:pStyle w:val="Bibliography"/>
        <w:rPr>
          <w:rFonts w:ascii="Calibri" w:cs="Calibri"/>
        </w:rPr>
      </w:pPr>
      <w:r w:rsidRPr="00027667">
        <w:rPr>
          <w:rFonts w:ascii="Calibri" w:cs="Calibri"/>
        </w:rPr>
        <w:t>10.</w:t>
      </w:r>
      <w:r w:rsidRPr="00027667">
        <w:rPr>
          <w:rFonts w:ascii="Calibri" w:cs="Calibri"/>
        </w:rPr>
        <w:tab/>
        <w:t xml:space="preserve">Vigersky RA, McMahon C. The Relationship of Hemoglobin A1C to Time-in-Range in Patients with Diabetes. Diabetes Technology &amp; Therapeutics. 2019 Feb;21(2):81–5. </w:t>
      </w:r>
    </w:p>
    <w:p w14:paraId="28ED89C8" w14:textId="77777777" w:rsidR="00027667" w:rsidRPr="00027667" w:rsidRDefault="00027667" w:rsidP="00027667">
      <w:pPr>
        <w:pStyle w:val="Bibliography"/>
        <w:rPr>
          <w:rFonts w:ascii="Calibri" w:cs="Calibri"/>
        </w:rPr>
      </w:pPr>
      <w:r w:rsidRPr="00027667">
        <w:rPr>
          <w:rFonts w:ascii="Calibri" w:cs="Calibri"/>
        </w:rPr>
        <w:t>11.</w:t>
      </w:r>
      <w:r w:rsidRPr="00027667">
        <w:rPr>
          <w:rFonts w:ascii="Calibri" w:cs="Calibri"/>
        </w:rPr>
        <w:tab/>
        <w:t xml:space="preserve">Migueles JH, Cadenas-Sanchez C, Ekelund U, Delisle Nyström C, Mora-Gonzalez J, Löf M, et al. Accelerometer Data Collection and Processing Criteria to Assess Physical Activity and Other Outcomes: A Systematic Review and Practical Considerations. Sports Med. 2017 Sep;47(9):1821–45. </w:t>
      </w:r>
    </w:p>
    <w:p w14:paraId="3BCB824B" w14:textId="77777777" w:rsidR="00027667" w:rsidRPr="00027667" w:rsidRDefault="00027667" w:rsidP="00027667">
      <w:pPr>
        <w:pStyle w:val="Bibliography"/>
        <w:rPr>
          <w:rFonts w:ascii="Calibri" w:cs="Calibri"/>
        </w:rPr>
      </w:pPr>
      <w:r w:rsidRPr="00027667">
        <w:rPr>
          <w:rFonts w:ascii="Calibri" w:cs="Calibri"/>
        </w:rPr>
        <w:t>12.</w:t>
      </w:r>
      <w:r w:rsidRPr="00027667">
        <w:rPr>
          <w:rFonts w:ascii="Calibri" w:cs="Calibri"/>
        </w:rPr>
        <w:tab/>
        <w:t xml:space="preserve">Hildebrand M, VAN Hees VT, Hansen BH, Ekelund U. Age group comparability of raw accelerometer output from wrist- and hip-worn monitors. Med Sci Sports Exerc. 2014 Sep 1;46(9):1816–24. </w:t>
      </w:r>
    </w:p>
    <w:p w14:paraId="09523969" w14:textId="77777777" w:rsidR="00027667" w:rsidRPr="00027667" w:rsidRDefault="00027667" w:rsidP="00027667">
      <w:pPr>
        <w:pStyle w:val="Bibliography"/>
        <w:rPr>
          <w:rFonts w:ascii="Calibri" w:cs="Calibri"/>
        </w:rPr>
      </w:pPr>
      <w:r w:rsidRPr="00027667">
        <w:rPr>
          <w:rFonts w:ascii="Calibri" w:cs="Calibri"/>
        </w:rPr>
        <w:t>13.</w:t>
      </w:r>
      <w:r w:rsidRPr="00027667">
        <w:rPr>
          <w:rFonts w:ascii="Calibri" w:cs="Calibri"/>
        </w:rPr>
        <w:tab/>
        <w:t>Datta D. blandr: a Bland-Altman Method Comparison package for R. 2017 [cited 2023 Aug 24]; Available from: https://github.com/deepankardatta/blandr</w:t>
      </w:r>
    </w:p>
    <w:p w14:paraId="32713388" w14:textId="77777777" w:rsidR="00027667" w:rsidRPr="00027667" w:rsidRDefault="00027667" w:rsidP="00027667">
      <w:pPr>
        <w:pStyle w:val="Bibliography"/>
        <w:rPr>
          <w:rFonts w:ascii="Calibri" w:cs="Calibri"/>
        </w:rPr>
      </w:pPr>
      <w:r w:rsidRPr="00027667">
        <w:rPr>
          <w:rFonts w:ascii="Calibri" w:cs="Calibri"/>
        </w:rPr>
        <w:t>14.</w:t>
      </w:r>
      <w:r w:rsidRPr="00027667">
        <w:rPr>
          <w:rFonts w:ascii="Calibri" w:cs="Calibri"/>
        </w:rPr>
        <w:tab/>
        <w:t xml:space="preserve">Altman DG, Bland JM. Measurement in Medicine: The Analysis of Method Comparison Studies. The Statistician. 1983 Sep;32(3):307. </w:t>
      </w:r>
    </w:p>
    <w:p w14:paraId="3BD2BFB3" w14:textId="77777777" w:rsidR="00027667" w:rsidRPr="00027667" w:rsidRDefault="00027667" w:rsidP="00027667">
      <w:pPr>
        <w:pStyle w:val="Bibliography"/>
        <w:rPr>
          <w:rFonts w:ascii="Calibri" w:cs="Calibri"/>
        </w:rPr>
      </w:pPr>
      <w:r w:rsidRPr="00027667">
        <w:rPr>
          <w:rFonts w:ascii="Calibri" w:cs="Calibri"/>
        </w:rPr>
        <w:lastRenderedPageBreak/>
        <w:t>15.</w:t>
      </w:r>
      <w:r w:rsidRPr="00027667">
        <w:rPr>
          <w:rFonts w:ascii="Calibri" w:cs="Calibri"/>
        </w:rPr>
        <w:tab/>
        <w:t xml:space="preserve">Drazen JM, de Leeuw PW, Laine C, Mulrow C, DeAngelis CD, Frizelle FA, et al. Toward More Uniform Conflict Disclosures: The Updated ICMJE Conflict of Interest Reporting Form. Croat Med J. 2010 Aug;51(4):287–8. </w:t>
      </w:r>
    </w:p>
    <w:p w14:paraId="69D68B44" w14:textId="7F298B52" w:rsidR="00D7554B" w:rsidRPr="00D7554B" w:rsidRDefault="007272B1" w:rsidP="00800DB2">
      <w:pPr>
        <w:rPr>
          <w:lang w:val="en-NZ"/>
        </w:rPr>
      </w:pPr>
      <w:r>
        <w:rPr>
          <w:lang w:val="en-NZ"/>
        </w:rPr>
        <w:fldChar w:fldCharType="end"/>
      </w:r>
    </w:p>
    <w:sectPr w:rsidR="00D7554B" w:rsidRPr="00D7554B" w:rsidSect="00A04584">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484E" w14:textId="77777777" w:rsidR="00797464" w:rsidRDefault="00797464" w:rsidP="00170564">
      <w:r>
        <w:separator/>
      </w:r>
    </w:p>
  </w:endnote>
  <w:endnote w:type="continuationSeparator" w:id="0">
    <w:p w14:paraId="7691CC11" w14:textId="77777777" w:rsidR="00797464" w:rsidRDefault="00797464" w:rsidP="00170564">
      <w:r>
        <w:continuationSeparator/>
      </w:r>
    </w:p>
  </w:endnote>
  <w:endnote w:type="continuationNotice" w:id="1">
    <w:p w14:paraId="2C1A7FF5" w14:textId="77777777" w:rsidR="00797464" w:rsidRDefault="007974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OpenSans">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EE04" w14:textId="74A4B4CA" w:rsidR="00C95A20" w:rsidRDefault="00C95A20" w:rsidP="00242BC5">
    <w:pPr>
      <w:pStyle w:val="Footer"/>
    </w:pPr>
    <w:r>
      <w:t xml:space="preserve">Protocol version: draft, </w:t>
    </w:r>
    <w:r w:rsidR="00DE6497">
      <w:t>2</w:t>
    </w:r>
    <w:r>
      <w:t xml:space="preserve">.0 </w:t>
    </w:r>
    <w:r>
      <w:ptab w:relativeTo="margin" w:alignment="center" w:leader="none"/>
    </w:r>
    <w:r>
      <w:t xml:space="preserve">                                          </w:t>
    </w:r>
    <w:r>
      <w:rPr>
        <w:i/>
      </w:rPr>
      <w:t xml:space="preserve">15 </w:t>
    </w:r>
    <w:r w:rsidR="00DE6497">
      <w:rPr>
        <w:i/>
      </w:rPr>
      <w:t>November</w:t>
    </w:r>
    <w:r>
      <w:rPr>
        <w:i/>
      </w:rPr>
      <w:t xml:space="preserve"> 2023</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835F4D">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35F4D">
      <w:rPr>
        <w:b/>
        <w:bCs/>
        <w:noProof/>
      </w:rPr>
      <w:t>18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76F6" w14:textId="77777777" w:rsidR="00797464" w:rsidRDefault="00797464" w:rsidP="00170564">
      <w:r>
        <w:separator/>
      </w:r>
    </w:p>
  </w:footnote>
  <w:footnote w:type="continuationSeparator" w:id="0">
    <w:p w14:paraId="4CDF82A2" w14:textId="77777777" w:rsidR="00797464" w:rsidRDefault="00797464" w:rsidP="00170564">
      <w:r>
        <w:continuationSeparator/>
      </w:r>
    </w:p>
  </w:footnote>
  <w:footnote w:type="continuationNotice" w:id="1">
    <w:p w14:paraId="5978CBD7" w14:textId="77777777" w:rsidR="00797464" w:rsidRDefault="007974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E937" w14:textId="77777777" w:rsidR="00C95A20" w:rsidRPr="003C3834" w:rsidRDefault="00C95A20" w:rsidP="003C3834">
    <w:pPr>
      <w:rPr>
        <w:lang w:val="en-NZ"/>
      </w:rPr>
    </w:pPr>
    <w:r>
      <w:rPr>
        <w:lang w:val="en-NZ"/>
      </w:rPr>
      <w:t>STUDY PROTOCOL</w:t>
    </w:r>
  </w:p>
</w:hdr>
</file>

<file path=word/intelligence2.xml><?xml version="1.0" encoding="utf-8"?>
<int2:intelligence xmlns:int2="http://schemas.microsoft.com/office/intelligence/2020/intelligence" xmlns:oel="http://schemas.microsoft.com/office/2019/extlst">
  <int2:observations>
    <int2:bookmark int2:bookmarkName="_Int_wMEHAWpP" int2:invalidationBookmarkName="" int2:hashCode="55Nn9j2iQVYB0B" int2:id="VYgwcT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7EB"/>
    <w:multiLevelType w:val="hybridMultilevel"/>
    <w:tmpl w:val="C84A4078"/>
    <w:lvl w:ilvl="0" w:tplc="0C09001B">
      <w:start w:val="1"/>
      <w:numFmt w:val="lowerRoman"/>
      <w:lvlText w:val="%1."/>
      <w:lvlJc w:val="righ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82E59"/>
    <w:multiLevelType w:val="hybridMultilevel"/>
    <w:tmpl w:val="A484DBC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9E1B7B"/>
    <w:multiLevelType w:val="hybridMultilevel"/>
    <w:tmpl w:val="492EF0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77803"/>
    <w:multiLevelType w:val="hybridMultilevel"/>
    <w:tmpl w:val="C5A01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84CC6"/>
    <w:multiLevelType w:val="hybridMultilevel"/>
    <w:tmpl w:val="3BCA048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800B97"/>
    <w:multiLevelType w:val="hybridMultilevel"/>
    <w:tmpl w:val="95488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005621"/>
    <w:multiLevelType w:val="hybridMultilevel"/>
    <w:tmpl w:val="F8544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E504BE"/>
    <w:multiLevelType w:val="hybridMultilevel"/>
    <w:tmpl w:val="B83A1434"/>
    <w:lvl w:ilvl="0" w:tplc="F9F4AB7A">
      <w:start w:val="1"/>
      <w:numFmt w:val="decimal"/>
      <w:lvlText w:val="%1."/>
      <w:lvlJc w:val="left"/>
      <w:pPr>
        <w:ind w:left="720" w:hanging="360"/>
      </w:pPr>
      <w:rPr>
        <w:rFonts w:hint="default"/>
        <w:i w:val="0"/>
        <w:iCs w:val="0"/>
      </w:rPr>
    </w:lvl>
    <w:lvl w:ilvl="1" w:tplc="7200E2A2">
      <w:start w:val="1"/>
      <w:numFmt w:val="lowerLetter"/>
      <w:lvlText w:val="%2."/>
      <w:lvlJc w:val="left"/>
      <w:pPr>
        <w:ind w:left="1440" w:hanging="360"/>
      </w:pPr>
      <w:rPr>
        <w:i w:val="0"/>
        <w:i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44536"/>
    <w:multiLevelType w:val="hybridMultilevel"/>
    <w:tmpl w:val="B95ED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466943"/>
    <w:multiLevelType w:val="hybridMultilevel"/>
    <w:tmpl w:val="2D2C4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36827"/>
    <w:multiLevelType w:val="hybridMultilevel"/>
    <w:tmpl w:val="F442392A"/>
    <w:lvl w:ilvl="0" w:tplc="0C090015">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2316D2"/>
    <w:multiLevelType w:val="hybridMultilevel"/>
    <w:tmpl w:val="034CF0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A5EA3"/>
    <w:multiLevelType w:val="hybridMultilevel"/>
    <w:tmpl w:val="B98A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177D8"/>
    <w:multiLevelType w:val="hybridMultilevel"/>
    <w:tmpl w:val="D0D63FB4"/>
    <w:lvl w:ilvl="0" w:tplc="0C09001B">
      <w:start w:val="1"/>
      <w:numFmt w:val="lowerRoman"/>
      <w:lvlText w:val="%1."/>
      <w:lvlJc w:val="righ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D56FB6"/>
    <w:multiLevelType w:val="hybridMultilevel"/>
    <w:tmpl w:val="BB0C6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B8674A"/>
    <w:multiLevelType w:val="hybridMultilevel"/>
    <w:tmpl w:val="B16E3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0C0C0D"/>
    <w:multiLevelType w:val="hybridMultilevel"/>
    <w:tmpl w:val="DCC2AA8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3E167F"/>
    <w:multiLevelType w:val="hybridMultilevel"/>
    <w:tmpl w:val="B130127C"/>
    <w:lvl w:ilvl="0" w:tplc="04AEFA2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34C79"/>
    <w:multiLevelType w:val="hybridMultilevel"/>
    <w:tmpl w:val="2202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AD6B56"/>
    <w:multiLevelType w:val="hybridMultilevel"/>
    <w:tmpl w:val="67AEE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31797"/>
    <w:multiLevelType w:val="hybridMultilevel"/>
    <w:tmpl w:val="6C78BC4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A3010"/>
    <w:multiLevelType w:val="hybridMultilevel"/>
    <w:tmpl w:val="044C21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1C2E64"/>
    <w:multiLevelType w:val="hybridMultilevel"/>
    <w:tmpl w:val="F8600E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8E2EF8"/>
    <w:multiLevelType w:val="hybridMultilevel"/>
    <w:tmpl w:val="6A140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4C1A1A"/>
    <w:multiLevelType w:val="hybridMultilevel"/>
    <w:tmpl w:val="18F4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611B31"/>
    <w:multiLevelType w:val="hybridMultilevel"/>
    <w:tmpl w:val="62A6CE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7441C9"/>
    <w:multiLevelType w:val="hybridMultilevel"/>
    <w:tmpl w:val="DD301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C51C7C"/>
    <w:multiLevelType w:val="hybridMultilevel"/>
    <w:tmpl w:val="F0B8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64738E"/>
    <w:multiLevelType w:val="hybridMultilevel"/>
    <w:tmpl w:val="DF708ED0"/>
    <w:lvl w:ilvl="0" w:tplc="AC48B27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13232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CFC6CB2"/>
    <w:multiLevelType w:val="hybridMultilevel"/>
    <w:tmpl w:val="618461AA"/>
    <w:lvl w:ilvl="0" w:tplc="E7BCD4C6">
      <w:start w:val="1"/>
      <w:numFmt w:val="lowerRoman"/>
      <w:lvlText w:val="%1."/>
      <w:lvlJc w:val="righ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486C3A"/>
    <w:multiLevelType w:val="hybridMultilevel"/>
    <w:tmpl w:val="FFFFFFFF"/>
    <w:lvl w:ilvl="0" w:tplc="AECA1F82">
      <w:start w:val="1"/>
      <w:numFmt w:val="decimal"/>
      <w:lvlText w:val="%1."/>
      <w:lvlJc w:val="left"/>
      <w:pPr>
        <w:ind w:left="720" w:hanging="360"/>
      </w:pPr>
    </w:lvl>
    <w:lvl w:ilvl="1" w:tplc="116EF378">
      <w:start w:val="1"/>
      <w:numFmt w:val="lowerLetter"/>
      <w:lvlText w:val="%2."/>
      <w:lvlJc w:val="left"/>
      <w:pPr>
        <w:ind w:left="1440" w:hanging="360"/>
      </w:pPr>
    </w:lvl>
    <w:lvl w:ilvl="2" w:tplc="0E005BC8">
      <w:start w:val="1"/>
      <w:numFmt w:val="lowerRoman"/>
      <w:lvlText w:val="%3."/>
      <w:lvlJc w:val="right"/>
      <w:pPr>
        <w:ind w:left="2160" w:hanging="180"/>
      </w:pPr>
    </w:lvl>
    <w:lvl w:ilvl="3" w:tplc="6EC01376">
      <w:start w:val="1"/>
      <w:numFmt w:val="decimal"/>
      <w:lvlText w:val="%4."/>
      <w:lvlJc w:val="left"/>
      <w:pPr>
        <w:ind w:left="2880" w:hanging="360"/>
      </w:pPr>
    </w:lvl>
    <w:lvl w:ilvl="4" w:tplc="06AA1C0C">
      <w:start w:val="1"/>
      <w:numFmt w:val="lowerLetter"/>
      <w:lvlText w:val="%5."/>
      <w:lvlJc w:val="left"/>
      <w:pPr>
        <w:ind w:left="3600" w:hanging="360"/>
      </w:pPr>
    </w:lvl>
    <w:lvl w:ilvl="5" w:tplc="3CBC7110">
      <w:start w:val="1"/>
      <w:numFmt w:val="lowerRoman"/>
      <w:lvlText w:val="%6."/>
      <w:lvlJc w:val="right"/>
      <w:pPr>
        <w:ind w:left="4320" w:hanging="180"/>
      </w:pPr>
    </w:lvl>
    <w:lvl w:ilvl="6" w:tplc="E9B6934C">
      <w:start w:val="1"/>
      <w:numFmt w:val="decimal"/>
      <w:lvlText w:val="%7."/>
      <w:lvlJc w:val="left"/>
      <w:pPr>
        <w:ind w:left="5040" w:hanging="360"/>
      </w:pPr>
    </w:lvl>
    <w:lvl w:ilvl="7" w:tplc="750A846A">
      <w:start w:val="1"/>
      <w:numFmt w:val="lowerLetter"/>
      <w:lvlText w:val="%8."/>
      <w:lvlJc w:val="left"/>
      <w:pPr>
        <w:ind w:left="5760" w:hanging="360"/>
      </w:pPr>
    </w:lvl>
    <w:lvl w:ilvl="8" w:tplc="6FF6ADEC">
      <w:start w:val="1"/>
      <w:numFmt w:val="lowerRoman"/>
      <w:lvlText w:val="%9."/>
      <w:lvlJc w:val="right"/>
      <w:pPr>
        <w:ind w:left="6480" w:hanging="180"/>
      </w:pPr>
    </w:lvl>
  </w:abstractNum>
  <w:abstractNum w:abstractNumId="32" w15:restartNumberingAfterBreak="0">
    <w:nsid w:val="67817D92"/>
    <w:multiLevelType w:val="hybridMultilevel"/>
    <w:tmpl w:val="272E61D6"/>
    <w:lvl w:ilvl="0" w:tplc="E7BCD4C6">
      <w:start w:val="1"/>
      <w:numFmt w:val="lowerRoman"/>
      <w:lvlText w:val="%1."/>
      <w:lvlJc w:val="righ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E0286C"/>
    <w:multiLevelType w:val="hybridMultilevel"/>
    <w:tmpl w:val="8B7CA4B2"/>
    <w:lvl w:ilvl="0" w:tplc="4628B8CA">
      <w:start w:val="1"/>
      <w:numFmt w:val="bullet"/>
      <w:lvlText w:val=""/>
      <w:lvlJc w:val="left"/>
      <w:pPr>
        <w:ind w:left="720" w:hanging="360"/>
      </w:pPr>
      <w:rPr>
        <w:rFonts w:ascii="Symbol" w:eastAsiaTheme="minorHAnsi" w:hAnsi="Symbol" w:cs="Open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34932"/>
    <w:multiLevelType w:val="hybridMultilevel"/>
    <w:tmpl w:val="97B0EA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434422">
    <w:abstractNumId w:val="31"/>
  </w:num>
  <w:num w:numId="2" w16cid:durableId="1405566287">
    <w:abstractNumId w:val="29"/>
  </w:num>
  <w:num w:numId="3" w16cid:durableId="2027171449">
    <w:abstractNumId w:val="21"/>
  </w:num>
  <w:num w:numId="4" w16cid:durableId="873927867">
    <w:abstractNumId w:val="3"/>
  </w:num>
  <w:num w:numId="5" w16cid:durableId="809446456">
    <w:abstractNumId w:val="12"/>
  </w:num>
  <w:num w:numId="6" w16cid:durableId="247620407">
    <w:abstractNumId w:val="16"/>
  </w:num>
  <w:num w:numId="7" w16cid:durableId="1587107795">
    <w:abstractNumId w:val="22"/>
  </w:num>
  <w:num w:numId="8" w16cid:durableId="421682865">
    <w:abstractNumId w:val="30"/>
  </w:num>
  <w:num w:numId="9" w16cid:durableId="1551108178">
    <w:abstractNumId w:val="0"/>
  </w:num>
  <w:num w:numId="10" w16cid:durableId="1934165834">
    <w:abstractNumId w:val="32"/>
  </w:num>
  <w:num w:numId="11" w16cid:durableId="357201295">
    <w:abstractNumId w:val="13"/>
  </w:num>
  <w:num w:numId="12" w16cid:durableId="954671663">
    <w:abstractNumId w:val="4"/>
  </w:num>
  <w:num w:numId="13" w16cid:durableId="1636375015">
    <w:abstractNumId w:val="1"/>
  </w:num>
  <w:num w:numId="14" w16cid:durableId="131095550">
    <w:abstractNumId w:val="20"/>
  </w:num>
  <w:num w:numId="15" w16cid:durableId="1234704385">
    <w:abstractNumId w:val="28"/>
  </w:num>
  <w:num w:numId="16" w16cid:durableId="1307202936">
    <w:abstractNumId w:val="10"/>
  </w:num>
  <w:num w:numId="17" w16cid:durableId="1345400619">
    <w:abstractNumId w:val="27"/>
  </w:num>
  <w:num w:numId="18" w16cid:durableId="1081876504">
    <w:abstractNumId w:val="26"/>
  </w:num>
  <w:num w:numId="19" w16cid:durableId="1502087625">
    <w:abstractNumId w:val="15"/>
  </w:num>
  <w:num w:numId="20" w16cid:durableId="2143031555">
    <w:abstractNumId w:val="18"/>
  </w:num>
  <w:num w:numId="21" w16cid:durableId="291400633">
    <w:abstractNumId w:val="24"/>
  </w:num>
  <w:num w:numId="22" w16cid:durableId="671953537">
    <w:abstractNumId w:val="14"/>
  </w:num>
  <w:num w:numId="23" w16cid:durableId="637226567">
    <w:abstractNumId w:val="6"/>
  </w:num>
  <w:num w:numId="24" w16cid:durableId="415857876">
    <w:abstractNumId w:val="5"/>
  </w:num>
  <w:num w:numId="25" w16cid:durableId="1526214095">
    <w:abstractNumId w:val="8"/>
  </w:num>
  <w:num w:numId="26" w16cid:durableId="196047755">
    <w:abstractNumId w:val="19"/>
  </w:num>
  <w:num w:numId="27" w16cid:durableId="1438017253">
    <w:abstractNumId w:val="34"/>
  </w:num>
  <w:num w:numId="28" w16cid:durableId="622349715">
    <w:abstractNumId w:val="23"/>
  </w:num>
  <w:num w:numId="29" w16cid:durableId="2032296292">
    <w:abstractNumId w:val="11"/>
  </w:num>
  <w:num w:numId="30" w16cid:durableId="755858829">
    <w:abstractNumId w:val="2"/>
  </w:num>
  <w:num w:numId="31" w16cid:durableId="1170682290">
    <w:abstractNumId w:val="17"/>
  </w:num>
  <w:num w:numId="32" w16cid:durableId="1874807357">
    <w:abstractNumId w:val="33"/>
  </w:num>
  <w:num w:numId="33" w16cid:durableId="1969505913">
    <w:abstractNumId w:val="25"/>
  </w:num>
  <w:num w:numId="34" w16cid:durableId="35128835">
    <w:abstractNumId w:val="7"/>
  </w:num>
  <w:num w:numId="35" w16cid:durableId="2125728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hris_HR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52e0zv1r0r0mep9ta59evss0estd9sde2d&quot;&gt;endnote021115&lt;record-ids&gt;&lt;item&gt;13324&lt;/item&gt;&lt;item&gt;13325&lt;/item&gt;&lt;item&gt;13414&lt;/item&gt;&lt;/record-ids&gt;&lt;/item&gt;&lt;/Libraries&gt;"/>
  </w:docVars>
  <w:rsids>
    <w:rsidRoot w:val="00170564"/>
    <w:rsid w:val="00001527"/>
    <w:rsid w:val="00002495"/>
    <w:rsid w:val="0000753F"/>
    <w:rsid w:val="00013EE0"/>
    <w:rsid w:val="000143C1"/>
    <w:rsid w:val="00016A4F"/>
    <w:rsid w:val="00021E8A"/>
    <w:rsid w:val="00021FE7"/>
    <w:rsid w:val="00027667"/>
    <w:rsid w:val="0002779A"/>
    <w:rsid w:val="00027869"/>
    <w:rsid w:val="00032F8B"/>
    <w:rsid w:val="000337CC"/>
    <w:rsid w:val="00033B5D"/>
    <w:rsid w:val="00036471"/>
    <w:rsid w:val="00037367"/>
    <w:rsid w:val="00037853"/>
    <w:rsid w:val="000404C4"/>
    <w:rsid w:val="0004098A"/>
    <w:rsid w:val="00041D20"/>
    <w:rsid w:val="000445ED"/>
    <w:rsid w:val="00044D02"/>
    <w:rsid w:val="000454D8"/>
    <w:rsid w:val="00045962"/>
    <w:rsid w:val="00046CA5"/>
    <w:rsid w:val="00050A49"/>
    <w:rsid w:val="00051F9E"/>
    <w:rsid w:val="00053700"/>
    <w:rsid w:val="00054875"/>
    <w:rsid w:val="0005544D"/>
    <w:rsid w:val="0005664D"/>
    <w:rsid w:val="0005769C"/>
    <w:rsid w:val="00061635"/>
    <w:rsid w:val="00062D36"/>
    <w:rsid w:val="00063169"/>
    <w:rsid w:val="00066505"/>
    <w:rsid w:val="00067F59"/>
    <w:rsid w:val="00071CAF"/>
    <w:rsid w:val="00072AA4"/>
    <w:rsid w:val="00075691"/>
    <w:rsid w:val="000767C2"/>
    <w:rsid w:val="00082EEA"/>
    <w:rsid w:val="00083485"/>
    <w:rsid w:val="000846E4"/>
    <w:rsid w:val="0008494A"/>
    <w:rsid w:val="000871F5"/>
    <w:rsid w:val="000947A1"/>
    <w:rsid w:val="0009538F"/>
    <w:rsid w:val="000959F5"/>
    <w:rsid w:val="000A07D5"/>
    <w:rsid w:val="000A07EF"/>
    <w:rsid w:val="000A65C5"/>
    <w:rsid w:val="000B1403"/>
    <w:rsid w:val="000B2FFB"/>
    <w:rsid w:val="000B6D4B"/>
    <w:rsid w:val="000B7581"/>
    <w:rsid w:val="000C109E"/>
    <w:rsid w:val="000C13E7"/>
    <w:rsid w:val="000C3BCE"/>
    <w:rsid w:val="000C43D8"/>
    <w:rsid w:val="000C6789"/>
    <w:rsid w:val="000C75F5"/>
    <w:rsid w:val="000D01BB"/>
    <w:rsid w:val="000D0E0E"/>
    <w:rsid w:val="000D1066"/>
    <w:rsid w:val="000D3ADD"/>
    <w:rsid w:val="000D7FF6"/>
    <w:rsid w:val="000E1153"/>
    <w:rsid w:val="000E1A47"/>
    <w:rsid w:val="000E273C"/>
    <w:rsid w:val="000E3C6C"/>
    <w:rsid w:val="000E4438"/>
    <w:rsid w:val="000E5A79"/>
    <w:rsid w:val="000E7214"/>
    <w:rsid w:val="000F27E5"/>
    <w:rsid w:val="000F2862"/>
    <w:rsid w:val="000F529F"/>
    <w:rsid w:val="000F7D59"/>
    <w:rsid w:val="001022D6"/>
    <w:rsid w:val="001026FC"/>
    <w:rsid w:val="0011099D"/>
    <w:rsid w:val="00111811"/>
    <w:rsid w:val="0011407B"/>
    <w:rsid w:val="0011488B"/>
    <w:rsid w:val="0012013F"/>
    <w:rsid w:val="00121544"/>
    <w:rsid w:val="00121B5A"/>
    <w:rsid w:val="00125135"/>
    <w:rsid w:val="00125207"/>
    <w:rsid w:val="00127279"/>
    <w:rsid w:val="001274EE"/>
    <w:rsid w:val="00127C64"/>
    <w:rsid w:val="00130A20"/>
    <w:rsid w:val="001339D7"/>
    <w:rsid w:val="00135909"/>
    <w:rsid w:val="00136165"/>
    <w:rsid w:val="00140B72"/>
    <w:rsid w:val="00140FB2"/>
    <w:rsid w:val="00141FAE"/>
    <w:rsid w:val="0015261A"/>
    <w:rsid w:val="00152807"/>
    <w:rsid w:val="00153E8F"/>
    <w:rsid w:val="00154FC2"/>
    <w:rsid w:val="00157862"/>
    <w:rsid w:val="00161186"/>
    <w:rsid w:val="001646E4"/>
    <w:rsid w:val="00165401"/>
    <w:rsid w:val="00166B37"/>
    <w:rsid w:val="00167FD1"/>
    <w:rsid w:val="001701D0"/>
    <w:rsid w:val="00170564"/>
    <w:rsid w:val="00176740"/>
    <w:rsid w:val="00180A6D"/>
    <w:rsid w:val="00180C0A"/>
    <w:rsid w:val="00182048"/>
    <w:rsid w:val="001854E1"/>
    <w:rsid w:val="00186BFB"/>
    <w:rsid w:val="00194565"/>
    <w:rsid w:val="00196C30"/>
    <w:rsid w:val="00197CB6"/>
    <w:rsid w:val="001A228F"/>
    <w:rsid w:val="001A4C58"/>
    <w:rsid w:val="001A5887"/>
    <w:rsid w:val="001A6BDF"/>
    <w:rsid w:val="001B0A3C"/>
    <w:rsid w:val="001B136C"/>
    <w:rsid w:val="001B20DE"/>
    <w:rsid w:val="001B48C6"/>
    <w:rsid w:val="001C021D"/>
    <w:rsid w:val="001C0EC9"/>
    <w:rsid w:val="001C3879"/>
    <w:rsid w:val="001C45D7"/>
    <w:rsid w:val="001C6180"/>
    <w:rsid w:val="001C61D2"/>
    <w:rsid w:val="001D0C9B"/>
    <w:rsid w:val="001D1C62"/>
    <w:rsid w:val="001D3D6E"/>
    <w:rsid w:val="001E0B09"/>
    <w:rsid w:val="001E3184"/>
    <w:rsid w:val="001E793C"/>
    <w:rsid w:val="001F0F05"/>
    <w:rsid w:val="001F1CD5"/>
    <w:rsid w:val="001F1F06"/>
    <w:rsid w:val="001F2DB1"/>
    <w:rsid w:val="001F68F2"/>
    <w:rsid w:val="001F72D8"/>
    <w:rsid w:val="001F7FC0"/>
    <w:rsid w:val="00200143"/>
    <w:rsid w:val="002004C1"/>
    <w:rsid w:val="002005C2"/>
    <w:rsid w:val="002033B0"/>
    <w:rsid w:val="0020356B"/>
    <w:rsid w:val="00203E94"/>
    <w:rsid w:val="002046A4"/>
    <w:rsid w:val="002057B0"/>
    <w:rsid w:val="00205C56"/>
    <w:rsid w:val="0020700F"/>
    <w:rsid w:val="0021575D"/>
    <w:rsid w:val="00217B9E"/>
    <w:rsid w:val="00222EEF"/>
    <w:rsid w:val="00226A0E"/>
    <w:rsid w:val="00227532"/>
    <w:rsid w:val="00230FF3"/>
    <w:rsid w:val="00231FFF"/>
    <w:rsid w:val="00236C19"/>
    <w:rsid w:val="00242423"/>
    <w:rsid w:val="00242BC5"/>
    <w:rsid w:val="00245C43"/>
    <w:rsid w:val="0024636E"/>
    <w:rsid w:val="0024666B"/>
    <w:rsid w:val="002504AB"/>
    <w:rsid w:val="00253CA5"/>
    <w:rsid w:val="0026008C"/>
    <w:rsid w:val="00261C9C"/>
    <w:rsid w:val="0026341A"/>
    <w:rsid w:val="002639A8"/>
    <w:rsid w:val="00265C29"/>
    <w:rsid w:val="00266E4F"/>
    <w:rsid w:val="00270DAA"/>
    <w:rsid w:val="0027385A"/>
    <w:rsid w:val="002739D2"/>
    <w:rsid w:val="002751E2"/>
    <w:rsid w:val="00276050"/>
    <w:rsid w:val="002805BB"/>
    <w:rsid w:val="0028405C"/>
    <w:rsid w:val="00285801"/>
    <w:rsid w:val="0029089E"/>
    <w:rsid w:val="0029700C"/>
    <w:rsid w:val="002978AF"/>
    <w:rsid w:val="002A1140"/>
    <w:rsid w:val="002A5BB5"/>
    <w:rsid w:val="002A6BD7"/>
    <w:rsid w:val="002A700F"/>
    <w:rsid w:val="002B21F8"/>
    <w:rsid w:val="002B2524"/>
    <w:rsid w:val="002B2C3C"/>
    <w:rsid w:val="002C203B"/>
    <w:rsid w:val="002C5374"/>
    <w:rsid w:val="002C57D4"/>
    <w:rsid w:val="002C7092"/>
    <w:rsid w:val="002C71C4"/>
    <w:rsid w:val="002C775B"/>
    <w:rsid w:val="002D175A"/>
    <w:rsid w:val="002D1B44"/>
    <w:rsid w:val="002D1EED"/>
    <w:rsid w:val="002D2FC8"/>
    <w:rsid w:val="002D4D18"/>
    <w:rsid w:val="002D527B"/>
    <w:rsid w:val="002E1F1A"/>
    <w:rsid w:val="002E25A8"/>
    <w:rsid w:val="002E31C8"/>
    <w:rsid w:val="002E4C8D"/>
    <w:rsid w:val="002E5518"/>
    <w:rsid w:val="002E64F9"/>
    <w:rsid w:val="002F18A1"/>
    <w:rsid w:val="002F2914"/>
    <w:rsid w:val="002F3DD1"/>
    <w:rsid w:val="002F5F1D"/>
    <w:rsid w:val="002F60B3"/>
    <w:rsid w:val="002F6364"/>
    <w:rsid w:val="002F785A"/>
    <w:rsid w:val="00304E75"/>
    <w:rsid w:val="003064E2"/>
    <w:rsid w:val="003078B0"/>
    <w:rsid w:val="003139BC"/>
    <w:rsid w:val="00313E6D"/>
    <w:rsid w:val="00314291"/>
    <w:rsid w:val="003146B3"/>
    <w:rsid w:val="00315627"/>
    <w:rsid w:val="0031599B"/>
    <w:rsid w:val="00321BF9"/>
    <w:rsid w:val="00321EAE"/>
    <w:rsid w:val="00326624"/>
    <w:rsid w:val="00327460"/>
    <w:rsid w:val="00331843"/>
    <w:rsid w:val="00332AD5"/>
    <w:rsid w:val="003331A4"/>
    <w:rsid w:val="00334E7F"/>
    <w:rsid w:val="00342202"/>
    <w:rsid w:val="00342950"/>
    <w:rsid w:val="003431E7"/>
    <w:rsid w:val="00347ABA"/>
    <w:rsid w:val="00347CEE"/>
    <w:rsid w:val="00347F72"/>
    <w:rsid w:val="00354051"/>
    <w:rsid w:val="00360484"/>
    <w:rsid w:val="0036102E"/>
    <w:rsid w:val="00367A8D"/>
    <w:rsid w:val="00370B07"/>
    <w:rsid w:val="0037139E"/>
    <w:rsid w:val="003745EC"/>
    <w:rsid w:val="003761F2"/>
    <w:rsid w:val="0037729A"/>
    <w:rsid w:val="00380509"/>
    <w:rsid w:val="0038220D"/>
    <w:rsid w:val="00387607"/>
    <w:rsid w:val="00391076"/>
    <w:rsid w:val="00392DAA"/>
    <w:rsid w:val="003955C5"/>
    <w:rsid w:val="00397A3A"/>
    <w:rsid w:val="003A10E1"/>
    <w:rsid w:val="003A511D"/>
    <w:rsid w:val="003B1072"/>
    <w:rsid w:val="003B16CF"/>
    <w:rsid w:val="003B1B6C"/>
    <w:rsid w:val="003B27B4"/>
    <w:rsid w:val="003C0900"/>
    <w:rsid w:val="003C0AB7"/>
    <w:rsid w:val="003C2622"/>
    <w:rsid w:val="003C3834"/>
    <w:rsid w:val="003C4EDF"/>
    <w:rsid w:val="003D5346"/>
    <w:rsid w:val="003D6FCC"/>
    <w:rsid w:val="003D75CF"/>
    <w:rsid w:val="003E438D"/>
    <w:rsid w:val="003E4CDE"/>
    <w:rsid w:val="003E4E98"/>
    <w:rsid w:val="003E57A5"/>
    <w:rsid w:val="003E58FB"/>
    <w:rsid w:val="003E5EED"/>
    <w:rsid w:val="003F090C"/>
    <w:rsid w:val="003F6900"/>
    <w:rsid w:val="003F710C"/>
    <w:rsid w:val="003F7BFA"/>
    <w:rsid w:val="004016FE"/>
    <w:rsid w:val="004021A8"/>
    <w:rsid w:val="004042C2"/>
    <w:rsid w:val="0041109C"/>
    <w:rsid w:val="004145D8"/>
    <w:rsid w:val="004161DA"/>
    <w:rsid w:val="004205F0"/>
    <w:rsid w:val="00426F56"/>
    <w:rsid w:val="00427CA2"/>
    <w:rsid w:val="0043089C"/>
    <w:rsid w:val="004325AC"/>
    <w:rsid w:val="00432780"/>
    <w:rsid w:val="00433DA1"/>
    <w:rsid w:val="00434312"/>
    <w:rsid w:val="00434327"/>
    <w:rsid w:val="00437738"/>
    <w:rsid w:val="00437C1D"/>
    <w:rsid w:val="0044032A"/>
    <w:rsid w:val="004414D2"/>
    <w:rsid w:val="00444629"/>
    <w:rsid w:val="0044469A"/>
    <w:rsid w:val="00445A6B"/>
    <w:rsid w:val="00445B61"/>
    <w:rsid w:val="0045281E"/>
    <w:rsid w:val="004600F9"/>
    <w:rsid w:val="00461CDF"/>
    <w:rsid w:val="004676C0"/>
    <w:rsid w:val="00470502"/>
    <w:rsid w:val="004711AF"/>
    <w:rsid w:val="00471EDC"/>
    <w:rsid w:val="00472CC6"/>
    <w:rsid w:val="00474333"/>
    <w:rsid w:val="004743D6"/>
    <w:rsid w:val="00474AFA"/>
    <w:rsid w:val="00482914"/>
    <w:rsid w:val="004855C5"/>
    <w:rsid w:val="00486C3A"/>
    <w:rsid w:val="00487C8C"/>
    <w:rsid w:val="0049089B"/>
    <w:rsid w:val="00493A48"/>
    <w:rsid w:val="004950D7"/>
    <w:rsid w:val="00495671"/>
    <w:rsid w:val="004973D6"/>
    <w:rsid w:val="004A6C49"/>
    <w:rsid w:val="004B0E7E"/>
    <w:rsid w:val="004B1374"/>
    <w:rsid w:val="004B1DAF"/>
    <w:rsid w:val="004B3A82"/>
    <w:rsid w:val="004B497A"/>
    <w:rsid w:val="004B4AB4"/>
    <w:rsid w:val="004B5D43"/>
    <w:rsid w:val="004B6C68"/>
    <w:rsid w:val="004C2B5B"/>
    <w:rsid w:val="004C4048"/>
    <w:rsid w:val="004C56E0"/>
    <w:rsid w:val="004C5973"/>
    <w:rsid w:val="004D493D"/>
    <w:rsid w:val="004D5630"/>
    <w:rsid w:val="004D5738"/>
    <w:rsid w:val="004D57C8"/>
    <w:rsid w:val="004D6019"/>
    <w:rsid w:val="004D6923"/>
    <w:rsid w:val="004E122B"/>
    <w:rsid w:val="004E1577"/>
    <w:rsid w:val="004F010D"/>
    <w:rsid w:val="004F0D0A"/>
    <w:rsid w:val="004F32B6"/>
    <w:rsid w:val="004F3440"/>
    <w:rsid w:val="004F3576"/>
    <w:rsid w:val="004F5773"/>
    <w:rsid w:val="005013BC"/>
    <w:rsid w:val="005015C3"/>
    <w:rsid w:val="005017A7"/>
    <w:rsid w:val="005027F1"/>
    <w:rsid w:val="0050377B"/>
    <w:rsid w:val="005059BD"/>
    <w:rsid w:val="00506576"/>
    <w:rsid w:val="00510BF3"/>
    <w:rsid w:val="00511530"/>
    <w:rsid w:val="00512EA9"/>
    <w:rsid w:val="0052598E"/>
    <w:rsid w:val="00527CDD"/>
    <w:rsid w:val="005321D4"/>
    <w:rsid w:val="00533573"/>
    <w:rsid w:val="00533D54"/>
    <w:rsid w:val="005401EB"/>
    <w:rsid w:val="0054042E"/>
    <w:rsid w:val="0054306C"/>
    <w:rsid w:val="00543407"/>
    <w:rsid w:val="005435B3"/>
    <w:rsid w:val="00543C7D"/>
    <w:rsid w:val="00544D1B"/>
    <w:rsid w:val="00546B54"/>
    <w:rsid w:val="0055295D"/>
    <w:rsid w:val="00554DEF"/>
    <w:rsid w:val="0055626A"/>
    <w:rsid w:val="00557775"/>
    <w:rsid w:val="00562F3F"/>
    <w:rsid w:val="00564080"/>
    <w:rsid w:val="005643D2"/>
    <w:rsid w:val="0056504D"/>
    <w:rsid w:val="005726B3"/>
    <w:rsid w:val="00572AF1"/>
    <w:rsid w:val="00575639"/>
    <w:rsid w:val="005763A6"/>
    <w:rsid w:val="00577111"/>
    <w:rsid w:val="005772A9"/>
    <w:rsid w:val="005775D8"/>
    <w:rsid w:val="0058334D"/>
    <w:rsid w:val="00586374"/>
    <w:rsid w:val="00586925"/>
    <w:rsid w:val="0058744B"/>
    <w:rsid w:val="005905DA"/>
    <w:rsid w:val="00591360"/>
    <w:rsid w:val="00593564"/>
    <w:rsid w:val="005937F9"/>
    <w:rsid w:val="005948F3"/>
    <w:rsid w:val="005A16DC"/>
    <w:rsid w:val="005A3208"/>
    <w:rsid w:val="005A42B3"/>
    <w:rsid w:val="005A5498"/>
    <w:rsid w:val="005A7D0B"/>
    <w:rsid w:val="005B0A5D"/>
    <w:rsid w:val="005B1610"/>
    <w:rsid w:val="005B2B07"/>
    <w:rsid w:val="005B319C"/>
    <w:rsid w:val="005B5B95"/>
    <w:rsid w:val="005B669F"/>
    <w:rsid w:val="005B7DB8"/>
    <w:rsid w:val="005C1803"/>
    <w:rsid w:val="005C1819"/>
    <w:rsid w:val="005C451B"/>
    <w:rsid w:val="005C5501"/>
    <w:rsid w:val="005C7C17"/>
    <w:rsid w:val="005D0316"/>
    <w:rsid w:val="005D1C00"/>
    <w:rsid w:val="005D1F71"/>
    <w:rsid w:val="005D3F2E"/>
    <w:rsid w:val="005D4630"/>
    <w:rsid w:val="005D5A57"/>
    <w:rsid w:val="005E132D"/>
    <w:rsid w:val="005E2B01"/>
    <w:rsid w:val="005E591E"/>
    <w:rsid w:val="005E5E27"/>
    <w:rsid w:val="005E7536"/>
    <w:rsid w:val="005F08B1"/>
    <w:rsid w:val="005F1CF4"/>
    <w:rsid w:val="005F2AF9"/>
    <w:rsid w:val="00601D19"/>
    <w:rsid w:val="00602A67"/>
    <w:rsid w:val="00603E77"/>
    <w:rsid w:val="0060558E"/>
    <w:rsid w:val="006070C6"/>
    <w:rsid w:val="0061045B"/>
    <w:rsid w:val="006104FD"/>
    <w:rsid w:val="00610A21"/>
    <w:rsid w:val="00610F77"/>
    <w:rsid w:val="00613233"/>
    <w:rsid w:val="0061454C"/>
    <w:rsid w:val="00614647"/>
    <w:rsid w:val="0061467C"/>
    <w:rsid w:val="00614C5B"/>
    <w:rsid w:val="0061674A"/>
    <w:rsid w:val="00620BDC"/>
    <w:rsid w:val="00621707"/>
    <w:rsid w:val="006231AD"/>
    <w:rsid w:val="006261B1"/>
    <w:rsid w:val="00631626"/>
    <w:rsid w:val="00633814"/>
    <w:rsid w:val="00634B7B"/>
    <w:rsid w:val="00634E59"/>
    <w:rsid w:val="006372FE"/>
    <w:rsid w:val="00643270"/>
    <w:rsid w:val="00647022"/>
    <w:rsid w:val="0064789F"/>
    <w:rsid w:val="00647944"/>
    <w:rsid w:val="006505E3"/>
    <w:rsid w:val="00650CFF"/>
    <w:rsid w:val="00651D48"/>
    <w:rsid w:val="006524B3"/>
    <w:rsid w:val="00654BAB"/>
    <w:rsid w:val="006551D9"/>
    <w:rsid w:val="006556D4"/>
    <w:rsid w:val="00656278"/>
    <w:rsid w:val="0065796E"/>
    <w:rsid w:val="0066087E"/>
    <w:rsid w:val="00663273"/>
    <w:rsid w:val="0066332A"/>
    <w:rsid w:val="00664727"/>
    <w:rsid w:val="006649DB"/>
    <w:rsid w:val="0066618E"/>
    <w:rsid w:val="00671F63"/>
    <w:rsid w:val="00672017"/>
    <w:rsid w:val="00673583"/>
    <w:rsid w:val="00675A47"/>
    <w:rsid w:val="0067688D"/>
    <w:rsid w:val="00680721"/>
    <w:rsid w:val="0068334E"/>
    <w:rsid w:val="006841BB"/>
    <w:rsid w:val="00687EF1"/>
    <w:rsid w:val="006915AD"/>
    <w:rsid w:val="006918B1"/>
    <w:rsid w:val="006920B5"/>
    <w:rsid w:val="00692B00"/>
    <w:rsid w:val="006A0BAE"/>
    <w:rsid w:val="006A1D5C"/>
    <w:rsid w:val="006A1F55"/>
    <w:rsid w:val="006A28DC"/>
    <w:rsid w:val="006A4F04"/>
    <w:rsid w:val="006A4F12"/>
    <w:rsid w:val="006A591A"/>
    <w:rsid w:val="006A6C5F"/>
    <w:rsid w:val="006B1DE9"/>
    <w:rsid w:val="006B44CF"/>
    <w:rsid w:val="006B6181"/>
    <w:rsid w:val="006B61F2"/>
    <w:rsid w:val="006B65DA"/>
    <w:rsid w:val="006C0320"/>
    <w:rsid w:val="006C081C"/>
    <w:rsid w:val="006C17BA"/>
    <w:rsid w:val="006C1985"/>
    <w:rsid w:val="006C6ECC"/>
    <w:rsid w:val="006C7C79"/>
    <w:rsid w:val="006D2E0F"/>
    <w:rsid w:val="006D2E82"/>
    <w:rsid w:val="006D5BC2"/>
    <w:rsid w:val="006D68BC"/>
    <w:rsid w:val="006E0A02"/>
    <w:rsid w:val="006E0BD0"/>
    <w:rsid w:val="006E1036"/>
    <w:rsid w:val="006E640F"/>
    <w:rsid w:val="006E66B6"/>
    <w:rsid w:val="006F3F0C"/>
    <w:rsid w:val="00701052"/>
    <w:rsid w:val="007026A0"/>
    <w:rsid w:val="007035C8"/>
    <w:rsid w:val="00703DD7"/>
    <w:rsid w:val="007045DE"/>
    <w:rsid w:val="00710928"/>
    <w:rsid w:val="007113EF"/>
    <w:rsid w:val="00712E83"/>
    <w:rsid w:val="00714EA0"/>
    <w:rsid w:val="007264A6"/>
    <w:rsid w:val="007272B1"/>
    <w:rsid w:val="0073029E"/>
    <w:rsid w:val="007309C9"/>
    <w:rsid w:val="007329CD"/>
    <w:rsid w:val="00732AFC"/>
    <w:rsid w:val="00741F1D"/>
    <w:rsid w:val="00743E5D"/>
    <w:rsid w:val="00745757"/>
    <w:rsid w:val="007469D3"/>
    <w:rsid w:val="00746E33"/>
    <w:rsid w:val="0075375A"/>
    <w:rsid w:val="00753D80"/>
    <w:rsid w:val="00754568"/>
    <w:rsid w:val="00754C82"/>
    <w:rsid w:val="0075569E"/>
    <w:rsid w:val="00760CF0"/>
    <w:rsid w:val="0076181C"/>
    <w:rsid w:val="00763ED0"/>
    <w:rsid w:val="0076704D"/>
    <w:rsid w:val="00770B66"/>
    <w:rsid w:val="00772E1F"/>
    <w:rsid w:val="00773279"/>
    <w:rsid w:val="007735E3"/>
    <w:rsid w:val="007740EB"/>
    <w:rsid w:val="00781EEB"/>
    <w:rsid w:val="00782EAB"/>
    <w:rsid w:val="007834B0"/>
    <w:rsid w:val="00793BAE"/>
    <w:rsid w:val="00794A80"/>
    <w:rsid w:val="00797464"/>
    <w:rsid w:val="007A06BD"/>
    <w:rsid w:val="007A1F38"/>
    <w:rsid w:val="007A3303"/>
    <w:rsid w:val="007B0A40"/>
    <w:rsid w:val="007B13CA"/>
    <w:rsid w:val="007B76C1"/>
    <w:rsid w:val="007C2E5E"/>
    <w:rsid w:val="007C35DE"/>
    <w:rsid w:val="007C3837"/>
    <w:rsid w:val="007C3C6F"/>
    <w:rsid w:val="007C4659"/>
    <w:rsid w:val="007C6818"/>
    <w:rsid w:val="007C73AE"/>
    <w:rsid w:val="007D3470"/>
    <w:rsid w:val="007D5499"/>
    <w:rsid w:val="007D75CF"/>
    <w:rsid w:val="007D7B13"/>
    <w:rsid w:val="007E594D"/>
    <w:rsid w:val="007E6799"/>
    <w:rsid w:val="007F0D07"/>
    <w:rsid w:val="007F36E6"/>
    <w:rsid w:val="007F4187"/>
    <w:rsid w:val="007F4F7D"/>
    <w:rsid w:val="007F7EFC"/>
    <w:rsid w:val="00800502"/>
    <w:rsid w:val="00800C4E"/>
    <w:rsid w:val="00800DB2"/>
    <w:rsid w:val="0080102E"/>
    <w:rsid w:val="0080105C"/>
    <w:rsid w:val="00801101"/>
    <w:rsid w:val="00801EA8"/>
    <w:rsid w:val="00804B17"/>
    <w:rsid w:val="00804C69"/>
    <w:rsid w:val="00807820"/>
    <w:rsid w:val="0081078F"/>
    <w:rsid w:val="00810C53"/>
    <w:rsid w:val="00814851"/>
    <w:rsid w:val="008220FC"/>
    <w:rsid w:val="00824E64"/>
    <w:rsid w:val="00825050"/>
    <w:rsid w:val="00826289"/>
    <w:rsid w:val="008274BB"/>
    <w:rsid w:val="00827F11"/>
    <w:rsid w:val="008309C5"/>
    <w:rsid w:val="00830D4B"/>
    <w:rsid w:val="00831516"/>
    <w:rsid w:val="00832058"/>
    <w:rsid w:val="0083275A"/>
    <w:rsid w:val="00832B2C"/>
    <w:rsid w:val="00832D7E"/>
    <w:rsid w:val="00833D48"/>
    <w:rsid w:val="00835312"/>
    <w:rsid w:val="008355D5"/>
    <w:rsid w:val="00835F4D"/>
    <w:rsid w:val="008363C1"/>
    <w:rsid w:val="00836428"/>
    <w:rsid w:val="008364FF"/>
    <w:rsid w:val="008421DD"/>
    <w:rsid w:val="00842D6B"/>
    <w:rsid w:val="00843417"/>
    <w:rsid w:val="008438FB"/>
    <w:rsid w:val="008452F9"/>
    <w:rsid w:val="008505E9"/>
    <w:rsid w:val="0085475E"/>
    <w:rsid w:val="00854A08"/>
    <w:rsid w:val="0085517F"/>
    <w:rsid w:val="0085530D"/>
    <w:rsid w:val="00855520"/>
    <w:rsid w:val="008607E7"/>
    <w:rsid w:val="008646C1"/>
    <w:rsid w:val="00865E12"/>
    <w:rsid w:val="008667AE"/>
    <w:rsid w:val="00866950"/>
    <w:rsid w:val="008678D9"/>
    <w:rsid w:val="00870031"/>
    <w:rsid w:val="00873011"/>
    <w:rsid w:val="008738FE"/>
    <w:rsid w:val="00873EED"/>
    <w:rsid w:val="00877B9F"/>
    <w:rsid w:val="008836B2"/>
    <w:rsid w:val="00886EBD"/>
    <w:rsid w:val="00890818"/>
    <w:rsid w:val="00890A1E"/>
    <w:rsid w:val="0089294E"/>
    <w:rsid w:val="008933F4"/>
    <w:rsid w:val="0089679D"/>
    <w:rsid w:val="008974BD"/>
    <w:rsid w:val="008A0022"/>
    <w:rsid w:val="008A462A"/>
    <w:rsid w:val="008A48B9"/>
    <w:rsid w:val="008A4B02"/>
    <w:rsid w:val="008A63B7"/>
    <w:rsid w:val="008B1FE5"/>
    <w:rsid w:val="008C7336"/>
    <w:rsid w:val="008C7C8D"/>
    <w:rsid w:val="008D56DF"/>
    <w:rsid w:val="008D6345"/>
    <w:rsid w:val="008D64AE"/>
    <w:rsid w:val="008D7FAD"/>
    <w:rsid w:val="008E0A03"/>
    <w:rsid w:val="008E0A21"/>
    <w:rsid w:val="008E27FE"/>
    <w:rsid w:val="008E2D3C"/>
    <w:rsid w:val="008E3000"/>
    <w:rsid w:val="008E3970"/>
    <w:rsid w:val="008E3F7E"/>
    <w:rsid w:val="008E5B8B"/>
    <w:rsid w:val="008E5F61"/>
    <w:rsid w:val="008E7D27"/>
    <w:rsid w:val="008F1E2F"/>
    <w:rsid w:val="008F27F6"/>
    <w:rsid w:val="008F3AA0"/>
    <w:rsid w:val="008F7BB6"/>
    <w:rsid w:val="008F7F6E"/>
    <w:rsid w:val="00900618"/>
    <w:rsid w:val="00900CA9"/>
    <w:rsid w:val="00905813"/>
    <w:rsid w:val="00907070"/>
    <w:rsid w:val="00907D84"/>
    <w:rsid w:val="009140E8"/>
    <w:rsid w:val="00914620"/>
    <w:rsid w:val="009146F5"/>
    <w:rsid w:val="0091484D"/>
    <w:rsid w:val="009149B3"/>
    <w:rsid w:val="00914B6C"/>
    <w:rsid w:val="00922E94"/>
    <w:rsid w:val="0092397A"/>
    <w:rsid w:val="0092506E"/>
    <w:rsid w:val="00925C44"/>
    <w:rsid w:val="00926246"/>
    <w:rsid w:val="00930064"/>
    <w:rsid w:val="0093164D"/>
    <w:rsid w:val="009328FD"/>
    <w:rsid w:val="00932D68"/>
    <w:rsid w:val="00934FF9"/>
    <w:rsid w:val="00937F86"/>
    <w:rsid w:val="00940C22"/>
    <w:rsid w:val="0094255B"/>
    <w:rsid w:val="009466F5"/>
    <w:rsid w:val="00947B74"/>
    <w:rsid w:val="00950650"/>
    <w:rsid w:val="00952271"/>
    <w:rsid w:val="00954D03"/>
    <w:rsid w:val="00955BB3"/>
    <w:rsid w:val="009565FD"/>
    <w:rsid w:val="009567E6"/>
    <w:rsid w:val="00962316"/>
    <w:rsid w:val="009706B7"/>
    <w:rsid w:val="0097079A"/>
    <w:rsid w:val="0097090C"/>
    <w:rsid w:val="00971526"/>
    <w:rsid w:val="00974065"/>
    <w:rsid w:val="0098018D"/>
    <w:rsid w:val="0098159C"/>
    <w:rsid w:val="009824C3"/>
    <w:rsid w:val="009826C8"/>
    <w:rsid w:val="00982BC7"/>
    <w:rsid w:val="00984BC1"/>
    <w:rsid w:val="00986C7E"/>
    <w:rsid w:val="00993D69"/>
    <w:rsid w:val="0099509D"/>
    <w:rsid w:val="009956AF"/>
    <w:rsid w:val="00995979"/>
    <w:rsid w:val="00997209"/>
    <w:rsid w:val="00997D4F"/>
    <w:rsid w:val="009A1057"/>
    <w:rsid w:val="009A1733"/>
    <w:rsid w:val="009B5B34"/>
    <w:rsid w:val="009B67C7"/>
    <w:rsid w:val="009B7F14"/>
    <w:rsid w:val="009C0475"/>
    <w:rsid w:val="009C34F6"/>
    <w:rsid w:val="009C52C0"/>
    <w:rsid w:val="009C55F9"/>
    <w:rsid w:val="009C680C"/>
    <w:rsid w:val="009C68F1"/>
    <w:rsid w:val="009C7E37"/>
    <w:rsid w:val="009D05FC"/>
    <w:rsid w:val="009D19F5"/>
    <w:rsid w:val="009D2E29"/>
    <w:rsid w:val="009D3F6B"/>
    <w:rsid w:val="009D54CE"/>
    <w:rsid w:val="009E10D6"/>
    <w:rsid w:val="009E112B"/>
    <w:rsid w:val="009E27CE"/>
    <w:rsid w:val="009E2C67"/>
    <w:rsid w:val="009E3CC8"/>
    <w:rsid w:val="009E42E4"/>
    <w:rsid w:val="009E54AA"/>
    <w:rsid w:val="009E770F"/>
    <w:rsid w:val="009F3DC6"/>
    <w:rsid w:val="009F4E1D"/>
    <w:rsid w:val="009F4E91"/>
    <w:rsid w:val="009F6091"/>
    <w:rsid w:val="009F728D"/>
    <w:rsid w:val="00A00D28"/>
    <w:rsid w:val="00A02B5B"/>
    <w:rsid w:val="00A04584"/>
    <w:rsid w:val="00A05998"/>
    <w:rsid w:val="00A06CDB"/>
    <w:rsid w:val="00A076B9"/>
    <w:rsid w:val="00A133E2"/>
    <w:rsid w:val="00A14453"/>
    <w:rsid w:val="00A147E0"/>
    <w:rsid w:val="00A16854"/>
    <w:rsid w:val="00A1724F"/>
    <w:rsid w:val="00A219E8"/>
    <w:rsid w:val="00A24ACB"/>
    <w:rsid w:val="00A33B4C"/>
    <w:rsid w:val="00A345E1"/>
    <w:rsid w:val="00A36CEF"/>
    <w:rsid w:val="00A44944"/>
    <w:rsid w:val="00A44E47"/>
    <w:rsid w:val="00A450B0"/>
    <w:rsid w:val="00A505C1"/>
    <w:rsid w:val="00A50860"/>
    <w:rsid w:val="00A52B97"/>
    <w:rsid w:val="00A61E9C"/>
    <w:rsid w:val="00A6222E"/>
    <w:rsid w:val="00A629BD"/>
    <w:rsid w:val="00A62E94"/>
    <w:rsid w:val="00A63CAA"/>
    <w:rsid w:val="00A6427E"/>
    <w:rsid w:val="00A66EA2"/>
    <w:rsid w:val="00A71181"/>
    <w:rsid w:val="00A716CF"/>
    <w:rsid w:val="00A717FF"/>
    <w:rsid w:val="00A73301"/>
    <w:rsid w:val="00A73475"/>
    <w:rsid w:val="00A736EF"/>
    <w:rsid w:val="00A75DAA"/>
    <w:rsid w:val="00A7765B"/>
    <w:rsid w:val="00A81E21"/>
    <w:rsid w:val="00A81EAF"/>
    <w:rsid w:val="00A83842"/>
    <w:rsid w:val="00A839FC"/>
    <w:rsid w:val="00A85954"/>
    <w:rsid w:val="00A868B7"/>
    <w:rsid w:val="00A9082D"/>
    <w:rsid w:val="00A92D5D"/>
    <w:rsid w:val="00A95A3C"/>
    <w:rsid w:val="00A9686B"/>
    <w:rsid w:val="00AA0653"/>
    <w:rsid w:val="00AA2278"/>
    <w:rsid w:val="00AA3AB1"/>
    <w:rsid w:val="00AA6C0A"/>
    <w:rsid w:val="00AB1AAF"/>
    <w:rsid w:val="00AB3623"/>
    <w:rsid w:val="00AB4A6C"/>
    <w:rsid w:val="00AB4B12"/>
    <w:rsid w:val="00AB5FC3"/>
    <w:rsid w:val="00AC4DA2"/>
    <w:rsid w:val="00AC5A0B"/>
    <w:rsid w:val="00AC7D3C"/>
    <w:rsid w:val="00AD1AC8"/>
    <w:rsid w:val="00AD38A4"/>
    <w:rsid w:val="00AD5DC8"/>
    <w:rsid w:val="00AD71D0"/>
    <w:rsid w:val="00AE301B"/>
    <w:rsid w:val="00AE5434"/>
    <w:rsid w:val="00AE6623"/>
    <w:rsid w:val="00AE6FD3"/>
    <w:rsid w:val="00AF070D"/>
    <w:rsid w:val="00AF2AEF"/>
    <w:rsid w:val="00AF30BD"/>
    <w:rsid w:val="00B001D0"/>
    <w:rsid w:val="00B00DE2"/>
    <w:rsid w:val="00B01F54"/>
    <w:rsid w:val="00B0486F"/>
    <w:rsid w:val="00B05C97"/>
    <w:rsid w:val="00B05DA4"/>
    <w:rsid w:val="00B06BDC"/>
    <w:rsid w:val="00B10B5C"/>
    <w:rsid w:val="00B1424A"/>
    <w:rsid w:val="00B1641E"/>
    <w:rsid w:val="00B16D84"/>
    <w:rsid w:val="00B17856"/>
    <w:rsid w:val="00B218AA"/>
    <w:rsid w:val="00B2351A"/>
    <w:rsid w:val="00B27094"/>
    <w:rsid w:val="00B3007B"/>
    <w:rsid w:val="00B312F2"/>
    <w:rsid w:val="00B31C0C"/>
    <w:rsid w:val="00B31E1F"/>
    <w:rsid w:val="00B33037"/>
    <w:rsid w:val="00B33299"/>
    <w:rsid w:val="00B342F6"/>
    <w:rsid w:val="00B34E3F"/>
    <w:rsid w:val="00B36516"/>
    <w:rsid w:val="00B3756D"/>
    <w:rsid w:val="00B4130D"/>
    <w:rsid w:val="00B42FE4"/>
    <w:rsid w:val="00B44C07"/>
    <w:rsid w:val="00B45165"/>
    <w:rsid w:val="00B5517F"/>
    <w:rsid w:val="00B573B0"/>
    <w:rsid w:val="00B62C9A"/>
    <w:rsid w:val="00B6306A"/>
    <w:rsid w:val="00B65C76"/>
    <w:rsid w:val="00B67550"/>
    <w:rsid w:val="00B720F2"/>
    <w:rsid w:val="00B726F1"/>
    <w:rsid w:val="00B73C0D"/>
    <w:rsid w:val="00B7483E"/>
    <w:rsid w:val="00B75BE4"/>
    <w:rsid w:val="00B777CC"/>
    <w:rsid w:val="00B84308"/>
    <w:rsid w:val="00B84406"/>
    <w:rsid w:val="00B85BE5"/>
    <w:rsid w:val="00B872B0"/>
    <w:rsid w:val="00B9469A"/>
    <w:rsid w:val="00B956EA"/>
    <w:rsid w:val="00B97810"/>
    <w:rsid w:val="00BA0072"/>
    <w:rsid w:val="00BA0285"/>
    <w:rsid w:val="00BA1133"/>
    <w:rsid w:val="00BA1F05"/>
    <w:rsid w:val="00BA4D35"/>
    <w:rsid w:val="00BB3F75"/>
    <w:rsid w:val="00BB5BA2"/>
    <w:rsid w:val="00BB5C15"/>
    <w:rsid w:val="00BC5D47"/>
    <w:rsid w:val="00BC750C"/>
    <w:rsid w:val="00BD276E"/>
    <w:rsid w:val="00BD368F"/>
    <w:rsid w:val="00BD3E9E"/>
    <w:rsid w:val="00BD7C91"/>
    <w:rsid w:val="00BE04EB"/>
    <w:rsid w:val="00BE2D03"/>
    <w:rsid w:val="00BE2F0C"/>
    <w:rsid w:val="00BE4147"/>
    <w:rsid w:val="00BF0CAD"/>
    <w:rsid w:val="00BF393E"/>
    <w:rsid w:val="00BF489F"/>
    <w:rsid w:val="00BF6435"/>
    <w:rsid w:val="00C01905"/>
    <w:rsid w:val="00C031EE"/>
    <w:rsid w:val="00C05E82"/>
    <w:rsid w:val="00C05E8A"/>
    <w:rsid w:val="00C06696"/>
    <w:rsid w:val="00C13FA4"/>
    <w:rsid w:val="00C14EC2"/>
    <w:rsid w:val="00C17B4F"/>
    <w:rsid w:val="00C21257"/>
    <w:rsid w:val="00C25989"/>
    <w:rsid w:val="00C25C47"/>
    <w:rsid w:val="00C26034"/>
    <w:rsid w:val="00C2795B"/>
    <w:rsid w:val="00C32737"/>
    <w:rsid w:val="00C34EC7"/>
    <w:rsid w:val="00C355A8"/>
    <w:rsid w:val="00C36734"/>
    <w:rsid w:val="00C36977"/>
    <w:rsid w:val="00C37EEE"/>
    <w:rsid w:val="00C4774A"/>
    <w:rsid w:val="00C51B25"/>
    <w:rsid w:val="00C542FC"/>
    <w:rsid w:val="00C54F46"/>
    <w:rsid w:val="00C560A3"/>
    <w:rsid w:val="00C56F81"/>
    <w:rsid w:val="00C56FE4"/>
    <w:rsid w:val="00C601EE"/>
    <w:rsid w:val="00C60C43"/>
    <w:rsid w:val="00C61267"/>
    <w:rsid w:val="00C62AF6"/>
    <w:rsid w:val="00C6310F"/>
    <w:rsid w:val="00C646A2"/>
    <w:rsid w:val="00C662F1"/>
    <w:rsid w:val="00C6787D"/>
    <w:rsid w:val="00C709B7"/>
    <w:rsid w:val="00C75C0F"/>
    <w:rsid w:val="00C76966"/>
    <w:rsid w:val="00C811B2"/>
    <w:rsid w:val="00C82C8D"/>
    <w:rsid w:val="00C82F10"/>
    <w:rsid w:val="00C8334A"/>
    <w:rsid w:val="00C83423"/>
    <w:rsid w:val="00C83EDD"/>
    <w:rsid w:val="00C850C9"/>
    <w:rsid w:val="00C87CD7"/>
    <w:rsid w:val="00C947A9"/>
    <w:rsid w:val="00C95A20"/>
    <w:rsid w:val="00C95ACB"/>
    <w:rsid w:val="00C97DC2"/>
    <w:rsid w:val="00CA3047"/>
    <w:rsid w:val="00CA4CA3"/>
    <w:rsid w:val="00CB042F"/>
    <w:rsid w:val="00CB3AC3"/>
    <w:rsid w:val="00CB7CC7"/>
    <w:rsid w:val="00CC0C00"/>
    <w:rsid w:val="00CC1E07"/>
    <w:rsid w:val="00CC2C71"/>
    <w:rsid w:val="00CC4A17"/>
    <w:rsid w:val="00CC59A7"/>
    <w:rsid w:val="00CC78FC"/>
    <w:rsid w:val="00CD0DD7"/>
    <w:rsid w:val="00CD33DD"/>
    <w:rsid w:val="00CD4D22"/>
    <w:rsid w:val="00CD6C2D"/>
    <w:rsid w:val="00CE08AE"/>
    <w:rsid w:val="00CE38E1"/>
    <w:rsid w:val="00CE502A"/>
    <w:rsid w:val="00CF17C7"/>
    <w:rsid w:val="00CF1DDF"/>
    <w:rsid w:val="00CF2F5A"/>
    <w:rsid w:val="00CF3032"/>
    <w:rsid w:val="00CF33E3"/>
    <w:rsid w:val="00CF38D3"/>
    <w:rsid w:val="00D02433"/>
    <w:rsid w:val="00D03053"/>
    <w:rsid w:val="00D03818"/>
    <w:rsid w:val="00D0452B"/>
    <w:rsid w:val="00D04D3E"/>
    <w:rsid w:val="00D05C1B"/>
    <w:rsid w:val="00D1395F"/>
    <w:rsid w:val="00D15C4D"/>
    <w:rsid w:val="00D17927"/>
    <w:rsid w:val="00D2188F"/>
    <w:rsid w:val="00D2274C"/>
    <w:rsid w:val="00D26665"/>
    <w:rsid w:val="00D3055C"/>
    <w:rsid w:val="00D30942"/>
    <w:rsid w:val="00D30DC8"/>
    <w:rsid w:val="00D31E0B"/>
    <w:rsid w:val="00D343E9"/>
    <w:rsid w:val="00D34B60"/>
    <w:rsid w:val="00D41176"/>
    <w:rsid w:val="00D419F5"/>
    <w:rsid w:val="00D42E80"/>
    <w:rsid w:val="00D50DBB"/>
    <w:rsid w:val="00D51FEA"/>
    <w:rsid w:val="00D522F7"/>
    <w:rsid w:val="00D560FE"/>
    <w:rsid w:val="00D6197C"/>
    <w:rsid w:val="00D627E4"/>
    <w:rsid w:val="00D63CA8"/>
    <w:rsid w:val="00D73728"/>
    <w:rsid w:val="00D7554B"/>
    <w:rsid w:val="00D7708A"/>
    <w:rsid w:val="00D77CFD"/>
    <w:rsid w:val="00D80C89"/>
    <w:rsid w:val="00D81845"/>
    <w:rsid w:val="00D857BF"/>
    <w:rsid w:val="00D90361"/>
    <w:rsid w:val="00D91044"/>
    <w:rsid w:val="00D9191E"/>
    <w:rsid w:val="00D9392C"/>
    <w:rsid w:val="00D93E6B"/>
    <w:rsid w:val="00D96BA7"/>
    <w:rsid w:val="00D977FC"/>
    <w:rsid w:val="00DA07AC"/>
    <w:rsid w:val="00DA090E"/>
    <w:rsid w:val="00DA2F83"/>
    <w:rsid w:val="00DA3B30"/>
    <w:rsid w:val="00DA3D56"/>
    <w:rsid w:val="00DB02D0"/>
    <w:rsid w:val="00DB4742"/>
    <w:rsid w:val="00DC1A67"/>
    <w:rsid w:val="00DC33E4"/>
    <w:rsid w:val="00DC7413"/>
    <w:rsid w:val="00DD01FA"/>
    <w:rsid w:val="00DD0F60"/>
    <w:rsid w:val="00DD763D"/>
    <w:rsid w:val="00DE0ACE"/>
    <w:rsid w:val="00DE4847"/>
    <w:rsid w:val="00DE4A50"/>
    <w:rsid w:val="00DE6497"/>
    <w:rsid w:val="00DF0886"/>
    <w:rsid w:val="00DF1EB4"/>
    <w:rsid w:val="00DF254F"/>
    <w:rsid w:val="00DF3BED"/>
    <w:rsid w:val="00DF5769"/>
    <w:rsid w:val="00DF5A18"/>
    <w:rsid w:val="00DF63DC"/>
    <w:rsid w:val="00DF78E1"/>
    <w:rsid w:val="00E009D9"/>
    <w:rsid w:val="00E01722"/>
    <w:rsid w:val="00E026DB"/>
    <w:rsid w:val="00E05024"/>
    <w:rsid w:val="00E10623"/>
    <w:rsid w:val="00E10A21"/>
    <w:rsid w:val="00E14A98"/>
    <w:rsid w:val="00E16842"/>
    <w:rsid w:val="00E16FFF"/>
    <w:rsid w:val="00E20543"/>
    <w:rsid w:val="00E23119"/>
    <w:rsid w:val="00E25349"/>
    <w:rsid w:val="00E25363"/>
    <w:rsid w:val="00E2598C"/>
    <w:rsid w:val="00E27B02"/>
    <w:rsid w:val="00E30B3C"/>
    <w:rsid w:val="00E3110F"/>
    <w:rsid w:val="00E31EDE"/>
    <w:rsid w:val="00E3362C"/>
    <w:rsid w:val="00E34129"/>
    <w:rsid w:val="00E348A0"/>
    <w:rsid w:val="00E3593A"/>
    <w:rsid w:val="00E364B6"/>
    <w:rsid w:val="00E36E2A"/>
    <w:rsid w:val="00E4083E"/>
    <w:rsid w:val="00E413C1"/>
    <w:rsid w:val="00E44767"/>
    <w:rsid w:val="00E4725B"/>
    <w:rsid w:val="00E502E7"/>
    <w:rsid w:val="00E5185A"/>
    <w:rsid w:val="00E53802"/>
    <w:rsid w:val="00E54EC9"/>
    <w:rsid w:val="00E54EEC"/>
    <w:rsid w:val="00E56A5C"/>
    <w:rsid w:val="00E56C6F"/>
    <w:rsid w:val="00E60B9B"/>
    <w:rsid w:val="00E62898"/>
    <w:rsid w:val="00E70A96"/>
    <w:rsid w:val="00E715EF"/>
    <w:rsid w:val="00E73798"/>
    <w:rsid w:val="00E74F13"/>
    <w:rsid w:val="00E81557"/>
    <w:rsid w:val="00E8508E"/>
    <w:rsid w:val="00E918A8"/>
    <w:rsid w:val="00E92807"/>
    <w:rsid w:val="00E929C1"/>
    <w:rsid w:val="00E931BC"/>
    <w:rsid w:val="00EA0F75"/>
    <w:rsid w:val="00EA2142"/>
    <w:rsid w:val="00EA3640"/>
    <w:rsid w:val="00EA4D0B"/>
    <w:rsid w:val="00EA5E31"/>
    <w:rsid w:val="00EB1B53"/>
    <w:rsid w:val="00EB2B56"/>
    <w:rsid w:val="00EB3F78"/>
    <w:rsid w:val="00EB46B4"/>
    <w:rsid w:val="00EB5677"/>
    <w:rsid w:val="00EB5E35"/>
    <w:rsid w:val="00EB644E"/>
    <w:rsid w:val="00EB773F"/>
    <w:rsid w:val="00EB7A5A"/>
    <w:rsid w:val="00EC232A"/>
    <w:rsid w:val="00EC2D22"/>
    <w:rsid w:val="00EC685B"/>
    <w:rsid w:val="00EC73E9"/>
    <w:rsid w:val="00EC73FC"/>
    <w:rsid w:val="00ED0740"/>
    <w:rsid w:val="00ED0BF1"/>
    <w:rsid w:val="00ED1F06"/>
    <w:rsid w:val="00ED2D60"/>
    <w:rsid w:val="00ED4AFA"/>
    <w:rsid w:val="00ED4EB0"/>
    <w:rsid w:val="00ED4F74"/>
    <w:rsid w:val="00ED5750"/>
    <w:rsid w:val="00ED6CA7"/>
    <w:rsid w:val="00EE0998"/>
    <w:rsid w:val="00EE28CA"/>
    <w:rsid w:val="00EE45CE"/>
    <w:rsid w:val="00EE55B0"/>
    <w:rsid w:val="00EE76F0"/>
    <w:rsid w:val="00EF04FD"/>
    <w:rsid w:val="00EF0612"/>
    <w:rsid w:val="00EF10CC"/>
    <w:rsid w:val="00F012DD"/>
    <w:rsid w:val="00F025DA"/>
    <w:rsid w:val="00F05AB4"/>
    <w:rsid w:val="00F06CEC"/>
    <w:rsid w:val="00F07A38"/>
    <w:rsid w:val="00F1156B"/>
    <w:rsid w:val="00F117C2"/>
    <w:rsid w:val="00F12362"/>
    <w:rsid w:val="00F12EB2"/>
    <w:rsid w:val="00F13D67"/>
    <w:rsid w:val="00F14168"/>
    <w:rsid w:val="00F148B8"/>
    <w:rsid w:val="00F14CB8"/>
    <w:rsid w:val="00F158DC"/>
    <w:rsid w:val="00F15CB8"/>
    <w:rsid w:val="00F2360F"/>
    <w:rsid w:val="00F24057"/>
    <w:rsid w:val="00F306D4"/>
    <w:rsid w:val="00F436AF"/>
    <w:rsid w:val="00F45C18"/>
    <w:rsid w:val="00F47267"/>
    <w:rsid w:val="00F47389"/>
    <w:rsid w:val="00F52172"/>
    <w:rsid w:val="00F523A5"/>
    <w:rsid w:val="00F53896"/>
    <w:rsid w:val="00F5415A"/>
    <w:rsid w:val="00F55292"/>
    <w:rsid w:val="00F557FB"/>
    <w:rsid w:val="00F56599"/>
    <w:rsid w:val="00F5669F"/>
    <w:rsid w:val="00F6612C"/>
    <w:rsid w:val="00F7044E"/>
    <w:rsid w:val="00F72812"/>
    <w:rsid w:val="00F72F69"/>
    <w:rsid w:val="00F754B2"/>
    <w:rsid w:val="00F75DFA"/>
    <w:rsid w:val="00F804AD"/>
    <w:rsid w:val="00F81B70"/>
    <w:rsid w:val="00F840E7"/>
    <w:rsid w:val="00F8526C"/>
    <w:rsid w:val="00F90A1F"/>
    <w:rsid w:val="00F90A43"/>
    <w:rsid w:val="00F92DFB"/>
    <w:rsid w:val="00F9400C"/>
    <w:rsid w:val="00F94E43"/>
    <w:rsid w:val="00F94E92"/>
    <w:rsid w:val="00F9513B"/>
    <w:rsid w:val="00F956B7"/>
    <w:rsid w:val="00FA1EF6"/>
    <w:rsid w:val="00FA2A50"/>
    <w:rsid w:val="00FA5C02"/>
    <w:rsid w:val="00FA6ABE"/>
    <w:rsid w:val="00FA7B56"/>
    <w:rsid w:val="00FA7BE7"/>
    <w:rsid w:val="00FC0A8D"/>
    <w:rsid w:val="00FC5827"/>
    <w:rsid w:val="00FC5EFE"/>
    <w:rsid w:val="00FC668F"/>
    <w:rsid w:val="00FC7823"/>
    <w:rsid w:val="00FD13A3"/>
    <w:rsid w:val="00FD26C4"/>
    <w:rsid w:val="00FE035A"/>
    <w:rsid w:val="00FE3671"/>
    <w:rsid w:val="00FE455D"/>
    <w:rsid w:val="00FE5674"/>
    <w:rsid w:val="00FF2AB1"/>
    <w:rsid w:val="00FF2CAE"/>
    <w:rsid w:val="00FF2FFC"/>
    <w:rsid w:val="00FF66B4"/>
    <w:rsid w:val="00FF79D6"/>
    <w:rsid w:val="02491285"/>
    <w:rsid w:val="031A58E1"/>
    <w:rsid w:val="0816EE47"/>
    <w:rsid w:val="08342FB6"/>
    <w:rsid w:val="0940F790"/>
    <w:rsid w:val="0C47CC1A"/>
    <w:rsid w:val="0C6402B1"/>
    <w:rsid w:val="0DE20391"/>
    <w:rsid w:val="0FC25834"/>
    <w:rsid w:val="142079D6"/>
    <w:rsid w:val="1480D8AE"/>
    <w:rsid w:val="148E6188"/>
    <w:rsid w:val="14A7A60D"/>
    <w:rsid w:val="17405FC6"/>
    <w:rsid w:val="19A0CF05"/>
    <w:rsid w:val="1AAF2986"/>
    <w:rsid w:val="1AD67406"/>
    <w:rsid w:val="1B61FE28"/>
    <w:rsid w:val="1CAAB2F9"/>
    <w:rsid w:val="20EE4609"/>
    <w:rsid w:val="20F1CE14"/>
    <w:rsid w:val="216B5E3F"/>
    <w:rsid w:val="24E84C85"/>
    <w:rsid w:val="26213A98"/>
    <w:rsid w:val="26D9461D"/>
    <w:rsid w:val="27AF01B8"/>
    <w:rsid w:val="27C13CE9"/>
    <w:rsid w:val="28EFCA14"/>
    <w:rsid w:val="28F72214"/>
    <w:rsid w:val="29008ED8"/>
    <w:rsid w:val="2BF379BA"/>
    <w:rsid w:val="2C934468"/>
    <w:rsid w:val="2E4EF6E7"/>
    <w:rsid w:val="2FC7A056"/>
    <w:rsid w:val="2FF2EAAA"/>
    <w:rsid w:val="30835B4C"/>
    <w:rsid w:val="32598E06"/>
    <w:rsid w:val="32C2A9D0"/>
    <w:rsid w:val="35003A02"/>
    <w:rsid w:val="361A91EE"/>
    <w:rsid w:val="36973247"/>
    <w:rsid w:val="36D6D8E9"/>
    <w:rsid w:val="36DE0947"/>
    <w:rsid w:val="3774F453"/>
    <w:rsid w:val="389304B8"/>
    <w:rsid w:val="389CDC01"/>
    <w:rsid w:val="38D06F36"/>
    <w:rsid w:val="3953E802"/>
    <w:rsid w:val="397AB28E"/>
    <w:rsid w:val="3ACFC747"/>
    <w:rsid w:val="3B331E1E"/>
    <w:rsid w:val="3C736EC5"/>
    <w:rsid w:val="3E391E87"/>
    <w:rsid w:val="3E6147BC"/>
    <w:rsid w:val="3F952039"/>
    <w:rsid w:val="4036985F"/>
    <w:rsid w:val="4193A068"/>
    <w:rsid w:val="444FEA1F"/>
    <w:rsid w:val="44B0C223"/>
    <w:rsid w:val="44EB0A5D"/>
    <w:rsid w:val="4569D3FF"/>
    <w:rsid w:val="45AC4BFE"/>
    <w:rsid w:val="469BF7B4"/>
    <w:rsid w:val="46B097ED"/>
    <w:rsid w:val="4720FDA6"/>
    <w:rsid w:val="49379E54"/>
    <w:rsid w:val="49582CAA"/>
    <w:rsid w:val="4A08279E"/>
    <w:rsid w:val="4AB9DA2D"/>
    <w:rsid w:val="4BF4B250"/>
    <w:rsid w:val="4C80F889"/>
    <w:rsid w:val="4CE2D804"/>
    <w:rsid w:val="4D3FC860"/>
    <w:rsid w:val="4EB29F1A"/>
    <w:rsid w:val="514A5561"/>
    <w:rsid w:val="514DAB4A"/>
    <w:rsid w:val="520422D6"/>
    <w:rsid w:val="52133983"/>
    <w:rsid w:val="5233DB96"/>
    <w:rsid w:val="53AF09E4"/>
    <w:rsid w:val="53BF26F2"/>
    <w:rsid w:val="58AE12AF"/>
    <w:rsid w:val="59279015"/>
    <w:rsid w:val="59763DFA"/>
    <w:rsid w:val="5AF95101"/>
    <w:rsid w:val="5B9CE12E"/>
    <w:rsid w:val="5BB48D10"/>
    <w:rsid w:val="5BE0AB85"/>
    <w:rsid w:val="5E3C7887"/>
    <w:rsid w:val="5E4DA44B"/>
    <w:rsid w:val="5F7F9EFB"/>
    <w:rsid w:val="5F86ED05"/>
    <w:rsid w:val="6055A7C0"/>
    <w:rsid w:val="60656867"/>
    <w:rsid w:val="607BE720"/>
    <w:rsid w:val="60902BEC"/>
    <w:rsid w:val="647DB791"/>
    <w:rsid w:val="65BD7996"/>
    <w:rsid w:val="68F5271F"/>
    <w:rsid w:val="6C5CD751"/>
    <w:rsid w:val="6E4893B1"/>
    <w:rsid w:val="72BBE32E"/>
    <w:rsid w:val="74378644"/>
    <w:rsid w:val="7A550513"/>
    <w:rsid w:val="7BF72C42"/>
    <w:rsid w:val="7C7BB16E"/>
    <w:rsid w:val="7C9E8014"/>
    <w:rsid w:val="7EC45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5ED2"/>
  <w15:chartTrackingRefBased/>
  <w15:docId w15:val="{17CE5B69-505F-4F85-ABB4-A60599FD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FD"/>
    <w:pPr>
      <w:spacing w:before="120" w:after="0" w:line="240" w:lineRule="auto"/>
      <w:jc w:val="both"/>
    </w:pPr>
    <w:rPr>
      <w:lang w:val="en-GB"/>
    </w:rPr>
  </w:style>
  <w:style w:type="paragraph" w:styleId="Heading1">
    <w:name w:val="heading 1"/>
    <w:basedOn w:val="Normal"/>
    <w:next w:val="Normal"/>
    <w:link w:val="Heading1Char"/>
    <w:uiPriority w:val="9"/>
    <w:qFormat/>
    <w:rsid w:val="00B7483E"/>
    <w:pPr>
      <w:keepNext/>
      <w:widowControl w:val="0"/>
      <w:numPr>
        <w:numId w:val="2"/>
      </w:numPr>
      <w:spacing w:before="280" w:after="160"/>
      <w:outlineLvl w:val="0"/>
    </w:pPr>
    <w:rPr>
      <w:rFonts w:asciiTheme="majorHAnsi" w:eastAsiaTheme="majorEastAsia" w:hAnsiTheme="majorHAnsi" w:cstheme="majorBidi"/>
      <w:b/>
      <w:caps/>
      <w:sz w:val="26"/>
      <w:szCs w:val="32"/>
    </w:rPr>
  </w:style>
  <w:style w:type="paragraph" w:styleId="Heading2">
    <w:name w:val="heading 2"/>
    <w:basedOn w:val="Normal"/>
    <w:next w:val="Normal"/>
    <w:link w:val="Heading2Char"/>
    <w:uiPriority w:val="9"/>
    <w:unhideWhenUsed/>
    <w:qFormat/>
    <w:rsid w:val="006104FD"/>
    <w:pPr>
      <w:keepNext/>
      <w:widowControl w:val="0"/>
      <w:numPr>
        <w:ilvl w:val="1"/>
        <w:numId w:val="2"/>
      </w:numPr>
      <w:spacing w:before="2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593564"/>
    <w:pPr>
      <w:keepNext/>
      <w:widowControl w:val="0"/>
      <w:numPr>
        <w:ilvl w:val="2"/>
        <w:numId w:val="2"/>
      </w:numPr>
      <w:outlineLvl w:val="2"/>
    </w:pPr>
    <w:rPr>
      <w:rFonts w:asciiTheme="majorHAnsi" w:eastAsiaTheme="majorEastAsia" w:hAnsiTheme="majorHAnsi" w:cstheme="majorBidi"/>
      <w:color w:val="000000" w:themeColor="text1"/>
      <w:sz w:val="26"/>
      <w:szCs w:val="24"/>
    </w:rPr>
  </w:style>
  <w:style w:type="paragraph" w:styleId="Heading4">
    <w:name w:val="heading 4"/>
    <w:basedOn w:val="Normal"/>
    <w:next w:val="Normal"/>
    <w:link w:val="Heading4Char"/>
    <w:uiPriority w:val="9"/>
    <w:unhideWhenUsed/>
    <w:qFormat/>
    <w:rsid w:val="00D90361"/>
    <w:pPr>
      <w:keepNext/>
      <w:keepLines/>
      <w:numPr>
        <w:ilvl w:val="3"/>
        <w:numId w:val="2"/>
      </w:numPr>
      <w:spacing w:before="40"/>
      <w:outlineLvl w:val="3"/>
    </w:pPr>
    <w:rPr>
      <w:rFonts w:asciiTheme="majorHAnsi" w:eastAsiaTheme="majorEastAsia" w:hAnsiTheme="majorHAnsi" w:cstheme="majorBidi"/>
      <w:iCs/>
      <w:color w:val="000000" w:themeColor="text1"/>
      <w:sz w:val="26"/>
    </w:rPr>
  </w:style>
  <w:style w:type="paragraph" w:styleId="Heading5">
    <w:name w:val="heading 5"/>
    <w:basedOn w:val="Normal"/>
    <w:next w:val="Normal"/>
    <w:link w:val="Heading5Char"/>
    <w:uiPriority w:val="9"/>
    <w:semiHidden/>
    <w:unhideWhenUsed/>
    <w:qFormat/>
    <w:rsid w:val="00754C82"/>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54C82"/>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54C82"/>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54C8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4C8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564"/>
    <w:pPr>
      <w:tabs>
        <w:tab w:val="center" w:pos="4513"/>
        <w:tab w:val="right" w:pos="9026"/>
      </w:tabs>
    </w:pPr>
  </w:style>
  <w:style w:type="character" w:customStyle="1" w:styleId="HeaderChar">
    <w:name w:val="Header Char"/>
    <w:basedOn w:val="DefaultParagraphFont"/>
    <w:link w:val="Header"/>
    <w:uiPriority w:val="99"/>
    <w:rsid w:val="00170564"/>
  </w:style>
  <w:style w:type="paragraph" w:styleId="Footer">
    <w:name w:val="footer"/>
    <w:basedOn w:val="Normal"/>
    <w:link w:val="FooterChar"/>
    <w:uiPriority w:val="99"/>
    <w:unhideWhenUsed/>
    <w:rsid w:val="00170564"/>
    <w:pPr>
      <w:tabs>
        <w:tab w:val="center" w:pos="4513"/>
        <w:tab w:val="right" w:pos="9026"/>
      </w:tabs>
    </w:pPr>
  </w:style>
  <w:style w:type="character" w:customStyle="1" w:styleId="FooterChar">
    <w:name w:val="Footer Char"/>
    <w:basedOn w:val="DefaultParagraphFont"/>
    <w:link w:val="Footer"/>
    <w:uiPriority w:val="99"/>
    <w:rsid w:val="00170564"/>
  </w:style>
  <w:style w:type="character" w:styleId="Hyperlink">
    <w:name w:val="Hyperlink"/>
    <w:basedOn w:val="DefaultParagraphFont"/>
    <w:uiPriority w:val="99"/>
    <w:unhideWhenUsed/>
    <w:rsid w:val="00A05998"/>
    <w:rPr>
      <w:color w:val="0563C1" w:themeColor="hyperlink"/>
      <w:u w:val="single"/>
    </w:rPr>
  </w:style>
  <w:style w:type="character" w:customStyle="1" w:styleId="Heading1Char">
    <w:name w:val="Heading 1 Char"/>
    <w:basedOn w:val="DefaultParagraphFont"/>
    <w:link w:val="Heading1"/>
    <w:uiPriority w:val="9"/>
    <w:rsid w:val="00B7483E"/>
    <w:rPr>
      <w:rFonts w:asciiTheme="majorHAnsi" w:eastAsiaTheme="majorEastAsia" w:hAnsiTheme="majorHAnsi" w:cstheme="majorBidi"/>
      <w:b/>
      <w:caps/>
      <w:sz w:val="26"/>
      <w:szCs w:val="32"/>
    </w:rPr>
  </w:style>
  <w:style w:type="character" w:customStyle="1" w:styleId="Heading2Char">
    <w:name w:val="Heading 2 Char"/>
    <w:basedOn w:val="DefaultParagraphFont"/>
    <w:link w:val="Heading2"/>
    <w:uiPriority w:val="9"/>
    <w:rsid w:val="006104FD"/>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593564"/>
    <w:rPr>
      <w:rFonts w:asciiTheme="majorHAnsi" w:eastAsiaTheme="majorEastAsia" w:hAnsiTheme="majorHAnsi" w:cstheme="majorBidi"/>
      <w:color w:val="000000" w:themeColor="text1"/>
      <w:sz w:val="26"/>
      <w:szCs w:val="24"/>
    </w:rPr>
  </w:style>
  <w:style w:type="character" w:customStyle="1" w:styleId="Heading4Char">
    <w:name w:val="Heading 4 Char"/>
    <w:basedOn w:val="DefaultParagraphFont"/>
    <w:link w:val="Heading4"/>
    <w:uiPriority w:val="9"/>
    <w:rsid w:val="00D90361"/>
    <w:rPr>
      <w:rFonts w:asciiTheme="majorHAnsi" w:eastAsiaTheme="majorEastAsia" w:hAnsiTheme="majorHAnsi" w:cstheme="majorBidi"/>
      <w:iCs/>
      <w:color w:val="000000" w:themeColor="text1"/>
      <w:sz w:val="26"/>
    </w:rPr>
  </w:style>
  <w:style w:type="character" w:customStyle="1" w:styleId="Heading5Char">
    <w:name w:val="Heading 5 Char"/>
    <w:basedOn w:val="DefaultParagraphFont"/>
    <w:link w:val="Heading5"/>
    <w:uiPriority w:val="9"/>
    <w:semiHidden/>
    <w:rsid w:val="00754C8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54C8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54C8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54C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4C8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620BDC"/>
    <w:pPr>
      <w:numPr>
        <w:numId w:val="0"/>
      </w:numPr>
      <w:spacing w:after="0" w:line="259" w:lineRule="auto"/>
      <w:outlineLvl w:val="9"/>
    </w:pPr>
    <w:rPr>
      <w:b w:val="0"/>
      <w:caps w:val="0"/>
      <w:color w:val="2E74B5" w:themeColor="accent1" w:themeShade="BF"/>
      <w:sz w:val="32"/>
    </w:rPr>
  </w:style>
  <w:style w:type="paragraph" w:styleId="TOC1">
    <w:name w:val="toc 1"/>
    <w:basedOn w:val="Normal"/>
    <w:next w:val="Normal"/>
    <w:uiPriority w:val="39"/>
    <w:unhideWhenUsed/>
    <w:rsid w:val="00EF0612"/>
    <w:pPr>
      <w:spacing w:after="40"/>
    </w:pPr>
    <w:rPr>
      <w:bCs/>
      <w:caps/>
      <w:szCs w:val="24"/>
    </w:rPr>
  </w:style>
  <w:style w:type="paragraph" w:styleId="TOC2">
    <w:name w:val="toc 2"/>
    <w:basedOn w:val="Normal"/>
    <w:next w:val="Normal"/>
    <w:uiPriority w:val="39"/>
    <w:unhideWhenUsed/>
    <w:rsid w:val="00EF0612"/>
    <w:pPr>
      <w:spacing w:after="40"/>
      <w:ind w:left="567"/>
    </w:pPr>
    <w:rPr>
      <w:bCs/>
      <w:szCs w:val="20"/>
    </w:rPr>
  </w:style>
  <w:style w:type="paragraph" w:styleId="TOC3">
    <w:name w:val="toc 3"/>
    <w:basedOn w:val="Normal"/>
    <w:next w:val="Normal"/>
    <w:autoRedefine/>
    <w:uiPriority w:val="39"/>
    <w:unhideWhenUsed/>
    <w:rsid w:val="00EF0612"/>
    <w:pPr>
      <w:spacing w:after="40"/>
      <w:ind w:left="851"/>
    </w:pPr>
    <w:rPr>
      <w:sz w:val="20"/>
      <w:szCs w:val="20"/>
    </w:rPr>
  </w:style>
  <w:style w:type="paragraph" w:styleId="TOC4">
    <w:name w:val="toc 4"/>
    <w:basedOn w:val="Normal"/>
    <w:next w:val="Normal"/>
    <w:autoRedefine/>
    <w:uiPriority w:val="39"/>
    <w:unhideWhenUsed/>
    <w:rsid w:val="00C6787D"/>
    <w:pPr>
      <w:ind w:left="440"/>
    </w:pPr>
    <w:rPr>
      <w:sz w:val="20"/>
      <w:szCs w:val="20"/>
    </w:rPr>
  </w:style>
  <w:style w:type="paragraph" w:styleId="TOC5">
    <w:name w:val="toc 5"/>
    <w:basedOn w:val="Normal"/>
    <w:next w:val="Normal"/>
    <w:autoRedefine/>
    <w:uiPriority w:val="39"/>
    <w:unhideWhenUsed/>
    <w:rsid w:val="00C6787D"/>
    <w:pPr>
      <w:ind w:left="660"/>
    </w:pPr>
    <w:rPr>
      <w:sz w:val="20"/>
      <w:szCs w:val="20"/>
    </w:rPr>
  </w:style>
  <w:style w:type="paragraph" w:styleId="TOC6">
    <w:name w:val="toc 6"/>
    <w:basedOn w:val="Normal"/>
    <w:next w:val="Normal"/>
    <w:autoRedefine/>
    <w:uiPriority w:val="39"/>
    <w:unhideWhenUsed/>
    <w:rsid w:val="00C6787D"/>
    <w:pPr>
      <w:ind w:left="880"/>
    </w:pPr>
    <w:rPr>
      <w:sz w:val="20"/>
      <w:szCs w:val="20"/>
    </w:rPr>
  </w:style>
  <w:style w:type="paragraph" w:styleId="TOC7">
    <w:name w:val="toc 7"/>
    <w:basedOn w:val="Normal"/>
    <w:next w:val="Normal"/>
    <w:autoRedefine/>
    <w:uiPriority w:val="39"/>
    <w:unhideWhenUsed/>
    <w:rsid w:val="00C6787D"/>
    <w:pPr>
      <w:ind w:left="1100"/>
    </w:pPr>
    <w:rPr>
      <w:sz w:val="20"/>
      <w:szCs w:val="20"/>
    </w:rPr>
  </w:style>
  <w:style w:type="paragraph" w:styleId="TOC8">
    <w:name w:val="toc 8"/>
    <w:basedOn w:val="Normal"/>
    <w:next w:val="Normal"/>
    <w:autoRedefine/>
    <w:uiPriority w:val="39"/>
    <w:unhideWhenUsed/>
    <w:rsid w:val="00C6787D"/>
    <w:pPr>
      <w:ind w:left="1320"/>
    </w:pPr>
    <w:rPr>
      <w:sz w:val="20"/>
      <w:szCs w:val="20"/>
    </w:rPr>
  </w:style>
  <w:style w:type="paragraph" w:styleId="TOC9">
    <w:name w:val="toc 9"/>
    <w:basedOn w:val="Normal"/>
    <w:next w:val="Normal"/>
    <w:autoRedefine/>
    <w:uiPriority w:val="39"/>
    <w:unhideWhenUsed/>
    <w:rsid w:val="00C6787D"/>
    <w:pPr>
      <w:ind w:left="1540"/>
    </w:pPr>
    <w:rPr>
      <w:sz w:val="20"/>
      <w:szCs w:val="20"/>
    </w:rPr>
  </w:style>
  <w:style w:type="paragraph" w:styleId="ListParagraph">
    <w:name w:val="List Paragraph"/>
    <w:basedOn w:val="Normal"/>
    <w:uiPriority w:val="34"/>
    <w:qFormat/>
    <w:rsid w:val="00FF66B4"/>
    <w:pPr>
      <w:spacing w:before="0"/>
      <w:ind w:left="720"/>
    </w:pPr>
    <w:rPr>
      <w:rFonts w:eastAsia="Times New Roman" w:cs="Times New Roman"/>
      <w:bCs/>
      <w:szCs w:val="20"/>
      <w:lang w:val="en-AU"/>
    </w:rPr>
  </w:style>
  <w:style w:type="paragraph" w:customStyle="1" w:styleId="EndNoteBibliographyTitle">
    <w:name w:val="EndNote Bibliography Title"/>
    <w:basedOn w:val="Normal"/>
    <w:link w:val="EndNoteBibliographyTitleChar"/>
    <w:rsid w:val="000D01BB"/>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D01BB"/>
    <w:rPr>
      <w:rFonts w:ascii="Calibri" w:hAnsi="Calibri"/>
      <w:noProof/>
    </w:rPr>
  </w:style>
  <w:style w:type="paragraph" w:customStyle="1" w:styleId="EndNoteBibliography">
    <w:name w:val="EndNote Bibliography"/>
    <w:basedOn w:val="Normal"/>
    <w:link w:val="EndNoteBibliographyChar"/>
    <w:rsid w:val="000D01BB"/>
    <w:rPr>
      <w:rFonts w:ascii="Calibri" w:hAnsi="Calibri"/>
      <w:noProof/>
    </w:rPr>
  </w:style>
  <w:style w:type="character" w:customStyle="1" w:styleId="EndNoteBibliographyChar">
    <w:name w:val="EndNote Bibliography Char"/>
    <w:basedOn w:val="DefaultParagraphFont"/>
    <w:link w:val="EndNoteBibliography"/>
    <w:rsid w:val="000D01BB"/>
    <w:rPr>
      <w:rFonts w:ascii="Calibri" w:hAnsi="Calibri"/>
      <w:noProof/>
    </w:rPr>
  </w:style>
  <w:style w:type="table" w:styleId="TableGrid">
    <w:name w:val="Table Grid"/>
    <w:basedOn w:val="TableNormal"/>
    <w:uiPriority w:val="39"/>
    <w:rsid w:val="00533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DB2"/>
    <w:rPr>
      <w:rFonts w:ascii="Segoe UI" w:hAnsi="Segoe UI" w:cs="Segoe UI"/>
      <w:sz w:val="18"/>
      <w:szCs w:val="18"/>
    </w:rPr>
  </w:style>
  <w:style w:type="character" w:styleId="CommentReference">
    <w:name w:val="annotation reference"/>
    <w:basedOn w:val="DefaultParagraphFont"/>
    <w:uiPriority w:val="99"/>
    <w:semiHidden/>
    <w:unhideWhenUsed/>
    <w:rsid w:val="0004098A"/>
    <w:rPr>
      <w:sz w:val="16"/>
      <w:szCs w:val="16"/>
    </w:rPr>
  </w:style>
  <w:style w:type="paragraph" w:styleId="CommentText">
    <w:name w:val="annotation text"/>
    <w:basedOn w:val="Normal"/>
    <w:link w:val="CommentTextChar"/>
    <w:uiPriority w:val="99"/>
    <w:semiHidden/>
    <w:unhideWhenUsed/>
    <w:rsid w:val="0004098A"/>
    <w:rPr>
      <w:sz w:val="20"/>
      <w:szCs w:val="20"/>
    </w:rPr>
  </w:style>
  <w:style w:type="character" w:customStyle="1" w:styleId="CommentTextChar">
    <w:name w:val="Comment Text Char"/>
    <w:basedOn w:val="DefaultParagraphFont"/>
    <w:link w:val="CommentText"/>
    <w:uiPriority w:val="99"/>
    <w:semiHidden/>
    <w:rsid w:val="0004098A"/>
    <w:rPr>
      <w:sz w:val="20"/>
      <w:szCs w:val="20"/>
    </w:rPr>
  </w:style>
  <w:style w:type="paragraph" w:styleId="CommentSubject">
    <w:name w:val="annotation subject"/>
    <w:basedOn w:val="CommentText"/>
    <w:next w:val="CommentText"/>
    <w:link w:val="CommentSubjectChar"/>
    <w:uiPriority w:val="99"/>
    <w:semiHidden/>
    <w:unhideWhenUsed/>
    <w:rsid w:val="0004098A"/>
    <w:rPr>
      <w:b/>
      <w:bCs/>
    </w:rPr>
  </w:style>
  <w:style w:type="character" w:customStyle="1" w:styleId="CommentSubjectChar">
    <w:name w:val="Comment Subject Char"/>
    <w:basedOn w:val="CommentTextChar"/>
    <w:link w:val="CommentSubject"/>
    <w:uiPriority w:val="99"/>
    <w:semiHidden/>
    <w:rsid w:val="0004098A"/>
    <w:rPr>
      <w:b/>
      <w:bCs/>
      <w:sz w:val="20"/>
      <w:szCs w:val="20"/>
    </w:rPr>
  </w:style>
  <w:style w:type="paragraph" w:styleId="Revision">
    <w:name w:val="Revision"/>
    <w:hidden/>
    <w:uiPriority w:val="99"/>
    <w:semiHidden/>
    <w:rsid w:val="006A1D5C"/>
    <w:pPr>
      <w:spacing w:after="0" w:line="240" w:lineRule="auto"/>
    </w:pPr>
    <w:rPr>
      <w:lang w:val="en-GB"/>
    </w:rPr>
  </w:style>
  <w:style w:type="paragraph" w:styleId="Bibliography">
    <w:name w:val="Bibliography"/>
    <w:basedOn w:val="Normal"/>
    <w:next w:val="Normal"/>
    <w:uiPriority w:val="37"/>
    <w:unhideWhenUsed/>
    <w:rsid w:val="007272B1"/>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1090">
      <w:bodyDiv w:val="1"/>
      <w:marLeft w:val="0"/>
      <w:marRight w:val="0"/>
      <w:marTop w:val="0"/>
      <w:marBottom w:val="0"/>
      <w:divBdr>
        <w:top w:val="none" w:sz="0" w:space="0" w:color="auto"/>
        <w:left w:val="none" w:sz="0" w:space="0" w:color="auto"/>
        <w:bottom w:val="none" w:sz="0" w:space="0" w:color="auto"/>
        <w:right w:val="none" w:sz="0" w:space="0" w:color="auto"/>
      </w:divBdr>
    </w:div>
    <w:div w:id="202400241">
      <w:bodyDiv w:val="1"/>
      <w:marLeft w:val="0"/>
      <w:marRight w:val="0"/>
      <w:marTop w:val="0"/>
      <w:marBottom w:val="0"/>
      <w:divBdr>
        <w:top w:val="none" w:sz="0" w:space="0" w:color="auto"/>
        <w:left w:val="none" w:sz="0" w:space="0" w:color="auto"/>
        <w:bottom w:val="none" w:sz="0" w:space="0" w:color="auto"/>
        <w:right w:val="none" w:sz="0" w:space="0" w:color="auto"/>
      </w:divBdr>
    </w:div>
    <w:div w:id="450128083">
      <w:bodyDiv w:val="1"/>
      <w:marLeft w:val="0"/>
      <w:marRight w:val="0"/>
      <w:marTop w:val="0"/>
      <w:marBottom w:val="0"/>
      <w:divBdr>
        <w:top w:val="none" w:sz="0" w:space="0" w:color="auto"/>
        <w:left w:val="none" w:sz="0" w:space="0" w:color="auto"/>
        <w:bottom w:val="none" w:sz="0" w:space="0" w:color="auto"/>
        <w:right w:val="none" w:sz="0" w:space="0" w:color="auto"/>
      </w:divBdr>
    </w:div>
    <w:div w:id="549264745">
      <w:bodyDiv w:val="1"/>
      <w:marLeft w:val="0"/>
      <w:marRight w:val="0"/>
      <w:marTop w:val="0"/>
      <w:marBottom w:val="0"/>
      <w:divBdr>
        <w:top w:val="none" w:sz="0" w:space="0" w:color="auto"/>
        <w:left w:val="none" w:sz="0" w:space="0" w:color="auto"/>
        <w:bottom w:val="none" w:sz="0" w:space="0" w:color="auto"/>
        <w:right w:val="none" w:sz="0" w:space="0" w:color="auto"/>
      </w:divBdr>
    </w:div>
    <w:div w:id="569584673">
      <w:bodyDiv w:val="1"/>
      <w:marLeft w:val="0"/>
      <w:marRight w:val="0"/>
      <w:marTop w:val="0"/>
      <w:marBottom w:val="0"/>
      <w:divBdr>
        <w:top w:val="none" w:sz="0" w:space="0" w:color="auto"/>
        <w:left w:val="none" w:sz="0" w:space="0" w:color="auto"/>
        <w:bottom w:val="none" w:sz="0" w:space="0" w:color="auto"/>
        <w:right w:val="none" w:sz="0" w:space="0" w:color="auto"/>
      </w:divBdr>
    </w:div>
    <w:div w:id="571430572">
      <w:bodyDiv w:val="1"/>
      <w:marLeft w:val="0"/>
      <w:marRight w:val="0"/>
      <w:marTop w:val="0"/>
      <w:marBottom w:val="0"/>
      <w:divBdr>
        <w:top w:val="none" w:sz="0" w:space="0" w:color="auto"/>
        <w:left w:val="none" w:sz="0" w:space="0" w:color="auto"/>
        <w:bottom w:val="none" w:sz="0" w:space="0" w:color="auto"/>
        <w:right w:val="none" w:sz="0" w:space="0" w:color="auto"/>
      </w:divBdr>
    </w:div>
    <w:div w:id="686101831">
      <w:bodyDiv w:val="1"/>
      <w:marLeft w:val="0"/>
      <w:marRight w:val="0"/>
      <w:marTop w:val="0"/>
      <w:marBottom w:val="0"/>
      <w:divBdr>
        <w:top w:val="none" w:sz="0" w:space="0" w:color="auto"/>
        <w:left w:val="none" w:sz="0" w:space="0" w:color="auto"/>
        <w:bottom w:val="none" w:sz="0" w:space="0" w:color="auto"/>
        <w:right w:val="none" w:sz="0" w:space="0" w:color="auto"/>
      </w:divBdr>
    </w:div>
    <w:div w:id="879632879">
      <w:bodyDiv w:val="1"/>
      <w:marLeft w:val="0"/>
      <w:marRight w:val="0"/>
      <w:marTop w:val="0"/>
      <w:marBottom w:val="0"/>
      <w:divBdr>
        <w:top w:val="none" w:sz="0" w:space="0" w:color="auto"/>
        <w:left w:val="none" w:sz="0" w:space="0" w:color="auto"/>
        <w:bottom w:val="none" w:sz="0" w:space="0" w:color="auto"/>
        <w:right w:val="none" w:sz="0" w:space="0" w:color="auto"/>
      </w:divBdr>
    </w:div>
    <w:div w:id="895630065">
      <w:bodyDiv w:val="1"/>
      <w:marLeft w:val="0"/>
      <w:marRight w:val="0"/>
      <w:marTop w:val="0"/>
      <w:marBottom w:val="0"/>
      <w:divBdr>
        <w:top w:val="none" w:sz="0" w:space="0" w:color="auto"/>
        <w:left w:val="none" w:sz="0" w:space="0" w:color="auto"/>
        <w:bottom w:val="none" w:sz="0" w:space="0" w:color="auto"/>
        <w:right w:val="none" w:sz="0" w:space="0" w:color="auto"/>
      </w:divBdr>
    </w:div>
    <w:div w:id="1120681236">
      <w:bodyDiv w:val="1"/>
      <w:marLeft w:val="0"/>
      <w:marRight w:val="0"/>
      <w:marTop w:val="0"/>
      <w:marBottom w:val="0"/>
      <w:divBdr>
        <w:top w:val="none" w:sz="0" w:space="0" w:color="auto"/>
        <w:left w:val="none" w:sz="0" w:space="0" w:color="auto"/>
        <w:bottom w:val="none" w:sz="0" w:space="0" w:color="auto"/>
        <w:right w:val="none" w:sz="0" w:space="0" w:color="auto"/>
      </w:divBdr>
    </w:div>
    <w:div w:id="1268274661">
      <w:bodyDiv w:val="1"/>
      <w:marLeft w:val="0"/>
      <w:marRight w:val="0"/>
      <w:marTop w:val="0"/>
      <w:marBottom w:val="0"/>
      <w:divBdr>
        <w:top w:val="none" w:sz="0" w:space="0" w:color="auto"/>
        <w:left w:val="none" w:sz="0" w:space="0" w:color="auto"/>
        <w:bottom w:val="none" w:sz="0" w:space="0" w:color="auto"/>
        <w:right w:val="none" w:sz="0" w:space="0" w:color="auto"/>
      </w:divBdr>
    </w:div>
    <w:div w:id="1455364924">
      <w:bodyDiv w:val="1"/>
      <w:marLeft w:val="0"/>
      <w:marRight w:val="0"/>
      <w:marTop w:val="0"/>
      <w:marBottom w:val="0"/>
      <w:divBdr>
        <w:top w:val="none" w:sz="0" w:space="0" w:color="auto"/>
        <w:left w:val="none" w:sz="0" w:space="0" w:color="auto"/>
        <w:bottom w:val="none" w:sz="0" w:space="0" w:color="auto"/>
        <w:right w:val="none" w:sz="0" w:space="0" w:color="auto"/>
      </w:divBdr>
    </w:div>
    <w:div w:id="1577201863">
      <w:bodyDiv w:val="1"/>
      <w:marLeft w:val="0"/>
      <w:marRight w:val="0"/>
      <w:marTop w:val="0"/>
      <w:marBottom w:val="0"/>
      <w:divBdr>
        <w:top w:val="none" w:sz="0" w:space="0" w:color="auto"/>
        <w:left w:val="none" w:sz="0" w:space="0" w:color="auto"/>
        <w:bottom w:val="none" w:sz="0" w:space="0" w:color="auto"/>
        <w:right w:val="none" w:sz="0" w:space="0" w:color="auto"/>
      </w:divBdr>
    </w:div>
    <w:div w:id="1599407771">
      <w:bodyDiv w:val="1"/>
      <w:marLeft w:val="0"/>
      <w:marRight w:val="0"/>
      <w:marTop w:val="0"/>
      <w:marBottom w:val="0"/>
      <w:divBdr>
        <w:top w:val="none" w:sz="0" w:space="0" w:color="auto"/>
        <w:left w:val="none" w:sz="0" w:space="0" w:color="auto"/>
        <w:bottom w:val="none" w:sz="0" w:space="0" w:color="auto"/>
        <w:right w:val="none" w:sz="0" w:space="0" w:color="auto"/>
      </w:divBdr>
    </w:div>
    <w:div w:id="1741714178">
      <w:bodyDiv w:val="1"/>
      <w:marLeft w:val="0"/>
      <w:marRight w:val="0"/>
      <w:marTop w:val="0"/>
      <w:marBottom w:val="0"/>
      <w:divBdr>
        <w:top w:val="none" w:sz="0" w:space="0" w:color="auto"/>
        <w:left w:val="none" w:sz="0" w:space="0" w:color="auto"/>
        <w:bottom w:val="none" w:sz="0" w:space="0" w:color="auto"/>
        <w:right w:val="none" w:sz="0" w:space="0" w:color="auto"/>
      </w:divBdr>
    </w:div>
    <w:div w:id="1970700244">
      <w:bodyDiv w:val="1"/>
      <w:marLeft w:val="0"/>
      <w:marRight w:val="0"/>
      <w:marTop w:val="0"/>
      <w:marBottom w:val="0"/>
      <w:divBdr>
        <w:top w:val="none" w:sz="0" w:space="0" w:color="auto"/>
        <w:left w:val="none" w:sz="0" w:space="0" w:color="auto"/>
        <w:bottom w:val="none" w:sz="0" w:space="0" w:color="auto"/>
        <w:right w:val="none" w:sz="0" w:space="0" w:color="auto"/>
      </w:divBdr>
    </w:div>
    <w:div w:id="1994528360">
      <w:bodyDiv w:val="1"/>
      <w:marLeft w:val="0"/>
      <w:marRight w:val="0"/>
      <w:marTop w:val="0"/>
      <w:marBottom w:val="0"/>
      <w:divBdr>
        <w:top w:val="none" w:sz="0" w:space="0" w:color="auto"/>
        <w:left w:val="none" w:sz="0" w:space="0" w:color="auto"/>
        <w:bottom w:val="none" w:sz="0" w:space="0" w:color="auto"/>
        <w:right w:val="none" w:sz="0" w:space="0" w:color="auto"/>
      </w:divBdr>
    </w:div>
    <w:div w:id="2032023657">
      <w:bodyDiv w:val="1"/>
      <w:marLeft w:val="0"/>
      <w:marRight w:val="0"/>
      <w:marTop w:val="0"/>
      <w:marBottom w:val="0"/>
      <w:divBdr>
        <w:top w:val="none" w:sz="0" w:space="0" w:color="auto"/>
        <w:left w:val="none" w:sz="0" w:space="0" w:color="auto"/>
        <w:bottom w:val="none" w:sz="0" w:space="0" w:color="auto"/>
        <w:right w:val="none" w:sz="0" w:space="0" w:color="auto"/>
      </w:divBdr>
    </w:div>
    <w:div w:id="2105101835">
      <w:bodyDiv w:val="1"/>
      <w:marLeft w:val="0"/>
      <w:marRight w:val="0"/>
      <w:marTop w:val="0"/>
      <w:marBottom w:val="0"/>
      <w:divBdr>
        <w:top w:val="none" w:sz="0" w:space="0" w:color="auto"/>
        <w:left w:val="none" w:sz="0" w:space="0" w:color="auto"/>
        <w:bottom w:val="none" w:sz="0" w:space="0" w:color="auto"/>
        <w:right w:val="none" w:sz="0" w:space="0" w:color="auto"/>
      </w:divBdr>
    </w:div>
    <w:div w:id="21108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8AD50-95A4-41ED-B2E5-C446C9DC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10311</Words>
  <Characters>58773</Characters>
  <Application>Microsoft Office Word</Application>
  <DocSecurity>0</DocSecurity>
  <Lines>489</Lines>
  <Paragraphs>137</Paragraphs>
  <ScaleCrop>false</ScaleCrop>
  <Company/>
  <LinksUpToDate>false</LinksUpToDate>
  <CharactersWithSpaces>68947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McKinlay</dc:creator>
  <cp:keywords/>
  <dc:description/>
  <cp:lastModifiedBy>Lachlan Lee</cp:lastModifiedBy>
  <cp:revision>6</cp:revision>
  <dcterms:created xsi:type="dcterms:W3CDTF">2023-10-31T21:45:00Z</dcterms:created>
  <dcterms:modified xsi:type="dcterms:W3CDTF">2023-11-15T00:52:00Z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id="E6ctEOCX"/&gt;&lt;style id="http://www.zotero.org/styles/vancouver" locale="en-NZ" hasBibliography="1" bibliographyStyleHasBeenSet="1"/&gt;&lt;prefs&gt;&lt;pref name="fieldType" value="Field"/&gt;&lt;/prefs&gt;&lt;/data&gt;</vt:lpwstr>
  </property>
</Properties>
</file>