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3E7B4" w14:textId="398CAC53" w:rsidR="004E6B06" w:rsidRDefault="00D750B3" w:rsidP="00912D1E">
      <w:pPr>
        <w:pStyle w:val="NormalWeb"/>
        <w:rPr>
          <w:rFonts w:ascii="Arial" w:hAnsi="Arial" w:cs="Arial"/>
          <w:b/>
          <w:bCs/>
          <w:sz w:val="20"/>
          <w:szCs w:val="20"/>
        </w:rPr>
      </w:pPr>
      <w:r w:rsidRPr="00D750B3">
        <w:rPr>
          <w:rFonts w:ascii="Arial" w:hAnsi="Arial" w:cs="Arial"/>
          <w:b/>
          <w:bCs/>
          <w:sz w:val="20"/>
          <w:szCs w:val="20"/>
          <w:u w:val="single"/>
        </w:rPr>
        <w:t>T</w:t>
      </w:r>
      <w:r w:rsidRPr="00D750B3">
        <w:rPr>
          <w:rFonts w:ascii="Arial" w:hAnsi="Arial" w:cs="Arial"/>
          <w:b/>
          <w:bCs/>
          <w:sz w:val="20"/>
          <w:szCs w:val="20"/>
        </w:rPr>
        <w:t>empora</w:t>
      </w:r>
      <w:r w:rsidR="007008B5">
        <w:rPr>
          <w:rFonts w:ascii="Arial" w:hAnsi="Arial" w:cs="Arial"/>
          <w:b/>
          <w:bCs/>
          <w:sz w:val="20"/>
          <w:szCs w:val="20"/>
        </w:rPr>
        <w:t>ry</w:t>
      </w:r>
      <w:r w:rsidRPr="00D750B3">
        <w:rPr>
          <w:rFonts w:ascii="Arial" w:hAnsi="Arial" w:cs="Arial"/>
          <w:b/>
          <w:bCs/>
          <w:sz w:val="20"/>
          <w:szCs w:val="20"/>
        </w:rPr>
        <w:t xml:space="preserve"> </w:t>
      </w:r>
      <w:r w:rsidRPr="00D750B3">
        <w:rPr>
          <w:rFonts w:ascii="Arial" w:hAnsi="Arial" w:cs="Arial"/>
          <w:b/>
          <w:bCs/>
          <w:sz w:val="20"/>
          <w:szCs w:val="20"/>
          <w:u w:val="single"/>
        </w:rPr>
        <w:t>W</w:t>
      </w:r>
      <w:r w:rsidRPr="00D750B3">
        <w:rPr>
          <w:rFonts w:ascii="Arial" w:hAnsi="Arial" w:cs="Arial"/>
          <w:b/>
          <w:bCs/>
          <w:sz w:val="20"/>
          <w:szCs w:val="20"/>
        </w:rPr>
        <w:t xml:space="preserve">ithholding of </w:t>
      </w:r>
      <w:r w:rsidRPr="00D750B3">
        <w:rPr>
          <w:rFonts w:ascii="Arial" w:hAnsi="Arial" w:cs="Arial"/>
          <w:b/>
          <w:bCs/>
          <w:sz w:val="20"/>
          <w:szCs w:val="20"/>
          <w:u w:val="single"/>
        </w:rPr>
        <w:t>I</w:t>
      </w:r>
      <w:r w:rsidRPr="00D750B3">
        <w:rPr>
          <w:rFonts w:ascii="Arial" w:hAnsi="Arial" w:cs="Arial"/>
          <w:b/>
          <w:bCs/>
          <w:sz w:val="20"/>
          <w:szCs w:val="20"/>
        </w:rPr>
        <w:t xml:space="preserve">mmunosuppressant in </w:t>
      </w:r>
      <w:r w:rsidRPr="00D750B3">
        <w:rPr>
          <w:rFonts w:ascii="Arial" w:hAnsi="Arial" w:cs="Arial"/>
          <w:b/>
          <w:bCs/>
          <w:sz w:val="20"/>
          <w:szCs w:val="20"/>
          <w:u w:val="single"/>
        </w:rPr>
        <w:t>R</w:t>
      </w:r>
      <w:r w:rsidRPr="00D750B3">
        <w:rPr>
          <w:rFonts w:ascii="Arial" w:hAnsi="Arial" w:cs="Arial"/>
          <w:b/>
          <w:bCs/>
          <w:sz w:val="20"/>
          <w:szCs w:val="20"/>
        </w:rPr>
        <w:t xml:space="preserve">heumatic diseases and </w:t>
      </w:r>
      <w:r w:rsidRPr="00D750B3">
        <w:rPr>
          <w:rFonts w:ascii="Arial" w:hAnsi="Arial" w:cs="Arial"/>
          <w:b/>
          <w:bCs/>
          <w:sz w:val="20"/>
          <w:szCs w:val="20"/>
          <w:u w:val="single"/>
        </w:rPr>
        <w:t>L</w:t>
      </w:r>
      <w:r w:rsidRPr="00D750B3">
        <w:rPr>
          <w:rFonts w:ascii="Arial" w:hAnsi="Arial" w:cs="Arial"/>
          <w:b/>
          <w:bCs/>
          <w:sz w:val="20"/>
          <w:szCs w:val="20"/>
        </w:rPr>
        <w:t>upus (TWIRL) Study</w:t>
      </w:r>
    </w:p>
    <w:p w14:paraId="6F83CEFF" w14:textId="64BBAE03" w:rsidR="00C54C0B" w:rsidRDefault="00C54C0B" w:rsidP="00912D1E">
      <w:pPr>
        <w:pStyle w:val="NormalWeb"/>
        <w:rPr>
          <w:rFonts w:ascii="Arial" w:hAnsi="Arial" w:cs="Arial"/>
          <w:b/>
          <w:bCs/>
          <w:sz w:val="20"/>
          <w:szCs w:val="20"/>
        </w:rPr>
      </w:pPr>
      <w:r>
        <w:rPr>
          <w:rFonts w:ascii="Arial" w:hAnsi="Arial" w:cs="Arial"/>
          <w:b/>
          <w:bCs/>
          <w:sz w:val="20"/>
          <w:szCs w:val="20"/>
        </w:rPr>
        <w:t>Coordinating principal investigator: A/Prof Alberta Hoi</w:t>
      </w:r>
    </w:p>
    <w:p w14:paraId="64ED2A4A" w14:textId="77777777" w:rsidR="004E6B06" w:rsidRDefault="004E6B06" w:rsidP="004E6B06">
      <w:pPr>
        <w:pStyle w:val="NormalWeb"/>
        <w:rPr>
          <w:rFonts w:ascii="Arial" w:hAnsi="Arial" w:cs="Arial"/>
          <w:b/>
          <w:bCs/>
          <w:sz w:val="20"/>
          <w:szCs w:val="20"/>
        </w:rPr>
      </w:pPr>
      <w:r>
        <w:rPr>
          <w:rFonts w:ascii="Arial" w:hAnsi="Arial" w:cs="Arial"/>
          <w:b/>
          <w:bCs/>
          <w:sz w:val="20"/>
          <w:szCs w:val="20"/>
        </w:rPr>
        <w:t>Co-Investigators:</w:t>
      </w:r>
    </w:p>
    <w:p w14:paraId="2FFCEEFD" w14:textId="0140D937" w:rsidR="004E6B06" w:rsidRDefault="004E6B06" w:rsidP="004E6B06">
      <w:pPr>
        <w:pStyle w:val="NormalWeb"/>
        <w:rPr>
          <w:rFonts w:ascii="Arial" w:hAnsi="Arial" w:cs="Arial"/>
          <w:sz w:val="20"/>
          <w:szCs w:val="20"/>
        </w:rPr>
      </w:pPr>
      <w:r w:rsidRPr="00F47A5C">
        <w:rPr>
          <w:rFonts w:ascii="Arial" w:hAnsi="Arial" w:cs="Arial"/>
          <w:sz w:val="20"/>
          <w:szCs w:val="20"/>
        </w:rPr>
        <w:t>A/Prof Ian Woolley</w:t>
      </w:r>
    </w:p>
    <w:p w14:paraId="2FD9BBF8" w14:textId="3B1EE28C" w:rsidR="004E6B06" w:rsidRPr="00F47A5C" w:rsidRDefault="004E6B06" w:rsidP="004E6B06">
      <w:pPr>
        <w:pStyle w:val="NormalWeb"/>
        <w:rPr>
          <w:rFonts w:ascii="Arial" w:hAnsi="Arial" w:cs="Arial"/>
          <w:sz w:val="20"/>
          <w:szCs w:val="20"/>
        </w:rPr>
      </w:pPr>
      <w:r>
        <w:rPr>
          <w:rFonts w:ascii="Arial" w:hAnsi="Arial" w:cs="Arial"/>
          <w:sz w:val="20"/>
          <w:szCs w:val="20"/>
        </w:rPr>
        <w:t>Dr Gabriela Khoury</w:t>
      </w:r>
    </w:p>
    <w:p w14:paraId="1569272B" w14:textId="77777777" w:rsidR="004E6B06" w:rsidRPr="00F47A5C" w:rsidRDefault="004E6B06" w:rsidP="004E6B06">
      <w:pPr>
        <w:pStyle w:val="NormalWeb"/>
        <w:rPr>
          <w:rFonts w:ascii="Arial" w:hAnsi="Arial" w:cs="Arial"/>
          <w:sz w:val="20"/>
          <w:szCs w:val="20"/>
        </w:rPr>
      </w:pPr>
      <w:r w:rsidRPr="00F47A5C">
        <w:rPr>
          <w:rFonts w:ascii="Arial" w:hAnsi="Arial" w:cs="Arial"/>
          <w:sz w:val="20"/>
          <w:szCs w:val="20"/>
        </w:rPr>
        <w:t>A/Prof Claire Dendle</w:t>
      </w:r>
    </w:p>
    <w:p w14:paraId="0F0F9C55" w14:textId="604AC220" w:rsidR="004E6B06" w:rsidRDefault="004E6B06" w:rsidP="00912D1E">
      <w:pPr>
        <w:pStyle w:val="NormalWeb"/>
        <w:rPr>
          <w:rFonts w:ascii="Arial" w:hAnsi="Arial" w:cs="Arial"/>
          <w:b/>
          <w:bCs/>
          <w:sz w:val="20"/>
          <w:szCs w:val="20"/>
        </w:rPr>
      </w:pPr>
      <w:r>
        <w:rPr>
          <w:rFonts w:ascii="Arial" w:hAnsi="Arial" w:cs="Arial"/>
          <w:b/>
          <w:bCs/>
          <w:sz w:val="20"/>
          <w:szCs w:val="20"/>
        </w:rPr>
        <w:t>Associate investigators:</w:t>
      </w:r>
    </w:p>
    <w:p w14:paraId="2F0634BF" w14:textId="2B34F762" w:rsidR="004E6B06" w:rsidRPr="004E6B06" w:rsidRDefault="004E6B06" w:rsidP="00912D1E">
      <w:pPr>
        <w:pStyle w:val="NormalWeb"/>
        <w:rPr>
          <w:rFonts w:ascii="Arial" w:hAnsi="Arial" w:cs="Arial"/>
          <w:sz w:val="20"/>
          <w:szCs w:val="20"/>
        </w:rPr>
      </w:pPr>
      <w:r w:rsidRPr="004E6B06">
        <w:rPr>
          <w:rFonts w:ascii="Arial" w:hAnsi="Arial" w:cs="Arial"/>
          <w:sz w:val="20"/>
          <w:szCs w:val="20"/>
        </w:rPr>
        <w:t>Prof Eric Morand</w:t>
      </w:r>
    </w:p>
    <w:p w14:paraId="2A032353" w14:textId="6931FBC2" w:rsidR="004E6B06" w:rsidRPr="004E6B06" w:rsidRDefault="004E6B06" w:rsidP="00912D1E">
      <w:pPr>
        <w:pStyle w:val="NormalWeb"/>
        <w:rPr>
          <w:rFonts w:ascii="Arial" w:hAnsi="Arial" w:cs="Arial"/>
          <w:sz w:val="20"/>
          <w:szCs w:val="20"/>
        </w:rPr>
      </w:pPr>
      <w:r w:rsidRPr="004E6B06">
        <w:rPr>
          <w:rFonts w:ascii="Arial" w:hAnsi="Arial" w:cs="Arial"/>
          <w:sz w:val="20"/>
          <w:szCs w:val="20"/>
        </w:rPr>
        <w:t>A/Prof Vera Golder</w:t>
      </w:r>
    </w:p>
    <w:p w14:paraId="3D942E59" w14:textId="7A1EED7B" w:rsidR="004E6B06" w:rsidRPr="004E6B06" w:rsidRDefault="004E6B06" w:rsidP="00912D1E">
      <w:pPr>
        <w:pStyle w:val="NormalWeb"/>
        <w:rPr>
          <w:rFonts w:ascii="Arial" w:hAnsi="Arial" w:cs="Arial"/>
          <w:sz w:val="20"/>
          <w:szCs w:val="20"/>
        </w:rPr>
      </w:pPr>
      <w:r w:rsidRPr="004E6B06">
        <w:rPr>
          <w:rFonts w:ascii="Arial" w:hAnsi="Arial" w:cs="Arial"/>
          <w:sz w:val="20"/>
          <w:szCs w:val="20"/>
        </w:rPr>
        <w:t>Dr Kathryn Connelly</w:t>
      </w:r>
    </w:p>
    <w:p w14:paraId="0F89705D" w14:textId="686E12E3" w:rsidR="004E6B06" w:rsidRDefault="004E6B06" w:rsidP="00912D1E">
      <w:pPr>
        <w:pStyle w:val="NormalWeb"/>
        <w:rPr>
          <w:rFonts w:ascii="Arial" w:hAnsi="Arial" w:cs="Arial"/>
          <w:sz w:val="20"/>
          <w:szCs w:val="20"/>
        </w:rPr>
      </w:pPr>
      <w:r w:rsidRPr="004E6B06">
        <w:rPr>
          <w:rFonts w:ascii="Arial" w:hAnsi="Arial" w:cs="Arial"/>
          <w:sz w:val="20"/>
          <w:szCs w:val="20"/>
        </w:rPr>
        <w:t>Dr Laura Eades</w:t>
      </w:r>
    </w:p>
    <w:p w14:paraId="61D77F28" w14:textId="1534100A" w:rsidR="004E6B06" w:rsidRPr="004910A4" w:rsidRDefault="00F10E3C" w:rsidP="00912D1E">
      <w:pPr>
        <w:pStyle w:val="NormalWeb"/>
        <w:rPr>
          <w:rFonts w:ascii="Arial" w:hAnsi="Arial" w:cs="Arial"/>
          <w:sz w:val="20"/>
          <w:szCs w:val="20"/>
        </w:rPr>
      </w:pPr>
      <w:r w:rsidRPr="004910A4">
        <w:rPr>
          <w:rFonts w:ascii="Arial" w:hAnsi="Arial" w:cs="Arial"/>
          <w:sz w:val="20"/>
          <w:szCs w:val="20"/>
        </w:rPr>
        <w:t>Dr Kristy Yap</w:t>
      </w:r>
    </w:p>
    <w:p w14:paraId="37E45DC7" w14:textId="584A2737" w:rsidR="00F10E3C" w:rsidRPr="004910A4" w:rsidRDefault="00F10E3C" w:rsidP="00912D1E">
      <w:pPr>
        <w:pStyle w:val="NormalWeb"/>
        <w:rPr>
          <w:rFonts w:ascii="Arial" w:hAnsi="Arial" w:cs="Arial"/>
          <w:sz w:val="20"/>
          <w:szCs w:val="20"/>
        </w:rPr>
      </w:pPr>
      <w:r w:rsidRPr="004910A4">
        <w:rPr>
          <w:rFonts w:ascii="Arial" w:hAnsi="Arial" w:cs="Arial"/>
          <w:sz w:val="20"/>
          <w:szCs w:val="20"/>
        </w:rPr>
        <w:t xml:space="preserve">Dr </w:t>
      </w:r>
      <w:proofErr w:type="spellStart"/>
      <w:r w:rsidRPr="004910A4">
        <w:rPr>
          <w:rFonts w:ascii="Arial" w:hAnsi="Arial" w:cs="Arial"/>
          <w:sz w:val="20"/>
          <w:szCs w:val="20"/>
        </w:rPr>
        <w:t>Raychel</w:t>
      </w:r>
      <w:proofErr w:type="spellEnd"/>
      <w:r w:rsidRPr="004910A4">
        <w:rPr>
          <w:rFonts w:ascii="Arial" w:hAnsi="Arial" w:cs="Arial"/>
          <w:sz w:val="20"/>
          <w:szCs w:val="20"/>
        </w:rPr>
        <w:t xml:space="preserve"> </w:t>
      </w:r>
      <w:proofErr w:type="spellStart"/>
      <w:r w:rsidRPr="004910A4">
        <w:rPr>
          <w:rFonts w:ascii="Arial" w:hAnsi="Arial" w:cs="Arial"/>
          <w:sz w:val="20"/>
          <w:szCs w:val="20"/>
        </w:rPr>
        <w:t>Barallon</w:t>
      </w:r>
      <w:proofErr w:type="spellEnd"/>
    </w:p>
    <w:p w14:paraId="01D52AFF" w14:textId="56740913" w:rsidR="00F10E3C" w:rsidRPr="004E6B06" w:rsidRDefault="00F10E3C" w:rsidP="00912D1E">
      <w:pPr>
        <w:pStyle w:val="NormalWeb"/>
        <w:rPr>
          <w:rFonts w:ascii="Arial" w:hAnsi="Arial" w:cs="Arial"/>
          <w:sz w:val="20"/>
          <w:szCs w:val="20"/>
        </w:rPr>
      </w:pPr>
      <w:r w:rsidRPr="004910A4">
        <w:rPr>
          <w:rFonts w:ascii="Arial" w:hAnsi="Arial" w:cs="Arial"/>
          <w:sz w:val="20"/>
          <w:szCs w:val="20"/>
        </w:rPr>
        <w:t>Miss Celine Shi</w:t>
      </w:r>
    </w:p>
    <w:p w14:paraId="3D3CD91D" w14:textId="65C2B6FE" w:rsidR="00C54C0B" w:rsidRDefault="00AC490B" w:rsidP="00912D1E">
      <w:pPr>
        <w:pStyle w:val="NormalWeb"/>
        <w:rPr>
          <w:rFonts w:ascii="Arial" w:hAnsi="Arial" w:cs="Arial"/>
          <w:b/>
          <w:bCs/>
          <w:sz w:val="20"/>
          <w:szCs w:val="20"/>
        </w:rPr>
      </w:pPr>
      <w:r>
        <w:rPr>
          <w:rFonts w:ascii="Arial" w:hAnsi="Arial" w:cs="Arial"/>
          <w:b/>
          <w:bCs/>
          <w:sz w:val="20"/>
          <w:szCs w:val="20"/>
        </w:rPr>
        <w:t>Single-site</w:t>
      </w:r>
      <w:r w:rsidR="004E6B06">
        <w:rPr>
          <w:rFonts w:ascii="Arial" w:hAnsi="Arial" w:cs="Arial"/>
          <w:b/>
          <w:bCs/>
          <w:sz w:val="20"/>
          <w:szCs w:val="20"/>
        </w:rPr>
        <w:t xml:space="preserve"> study </w:t>
      </w:r>
      <w:r>
        <w:rPr>
          <w:rFonts w:ascii="Arial" w:hAnsi="Arial" w:cs="Arial"/>
          <w:b/>
          <w:bCs/>
          <w:sz w:val="20"/>
          <w:szCs w:val="20"/>
        </w:rPr>
        <w:t>at</w:t>
      </w:r>
      <w:r w:rsidR="004E6B06">
        <w:rPr>
          <w:rFonts w:ascii="Arial" w:hAnsi="Arial" w:cs="Arial"/>
          <w:b/>
          <w:bCs/>
          <w:sz w:val="20"/>
          <w:szCs w:val="20"/>
        </w:rPr>
        <w:t xml:space="preserve"> Monash Health </w:t>
      </w:r>
    </w:p>
    <w:p w14:paraId="6D15DBD8" w14:textId="0965922D" w:rsidR="00C54C0B" w:rsidRDefault="00C54C0B" w:rsidP="00912D1E">
      <w:pPr>
        <w:pStyle w:val="NormalWeb"/>
        <w:rPr>
          <w:rFonts w:ascii="Arial" w:hAnsi="Arial" w:cs="Arial"/>
          <w:b/>
          <w:bCs/>
          <w:sz w:val="20"/>
          <w:szCs w:val="20"/>
        </w:rPr>
      </w:pPr>
      <w:r>
        <w:rPr>
          <w:rFonts w:ascii="Arial" w:hAnsi="Arial" w:cs="Arial"/>
          <w:b/>
          <w:bCs/>
          <w:sz w:val="20"/>
          <w:szCs w:val="20"/>
        </w:rPr>
        <w:t xml:space="preserve">Version </w:t>
      </w:r>
      <w:r w:rsidR="00F10E3C">
        <w:rPr>
          <w:rFonts w:ascii="Arial" w:hAnsi="Arial" w:cs="Arial"/>
          <w:b/>
          <w:bCs/>
          <w:sz w:val="20"/>
          <w:szCs w:val="20"/>
        </w:rPr>
        <w:t>6</w:t>
      </w:r>
      <w:r w:rsidR="00537F66">
        <w:rPr>
          <w:rFonts w:ascii="Arial" w:hAnsi="Arial" w:cs="Arial"/>
          <w:b/>
          <w:bCs/>
          <w:sz w:val="20"/>
          <w:szCs w:val="20"/>
        </w:rPr>
        <w:t>.0</w:t>
      </w:r>
    </w:p>
    <w:p w14:paraId="2436DCF4" w14:textId="4AA8C4C1" w:rsidR="00C54C0B" w:rsidRDefault="00C54C0B" w:rsidP="00912D1E">
      <w:pPr>
        <w:pStyle w:val="NormalWeb"/>
        <w:rPr>
          <w:rFonts w:ascii="Arial" w:hAnsi="Arial" w:cs="Arial"/>
          <w:b/>
          <w:bCs/>
          <w:sz w:val="20"/>
          <w:szCs w:val="20"/>
        </w:rPr>
      </w:pPr>
      <w:r>
        <w:rPr>
          <w:rFonts w:ascii="Arial" w:hAnsi="Arial" w:cs="Arial"/>
          <w:b/>
          <w:bCs/>
          <w:sz w:val="20"/>
          <w:szCs w:val="20"/>
        </w:rPr>
        <w:t xml:space="preserve">Date </w:t>
      </w:r>
      <w:r w:rsidR="00F10E3C">
        <w:rPr>
          <w:rFonts w:ascii="Arial" w:hAnsi="Arial" w:cs="Arial"/>
          <w:b/>
          <w:bCs/>
          <w:sz w:val="20"/>
          <w:szCs w:val="20"/>
        </w:rPr>
        <w:t>30</w:t>
      </w:r>
      <w:r w:rsidR="00F10E3C" w:rsidRPr="00BB4E07">
        <w:rPr>
          <w:rFonts w:ascii="Arial" w:hAnsi="Arial" w:cs="Arial"/>
          <w:b/>
          <w:bCs/>
          <w:sz w:val="20"/>
          <w:szCs w:val="20"/>
          <w:vertAlign w:val="superscript"/>
        </w:rPr>
        <w:t>th</w:t>
      </w:r>
      <w:r w:rsidR="00F10E3C">
        <w:rPr>
          <w:rFonts w:ascii="Arial" w:hAnsi="Arial" w:cs="Arial"/>
          <w:b/>
          <w:bCs/>
          <w:sz w:val="20"/>
          <w:szCs w:val="20"/>
        </w:rPr>
        <w:t xml:space="preserve"> October 2023</w:t>
      </w:r>
    </w:p>
    <w:p w14:paraId="23B418B3" w14:textId="4F245428" w:rsidR="00C54C0B" w:rsidRDefault="00C54C0B">
      <w:pPr>
        <w:rPr>
          <w:rFonts w:ascii="Arial" w:eastAsia="Times New Roman" w:hAnsi="Arial" w:cs="Arial"/>
          <w:b/>
          <w:bCs/>
          <w:sz w:val="20"/>
          <w:szCs w:val="20"/>
        </w:rPr>
      </w:pPr>
      <w:r>
        <w:rPr>
          <w:rFonts w:ascii="Arial" w:hAnsi="Arial" w:cs="Arial"/>
          <w:b/>
          <w:bCs/>
          <w:sz w:val="20"/>
          <w:szCs w:val="20"/>
        </w:rPr>
        <w:br w:type="page"/>
      </w:r>
    </w:p>
    <w:sdt>
      <w:sdtPr>
        <w:rPr>
          <w:rFonts w:asciiTheme="minorHAnsi" w:eastAsiaTheme="minorEastAsia" w:hAnsiTheme="minorHAnsi" w:cstheme="minorBidi"/>
          <w:b w:val="0"/>
          <w:bCs w:val="0"/>
          <w:color w:val="auto"/>
          <w:sz w:val="24"/>
          <w:szCs w:val="24"/>
          <w:lang w:val="en-AU" w:eastAsia="zh-TW"/>
        </w:rPr>
        <w:id w:val="1745214275"/>
        <w:docPartObj>
          <w:docPartGallery w:val="Table of Contents"/>
          <w:docPartUnique/>
        </w:docPartObj>
      </w:sdtPr>
      <w:sdtEndPr>
        <w:rPr>
          <w:noProof/>
        </w:rPr>
      </w:sdtEndPr>
      <w:sdtContent>
        <w:p w14:paraId="17696AB5" w14:textId="1FB669BB" w:rsidR="00A566AD" w:rsidRDefault="00A566AD">
          <w:pPr>
            <w:pStyle w:val="TOCHeading"/>
          </w:pPr>
          <w:r>
            <w:t>Table of Contents</w:t>
          </w:r>
        </w:p>
        <w:p w14:paraId="3D887C0E" w14:textId="33377700" w:rsidR="00A566AD" w:rsidRDefault="00A566AD">
          <w:pPr>
            <w:pStyle w:val="TOC1"/>
            <w:tabs>
              <w:tab w:val="right" w:leader="dot" w:pos="9016"/>
            </w:tabs>
            <w:rPr>
              <w:rFonts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17626653" w:history="1">
            <w:r w:rsidRPr="00C24C8D">
              <w:rPr>
                <w:rStyle w:val="Hyperlink"/>
                <w:noProof/>
              </w:rPr>
              <w:t>1.0 Summary of proposal</w:t>
            </w:r>
            <w:r>
              <w:rPr>
                <w:noProof/>
                <w:webHidden/>
              </w:rPr>
              <w:tab/>
            </w:r>
            <w:r>
              <w:rPr>
                <w:noProof/>
                <w:webHidden/>
              </w:rPr>
              <w:fldChar w:fldCharType="begin"/>
            </w:r>
            <w:r>
              <w:rPr>
                <w:noProof/>
                <w:webHidden/>
              </w:rPr>
              <w:instrText xml:space="preserve"> PAGEREF _Toc117626653 \h </w:instrText>
            </w:r>
            <w:r>
              <w:rPr>
                <w:noProof/>
                <w:webHidden/>
              </w:rPr>
            </w:r>
            <w:r>
              <w:rPr>
                <w:noProof/>
                <w:webHidden/>
              </w:rPr>
              <w:fldChar w:fldCharType="separate"/>
            </w:r>
            <w:r w:rsidR="00537F66">
              <w:rPr>
                <w:noProof/>
                <w:webHidden/>
              </w:rPr>
              <w:t>3</w:t>
            </w:r>
            <w:r>
              <w:rPr>
                <w:noProof/>
                <w:webHidden/>
              </w:rPr>
              <w:fldChar w:fldCharType="end"/>
            </w:r>
          </w:hyperlink>
        </w:p>
        <w:p w14:paraId="380BFA94" w14:textId="401B71A5" w:rsidR="00A566AD" w:rsidRDefault="00BB4E07">
          <w:pPr>
            <w:pStyle w:val="TOC1"/>
            <w:tabs>
              <w:tab w:val="right" w:leader="dot" w:pos="9016"/>
            </w:tabs>
            <w:rPr>
              <w:rFonts w:cstheme="minorBidi"/>
              <w:b w:val="0"/>
              <w:bCs w:val="0"/>
              <w:i w:val="0"/>
              <w:iCs w:val="0"/>
              <w:noProof/>
            </w:rPr>
          </w:pPr>
          <w:hyperlink w:anchor="_Toc117626654" w:history="1">
            <w:r w:rsidR="00A566AD" w:rsidRPr="00C24C8D">
              <w:rPr>
                <w:rStyle w:val="Hyperlink"/>
                <w:noProof/>
              </w:rPr>
              <w:t>2.0 Project Outline</w:t>
            </w:r>
            <w:r w:rsidR="00A566AD">
              <w:rPr>
                <w:noProof/>
                <w:webHidden/>
              </w:rPr>
              <w:tab/>
            </w:r>
            <w:r w:rsidR="00A566AD">
              <w:rPr>
                <w:noProof/>
                <w:webHidden/>
              </w:rPr>
              <w:fldChar w:fldCharType="begin"/>
            </w:r>
            <w:r w:rsidR="00A566AD">
              <w:rPr>
                <w:noProof/>
                <w:webHidden/>
              </w:rPr>
              <w:instrText xml:space="preserve"> PAGEREF _Toc117626654 \h </w:instrText>
            </w:r>
            <w:r w:rsidR="00A566AD">
              <w:rPr>
                <w:noProof/>
                <w:webHidden/>
              </w:rPr>
            </w:r>
            <w:r w:rsidR="00A566AD">
              <w:rPr>
                <w:noProof/>
                <w:webHidden/>
              </w:rPr>
              <w:fldChar w:fldCharType="separate"/>
            </w:r>
            <w:r w:rsidR="00537F66">
              <w:rPr>
                <w:noProof/>
                <w:webHidden/>
              </w:rPr>
              <w:t>3</w:t>
            </w:r>
            <w:r w:rsidR="00A566AD">
              <w:rPr>
                <w:noProof/>
                <w:webHidden/>
              </w:rPr>
              <w:fldChar w:fldCharType="end"/>
            </w:r>
          </w:hyperlink>
        </w:p>
        <w:p w14:paraId="3E98E345" w14:textId="787D44A4" w:rsidR="00A566AD" w:rsidRDefault="00BB4E07">
          <w:pPr>
            <w:pStyle w:val="TOC2"/>
            <w:tabs>
              <w:tab w:val="right" w:leader="dot" w:pos="9016"/>
            </w:tabs>
            <w:rPr>
              <w:rFonts w:cstheme="minorBidi"/>
              <w:b w:val="0"/>
              <w:bCs w:val="0"/>
              <w:noProof/>
              <w:sz w:val="24"/>
              <w:szCs w:val="24"/>
            </w:rPr>
          </w:pPr>
          <w:hyperlink w:anchor="_Toc117626655" w:history="1">
            <w:r w:rsidR="00A566AD" w:rsidRPr="00C24C8D">
              <w:rPr>
                <w:rStyle w:val="Hyperlink"/>
                <w:noProof/>
              </w:rPr>
              <w:t>2.1 Background</w:t>
            </w:r>
            <w:r w:rsidR="00A566AD">
              <w:rPr>
                <w:noProof/>
                <w:webHidden/>
              </w:rPr>
              <w:tab/>
            </w:r>
            <w:r w:rsidR="00A566AD">
              <w:rPr>
                <w:noProof/>
                <w:webHidden/>
              </w:rPr>
              <w:fldChar w:fldCharType="begin"/>
            </w:r>
            <w:r w:rsidR="00A566AD">
              <w:rPr>
                <w:noProof/>
                <w:webHidden/>
              </w:rPr>
              <w:instrText xml:space="preserve"> PAGEREF _Toc117626655 \h </w:instrText>
            </w:r>
            <w:r w:rsidR="00A566AD">
              <w:rPr>
                <w:noProof/>
                <w:webHidden/>
              </w:rPr>
            </w:r>
            <w:r w:rsidR="00A566AD">
              <w:rPr>
                <w:noProof/>
                <w:webHidden/>
              </w:rPr>
              <w:fldChar w:fldCharType="separate"/>
            </w:r>
            <w:r w:rsidR="00537F66">
              <w:rPr>
                <w:noProof/>
                <w:webHidden/>
              </w:rPr>
              <w:t>3</w:t>
            </w:r>
            <w:r w:rsidR="00A566AD">
              <w:rPr>
                <w:noProof/>
                <w:webHidden/>
              </w:rPr>
              <w:fldChar w:fldCharType="end"/>
            </w:r>
          </w:hyperlink>
        </w:p>
        <w:p w14:paraId="0A53B04D" w14:textId="1330E2E3" w:rsidR="00A566AD" w:rsidRDefault="00BB4E07">
          <w:pPr>
            <w:pStyle w:val="TOC2"/>
            <w:tabs>
              <w:tab w:val="right" w:leader="dot" w:pos="9016"/>
            </w:tabs>
            <w:rPr>
              <w:rFonts w:cstheme="minorBidi"/>
              <w:b w:val="0"/>
              <w:bCs w:val="0"/>
              <w:noProof/>
              <w:sz w:val="24"/>
              <w:szCs w:val="24"/>
            </w:rPr>
          </w:pPr>
          <w:hyperlink w:anchor="_Toc117626656" w:history="1">
            <w:r w:rsidR="00A566AD" w:rsidRPr="00C24C8D">
              <w:rPr>
                <w:rStyle w:val="Hyperlink"/>
                <w:noProof/>
              </w:rPr>
              <w:t>2.2 Objective</w:t>
            </w:r>
            <w:r w:rsidR="00A566AD">
              <w:rPr>
                <w:noProof/>
                <w:webHidden/>
              </w:rPr>
              <w:tab/>
            </w:r>
            <w:r w:rsidR="00A566AD">
              <w:rPr>
                <w:noProof/>
                <w:webHidden/>
              </w:rPr>
              <w:fldChar w:fldCharType="begin"/>
            </w:r>
            <w:r w:rsidR="00A566AD">
              <w:rPr>
                <w:noProof/>
                <w:webHidden/>
              </w:rPr>
              <w:instrText xml:space="preserve"> PAGEREF _Toc117626656 \h </w:instrText>
            </w:r>
            <w:r w:rsidR="00A566AD">
              <w:rPr>
                <w:noProof/>
                <w:webHidden/>
              </w:rPr>
            </w:r>
            <w:r w:rsidR="00A566AD">
              <w:rPr>
                <w:noProof/>
                <w:webHidden/>
              </w:rPr>
              <w:fldChar w:fldCharType="separate"/>
            </w:r>
            <w:r w:rsidR="00537F66">
              <w:rPr>
                <w:noProof/>
                <w:webHidden/>
              </w:rPr>
              <w:t>3</w:t>
            </w:r>
            <w:r w:rsidR="00A566AD">
              <w:rPr>
                <w:noProof/>
                <w:webHidden/>
              </w:rPr>
              <w:fldChar w:fldCharType="end"/>
            </w:r>
          </w:hyperlink>
        </w:p>
        <w:p w14:paraId="479F3278" w14:textId="5236250C" w:rsidR="00A566AD" w:rsidRDefault="00BB4E07">
          <w:pPr>
            <w:pStyle w:val="TOC2"/>
            <w:tabs>
              <w:tab w:val="right" w:leader="dot" w:pos="9016"/>
            </w:tabs>
            <w:rPr>
              <w:rFonts w:cstheme="minorBidi"/>
              <w:b w:val="0"/>
              <w:bCs w:val="0"/>
              <w:noProof/>
              <w:sz w:val="24"/>
              <w:szCs w:val="24"/>
            </w:rPr>
          </w:pPr>
          <w:hyperlink w:anchor="_Toc117626657" w:history="1">
            <w:r w:rsidR="00A566AD" w:rsidRPr="00C24C8D">
              <w:rPr>
                <w:rStyle w:val="Hyperlink"/>
                <w:noProof/>
              </w:rPr>
              <w:t>2.3 Methodology</w:t>
            </w:r>
            <w:r w:rsidR="00A566AD">
              <w:rPr>
                <w:noProof/>
                <w:webHidden/>
              </w:rPr>
              <w:tab/>
            </w:r>
            <w:r w:rsidR="00A566AD">
              <w:rPr>
                <w:noProof/>
                <w:webHidden/>
              </w:rPr>
              <w:fldChar w:fldCharType="begin"/>
            </w:r>
            <w:r w:rsidR="00A566AD">
              <w:rPr>
                <w:noProof/>
                <w:webHidden/>
              </w:rPr>
              <w:instrText xml:space="preserve"> PAGEREF _Toc117626657 \h </w:instrText>
            </w:r>
            <w:r w:rsidR="00A566AD">
              <w:rPr>
                <w:noProof/>
                <w:webHidden/>
              </w:rPr>
            </w:r>
            <w:r w:rsidR="00A566AD">
              <w:rPr>
                <w:noProof/>
                <w:webHidden/>
              </w:rPr>
              <w:fldChar w:fldCharType="separate"/>
            </w:r>
            <w:r w:rsidR="00537F66">
              <w:rPr>
                <w:noProof/>
                <w:webHidden/>
              </w:rPr>
              <w:t>3</w:t>
            </w:r>
            <w:r w:rsidR="00A566AD">
              <w:rPr>
                <w:noProof/>
                <w:webHidden/>
              </w:rPr>
              <w:fldChar w:fldCharType="end"/>
            </w:r>
          </w:hyperlink>
        </w:p>
        <w:p w14:paraId="415FFDC9" w14:textId="6C1C3EA5" w:rsidR="00A566AD" w:rsidRDefault="00BB4E07">
          <w:pPr>
            <w:pStyle w:val="TOC3"/>
            <w:tabs>
              <w:tab w:val="right" w:leader="dot" w:pos="9016"/>
            </w:tabs>
            <w:rPr>
              <w:rFonts w:cstheme="minorBidi"/>
              <w:noProof/>
              <w:sz w:val="24"/>
              <w:szCs w:val="24"/>
            </w:rPr>
          </w:pPr>
          <w:hyperlink w:anchor="_Toc117626658" w:history="1">
            <w:r w:rsidR="00A566AD" w:rsidRPr="00C24C8D">
              <w:rPr>
                <w:rStyle w:val="Hyperlink"/>
                <w:noProof/>
              </w:rPr>
              <w:t>2.3.1 Study Design</w:t>
            </w:r>
            <w:r w:rsidR="00A566AD">
              <w:rPr>
                <w:noProof/>
                <w:webHidden/>
              </w:rPr>
              <w:tab/>
            </w:r>
            <w:r w:rsidR="00A566AD">
              <w:rPr>
                <w:noProof/>
                <w:webHidden/>
              </w:rPr>
              <w:fldChar w:fldCharType="begin"/>
            </w:r>
            <w:r w:rsidR="00A566AD">
              <w:rPr>
                <w:noProof/>
                <w:webHidden/>
              </w:rPr>
              <w:instrText xml:space="preserve"> PAGEREF _Toc117626658 \h </w:instrText>
            </w:r>
            <w:r w:rsidR="00A566AD">
              <w:rPr>
                <w:noProof/>
                <w:webHidden/>
              </w:rPr>
            </w:r>
            <w:r w:rsidR="00A566AD">
              <w:rPr>
                <w:noProof/>
                <w:webHidden/>
              </w:rPr>
              <w:fldChar w:fldCharType="separate"/>
            </w:r>
            <w:r w:rsidR="00537F66">
              <w:rPr>
                <w:noProof/>
                <w:webHidden/>
              </w:rPr>
              <w:t>3</w:t>
            </w:r>
            <w:r w:rsidR="00A566AD">
              <w:rPr>
                <w:noProof/>
                <w:webHidden/>
              </w:rPr>
              <w:fldChar w:fldCharType="end"/>
            </w:r>
          </w:hyperlink>
        </w:p>
        <w:p w14:paraId="1A97D9D8" w14:textId="5B1EC4C1" w:rsidR="00A566AD" w:rsidRDefault="00BB4E07">
          <w:pPr>
            <w:pStyle w:val="TOC3"/>
            <w:tabs>
              <w:tab w:val="right" w:leader="dot" w:pos="9016"/>
            </w:tabs>
            <w:rPr>
              <w:rFonts w:cstheme="minorBidi"/>
              <w:noProof/>
              <w:sz w:val="24"/>
              <w:szCs w:val="24"/>
            </w:rPr>
          </w:pPr>
          <w:hyperlink w:anchor="_Toc117626659" w:history="1">
            <w:r w:rsidR="00A566AD" w:rsidRPr="00C24C8D">
              <w:rPr>
                <w:rStyle w:val="Hyperlink"/>
                <w:noProof/>
              </w:rPr>
              <w:t>2.3.2 Recruitment</w:t>
            </w:r>
            <w:r w:rsidR="00A566AD">
              <w:rPr>
                <w:noProof/>
                <w:webHidden/>
              </w:rPr>
              <w:tab/>
            </w:r>
            <w:r w:rsidR="00A566AD">
              <w:rPr>
                <w:noProof/>
                <w:webHidden/>
              </w:rPr>
              <w:fldChar w:fldCharType="begin"/>
            </w:r>
            <w:r w:rsidR="00A566AD">
              <w:rPr>
                <w:noProof/>
                <w:webHidden/>
              </w:rPr>
              <w:instrText xml:space="preserve"> PAGEREF _Toc117626659 \h </w:instrText>
            </w:r>
            <w:r w:rsidR="00A566AD">
              <w:rPr>
                <w:noProof/>
                <w:webHidden/>
              </w:rPr>
            </w:r>
            <w:r w:rsidR="00A566AD">
              <w:rPr>
                <w:noProof/>
                <w:webHidden/>
              </w:rPr>
              <w:fldChar w:fldCharType="separate"/>
            </w:r>
            <w:r w:rsidR="00537F66">
              <w:rPr>
                <w:noProof/>
                <w:webHidden/>
              </w:rPr>
              <w:t>4</w:t>
            </w:r>
            <w:r w:rsidR="00A566AD">
              <w:rPr>
                <w:noProof/>
                <w:webHidden/>
              </w:rPr>
              <w:fldChar w:fldCharType="end"/>
            </w:r>
          </w:hyperlink>
        </w:p>
        <w:p w14:paraId="4E8CF46E" w14:textId="5E71BE43" w:rsidR="00A566AD" w:rsidRDefault="00BB4E07">
          <w:pPr>
            <w:pStyle w:val="TOC3"/>
            <w:tabs>
              <w:tab w:val="right" w:leader="dot" w:pos="9016"/>
            </w:tabs>
            <w:rPr>
              <w:rFonts w:cstheme="minorBidi"/>
              <w:noProof/>
              <w:sz w:val="24"/>
              <w:szCs w:val="24"/>
            </w:rPr>
          </w:pPr>
          <w:hyperlink w:anchor="_Toc117626660" w:history="1">
            <w:r w:rsidR="00A566AD" w:rsidRPr="00C24C8D">
              <w:rPr>
                <w:rStyle w:val="Hyperlink"/>
                <w:noProof/>
              </w:rPr>
              <w:t>2.3.3 Inclusion criteria</w:t>
            </w:r>
            <w:r w:rsidR="00A566AD">
              <w:rPr>
                <w:noProof/>
                <w:webHidden/>
              </w:rPr>
              <w:tab/>
            </w:r>
            <w:r w:rsidR="00A566AD">
              <w:rPr>
                <w:noProof/>
                <w:webHidden/>
              </w:rPr>
              <w:fldChar w:fldCharType="begin"/>
            </w:r>
            <w:r w:rsidR="00A566AD">
              <w:rPr>
                <w:noProof/>
                <w:webHidden/>
              </w:rPr>
              <w:instrText xml:space="preserve"> PAGEREF _Toc117626660 \h </w:instrText>
            </w:r>
            <w:r w:rsidR="00A566AD">
              <w:rPr>
                <w:noProof/>
                <w:webHidden/>
              </w:rPr>
            </w:r>
            <w:r w:rsidR="00A566AD">
              <w:rPr>
                <w:noProof/>
                <w:webHidden/>
              </w:rPr>
              <w:fldChar w:fldCharType="separate"/>
            </w:r>
            <w:r w:rsidR="00537F66">
              <w:rPr>
                <w:noProof/>
                <w:webHidden/>
              </w:rPr>
              <w:t>4</w:t>
            </w:r>
            <w:r w:rsidR="00A566AD">
              <w:rPr>
                <w:noProof/>
                <w:webHidden/>
              </w:rPr>
              <w:fldChar w:fldCharType="end"/>
            </w:r>
          </w:hyperlink>
        </w:p>
        <w:p w14:paraId="108A0C4F" w14:textId="77ED0C02" w:rsidR="00A566AD" w:rsidRDefault="00BB4E07">
          <w:pPr>
            <w:pStyle w:val="TOC3"/>
            <w:tabs>
              <w:tab w:val="right" w:leader="dot" w:pos="9016"/>
            </w:tabs>
            <w:rPr>
              <w:rFonts w:cstheme="minorBidi"/>
              <w:noProof/>
              <w:sz w:val="24"/>
              <w:szCs w:val="24"/>
            </w:rPr>
          </w:pPr>
          <w:hyperlink w:anchor="_Toc117626661" w:history="1">
            <w:r w:rsidR="00A566AD" w:rsidRPr="00C24C8D">
              <w:rPr>
                <w:rStyle w:val="Hyperlink"/>
                <w:noProof/>
              </w:rPr>
              <w:t>2.3.4 Exclusion criteria</w:t>
            </w:r>
            <w:r w:rsidR="00A566AD">
              <w:rPr>
                <w:noProof/>
                <w:webHidden/>
              </w:rPr>
              <w:tab/>
            </w:r>
            <w:r w:rsidR="00A566AD">
              <w:rPr>
                <w:noProof/>
                <w:webHidden/>
              </w:rPr>
              <w:fldChar w:fldCharType="begin"/>
            </w:r>
            <w:r w:rsidR="00A566AD">
              <w:rPr>
                <w:noProof/>
                <w:webHidden/>
              </w:rPr>
              <w:instrText xml:space="preserve"> PAGEREF _Toc117626661 \h </w:instrText>
            </w:r>
            <w:r w:rsidR="00A566AD">
              <w:rPr>
                <w:noProof/>
                <w:webHidden/>
              </w:rPr>
            </w:r>
            <w:r w:rsidR="00A566AD">
              <w:rPr>
                <w:noProof/>
                <w:webHidden/>
              </w:rPr>
              <w:fldChar w:fldCharType="separate"/>
            </w:r>
            <w:r w:rsidR="00537F66">
              <w:rPr>
                <w:noProof/>
                <w:webHidden/>
              </w:rPr>
              <w:t>4</w:t>
            </w:r>
            <w:r w:rsidR="00A566AD">
              <w:rPr>
                <w:noProof/>
                <w:webHidden/>
              </w:rPr>
              <w:fldChar w:fldCharType="end"/>
            </w:r>
          </w:hyperlink>
        </w:p>
        <w:p w14:paraId="1B06FF34" w14:textId="1E9B37A5" w:rsidR="00A566AD" w:rsidRDefault="00BB4E07">
          <w:pPr>
            <w:pStyle w:val="TOC3"/>
            <w:tabs>
              <w:tab w:val="right" w:leader="dot" w:pos="9016"/>
            </w:tabs>
            <w:rPr>
              <w:rFonts w:cstheme="minorBidi"/>
              <w:noProof/>
              <w:sz w:val="24"/>
              <w:szCs w:val="24"/>
            </w:rPr>
          </w:pPr>
          <w:hyperlink w:anchor="_Toc117626662" w:history="1">
            <w:r w:rsidR="00A566AD" w:rsidRPr="00C24C8D">
              <w:rPr>
                <w:rStyle w:val="Hyperlink"/>
                <w:noProof/>
              </w:rPr>
              <w:t>2.3.5 Study visit and assessment schedule</w:t>
            </w:r>
            <w:r w:rsidR="00A566AD">
              <w:rPr>
                <w:noProof/>
                <w:webHidden/>
              </w:rPr>
              <w:tab/>
            </w:r>
            <w:r w:rsidR="00A566AD">
              <w:rPr>
                <w:noProof/>
                <w:webHidden/>
              </w:rPr>
              <w:fldChar w:fldCharType="begin"/>
            </w:r>
            <w:r w:rsidR="00A566AD">
              <w:rPr>
                <w:noProof/>
                <w:webHidden/>
              </w:rPr>
              <w:instrText xml:space="preserve"> PAGEREF _Toc117626662 \h </w:instrText>
            </w:r>
            <w:r w:rsidR="00A566AD">
              <w:rPr>
                <w:noProof/>
                <w:webHidden/>
              </w:rPr>
            </w:r>
            <w:r w:rsidR="00A566AD">
              <w:rPr>
                <w:noProof/>
                <w:webHidden/>
              </w:rPr>
              <w:fldChar w:fldCharType="separate"/>
            </w:r>
            <w:r w:rsidR="00537F66">
              <w:rPr>
                <w:noProof/>
                <w:webHidden/>
              </w:rPr>
              <w:t>4</w:t>
            </w:r>
            <w:r w:rsidR="00A566AD">
              <w:rPr>
                <w:noProof/>
                <w:webHidden/>
              </w:rPr>
              <w:fldChar w:fldCharType="end"/>
            </w:r>
          </w:hyperlink>
        </w:p>
        <w:p w14:paraId="767932D2" w14:textId="0EA6AD07" w:rsidR="00A566AD" w:rsidRDefault="00BB4E07">
          <w:pPr>
            <w:pStyle w:val="TOC3"/>
            <w:tabs>
              <w:tab w:val="right" w:leader="dot" w:pos="9016"/>
            </w:tabs>
            <w:rPr>
              <w:rFonts w:cstheme="minorBidi"/>
              <w:noProof/>
              <w:sz w:val="24"/>
              <w:szCs w:val="24"/>
            </w:rPr>
          </w:pPr>
          <w:hyperlink w:anchor="_Toc117626663" w:history="1">
            <w:r w:rsidR="00A566AD" w:rsidRPr="00C24C8D">
              <w:rPr>
                <w:rStyle w:val="Hyperlink"/>
                <w:noProof/>
              </w:rPr>
              <w:t>2.3.6 Blood Sample processing</w:t>
            </w:r>
            <w:r w:rsidR="00A566AD">
              <w:rPr>
                <w:noProof/>
                <w:webHidden/>
              </w:rPr>
              <w:tab/>
            </w:r>
            <w:r w:rsidR="00A566AD">
              <w:rPr>
                <w:noProof/>
                <w:webHidden/>
              </w:rPr>
              <w:fldChar w:fldCharType="begin"/>
            </w:r>
            <w:r w:rsidR="00A566AD">
              <w:rPr>
                <w:noProof/>
                <w:webHidden/>
              </w:rPr>
              <w:instrText xml:space="preserve"> PAGEREF _Toc117626663 \h </w:instrText>
            </w:r>
            <w:r w:rsidR="00A566AD">
              <w:rPr>
                <w:noProof/>
                <w:webHidden/>
              </w:rPr>
            </w:r>
            <w:r w:rsidR="00A566AD">
              <w:rPr>
                <w:noProof/>
                <w:webHidden/>
              </w:rPr>
              <w:fldChar w:fldCharType="separate"/>
            </w:r>
            <w:r w:rsidR="00537F66">
              <w:rPr>
                <w:noProof/>
                <w:webHidden/>
              </w:rPr>
              <w:t>5</w:t>
            </w:r>
            <w:r w:rsidR="00A566AD">
              <w:rPr>
                <w:noProof/>
                <w:webHidden/>
              </w:rPr>
              <w:fldChar w:fldCharType="end"/>
            </w:r>
          </w:hyperlink>
        </w:p>
        <w:p w14:paraId="229FA6B1" w14:textId="0E85A764" w:rsidR="00A566AD" w:rsidRDefault="00BB4E07">
          <w:pPr>
            <w:pStyle w:val="TOC3"/>
            <w:tabs>
              <w:tab w:val="right" w:leader="dot" w:pos="9016"/>
            </w:tabs>
            <w:rPr>
              <w:rFonts w:cstheme="minorBidi"/>
              <w:noProof/>
              <w:sz w:val="24"/>
              <w:szCs w:val="24"/>
            </w:rPr>
          </w:pPr>
          <w:hyperlink w:anchor="_Toc117626664" w:history="1">
            <w:r w:rsidR="00A566AD" w:rsidRPr="00C24C8D">
              <w:rPr>
                <w:rStyle w:val="Hyperlink"/>
                <w:noProof/>
              </w:rPr>
              <w:t>2.3.7 Influenza vaccine response measurements</w:t>
            </w:r>
            <w:r w:rsidR="00A566AD">
              <w:rPr>
                <w:noProof/>
                <w:webHidden/>
              </w:rPr>
              <w:tab/>
            </w:r>
            <w:r w:rsidR="00A566AD">
              <w:rPr>
                <w:noProof/>
                <w:webHidden/>
              </w:rPr>
              <w:fldChar w:fldCharType="begin"/>
            </w:r>
            <w:r w:rsidR="00A566AD">
              <w:rPr>
                <w:noProof/>
                <w:webHidden/>
              </w:rPr>
              <w:instrText xml:space="preserve"> PAGEREF _Toc117626664 \h </w:instrText>
            </w:r>
            <w:r w:rsidR="00A566AD">
              <w:rPr>
                <w:noProof/>
                <w:webHidden/>
              </w:rPr>
            </w:r>
            <w:r w:rsidR="00A566AD">
              <w:rPr>
                <w:noProof/>
                <w:webHidden/>
              </w:rPr>
              <w:fldChar w:fldCharType="separate"/>
            </w:r>
            <w:r w:rsidR="00537F66">
              <w:rPr>
                <w:noProof/>
                <w:webHidden/>
              </w:rPr>
              <w:t>6</w:t>
            </w:r>
            <w:r w:rsidR="00A566AD">
              <w:rPr>
                <w:noProof/>
                <w:webHidden/>
              </w:rPr>
              <w:fldChar w:fldCharType="end"/>
            </w:r>
          </w:hyperlink>
        </w:p>
        <w:p w14:paraId="61CA8647" w14:textId="19CB9878" w:rsidR="00A566AD" w:rsidRDefault="00BB4E07">
          <w:pPr>
            <w:pStyle w:val="TOC3"/>
            <w:tabs>
              <w:tab w:val="right" w:leader="dot" w:pos="9016"/>
            </w:tabs>
            <w:rPr>
              <w:rFonts w:cstheme="minorBidi"/>
              <w:noProof/>
              <w:sz w:val="24"/>
              <w:szCs w:val="24"/>
            </w:rPr>
          </w:pPr>
          <w:hyperlink w:anchor="_Toc117626665" w:history="1">
            <w:r w:rsidR="00A566AD" w:rsidRPr="00C24C8D">
              <w:rPr>
                <w:rStyle w:val="Hyperlink"/>
                <w:noProof/>
              </w:rPr>
              <w:t>2.3.8 Immune profiling</w:t>
            </w:r>
            <w:r w:rsidR="00A566AD">
              <w:rPr>
                <w:noProof/>
                <w:webHidden/>
              </w:rPr>
              <w:tab/>
            </w:r>
            <w:r w:rsidR="00A566AD">
              <w:rPr>
                <w:noProof/>
                <w:webHidden/>
              </w:rPr>
              <w:fldChar w:fldCharType="begin"/>
            </w:r>
            <w:r w:rsidR="00A566AD">
              <w:rPr>
                <w:noProof/>
                <w:webHidden/>
              </w:rPr>
              <w:instrText xml:space="preserve"> PAGEREF _Toc117626665 \h </w:instrText>
            </w:r>
            <w:r w:rsidR="00A566AD">
              <w:rPr>
                <w:noProof/>
                <w:webHidden/>
              </w:rPr>
            </w:r>
            <w:r w:rsidR="00A566AD">
              <w:rPr>
                <w:noProof/>
                <w:webHidden/>
              </w:rPr>
              <w:fldChar w:fldCharType="separate"/>
            </w:r>
            <w:r w:rsidR="00537F66">
              <w:rPr>
                <w:noProof/>
                <w:webHidden/>
              </w:rPr>
              <w:t>6</w:t>
            </w:r>
            <w:r w:rsidR="00A566AD">
              <w:rPr>
                <w:noProof/>
                <w:webHidden/>
              </w:rPr>
              <w:fldChar w:fldCharType="end"/>
            </w:r>
          </w:hyperlink>
        </w:p>
        <w:p w14:paraId="318E318D" w14:textId="4F29B02F" w:rsidR="00A566AD" w:rsidRDefault="00BB4E07">
          <w:pPr>
            <w:pStyle w:val="TOC3"/>
            <w:tabs>
              <w:tab w:val="right" w:leader="dot" w:pos="9016"/>
            </w:tabs>
            <w:rPr>
              <w:rFonts w:cstheme="minorBidi"/>
              <w:noProof/>
              <w:sz w:val="24"/>
              <w:szCs w:val="24"/>
            </w:rPr>
          </w:pPr>
          <w:hyperlink w:anchor="_Toc117626666" w:history="1">
            <w:r w:rsidR="00A566AD" w:rsidRPr="00C24C8D">
              <w:rPr>
                <w:rStyle w:val="Hyperlink"/>
                <w:noProof/>
              </w:rPr>
              <w:t>2.3.9 SLE disease activity</w:t>
            </w:r>
            <w:r w:rsidR="00A566AD">
              <w:rPr>
                <w:noProof/>
                <w:webHidden/>
              </w:rPr>
              <w:tab/>
            </w:r>
            <w:r w:rsidR="00A566AD">
              <w:rPr>
                <w:noProof/>
                <w:webHidden/>
              </w:rPr>
              <w:fldChar w:fldCharType="begin"/>
            </w:r>
            <w:r w:rsidR="00A566AD">
              <w:rPr>
                <w:noProof/>
                <w:webHidden/>
              </w:rPr>
              <w:instrText xml:space="preserve"> PAGEREF _Toc117626666 \h </w:instrText>
            </w:r>
            <w:r w:rsidR="00A566AD">
              <w:rPr>
                <w:noProof/>
                <w:webHidden/>
              </w:rPr>
            </w:r>
            <w:r w:rsidR="00A566AD">
              <w:rPr>
                <w:noProof/>
                <w:webHidden/>
              </w:rPr>
              <w:fldChar w:fldCharType="separate"/>
            </w:r>
            <w:r w:rsidR="00537F66">
              <w:rPr>
                <w:noProof/>
                <w:webHidden/>
              </w:rPr>
              <w:t>6</w:t>
            </w:r>
            <w:r w:rsidR="00A566AD">
              <w:rPr>
                <w:noProof/>
                <w:webHidden/>
              </w:rPr>
              <w:fldChar w:fldCharType="end"/>
            </w:r>
          </w:hyperlink>
        </w:p>
        <w:p w14:paraId="370FCD4F" w14:textId="130FB26C" w:rsidR="00A566AD" w:rsidRDefault="00BB4E07">
          <w:pPr>
            <w:pStyle w:val="TOC3"/>
            <w:tabs>
              <w:tab w:val="right" w:leader="dot" w:pos="9016"/>
            </w:tabs>
            <w:rPr>
              <w:rFonts w:cstheme="minorBidi"/>
              <w:noProof/>
              <w:sz w:val="24"/>
              <w:szCs w:val="24"/>
            </w:rPr>
          </w:pPr>
          <w:hyperlink w:anchor="_Toc117626667" w:history="1">
            <w:r w:rsidR="00A566AD" w:rsidRPr="00C24C8D">
              <w:rPr>
                <w:rStyle w:val="Hyperlink"/>
                <w:noProof/>
              </w:rPr>
              <w:t>2.3.10 Monitoring for influenza infection</w:t>
            </w:r>
            <w:r w:rsidR="00A566AD">
              <w:rPr>
                <w:noProof/>
                <w:webHidden/>
              </w:rPr>
              <w:tab/>
            </w:r>
            <w:r w:rsidR="00A566AD">
              <w:rPr>
                <w:noProof/>
                <w:webHidden/>
              </w:rPr>
              <w:fldChar w:fldCharType="begin"/>
            </w:r>
            <w:r w:rsidR="00A566AD">
              <w:rPr>
                <w:noProof/>
                <w:webHidden/>
              </w:rPr>
              <w:instrText xml:space="preserve"> PAGEREF _Toc117626667 \h </w:instrText>
            </w:r>
            <w:r w:rsidR="00A566AD">
              <w:rPr>
                <w:noProof/>
                <w:webHidden/>
              </w:rPr>
            </w:r>
            <w:r w:rsidR="00A566AD">
              <w:rPr>
                <w:noProof/>
                <w:webHidden/>
              </w:rPr>
              <w:fldChar w:fldCharType="separate"/>
            </w:r>
            <w:r w:rsidR="00537F66">
              <w:rPr>
                <w:noProof/>
                <w:webHidden/>
              </w:rPr>
              <w:t>6</w:t>
            </w:r>
            <w:r w:rsidR="00A566AD">
              <w:rPr>
                <w:noProof/>
                <w:webHidden/>
              </w:rPr>
              <w:fldChar w:fldCharType="end"/>
            </w:r>
          </w:hyperlink>
        </w:p>
        <w:p w14:paraId="7444166E" w14:textId="711F97CA" w:rsidR="00A566AD" w:rsidRDefault="00BB4E07">
          <w:pPr>
            <w:pStyle w:val="TOC3"/>
            <w:tabs>
              <w:tab w:val="right" w:leader="dot" w:pos="9016"/>
            </w:tabs>
            <w:rPr>
              <w:rFonts w:cstheme="minorBidi"/>
              <w:noProof/>
              <w:sz w:val="24"/>
              <w:szCs w:val="24"/>
            </w:rPr>
          </w:pPr>
          <w:hyperlink w:anchor="_Toc117626668" w:history="1">
            <w:r w:rsidR="00A566AD" w:rsidRPr="00C24C8D">
              <w:rPr>
                <w:rStyle w:val="Hyperlink"/>
                <w:noProof/>
              </w:rPr>
              <w:t>2.3.11 Immunisation record</w:t>
            </w:r>
            <w:r w:rsidR="00A566AD">
              <w:rPr>
                <w:noProof/>
                <w:webHidden/>
              </w:rPr>
              <w:tab/>
            </w:r>
            <w:r w:rsidR="00A566AD">
              <w:rPr>
                <w:noProof/>
                <w:webHidden/>
              </w:rPr>
              <w:fldChar w:fldCharType="begin"/>
            </w:r>
            <w:r w:rsidR="00A566AD">
              <w:rPr>
                <w:noProof/>
                <w:webHidden/>
              </w:rPr>
              <w:instrText xml:space="preserve"> PAGEREF _Toc117626668 \h </w:instrText>
            </w:r>
            <w:r w:rsidR="00A566AD">
              <w:rPr>
                <w:noProof/>
                <w:webHidden/>
              </w:rPr>
            </w:r>
            <w:r w:rsidR="00A566AD">
              <w:rPr>
                <w:noProof/>
                <w:webHidden/>
              </w:rPr>
              <w:fldChar w:fldCharType="separate"/>
            </w:r>
            <w:r w:rsidR="00537F66">
              <w:rPr>
                <w:noProof/>
                <w:webHidden/>
              </w:rPr>
              <w:t>6</w:t>
            </w:r>
            <w:r w:rsidR="00A566AD">
              <w:rPr>
                <w:noProof/>
                <w:webHidden/>
              </w:rPr>
              <w:fldChar w:fldCharType="end"/>
            </w:r>
          </w:hyperlink>
        </w:p>
        <w:p w14:paraId="731D65C8" w14:textId="379FD58A" w:rsidR="00A566AD" w:rsidRDefault="00BB4E07">
          <w:pPr>
            <w:pStyle w:val="TOC2"/>
            <w:tabs>
              <w:tab w:val="right" w:leader="dot" w:pos="9016"/>
            </w:tabs>
            <w:rPr>
              <w:rFonts w:cstheme="minorBidi"/>
              <w:b w:val="0"/>
              <w:bCs w:val="0"/>
              <w:noProof/>
              <w:sz w:val="24"/>
              <w:szCs w:val="24"/>
            </w:rPr>
          </w:pPr>
          <w:hyperlink w:anchor="_Toc117626669" w:history="1">
            <w:r w:rsidR="00A566AD" w:rsidRPr="00C24C8D">
              <w:rPr>
                <w:rStyle w:val="Hyperlink"/>
                <w:noProof/>
              </w:rPr>
              <w:t>2.4 Data management</w:t>
            </w:r>
            <w:r w:rsidR="00A566AD">
              <w:rPr>
                <w:noProof/>
                <w:webHidden/>
              </w:rPr>
              <w:tab/>
            </w:r>
            <w:r w:rsidR="00A566AD">
              <w:rPr>
                <w:noProof/>
                <w:webHidden/>
              </w:rPr>
              <w:fldChar w:fldCharType="begin"/>
            </w:r>
            <w:r w:rsidR="00A566AD">
              <w:rPr>
                <w:noProof/>
                <w:webHidden/>
              </w:rPr>
              <w:instrText xml:space="preserve"> PAGEREF _Toc117626669 \h </w:instrText>
            </w:r>
            <w:r w:rsidR="00A566AD">
              <w:rPr>
                <w:noProof/>
                <w:webHidden/>
              </w:rPr>
            </w:r>
            <w:r w:rsidR="00A566AD">
              <w:rPr>
                <w:noProof/>
                <w:webHidden/>
              </w:rPr>
              <w:fldChar w:fldCharType="separate"/>
            </w:r>
            <w:r w:rsidR="00537F66">
              <w:rPr>
                <w:noProof/>
                <w:webHidden/>
              </w:rPr>
              <w:t>6</w:t>
            </w:r>
            <w:r w:rsidR="00A566AD">
              <w:rPr>
                <w:noProof/>
                <w:webHidden/>
              </w:rPr>
              <w:fldChar w:fldCharType="end"/>
            </w:r>
          </w:hyperlink>
        </w:p>
        <w:p w14:paraId="49D6922E" w14:textId="753D317E" w:rsidR="00A566AD" w:rsidRDefault="00BB4E07">
          <w:pPr>
            <w:pStyle w:val="TOC3"/>
            <w:tabs>
              <w:tab w:val="right" w:leader="dot" w:pos="9016"/>
            </w:tabs>
            <w:rPr>
              <w:rFonts w:cstheme="minorBidi"/>
              <w:noProof/>
              <w:sz w:val="24"/>
              <w:szCs w:val="24"/>
            </w:rPr>
          </w:pPr>
          <w:hyperlink w:anchor="_Toc117626670" w:history="1">
            <w:r w:rsidR="00A566AD" w:rsidRPr="00C24C8D">
              <w:rPr>
                <w:rStyle w:val="Hyperlink"/>
                <w:noProof/>
              </w:rPr>
              <w:t>2.4.1 De-identification process</w:t>
            </w:r>
            <w:r w:rsidR="00A566AD">
              <w:rPr>
                <w:noProof/>
                <w:webHidden/>
              </w:rPr>
              <w:tab/>
            </w:r>
            <w:r w:rsidR="00A566AD">
              <w:rPr>
                <w:noProof/>
                <w:webHidden/>
              </w:rPr>
              <w:fldChar w:fldCharType="begin"/>
            </w:r>
            <w:r w:rsidR="00A566AD">
              <w:rPr>
                <w:noProof/>
                <w:webHidden/>
              </w:rPr>
              <w:instrText xml:space="preserve"> PAGEREF _Toc117626670 \h </w:instrText>
            </w:r>
            <w:r w:rsidR="00A566AD">
              <w:rPr>
                <w:noProof/>
                <w:webHidden/>
              </w:rPr>
            </w:r>
            <w:r w:rsidR="00A566AD">
              <w:rPr>
                <w:noProof/>
                <w:webHidden/>
              </w:rPr>
              <w:fldChar w:fldCharType="separate"/>
            </w:r>
            <w:r w:rsidR="00537F66">
              <w:rPr>
                <w:noProof/>
                <w:webHidden/>
              </w:rPr>
              <w:t>6</w:t>
            </w:r>
            <w:r w:rsidR="00A566AD">
              <w:rPr>
                <w:noProof/>
                <w:webHidden/>
              </w:rPr>
              <w:fldChar w:fldCharType="end"/>
            </w:r>
          </w:hyperlink>
        </w:p>
        <w:p w14:paraId="47B2D789" w14:textId="2AAB68BE" w:rsidR="00A566AD" w:rsidRDefault="00BB4E07">
          <w:pPr>
            <w:pStyle w:val="TOC3"/>
            <w:tabs>
              <w:tab w:val="right" w:leader="dot" w:pos="9016"/>
            </w:tabs>
            <w:rPr>
              <w:rFonts w:cstheme="minorBidi"/>
              <w:noProof/>
              <w:sz w:val="24"/>
              <w:szCs w:val="24"/>
            </w:rPr>
          </w:pPr>
          <w:hyperlink w:anchor="_Toc117626671" w:history="1">
            <w:r w:rsidR="00A566AD" w:rsidRPr="00C24C8D">
              <w:rPr>
                <w:rStyle w:val="Hyperlink"/>
                <w:noProof/>
              </w:rPr>
              <w:t>2.4.2 Data sharing</w:t>
            </w:r>
            <w:r w:rsidR="00A566AD">
              <w:rPr>
                <w:noProof/>
                <w:webHidden/>
              </w:rPr>
              <w:tab/>
            </w:r>
            <w:r w:rsidR="00A566AD">
              <w:rPr>
                <w:noProof/>
                <w:webHidden/>
              </w:rPr>
              <w:fldChar w:fldCharType="begin"/>
            </w:r>
            <w:r w:rsidR="00A566AD">
              <w:rPr>
                <w:noProof/>
                <w:webHidden/>
              </w:rPr>
              <w:instrText xml:space="preserve"> PAGEREF _Toc117626671 \h </w:instrText>
            </w:r>
            <w:r w:rsidR="00A566AD">
              <w:rPr>
                <w:noProof/>
                <w:webHidden/>
              </w:rPr>
            </w:r>
            <w:r w:rsidR="00A566AD">
              <w:rPr>
                <w:noProof/>
                <w:webHidden/>
              </w:rPr>
              <w:fldChar w:fldCharType="separate"/>
            </w:r>
            <w:r w:rsidR="00537F66">
              <w:rPr>
                <w:noProof/>
                <w:webHidden/>
              </w:rPr>
              <w:t>7</w:t>
            </w:r>
            <w:r w:rsidR="00A566AD">
              <w:rPr>
                <w:noProof/>
                <w:webHidden/>
              </w:rPr>
              <w:fldChar w:fldCharType="end"/>
            </w:r>
          </w:hyperlink>
        </w:p>
        <w:p w14:paraId="33038108" w14:textId="05B70A02" w:rsidR="00A566AD" w:rsidRDefault="00BB4E07">
          <w:pPr>
            <w:pStyle w:val="TOC3"/>
            <w:tabs>
              <w:tab w:val="right" w:leader="dot" w:pos="9016"/>
            </w:tabs>
            <w:rPr>
              <w:rFonts w:cstheme="minorBidi"/>
              <w:noProof/>
              <w:sz w:val="24"/>
              <w:szCs w:val="24"/>
            </w:rPr>
          </w:pPr>
          <w:hyperlink w:anchor="_Toc117626672" w:history="1">
            <w:r w:rsidR="00A566AD" w:rsidRPr="00C24C8D">
              <w:rPr>
                <w:rStyle w:val="Hyperlink"/>
                <w:noProof/>
              </w:rPr>
              <w:t>2.4.3 Analysis</w:t>
            </w:r>
            <w:r w:rsidR="00A566AD">
              <w:rPr>
                <w:noProof/>
                <w:webHidden/>
              </w:rPr>
              <w:tab/>
            </w:r>
            <w:r w:rsidR="00A566AD">
              <w:rPr>
                <w:noProof/>
                <w:webHidden/>
              </w:rPr>
              <w:fldChar w:fldCharType="begin"/>
            </w:r>
            <w:r w:rsidR="00A566AD">
              <w:rPr>
                <w:noProof/>
                <w:webHidden/>
              </w:rPr>
              <w:instrText xml:space="preserve"> PAGEREF _Toc117626672 \h </w:instrText>
            </w:r>
            <w:r w:rsidR="00A566AD">
              <w:rPr>
                <w:noProof/>
                <w:webHidden/>
              </w:rPr>
            </w:r>
            <w:r w:rsidR="00A566AD">
              <w:rPr>
                <w:noProof/>
                <w:webHidden/>
              </w:rPr>
              <w:fldChar w:fldCharType="separate"/>
            </w:r>
            <w:r w:rsidR="00537F66">
              <w:rPr>
                <w:noProof/>
                <w:webHidden/>
              </w:rPr>
              <w:t>7</w:t>
            </w:r>
            <w:r w:rsidR="00A566AD">
              <w:rPr>
                <w:noProof/>
                <w:webHidden/>
              </w:rPr>
              <w:fldChar w:fldCharType="end"/>
            </w:r>
          </w:hyperlink>
        </w:p>
        <w:p w14:paraId="2879D6B7" w14:textId="5EF07DC6" w:rsidR="00A566AD" w:rsidRDefault="00BB4E07">
          <w:pPr>
            <w:pStyle w:val="TOC3"/>
            <w:tabs>
              <w:tab w:val="right" w:leader="dot" w:pos="9016"/>
            </w:tabs>
            <w:rPr>
              <w:rFonts w:cstheme="minorBidi"/>
              <w:noProof/>
              <w:sz w:val="24"/>
              <w:szCs w:val="24"/>
            </w:rPr>
          </w:pPr>
          <w:hyperlink w:anchor="_Toc117626673" w:history="1">
            <w:r w:rsidR="00A566AD" w:rsidRPr="00C24C8D">
              <w:rPr>
                <w:rStyle w:val="Hyperlink"/>
                <w:noProof/>
              </w:rPr>
              <w:t>2.4.4 Project closure</w:t>
            </w:r>
            <w:r w:rsidR="00A566AD">
              <w:rPr>
                <w:noProof/>
                <w:webHidden/>
              </w:rPr>
              <w:tab/>
            </w:r>
            <w:r w:rsidR="00A566AD">
              <w:rPr>
                <w:noProof/>
                <w:webHidden/>
              </w:rPr>
              <w:fldChar w:fldCharType="begin"/>
            </w:r>
            <w:r w:rsidR="00A566AD">
              <w:rPr>
                <w:noProof/>
                <w:webHidden/>
              </w:rPr>
              <w:instrText xml:space="preserve"> PAGEREF _Toc117626673 \h </w:instrText>
            </w:r>
            <w:r w:rsidR="00A566AD">
              <w:rPr>
                <w:noProof/>
                <w:webHidden/>
              </w:rPr>
            </w:r>
            <w:r w:rsidR="00A566AD">
              <w:rPr>
                <w:noProof/>
                <w:webHidden/>
              </w:rPr>
              <w:fldChar w:fldCharType="separate"/>
            </w:r>
            <w:r w:rsidR="00537F66">
              <w:rPr>
                <w:noProof/>
                <w:webHidden/>
              </w:rPr>
              <w:t>7</w:t>
            </w:r>
            <w:r w:rsidR="00A566AD">
              <w:rPr>
                <w:noProof/>
                <w:webHidden/>
              </w:rPr>
              <w:fldChar w:fldCharType="end"/>
            </w:r>
          </w:hyperlink>
        </w:p>
        <w:p w14:paraId="652EF6E8" w14:textId="0EB7B7AF" w:rsidR="00A566AD" w:rsidRDefault="00BB4E07">
          <w:pPr>
            <w:pStyle w:val="TOC1"/>
            <w:tabs>
              <w:tab w:val="right" w:leader="dot" w:pos="9016"/>
            </w:tabs>
            <w:rPr>
              <w:rFonts w:cstheme="minorBidi"/>
              <w:b w:val="0"/>
              <w:bCs w:val="0"/>
              <w:i w:val="0"/>
              <w:iCs w:val="0"/>
              <w:noProof/>
            </w:rPr>
          </w:pPr>
          <w:hyperlink w:anchor="_Toc117626674" w:history="1">
            <w:r w:rsidR="00A566AD" w:rsidRPr="00C24C8D">
              <w:rPr>
                <w:rStyle w:val="Hyperlink"/>
                <w:noProof/>
              </w:rPr>
              <w:t>3.0 Expected outcomes and future directions</w:t>
            </w:r>
            <w:r w:rsidR="00A566AD">
              <w:rPr>
                <w:noProof/>
                <w:webHidden/>
              </w:rPr>
              <w:tab/>
            </w:r>
            <w:r w:rsidR="00A566AD">
              <w:rPr>
                <w:noProof/>
                <w:webHidden/>
              </w:rPr>
              <w:fldChar w:fldCharType="begin"/>
            </w:r>
            <w:r w:rsidR="00A566AD">
              <w:rPr>
                <w:noProof/>
                <w:webHidden/>
              </w:rPr>
              <w:instrText xml:space="preserve"> PAGEREF _Toc117626674 \h </w:instrText>
            </w:r>
            <w:r w:rsidR="00A566AD">
              <w:rPr>
                <w:noProof/>
                <w:webHidden/>
              </w:rPr>
            </w:r>
            <w:r w:rsidR="00A566AD">
              <w:rPr>
                <w:noProof/>
                <w:webHidden/>
              </w:rPr>
              <w:fldChar w:fldCharType="separate"/>
            </w:r>
            <w:r w:rsidR="00537F66">
              <w:rPr>
                <w:noProof/>
                <w:webHidden/>
              </w:rPr>
              <w:t>7</w:t>
            </w:r>
            <w:r w:rsidR="00A566AD">
              <w:rPr>
                <w:noProof/>
                <w:webHidden/>
              </w:rPr>
              <w:fldChar w:fldCharType="end"/>
            </w:r>
          </w:hyperlink>
        </w:p>
        <w:p w14:paraId="55C3069C" w14:textId="413C38A9" w:rsidR="00A566AD" w:rsidRDefault="00BB4E07">
          <w:pPr>
            <w:pStyle w:val="TOC1"/>
            <w:tabs>
              <w:tab w:val="right" w:leader="dot" w:pos="9016"/>
            </w:tabs>
            <w:rPr>
              <w:rFonts w:cstheme="minorBidi"/>
              <w:b w:val="0"/>
              <w:bCs w:val="0"/>
              <w:i w:val="0"/>
              <w:iCs w:val="0"/>
              <w:noProof/>
            </w:rPr>
          </w:pPr>
          <w:hyperlink w:anchor="_Toc117626675" w:history="1">
            <w:r w:rsidR="00A566AD" w:rsidRPr="00C24C8D">
              <w:rPr>
                <w:rStyle w:val="Hyperlink"/>
                <w:noProof/>
              </w:rPr>
              <w:t>4.0 References</w:t>
            </w:r>
            <w:r w:rsidR="00A566AD">
              <w:rPr>
                <w:noProof/>
                <w:webHidden/>
              </w:rPr>
              <w:tab/>
            </w:r>
            <w:r w:rsidR="00A566AD">
              <w:rPr>
                <w:noProof/>
                <w:webHidden/>
              </w:rPr>
              <w:fldChar w:fldCharType="begin"/>
            </w:r>
            <w:r w:rsidR="00A566AD">
              <w:rPr>
                <w:noProof/>
                <w:webHidden/>
              </w:rPr>
              <w:instrText xml:space="preserve"> PAGEREF _Toc117626675 \h </w:instrText>
            </w:r>
            <w:r w:rsidR="00A566AD">
              <w:rPr>
                <w:noProof/>
                <w:webHidden/>
              </w:rPr>
            </w:r>
            <w:r w:rsidR="00A566AD">
              <w:rPr>
                <w:noProof/>
                <w:webHidden/>
              </w:rPr>
              <w:fldChar w:fldCharType="separate"/>
            </w:r>
            <w:r w:rsidR="00537F66">
              <w:rPr>
                <w:noProof/>
                <w:webHidden/>
              </w:rPr>
              <w:t>8</w:t>
            </w:r>
            <w:r w:rsidR="00A566AD">
              <w:rPr>
                <w:noProof/>
                <w:webHidden/>
              </w:rPr>
              <w:fldChar w:fldCharType="end"/>
            </w:r>
          </w:hyperlink>
        </w:p>
        <w:p w14:paraId="422F699C" w14:textId="548F7CDF" w:rsidR="00A566AD" w:rsidRDefault="00A566AD">
          <w:r>
            <w:rPr>
              <w:b/>
              <w:bCs/>
              <w:noProof/>
            </w:rPr>
            <w:fldChar w:fldCharType="end"/>
          </w:r>
        </w:p>
      </w:sdtContent>
    </w:sdt>
    <w:p w14:paraId="2FAFD070" w14:textId="083F76CF" w:rsidR="00C54C0B" w:rsidRDefault="00C54C0B">
      <w:pPr>
        <w:rPr>
          <w:rFonts w:ascii="Arial" w:eastAsia="Times New Roman" w:hAnsi="Arial" w:cs="Arial"/>
          <w:b/>
          <w:bCs/>
          <w:sz w:val="20"/>
          <w:szCs w:val="20"/>
        </w:rPr>
      </w:pPr>
      <w:r>
        <w:rPr>
          <w:rFonts w:ascii="Arial" w:hAnsi="Arial" w:cs="Arial"/>
          <w:b/>
          <w:bCs/>
          <w:sz w:val="20"/>
          <w:szCs w:val="20"/>
        </w:rPr>
        <w:br w:type="page"/>
      </w:r>
    </w:p>
    <w:p w14:paraId="76F4FABB" w14:textId="240D2015" w:rsidR="00912D1E" w:rsidRPr="00D750B3" w:rsidRDefault="00D750B3" w:rsidP="00C54C0B">
      <w:pPr>
        <w:pStyle w:val="Heading1"/>
      </w:pPr>
      <w:bookmarkStart w:id="0" w:name="_Toc117626653"/>
      <w:r w:rsidRPr="00D750B3">
        <w:lastRenderedPageBreak/>
        <w:t xml:space="preserve">1.0 </w:t>
      </w:r>
      <w:r w:rsidR="00912D1E" w:rsidRPr="00D750B3">
        <w:t>Summary of proposal</w:t>
      </w:r>
      <w:bookmarkEnd w:id="0"/>
    </w:p>
    <w:p w14:paraId="1438AF70" w14:textId="77777777" w:rsidR="00D750B3" w:rsidRPr="00D750B3" w:rsidRDefault="00912D1E" w:rsidP="00BB4E07">
      <w:pPr>
        <w:pStyle w:val="NormalWeb"/>
        <w:spacing w:line="276" w:lineRule="auto"/>
        <w:jc w:val="both"/>
        <w:rPr>
          <w:rFonts w:ascii="Arial" w:hAnsi="Arial" w:cs="Arial"/>
          <w:sz w:val="20"/>
          <w:szCs w:val="20"/>
        </w:rPr>
      </w:pPr>
      <w:r w:rsidRPr="00D750B3">
        <w:rPr>
          <w:rFonts w:ascii="Arial" w:hAnsi="Arial" w:cs="Arial"/>
          <w:sz w:val="20"/>
          <w:szCs w:val="20"/>
        </w:rPr>
        <w:t xml:space="preserve">Mycophenolate is an immunosuppressant that is widely used as a treatment for systemic lupus erythematosus (SLE). Its biological effects involve a reduction in immune cell functions, which in turn reduce systemic or organ related inflammation and damage. The benefits of using mycophenolate in SLE need to be carefully balanced against unintended side effects such as increased risk of infection or blunting of vaccine responses. One strategy to counteract these effects is the temporary withdrawal of the immunosuppressant, which allows for the immune system to recover and effectively respond to a vaccine or infection. Our study will examine the effects of withdrawing mycophenolate for a short period in SLE patients to improve their immune responses to the seasonal influenza vaccination while safely maintaining disease control. </w:t>
      </w:r>
    </w:p>
    <w:p w14:paraId="701CDB99" w14:textId="4B0D5C7F" w:rsidR="00912D1E" w:rsidRPr="00D750B3" w:rsidRDefault="00D750B3" w:rsidP="00C54C0B">
      <w:pPr>
        <w:pStyle w:val="Heading1"/>
      </w:pPr>
      <w:bookmarkStart w:id="1" w:name="_Toc117626654"/>
      <w:r w:rsidRPr="00D750B3">
        <w:t xml:space="preserve">2.0 </w:t>
      </w:r>
      <w:r w:rsidR="00912D1E" w:rsidRPr="00D750B3">
        <w:t>Project Outline</w:t>
      </w:r>
      <w:bookmarkEnd w:id="1"/>
      <w:r w:rsidR="00912D1E" w:rsidRPr="00D750B3">
        <w:t xml:space="preserve"> </w:t>
      </w:r>
    </w:p>
    <w:p w14:paraId="1E217991" w14:textId="5832BB06" w:rsidR="00912D1E" w:rsidRPr="00D750B3" w:rsidRDefault="00D750B3" w:rsidP="00C54C0B">
      <w:pPr>
        <w:pStyle w:val="Heading2"/>
      </w:pPr>
      <w:bookmarkStart w:id="2" w:name="_Toc117626655"/>
      <w:r w:rsidRPr="00D750B3">
        <w:t xml:space="preserve">2.1 </w:t>
      </w:r>
      <w:r w:rsidR="00912D1E" w:rsidRPr="00D750B3">
        <w:t>Background</w:t>
      </w:r>
      <w:bookmarkEnd w:id="2"/>
      <w:r w:rsidR="00912D1E" w:rsidRPr="00D750B3">
        <w:t xml:space="preserve"> </w:t>
      </w:r>
    </w:p>
    <w:p w14:paraId="05416242" w14:textId="77777777" w:rsidR="00912D1E" w:rsidRPr="00D750B3" w:rsidRDefault="00912D1E" w:rsidP="00BB4E07">
      <w:pPr>
        <w:pStyle w:val="NormalWeb"/>
        <w:spacing w:line="276" w:lineRule="auto"/>
        <w:jc w:val="both"/>
        <w:rPr>
          <w:rFonts w:ascii="Arial" w:hAnsi="Arial" w:cs="Arial"/>
          <w:sz w:val="20"/>
          <w:szCs w:val="20"/>
        </w:rPr>
      </w:pPr>
      <w:r w:rsidRPr="00D750B3">
        <w:rPr>
          <w:rFonts w:ascii="Arial" w:hAnsi="Arial" w:cs="Arial"/>
          <w:sz w:val="20"/>
          <w:szCs w:val="20"/>
        </w:rPr>
        <w:t xml:space="preserve">Mycophenolate mofetil (MMF) is an inhibitor of </w:t>
      </w:r>
      <w:r w:rsidRPr="00D750B3">
        <w:rPr>
          <w:rFonts w:ascii="Arial" w:hAnsi="Arial" w:cs="Arial"/>
          <w:i/>
          <w:iCs/>
          <w:sz w:val="20"/>
          <w:szCs w:val="20"/>
        </w:rPr>
        <w:t xml:space="preserve">de novo </w:t>
      </w:r>
      <w:r w:rsidRPr="00D750B3">
        <w:rPr>
          <w:rFonts w:ascii="Arial" w:hAnsi="Arial" w:cs="Arial"/>
          <w:sz w:val="20"/>
          <w:szCs w:val="20"/>
        </w:rPr>
        <w:t xml:space="preserve">guanosine nucleotide synthesis and has been used widely as an induction and maintenance immunosuppressant in patients with moderate to severe systemic lupus erythematosus (SLE). In the transplant setting, the suppression of the humoral (antibody) immune responses to influenza and SARS-CoV-2 vaccination by mycophenolate has been well described, raising concerns regarding the effectiveness of immune responses to vaccination in patients with rheumatic diseases such as SLE [1-3]. At the Monash Lupus Clinic, 42% of patients has received mycophenolate, with a higher proportion in those who had high disease activity [4]. </w:t>
      </w:r>
    </w:p>
    <w:p w14:paraId="4E2B3ACE" w14:textId="25A43C79" w:rsidR="00912D1E" w:rsidRPr="00D750B3" w:rsidRDefault="00912D1E" w:rsidP="00BB4E07">
      <w:pPr>
        <w:pStyle w:val="NormalWeb"/>
        <w:spacing w:line="276" w:lineRule="auto"/>
        <w:jc w:val="both"/>
        <w:rPr>
          <w:rFonts w:ascii="Arial" w:hAnsi="Arial" w:cs="Arial"/>
          <w:sz w:val="20"/>
          <w:szCs w:val="20"/>
        </w:rPr>
      </w:pPr>
      <w:r w:rsidRPr="00D750B3">
        <w:rPr>
          <w:rFonts w:ascii="Arial" w:hAnsi="Arial" w:cs="Arial"/>
          <w:sz w:val="20"/>
          <w:szCs w:val="20"/>
        </w:rPr>
        <w:t>In patients with rheumatic and musculoskeletal diseases, one strategy to improve immune responses to vaccination is to temporarily withhold the immunosuppressant. This has been done in several studies with regard to methotrexate use in the rheumatoid arthritis population, resulting in effectiveness in increasing antibody responses to influenza vaccination [5, 6]. However, temporary interruption of mycophenolate has only been studied in a small cohort (n=24) of mixed rheumatic diseases and was found to be associated with an increased antibody response to SARS-CoV-2 mRNA vaccination [7]. This study provides a basis to further evaluate the safety and efficacy of temporary and defined interruption of mycophenolate in SLE patients. There is limited data regarding the timing and duration of the temporary interruption. We propose to use the forthcoming seasonal influenza vaccination program</w:t>
      </w:r>
      <w:r w:rsidR="00D40612">
        <w:rPr>
          <w:rFonts w:ascii="Arial" w:hAnsi="Arial" w:cs="Arial"/>
          <w:sz w:val="20"/>
          <w:szCs w:val="20"/>
        </w:rPr>
        <w:t>s</w:t>
      </w:r>
      <w:r w:rsidRPr="00D750B3">
        <w:rPr>
          <w:rFonts w:ascii="Arial" w:hAnsi="Arial" w:cs="Arial"/>
          <w:sz w:val="20"/>
          <w:szCs w:val="20"/>
        </w:rPr>
        <w:t xml:space="preserve"> in 2023 </w:t>
      </w:r>
      <w:r w:rsidR="00D40612">
        <w:rPr>
          <w:rFonts w:ascii="Arial" w:hAnsi="Arial" w:cs="Arial"/>
          <w:sz w:val="20"/>
          <w:szCs w:val="20"/>
        </w:rPr>
        <w:t xml:space="preserve">and 2024 </w:t>
      </w:r>
      <w:r w:rsidRPr="00D750B3">
        <w:rPr>
          <w:rFonts w:ascii="Arial" w:hAnsi="Arial" w:cs="Arial"/>
          <w:sz w:val="20"/>
          <w:szCs w:val="20"/>
        </w:rPr>
        <w:t>to assess the effects of temporary interruption of mycophenolate in SLE patients with stable disease. Based on the lesson learnt from withholding methotrexate in the rheumatoid arthritis population, we propose a study to compare the effects of a temporarily interruption of mycophenolate treatment for two weeks following vaccination</w:t>
      </w:r>
      <w:r w:rsidR="00D750B3" w:rsidRPr="00D750B3">
        <w:rPr>
          <w:rFonts w:ascii="Arial" w:hAnsi="Arial" w:cs="Arial"/>
          <w:sz w:val="20"/>
          <w:szCs w:val="20"/>
        </w:rPr>
        <w:t xml:space="preserve">, and to investigate if there is a benefit to such strategy </w:t>
      </w:r>
      <w:r w:rsidRPr="00D750B3">
        <w:rPr>
          <w:rFonts w:ascii="Arial" w:hAnsi="Arial" w:cs="Arial"/>
          <w:sz w:val="20"/>
          <w:szCs w:val="20"/>
        </w:rPr>
        <w:t xml:space="preserve">in patients with systemic lupus erythematosus, following influenza vaccination. </w:t>
      </w:r>
    </w:p>
    <w:p w14:paraId="6B7BE0ED" w14:textId="3095D182" w:rsidR="00912D1E" w:rsidRPr="00D750B3" w:rsidRDefault="00D750B3" w:rsidP="00BB4E07">
      <w:pPr>
        <w:pStyle w:val="Heading2"/>
        <w:spacing w:line="276" w:lineRule="auto"/>
        <w:jc w:val="both"/>
      </w:pPr>
      <w:bookmarkStart w:id="3" w:name="_Toc117626656"/>
      <w:r w:rsidRPr="00D750B3">
        <w:t xml:space="preserve">2.2 </w:t>
      </w:r>
      <w:r w:rsidR="00912D1E" w:rsidRPr="00D750B3">
        <w:t>Objective</w:t>
      </w:r>
      <w:bookmarkEnd w:id="3"/>
    </w:p>
    <w:p w14:paraId="266C414F" w14:textId="3CADFE59" w:rsidR="00912D1E" w:rsidRPr="00D750B3" w:rsidRDefault="00D750B3" w:rsidP="00BB4E07">
      <w:pPr>
        <w:pStyle w:val="NormalWeb"/>
        <w:spacing w:line="276" w:lineRule="auto"/>
        <w:jc w:val="both"/>
        <w:rPr>
          <w:rFonts w:ascii="Arial" w:hAnsi="Arial" w:cs="Arial"/>
          <w:sz w:val="20"/>
          <w:szCs w:val="20"/>
        </w:rPr>
      </w:pPr>
      <w:r w:rsidRPr="00BB4E07">
        <w:rPr>
          <w:rStyle w:val="Heading3Char"/>
        </w:rPr>
        <w:t>2.2</w:t>
      </w:r>
      <w:r w:rsidR="008945A4" w:rsidRPr="00BB4E07">
        <w:rPr>
          <w:rStyle w:val="Heading3Char"/>
        </w:rPr>
        <w:t>.1</w:t>
      </w:r>
      <w:r w:rsidR="008945A4">
        <w:rPr>
          <w:rFonts w:ascii="Arial" w:hAnsi="Arial" w:cs="Arial"/>
          <w:sz w:val="20"/>
          <w:szCs w:val="20"/>
        </w:rPr>
        <w:t xml:space="preserve"> </w:t>
      </w:r>
      <w:r w:rsidR="00912D1E" w:rsidRPr="00D750B3">
        <w:rPr>
          <w:rFonts w:ascii="Arial" w:hAnsi="Arial" w:cs="Arial"/>
          <w:sz w:val="20"/>
          <w:szCs w:val="20"/>
        </w:rPr>
        <w:t xml:space="preserve">To quantify antibody specific responses post-seasonal influenza vaccination in patients with systemic lupus erythematosus. </w:t>
      </w:r>
    </w:p>
    <w:p w14:paraId="22124513" w14:textId="7A0374AB" w:rsidR="00912D1E" w:rsidRPr="00D750B3" w:rsidRDefault="00D750B3" w:rsidP="00BB4E07">
      <w:pPr>
        <w:pStyle w:val="NormalWeb"/>
        <w:spacing w:line="276" w:lineRule="auto"/>
        <w:jc w:val="both"/>
        <w:rPr>
          <w:rFonts w:ascii="Arial" w:hAnsi="Arial" w:cs="Arial"/>
          <w:sz w:val="20"/>
          <w:szCs w:val="20"/>
        </w:rPr>
      </w:pPr>
      <w:r w:rsidRPr="00BB4E07">
        <w:rPr>
          <w:rStyle w:val="Heading3Char"/>
        </w:rPr>
        <w:t>2.2.</w:t>
      </w:r>
      <w:r w:rsidR="00912D1E" w:rsidRPr="00BB4E07">
        <w:rPr>
          <w:rStyle w:val="Heading3Char"/>
        </w:rPr>
        <w:t>2</w:t>
      </w:r>
      <w:r w:rsidR="008945A4">
        <w:rPr>
          <w:rFonts w:ascii="Arial" w:hAnsi="Arial" w:cs="Arial"/>
          <w:sz w:val="20"/>
          <w:szCs w:val="20"/>
        </w:rPr>
        <w:t xml:space="preserve"> </w:t>
      </w:r>
      <w:r w:rsidR="00912D1E" w:rsidRPr="00D750B3">
        <w:rPr>
          <w:rFonts w:ascii="Arial" w:hAnsi="Arial" w:cs="Arial"/>
          <w:sz w:val="20"/>
          <w:szCs w:val="20"/>
        </w:rPr>
        <w:t xml:space="preserve">To compare the proportion of patients who have attained adequate antibody titres to the seasonal influenza vaccination with or without withholding immunosuppression. </w:t>
      </w:r>
    </w:p>
    <w:p w14:paraId="31F0A76B" w14:textId="02C1CD30" w:rsidR="00912D1E" w:rsidRPr="00D750B3" w:rsidRDefault="00D750B3" w:rsidP="00BB4E07">
      <w:pPr>
        <w:pStyle w:val="NormalWeb"/>
        <w:spacing w:line="276" w:lineRule="auto"/>
        <w:jc w:val="both"/>
        <w:rPr>
          <w:rFonts w:ascii="Arial" w:hAnsi="Arial" w:cs="Arial"/>
          <w:sz w:val="20"/>
          <w:szCs w:val="20"/>
        </w:rPr>
      </w:pPr>
      <w:r w:rsidRPr="00BB4E07">
        <w:rPr>
          <w:rStyle w:val="Heading3Char"/>
        </w:rPr>
        <w:t>2.2.</w:t>
      </w:r>
      <w:r w:rsidR="00912D1E" w:rsidRPr="00BB4E07">
        <w:rPr>
          <w:rStyle w:val="Heading3Char"/>
        </w:rPr>
        <w:t>3</w:t>
      </w:r>
      <w:r w:rsidR="00912D1E" w:rsidRPr="00D750B3">
        <w:rPr>
          <w:rFonts w:ascii="Arial" w:hAnsi="Arial" w:cs="Arial"/>
          <w:sz w:val="20"/>
          <w:szCs w:val="20"/>
        </w:rPr>
        <w:t xml:space="preserve"> To study the effects of temporary interruption of mycophenolate on flare rates. </w:t>
      </w:r>
    </w:p>
    <w:p w14:paraId="78539294" w14:textId="7E932FEE" w:rsidR="00912D1E" w:rsidRPr="00D750B3" w:rsidRDefault="00D750B3" w:rsidP="00BB4E07">
      <w:pPr>
        <w:pStyle w:val="Heading2"/>
        <w:spacing w:line="276" w:lineRule="auto"/>
        <w:jc w:val="both"/>
      </w:pPr>
      <w:bookmarkStart w:id="4" w:name="_Toc117626657"/>
      <w:r w:rsidRPr="00D750B3">
        <w:lastRenderedPageBreak/>
        <w:t xml:space="preserve">2.3 </w:t>
      </w:r>
      <w:r w:rsidR="00912D1E" w:rsidRPr="00D750B3">
        <w:t>Methodology</w:t>
      </w:r>
      <w:bookmarkEnd w:id="4"/>
      <w:r w:rsidR="00912D1E" w:rsidRPr="00D750B3">
        <w:t xml:space="preserve"> </w:t>
      </w:r>
    </w:p>
    <w:p w14:paraId="5F504665" w14:textId="6FA2B724" w:rsidR="00C54C0B" w:rsidRDefault="00D750B3" w:rsidP="008945A4">
      <w:pPr>
        <w:pStyle w:val="Heading3"/>
      </w:pPr>
      <w:bookmarkStart w:id="5" w:name="_Toc117626658"/>
      <w:r w:rsidRPr="00D750B3">
        <w:t xml:space="preserve">2.3.1 </w:t>
      </w:r>
      <w:r w:rsidR="00912D1E" w:rsidRPr="00D750B3">
        <w:t>Study Design</w:t>
      </w:r>
      <w:bookmarkEnd w:id="5"/>
      <w:r w:rsidR="00912D1E" w:rsidRPr="00D750B3">
        <w:t xml:space="preserve"> </w:t>
      </w:r>
    </w:p>
    <w:p w14:paraId="392B2862" w14:textId="0831A916" w:rsidR="00912D1E" w:rsidRPr="00D750B3" w:rsidRDefault="00912D1E" w:rsidP="00BB4E07">
      <w:pPr>
        <w:pStyle w:val="NormalWeb"/>
        <w:spacing w:line="276" w:lineRule="auto"/>
        <w:jc w:val="both"/>
        <w:rPr>
          <w:rFonts w:ascii="Arial" w:hAnsi="Arial" w:cs="Arial"/>
          <w:sz w:val="20"/>
          <w:szCs w:val="20"/>
        </w:rPr>
      </w:pPr>
      <w:r w:rsidRPr="00D750B3">
        <w:rPr>
          <w:rFonts w:ascii="Arial" w:hAnsi="Arial" w:cs="Arial"/>
          <w:sz w:val="20"/>
          <w:szCs w:val="20"/>
        </w:rPr>
        <w:t>This is a prospective randomi</w:t>
      </w:r>
      <w:r w:rsidR="00335C28">
        <w:rPr>
          <w:rFonts w:ascii="Arial" w:hAnsi="Arial" w:cs="Arial"/>
          <w:sz w:val="20"/>
          <w:szCs w:val="20"/>
        </w:rPr>
        <w:t>s</w:t>
      </w:r>
      <w:r w:rsidRPr="00D750B3">
        <w:rPr>
          <w:rFonts w:ascii="Arial" w:hAnsi="Arial" w:cs="Arial"/>
          <w:sz w:val="20"/>
          <w:szCs w:val="20"/>
        </w:rPr>
        <w:t xml:space="preserve">ed controlled study to evaluate immune responses following seasonal influenza vaccination in adult patients with systemic lupus erythematosus. </w:t>
      </w:r>
    </w:p>
    <w:p w14:paraId="2B8DACA3" w14:textId="5058DFAE" w:rsidR="00C54C0B" w:rsidRDefault="00D750B3" w:rsidP="008945A4">
      <w:pPr>
        <w:pStyle w:val="Heading3"/>
      </w:pPr>
      <w:bookmarkStart w:id="6" w:name="_Toc117626659"/>
      <w:r w:rsidRPr="00D750B3">
        <w:t xml:space="preserve">2.3.2 </w:t>
      </w:r>
      <w:r w:rsidR="00912D1E" w:rsidRPr="00D750B3">
        <w:t>Recruitment</w:t>
      </w:r>
      <w:bookmarkEnd w:id="6"/>
    </w:p>
    <w:p w14:paraId="3889C4F3" w14:textId="5B4E8301" w:rsidR="00BD1DD9" w:rsidRDefault="00912D1E" w:rsidP="00BB4E07">
      <w:pPr>
        <w:pStyle w:val="NormalWeb"/>
        <w:spacing w:line="276" w:lineRule="auto"/>
        <w:jc w:val="both"/>
        <w:rPr>
          <w:rFonts w:ascii="Arial" w:hAnsi="Arial" w:cs="Arial"/>
          <w:sz w:val="20"/>
          <w:szCs w:val="20"/>
        </w:rPr>
      </w:pPr>
      <w:r w:rsidRPr="00D750B3">
        <w:rPr>
          <w:rFonts w:ascii="Arial" w:hAnsi="Arial" w:cs="Arial"/>
          <w:sz w:val="20"/>
          <w:szCs w:val="20"/>
        </w:rPr>
        <w:t>A total of 80 patients will be recruited from Monash Lupus Clinic</w:t>
      </w:r>
      <w:r w:rsidR="00AC490B">
        <w:rPr>
          <w:rFonts w:ascii="Arial" w:hAnsi="Arial" w:cs="Arial"/>
          <w:sz w:val="20"/>
          <w:szCs w:val="20"/>
        </w:rPr>
        <w:t xml:space="preserve"> at Monash Health</w:t>
      </w:r>
      <w:r w:rsidRPr="00D750B3">
        <w:rPr>
          <w:rFonts w:ascii="Arial" w:hAnsi="Arial" w:cs="Arial"/>
          <w:sz w:val="20"/>
          <w:szCs w:val="20"/>
        </w:rPr>
        <w:t xml:space="preserve">, one of the largest subspecialty lupus clinics in Australia. </w:t>
      </w:r>
      <w:r w:rsidR="00335C28">
        <w:rPr>
          <w:rFonts w:ascii="Arial" w:hAnsi="Arial" w:cs="Arial"/>
          <w:sz w:val="20"/>
          <w:szCs w:val="20"/>
        </w:rPr>
        <w:t xml:space="preserve">The majority of the patients attending the clinic also participate </w:t>
      </w:r>
      <w:r w:rsidRPr="00D750B3">
        <w:rPr>
          <w:rFonts w:ascii="Arial" w:hAnsi="Arial" w:cs="Arial"/>
          <w:sz w:val="20"/>
          <w:szCs w:val="20"/>
        </w:rPr>
        <w:t>in the Australian Lupus Registry and Biobank</w:t>
      </w:r>
      <w:r w:rsidR="00DE6A25">
        <w:rPr>
          <w:rFonts w:ascii="Arial" w:hAnsi="Arial" w:cs="Arial"/>
          <w:sz w:val="20"/>
          <w:szCs w:val="20"/>
        </w:rPr>
        <w:t xml:space="preserve"> (ALRB)</w:t>
      </w:r>
      <w:r w:rsidR="00335C28">
        <w:rPr>
          <w:rFonts w:ascii="Arial" w:hAnsi="Arial" w:cs="Arial"/>
          <w:sz w:val="20"/>
          <w:szCs w:val="20"/>
        </w:rPr>
        <w:t>, which is a prospective longitudinal cohort study of SLE</w:t>
      </w:r>
      <w:r w:rsidRPr="00D750B3">
        <w:rPr>
          <w:rFonts w:ascii="Arial" w:hAnsi="Arial" w:cs="Arial"/>
          <w:sz w:val="20"/>
          <w:szCs w:val="20"/>
        </w:rPr>
        <w:t xml:space="preserve"> </w:t>
      </w:r>
      <w:r w:rsidR="00335C28">
        <w:rPr>
          <w:rFonts w:ascii="Arial" w:hAnsi="Arial" w:cs="Arial"/>
          <w:sz w:val="20"/>
          <w:szCs w:val="20"/>
        </w:rPr>
        <w:t xml:space="preserve">patients. Patients have </w:t>
      </w:r>
      <w:r w:rsidRPr="00D750B3">
        <w:rPr>
          <w:rFonts w:ascii="Arial" w:hAnsi="Arial" w:cs="Arial"/>
          <w:sz w:val="20"/>
          <w:szCs w:val="20"/>
        </w:rPr>
        <w:t>their demographics and longitudinal disease related data collected</w:t>
      </w:r>
      <w:r w:rsidR="00335C28">
        <w:rPr>
          <w:rFonts w:ascii="Arial" w:hAnsi="Arial" w:cs="Arial"/>
          <w:sz w:val="20"/>
          <w:szCs w:val="20"/>
        </w:rPr>
        <w:t xml:space="preserve"> and agreed to have their health information shared with other researchers provided written approval is obtained for the study (refer to Generic Master ALR PISIC Version 10 2021-04-19).</w:t>
      </w:r>
      <w:r w:rsidRPr="00D750B3">
        <w:rPr>
          <w:rFonts w:ascii="Arial" w:hAnsi="Arial" w:cs="Arial"/>
          <w:sz w:val="20"/>
          <w:szCs w:val="20"/>
        </w:rPr>
        <w:t xml:space="preserve"> It is estimated about 150 patients from the clinic have had treatment with mycophenolate. </w:t>
      </w:r>
    </w:p>
    <w:p w14:paraId="02B08988" w14:textId="3EDA3FF5" w:rsidR="00BD1DD9" w:rsidRDefault="00BD1DD9" w:rsidP="00BB4E07">
      <w:pPr>
        <w:pStyle w:val="NormalWeb"/>
        <w:spacing w:line="276" w:lineRule="auto"/>
        <w:jc w:val="both"/>
        <w:rPr>
          <w:rFonts w:ascii="Arial" w:hAnsi="Arial" w:cs="Arial"/>
          <w:sz w:val="20"/>
          <w:szCs w:val="20"/>
        </w:rPr>
      </w:pPr>
      <w:r>
        <w:rPr>
          <w:rFonts w:ascii="Arial" w:hAnsi="Arial" w:cs="Arial"/>
          <w:sz w:val="20"/>
          <w:szCs w:val="20"/>
        </w:rPr>
        <w:t xml:space="preserve">Screening procedure: We will go through the </w:t>
      </w:r>
      <w:r w:rsidR="00DF68B4">
        <w:rPr>
          <w:rFonts w:ascii="Arial" w:hAnsi="Arial" w:cs="Arial"/>
          <w:sz w:val="20"/>
          <w:szCs w:val="20"/>
        </w:rPr>
        <w:t>ALRB</w:t>
      </w:r>
      <w:r>
        <w:rPr>
          <w:rFonts w:ascii="Arial" w:hAnsi="Arial" w:cs="Arial"/>
          <w:sz w:val="20"/>
          <w:szCs w:val="20"/>
        </w:rPr>
        <w:t xml:space="preserve"> participants of Monash Health site and identify those patients who meet inclusion and exclusion criteria. </w:t>
      </w:r>
    </w:p>
    <w:p w14:paraId="22CFC86B" w14:textId="1A406F72" w:rsidR="00BD1DD9" w:rsidRDefault="00912D1E" w:rsidP="00BB4E07">
      <w:pPr>
        <w:pStyle w:val="NormalWeb"/>
        <w:spacing w:line="276" w:lineRule="auto"/>
        <w:jc w:val="both"/>
        <w:rPr>
          <w:rFonts w:ascii="Arial" w:hAnsi="Arial" w:cs="Arial"/>
          <w:sz w:val="20"/>
          <w:szCs w:val="20"/>
        </w:rPr>
      </w:pPr>
      <w:r w:rsidRPr="00D750B3">
        <w:rPr>
          <w:rFonts w:ascii="Arial" w:hAnsi="Arial" w:cs="Arial"/>
          <w:sz w:val="20"/>
          <w:szCs w:val="20"/>
        </w:rPr>
        <w:t xml:space="preserve">We will </w:t>
      </w:r>
      <w:r w:rsidR="00BD1DD9">
        <w:rPr>
          <w:rFonts w:ascii="Arial" w:hAnsi="Arial" w:cs="Arial"/>
          <w:sz w:val="20"/>
          <w:szCs w:val="20"/>
        </w:rPr>
        <w:t>then send an email to provide information on the study and invite patients to take part in January</w:t>
      </w:r>
      <w:r w:rsidR="00AC490B">
        <w:rPr>
          <w:rFonts w:ascii="Arial" w:hAnsi="Arial" w:cs="Arial"/>
          <w:sz w:val="20"/>
          <w:szCs w:val="20"/>
        </w:rPr>
        <w:t>/February</w:t>
      </w:r>
      <w:r w:rsidR="00284CD7">
        <w:rPr>
          <w:rFonts w:ascii="Arial" w:hAnsi="Arial" w:cs="Arial"/>
          <w:sz w:val="20"/>
          <w:szCs w:val="20"/>
        </w:rPr>
        <w:t xml:space="preserve"> </w:t>
      </w:r>
      <w:r w:rsidR="00F10E3C">
        <w:rPr>
          <w:rFonts w:ascii="Arial" w:hAnsi="Arial" w:cs="Arial"/>
          <w:sz w:val="20"/>
          <w:szCs w:val="20"/>
        </w:rPr>
        <w:t xml:space="preserve">of the calendar year </w:t>
      </w:r>
      <w:r w:rsidR="00BD1DD9">
        <w:rPr>
          <w:rFonts w:ascii="Arial" w:hAnsi="Arial" w:cs="Arial"/>
          <w:sz w:val="20"/>
          <w:szCs w:val="20"/>
        </w:rPr>
        <w:t xml:space="preserve">(refer to Patient letter TWIRL study). We will send a reminder email four weeks later. Enrolment is anticipated to commence from </w:t>
      </w:r>
      <w:r w:rsidR="00F10E3C">
        <w:rPr>
          <w:rFonts w:ascii="Arial" w:hAnsi="Arial" w:cs="Arial"/>
          <w:sz w:val="20"/>
          <w:szCs w:val="20"/>
        </w:rPr>
        <w:t>February/</w:t>
      </w:r>
      <w:r w:rsidR="00BD1DD9">
        <w:rPr>
          <w:rFonts w:ascii="Arial" w:hAnsi="Arial" w:cs="Arial"/>
          <w:sz w:val="20"/>
          <w:szCs w:val="20"/>
        </w:rPr>
        <w:t>March onwards.</w:t>
      </w:r>
    </w:p>
    <w:p w14:paraId="74963A98" w14:textId="35002DF3" w:rsidR="00BD1DD9" w:rsidRDefault="00F10E3C" w:rsidP="00BB4E07">
      <w:pPr>
        <w:pStyle w:val="NormalWeb"/>
        <w:spacing w:line="276" w:lineRule="auto"/>
        <w:jc w:val="both"/>
        <w:rPr>
          <w:rFonts w:ascii="Arial" w:hAnsi="Arial" w:cs="Arial"/>
          <w:sz w:val="20"/>
          <w:szCs w:val="20"/>
        </w:rPr>
      </w:pPr>
      <w:r>
        <w:rPr>
          <w:rFonts w:ascii="Arial" w:hAnsi="Arial" w:cs="Arial"/>
          <w:sz w:val="20"/>
          <w:szCs w:val="20"/>
        </w:rPr>
        <w:t xml:space="preserve">ALRB participants will also be invited to partake in this study at their regular Monash Lupus Clinic appointments. </w:t>
      </w:r>
      <w:r w:rsidR="00BD1DD9">
        <w:rPr>
          <w:rFonts w:ascii="Arial" w:hAnsi="Arial" w:cs="Arial"/>
          <w:sz w:val="20"/>
          <w:szCs w:val="20"/>
        </w:rPr>
        <w:t xml:space="preserve">Principal and associate investigators are clinicians </w:t>
      </w:r>
      <w:r>
        <w:rPr>
          <w:rFonts w:ascii="Arial" w:hAnsi="Arial" w:cs="Arial"/>
          <w:sz w:val="20"/>
          <w:szCs w:val="20"/>
        </w:rPr>
        <w:t xml:space="preserve">or researchers </w:t>
      </w:r>
      <w:r w:rsidR="00BD1DD9">
        <w:rPr>
          <w:rFonts w:ascii="Arial" w:hAnsi="Arial" w:cs="Arial"/>
          <w:sz w:val="20"/>
          <w:szCs w:val="20"/>
        </w:rPr>
        <w:t>who attend the Monash Lupus Clinic and will be able to provide information during patients’ clinic visit. It is also routine care for us to discuss vaccination schedule during patients’ visit</w:t>
      </w:r>
      <w:r>
        <w:rPr>
          <w:rFonts w:ascii="Arial" w:hAnsi="Arial" w:cs="Arial"/>
          <w:sz w:val="20"/>
          <w:szCs w:val="20"/>
        </w:rPr>
        <w:t>s</w:t>
      </w:r>
      <w:r w:rsidR="00BD1DD9">
        <w:rPr>
          <w:rFonts w:ascii="Arial" w:hAnsi="Arial" w:cs="Arial"/>
          <w:sz w:val="20"/>
          <w:szCs w:val="20"/>
        </w:rPr>
        <w:t xml:space="preserve">. </w:t>
      </w:r>
      <w:r w:rsidR="00BD1DD9" w:rsidRPr="00D750B3">
        <w:rPr>
          <w:rFonts w:ascii="Arial" w:hAnsi="Arial" w:cs="Arial"/>
          <w:sz w:val="20"/>
          <w:szCs w:val="20"/>
        </w:rPr>
        <w:t xml:space="preserve">Patients will be provided opportunity to ask questions about the study, and clinicians can also provide any additional information for patients who may experience some vaccine hesitancy. </w:t>
      </w:r>
    </w:p>
    <w:p w14:paraId="49BE3684" w14:textId="5B527D72" w:rsidR="00BD1DD9" w:rsidRDefault="00BD1DD9" w:rsidP="00BB4E07">
      <w:pPr>
        <w:pStyle w:val="NormalWeb"/>
        <w:spacing w:line="276" w:lineRule="auto"/>
        <w:jc w:val="both"/>
        <w:rPr>
          <w:rFonts w:ascii="Arial" w:hAnsi="Arial" w:cs="Arial"/>
          <w:sz w:val="20"/>
          <w:szCs w:val="20"/>
        </w:rPr>
      </w:pPr>
      <w:r>
        <w:rPr>
          <w:rFonts w:ascii="Arial" w:hAnsi="Arial" w:cs="Arial"/>
          <w:sz w:val="20"/>
          <w:szCs w:val="20"/>
        </w:rPr>
        <w:t xml:space="preserve">We will send a final email to those who have not yet been recruited </w:t>
      </w:r>
      <w:r w:rsidR="00F10E3C">
        <w:rPr>
          <w:rFonts w:ascii="Arial" w:hAnsi="Arial" w:cs="Arial"/>
          <w:sz w:val="20"/>
          <w:szCs w:val="20"/>
        </w:rPr>
        <w:t xml:space="preserve">by June </w:t>
      </w:r>
      <w:r>
        <w:rPr>
          <w:rFonts w:ascii="Arial" w:hAnsi="Arial" w:cs="Arial"/>
          <w:sz w:val="20"/>
          <w:szCs w:val="20"/>
        </w:rPr>
        <w:t xml:space="preserve">to prompt patients’ participation. After that if during the clinic visits discussion on influenza vaccination is raised and the patients have not received the </w:t>
      </w:r>
      <w:r w:rsidR="00C40DEF">
        <w:rPr>
          <w:rFonts w:ascii="Arial" w:hAnsi="Arial" w:cs="Arial"/>
          <w:sz w:val="20"/>
          <w:szCs w:val="20"/>
        </w:rPr>
        <w:t xml:space="preserve">seasonal </w:t>
      </w:r>
      <w:r>
        <w:rPr>
          <w:rFonts w:ascii="Arial" w:hAnsi="Arial" w:cs="Arial"/>
          <w:sz w:val="20"/>
          <w:szCs w:val="20"/>
        </w:rPr>
        <w:t xml:space="preserve">influenza vaccine, then we will provide information for patients (paper format). Recruitment will be closed by </w:t>
      </w:r>
      <w:r w:rsidR="00F57269">
        <w:rPr>
          <w:rFonts w:ascii="Arial" w:hAnsi="Arial" w:cs="Arial"/>
          <w:sz w:val="20"/>
          <w:szCs w:val="20"/>
        </w:rPr>
        <w:t>31</w:t>
      </w:r>
      <w:r w:rsidR="00F57269" w:rsidRPr="00BB4E07">
        <w:rPr>
          <w:rFonts w:ascii="Arial" w:hAnsi="Arial" w:cs="Arial"/>
          <w:sz w:val="20"/>
          <w:szCs w:val="20"/>
          <w:vertAlign w:val="superscript"/>
        </w:rPr>
        <w:t>st</w:t>
      </w:r>
      <w:r w:rsidR="00F57269">
        <w:rPr>
          <w:rFonts w:ascii="Arial" w:hAnsi="Arial" w:cs="Arial"/>
          <w:sz w:val="20"/>
          <w:szCs w:val="20"/>
        </w:rPr>
        <w:t xml:space="preserve"> </w:t>
      </w:r>
      <w:r>
        <w:rPr>
          <w:rFonts w:ascii="Arial" w:hAnsi="Arial" w:cs="Arial"/>
          <w:sz w:val="20"/>
          <w:szCs w:val="20"/>
        </w:rPr>
        <w:t xml:space="preserve">August </w:t>
      </w:r>
      <w:r w:rsidR="002051CF">
        <w:rPr>
          <w:rFonts w:ascii="Arial" w:hAnsi="Arial" w:cs="Arial"/>
          <w:sz w:val="20"/>
          <w:szCs w:val="20"/>
        </w:rPr>
        <w:t>2024.</w:t>
      </w:r>
    </w:p>
    <w:p w14:paraId="5CF2E06F" w14:textId="7C89FCEF" w:rsidR="0036399E" w:rsidRPr="00D750B3" w:rsidRDefault="00D750B3" w:rsidP="00BB4E07">
      <w:pPr>
        <w:pStyle w:val="Heading3"/>
        <w:spacing w:line="276" w:lineRule="auto"/>
        <w:jc w:val="both"/>
      </w:pPr>
      <w:bookmarkStart w:id="7" w:name="_Toc117626660"/>
      <w:r w:rsidRPr="00D750B3">
        <w:t xml:space="preserve">2.3.3 </w:t>
      </w:r>
      <w:r w:rsidR="0036399E" w:rsidRPr="00D750B3">
        <w:t>Inclusion criteria</w:t>
      </w:r>
      <w:bookmarkEnd w:id="7"/>
      <w:r w:rsidR="0036399E" w:rsidRPr="00D750B3">
        <w:t xml:space="preserve"> </w:t>
      </w:r>
    </w:p>
    <w:p w14:paraId="6C98F290" w14:textId="1DCDAF80" w:rsidR="0036399E" w:rsidRPr="00D750B3" w:rsidRDefault="0036399E" w:rsidP="00BB4E07">
      <w:pPr>
        <w:numPr>
          <w:ilvl w:val="0"/>
          <w:numId w:val="2"/>
        </w:num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sz w:val="20"/>
          <w:szCs w:val="20"/>
        </w:rPr>
        <w:t xml:space="preserve">Patients with systemic lupus erythematosus, who </w:t>
      </w:r>
      <w:r w:rsidR="00335C28">
        <w:rPr>
          <w:rFonts w:ascii="Arial" w:eastAsia="Times New Roman" w:hAnsi="Arial" w:cs="Arial"/>
          <w:sz w:val="20"/>
          <w:szCs w:val="20"/>
        </w:rPr>
        <w:t>are</w:t>
      </w:r>
      <w:r w:rsidRPr="00D750B3">
        <w:rPr>
          <w:rFonts w:ascii="Arial" w:eastAsia="Times New Roman" w:hAnsi="Arial" w:cs="Arial"/>
          <w:sz w:val="20"/>
          <w:szCs w:val="20"/>
        </w:rPr>
        <w:t xml:space="preserve"> currently enrolled in the Australian Lupus Registry &amp; Biobank. </w:t>
      </w:r>
    </w:p>
    <w:p w14:paraId="429E8243" w14:textId="4BB53177" w:rsidR="0036399E" w:rsidRPr="00D750B3" w:rsidRDefault="0036399E" w:rsidP="00BB4E07">
      <w:pPr>
        <w:numPr>
          <w:ilvl w:val="0"/>
          <w:numId w:val="2"/>
        </w:num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sz w:val="20"/>
          <w:szCs w:val="20"/>
        </w:rPr>
        <w:t xml:space="preserve">Receiving stable doses of mycophenolate </w:t>
      </w:r>
      <w:r w:rsidR="007D3AF8">
        <w:rPr>
          <w:rFonts w:ascii="Arial" w:eastAsia="Times New Roman" w:hAnsi="Arial" w:cs="Arial"/>
          <w:sz w:val="20"/>
          <w:szCs w:val="20"/>
        </w:rPr>
        <w:t xml:space="preserve">(either mycophenolate mofetil, mycophenolic acid or mycophenolate sodium) </w:t>
      </w:r>
      <w:r w:rsidR="00335C28">
        <w:rPr>
          <w:rFonts w:ascii="Arial" w:eastAsia="Times New Roman" w:hAnsi="Arial" w:cs="Arial"/>
          <w:sz w:val="20"/>
          <w:szCs w:val="20"/>
        </w:rPr>
        <w:t>and have not experienced a flare in the last 3 months.</w:t>
      </w:r>
    </w:p>
    <w:p w14:paraId="55F8193C" w14:textId="77777777" w:rsidR="0036399E" w:rsidRPr="00D750B3" w:rsidRDefault="0036399E" w:rsidP="00BB4E07">
      <w:pPr>
        <w:numPr>
          <w:ilvl w:val="0"/>
          <w:numId w:val="2"/>
        </w:num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sz w:val="20"/>
          <w:szCs w:val="20"/>
        </w:rPr>
        <w:t xml:space="preserve">Combination with hydroxychloroquine will be permitted </w:t>
      </w:r>
    </w:p>
    <w:p w14:paraId="29ECE4EC" w14:textId="62F4532A" w:rsidR="0036399E" w:rsidRPr="00D750B3" w:rsidRDefault="0036399E" w:rsidP="00BB4E07">
      <w:pPr>
        <w:numPr>
          <w:ilvl w:val="0"/>
          <w:numId w:val="2"/>
        </w:num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sz w:val="20"/>
          <w:szCs w:val="20"/>
        </w:rPr>
        <w:t xml:space="preserve">Prednisolone must be at a dose equal or lower than </w:t>
      </w:r>
      <w:r w:rsidR="00D750B3" w:rsidRPr="00D750B3">
        <w:rPr>
          <w:rFonts w:ascii="Arial" w:eastAsia="Times New Roman" w:hAnsi="Arial" w:cs="Arial"/>
          <w:sz w:val="20"/>
          <w:szCs w:val="20"/>
        </w:rPr>
        <w:t>7.5</w:t>
      </w:r>
      <w:r w:rsidRPr="00D750B3">
        <w:rPr>
          <w:rFonts w:ascii="Arial" w:eastAsia="Times New Roman" w:hAnsi="Arial" w:cs="Arial"/>
          <w:sz w:val="20"/>
          <w:szCs w:val="20"/>
        </w:rPr>
        <w:t xml:space="preserve">mg/day. </w:t>
      </w:r>
    </w:p>
    <w:p w14:paraId="0016E836" w14:textId="665DC56C" w:rsidR="0036399E" w:rsidRPr="00D750B3" w:rsidRDefault="00D750B3" w:rsidP="00BB4E07">
      <w:pPr>
        <w:pStyle w:val="Heading3"/>
        <w:spacing w:line="276" w:lineRule="auto"/>
        <w:jc w:val="both"/>
      </w:pPr>
      <w:bookmarkStart w:id="8" w:name="_Toc117626661"/>
      <w:r w:rsidRPr="00D750B3">
        <w:t xml:space="preserve">2.3.4 </w:t>
      </w:r>
      <w:r w:rsidR="0036399E" w:rsidRPr="00D750B3">
        <w:t>Exclusion criteria</w:t>
      </w:r>
      <w:bookmarkEnd w:id="8"/>
    </w:p>
    <w:p w14:paraId="09D7151F" w14:textId="77777777" w:rsidR="0036399E" w:rsidRPr="00D750B3" w:rsidRDefault="0036399E" w:rsidP="00BB4E07">
      <w:pPr>
        <w:numPr>
          <w:ilvl w:val="0"/>
          <w:numId w:val="3"/>
        </w:num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sz w:val="20"/>
          <w:szCs w:val="20"/>
        </w:rPr>
        <w:t xml:space="preserve">Concomitant use of other biologics such as rituximab or belimumab in the last 6 months </w:t>
      </w:r>
    </w:p>
    <w:p w14:paraId="5365BAD1" w14:textId="44CB3A45" w:rsidR="008945A4" w:rsidRPr="004910A4" w:rsidRDefault="0036399E" w:rsidP="00BB4E07">
      <w:pPr>
        <w:numPr>
          <w:ilvl w:val="0"/>
          <w:numId w:val="3"/>
        </w:num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sz w:val="20"/>
          <w:szCs w:val="20"/>
        </w:rPr>
        <w:t xml:space="preserve">Other targeted synthetic disease modifying anti-rheumatic drugs </w:t>
      </w:r>
      <w:r w:rsidR="00335C28">
        <w:rPr>
          <w:rFonts w:ascii="Arial" w:eastAsia="Times New Roman" w:hAnsi="Arial" w:cs="Arial"/>
          <w:sz w:val="20"/>
          <w:szCs w:val="20"/>
        </w:rPr>
        <w:t>such as JAK inhibitors</w:t>
      </w:r>
    </w:p>
    <w:p w14:paraId="15306EDD" w14:textId="5CEFAB18" w:rsidR="0036399E" w:rsidRPr="00D750B3" w:rsidRDefault="00D750B3" w:rsidP="00C54C0B">
      <w:pPr>
        <w:pStyle w:val="Heading3"/>
      </w:pPr>
      <w:bookmarkStart w:id="9" w:name="_Toc117626662"/>
      <w:r w:rsidRPr="00D750B3">
        <w:lastRenderedPageBreak/>
        <w:t xml:space="preserve">2.3.5 </w:t>
      </w:r>
      <w:r w:rsidR="0036399E" w:rsidRPr="00D750B3">
        <w:t xml:space="preserve">Study visit </w:t>
      </w:r>
      <w:r w:rsidR="00335C28">
        <w:t>and as</w:t>
      </w:r>
      <w:r w:rsidR="0036399E" w:rsidRPr="00D750B3">
        <w:t>s</w:t>
      </w:r>
      <w:r w:rsidR="00335C28">
        <w:t>essment s</w:t>
      </w:r>
      <w:r w:rsidR="0036399E" w:rsidRPr="00D750B3">
        <w:t>chedule</w:t>
      </w:r>
      <w:bookmarkEnd w:id="9"/>
      <w:r w:rsidR="0036399E" w:rsidRPr="00D750B3">
        <w:t xml:space="preserve"> </w:t>
      </w:r>
    </w:p>
    <w:tbl>
      <w:tblPr>
        <w:tblW w:w="9132" w:type="dxa"/>
        <w:tblLook w:val="04A0" w:firstRow="1" w:lastRow="0" w:firstColumn="1" w:lastColumn="0" w:noHBand="0" w:noVBand="1"/>
      </w:tblPr>
      <w:tblGrid>
        <w:gridCol w:w="2593"/>
        <w:gridCol w:w="1104"/>
        <w:gridCol w:w="1087"/>
        <w:gridCol w:w="1087"/>
        <w:gridCol w:w="1087"/>
        <w:gridCol w:w="1087"/>
        <w:gridCol w:w="1087"/>
      </w:tblGrid>
      <w:tr w:rsidR="00D750B3" w:rsidRPr="00D750B3" w14:paraId="5A028980" w14:textId="77777777" w:rsidTr="00D750B3">
        <w:trPr>
          <w:trHeight w:val="317"/>
        </w:trPr>
        <w:tc>
          <w:tcPr>
            <w:tcW w:w="2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5CCE"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14:paraId="2584EC7B"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Baseline</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7770F383"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Week 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433AD7B5"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Week 2</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437222FB" w14:textId="374A964C"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Week 4</w:t>
            </w:r>
            <w:r w:rsidR="007D3AF8">
              <w:rPr>
                <w:rFonts w:ascii="Arial" w:eastAsia="Times New Roman" w:hAnsi="Arial" w:cs="Arial"/>
                <w:color w:val="000000"/>
                <w:sz w:val="20"/>
                <w:szCs w:val="20"/>
              </w:rPr>
              <w:t>/5</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0CB4C410"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Week 8</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0DD25B3A"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Week 12</w:t>
            </w:r>
          </w:p>
        </w:tc>
      </w:tr>
      <w:tr w:rsidR="00D750B3" w:rsidRPr="00D750B3" w14:paraId="23B6497A" w14:textId="77777777" w:rsidTr="00D750B3">
        <w:trPr>
          <w:trHeight w:val="317"/>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14:paraId="2E61CDA4"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Patient visit</w:t>
            </w:r>
          </w:p>
        </w:tc>
        <w:tc>
          <w:tcPr>
            <w:tcW w:w="1104" w:type="dxa"/>
            <w:tcBorders>
              <w:top w:val="nil"/>
              <w:left w:val="nil"/>
              <w:bottom w:val="single" w:sz="4" w:space="0" w:color="auto"/>
              <w:right w:val="single" w:sz="4" w:space="0" w:color="auto"/>
            </w:tcBorders>
            <w:shd w:val="clear" w:color="auto" w:fill="auto"/>
            <w:noWrap/>
            <w:vAlign w:val="bottom"/>
            <w:hideMark/>
          </w:tcPr>
          <w:p w14:paraId="791AD3C2"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153AA8BF"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06687730"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bottom"/>
            <w:hideMark/>
          </w:tcPr>
          <w:p w14:paraId="70B13112"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58B46810"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bottom"/>
            <w:hideMark/>
          </w:tcPr>
          <w:p w14:paraId="1C0916A4" w14:textId="0084E465" w:rsidR="00D750B3" w:rsidRPr="00D750B3" w:rsidRDefault="00D750B3" w:rsidP="00D750B3">
            <w:pPr>
              <w:rPr>
                <w:rFonts w:ascii="Arial" w:eastAsia="Times New Roman" w:hAnsi="Arial" w:cs="Arial"/>
                <w:color w:val="000000"/>
                <w:sz w:val="20"/>
                <w:szCs w:val="20"/>
              </w:rPr>
            </w:pPr>
          </w:p>
        </w:tc>
      </w:tr>
      <w:tr w:rsidR="00D750B3" w:rsidRPr="00D750B3" w14:paraId="7F36F84C" w14:textId="77777777" w:rsidTr="00D750B3">
        <w:trPr>
          <w:trHeight w:val="317"/>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14:paraId="232D9421"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Clinician review</w:t>
            </w:r>
          </w:p>
        </w:tc>
        <w:tc>
          <w:tcPr>
            <w:tcW w:w="1104" w:type="dxa"/>
            <w:tcBorders>
              <w:top w:val="nil"/>
              <w:left w:val="nil"/>
              <w:bottom w:val="single" w:sz="4" w:space="0" w:color="auto"/>
              <w:right w:val="single" w:sz="4" w:space="0" w:color="auto"/>
            </w:tcBorders>
            <w:shd w:val="clear" w:color="auto" w:fill="auto"/>
            <w:noWrap/>
            <w:vAlign w:val="bottom"/>
            <w:hideMark/>
          </w:tcPr>
          <w:p w14:paraId="2698826B" w14:textId="053ABA48" w:rsidR="00D750B3" w:rsidRPr="00D750B3" w:rsidRDefault="008945A4" w:rsidP="00D750B3">
            <w:pPr>
              <w:rPr>
                <w:rFonts w:ascii="Arial" w:eastAsia="Times New Roman" w:hAnsi="Arial" w:cs="Arial"/>
                <w:color w:val="000000"/>
                <w:sz w:val="20"/>
                <w:szCs w:val="20"/>
              </w:rPr>
            </w:pPr>
            <w:r>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43D000D6"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bottom"/>
            <w:hideMark/>
          </w:tcPr>
          <w:p w14:paraId="1DBCF3E7"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bottom"/>
            <w:hideMark/>
          </w:tcPr>
          <w:p w14:paraId="74E59671"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26C96FBA"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bottom"/>
            <w:hideMark/>
          </w:tcPr>
          <w:p w14:paraId="18D00405" w14:textId="3909097D" w:rsidR="00D750B3" w:rsidRPr="00D750B3" w:rsidRDefault="00D750B3" w:rsidP="00D750B3">
            <w:pPr>
              <w:rPr>
                <w:rFonts w:ascii="Arial" w:eastAsia="Times New Roman" w:hAnsi="Arial" w:cs="Arial"/>
                <w:color w:val="000000"/>
                <w:sz w:val="20"/>
                <w:szCs w:val="20"/>
              </w:rPr>
            </w:pPr>
          </w:p>
        </w:tc>
      </w:tr>
      <w:tr w:rsidR="00D750B3" w:rsidRPr="00D750B3" w14:paraId="0CEDB3A8" w14:textId="77777777" w:rsidTr="00D750B3">
        <w:trPr>
          <w:trHeight w:val="317"/>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14:paraId="7AE07C8F"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Blood collection</w:t>
            </w:r>
          </w:p>
        </w:tc>
        <w:tc>
          <w:tcPr>
            <w:tcW w:w="1104" w:type="dxa"/>
            <w:tcBorders>
              <w:top w:val="nil"/>
              <w:left w:val="nil"/>
              <w:bottom w:val="single" w:sz="4" w:space="0" w:color="auto"/>
              <w:right w:val="single" w:sz="4" w:space="0" w:color="auto"/>
            </w:tcBorders>
            <w:shd w:val="clear" w:color="auto" w:fill="auto"/>
            <w:noWrap/>
            <w:vAlign w:val="bottom"/>
            <w:hideMark/>
          </w:tcPr>
          <w:p w14:paraId="11176B05" w14:textId="2ABDE1A0" w:rsidR="00D750B3" w:rsidRPr="00D750B3" w:rsidRDefault="00D750B3" w:rsidP="00D750B3">
            <w:pPr>
              <w:rPr>
                <w:rFonts w:ascii="Arial" w:eastAsia="Times New Roman" w:hAnsi="Arial" w:cs="Arial"/>
                <w:color w:val="000000"/>
                <w:sz w:val="20"/>
                <w:szCs w:val="20"/>
              </w:rPr>
            </w:pPr>
          </w:p>
        </w:tc>
        <w:tc>
          <w:tcPr>
            <w:tcW w:w="1087" w:type="dxa"/>
            <w:tcBorders>
              <w:top w:val="nil"/>
              <w:left w:val="nil"/>
              <w:bottom w:val="single" w:sz="4" w:space="0" w:color="auto"/>
              <w:right w:val="single" w:sz="4" w:space="0" w:color="auto"/>
            </w:tcBorders>
            <w:shd w:val="clear" w:color="auto" w:fill="auto"/>
            <w:noWrap/>
            <w:vAlign w:val="bottom"/>
            <w:hideMark/>
          </w:tcPr>
          <w:p w14:paraId="4A71560A" w14:textId="51859037" w:rsidR="00D750B3" w:rsidRPr="00D750B3" w:rsidRDefault="007D3AF8" w:rsidP="00D750B3">
            <w:pPr>
              <w:rPr>
                <w:rFonts w:ascii="Arial" w:eastAsia="Times New Roman" w:hAnsi="Arial" w:cs="Arial"/>
                <w:color w:val="000000"/>
                <w:sz w:val="20"/>
                <w:szCs w:val="20"/>
              </w:rPr>
            </w:pPr>
            <w:r>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78FE9273"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bottom"/>
            <w:hideMark/>
          </w:tcPr>
          <w:p w14:paraId="5945374B"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4F671947"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bottom"/>
            <w:hideMark/>
          </w:tcPr>
          <w:p w14:paraId="41419B40"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r>
      <w:tr w:rsidR="008945A4" w:rsidRPr="00D750B3" w14:paraId="253751EE" w14:textId="77777777" w:rsidTr="00D750B3">
        <w:trPr>
          <w:trHeight w:val="317"/>
        </w:trPr>
        <w:tc>
          <w:tcPr>
            <w:tcW w:w="2593" w:type="dxa"/>
            <w:tcBorders>
              <w:top w:val="nil"/>
              <w:left w:val="single" w:sz="4" w:space="0" w:color="auto"/>
              <w:bottom w:val="single" w:sz="4" w:space="0" w:color="auto"/>
              <w:right w:val="single" w:sz="4" w:space="0" w:color="auto"/>
            </w:tcBorders>
            <w:shd w:val="clear" w:color="auto" w:fill="auto"/>
            <w:noWrap/>
            <w:vAlign w:val="bottom"/>
          </w:tcPr>
          <w:p w14:paraId="532BE9B0" w14:textId="69B0B8EB" w:rsidR="008945A4" w:rsidRPr="00D750B3" w:rsidRDefault="008945A4" w:rsidP="00D750B3">
            <w:pPr>
              <w:rPr>
                <w:rFonts w:ascii="Arial" w:eastAsia="Times New Roman" w:hAnsi="Arial" w:cs="Arial"/>
                <w:color w:val="000000"/>
                <w:sz w:val="20"/>
                <w:szCs w:val="20"/>
              </w:rPr>
            </w:pPr>
            <w:r>
              <w:rPr>
                <w:rFonts w:ascii="Arial" w:eastAsia="Times New Roman" w:hAnsi="Arial" w:cs="Arial"/>
                <w:color w:val="000000"/>
                <w:sz w:val="20"/>
                <w:szCs w:val="20"/>
              </w:rPr>
              <w:t>Influenza vaccination</w:t>
            </w:r>
          </w:p>
        </w:tc>
        <w:tc>
          <w:tcPr>
            <w:tcW w:w="1104" w:type="dxa"/>
            <w:tcBorders>
              <w:top w:val="nil"/>
              <w:left w:val="nil"/>
              <w:bottom w:val="single" w:sz="4" w:space="0" w:color="auto"/>
              <w:right w:val="single" w:sz="4" w:space="0" w:color="auto"/>
            </w:tcBorders>
            <w:shd w:val="clear" w:color="auto" w:fill="auto"/>
            <w:noWrap/>
            <w:vAlign w:val="bottom"/>
          </w:tcPr>
          <w:p w14:paraId="56B0EA8A" w14:textId="77777777" w:rsidR="008945A4" w:rsidRPr="00D750B3" w:rsidRDefault="008945A4" w:rsidP="00D750B3">
            <w:pPr>
              <w:rPr>
                <w:rFonts w:ascii="Arial" w:eastAsia="Times New Roman" w:hAnsi="Arial" w:cs="Arial"/>
                <w:color w:val="000000"/>
                <w:sz w:val="20"/>
                <w:szCs w:val="20"/>
              </w:rPr>
            </w:pPr>
          </w:p>
        </w:tc>
        <w:tc>
          <w:tcPr>
            <w:tcW w:w="1087" w:type="dxa"/>
            <w:tcBorders>
              <w:top w:val="nil"/>
              <w:left w:val="nil"/>
              <w:bottom w:val="single" w:sz="4" w:space="0" w:color="auto"/>
              <w:right w:val="single" w:sz="4" w:space="0" w:color="auto"/>
            </w:tcBorders>
            <w:shd w:val="clear" w:color="auto" w:fill="auto"/>
            <w:noWrap/>
            <w:vAlign w:val="bottom"/>
          </w:tcPr>
          <w:p w14:paraId="5C2295A9" w14:textId="4EA853E6" w:rsidR="008945A4" w:rsidRPr="00D750B3" w:rsidRDefault="008945A4" w:rsidP="00D750B3">
            <w:pPr>
              <w:rPr>
                <w:rFonts w:ascii="Arial" w:eastAsia="Times New Roman" w:hAnsi="Arial" w:cs="Arial"/>
                <w:color w:val="000000"/>
                <w:sz w:val="20"/>
                <w:szCs w:val="20"/>
              </w:rPr>
            </w:pPr>
            <w:r>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tcPr>
          <w:p w14:paraId="35D452F4" w14:textId="77777777" w:rsidR="008945A4" w:rsidRPr="00D750B3" w:rsidRDefault="008945A4" w:rsidP="00D750B3">
            <w:pPr>
              <w:rPr>
                <w:rFonts w:ascii="Arial" w:eastAsia="Times New Roman" w:hAnsi="Arial" w:cs="Arial"/>
                <w:color w:val="000000"/>
                <w:sz w:val="20"/>
                <w:szCs w:val="20"/>
              </w:rPr>
            </w:pPr>
          </w:p>
        </w:tc>
        <w:tc>
          <w:tcPr>
            <w:tcW w:w="1087" w:type="dxa"/>
            <w:tcBorders>
              <w:top w:val="nil"/>
              <w:left w:val="nil"/>
              <w:bottom w:val="single" w:sz="4" w:space="0" w:color="auto"/>
              <w:right w:val="single" w:sz="4" w:space="0" w:color="auto"/>
            </w:tcBorders>
            <w:shd w:val="clear" w:color="auto" w:fill="auto"/>
            <w:noWrap/>
            <w:vAlign w:val="bottom"/>
          </w:tcPr>
          <w:p w14:paraId="2D7F3D53" w14:textId="77777777" w:rsidR="008945A4" w:rsidRPr="00D750B3" w:rsidRDefault="008945A4" w:rsidP="00D750B3">
            <w:pPr>
              <w:rPr>
                <w:rFonts w:ascii="Arial" w:eastAsia="Times New Roman" w:hAnsi="Arial" w:cs="Arial"/>
                <w:color w:val="000000"/>
                <w:sz w:val="20"/>
                <w:szCs w:val="20"/>
              </w:rPr>
            </w:pPr>
          </w:p>
        </w:tc>
        <w:tc>
          <w:tcPr>
            <w:tcW w:w="1087" w:type="dxa"/>
            <w:tcBorders>
              <w:top w:val="nil"/>
              <w:left w:val="nil"/>
              <w:bottom w:val="single" w:sz="4" w:space="0" w:color="auto"/>
              <w:right w:val="single" w:sz="4" w:space="0" w:color="auto"/>
            </w:tcBorders>
            <w:shd w:val="clear" w:color="auto" w:fill="auto"/>
            <w:noWrap/>
            <w:vAlign w:val="bottom"/>
          </w:tcPr>
          <w:p w14:paraId="05605519" w14:textId="77777777" w:rsidR="008945A4" w:rsidRPr="00D750B3" w:rsidRDefault="008945A4" w:rsidP="00D750B3">
            <w:pPr>
              <w:rPr>
                <w:rFonts w:ascii="Arial" w:eastAsia="Times New Roman" w:hAnsi="Arial" w:cs="Arial"/>
                <w:color w:val="000000"/>
                <w:sz w:val="20"/>
                <w:szCs w:val="20"/>
              </w:rPr>
            </w:pPr>
          </w:p>
        </w:tc>
        <w:tc>
          <w:tcPr>
            <w:tcW w:w="1087" w:type="dxa"/>
            <w:tcBorders>
              <w:top w:val="nil"/>
              <w:left w:val="nil"/>
              <w:bottom w:val="single" w:sz="4" w:space="0" w:color="auto"/>
              <w:right w:val="single" w:sz="4" w:space="0" w:color="auto"/>
            </w:tcBorders>
            <w:shd w:val="clear" w:color="auto" w:fill="auto"/>
            <w:noWrap/>
            <w:vAlign w:val="bottom"/>
          </w:tcPr>
          <w:p w14:paraId="5BAD5F8C" w14:textId="77777777" w:rsidR="008945A4" w:rsidRPr="00D750B3" w:rsidRDefault="008945A4" w:rsidP="00D750B3">
            <w:pPr>
              <w:rPr>
                <w:rFonts w:ascii="Arial" w:eastAsia="Times New Roman" w:hAnsi="Arial" w:cs="Arial"/>
                <w:color w:val="000000"/>
                <w:sz w:val="20"/>
                <w:szCs w:val="20"/>
              </w:rPr>
            </w:pPr>
          </w:p>
        </w:tc>
      </w:tr>
      <w:tr w:rsidR="00D750B3" w:rsidRPr="00D750B3" w14:paraId="6E65F899" w14:textId="77777777" w:rsidTr="00D750B3">
        <w:trPr>
          <w:trHeight w:val="317"/>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14:paraId="1611D980"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RAPID3</w:t>
            </w:r>
          </w:p>
        </w:tc>
        <w:tc>
          <w:tcPr>
            <w:tcW w:w="1104" w:type="dxa"/>
            <w:tcBorders>
              <w:top w:val="nil"/>
              <w:left w:val="nil"/>
              <w:bottom w:val="single" w:sz="4" w:space="0" w:color="auto"/>
              <w:right w:val="single" w:sz="4" w:space="0" w:color="auto"/>
            </w:tcBorders>
            <w:shd w:val="clear" w:color="auto" w:fill="auto"/>
            <w:noWrap/>
            <w:vAlign w:val="bottom"/>
            <w:hideMark/>
          </w:tcPr>
          <w:p w14:paraId="45D1B015"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bottom"/>
            <w:hideMark/>
          </w:tcPr>
          <w:p w14:paraId="185CF265"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40CBBB39"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62DA4BD4"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6B9BE0D9"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560DE70E"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r>
      <w:tr w:rsidR="00D750B3" w:rsidRPr="00D750B3" w14:paraId="01195ED1" w14:textId="77777777" w:rsidTr="00D750B3">
        <w:trPr>
          <w:trHeight w:val="317"/>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14:paraId="58FEF0BA" w14:textId="7E6E26D2"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Influenza checker</w:t>
            </w:r>
          </w:p>
        </w:tc>
        <w:tc>
          <w:tcPr>
            <w:tcW w:w="1104" w:type="dxa"/>
            <w:tcBorders>
              <w:top w:val="nil"/>
              <w:left w:val="nil"/>
              <w:bottom w:val="single" w:sz="4" w:space="0" w:color="auto"/>
              <w:right w:val="single" w:sz="4" w:space="0" w:color="auto"/>
            </w:tcBorders>
            <w:shd w:val="clear" w:color="auto" w:fill="auto"/>
            <w:noWrap/>
            <w:vAlign w:val="bottom"/>
            <w:hideMark/>
          </w:tcPr>
          <w:p w14:paraId="4766062F"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bottom"/>
            <w:hideMark/>
          </w:tcPr>
          <w:p w14:paraId="30080128"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bottom"/>
            <w:hideMark/>
          </w:tcPr>
          <w:p w14:paraId="3E212B55"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bottom"/>
            <w:hideMark/>
          </w:tcPr>
          <w:p w14:paraId="19882084"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16542A1E"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c>
          <w:tcPr>
            <w:tcW w:w="1087" w:type="dxa"/>
            <w:tcBorders>
              <w:top w:val="nil"/>
              <w:left w:val="nil"/>
              <w:bottom w:val="single" w:sz="4" w:space="0" w:color="auto"/>
              <w:right w:val="single" w:sz="4" w:space="0" w:color="auto"/>
            </w:tcBorders>
            <w:shd w:val="clear" w:color="auto" w:fill="auto"/>
            <w:noWrap/>
            <w:vAlign w:val="bottom"/>
            <w:hideMark/>
          </w:tcPr>
          <w:p w14:paraId="35E08349" w14:textId="77777777" w:rsidR="00D750B3" w:rsidRPr="00D750B3" w:rsidRDefault="00D750B3" w:rsidP="00D750B3">
            <w:pPr>
              <w:rPr>
                <w:rFonts w:ascii="Arial" w:eastAsia="Times New Roman" w:hAnsi="Arial" w:cs="Arial"/>
                <w:color w:val="000000"/>
                <w:sz w:val="20"/>
                <w:szCs w:val="20"/>
              </w:rPr>
            </w:pPr>
            <w:r w:rsidRPr="00D750B3">
              <w:rPr>
                <w:rFonts w:ascii="Arial" w:eastAsia="Times New Roman" w:hAnsi="Arial" w:cs="Arial"/>
                <w:color w:val="000000"/>
                <w:sz w:val="20"/>
                <w:szCs w:val="20"/>
              </w:rPr>
              <w:t>Y</w:t>
            </w:r>
          </w:p>
        </w:tc>
      </w:tr>
    </w:tbl>
    <w:p w14:paraId="7E19CF2D" w14:textId="209E6F37" w:rsidR="0036399E" w:rsidRDefault="00D750B3" w:rsidP="00BB4E07">
      <w:p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i/>
          <w:iCs/>
          <w:sz w:val="20"/>
          <w:szCs w:val="20"/>
        </w:rPr>
        <w:t>Baseline visit</w:t>
      </w:r>
      <w:r w:rsidRPr="00D750B3">
        <w:rPr>
          <w:rFonts w:ascii="Arial" w:eastAsia="Times New Roman" w:hAnsi="Arial" w:cs="Arial"/>
          <w:sz w:val="20"/>
          <w:szCs w:val="20"/>
        </w:rPr>
        <w:t xml:space="preserve"> and </w:t>
      </w:r>
      <w:r w:rsidRPr="00D750B3">
        <w:rPr>
          <w:rFonts w:ascii="Arial" w:eastAsia="Times New Roman" w:hAnsi="Arial" w:cs="Arial"/>
          <w:i/>
          <w:iCs/>
          <w:sz w:val="20"/>
          <w:szCs w:val="20"/>
        </w:rPr>
        <w:t>week 0</w:t>
      </w:r>
      <w:r w:rsidRPr="00D750B3">
        <w:rPr>
          <w:rFonts w:ascii="Arial" w:eastAsia="Times New Roman" w:hAnsi="Arial" w:cs="Arial"/>
          <w:sz w:val="20"/>
          <w:szCs w:val="20"/>
        </w:rPr>
        <w:t xml:space="preserve"> can be combined – depending on the recruitment </w:t>
      </w:r>
      <w:r w:rsidR="00335C28">
        <w:rPr>
          <w:rFonts w:ascii="Arial" w:eastAsia="Times New Roman" w:hAnsi="Arial" w:cs="Arial"/>
          <w:sz w:val="20"/>
          <w:szCs w:val="20"/>
        </w:rPr>
        <w:t>and availability of the influenza vaccine</w:t>
      </w:r>
      <w:r w:rsidRPr="00D750B3">
        <w:rPr>
          <w:rFonts w:ascii="Arial" w:eastAsia="Times New Roman" w:hAnsi="Arial" w:cs="Arial"/>
          <w:sz w:val="20"/>
          <w:szCs w:val="20"/>
        </w:rPr>
        <w:t>.</w:t>
      </w:r>
    </w:p>
    <w:p w14:paraId="791D5D67" w14:textId="6BCA9FA8" w:rsidR="004E6B06" w:rsidRPr="00D750B3" w:rsidRDefault="004E6B06" w:rsidP="00BB4E07">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 xml:space="preserve">Consent will be confirmed at the </w:t>
      </w:r>
      <w:r w:rsidRPr="00A52D21">
        <w:rPr>
          <w:rFonts w:ascii="Arial" w:eastAsia="Times New Roman" w:hAnsi="Arial" w:cs="Arial"/>
          <w:sz w:val="20"/>
          <w:szCs w:val="20"/>
        </w:rPr>
        <w:t xml:space="preserve">Baseline visit by one of </w:t>
      </w:r>
      <w:r w:rsidR="00F10E3C">
        <w:rPr>
          <w:rFonts w:ascii="Arial" w:eastAsia="Times New Roman" w:hAnsi="Arial" w:cs="Arial"/>
          <w:sz w:val="20"/>
          <w:szCs w:val="20"/>
        </w:rPr>
        <w:t xml:space="preserve">the </w:t>
      </w:r>
      <w:r w:rsidRPr="00A52D21">
        <w:rPr>
          <w:rFonts w:ascii="Arial" w:eastAsia="Times New Roman" w:hAnsi="Arial" w:cs="Arial"/>
          <w:sz w:val="20"/>
          <w:szCs w:val="20"/>
        </w:rPr>
        <w:t>principal or associate investigators</w:t>
      </w:r>
      <w:r>
        <w:rPr>
          <w:rFonts w:ascii="Arial" w:eastAsia="Times New Roman" w:hAnsi="Arial" w:cs="Arial"/>
          <w:sz w:val="20"/>
          <w:szCs w:val="20"/>
        </w:rPr>
        <w:t>. This can be done at a face-to-face clinic visit, or a telehealth</w:t>
      </w:r>
      <w:r w:rsidR="008945A4">
        <w:rPr>
          <w:rFonts w:ascii="Arial" w:eastAsia="Times New Roman" w:hAnsi="Arial" w:cs="Arial"/>
          <w:sz w:val="20"/>
          <w:szCs w:val="20"/>
        </w:rPr>
        <w:t>/telephone consultation</w:t>
      </w:r>
      <w:r>
        <w:rPr>
          <w:rFonts w:ascii="Arial" w:eastAsia="Times New Roman" w:hAnsi="Arial" w:cs="Arial"/>
          <w:sz w:val="20"/>
          <w:szCs w:val="20"/>
        </w:rPr>
        <w:t xml:space="preserve"> when eligibility is confirmed, and </w:t>
      </w:r>
      <w:r w:rsidR="008945A4">
        <w:rPr>
          <w:rFonts w:ascii="Arial" w:eastAsia="Times New Roman" w:hAnsi="Arial" w:cs="Arial"/>
          <w:sz w:val="20"/>
          <w:szCs w:val="20"/>
        </w:rPr>
        <w:t xml:space="preserve">the </w:t>
      </w:r>
      <w:r>
        <w:rPr>
          <w:rFonts w:ascii="Arial" w:eastAsia="Times New Roman" w:hAnsi="Arial" w:cs="Arial"/>
          <w:sz w:val="20"/>
          <w:szCs w:val="20"/>
        </w:rPr>
        <w:t xml:space="preserve">participant has </w:t>
      </w:r>
      <w:r w:rsidR="008945A4">
        <w:rPr>
          <w:rFonts w:ascii="Arial" w:eastAsia="Times New Roman" w:hAnsi="Arial" w:cs="Arial"/>
          <w:sz w:val="20"/>
          <w:szCs w:val="20"/>
        </w:rPr>
        <w:t xml:space="preserve">had </w:t>
      </w:r>
      <w:r>
        <w:rPr>
          <w:rFonts w:ascii="Arial" w:eastAsia="Times New Roman" w:hAnsi="Arial" w:cs="Arial"/>
          <w:sz w:val="20"/>
          <w:szCs w:val="20"/>
        </w:rPr>
        <w:t>an opportunity to ask any question</w:t>
      </w:r>
      <w:r w:rsidR="008945A4">
        <w:rPr>
          <w:rFonts w:ascii="Arial" w:eastAsia="Times New Roman" w:hAnsi="Arial" w:cs="Arial"/>
          <w:sz w:val="20"/>
          <w:szCs w:val="20"/>
        </w:rPr>
        <w:t>s</w:t>
      </w:r>
      <w:r>
        <w:rPr>
          <w:rFonts w:ascii="Arial" w:eastAsia="Times New Roman" w:hAnsi="Arial" w:cs="Arial"/>
          <w:sz w:val="20"/>
          <w:szCs w:val="20"/>
        </w:rPr>
        <w:t xml:space="preserve">. </w:t>
      </w:r>
      <w:r w:rsidR="008945A4">
        <w:rPr>
          <w:rFonts w:ascii="Arial" w:eastAsia="Times New Roman" w:hAnsi="Arial" w:cs="Arial"/>
          <w:sz w:val="20"/>
          <w:szCs w:val="20"/>
        </w:rPr>
        <w:t xml:space="preserve">The </w:t>
      </w:r>
      <w:r>
        <w:rPr>
          <w:rFonts w:ascii="Arial" w:eastAsia="Times New Roman" w:hAnsi="Arial" w:cs="Arial"/>
          <w:sz w:val="20"/>
          <w:szCs w:val="20"/>
        </w:rPr>
        <w:t xml:space="preserve">Patient Information Sheet/Consent Form can be emailed to patients prior to </w:t>
      </w:r>
      <w:r w:rsidR="008945A4">
        <w:rPr>
          <w:rFonts w:ascii="Arial" w:eastAsia="Times New Roman" w:hAnsi="Arial" w:cs="Arial"/>
          <w:sz w:val="20"/>
          <w:szCs w:val="20"/>
        </w:rPr>
        <w:t xml:space="preserve">the </w:t>
      </w:r>
      <w:r>
        <w:rPr>
          <w:rFonts w:ascii="Arial" w:eastAsia="Times New Roman" w:hAnsi="Arial" w:cs="Arial"/>
          <w:sz w:val="20"/>
          <w:szCs w:val="20"/>
        </w:rPr>
        <w:t xml:space="preserve">day of enrolment/day of consent so that potential participants have </w:t>
      </w:r>
      <w:r w:rsidR="00AC490B">
        <w:rPr>
          <w:rFonts w:ascii="Arial" w:eastAsia="Times New Roman" w:hAnsi="Arial" w:cs="Arial"/>
          <w:sz w:val="20"/>
          <w:szCs w:val="20"/>
        </w:rPr>
        <w:t xml:space="preserve">had </w:t>
      </w:r>
      <w:r>
        <w:rPr>
          <w:rFonts w:ascii="Arial" w:eastAsia="Times New Roman" w:hAnsi="Arial" w:cs="Arial"/>
          <w:sz w:val="20"/>
          <w:szCs w:val="20"/>
        </w:rPr>
        <w:t xml:space="preserve">an opportunity to read through. </w:t>
      </w:r>
      <w:r w:rsidR="008945A4" w:rsidRPr="00C40DEF">
        <w:rPr>
          <w:rFonts w:ascii="Arial" w:eastAsia="Times New Roman" w:hAnsi="Arial" w:cs="Arial"/>
          <w:sz w:val="20"/>
          <w:szCs w:val="20"/>
        </w:rPr>
        <w:t xml:space="preserve">Where a patient’s consent is obtained verbally via telehealth or telephone consultation with a clinician who is a study investigator, this will be documented in SMR and the patient’s signed consent will be obtained by an investigator at their next face-to-face attendance (e.g. at their Week 0 visit). </w:t>
      </w:r>
      <w:r w:rsidRPr="00C40DEF">
        <w:rPr>
          <w:rFonts w:ascii="Arial" w:eastAsia="Times New Roman" w:hAnsi="Arial" w:cs="Arial"/>
          <w:sz w:val="20"/>
          <w:szCs w:val="20"/>
        </w:rPr>
        <w:t>Recruitment is open until August 31</w:t>
      </w:r>
      <w:r w:rsidRPr="00C40DEF">
        <w:rPr>
          <w:rFonts w:ascii="Arial" w:eastAsia="Times New Roman" w:hAnsi="Arial" w:cs="Arial"/>
          <w:sz w:val="20"/>
          <w:szCs w:val="20"/>
          <w:vertAlign w:val="superscript"/>
        </w:rPr>
        <w:t>st</w:t>
      </w:r>
      <w:r w:rsidR="00F57269">
        <w:rPr>
          <w:rFonts w:ascii="Arial" w:eastAsia="Times New Roman" w:hAnsi="Arial" w:cs="Arial"/>
          <w:sz w:val="20"/>
          <w:szCs w:val="20"/>
        </w:rPr>
        <w:t xml:space="preserve"> 2024</w:t>
      </w:r>
      <w:r w:rsidR="008945A4" w:rsidRPr="00C40DEF">
        <w:rPr>
          <w:rFonts w:ascii="Arial" w:eastAsia="Times New Roman" w:hAnsi="Arial" w:cs="Arial"/>
          <w:sz w:val="20"/>
          <w:szCs w:val="20"/>
        </w:rPr>
        <w:t>.</w:t>
      </w:r>
    </w:p>
    <w:p w14:paraId="0F910EA9" w14:textId="7D2A5ED2" w:rsidR="00BD1DD9" w:rsidRDefault="00D750B3" w:rsidP="00BB4E07">
      <w:p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i/>
          <w:iCs/>
          <w:sz w:val="20"/>
          <w:szCs w:val="20"/>
        </w:rPr>
        <w:t>Week 0</w:t>
      </w:r>
      <w:r w:rsidRPr="00D750B3">
        <w:rPr>
          <w:rFonts w:ascii="Arial" w:eastAsia="Times New Roman" w:hAnsi="Arial" w:cs="Arial"/>
          <w:sz w:val="20"/>
          <w:szCs w:val="20"/>
        </w:rPr>
        <w:t xml:space="preserve"> is scheduled between </w:t>
      </w:r>
      <w:proofErr w:type="gramStart"/>
      <w:r w:rsidRPr="00D750B3">
        <w:rPr>
          <w:rFonts w:ascii="Arial" w:eastAsia="Times New Roman" w:hAnsi="Arial" w:cs="Arial"/>
          <w:sz w:val="20"/>
          <w:szCs w:val="20"/>
        </w:rPr>
        <w:t>March</w:t>
      </w:r>
      <w:proofErr w:type="gramEnd"/>
      <w:r w:rsidRPr="00D750B3">
        <w:rPr>
          <w:rFonts w:ascii="Arial" w:eastAsia="Times New Roman" w:hAnsi="Arial" w:cs="Arial"/>
          <w:sz w:val="20"/>
          <w:szCs w:val="20"/>
        </w:rPr>
        <w:t xml:space="preserve"> to </w:t>
      </w:r>
      <w:r w:rsidR="00BD1DD9">
        <w:rPr>
          <w:rFonts w:ascii="Arial" w:eastAsia="Times New Roman" w:hAnsi="Arial" w:cs="Arial"/>
          <w:sz w:val="20"/>
          <w:szCs w:val="20"/>
        </w:rPr>
        <w:t>August</w:t>
      </w:r>
      <w:r w:rsidRPr="00D750B3">
        <w:rPr>
          <w:rFonts w:ascii="Arial" w:eastAsia="Times New Roman" w:hAnsi="Arial" w:cs="Arial"/>
          <w:sz w:val="20"/>
          <w:szCs w:val="20"/>
        </w:rPr>
        <w:t xml:space="preserve">, when the </w:t>
      </w:r>
      <w:r w:rsidR="007D3AF8">
        <w:rPr>
          <w:rFonts w:ascii="Arial" w:eastAsia="Times New Roman" w:hAnsi="Arial" w:cs="Arial"/>
          <w:sz w:val="20"/>
          <w:szCs w:val="20"/>
        </w:rPr>
        <w:t xml:space="preserve">seasonal </w:t>
      </w:r>
      <w:r w:rsidRPr="00D750B3">
        <w:rPr>
          <w:rFonts w:ascii="Arial" w:eastAsia="Times New Roman" w:hAnsi="Arial" w:cs="Arial"/>
          <w:sz w:val="20"/>
          <w:szCs w:val="20"/>
        </w:rPr>
        <w:t xml:space="preserve">influenza vaccine will be available. This will be administered by Monash Immunisation Service as part of the service offered to Monash Health immunocompromised patients. </w:t>
      </w:r>
    </w:p>
    <w:p w14:paraId="2AECFC6C" w14:textId="40995DF0" w:rsidR="00D750B3" w:rsidRPr="00D750B3" w:rsidRDefault="00BD1DD9" w:rsidP="00BB4E07">
      <w:pPr>
        <w:pStyle w:val="NormalWeb"/>
        <w:spacing w:line="276" w:lineRule="auto"/>
        <w:jc w:val="both"/>
        <w:rPr>
          <w:rFonts w:ascii="Arial" w:hAnsi="Arial" w:cs="Arial"/>
          <w:sz w:val="20"/>
          <w:szCs w:val="20"/>
        </w:rPr>
      </w:pPr>
      <w:r>
        <w:rPr>
          <w:rFonts w:ascii="Arial" w:hAnsi="Arial" w:cs="Arial"/>
          <w:sz w:val="20"/>
          <w:szCs w:val="20"/>
        </w:rPr>
        <w:t xml:space="preserve">Once </w:t>
      </w:r>
      <w:r w:rsidR="007D3AF8">
        <w:rPr>
          <w:rFonts w:ascii="Arial" w:hAnsi="Arial" w:cs="Arial"/>
          <w:sz w:val="20"/>
          <w:szCs w:val="20"/>
        </w:rPr>
        <w:t xml:space="preserve">a </w:t>
      </w:r>
      <w:r w:rsidRPr="00D750B3">
        <w:rPr>
          <w:rFonts w:ascii="Arial" w:hAnsi="Arial" w:cs="Arial"/>
          <w:sz w:val="20"/>
          <w:szCs w:val="20"/>
        </w:rPr>
        <w:t>patient has consented to the study,</w:t>
      </w:r>
      <w:r w:rsidR="007D3AF8">
        <w:rPr>
          <w:rFonts w:ascii="Arial" w:hAnsi="Arial" w:cs="Arial"/>
          <w:sz w:val="20"/>
          <w:szCs w:val="20"/>
        </w:rPr>
        <w:t xml:space="preserve"> provided baseline blood samples and received their influenza vaccination,</w:t>
      </w:r>
      <w:r w:rsidRPr="00D750B3">
        <w:rPr>
          <w:rFonts w:ascii="Arial" w:hAnsi="Arial" w:cs="Arial"/>
          <w:sz w:val="20"/>
          <w:szCs w:val="20"/>
        </w:rPr>
        <w:t xml:space="preserve"> </w:t>
      </w:r>
      <w:r w:rsidR="007D3AF8">
        <w:rPr>
          <w:rFonts w:ascii="Arial" w:hAnsi="Arial" w:cs="Arial"/>
          <w:sz w:val="20"/>
          <w:szCs w:val="20"/>
        </w:rPr>
        <w:t>they</w:t>
      </w:r>
      <w:r w:rsidRPr="00D750B3">
        <w:rPr>
          <w:rFonts w:ascii="Arial" w:hAnsi="Arial" w:cs="Arial"/>
          <w:sz w:val="20"/>
          <w:szCs w:val="20"/>
        </w:rPr>
        <w:t xml:space="preserve"> will be </w:t>
      </w:r>
      <w:r>
        <w:rPr>
          <w:rFonts w:ascii="Arial" w:hAnsi="Arial" w:cs="Arial"/>
          <w:sz w:val="20"/>
          <w:szCs w:val="20"/>
        </w:rPr>
        <w:t xml:space="preserve">randomised </w:t>
      </w:r>
      <w:r w:rsidRPr="00D750B3">
        <w:rPr>
          <w:rFonts w:ascii="Arial" w:hAnsi="Arial" w:cs="Arial"/>
          <w:sz w:val="20"/>
          <w:szCs w:val="20"/>
        </w:rPr>
        <w:t xml:space="preserve">into </w:t>
      </w:r>
      <w:r w:rsidR="007D3AF8">
        <w:rPr>
          <w:rFonts w:ascii="Arial" w:hAnsi="Arial" w:cs="Arial"/>
          <w:sz w:val="20"/>
          <w:szCs w:val="20"/>
        </w:rPr>
        <w:t xml:space="preserve">either </w:t>
      </w:r>
      <w:r w:rsidRPr="00D750B3">
        <w:rPr>
          <w:rFonts w:ascii="Arial" w:hAnsi="Arial" w:cs="Arial"/>
          <w:sz w:val="20"/>
          <w:szCs w:val="20"/>
        </w:rPr>
        <w:t xml:space="preserve">Group 1 – temporary interruption of mycophenolate for 2 weeks following vaccination </w:t>
      </w:r>
      <w:r w:rsidR="007D3AF8">
        <w:rPr>
          <w:rFonts w:ascii="Arial" w:hAnsi="Arial" w:cs="Arial"/>
          <w:sz w:val="20"/>
          <w:szCs w:val="20"/>
        </w:rPr>
        <w:t>or</w:t>
      </w:r>
      <w:r w:rsidR="007D3AF8" w:rsidRPr="00D750B3">
        <w:rPr>
          <w:rFonts w:ascii="Arial" w:hAnsi="Arial" w:cs="Arial"/>
          <w:sz w:val="20"/>
          <w:szCs w:val="20"/>
        </w:rPr>
        <w:t xml:space="preserve"> </w:t>
      </w:r>
      <w:r w:rsidRPr="00D750B3">
        <w:rPr>
          <w:rFonts w:ascii="Arial" w:hAnsi="Arial" w:cs="Arial"/>
          <w:sz w:val="20"/>
          <w:szCs w:val="20"/>
        </w:rPr>
        <w:t xml:space="preserve">Group 2 – </w:t>
      </w:r>
      <w:r w:rsidR="00AC490B" w:rsidRPr="00D750B3">
        <w:rPr>
          <w:rFonts w:ascii="Arial" w:hAnsi="Arial" w:cs="Arial"/>
          <w:sz w:val="20"/>
          <w:szCs w:val="20"/>
        </w:rPr>
        <w:t>continu</w:t>
      </w:r>
      <w:r w:rsidR="00AC490B">
        <w:rPr>
          <w:rFonts w:ascii="Arial" w:hAnsi="Arial" w:cs="Arial"/>
          <w:sz w:val="20"/>
          <w:szCs w:val="20"/>
        </w:rPr>
        <w:t>ation</w:t>
      </w:r>
      <w:r w:rsidR="00AC490B" w:rsidRPr="00D750B3">
        <w:rPr>
          <w:rFonts w:ascii="Arial" w:hAnsi="Arial" w:cs="Arial"/>
          <w:sz w:val="20"/>
          <w:szCs w:val="20"/>
        </w:rPr>
        <w:t xml:space="preserve"> </w:t>
      </w:r>
      <w:r w:rsidR="00AC490B">
        <w:rPr>
          <w:rFonts w:ascii="Arial" w:hAnsi="Arial" w:cs="Arial"/>
          <w:sz w:val="20"/>
          <w:szCs w:val="20"/>
        </w:rPr>
        <w:t xml:space="preserve">of </w:t>
      </w:r>
      <w:r w:rsidRPr="00D750B3">
        <w:rPr>
          <w:rFonts w:ascii="Arial" w:hAnsi="Arial" w:cs="Arial"/>
          <w:sz w:val="20"/>
          <w:szCs w:val="20"/>
        </w:rPr>
        <w:t>mycophenolate as per usual care</w:t>
      </w:r>
      <w:r>
        <w:rPr>
          <w:rFonts w:ascii="Arial" w:hAnsi="Arial" w:cs="Arial"/>
          <w:sz w:val="20"/>
          <w:szCs w:val="20"/>
        </w:rPr>
        <w:t xml:space="preserve"> from </w:t>
      </w:r>
      <w:r w:rsidRPr="00BD1DD9">
        <w:rPr>
          <w:rFonts w:ascii="Arial" w:hAnsi="Arial" w:cs="Arial"/>
          <w:i/>
          <w:iCs/>
          <w:sz w:val="20"/>
          <w:szCs w:val="20"/>
        </w:rPr>
        <w:t>Week 0</w:t>
      </w:r>
      <w:r>
        <w:rPr>
          <w:rFonts w:ascii="Arial" w:hAnsi="Arial" w:cs="Arial"/>
          <w:sz w:val="20"/>
          <w:szCs w:val="20"/>
        </w:rPr>
        <w:t xml:space="preserve"> onwards</w:t>
      </w:r>
      <w:r w:rsidRPr="00D750B3">
        <w:rPr>
          <w:rFonts w:ascii="Arial" w:hAnsi="Arial" w:cs="Arial"/>
          <w:sz w:val="20"/>
          <w:szCs w:val="20"/>
        </w:rPr>
        <w:t xml:space="preserve">. </w:t>
      </w:r>
      <w:r w:rsidR="007D3AF8" w:rsidRPr="00D750B3">
        <w:rPr>
          <w:rFonts w:ascii="Arial" w:hAnsi="Arial" w:cs="Arial"/>
          <w:sz w:val="20"/>
          <w:szCs w:val="20"/>
        </w:rPr>
        <w:t xml:space="preserve">All </w:t>
      </w:r>
      <w:r w:rsidR="00421DC5">
        <w:rPr>
          <w:rFonts w:ascii="Arial" w:hAnsi="Arial" w:cs="Arial"/>
          <w:sz w:val="20"/>
          <w:szCs w:val="20"/>
        </w:rPr>
        <w:t>participant</w:t>
      </w:r>
      <w:r w:rsidR="007D3AF8" w:rsidRPr="00D750B3">
        <w:rPr>
          <w:rFonts w:ascii="Arial" w:hAnsi="Arial" w:cs="Arial"/>
          <w:sz w:val="20"/>
          <w:szCs w:val="20"/>
        </w:rPr>
        <w:t>s will be asked to complete a patient reported outcome measure, called RAPID3, currently approved as part of the Australian Lupus Registry &amp; Biobank protocol as an optional clinical disease assessment.</w:t>
      </w:r>
    </w:p>
    <w:p w14:paraId="19B1D7CA" w14:textId="45087D09" w:rsidR="00D750B3" w:rsidRPr="00D750B3" w:rsidRDefault="0036399E" w:rsidP="00BB4E07">
      <w:p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i/>
          <w:iCs/>
          <w:sz w:val="20"/>
          <w:szCs w:val="20"/>
        </w:rPr>
        <w:t>Week 2</w:t>
      </w:r>
      <w:r w:rsidR="00D750B3" w:rsidRPr="00D750B3">
        <w:rPr>
          <w:rFonts w:ascii="Arial" w:eastAsia="Times New Roman" w:hAnsi="Arial" w:cs="Arial"/>
          <w:sz w:val="20"/>
          <w:szCs w:val="20"/>
        </w:rPr>
        <w:t>:</w:t>
      </w:r>
      <w:r w:rsidRPr="00D750B3">
        <w:rPr>
          <w:rFonts w:ascii="Arial" w:eastAsia="Times New Roman" w:hAnsi="Arial" w:cs="Arial"/>
          <w:sz w:val="20"/>
          <w:szCs w:val="20"/>
        </w:rPr>
        <w:t xml:space="preserve"> </w:t>
      </w:r>
      <w:r w:rsidR="00335C28">
        <w:rPr>
          <w:rFonts w:ascii="Arial" w:eastAsia="Times New Roman" w:hAnsi="Arial" w:cs="Arial"/>
          <w:sz w:val="20"/>
          <w:szCs w:val="20"/>
        </w:rPr>
        <w:t xml:space="preserve">At the end of Week 2, </w:t>
      </w:r>
      <w:r w:rsidR="007D3AF8">
        <w:rPr>
          <w:rFonts w:ascii="Arial" w:eastAsia="Times New Roman" w:hAnsi="Arial" w:cs="Arial"/>
          <w:sz w:val="20"/>
          <w:szCs w:val="20"/>
        </w:rPr>
        <w:t>p</w:t>
      </w:r>
      <w:r w:rsidR="007D3AF8" w:rsidRPr="00D750B3">
        <w:rPr>
          <w:rFonts w:ascii="Arial" w:eastAsia="Times New Roman" w:hAnsi="Arial" w:cs="Arial"/>
          <w:sz w:val="20"/>
          <w:szCs w:val="20"/>
        </w:rPr>
        <w:t>a</w:t>
      </w:r>
      <w:r w:rsidR="007D3AF8">
        <w:rPr>
          <w:rFonts w:ascii="Arial" w:eastAsia="Times New Roman" w:hAnsi="Arial" w:cs="Arial"/>
          <w:sz w:val="20"/>
          <w:szCs w:val="20"/>
        </w:rPr>
        <w:t xml:space="preserve">rticipants in both groups will receive an email invitation to complete an online version of the RAPID3 via </w:t>
      </w:r>
      <w:proofErr w:type="spellStart"/>
      <w:r w:rsidR="007D3AF8">
        <w:rPr>
          <w:rFonts w:ascii="Arial" w:eastAsia="Times New Roman" w:hAnsi="Arial" w:cs="Arial"/>
          <w:sz w:val="20"/>
          <w:szCs w:val="20"/>
        </w:rPr>
        <w:t>REDCap</w:t>
      </w:r>
      <w:proofErr w:type="spellEnd"/>
      <w:r w:rsidR="007D3AF8">
        <w:rPr>
          <w:rFonts w:ascii="Arial" w:eastAsia="Times New Roman" w:hAnsi="Arial" w:cs="Arial"/>
          <w:sz w:val="20"/>
          <w:szCs w:val="20"/>
        </w:rPr>
        <w:t xml:space="preserve">. Additionally, participants </w:t>
      </w:r>
      <w:r w:rsidR="00335C28">
        <w:rPr>
          <w:rFonts w:ascii="Arial" w:eastAsia="Times New Roman" w:hAnsi="Arial" w:cs="Arial"/>
          <w:sz w:val="20"/>
          <w:szCs w:val="20"/>
        </w:rPr>
        <w:t>in Group 1</w:t>
      </w:r>
      <w:r w:rsidR="00D750B3" w:rsidRPr="00D750B3">
        <w:rPr>
          <w:rFonts w:ascii="Arial" w:eastAsia="Times New Roman" w:hAnsi="Arial" w:cs="Arial"/>
          <w:sz w:val="20"/>
          <w:szCs w:val="20"/>
        </w:rPr>
        <w:t xml:space="preserve"> will receive a</w:t>
      </w:r>
      <w:r w:rsidR="007D3AF8">
        <w:rPr>
          <w:rFonts w:ascii="Arial" w:eastAsia="Times New Roman" w:hAnsi="Arial" w:cs="Arial"/>
          <w:sz w:val="20"/>
          <w:szCs w:val="20"/>
        </w:rPr>
        <w:t xml:space="preserve">n email </w:t>
      </w:r>
      <w:r w:rsidR="00D750B3" w:rsidRPr="00D750B3">
        <w:rPr>
          <w:rFonts w:ascii="Arial" w:eastAsia="Times New Roman" w:hAnsi="Arial" w:cs="Arial"/>
          <w:sz w:val="20"/>
          <w:szCs w:val="20"/>
        </w:rPr>
        <w:t>to remind them that it is the end of the withholding</w:t>
      </w:r>
      <w:r w:rsidR="007D3AF8">
        <w:rPr>
          <w:rFonts w:ascii="Arial" w:eastAsia="Times New Roman" w:hAnsi="Arial" w:cs="Arial"/>
          <w:sz w:val="20"/>
          <w:szCs w:val="20"/>
        </w:rPr>
        <w:t xml:space="preserve"> period and to resume their usual dose of mycophenolate</w:t>
      </w:r>
      <w:r w:rsidR="00D750B3" w:rsidRPr="00D750B3">
        <w:rPr>
          <w:rFonts w:ascii="Arial" w:eastAsia="Times New Roman" w:hAnsi="Arial" w:cs="Arial"/>
          <w:sz w:val="20"/>
          <w:szCs w:val="20"/>
        </w:rPr>
        <w:t xml:space="preserve">. They will also be provided with a date </w:t>
      </w:r>
      <w:r w:rsidR="00335C28">
        <w:rPr>
          <w:rFonts w:ascii="Arial" w:eastAsia="Times New Roman" w:hAnsi="Arial" w:cs="Arial"/>
          <w:sz w:val="20"/>
          <w:szCs w:val="20"/>
        </w:rPr>
        <w:t>during</w:t>
      </w:r>
      <w:r w:rsidR="00D750B3" w:rsidRPr="00D750B3">
        <w:rPr>
          <w:rFonts w:ascii="Arial" w:eastAsia="Times New Roman" w:hAnsi="Arial" w:cs="Arial"/>
          <w:sz w:val="20"/>
          <w:szCs w:val="20"/>
        </w:rPr>
        <w:t xml:space="preserve"> week 4 to come in for a blood collection.</w:t>
      </w:r>
    </w:p>
    <w:p w14:paraId="49EC0149" w14:textId="0E4883FC" w:rsidR="00D750B3" w:rsidRPr="00D750B3" w:rsidRDefault="00D750B3" w:rsidP="00BB4E07">
      <w:p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i/>
          <w:iCs/>
          <w:sz w:val="20"/>
          <w:szCs w:val="20"/>
        </w:rPr>
        <w:t>Week 4</w:t>
      </w:r>
      <w:r w:rsidR="007D3AF8">
        <w:rPr>
          <w:rFonts w:ascii="Arial" w:eastAsia="Times New Roman" w:hAnsi="Arial" w:cs="Arial"/>
          <w:i/>
          <w:iCs/>
          <w:sz w:val="20"/>
          <w:szCs w:val="20"/>
        </w:rPr>
        <w:t>/5</w:t>
      </w:r>
      <w:r w:rsidRPr="00D750B3">
        <w:rPr>
          <w:rFonts w:ascii="Arial" w:eastAsia="Times New Roman" w:hAnsi="Arial" w:cs="Arial"/>
          <w:sz w:val="20"/>
          <w:szCs w:val="20"/>
        </w:rPr>
        <w:t xml:space="preserve">: </w:t>
      </w:r>
      <w:r w:rsidR="007D3AF8" w:rsidRPr="00D750B3">
        <w:rPr>
          <w:rFonts w:ascii="Arial" w:eastAsia="Times New Roman" w:hAnsi="Arial" w:cs="Arial"/>
          <w:sz w:val="20"/>
          <w:szCs w:val="20"/>
        </w:rPr>
        <w:t>Pa</w:t>
      </w:r>
      <w:r w:rsidR="007D3AF8">
        <w:rPr>
          <w:rFonts w:ascii="Arial" w:eastAsia="Times New Roman" w:hAnsi="Arial" w:cs="Arial"/>
          <w:sz w:val="20"/>
          <w:szCs w:val="20"/>
        </w:rPr>
        <w:t xml:space="preserve">rticipants will provide a second blood sample at Week 4 alongside their routine Monash Lupus Clinic blood tests. </w:t>
      </w:r>
      <w:r w:rsidR="00421DC5">
        <w:rPr>
          <w:rFonts w:ascii="Arial" w:eastAsia="Times New Roman" w:hAnsi="Arial" w:cs="Arial"/>
          <w:sz w:val="20"/>
          <w:szCs w:val="20"/>
        </w:rPr>
        <w:t xml:space="preserve">They will be </w:t>
      </w:r>
      <w:r w:rsidR="00421DC5" w:rsidRPr="00D750B3">
        <w:rPr>
          <w:rFonts w:ascii="Arial" w:eastAsia="Times New Roman" w:hAnsi="Arial" w:cs="Arial"/>
          <w:sz w:val="20"/>
          <w:szCs w:val="20"/>
        </w:rPr>
        <w:t>asked to complete the RAPID3 and Influenza checker.</w:t>
      </w:r>
      <w:r w:rsidR="00421DC5">
        <w:rPr>
          <w:rFonts w:ascii="Arial" w:eastAsia="Times New Roman" w:hAnsi="Arial" w:cs="Arial"/>
          <w:sz w:val="20"/>
          <w:szCs w:val="20"/>
        </w:rPr>
        <w:t xml:space="preserve"> </w:t>
      </w:r>
      <w:r w:rsidR="007D3AF8">
        <w:rPr>
          <w:rFonts w:ascii="Arial" w:eastAsia="Times New Roman" w:hAnsi="Arial" w:cs="Arial"/>
          <w:sz w:val="20"/>
          <w:szCs w:val="20"/>
        </w:rPr>
        <w:t>At Week 5, they</w:t>
      </w:r>
      <w:r w:rsidR="007D3AF8" w:rsidRPr="00D750B3">
        <w:rPr>
          <w:rFonts w:ascii="Arial" w:eastAsia="Times New Roman" w:hAnsi="Arial" w:cs="Arial"/>
          <w:sz w:val="20"/>
          <w:szCs w:val="20"/>
        </w:rPr>
        <w:t xml:space="preserve"> </w:t>
      </w:r>
      <w:r w:rsidRPr="00D750B3">
        <w:rPr>
          <w:rFonts w:ascii="Arial" w:eastAsia="Times New Roman" w:hAnsi="Arial" w:cs="Arial"/>
          <w:sz w:val="20"/>
          <w:szCs w:val="20"/>
        </w:rPr>
        <w:t xml:space="preserve">will be reviewed by </w:t>
      </w:r>
      <w:r w:rsidR="007D3AF8">
        <w:rPr>
          <w:rFonts w:ascii="Arial" w:eastAsia="Times New Roman" w:hAnsi="Arial" w:cs="Arial"/>
          <w:sz w:val="20"/>
          <w:szCs w:val="20"/>
        </w:rPr>
        <w:t>a</w:t>
      </w:r>
      <w:r w:rsidR="007D3AF8" w:rsidRPr="00D750B3">
        <w:rPr>
          <w:rFonts w:ascii="Arial" w:eastAsia="Times New Roman" w:hAnsi="Arial" w:cs="Arial"/>
          <w:sz w:val="20"/>
          <w:szCs w:val="20"/>
        </w:rPr>
        <w:t xml:space="preserve"> </w:t>
      </w:r>
      <w:r w:rsidRPr="00D750B3">
        <w:rPr>
          <w:rFonts w:ascii="Arial" w:eastAsia="Times New Roman" w:hAnsi="Arial" w:cs="Arial"/>
          <w:sz w:val="20"/>
          <w:szCs w:val="20"/>
        </w:rPr>
        <w:t>clinician</w:t>
      </w:r>
      <w:r w:rsidR="007D3AF8">
        <w:rPr>
          <w:rFonts w:ascii="Arial" w:eastAsia="Times New Roman" w:hAnsi="Arial" w:cs="Arial"/>
          <w:sz w:val="20"/>
          <w:szCs w:val="20"/>
        </w:rPr>
        <w:t xml:space="preserve"> at Monash Lupus Clinic</w:t>
      </w:r>
      <w:r w:rsidR="00421DC5">
        <w:rPr>
          <w:rFonts w:ascii="Arial" w:eastAsia="Times New Roman" w:hAnsi="Arial" w:cs="Arial"/>
          <w:sz w:val="20"/>
          <w:szCs w:val="20"/>
        </w:rPr>
        <w:t>.</w:t>
      </w:r>
      <w:r w:rsidRPr="00D750B3">
        <w:rPr>
          <w:rFonts w:ascii="Arial" w:eastAsia="Times New Roman" w:hAnsi="Arial" w:cs="Arial"/>
          <w:sz w:val="20"/>
          <w:szCs w:val="20"/>
        </w:rPr>
        <w:t xml:space="preserve"> </w:t>
      </w:r>
    </w:p>
    <w:p w14:paraId="38399564" w14:textId="0EFC1239" w:rsidR="00D750B3" w:rsidRPr="00D750B3" w:rsidRDefault="00D750B3" w:rsidP="00BB4E07">
      <w:p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i/>
          <w:iCs/>
          <w:sz w:val="20"/>
          <w:szCs w:val="20"/>
        </w:rPr>
        <w:t>Week 8</w:t>
      </w:r>
      <w:r w:rsidRPr="00D750B3">
        <w:rPr>
          <w:rFonts w:ascii="Arial" w:eastAsia="Times New Roman" w:hAnsi="Arial" w:cs="Arial"/>
          <w:sz w:val="20"/>
          <w:szCs w:val="20"/>
        </w:rPr>
        <w:t xml:space="preserve">: </w:t>
      </w:r>
      <w:r w:rsidR="00421DC5">
        <w:rPr>
          <w:rFonts w:ascii="Arial" w:eastAsia="Times New Roman" w:hAnsi="Arial" w:cs="Arial"/>
          <w:sz w:val="20"/>
          <w:szCs w:val="20"/>
        </w:rPr>
        <w:t>Participant</w:t>
      </w:r>
      <w:r w:rsidRPr="00D750B3">
        <w:rPr>
          <w:rFonts w:ascii="Arial" w:eastAsia="Times New Roman" w:hAnsi="Arial" w:cs="Arial"/>
          <w:sz w:val="20"/>
          <w:szCs w:val="20"/>
        </w:rPr>
        <w:t xml:space="preserve"> will be asked to complete the RAPID3 and Influenza checker.</w:t>
      </w:r>
    </w:p>
    <w:p w14:paraId="00FD5E5C" w14:textId="63F72776" w:rsidR="0036399E" w:rsidRDefault="00D750B3" w:rsidP="00BB4E07">
      <w:p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i/>
          <w:iCs/>
          <w:sz w:val="20"/>
          <w:szCs w:val="20"/>
        </w:rPr>
        <w:t>Week 12</w:t>
      </w:r>
      <w:r w:rsidRPr="00D750B3">
        <w:rPr>
          <w:rFonts w:ascii="Arial" w:eastAsia="Times New Roman" w:hAnsi="Arial" w:cs="Arial"/>
          <w:sz w:val="20"/>
          <w:szCs w:val="20"/>
        </w:rPr>
        <w:t xml:space="preserve">: </w:t>
      </w:r>
      <w:r w:rsidR="00421DC5">
        <w:rPr>
          <w:rFonts w:ascii="Arial" w:eastAsia="Times New Roman" w:hAnsi="Arial" w:cs="Arial"/>
          <w:sz w:val="20"/>
          <w:szCs w:val="20"/>
        </w:rPr>
        <w:t>Participant</w:t>
      </w:r>
      <w:r w:rsidRPr="00D750B3">
        <w:rPr>
          <w:rFonts w:ascii="Arial" w:eastAsia="Times New Roman" w:hAnsi="Arial" w:cs="Arial"/>
          <w:sz w:val="20"/>
          <w:szCs w:val="20"/>
        </w:rPr>
        <w:t xml:space="preserve"> will be asked to complete the RAPID3 and Influenza checker.</w:t>
      </w:r>
    </w:p>
    <w:p w14:paraId="55158DD2" w14:textId="203BA2FB" w:rsidR="008E63F1" w:rsidRDefault="008E63F1" w:rsidP="00BB4E07">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Scheduling may be affected by unforeseen circumstance</w:t>
      </w:r>
      <w:r w:rsidR="00073810">
        <w:rPr>
          <w:rFonts w:ascii="Arial" w:eastAsia="Times New Roman" w:hAnsi="Arial" w:cs="Arial"/>
          <w:sz w:val="20"/>
          <w:szCs w:val="20"/>
        </w:rPr>
        <w:t>s,</w:t>
      </w:r>
      <w:r>
        <w:rPr>
          <w:rFonts w:ascii="Arial" w:eastAsia="Times New Roman" w:hAnsi="Arial" w:cs="Arial"/>
          <w:sz w:val="20"/>
          <w:szCs w:val="20"/>
        </w:rPr>
        <w:t xml:space="preserve"> and we will allow deviation of +/- one week </w:t>
      </w:r>
      <w:r w:rsidR="00335C28">
        <w:rPr>
          <w:rFonts w:ascii="Arial" w:eastAsia="Times New Roman" w:hAnsi="Arial" w:cs="Arial"/>
          <w:sz w:val="20"/>
          <w:szCs w:val="20"/>
        </w:rPr>
        <w:t xml:space="preserve">for </w:t>
      </w:r>
      <w:r w:rsidR="007008B5">
        <w:rPr>
          <w:rFonts w:ascii="Arial" w:eastAsia="Times New Roman" w:hAnsi="Arial" w:cs="Arial"/>
          <w:sz w:val="20"/>
          <w:szCs w:val="20"/>
        </w:rPr>
        <w:t>each</w:t>
      </w:r>
      <w:r w:rsidR="00335C28">
        <w:rPr>
          <w:rFonts w:ascii="Arial" w:eastAsia="Times New Roman" w:hAnsi="Arial" w:cs="Arial"/>
          <w:sz w:val="20"/>
          <w:szCs w:val="20"/>
        </w:rPr>
        <w:t xml:space="preserve"> scheduled timepoint </w:t>
      </w:r>
      <w:r>
        <w:rPr>
          <w:rFonts w:ascii="Arial" w:eastAsia="Times New Roman" w:hAnsi="Arial" w:cs="Arial"/>
          <w:sz w:val="20"/>
          <w:szCs w:val="20"/>
        </w:rPr>
        <w:t>within our protocol.</w:t>
      </w:r>
      <w:r w:rsidR="004E6B06">
        <w:rPr>
          <w:rFonts w:ascii="Arial" w:eastAsia="Times New Roman" w:hAnsi="Arial" w:cs="Arial"/>
          <w:sz w:val="20"/>
          <w:szCs w:val="20"/>
        </w:rPr>
        <w:t xml:space="preserve"> Participants can opt out or withdraw their consent</w:t>
      </w:r>
      <w:r w:rsidR="00A359B6">
        <w:rPr>
          <w:rFonts w:ascii="Arial" w:eastAsia="Times New Roman" w:hAnsi="Arial" w:cs="Arial"/>
          <w:sz w:val="20"/>
          <w:szCs w:val="20"/>
        </w:rPr>
        <w:t xml:space="preserve"> at any time</w:t>
      </w:r>
      <w:r w:rsidR="004E6B06">
        <w:rPr>
          <w:rFonts w:ascii="Arial" w:eastAsia="Times New Roman" w:hAnsi="Arial" w:cs="Arial"/>
          <w:sz w:val="20"/>
          <w:szCs w:val="20"/>
        </w:rPr>
        <w:t>.</w:t>
      </w:r>
    </w:p>
    <w:p w14:paraId="04AE5F68" w14:textId="1BB1BD26" w:rsidR="007008B5" w:rsidRPr="00D750B3" w:rsidRDefault="007008B5" w:rsidP="00BB4E07">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 xml:space="preserve">Examples of the email reminders can be found </w:t>
      </w:r>
      <w:r w:rsidR="00A359B6">
        <w:rPr>
          <w:rFonts w:ascii="Arial" w:eastAsia="Times New Roman" w:hAnsi="Arial" w:cs="Arial"/>
          <w:sz w:val="20"/>
          <w:szCs w:val="20"/>
        </w:rPr>
        <w:t xml:space="preserve">in </w:t>
      </w:r>
      <w:r>
        <w:rPr>
          <w:rFonts w:ascii="Arial" w:eastAsia="Times New Roman" w:hAnsi="Arial" w:cs="Arial"/>
          <w:sz w:val="20"/>
          <w:szCs w:val="20"/>
        </w:rPr>
        <w:t>the workbook.</w:t>
      </w:r>
    </w:p>
    <w:p w14:paraId="563B1233" w14:textId="167C515B" w:rsidR="00C54C0B" w:rsidRDefault="00D750B3" w:rsidP="00BB4E07">
      <w:pPr>
        <w:pStyle w:val="Heading3"/>
        <w:spacing w:line="276" w:lineRule="auto"/>
        <w:jc w:val="both"/>
      </w:pPr>
      <w:bookmarkStart w:id="10" w:name="_Toc117626663"/>
      <w:r w:rsidRPr="00D750B3">
        <w:lastRenderedPageBreak/>
        <w:t xml:space="preserve">2.3.6 </w:t>
      </w:r>
      <w:r w:rsidR="0036399E" w:rsidRPr="00D750B3">
        <w:t>Blood Sample processing</w:t>
      </w:r>
      <w:bookmarkEnd w:id="10"/>
    </w:p>
    <w:p w14:paraId="04CD03C4" w14:textId="3D332DDC" w:rsidR="00D750B3" w:rsidRDefault="0036399E" w:rsidP="00BB4E07">
      <w:p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sz w:val="20"/>
          <w:szCs w:val="20"/>
        </w:rPr>
        <w:t xml:space="preserve">Blood samples </w:t>
      </w:r>
      <w:r w:rsidR="00D750B3">
        <w:rPr>
          <w:rFonts w:ascii="Arial" w:eastAsia="Times New Roman" w:hAnsi="Arial" w:cs="Arial"/>
          <w:sz w:val="20"/>
          <w:szCs w:val="20"/>
        </w:rPr>
        <w:t xml:space="preserve">will be </w:t>
      </w:r>
      <w:r w:rsidRPr="00D750B3">
        <w:rPr>
          <w:rFonts w:ascii="Arial" w:eastAsia="Times New Roman" w:hAnsi="Arial" w:cs="Arial"/>
          <w:sz w:val="20"/>
          <w:szCs w:val="20"/>
        </w:rPr>
        <w:t xml:space="preserve">collected </w:t>
      </w:r>
      <w:r w:rsidR="00D750B3">
        <w:rPr>
          <w:rFonts w:ascii="Arial" w:eastAsia="Times New Roman" w:hAnsi="Arial" w:cs="Arial"/>
          <w:sz w:val="20"/>
          <w:szCs w:val="20"/>
        </w:rPr>
        <w:t xml:space="preserve">by </w:t>
      </w:r>
      <w:r w:rsidR="00421DC5">
        <w:rPr>
          <w:rFonts w:ascii="Arial" w:eastAsia="Times New Roman" w:hAnsi="Arial" w:cs="Arial"/>
          <w:sz w:val="20"/>
          <w:szCs w:val="20"/>
        </w:rPr>
        <w:t xml:space="preserve">a study investigator or </w:t>
      </w:r>
      <w:r w:rsidR="00D750B3">
        <w:rPr>
          <w:rFonts w:ascii="Arial" w:eastAsia="Times New Roman" w:hAnsi="Arial" w:cs="Arial"/>
          <w:sz w:val="20"/>
          <w:szCs w:val="20"/>
        </w:rPr>
        <w:t xml:space="preserve">Monash Pathology. At each </w:t>
      </w:r>
      <w:proofErr w:type="spellStart"/>
      <w:r w:rsidR="00D750B3">
        <w:rPr>
          <w:rFonts w:ascii="Arial" w:eastAsia="Times New Roman" w:hAnsi="Arial" w:cs="Arial"/>
          <w:sz w:val="20"/>
          <w:szCs w:val="20"/>
        </w:rPr>
        <w:t>timepoint</w:t>
      </w:r>
      <w:proofErr w:type="spellEnd"/>
      <w:r w:rsidR="00D750B3">
        <w:rPr>
          <w:rFonts w:ascii="Arial" w:eastAsia="Times New Roman" w:hAnsi="Arial" w:cs="Arial"/>
          <w:sz w:val="20"/>
          <w:szCs w:val="20"/>
        </w:rPr>
        <w:t xml:space="preserve"> (</w:t>
      </w:r>
      <w:r w:rsidR="00421DC5">
        <w:rPr>
          <w:rFonts w:ascii="Arial" w:eastAsia="Times New Roman" w:hAnsi="Arial" w:cs="Arial"/>
          <w:sz w:val="20"/>
          <w:szCs w:val="20"/>
        </w:rPr>
        <w:t xml:space="preserve">Baseline/Week 0 </w:t>
      </w:r>
      <w:r w:rsidR="00D750B3">
        <w:rPr>
          <w:rFonts w:ascii="Arial" w:eastAsia="Times New Roman" w:hAnsi="Arial" w:cs="Arial"/>
          <w:sz w:val="20"/>
          <w:szCs w:val="20"/>
        </w:rPr>
        <w:t>and Week 4) we will collect:</w:t>
      </w:r>
    </w:p>
    <w:p w14:paraId="58C154B0" w14:textId="77777777" w:rsidR="00D750B3" w:rsidRDefault="00D750B3" w:rsidP="00BB4E07">
      <w:pPr>
        <w:spacing w:before="100" w:beforeAutospacing="1" w:after="100" w:afterAutospacing="1" w:line="276" w:lineRule="auto"/>
        <w:ind w:firstLine="720"/>
        <w:jc w:val="both"/>
        <w:rPr>
          <w:rFonts w:ascii="Arial" w:eastAsia="Times New Roman" w:hAnsi="Arial" w:cs="Arial"/>
          <w:sz w:val="20"/>
          <w:szCs w:val="20"/>
        </w:rPr>
      </w:pPr>
      <w:r>
        <w:rPr>
          <w:rFonts w:ascii="Arial" w:eastAsia="Times New Roman" w:hAnsi="Arial" w:cs="Arial"/>
          <w:sz w:val="20"/>
          <w:szCs w:val="20"/>
        </w:rPr>
        <w:t>1x 9ml EDTA tube for processing of plasma and cells</w:t>
      </w:r>
    </w:p>
    <w:p w14:paraId="0E8B8E86" w14:textId="77777777" w:rsidR="00D750B3" w:rsidRDefault="00D750B3" w:rsidP="00BB4E07">
      <w:pPr>
        <w:spacing w:before="100" w:beforeAutospacing="1" w:after="100" w:afterAutospacing="1" w:line="276" w:lineRule="auto"/>
        <w:ind w:firstLine="720"/>
        <w:jc w:val="both"/>
        <w:rPr>
          <w:rFonts w:ascii="Arial" w:eastAsia="Times New Roman" w:hAnsi="Arial" w:cs="Arial"/>
          <w:sz w:val="20"/>
          <w:szCs w:val="20"/>
        </w:rPr>
      </w:pPr>
      <w:r>
        <w:rPr>
          <w:rFonts w:ascii="Arial" w:eastAsia="Times New Roman" w:hAnsi="Arial" w:cs="Arial"/>
          <w:sz w:val="20"/>
          <w:szCs w:val="20"/>
        </w:rPr>
        <w:t>4x 9ml ACD tube for cells</w:t>
      </w:r>
    </w:p>
    <w:p w14:paraId="13198D52" w14:textId="6F731840" w:rsidR="0036399E" w:rsidRPr="00D750B3" w:rsidRDefault="002F6B0A" w:rsidP="00BB4E07">
      <w:pPr>
        <w:spacing w:before="100" w:beforeAutospacing="1" w:after="100" w:afterAutospacing="1" w:line="276" w:lineRule="auto"/>
        <w:jc w:val="both"/>
        <w:rPr>
          <w:rFonts w:ascii="Arial" w:eastAsia="Times New Roman" w:hAnsi="Arial" w:cs="Arial"/>
          <w:sz w:val="20"/>
          <w:szCs w:val="20"/>
        </w:rPr>
      </w:pPr>
      <w:r w:rsidRPr="002F6B0A">
        <w:rPr>
          <w:rFonts w:ascii="Arial" w:eastAsia="Times New Roman" w:hAnsi="Arial" w:cs="Arial"/>
          <w:sz w:val="20"/>
          <w:szCs w:val="20"/>
        </w:rPr>
        <w:t>Following collection, the blood samples will be sent to Biobanking Victoria for initial processing (spinning down of samples and isolation of PBMCs)</w:t>
      </w:r>
      <w:r w:rsidR="00537F66">
        <w:rPr>
          <w:rFonts w:ascii="Arial" w:eastAsia="Times New Roman" w:hAnsi="Arial" w:cs="Arial"/>
          <w:sz w:val="20"/>
          <w:szCs w:val="20"/>
        </w:rPr>
        <w:t>.</w:t>
      </w:r>
      <w:r w:rsidRPr="002F6B0A">
        <w:rPr>
          <w:rFonts w:ascii="Arial" w:eastAsia="Times New Roman" w:hAnsi="Arial" w:cs="Arial"/>
          <w:sz w:val="20"/>
          <w:szCs w:val="20"/>
        </w:rPr>
        <w:t xml:space="preserve"> </w:t>
      </w:r>
      <w:r w:rsidR="00537F66">
        <w:rPr>
          <w:rFonts w:ascii="Arial" w:eastAsia="Times New Roman" w:hAnsi="Arial" w:cs="Arial"/>
          <w:sz w:val="20"/>
          <w:szCs w:val="20"/>
        </w:rPr>
        <w:t xml:space="preserve">The spun samples will be temporarily held at Biobanking Victoria prior to being sent to the Burnet Institute. The reason for temporary storage of the samples at Biobanking Victoria is because we do not expect all participants to have bloods collected on the same day, hence for transportation purposes it is easier to hold them at Biobanking Victoria so that they can be sent in batches to the Burnet Institute. </w:t>
      </w:r>
      <w:r w:rsidRPr="002F6B0A">
        <w:rPr>
          <w:rFonts w:ascii="Arial" w:eastAsia="Times New Roman" w:hAnsi="Arial" w:cs="Arial"/>
          <w:sz w:val="20"/>
          <w:szCs w:val="20"/>
        </w:rPr>
        <w:t xml:space="preserve">Processing and analysis of the samples will be performed at </w:t>
      </w:r>
      <w:r w:rsidR="0036399E" w:rsidRPr="002F6B0A">
        <w:rPr>
          <w:rFonts w:ascii="Arial" w:eastAsia="Times New Roman" w:hAnsi="Arial" w:cs="Arial"/>
          <w:sz w:val="20"/>
          <w:szCs w:val="20"/>
        </w:rPr>
        <w:t>CI-Khoury’s laboratory</w:t>
      </w:r>
      <w:r w:rsidR="00D750B3" w:rsidRPr="002F6B0A">
        <w:rPr>
          <w:rFonts w:ascii="Arial" w:eastAsia="Times New Roman" w:hAnsi="Arial" w:cs="Arial"/>
          <w:sz w:val="20"/>
          <w:szCs w:val="20"/>
        </w:rPr>
        <w:t xml:space="preserve"> </w:t>
      </w:r>
      <w:r w:rsidRPr="002F6B0A">
        <w:rPr>
          <w:rFonts w:ascii="Arial" w:eastAsia="Times New Roman" w:hAnsi="Arial" w:cs="Arial"/>
          <w:sz w:val="20"/>
          <w:szCs w:val="20"/>
        </w:rPr>
        <w:t xml:space="preserve">at the Burnet Institute. </w:t>
      </w:r>
      <w:r w:rsidR="0036399E" w:rsidRPr="002F6B0A">
        <w:rPr>
          <w:rFonts w:ascii="Arial" w:eastAsia="Times New Roman" w:hAnsi="Arial" w:cs="Arial"/>
          <w:sz w:val="20"/>
          <w:szCs w:val="20"/>
        </w:rPr>
        <w:t>The absolute counts of CD4+ and CD8+ T cells, B cells, NK cells, in whole blood will be quantified</w:t>
      </w:r>
      <w:r w:rsidR="00537F66">
        <w:rPr>
          <w:rFonts w:ascii="Arial" w:eastAsia="Times New Roman" w:hAnsi="Arial" w:cs="Arial"/>
          <w:sz w:val="20"/>
          <w:szCs w:val="20"/>
        </w:rPr>
        <w:t xml:space="preserve"> </w:t>
      </w:r>
      <w:r w:rsidR="0095386A">
        <w:rPr>
          <w:rFonts w:ascii="Arial" w:eastAsia="Times New Roman" w:hAnsi="Arial" w:cs="Arial"/>
          <w:sz w:val="20"/>
          <w:szCs w:val="20"/>
        </w:rPr>
        <w:t>by routine flow cytometry</w:t>
      </w:r>
      <w:r w:rsidRPr="00A52D21">
        <w:rPr>
          <w:rFonts w:ascii="Arial" w:eastAsia="Times New Roman" w:hAnsi="Arial" w:cs="Arial"/>
          <w:sz w:val="20"/>
          <w:szCs w:val="20"/>
        </w:rPr>
        <w:t xml:space="preserve">, </w:t>
      </w:r>
      <w:r w:rsidR="0036399E" w:rsidRPr="002F6B0A">
        <w:rPr>
          <w:rFonts w:ascii="Arial" w:eastAsia="Times New Roman" w:hAnsi="Arial" w:cs="Arial"/>
          <w:sz w:val="20"/>
          <w:szCs w:val="20"/>
        </w:rPr>
        <w:t xml:space="preserve">allowing for the monitoring of changes in cell numbers before and after immunosuppressant withdrawal. Plasma and live peripheral blood mononuclear cells (PBMC) will be isolated and cryopreserved for evaluation of T-cell phenotype and influenza vaccine response assays. </w:t>
      </w:r>
      <w:r w:rsidR="00537F66">
        <w:rPr>
          <w:rFonts w:ascii="Arial" w:eastAsia="Times New Roman" w:hAnsi="Arial" w:cs="Arial"/>
          <w:sz w:val="20"/>
          <w:szCs w:val="20"/>
        </w:rPr>
        <w:t>Following analysis of the samples at the Burnet Institute, a</w:t>
      </w:r>
      <w:r w:rsidRPr="002F6B0A">
        <w:rPr>
          <w:rFonts w:ascii="Arial" w:eastAsia="Times New Roman" w:hAnsi="Arial" w:cs="Arial"/>
          <w:sz w:val="20"/>
          <w:szCs w:val="20"/>
        </w:rPr>
        <w:t>ny excess sample (serum or PBMCs) will be returned to the Australian Lupus Registry &amp; Biobank for storage, as already approved under HREC 14262A, and future use may be subjected to written approval of specific HREC approval.</w:t>
      </w:r>
    </w:p>
    <w:p w14:paraId="3A04AFD2" w14:textId="77777777" w:rsidR="00C54C0B" w:rsidRPr="00C54C0B" w:rsidRDefault="00D750B3" w:rsidP="00BB4E07">
      <w:pPr>
        <w:pStyle w:val="Heading3"/>
        <w:spacing w:line="276" w:lineRule="auto"/>
        <w:jc w:val="both"/>
      </w:pPr>
      <w:bookmarkStart w:id="11" w:name="_Toc117626664"/>
      <w:r w:rsidRPr="00C54C0B">
        <w:t xml:space="preserve">2.3.7 </w:t>
      </w:r>
      <w:r w:rsidR="0036399E" w:rsidRPr="00C54C0B">
        <w:t>Influenza vaccine response measurements</w:t>
      </w:r>
      <w:bookmarkEnd w:id="11"/>
    </w:p>
    <w:p w14:paraId="7730B362" w14:textId="77777777" w:rsidR="00C54C0B" w:rsidRDefault="00C54C0B" w:rsidP="00BB4E07">
      <w:pPr>
        <w:pStyle w:val="Heading3"/>
        <w:spacing w:line="276" w:lineRule="auto"/>
        <w:jc w:val="both"/>
        <w:rPr>
          <w:rFonts w:ascii="Arial" w:eastAsia="Times New Roman" w:hAnsi="Arial" w:cs="Arial"/>
          <w:sz w:val="20"/>
          <w:szCs w:val="20"/>
        </w:rPr>
      </w:pPr>
    </w:p>
    <w:p w14:paraId="564F4879" w14:textId="01BB1683" w:rsidR="0036399E" w:rsidRPr="00C54C0B" w:rsidRDefault="0036399E" w:rsidP="00BB4E07">
      <w:pPr>
        <w:spacing w:line="276" w:lineRule="auto"/>
        <w:jc w:val="both"/>
        <w:rPr>
          <w:rFonts w:ascii="Arial" w:hAnsi="Arial" w:cs="Arial"/>
          <w:sz w:val="20"/>
          <w:szCs w:val="20"/>
        </w:rPr>
      </w:pPr>
      <w:r w:rsidRPr="00C54C0B">
        <w:rPr>
          <w:rFonts w:ascii="Arial" w:hAnsi="Arial" w:cs="Arial"/>
          <w:sz w:val="20"/>
          <w:szCs w:val="20"/>
        </w:rPr>
        <w:t xml:space="preserve">Anti-Influenza antibody titres in plasma will be determined using a haemagglutination inhibition (HI) assay. T-cell responses will be measured in vitro through the stimulation of PBMC with influenza peptides and controls. These tests will be performed on </w:t>
      </w:r>
      <w:r w:rsidR="00421DC5">
        <w:rPr>
          <w:rFonts w:ascii="Arial" w:hAnsi="Arial" w:cs="Arial"/>
          <w:sz w:val="20"/>
          <w:szCs w:val="20"/>
        </w:rPr>
        <w:t>samples collected at Baseline/Week 0</w:t>
      </w:r>
      <w:r w:rsidR="00421DC5" w:rsidRPr="00C54C0B">
        <w:rPr>
          <w:rFonts w:ascii="Arial" w:hAnsi="Arial" w:cs="Arial"/>
          <w:sz w:val="20"/>
          <w:szCs w:val="20"/>
        </w:rPr>
        <w:t xml:space="preserve"> </w:t>
      </w:r>
      <w:r w:rsidRPr="00C54C0B">
        <w:rPr>
          <w:rFonts w:ascii="Arial" w:hAnsi="Arial" w:cs="Arial"/>
          <w:sz w:val="20"/>
          <w:szCs w:val="20"/>
        </w:rPr>
        <w:t xml:space="preserve">and </w:t>
      </w:r>
      <w:r w:rsidR="00421DC5">
        <w:rPr>
          <w:rFonts w:ascii="Arial" w:hAnsi="Arial" w:cs="Arial"/>
          <w:sz w:val="20"/>
          <w:szCs w:val="20"/>
        </w:rPr>
        <w:t xml:space="preserve">at </w:t>
      </w:r>
      <w:r w:rsidRPr="00C54C0B">
        <w:rPr>
          <w:rFonts w:ascii="Arial" w:hAnsi="Arial" w:cs="Arial"/>
          <w:sz w:val="20"/>
          <w:szCs w:val="20"/>
        </w:rPr>
        <w:t xml:space="preserve">4 weeks post-vaccination. </w:t>
      </w:r>
    </w:p>
    <w:p w14:paraId="229C9023" w14:textId="77777777" w:rsidR="00C54C0B" w:rsidRPr="00C54C0B" w:rsidRDefault="00C54C0B" w:rsidP="00BB4E07">
      <w:pPr>
        <w:spacing w:line="276" w:lineRule="auto"/>
        <w:jc w:val="both"/>
      </w:pPr>
    </w:p>
    <w:p w14:paraId="16BADB62" w14:textId="11D6238D" w:rsidR="00C54C0B" w:rsidRDefault="00D750B3" w:rsidP="00BB4E07">
      <w:pPr>
        <w:pStyle w:val="Heading3"/>
        <w:spacing w:line="276" w:lineRule="auto"/>
        <w:jc w:val="both"/>
      </w:pPr>
      <w:bookmarkStart w:id="12" w:name="_Toc117626665"/>
      <w:r>
        <w:t xml:space="preserve">2.3.8 </w:t>
      </w:r>
      <w:r w:rsidR="00FA4EE3">
        <w:t>Immune profiling</w:t>
      </w:r>
      <w:bookmarkEnd w:id="12"/>
      <w:r w:rsidR="0036399E" w:rsidRPr="00D750B3">
        <w:t xml:space="preserve"> </w:t>
      </w:r>
    </w:p>
    <w:p w14:paraId="3A9C2C73" w14:textId="2966CE37" w:rsidR="0036399E" w:rsidRPr="00D750B3" w:rsidRDefault="0036399E" w:rsidP="00BB4E07">
      <w:p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sz w:val="20"/>
          <w:szCs w:val="20"/>
        </w:rPr>
        <w:t xml:space="preserve">To identify important biomarkers during immunosuppressant withdrawal which could indicate a potential future flare or an enhanced vaccine response, T-cell subset proportions and phenotypes will </w:t>
      </w:r>
      <w:r w:rsidR="008E63F1">
        <w:rPr>
          <w:rFonts w:ascii="Arial" w:eastAsia="Times New Roman" w:hAnsi="Arial" w:cs="Arial"/>
          <w:sz w:val="20"/>
          <w:szCs w:val="20"/>
        </w:rPr>
        <w:t xml:space="preserve">be </w:t>
      </w:r>
      <w:r w:rsidRPr="00D750B3">
        <w:rPr>
          <w:rFonts w:ascii="Arial" w:eastAsia="Times New Roman" w:hAnsi="Arial" w:cs="Arial"/>
          <w:sz w:val="20"/>
          <w:szCs w:val="20"/>
        </w:rPr>
        <w:t xml:space="preserve">measured at baseline and after MMF withdrawal using flow cytometry. CD4+ and CD8+ T-cell, </w:t>
      </w:r>
      <w:proofErr w:type="spellStart"/>
      <w:r w:rsidRPr="00D750B3">
        <w:rPr>
          <w:rFonts w:ascii="Arial" w:eastAsia="Times New Roman" w:hAnsi="Arial" w:cs="Arial"/>
          <w:sz w:val="20"/>
          <w:szCs w:val="20"/>
        </w:rPr>
        <w:t>naïve</w:t>
      </w:r>
      <w:proofErr w:type="spellEnd"/>
      <w:r w:rsidRPr="00D750B3">
        <w:rPr>
          <w:rFonts w:ascii="Arial" w:eastAsia="Times New Roman" w:hAnsi="Arial" w:cs="Arial"/>
          <w:sz w:val="20"/>
          <w:szCs w:val="20"/>
        </w:rPr>
        <w:t xml:space="preserve">, memory and effector subsets, and functional CD4+ T-cell subsets. </w:t>
      </w:r>
      <w:r w:rsidR="00FA4EE3">
        <w:rPr>
          <w:rFonts w:ascii="Arial" w:eastAsia="Times New Roman" w:hAnsi="Arial" w:cs="Arial"/>
          <w:sz w:val="20"/>
          <w:szCs w:val="20"/>
        </w:rPr>
        <w:t>Soluble markers will be measured from stored EDTA plasma samples.</w:t>
      </w:r>
    </w:p>
    <w:p w14:paraId="14621BE2" w14:textId="1599E7A3" w:rsidR="0036399E" w:rsidRPr="00D750B3" w:rsidRDefault="00D750B3" w:rsidP="00BB4E07">
      <w:pPr>
        <w:pStyle w:val="Heading3"/>
        <w:spacing w:line="276" w:lineRule="auto"/>
        <w:jc w:val="both"/>
      </w:pPr>
      <w:bookmarkStart w:id="13" w:name="_Toc117626666"/>
      <w:r>
        <w:t xml:space="preserve">2.3.9 </w:t>
      </w:r>
      <w:r w:rsidR="0036399E" w:rsidRPr="00D750B3">
        <w:t xml:space="preserve">SLE </w:t>
      </w:r>
      <w:r w:rsidR="008E63F1">
        <w:t>disease activity</w:t>
      </w:r>
      <w:bookmarkEnd w:id="13"/>
      <w:r w:rsidR="008E63F1">
        <w:t xml:space="preserve"> </w:t>
      </w:r>
    </w:p>
    <w:p w14:paraId="12D47A5B" w14:textId="3BF3462B" w:rsidR="0036399E" w:rsidRPr="00C40DEF" w:rsidRDefault="008E63F1" w:rsidP="00BB4E07">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 xml:space="preserve">For each patient enrolled into the study, clinical parameters regarding their SLE disease activity </w:t>
      </w:r>
      <w:r w:rsidR="00421DC5">
        <w:rPr>
          <w:rFonts w:ascii="Arial" w:eastAsia="Times New Roman" w:hAnsi="Arial" w:cs="Arial"/>
          <w:sz w:val="20"/>
          <w:szCs w:val="20"/>
        </w:rPr>
        <w:t xml:space="preserve">will be obtained </w:t>
      </w:r>
      <w:r>
        <w:rPr>
          <w:rFonts w:ascii="Arial" w:eastAsia="Times New Roman" w:hAnsi="Arial" w:cs="Arial"/>
          <w:sz w:val="20"/>
          <w:szCs w:val="20"/>
        </w:rPr>
        <w:t xml:space="preserve">from the Australian Lupus Registry &amp; Biobank Lupus Connect database. Their overall time adjusted mean SLE Disease Activity Index (SLEDAI), most recent SLEDAI before their vaccination date, rate of flares based on SLE Flare Index (SFI) in the preceding 12 months, and the most recent physician global assessment (PGA) will be collected. Disease severity will also be classified according to High Disease Activity Status (HDAS). </w:t>
      </w:r>
      <w:r w:rsidR="0036399E" w:rsidRPr="00D750B3">
        <w:rPr>
          <w:rFonts w:ascii="Arial" w:eastAsia="Times New Roman" w:hAnsi="Arial" w:cs="Arial"/>
          <w:sz w:val="20"/>
          <w:szCs w:val="20"/>
        </w:rPr>
        <w:t>There will be additional patient-reported outcome measure</w:t>
      </w:r>
      <w:r w:rsidR="00AF45FB">
        <w:rPr>
          <w:rFonts w:ascii="Arial" w:eastAsia="Times New Roman" w:hAnsi="Arial" w:cs="Arial"/>
          <w:sz w:val="20"/>
          <w:szCs w:val="20"/>
        </w:rPr>
        <w:t>s</w:t>
      </w:r>
      <w:r w:rsidR="0036399E" w:rsidRPr="00D750B3">
        <w:rPr>
          <w:rFonts w:ascii="Arial" w:eastAsia="Times New Roman" w:hAnsi="Arial" w:cs="Arial"/>
          <w:sz w:val="20"/>
          <w:szCs w:val="20"/>
        </w:rPr>
        <w:t xml:space="preserve"> in the form of RAPID3 (score 0-</w:t>
      </w:r>
      <w:r w:rsidR="00AF45FB">
        <w:rPr>
          <w:rFonts w:ascii="Arial" w:eastAsia="Times New Roman" w:hAnsi="Arial" w:cs="Arial"/>
          <w:sz w:val="20"/>
          <w:szCs w:val="20"/>
        </w:rPr>
        <w:t>3</w:t>
      </w:r>
      <w:r w:rsidR="0036399E" w:rsidRPr="00D750B3">
        <w:rPr>
          <w:rFonts w:ascii="Arial" w:eastAsia="Times New Roman" w:hAnsi="Arial" w:cs="Arial"/>
          <w:sz w:val="20"/>
          <w:szCs w:val="20"/>
        </w:rPr>
        <w:t xml:space="preserve">0), to be recorded at </w:t>
      </w:r>
      <w:r>
        <w:rPr>
          <w:rFonts w:ascii="Arial" w:eastAsia="Times New Roman" w:hAnsi="Arial" w:cs="Arial"/>
          <w:sz w:val="20"/>
          <w:szCs w:val="20"/>
        </w:rPr>
        <w:t>five</w:t>
      </w:r>
      <w:r w:rsidR="0036399E" w:rsidRPr="00D750B3">
        <w:rPr>
          <w:rFonts w:ascii="Arial" w:eastAsia="Times New Roman" w:hAnsi="Arial" w:cs="Arial"/>
          <w:sz w:val="20"/>
          <w:szCs w:val="20"/>
        </w:rPr>
        <w:t xml:space="preserve"> </w:t>
      </w:r>
      <w:proofErr w:type="spellStart"/>
      <w:r w:rsidR="0036399E" w:rsidRPr="00D750B3">
        <w:rPr>
          <w:rFonts w:ascii="Arial" w:eastAsia="Times New Roman" w:hAnsi="Arial" w:cs="Arial"/>
          <w:sz w:val="20"/>
          <w:szCs w:val="20"/>
        </w:rPr>
        <w:t>timepoints</w:t>
      </w:r>
      <w:proofErr w:type="spellEnd"/>
      <w:r w:rsidR="0036399E" w:rsidRPr="00D750B3">
        <w:rPr>
          <w:rFonts w:ascii="Arial" w:eastAsia="Times New Roman" w:hAnsi="Arial" w:cs="Arial"/>
          <w:sz w:val="20"/>
          <w:szCs w:val="20"/>
        </w:rPr>
        <w:t xml:space="preserve">, at </w:t>
      </w:r>
      <w:r w:rsidR="00421DC5">
        <w:rPr>
          <w:rFonts w:ascii="Arial" w:eastAsia="Times New Roman" w:hAnsi="Arial" w:cs="Arial"/>
          <w:sz w:val="20"/>
          <w:szCs w:val="20"/>
        </w:rPr>
        <w:t>B</w:t>
      </w:r>
      <w:r w:rsidR="0036399E" w:rsidRPr="00D750B3">
        <w:rPr>
          <w:rFonts w:ascii="Arial" w:eastAsia="Times New Roman" w:hAnsi="Arial" w:cs="Arial"/>
          <w:sz w:val="20"/>
          <w:szCs w:val="20"/>
        </w:rPr>
        <w:t>aseline</w:t>
      </w:r>
      <w:r w:rsidR="00421DC5">
        <w:rPr>
          <w:rFonts w:ascii="Arial" w:eastAsia="Times New Roman" w:hAnsi="Arial" w:cs="Arial"/>
          <w:sz w:val="20"/>
          <w:szCs w:val="20"/>
        </w:rPr>
        <w:t>/Week 0</w:t>
      </w:r>
      <w:r w:rsidR="0036399E" w:rsidRPr="00D750B3">
        <w:rPr>
          <w:rFonts w:ascii="Arial" w:eastAsia="Times New Roman" w:hAnsi="Arial" w:cs="Arial"/>
          <w:sz w:val="20"/>
          <w:szCs w:val="20"/>
        </w:rPr>
        <w:t xml:space="preserve">, </w:t>
      </w:r>
      <w:r w:rsidR="00421DC5">
        <w:rPr>
          <w:rFonts w:ascii="Arial" w:eastAsia="Times New Roman" w:hAnsi="Arial" w:cs="Arial"/>
          <w:sz w:val="20"/>
          <w:szCs w:val="20"/>
        </w:rPr>
        <w:t>W</w:t>
      </w:r>
      <w:r w:rsidR="0036399E" w:rsidRPr="00D750B3">
        <w:rPr>
          <w:rFonts w:ascii="Arial" w:eastAsia="Times New Roman" w:hAnsi="Arial" w:cs="Arial"/>
          <w:sz w:val="20"/>
          <w:szCs w:val="20"/>
        </w:rPr>
        <w:t>eek 2</w:t>
      </w:r>
      <w:r>
        <w:rPr>
          <w:rFonts w:ascii="Arial" w:eastAsia="Times New Roman" w:hAnsi="Arial" w:cs="Arial"/>
          <w:sz w:val="20"/>
          <w:szCs w:val="20"/>
        </w:rPr>
        <w:t>, 4, 8,</w:t>
      </w:r>
      <w:r w:rsidR="0036399E" w:rsidRPr="00D750B3">
        <w:rPr>
          <w:rFonts w:ascii="Arial" w:eastAsia="Times New Roman" w:hAnsi="Arial" w:cs="Arial"/>
          <w:sz w:val="20"/>
          <w:szCs w:val="20"/>
        </w:rPr>
        <w:t xml:space="preserve"> and 12. </w:t>
      </w:r>
      <w:r w:rsidR="0036399E" w:rsidRPr="00C40DEF">
        <w:rPr>
          <w:rFonts w:ascii="Arial" w:eastAsia="Times New Roman" w:hAnsi="Arial" w:cs="Arial"/>
          <w:sz w:val="20"/>
          <w:szCs w:val="20"/>
        </w:rPr>
        <w:t xml:space="preserve">Flares will be captured by SFI </w:t>
      </w:r>
      <w:r w:rsidR="00421DC5" w:rsidRPr="00C40DEF">
        <w:rPr>
          <w:rFonts w:ascii="Arial" w:eastAsia="Times New Roman" w:hAnsi="Arial" w:cs="Arial"/>
          <w:sz w:val="20"/>
          <w:szCs w:val="20"/>
        </w:rPr>
        <w:t xml:space="preserve">at </w:t>
      </w:r>
      <w:r w:rsidR="0036399E" w:rsidRPr="00C40DEF">
        <w:rPr>
          <w:rFonts w:ascii="Arial" w:eastAsia="Times New Roman" w:hAnsi="Arial" w:cs="Arial"/>
          <w:sz w:val="20"/>
          <w:szCs w:val="20"/>
        </w:rPr>
        <w:t>week 4 (physician</w:t>
      </w:r>
      <w:r w:rsidR="00311ECC" w:rsidRPr="00C40DEF">
        <w:rPr>
          <w:rFonts w:ascii="Arial" w:eastAsia="Times New Roman" w:hAnsi="Arial" w:cs="Arial"/>
          <w:sz w:val="20"/>
          <w:szCs w:val="20"/>
        </w:rPr>
        <w:t>-</w:t>
      </w:r>
      <w:r w:rsidR="0036399E" w:rsidRPr="00C40DEF">
        <w:rPr>
          <w:rFonts w:ascii="Arial" w:eastAsia="Times New Roman" w:hAnsi="Arial" w:cs="Arial"/>
          <w:sz w:val="20"/>
          <w:szCs w:val="20"/>
        </w:rPr>
        <w:t>reported)</w:t>
      </w:r>
      <w:r w:rsidR="00421DC5" w:rsidRPr="00C40DEF">
        <w:rPr>
          <w:rFonts w:ascii="Arial" w:eastAsia="Times New Roman" w:hAnsi="Arial" w:cs="Arial"/>
          <w:sz w:val="20"/>
          <w:szCs w:val="20"/>
        </w:rPr>
        <w:t>. Flares will also be considered as</w:t>
      </w:r>
      <w:r w:rsidR="0036399E" w:rsidRPr="00C40DEF">
        <w:rPr>
          <w:rFonts w:ascii="Arial" w:eastAsia="Times New Roman" w:hAnsi="Arial" w:cs="Arial"/>
          <w:sz w:val="20"/>
          <w:szCs w:val="20"/>
        </w:rPr>
        <w:t xml:space="preserve"> a change </w:t>
      </w:r>
      <w:r w:rsidR="0036399E" w:rsidRPr="00C40DEF">
        <w:rPr>
          <w:rFonts w:ascii="Arial" w:eastAsia="Times New Roman" w:hAnsi="Arial" w:cs="Arial"/>
          <w:sz w:val="20"/>
          <w:szCs w:val="20"/>
        </w:rPr>
        <w:lastRenderedPageBreak/>
        <w:t xml:space="preserve">in </w:t>
      </w:r>
      <w:r w:rsidR="00AF45FB" w:rsidRPr="00C40DEF">
        <w:rPr>
          <w:rFonts w:ascii="Arial" w:eastAsia="Times New Roman" w:hAnsi="Arial" w:cs="Arial"/>
          <w:sz w:val="20"/>
          <w:szCs w:val="20"/>
        </w:rPr>
        <w:t xml:space="preserve">PGA </w:t>
      </w:r>
      <w:r w:rsidR="00421DC5" w:rsidRPr="00C40DEF">
        <w:rPr>
          <w:rFonts w:ascii="Arial" w:eastAsia="Times New Roman" w:hAnsi="Arial" w:cs="Arial"/>
          <w:sz w:val="20"/>
          <w:szCs w:val="20"/>
        </w:rPr>
        <w:t xml:space="preserve">≥1 </w:t>
      </w:r>
      <w:r w:rsidR="0036399E" w:rsidRPr="00C40DEF">
        <w:rPr>
          <w:rFonts w:ascii="Arial" w:eastAsia="Times New Roman" w:hAnsi="Arial" w:cs="Arial"/>
          <w:sz w:val="20"/>
          <w:szCs w:val="20"/>
        </w:rPr>
        <w:t xml:space="preserve">from </w:t>
      </w:r>
      <w:r w:rsidR="00421DC5" w:rsidRPr="00C40DEF">
        <w:rPr>
          <w:rFonts w:ascii="Arial" w:eastAsia="Times New Roman" w:hAnsi="Arial" w:cs="Arial"/>
          <w:sz w:val="20"/>
          <w:szCs w:val="20"/>
        </w:rPr>
        <w:t>B</w:t>
      </w:r>
      <w:r w:rsidR="0036399E" w:rsidRPr="00C40DEF">
        <w:rPr>
          <w:rFonts w:ascii="Arial" w:eastAsia="Times New Roman" w:hAnsi="Arial" w:cs="Arial"/>
          <w:sz w:val="20"/>
          <w:szCs w:val="20"/>
        </w:rPr>
        <w:t>aseline</w:t>
      </w:r>
      <w:r w:rsidR="00311ECC" w:rsidRPr="00C40DEF">
        <w:rPr>
          <w:rFonts w:ascii="Arial" w:eastAsia="Times New Roman" w:hAnsi="Arial" w:cs="Arial"/>
          <w:sz w:val="20"/>
          <w:szCs w:val="20"/>
        </w:rPr>
        <w:t xml:space="preserve"> (physician-reported)</w:t>
      </w:r>
      <w:r w:rsidR="00C40DEF" w:rsidRPr="00C40DEF">
        <w:rPr>
          <w:rFonts w:ascii="Arial" w:eastAsia="Times New Roman" w:hAnsi="Arial" w:cs="Arial"/>
          <w:sz w:val="20"/>
          <w:szCs w:val="20"/>
        </w:rPr>
        <w:t xml:space="preserve">. A </w:t>
      </w:r>
      <w:r w:rsidR="0036399E" w:rsidRPr="00C40DEF">
        <w:rPr>
          <w:rFonts w:ascii="Arial" w:eastAsia="Times New Roman" w:hAnsi="Arial" w:cs="Arial"/>
          <w:sz w:val="20"/>
          <w:szCs w:val="20"/>
        </w:rPr>
        <w:t xml:space="preserve">score </w:t>
      </w:r>
      <w:r w:rsidR="00AF45FB" w:rsidRPr="00C40DEF">
        <w:rPr>
          <w:rFonts w:ascii="Arial" w:eastAsia="Times New Roman" w:hAnsi="Arial" w:cs="Arial"/>
          <w:sz w:val="20"/>
          <w:szCs w:val="20"/>
        </w:rPr>
        <w:t xml:space="preserve">of </w:t>
      </w:r>
      <w:r w:rsidR="0036399E" w:rsidRPr="00C40DEF">
        <w:rPr>
          <w:rFonts w:ascii="Arial" w:eastAsia="Times New Roman" w:hAnsi="Arial" w:cs="Arial"/>
          <w:sz w:val="20"/>
          <w:szCs w:val="20"/>
        </w:rPr>
        <w:t>&gt;</w:t>
      </w:r>
      <w:r w:rsidR="00421DC5" w:rsidRPr="00C40DEF">
        <w:rPr>
          <w:rFonts w:ascii="Arial" w:eastAsia="Times New Roman" w:hAnsi="Arial" w:cs="Arial"/>
          <w:sz w:val="20"/>
          <w:szCs w:val="20"/>
        </w:rPr>
        <w:t xml:space="preserve">12 </w:t>
      </w:r>
      <w:r w:rsidR="00AF45FB" w:rsidRPr="00C40DEF">
        <w:rPr>
          <w:rFonts w:ascii="Arial" w:eastAsia="Times New Roman" w:hAnsi="Arial" w:cs="Arial"/>
          <w:sz w:val="20"/>
          <w:szCs w:val="20"/>
        </w:rPr>
        <w:t xml:space="preserve">on the RAPID3 </w:t>
      </w:r>
      <w:r w:rsidR="0036399E" w:rsidRPr="00C40DEF">
        <w:rPr>
          <w:rFonts w:ascii="Arial" w:eastAsia="Times New Roman" w:hAnsi="Arial" w:cs="Arial"/>
          <w:sz w:val="20"/>
          <w:szCs w:val="20"/>
        </w:rPr>
        <w:t>(patient-reported)</w:t>
      </w:r>
      <w:r w:rsidR="00C40DEF" w:rsidRPr="00BB4E07">
        <w:rPr>
          <w:rFonts w:ascii="Arial" w:eastAsia="Times New Roman" w:hAnsi="Arial" w:cs="Arial"/>
          <w:sz w:val="20"/>
          <w:szCs w:val="20"/>
        </w:rPr>
        <w:t xml:space="preserve"> will be used as indication of high disease activity</w:t>
      </w:r>
      <w:r w:rsidR="0036399E" w:rsidRPr="00C40DEF">
        <w:rPr>
          <w:rFonts w:ascii="Arial" w:eastAsia="Times New Roman" w:hAnsi="Arial" w:cs="Arial"/>
          <w:sz w:val="20"/>
          <w:szCs w:val="20"/>
        </w:rPr>
        <w:t xml:space="preserve"> [8]. </w:t>
      </w:r>
    </w:p>
    <w:p w14:paraId="7C66B2F2" w14:textId="6ABF4036" w:rsidR="0036399E" w:rsidRPr="00C40DEF" w:rsidRDefault="008E63F1" w:rsidP="00BB4E07">
      <w:pPr>
        <w:pStyle w:val="Heading3"/>
        <w:spacing w:line="276" w:lineRule="auto"/>
        <w:jc w:val="both"/>
      </w:pPr>
      <w:bookmarkStart w:id="14" w:name="_Toc117626667"/>
      <w:r w:rsidRPr="00C40DEF">
        <w:t xml:space="preserve">2.3.10 </w:t>
      </w:r>
      <w:r w:rsidR="0036399E" w:rsidRPr="00C40DEF">
        <w:t>Monitoring for influenza infection</w:t>
      </w:r>
      <w:bookmarkEnd w:id="14"/>
    </w:p>
    <w:p w14:paraId="298577BB" w14:textId="2DCE82C2" w:rsidR="007008B5" w:rsidRPr="00C40DEF" w:rsidRDefault="00421DC5" w:rsidP="00BB4E07">
      <w:pPr>
        <w:spacing w:before="100" w:beforeAutospacing="1" w:after="100" w:afterAutospacing="1" w:line="276" w:lineRule="auto"/>
        <w:jc w:val="both"/>
        <w:rPr>
          <w:rFonts w:ascii="Arial" w:eastAsia="Times New Roman" w:hAnsi="Arial" w:cs="Arial"/>
          <w:sz w:val="20"/>
          <w:szCs w:val="20"/>
        </w:rPr>
      </w:pPr>
      <w:r w:rsidRPr="00C40DEF">
        <w:rPr>
          <w:rFonts w:ascii="Arial" w:eastAsia="Times New Roman" w:hAnsi="Arial" w:cs="Arial"/>
          <w:sz w:val="20"/>
          <w:szCs w:val="20"/>
        </w:rPr>
        <w:t>Participant</w:t>
      </w:r>
      <w:r w:rsidR="00416BC2" w:rsidRPr="00C40DEF">
        <w:rPr>
          <w:rFonts w:ascii="Arial" w:eastAsia="Times New Roman" w:hAnsi="Arial" w:cs="Arial"/>
          <w:sz w:val="20"/>
          <w:szCs w:val="20"/>
        </w:rPr>
        <w:t>s</w:t>
      </w:r>
      <w:r w:rsidR="0036399E" w:rsidRPr="00C40DEF">
        <w:rPr>
          <w:rFonts w:ascii="Arial" w:eastAsia="Times New Roman" w:hAnsi="Arial" w:cs="Arial"/>
          <w:sz w:val="20"/>
          <w:szCs w:val="20"/>
        </w:rPr>
        <w:t xml:space="preserve"> will be asked </w:t>
      </w:r>
      <w:r w:rsidR="008E63F1" w:rsidRPr="00C40DEF">
        <w:rPr>
          <w:rFonts w:ascii="Arial" w:eastAsia="Times New Roman" w:hAnsi="Arial" w:cs="Arial"/>
          <w:sz w:val="20"/>
          <w:szCs w:val="20"/>
        </w:rPr>
        <w:t xml:space="preserve">on week 4, 8 and 12 </w:t>
      </w:r>
      <w:r w:rsidR="007008B5" w:rsidRPr="00C40DEF">
        <w:rPr>
          <w:rFonts w:ascii="Arial" w:eastAsia="Times New Roman" w:hAnsi="Arial" w:cs="Arial"/>
          <w:sz w:val="20"/>
          <w:szCs w:val="20"/>
        </w:rPr>
        <w:t xml:space="preserve">on their questionnaire, </w:t>
      </w:r>
      <w:r w:rsidR="008E63F1" w:rsidRPr="00C40DEF">
        <w:rPr>
          <w:rFonts w:ascii="Arial" w:eastAsia="Times New Roman" w:hAnsi="Arial" w:cs="Arial"/>
          <w:sz w:val="20"/>
          <w:szCs w:val="20"/>
        </w:rPr>
        <w:t>whether they have had symptoms that are suggestive of influenza infection</w:t>
      </w:r>
      <w:r w:rsidR="007008B5" w:rsidRPr="00C40DEF">
        <w:rPr>
          <w:rFonts w:ascii="Arial" w:eastAsia="Times New Roman" w:hAnsi="Arial" w:cs="Arial"/>
          <w:sz w:val="20"/>
          <w:szCs w:val="20"/>
        </w:rPr>
        <w:t>, and whether they have had microbiological confirmation. The effects of influenza infection on work commitment and any hospitalisation will be recorded.</w:t>
      </w:r>
    </w:p>
    <w:p w14:paraId="1998705A" w14:textId="565C4A6D" w:rsidR="007008B5" w:rsidRDefault="007008B5" w:rsidP="00BB4E07">
      <w:pPr>
        <w:spacing w:before="100" w:beforeAutospacing="1" w:after="100" w:afterAutospacing="1" w:line="276" w:lineRule="auto"/>
        <w:jc w:val="both"/>
        <w:rPr>
          <w:rFonts w:ascii="Arial" w:eastAsia="Times New Roman" w:hAnsi="Arial" w:cs="Arial"/>
          <w:sz w:val="20"/>
          <w:szCs w:val="20"/>
        </w:rPr>
      </w:pPr>
      <w:r w:rsidRPr="00C40DEF">
        <w:rPr>
          <w:rFonts w:ascii="Arial" w:eastAsia="Times New Roman" w:hAnsi="Arial" w:cs="Arial"/>
          <w:sz w:val="20"/>
          <w:szCs w:val="20"/>
        </w:rPr>
        <w:t>At enrolment</w:t>
      </w:r>
      <w:r w:rsidR="00754AD6" w:rsidRPr="00C40DEF">
        <w:rPr>
          <w:rFonts w:ascii="Arial" w:eastAsia="Times New Roman" w:hAnsi="Arial" w:cs="Arial"/>
          <w:sz w:val="20"/>
          <w:szCs w:val="20"/>
        </w:rPr>
        <w:t>,</w:t>
      </w:r>
      <w:r w:rsidRPr="00C40DEF">
        <w:rPr>
          <w:rFonts w:ascii="Arial" w:eastAsia="Times New Roman" w:hAnsi="Arial" w:cs="Arial"/>
          <w:sz w:val="20"/>
          <w:szCs w:val="20"/>
        </w:rPr>
        <w:t xml:space="preserve"> </w:t>
      </w:r>
      <w:r w:rsidR="00421DC5" w:rsidRPr="00C40DEF">
        <w:rPr>
          <w:rFonts w:ascii="Arial" w:eastAsia="Times New Roman" w:hAnsi="Arial" w:cs="Arial"/>
          <w:sz w:val="20"/>
          <w:szCs w:val="20"/>
        </w:rPr>
        <w:t>participant</w:t>
      </w:r>
      <w:r w:rsidRPr="00C40DEF">
        <w:rPr>
          <w:rFonts w:ascii="Arial" w:eastAsia="Times New Roman" w:hAnsi="Arial" w:cs="Arial"/>
          <w:sz w:val="20"/>
          <w:szCs w:val="20"/>
        </w:rPr>
        <w:t xml:space="preserve">s will be provided with a pathology request </w:t>
      </w:r>
      <w:r w:rsidR="0052307E" w:rsidRPr="00C40DEF">
        <w:rPr>
          <w:rFonts w:ascii="Arial" w:eastAsia="Times New Roman" w:hAnsi="Arial" w:cs="Arial"/>
          <w:sz w:val="20"/>
          <w:szCs w:val="20"/>
        </w:rPr>
        <w:t xml:space="preserve">slip for a nasopharyngeal swab </w:t>
      </w:r>
      <w:r w:rsidRPr="00C40DEF">
        <w:rPr>
          <w:rFonts w:ascii="Arial" w:eastAsia="Times New Roman" w:hAnsi="Arial" w:cs="Arial"/>
          <w:sz w:val="20"/>
          <w:szCs w:val="20"/>
        </w:rPr>
        <w:t xml:space="preserve">and symptom diary (paper and electronic form). </w:t>
      </w:r>
      <w:r w:rsidR="00421DC5" w:rsidRPr="00C40DEF">
        <w:rPr>
          <w:rFonts w:ascii="Arial" w:eastAsia="Times New Roman" w:hAnsi="Arial" w:cs="Arial"/>
          <w:sz w:val="20"/>
          <w:szCs w:val="20"/>
        </w:rPr>
        <w:t>Participant</w:t>
      </w:r>
      <w:r w:rsidR="0036399E" w:rsidRPr="00C40DEF">
        <w:rPr>
          <w:rFonts w:ascii="Arial" w:eastAsia="Times New Roman" w:hAnsi="Arial" w:cs="Arial"/>
          <w:sz w:val="20"/>
          <w:szCs w:val="20"/>
        </w:rPr>
        <w:t xml:space="preserve">s </w:t>
      </w:r>
      <w:r w:rsidR="008E63F1" w:rsidRPr="00C40DEF">
        <w:rPr>
          <w:rFonts w:ascii="Arial" w:eastAsia="Times New Roman" w:hAnsi="Arial" w:cs="Arial"/>
          <w:sz w:val="20"/>
          <w:szCs w:val="20"/>
        </w:rPr>
        <w:t>are encouraged to seek</w:t>
      </w:r>
      <w:r w:rsidR="0036399E" w:rsidRPr="00C40DEF">
        <w:rPr>
          <w:rFonts w:ascii="Arial" w:eastAsia="Times New Roman" w:hAnsi="Arial" w:cs="Arial"/>
          <w:sz w:val="20"/>
          <w:szCs w:val="20"/>
        </w:rPr>
        <w:t xml:space="preserve"> a nasopharyngeal swab </w:t>
      </w:r>
      <w:r w:rsidRPr="00C40DEF">
        <w:rPr>
          <w:rFonts w:ascii="Arial" w:eastAsia="Times New Roman" w:hAnsi="Arial" w:cs="Arial"/>
          <w:sz w:val="20"/>
          <w:szCs w:val="20"/>
        </w:rPr>
        <w:t xml:space="preserve">to confirm the type of respiratory illness they may have during the study period. They are instructed to seek care from their usual </w:t>
      </w:r>
      <w:r w:rsidR="00FA4EE3" w:rsidRPr="00C40DEF">
        <w:rPr>
          <w:rFonts w:ascii="Arial" w:eastAsia="Times New Roman" w:hAnsi="Arial" w:cs="Arial"/>
          <w:sz w:val="20"/>
          <w:szCs w:val="20"/>
        </w:rPr>
        <w:t>doctor but</w:t>
      </w:r>
      <w:r w:rsidRPr="00C40DEF">
        <w:rPr>
          <w:rFonts w:ascii="Arial" w:eastAsia="Times New Roman" w:hAnsi="Arial" w:cs="Arial"/>
          <w:sz w:val="20"/>
          <w:szCs w:val="20"/>
        </w:rPr>
        <w:t xml:space="preserve"> let the study coordinator know if they have done a swab.</w:t>
      </w:r>
      <w:r w:rsidR="00B53126" w:rsidRPr="00C40DEF">
        <w:rPr>
          <w:rFonts w:ascii="Arial" w:eastAsia="Times New Roman" w:hAnsi="Arial" w:cs="Arial"/>
          <w:sz w:val="20"/>
          <w:szCs w:val="20"/>
        </w:rPr>
        <w:t xml:space="preserve"> It is standard of care to clarify the nature of the pathogen, where possible.</w:t>
      </w:r>
      <w:r w:rsidR="00754AD6" w:rsidRPr="00C40DEF">
        <w:rPr>
          <w:rFonts w:ascii="Arial" w:eastAsia="Times New Roman" w:hAnsi="Arial" w:cs="Arial"/>
          <w:sz w:val="20"/>
          <w:szCs w:val="20"/>
        </w:rPr>
        <w:t xml:space="preserve"> </w:t>
      </w:r>
      <w:r w:rsidR="00421DC5" w:rsidRPr="00C40DEF">
        <w:rPr>
          <w:rFonts w:ascii="Arial" w:eastAsia="Times New Roman" w:hAnsi="Arial" w:cs="Arial"/>
          <w:sz w:val="20"/>
          <w:szCs w:val="20"/>
        </w:rPr>
        <w:t>Participant</w:t>
      </w:r>
      <w:r w:rsidRPr="00C40DEF">
        <w:rPr>
          <w:rFonts w:ascii="Arial" w:eastAsia="Times New Roman" w:hAnsi="Arial" w:cs="Arial"/>
          <w:sz w:val="20"/>
          <w:szCs w:val="20"/>
        </w:rPr>
        <w:t xml:space="preserve">s will be asked to </w:t>
      </w:r>
      <w:r w:rsidR="00AC490B" w:rsidRPr="00C40DEF">
        <w:rPr>
          <w:rFonts w:ascii="Arial" w:eastAsia="Times New Roman" w:hAnsi="Arial" w:cs="Arial"/>
          <w:sz w:val="20"/>
          <w:szCs w:val="20"/>
        </w:rPr>
        <w:t xml:space="preserve">fill out </w:t>
      </w:r>
      <w:r w:rsidRPr="00C40DEF">
        <w:rPr>
          <w:rFonts w:ascii="Arial" w:eastAsia="Times New Roman" w:hAnsi="Arial" w:cs="Arial"/>
          <w:sz w:val="20"/>
          <w:szCs w:val="20"/>
        </w:rPr>
        <w:t xml:space="preserve">the symptom diary on a daily basis from the start of their symptoms </w:t>
      </w:r>
      <w:r w:rsidR="00AC490B" w:rsidRPr="00C40DEF">
        <w:rPr>
          <w:rFonts w:ascii="Arial" w:eastAsia="Times New Roman" w:hAnsi="Arial" w:cs="Arial"/>
          <w:sz w:val="20"/>
          <w:szCs w:val="20"/>
        </w:rPr>
        <w:t xml:space="preserve">until </w:t>
      </w:r>
      <w:r w:rsidRPr="00C40DEF">
        <w:rPr>
          <w:rFonts w:ascii="Arial" w:eastAsia="Times New Roman" w:hAnsi="Arial" w:cs="Arial"/>
          <w:sz w:val="20"/>
          <w:szCs w:val="20"/>
        </w:rPr>
        <w:t>their resolution.</w:t>
      </w:r>
    </w:p>
    <w:p w14:paraId="002049CE" w14:textId="567E43B1" w:rsidR="00A566AD" w:rsidRDefault="00A566AD" w:rsidP="00BB4E07">
      <w:pPr>
        <w:pStyle w:val="Heading3"/>
        <w:spacing w:line="276" w:lineRule="auto"/>
        <w:jc w:val="both"/>
      </w:pPr>
      <w:bookmarkStart w:id="15" w:name="_Toc117626668"/>
      <w:r>
        <w:t>2.3.11 Immunisation record</w:t>
      </w:r>
      <w:bookmarkEnd w:id="15"/>
    </w:p>
    <w:p w14:paraId="44F7D2DD" w14:textId="4A0AC800" w:rsidR="00A566AD" w:rsidRDefault="00A566AD">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Immunisation history will be sought regarding participants’ previous vaccination</w:t>
      </w:r>
      <w:r w:rsidR="00421DC5">
        <w:rPr>
          <w:rFonts w:ascii="Arial" w:eastAsia="Times New Roman" w:hAnsi="Arial" w:cs="Arial"/>
          <w:sz w:val="20"/>
          <w:szCs w:val="20"/>
        </w:rPr>
        <w:t>(s)</w:t>
      </w:r>
      <w:r>
        <w:rPr>
          <w:rFonts w:ascii="Arial" w:eastAsia="Times New Roman" w:hAnsi="Arial" w:cs="Arial"/>
          <w:sz w:val="20"/>
          <w:szCs w:val="20"/>
        </w:rPr>
        <w:t xml:space="preserve"> to influenza</w:t>
      </w:r>
      <w:r w:rsidR="00421DC5">
        <w:rPr>
          <w:rFonts w:ascii="Arial" w:eastAsia="Times New Roman" w:hAnsi="Arial" w:cs="Arial"/>
          <w:sz w:val="20"/>
          <w:szCs w:val="20"/>
        </w:rPr>
        <w:t>,</w:t>
      </w:r>
      <w:r>
        <w:rPr>
          <w:rFonts w:ascii="Arial" w:eastAsia="Times New Roman" w:hAnsi="Arial" w:cs="Arial"/>
          <w:sz w:val="20"/>
          <w:szCs w:val="20"/>
        </w:rPr>
        <w:t xml:space="preserve"> COVID</w:t>
      </w:r>
      <w:r w:rsidR="00421DC5">
        <w:rPr>
          <w:rFonts w:ascii="Arial" w:eastAsia="Times New Roman" w:hAnsi="Arial" w:cs="Arial"/>
          <w:sz w:val="20"/>
          <w:szCs w:val="20"/>
        </w:rPr>
        <w:t>-19</w:t>
      </w:r>
      <w:r>
        <w:rPr>
          <w:rFonts w:ascii="Arial" w:eastAsia="Times New Roman" w:hAnsi="Arial" w:cs="Arial"/>
          <w:sz w:val="20"/>
          <w:szCs w:val="20"/>
        </w:rPr>
        <w:t>, and pneumococcus.</w:t>
      </w:r>
    </w:p>
    <w:p w14:paraId="16AE0D75" w14:textId="2EF98797" w:rsidR="00D1030B" w:rsidRDefault="00D1030B">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2.3.12 Study extension</w:t>
      </w:r>
    </w:p>
    <w:p w14:paraId="35D3803A" w14:textId="044A9FB4" w:rsidR="00D1030B" w:rsidRDefault="00D1030B" w:rsidP="00BB4E07">
      <w:pPr>
        <w:spacing w:before="100" w:beforeAutospacing="1" w:after="100" w:afterAutospacing="1" w:line="276" w:lineRule="auto"/>
        <w:jc w:val="both"/>
        <w:rPr>
          <w:rFonts w:ascii="Arial" w:eastAsia="Times New Roman" w:hAnsi="Arial" w:cs="Arial"/>
          <w:sz w:val="20"/>
          <w:szCs w:val="20"/>
        </w:rPr>
      </w:pPr>
      <w:r>
        <w:rPr>
          <w:rFonts w:ascii="Arial" w:hAnsi="Arial" w:cs="Arial"/>
          <w:sz w:val="20"/>
          <w:szCs w:val="20"/>
        </w:rPr>
        <w:t>This study was initially intended to take place and be completed in 2023, however due to circumstances which unexpectedly delayed commencing of recruitment, we would like to extend this study into 2024. Participants who participated in the original study through the 2023 recruitment period, and who have completed all study-related procedures and tasks, will not be re-consented using the new PISIC (version 5 2023-10-30). However, if any patients who participated in the original study in 2023 wish to participate again in 2024, they will be re-consented with the new PISIC (version 5 2023-10-30). New participants who wish to participate in the 2024 study period will also be consented with the new PISIC (version 5 2023-10-30).</w:t>
      </w:r>
    </w:p>
    <w:p w14:paraId="184E8452" w14:textId="35E258FA" w:rsidR="0036399E" w:rsidRPr="00D750B3" w:rsidRDefault="008E63F1" w:rsidP="00BB4E07">
      <w:pPr>
        <w:pStyle w:val="Heading2"/>
        <w:spacing w:line="276" w:lineRule="auto"/>
        <w:jc w:val="both"/>
      </w:pPr>
      <w:bookmarkStart w:id="16" w:name="_Toc117626669"/>
      <w:r>
        <w:t xml:space="preserve">2.4 </w:t>
      </w:r>
      <w:r w:rsidR="00FA4EE3">
        <w:t>Data management</w:t>
      </w:r>
      <w:bookmarkEnd w:id="16"/>
      <w:r w:rsidR="0036399E" w:rsidRPr="00D750B3">
        <w:t xml:space="preserve"> </w:t>
      </w:r>
    </w:p>
    <w:p w14:paraId="24949C8F" w14:textId="5043189E" w:rsidR="00FA4EE3" w:rsidRDefault="00FA4EE3" w:rsidP="00BB4E07">
      <w:pPr>
        <w:pStyle w:val="Heading3"/>
        <w:spacing w:line="276" w:lineRule="auto"/>
        <w:jc w:val="both"/>
      </w:pPr>
      <w:bookmarkStart w:id="17" w:name="_Toc117626670"/>
      <w:r>
        <w:t>2.4.1 De-identification process</w:t>
      </w:r>
      <w:bookmarkEnd w:id="17"/>
    </w:p>
    <w:p w14:paraId="3AE1C81C" w14:textId="1AC283AB" w:rsidR="00DF68B4" w:rsidRDefault="00DE6A25" w:rsidP="00BB4E07">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Eligible patients will be identified using the database (Lupus Connect) that contain</w:t>
      </w:r>
      <w:r w:rsidR="00A566AD">
        <w:rPr>
          <w:rFonts w:ascii="Arial" w:eastAsia="Times New Roman" w:hAnsi="Arial" w:cs="Arial"/>
          <w:sz w:val="20"/>
          <w:szCs w:val="20"/>
        </w:rPr>
        <w:t>s</w:t>
      </w:r>
      <w:r>
        <w:rPr>
          <w:rFonts w:ascii="Arial" w:eastAsia="Times New Roman" w:hAnsi="Arial" w:cs="Arial"/>
          <w:sz w:val="20"/>
          <w:szCs w:val="20"/>
        </w:rPr>
        <w:t xml:space="preserve"> longitudinal data of participants of the Australian Lupus Registry &amp; Biobank. Identifiable information is only visible for clinicians who are directly involved in patient care. Lupus Connect generates a unique Registry ID and </w:t>
      </w:r>
      <w:r w:rsidR="00DF68B4">
        <w:rPr>
          <w:rFonts w:ascii="Arial" w:eastAsia="Times New Roman" w:hAnsi="Arial" w:cs="Arial"/>
          <w:sz w:val="20"/>
          <w:szCs w:val="20"/>
        </w:rPr>
        <w:t>Biobank ID which are used to link clinical and laboratory data for analysis purpose</w:t>
      </w:r>
      <w:r w:rsidR="00AC490B">
        <w:rPr>
          <w:rFonts w:ascii="Arial" w:eastAsia="Times New Roman" w:hAnsi="Arial" w:cs="Arial"/>
          <w:sz w:val="20"/>
          <w:szCs w:val="20"/>
        </w:rPr>
        <w:t>s</w:t>
      </w:r>
      <w:r w:rsidR="00DF68B4">
        <w:rPr>
          <w:rFonts w:ascii="Arial" w:eastAsia="Times New Roman" w:hAnsi="Arial" w:cs="Arial"/>
          <w:sz w:val="20"/>
          <w:szCs w:val="20"/>
        </w:rPr>
        <w:t xml:space="preserve">. </w:t>
      </w:r>
    </w:p>
    <w:p w14:paraId="5D0D2F94" w14:textId="3CCE3DA6" w:rsidR="00DE6A25" w:rsidRDefault="00DF68B4" w:rsidP="00BB4E07">
      <w:pPr>
        <w:spacing w:line="276" w:lineRule="auto"/>
        <w:jc w:val="both"/>
        <w:rPr>
          <w:rFonts w:ascii="Arial" w:eastAsia="Times New Roman" w:hAnsi="Arial" w:cs="Arial"/>
          <w:sz w:val="20"/>
          <w:szCs w:val="20"/>
        </w:rPr>
      </w:pPr>
      <w:r>
        <w:rPr>
          <w:rFonts w:ascii="Arial" w:eastAsia="Times New Roman" w:hAnsi="Arial" w:cs="Arial"/>
          <w:sz w:val="20"/>
          <w:szCs w:val="20"/>
        </w:rPr>
        <w:t xml:space="preserve">Blood samples will be collected </w:t>
      </w:r>
      <w:r w:rsidR="000F5D12">
        <w:rPr>
          <w:rFonts w:ascii="Arial" w:eastAsia="Times New Roman" w:hAnsi="Arial" w:cs="Arial"/>
          <w:sz w:val="20"/>
          <w:szCs w:val="20"/>
        </w:rPr>
        <w:t xml:space="preserve">by a study investigator or </w:t>
      </w:r>
      <w:r>
        <w:rPr>
          <w:rFonts w:ascii="Arial" w:eastAsia="Times New Roman" w:hAnsi="Arial" w:cs="Arial"/>
          <w:sz w:val="20"/>
          <w:szCs w:val="20"/>
        </w:rPr>
        <w:t xml:space="preserve">Monash </w:t>
      </w:r>
      <w:r w:rsidR="00A566AD">
        <w:rPr>
          <w:rFonts w:ascii="Arial" w:eastAsia="Times New Roman" w:hAnsi="Arial" w:cs="Arial"/>
          <w:sz w:val="20"/>
          <w:szCs w:val="20"/>
        </w:rPr>
        <w:t>Pathology,</w:t>
      </w:r>
      <w:r>
        <w:rPr>
          <w:rFonts w:ascii="Arial" w:eastAsia="Times New Roman" w:hAnsi="Arial" w:cs="Arial"/>
          <w:sz w:val="20"/>
          <w:szCs w:val="20"/>
        </w:rPr>
        <w:t xml:space="preserve"> and they will be labelled according to the following convention. A code will be generated based on 1) collection date YYYYMMDD; 2) </w:t>
      </w:r>
      <w:r w:rsidR="000F5D12">
        <w:rPr>
          <w:rFonts w:ascii="Arial" w:eastAsia="Times New Roman" w:hAnsi="Arial" w:cs="Arial"/>
          <w:sz w:val="20"/>
          <w:szCs w:val="20"/>
        </w:rPr>
        <w:t>Registry ID number</w:t>
      </w:r>
      <w:r>
        <w:rPr>
          <w:rFonts w:ascii="Arial" w:eastAsia="Times New Roman" w:hAnsi="Arial" w:cs="Arial"/>
          <w:sz w:val="20"/>
          <w:szCs w:val="20"/>
        </w:rPr>
        <w:t>; 3) type of tube used:</w:t>
      </w:r>
    </w:p>
    <w:p w14:paraId="027B0ED7" w14:textId="41C5E173" w:rsidR="00DF68B4" w:rsidRDefault="00DF68B4" w:rsidP="00BB4E07">
      <w:pPr>
        <w:spacing w:line="276" w:lineRule="auto"/>
        <w:ind w:firstLine="720"/>
        <w:jc w:val="both"/>
        <w:rPr>
          <w:rFonts w:ascii="Arial" w:eastAsia="Times New Roman" w:hAnsi="Arial" w:cs="Arial"/>
          <w:sz w:val="20"/>
          <w:szCs w:val="20"/>
        </w:rPr>
      </w:pPr>
      <w:r>
        <w:rPr>
          <w:rFonts w:ascii="Arial" w:eastAsia="Times New Roman" w:hAnsi="Arial" w:cs="Arial"/>
          <w:sz w:val="20"/>
          <w:szCs w:val="20"/>
        </w:rPr>
        <w:t>EDTA tube = EDTA</w:t>
      </w:r>
    </w:p>
    <w:p w14:paraId="6FC652EC" w14:textId="5BF68BE6" w:rsidR="00DF68B4" w:rsidRDefault="00DF68B4" w:rsidP="00BB4E07">
      <w:pPr>
        <w:spacing w:line="276" w:lineRule="auto"/>
        <w:ind w:firstLine="720"/>
        <w:jc w:val="both"/>
        <w:rPr>
          <w:rFonts w:ascii="Arial" w:eastAsia="Times New Roman" w:hAnsi="Arial" w:cs="Arial"/>
          <w:sz w:val="20"/>
          <w:szCs w:val="20"/>
        </w:rPr>
      </w:pPr>
      <w:r>
        <w:rPr>
          <w:rFonts w:ascii="Arial" w:eastAsia="Times New Roman" w:hAnsi="Arial" w:cs="Arial"/>
          <w:sz w:val="20"/>
          <w:szCs w:val="20"/>
        </w:rPr>
        <w:t>ACD tube = ACD1, ACD2, ACD3, ACD4</w:t>
      </w:r>
    </w:p>
    <w:p w14:paraId="1C61CDC6" w14:textId="30255076" w:rsidR="00DF68B4" w:rsidRDefault="00DF68B4" w:rsidP="00BB4E07">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coding list of participants</w:t>
      </w:r>
      <w:r w:rsidR="00A566AD">
        <w:rPr>
          <w:rFonts w:ascii="Arial" w:eastAsia="Times New Roman" w:hAnsi="Arial" w:cs="Arial"/>
          <w:sz w:val="20"/>
          <w:szCs w:val="20"/>
        </w:rPr>
        <w:t>’</w:t>
      </w:r>
      <w:r>
        <w:rPr>
          <w:rFonts w:ascii="Arial" w:eastAsia="Times New Roman" w:hAnsi="Arial" w:cs="Arial"/>
          <w:sz w:val="20"/>
          <w:szCs w:val="20"/>
        </w:rPr>
        <w:t xml:space="preserve"> UR and their corresponding Biobank ID will be provided to Monash Pathology </w:t>
      </w:r>
      <w:r w:rsidR="00F94B2B">
        <w:rPr>
          <w:rFonts w:ascii="Arial" w:eastAsia="Times New Roman" w:hAnsi="Arial" w:cs="Arial"/>
          <w:sz w:val="20"/>
          <w:szCs w:val="20"/>
        </w:rPr>
        <w:t xml:space="preserve">and Biobanking Victoria </w:t>
      </w:r>
      <w:r>
        <w:rPr>
          <w:rFonts w:ascii="Arial" w:eastAsia="Times New Roman" w:hAnsi="Arial" w:cs="Arial"/>
          <w:sz w:val="20"/>
          <w:szCs w:val="20"/>
        </w:rPr>
        <w:t>in a password protected file and we will expect this to be deleted at the conclusion of the study.</w:t>
      </w:r>
    </w:p>
    <w:p w14:paraId="5F822F62" w14:textId="5364D830" w:rsidR="00FA4EE3" w:rsidRDefault="00FA4EE3" w:rsidP="00BB4E07">
      <w:pPr>
        <w:pStyle w:val="Heading3"/>
        <w:spacing w:line="276" w:lineRule="auto"/>
        <w:jc w:val="both"/>
      </w:pPr>
      <w:bookmarkStart w:id="18" w:name="_Toc117626671"/>
      <w:r>
        <w:lastRenderedPageBreak/>
        <w:t>2.4.2 Data sharing</w:t>
      </w:r>
      <w:bookmarkEnd w:id="18"/>
    </w:p>
    <w:p w14:paraId="5EC67929" w14:textId="7167DC84" w:rsidR="00DF68B4" w:rsidRPr="00DF68B4" w:rsidRDefault="00DF68B4" w:rsidP="00BB4E07">
      <w:pPr>
        <w:spacing w:line="276" w:lineRule="auto"/>
        <w:jc w:val="both"/>
        <w:rPr>
          <w:rFonts w:ascii="Arial" w:hAnsi="Arial" w:cs="Arial"/>
          <w:sz w:val="20"/>
          <w:szCs w:val="20"/>
        </w:rPr>
      </w:pPr>
    </w:p>
    <w:p w14:paraId="3883BAC0" w14:textId="7AACA9E5" w:rsidR="00DF68B4" w:rsidRDefault="00DF68B4" w:rsidP="00BB4E07">
      <w:pPr>
        <w:spacing w:line="276" w:lineRule="auto"/>
        <w:jc w:val="both"/>
        <w:rPr>
          <w:rFonts w:ascii="Arial" w:hAnsi="Arial" w:cs="Arial"/>
          <w:sz w:val="20"/>
          <w:szCs w:val="20"/>
        </w:rPr>
      </w:pPr>
      <w:r w:rsidRPr="00DF68B4">
        <w:rPr>
          <w:rFonts w:ascii="Arial" w:hAnsi="Arial" w:cs="Arial"/>
          <w:sz w:val="20"/>
          <w:szCs w:val="20"/>
        </w:rPr>
        <w:t xml:space="preserve">Clinical data will be collected using </w:t>
      </w:r>
      <w:proofErr w:type="spellStart"/>
      <w:r w:rsidRPr="00DF68B4">
        <w:rPr>
          <w:rFonts w:ascii="Arial" w:hAnsi="Arial" w:cs="Arial"/>
          <w:sz w:val="20"/>
          <w:szCs w:val="20"/>
        </w:rPr>
        <w:t>REDCap</w:t>
      </w:r>
      <w:proofErr w:type="spellEnd"/>
      <w:r w:rsidRPr="00DF68B4">
        <w:rPr>
          <w:rFonts w:ascii="Arial" w:hAnsi="Arial" w:cs="Arial"/>
          <w:sz w:val="20"/>
          <w:szCs w:val="20"/>
        </w:rPr>
        <w:t xml:space="preserve">, which is a web application that is provided free by Helix team at Monash University to allow a researcher to collect health data, create surveys, randomise </w:t>
      </w:r>
      <w:r w:rsidR="00421DC5">
        <w:rPr>
          <w:rFonts w:ascii="Arial" w:hAnsi="Arial" w:cs="Arial"/>
          <w:sz w:val="20"/>
          <w:szCs w:val="20"/>
        </w:rPr>
        <w:t>participant</w:t>
      </w:r>
      <w:r w:rsidRPr="00DF68B4">
        <w:rPr>
          <w:rFonts w:ascii="Arial" w:hAnsi="Arial" w:cs="Arial"/>
          <w:sz w:val="20"/>
          <w:szCs w:val="20"/>
        </w:rPr>
        <w:t xml:space="preserve">s, </w:t>
      </w:r>
      <w:r>
        <w:rPr>
          <w:rFonts w:ascii="Arial" w:hAnsi="Arial" w:cs="Arial"/>
          <w:sz w:val="20"/>
          <w:szCs w:val="20"/>
        </w:rPr>
        <w:t xml:space="preserve">and </w:t>
      </w:r>
      <w:r w:rsidRPr="00DF68B4">
        <w:rPr>
          <w:rFonts w:ascii="Arial" w:hAnsi="Arial" w:cs="Arial"/>
          <w:sz w:val="20"/>
          <w:szCs w:val="20"/>
        </w:rPr>
        <w:t>setup longitudinal study in a secure environment.</w:t>
      </w:r>
    </w:p>
    <w:p w14:paraId="0A227323" w14:textId="66A7B9A3" w:rsidR="00DF68B4" w:rsidRDefault="00DF68B4" w:rsidP="00BB4E07">
      <w:pPr>
        <w:spacing w:line="276" w:lineRule="auto"/>
        <w:jc w:val="both"/>
        <w:rPr>
          <w:rFonts w:ascii="Arial" w:hAnsi="Arial" w:cs="Arial"/>
          <w:sz w:val="20"/>
          <w:szCs w:val="20"/>
        </w:rPr>
      </w:pPr>
    </w:p>
    <w:p w14:paraId="4B899DB2" w14:textId="248D7697" w:rsidR="00DF68B4" w:rsidRDefault="00DF68B4" w:rsidP="00BB4E07">
      <w:pPr>
        <w:spacing w:line="276" w:lineRule="auto"/>
        <w:jc w:val="both"/>
        <w:rPr>
          <w:rFonts w:ascii="Arial" w:hAnsi="Arial" w:cs="Arial"/>
          <w:sz w:val="20"/>
          <w:szCs w:val="20"/>
        </w:rPr>
      </w:pPr>
      <w:r>
        <w:rPr>
          <w:rFonts w:ascii="Arial" w:hAnsi="Arial" w:cs="Arial"/>
          <w:sz w:val="20"/>
          <w:szCs w:val="20"/>
        </w:rPr>
        <w:t xml:space="preserve">Laboratory data will be stored in </w:t>
      </w:r>
      <w:proofErr w:type="spellStart"/>
      <w:r>
        <w:rPr>
          <w:rFonts w:ascii="Arial" w:hAnsi="Arial" w:cs="Arial"/>
          <w:sz w:val="20"/>
          <w:szCs w:val="20"/>
        </w:rPr>
        <w:t>LabArchive</w:t>
      </w:r>
      <w:proofErr w:type="spellEnd"/>
      <w:r>
        <w:rPr>
          <w:rFonts w:ascii="Arial" w:hAnsi="Arial" w:cs="Arial"/>
          <w:sz w:val="20"/>
          <w:szCs w:val="20"/>
        </w:rPr>
        <w:t xml:space="preserve">, and transferred for analysis with participant’s Biobank ID as linkage. </w:t>
      </w:r>
    </w:p>
    <w:p w14:paraId="620B564C" w14:textId="67FA7A79" w:rsidR="00DF68B4" w:rsidRDefault="00DF68B4" w:rsidP="00BB4E07">
      <w:pPr>
        <w:spacing w:line="276" w:lineRule="auto"/>
        <w:jc w:val="both"/>
        <w:rPr>
          <w:rFonts w:ascii="Arial" w:hAnsi="Arial" w:cs="Arial"/>
          <w:sz w:val="20"/>
          <w:szCs w:val="20"/>
        </w:rPr>
      </w:pPr>
    </w:p>
    <w:p w14:paraId="4B6A5EAC" w14:textId="4CFE9F65" w:rsidR="00DF68B4" w:rsidRPr="00DF68B4" w:rsidRDefault="00DF68B4" w:rsidP="00BB4E07">
      <w:pPr>
        <w:spacing w:line="276" w:lineRule="auto"/>
        <w:jc w:val="both"/>
        <w:rPr>
          <w:rFonts w:ascii="Arial" w:hAnsi="Arial" w:cs="Arial"/>
          <w:sz w:val="20"/>
          <w:szCs w:val="20"/>
        </w:rPr>
      </w:pPr>
      <w:r>
        <w:rPr>
          <w:rFonts w:ascii="Arial" w:hAnsi="Arial" w:cs="Arial"/>
          <w:sz w:val="20"/>
          <w:szCs w:val="20"/>
        </w:rPr>
        <w:t xml:space="preserve">All data, analysis and results will be stored at Monash University secured drive, and </w:t>
      </w:r>
      <w:r w:rsidR="00754AD6">
        <w:rPr>
          <w:rFonts w:ascii="Arial" w:hAnsi="Arial" w:cs="Arial"/>
          <w:sz w:val="20"/>
          <w:szCs w:val="20"/>
        </w:rPr>
        <w:t xml:space="preserve">retained for at least </w:t>
      </w:r>
      <w:r w:rsidR="00AC490B">
        <w:rPr>
          <w:rFonts w:ascii="Arial" w:hAnsi="Arial" w:cs="Arial"/>
          <w:sz w:val="20"/>
          <w:szCs w:val="20"/>
        </w:rPr>
        <w:t xml:space="preserve">7 </w:t>
      </w:r>
      <w:r>
        <w:rPr>
          <w:rFonts w:ascii="Arial" w:hAnsi="Arial" w:cs="Arial"/>
          <w:sz w:val="20"/>
          <w:szCs w:val="20"/>
        </w:rPr>
        <w:t xml:space="preserve">years </w:t>
      </w:r>
      <w:r w:rsidR="00754AD6">
        <w:rPr>
          <w:rFonts w:ascii="Arial" w:hAnsi="Arial" w:cs="Arial"/>
          <w:sz w:val="20"/>
          <w:szCs w:val="20"/>
        </w:rPr>
        <w:t xml:space="preserve">following </w:t>
      </w:r>
      <w:r>
        <w:rPr>
          <w:rFonts w:ascii="Arial" w:hAnsi="Arial" w:cs="Arial"/>
          <w:sz w:val="20"/>
          <w:szCs w:val="20"/>
        </w:rPr>
        <w:t xml:space="preserve">completion of </w:t>
      </w:r>
      <w:r w:rsidR="00754AD6">
        <w:rPr>
          <w:rFonts w:ascii="Arial" w:hAnsi="Arial" w:cs="Arial"/>
          <w:sz w:val="20"/>
          <w:szCs w:val="20"/>
        </w:rPr>
        <w:t xml:space="preserve">the </w:t>
      </w:r>
      <w:r>
        <w:rPr>
          <w:rFonts w:ascii="Arial" w:hAnsi="Arial" w:cs="Arial"/>
          <w:sz w:val="20"/>
          <w:szCs w:val="20"/>
        </w:rPr>
        <w:t>study.</w:t>
      </w:r>
    </w:p>
    <w:p w14:paraId="7FC71950" w14:textId="2935A244" w:rsidR="00FA4EE3" w:rsidRDefault="00FA4EE3" w:rsidP="00BB4E07">
      <w:pPr>
        <w:pStyle w:val="Heading3"/>
        <w:spacing w:line="276" w:lineRule="auto"/>
        <w:jc w:val="both"/>
      </w:pPr>
      <w:bookmarkStart w:id="19" w:name="_Toc117626672"/>
      <w:r>
        <w:t>2.4.3 Analysis</w:t>
      </w:r>
      <w:bookmarkEnd w:id="19"/>
    </w:p>
    <w:p w14:paraId="1736FA55" w14:textId="77A3DDE1" w:rsidR="0036399E" w:rsidRDefault="0036399E" w:rsidP="00BB4E07">
      <w:p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sz w:val="20"/>
          <w:szCs w:val="20"/>
        </w:rPr>
        <w:t xml:space="preserve">Satisfactory vaccine response to seasonal influenza vaccination will be defined by greater than or equal to four-fold increase in antibody titre in ≥2 of four influenza vaccine antigens compared to baseline responses prior to immunization [6]. The proportion of participants who achieve a satisfactory vaccine response from each group will be reported and compared using χ2 tests or Fisher’s exact test, as appropriate. Other continuous variables are analysed by using a t-test or Mann Whitney U test as appropriate. Binary secondary efficacy variables (such as frequency of disease flare and incidence of infection) will be compared by using χ2 tests or Fisher’s exact test, as appropriate. Logistic regression will be used to assess association of clinical variables such as absolute B-cell and/or T-cells numbers at baseline, study group assignment (temporary interruption vs continuation), and other disease related parameters with adequate vaccine response. P&lt;0.05 is considered to indicate statistical significance. </w:t>
      </w:r>
    </w:p>
    <w:p w14:paraId="2FE637D7" w14:textId="6C570A41" w:rsidR="00FA4EE3" w:rsidRDefault="00FA4EE3" w:rsidP="00BB4E07">
      <w:pPr>
        <w:pStyle w:val="Heading3"/>
        <w:spacing w:line="276" w:lineRule="auto"/>
        <w:jc w:val="both"/>
      </w:pPr>
      <w:bookmarkStart w:id="20" w:name="_Toc117626673"/>
      <w:r>
        <w:t>2.4.4 Project closure</w:t>
      </w:r>
      <w:bookmarkEnd w:id="20"/>
    </w:p>
    <w:p w14:paraId="3A6F5521" w14:textId="77777777" w:rsidR="00DF68B4" w:rsidRDefault="00DF68B4" w:rsidP="00BB4E07">
      <w:pPr>
        <w:spacing w:before="100" w:beforeAutospacing="1" w:after="100" w:afterAutospacing="1" w:line="276" w:lineRule="auto"/>
        <w:jc w:val="both"/>
        <w:rPr>
          <w:rFonts w:ascii="Arial" w:eastAsia="Times New Roman" w:hAnsi="Arial" w:cs="Arial"/>
          <w:sz w:val="20"/>
          <w:szCs w:val="20"/>
        </w:rPr>
      </w:pPr>
      <w:r w:rsidRPr="00C8310E">
        <w:rPr>
          <w:rFonts w:ascii="Arial" w:eastAsia="Times New Roman" w:hAnsi="Arial" w:cs="Arial"/>
          <w:sz w:val="20"/>
          <w:szCs w:val="20"/>
        </w:rPr>
        <w:t>At completion of the study, the Monash Health Research Support Services unit will be informed, and a project final report will be submitted via email to research@monashhealth.org.</w:t>
      </w:r>
    </w:p>
    <w:p w14:paraId="5377BC13" w14:textId="4705EA21" w:rsidR="00DF68B4" w:rsidRPr="00DF68B4" w:rsidRDefault="00DF68B4" w:rsidP="00BB4E07">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final</w:t>
      </w:r>
      <w:r w:rsidRPr="00DF68B4">
        <w:rPr>
          <w:rFonts w:ascii="Arial" w:eastAsia="Times New Roman" w:hAnsi="Arial" w:cs="Arial"/>
          <w:sz w:val="20"/>
          <w:szCs w:val="20"/>
        </w:rPr>
        <w:t xml:space="preserve"> progress report </w:t>
      </w:r>
      <w:r>
        <w:rPr>
          <w:rFonts w:ascii="Arial" w:eastAsia="Times New Roman" w:hAnsi="Arial" w:cs="Arial"/>
          <w:sz w:val="20"/>
          <w:szCs w:val="20"/>
        </w:rPr>
        <w:t xml:space="preserve">will </w:t>
      </w:r>
      <w:r w:rsidR="00F94B2B">
        <w:rPr>
          <w:rFonts w:ascii="Arial" w:eastAsia="Times New Roman" w:hAnsi="Arial" w:cs="Arial"/>
          <w:sz w:val="20"/>
          <w:szCs w:val="20"/>
        </w:rPr>
        <w:t>c</w:t>
      </w:r>
      <w:r>
        <w:rPr>
          <w:rFonts w:ascii="Arial" w:eastAsia="Times New Roman" w:hAnsi="Arial" w:cs="Arial"/>
          <w:sz w:val="20"/>
          <w:szCs w:val="20"/>
        </w:rPr>
        <w:t>over</w:t>
      </w:r>
      <w:r w:rsidRPr="00DF68B4">
        <w:rPr>
          <w:rFonts w:ascii="Arial" w:eastAsia="Times New Roman" w:hAnsi="Arial" w:cs="Arial"/>
          <w:sz w:val="20"/>
          <w:szCs w:val="20"/>
        </w:rPr>
        <w:t xml:space="preserve"> the entire period of the grant and</w:t>
      </w:r>
      <w:r>
        <w:rPr>
          <w:rFonts w:ascii="Arial" w:eastAsia="Times New Roman" w:hAnsi="Arial" w:cs="Arial"/>
          <w:sz w:val="20"/>
          <w:szCs w:val="20"/>
        </w:rPr>
        <w:t xml:space="preserve"> may include</w:t>
      </w:r>
      <w:r w:rsidRPr="00DF68B4">
        <w:rPr>
          <w:rFonts w:ascii="Arial" w:eastAsia="Times New Roman" w:hAnsi="Arial" w:cs="Arial"/>
          <w:sz w:val="20"/>
          <w:szCs w:val="20"/>
        </w:rPr>
        <w:t xml:space="preserve"> a listing of any research outputs such as journal articles</w:t>
      </w:r>
      <w:r>
        <w:rPr>
          <w:rFonts w:ascii="Arial" w:eastAsia="Times New Roman" w:hAnsi="Arial" w:cs="Arial"/>
          <w:sz w:val="20"/>
          <w:szCs w:val="20"/>
        </w:rPr>
        <w:t xml:space="preserve"> or</w:t>
      </w:r>
      <w:r w:rsidRPr="00DF68B4">
        <w:rPr>
          <w:rFonts w:ascii="Arial" w:eastAsia="Times New Roman" w:hAnsi="Arial" w:cs="Arial"/>
          <w:sz w:val="20"/>
          <w:szCs w:val="20"/>
        </w:rPr>
        <w:t xml:space="preserve"> conference presentations</w:t>
      </w:r>
      <w:r>
        <w:rPr>
          <w:rFonts w:ascii="Arial" w:eastAsia="Times New Roman" w:hAnsi="Arial" w:cs="Arial"/>
          <w:sz w:val="20"/>
          <w:szCs w:val="20"/>
        </w:rPr>
        <w:t xml:space="preserve">. </w:t>
      </w:r>
    </w:p>
    <w:p w14:paraId="62315F11" w14:textId="63016673" w:rsidR="00FA4EE3" w:rsidRPr="00D750B3" w:rsidRDefault="00DF68B4" w:rsidP="00BB4E07">
      <w:pPr>
        <w:spacing w:before="100" w:beforeAutospacing="1" w:after="100" w:afterAutospacing="1" w:line="276" w:lineRule="auto"/>
        <w:jc w:val="both"/>
        <w:rPr>
          <w:rFonts w:ascii="Arial" w:eastAsia="Times New Roman" w:hAnsi="Arial" w:cs="Arial"/>
          <w:sz w:val="20"/>
          <w:szCs w:val="20"/>
        </w:rPr>
      </w:pPr>
      <w:r w:rsidRPr="00C40DEF">
        <w:rPr>
          <w:rFonts w:ascii="Arial" w:eastAsia="Times New Roman" w:hAnsi="Arial" w:cs="Arial"/>
          <w:sz w:val="20"/>
          <w:szCs w:val="20"/>
        </w:rPr>
        <w:t xml:space="preserve">A scientific and a plain language reports will be separately prepared for the funder Arthritis Australia </w:t>
      </w:r>
      <w:r w:rsidR="0027204F" w:rsidRPr="00BB4E07">
        <w:rPr>
          <w:rFonts w:ascii="Arial" w:eastAsia="Times New Roman" w:hAnsi="Arial" w:cs="Arial"/>
          <w:sz w:val="20"/>
          <w:szCs w:val="20"/>
        </w:rPr>
        <w:t>in</w:t>
      </w:r>
      <w:r w:rsidR="0027204F" w:rsidRPr="00C40DEF">
        <w:rPr>
          <w:rFonts w:ascii="Arial" w:eastAsia="Times New Roman" w:hAnsi="Arial" w:cs="Arial"/>
          <w:sz w:val="20"/>
          <w:szCs w:val="20"/>
        </w:rPr>
        <w:t xml:space="preserve"> </w:t>
      </w:r>
      <w:r w:rsidRPr="00C40DEF">
        <w:rPr>
          <w:rFonts w:ascii="Arial" w:eastAsia="Times New Roman" w:hAnsi="Arial" w:cs="Arial"/>
          <w:sz w:val="20"/>
          <w:szCs w:val="20"/>
        </w:rPr>
        <w:t xml:space="preserve">March 2024. </w:t>
      </w:r>
      <w:r w:rsidR="0027204F" w:rsidRPr="00C40DEF">
        <w:rPr>
          <w:rFonts w:ascii="Arial" w:eastAsia="Times New Roman" w:hAnsi="Arial" w:cs="Arial"/>
          <w:sz w:val="20"/>
          <w:szCs w:val="20"/>
        </w:rPr>
        <w:t>Annual and final reports will be provided to Monash Health HREC at the completion of the study in March 2025.</w:t>
      </w:r>
    </w:p>
    <w:p w14:paraId="332E5FBA" w14:textId="5A743803" w:rsidR="0036399E" w:rsidRPr="00D750B3" w:rsidRDefault="008E63F1" w:rsidP="00BB4E07">
      <w:pPr>
        <w:pStyle w:val="Heading1"/>
        <w:spacing w:line="276" w:lineRule="auto"/>
        <w:jc w:val="both"/>
      </w:pPr>
      <w:bookmarkStart w:id="21" w:name="_Toc117626674"/>
      <w:r>
        <w:t xml:space="preserve">3.0 </w:t>
      </w:r>
      <w:r w:rsidR="0036399E" w:rsidRPr="00D750B3">
        <w:t>Expected outcomes and future directions</w:t>
      </w:r>
      <w:bookmarkEnd w:id="21"/>
      <w:r w:rsidR="0036399E" w:rsidRPr="00D750B3">
        <w:t xml:space="preserve"> </w:t>
      </w:r>
    </w:p>
    <w:p w14:paraId="2CF4E0A3" w14:textId="1CBD59EE" w:rsidR="0036399E" w:rsidRDefault="0036399E">
      <w:pPr>
        <w:spacing w:before="100" w:beforeAutospacing="1" w:after="100" w:afterAutospacing="1" w:line="276" w:lineRule="auto"/>
        <w:jc w:val="both"/>
        <w:rPr>
          <w:rFonts w:ascii="Arial" w:eastAsia="Times New Roman" w:hAnsi="Arial" w:cs="Arial"/>
          <w:sz w:val="20"/>
          <w:szCs w:val="20"/>
        </w:rPr>
      </w:pPr>
      <w:r w:rsidRPr="00D750B3">
        <w:rPr>
          <w:rFonts w:ascii="Arial" w:eastAsia="Times New Roman" w:hAnsi="Arial" w:cs="Arial"/>
          <w:sz w:val="20"/>
          <w:szCs w:val="20"/>
        </w:rPr>
        <w:t xml:space="preserve">Immunogenicity and safety of vaccination in SLE patients has been of significant interest to clinicians, but limited data are available. We anticipate that SLE patients who have had temporary interruption of immunosuppression will have improved antibody responses, with minimal flare risk. The results from these studies will help us to develop guidelines around withholding immunosuppression for clinicians to give practical and evidence-based advice to patients. We will plan to study the effect of withholding mycophenolate on T-cell phenotype, function and response to influenza vaccination in an extension study from the cell samples collected. T cell vaccine responses may provide a more accurate measure of protection, in additional to antibody responses, and it may be differentially affected by different immunosuppressant. Results from our study may have broader implications for mycophenolate users in other rheumatic diseases. </w:t>
      </w:r>
    </w:p>
    <w:p w14:paraId="7D600E83" w14:textId="77777777" w:rsidR="00D40612" w:rsidRPr="00D750B3" w:rsidRDefault="00D40612" w:rsidP="00BB4E07">
      <w:pPr>
        <w:spacing w:before="100" w:beforeAutospacing="1" w:after="100" w:afterAutospacing="1" w:line="276" w:lineRule="auto"/>
        <w:jc w:val="both"/>
        <w:rPr>
          <w:rFonts w:ascii="Arial" w:eastAsia="Times New Roman" w:hAnsi="Arial" w:cs="Arial"/>
          <w:sz w:val="20"/>
          <w:szCs w:val="20"/>
        </w:rPr>
      </w:pPr>
      <w:bookmarkStart w:id="22" w:name="_GoBack"/>
      <w:bookmarkEnd w:id="22"/>
    </w:p>
    <w:p w14:paraId="495AAAA6" w14:textId="5061E1BE" w:rsidR="0036399E" w:rsidRPr="00D750B3" w:rsidRDefault="00C54C0B" w:rsidP="00C54C0B">
      <w:pPr>
        <w:pStyle w:val="Heading1"/>
      </w:pPr>
      <w:bookmarkStart w:id="23" w:name="_Toc117626675"/>
      <w:r>
        <w:lastRenderedPageBreak/>
        <w:t xml:space="preserve">4.0 </w:t>
      </w:r>
      <w:r w:rsidR="0036399E" w:rsidRPr="00D750B3">
        <w:t>References</w:t>
      </w:r>
      <w:bookmarkEnd w:id="23"/>
      <w:r w:rsidR="0036399E" w:rsidRPr="00D750B3">
        <w:t xml:space="preserve"> </w:t>
      </w:r>
    </w:p>
    <w:p w14:paraId="36518F8D" w14:textId="77777777" w:rsidR="0036399E" w:rsidRPr="00D750B3" w:rsidRDefault="0036399E" w:rsidP="0036399E">
      <w:pPr>
        <w:numPr>
          <w:ilvl w:val="0"/>
          <w:numId w:val="4"/>
        </w:numPr>
        <w:spacing w:before="100" w:beforeAutospacing="1" w:after="100" w:afterAutospacing="1"/>
        <w:rPr>
          <w:rFonts w:ascii="Arial" w:eastAsia="Times New Roman" w:hAnsi="Arial" w:cs="Arial"/>
          <w:sz w:val="20"/>
          <w:szCs w:val="20"/>
        </w:rPr>
      </w:pPr>
      <w:r w:rsidRPr="00D750B3">
        <w:rPr>
          <w:rFonts w:ascii="Arial" w:eastAsia="Times New Roman" w:hAnsi="Arial" w:cs="Arial"/>
          <w:sz w:val="20"/>
          <w:szCs w:val="20"/>
        </w:rPr>
        <w:t xml:space="preserve">Smith, K.G., N.M. Isbel, M.G. Catton, J.A. Leydon, G.J. Becker, and R.G. Walker, </w:t>
      </w:r>
      <w:r w:rsidRPr="00D750B3">
        <w:rPr>
          <w:rFonts w:ascii="Arial" w:eastAsia="Times New Roman" w:hAnsi="Arial" w:cs="Arial"/>
          <w:i/>
          <w:iCs/>
          <w:sz w:val="20"/>
          <w:szCs w:val="20"/>
        </w:rPr>
        <w:t xml:space="preserve">Suppression of the humoral immune response by mycophenolate mofetil. </w:t>
      </w:r>
      <w:r w:rsidRPr="00D750B3">
        <w:rPr>
          <w:rFonts w:ascii="Arial" w:eastAsia="Times New Roman" w:hAnsi="Arial" w:cs="Arial"/>
          <w:sz w:val="20"/>
          <w:szCs w:val="20"/>
        </w:rPr>
        <w:t xml:space="preserve">Nephrol Dial Transplant, 1998. </w:t>
      </w:r>
      <w:r w:rsidRPr="00D750B3">
        <w:rPr>
          <w:rFonts w:ascii="Arial" w:eastAsia="Times New Roman" w:hAnsi="Arial" w:cs="Arial"/>
          <w:b/>
          <w:bCs/>
          <w:sz w:val="20"/>
          <w:szCs w:val="20"/>
        </w:rPr>
        <w:t>13</w:t>
      </w:r>
      <w:r w:rsidRPr="00D750B3">
        <w:rPr>
          <w:rFonts w:ascii="Arial" w:eastAsia="Times New Roman" w:hAnsi="Arial" w:cs="Arial"/>
          <w:sz w:val="20"/>
          <w:szCs w:val="20"/>
        </w:rPr>
        <w:t xml:space="preserve">(1): p. 160-4. </w:t>
      </w:r>
    </w:p>
    <w:p w14:paraId="71FCE79D" w14:textId="77777777" w:rsidR="0036399E" w:rsidRPr="00D750B3" w:rsidRDefault="0036399E" w:rsidP="0036399E">
      <w:pPr>
        <w:numPr>
          <w:ilvl w:val="0"/>
          <w:numId w:val="4"/>
        </w:numPr>
        <w:spacing w:before="100" w:beforeAutospacing="1" w:after="100" w:afterAutospacing="1"/>
        <w:rPr>
          <w:rFonts w:ascii="Arial" w:eastAsia="Times New Roman" w:hAnsi="Arial" w:cs="Arial"/>
          <w:sz w:val="20"/>
          <w:szCs w:val="20"/>
        </w:rPr>
      </w:pPr>
      <w:proofErr w:type="spellStart"/>
      <w:r w:rsidRPr="00D750B3">
        <w:rPr>
          <w:rFonts w:ascii="Arial" w:eastAsia="Times New Roman" w:hAnsi="Arial" w:cs="Arial"/>
          <w:sz w:val="20"/>
          <w:szCs w:val="20"/>
        </w:rPr>
        <w:t>Kantauskaite</w:t>
      </w:r>
      <w:proofErr w:type="spellEnd"/>
      <w:r w:rsidRPr="00D750B3">
        <w:rPr>
          <w:rFonts w:ascii="Arial" w:eastAsia="Times New Roman" w:hAnsi="Arial" w:cs="Arial"/>
          <w:sz w:val="20"/>
          <w:szCs w:val="20"/>
        </w:rPr>
        <w:t xml:space="preserve">, M., L. </w:t>
      </w:r>
      <w:proofErr w:type="spellStart"/>
      <w:r w:rsidRPr="00D750B3">
        <w:rPr>
          <w:rFonts w:ascii="Arial" w:eastAsia="Times New Roman" w:hAnsi="Arial" w:cs="Arial"/>
          <w:sz w:val="20"/>
          <w:szCs w:val="20"/>
        </w:rPr>
        <w:t>Müller</w:t>
      </w:r>
      <w:proofErr w:type="spellEnd"/>
      <w:r w:rsidRPr="00D750B3">
        <w:rPr>
          <w:rFonts w:ascii="Arial" w:eastAsia="Times New Roman" w:hAnsi="Arial" w:cs="Arial"/>
          <w:sz w:val="20"/>
          <w:szCs w:val="20"/>
        </w:rPr>
        <w:t xml:space="preserve">, T. Kolb, S. Fischer, J. Hillebrandt, K. Ivens, M. Andree, T. Luedde, H.M. Orth, O. Adams, H. Schaal, C. Schmidt, E. </w:t>
      </w:r>
      <w:proofErr w:type="spellStart"/>
      <w:r w:rsidRPr="00D750B3">
        <w:rPr>
          <w:rFonts w:ascii="Arial" w:eastAsia="Times New Roman" w:hAnsi="Arial" w:cs="Arial"/>
          <w:sz w:val="20"/>
          <w:szCs w:val="20"/>
        </w:rPr>
        <w:t>Königshausen</w:t>
      </w:r>
      <w:proofErr w:type="spellEnd"/>
      <w:r w:rsidRPr="00D750B3">
        <w:rPr>
          <w:rFonts w:ascii="Arial" w:eastAsia="Times New Roman" w:hAnsi="Arial" w:cs="Arial"/>
          <w:sz w:val="20"/>
          <w:szCs w:val="20"/>
        </w:rPr>
        <w:t xml:space="preserve">, L.C. Rump, J. Timm, and J. Stegbauer, </w:t>
      </w:r>
      <w:r w:rsidRPr="00D750B3">
        <w:rPr>
          <w:rFonts w:ascii="Arial" w:eastAsia="Times New Roman" w:hAnsi="Arial" w:cs="Arial"/>
          <w:i/>
          <w:iCs/>
          <w:sz w:val="20"/>
          <w:szCs w:val="20"/>
        </w:rPr>
        <w:t xml:space="preserve">Intensity of mycophenolate mofetil treatment is associated with an impaired immune response to SARS-CoV-2 vaccination in kidney transplant recipients. </w:t>
      </w:r>
      <w:r w:rsidRPr="00D750B3">
        <w:rPr>
          <w:rFonts w:ascii="Arial" w:eastAsia="Times New Roman" w:hAnsi="Arial" w:cs="Arial"/>
          <w:sz w:val="20"/>
          <w:szCs w:val="20"/>
        </w:rPr>
        <w:t xml:space="preserve">Am J Transplant, 2022. </w:t>
      </w:r>
      <w:r w:rsidRPr="00D750B3">
        <w:rPr>
          <w:rFonts w:ascii="Arial" w:eastAsia="Times New Roman" w:hAnsi="Arial" w:cs="Arial"/>
          <w:b/>
          <w:bCs/>
          <w:sz w:val="20"/>
          <w:szCs w:val="20"/>
        </w:rPr>
        <w:t>22</w:t>
      </w:r>
      <w:r w:rsidRPr="00D750B3">
        <w:rPr>
          <w:rFonts w:ascii="Arial" w:eastAsia="Times New Roman" w:hAnsi="Arial" w:cs="Arial"/>
          <w:sz w:val="20"/>
          <w:szCs w:val="20"/>
        </w:rPr>
        <w:t xml:space="preserve">(2): p. 634-639. </w:t>
      </w:r>
    </w:p>
    <w:p w14:paraId="0E4E789C" w14:textId="77777777" w:rsidR="0036399E" w:rsidRPr="00D750B3" w:rsidRDefault="0036399E" w:rsidP="0036399E">
      <w:pPr>
        <w:numPr>
          <w:ilvl w:val="0"/>
          <w:numId w:val="4"/>
        </w:numPr>
        <w:spacing w:before="100" w:beforeAutospacing="1" w:after="100" w:afterAutospacing="1"/>
        <w:rPr>
          <w:rFonts w:ascii="Arial" w:eastAsia="Times New Roman" w:hAnsi="Arial" w:cs="Arial"/>
          <w:sz w:val="20"/>
          <w:szCs w:val="20"/>
        </w:rPr>
      </w:pPr>
      <w:r w:rsidRPr="00D750B3">
        <w:rPr>
          <w:rFonts w:ascii="Arial" w:eastAsia="Times New Roman" w:hAnsi="Arial" w:cs="Arial"/>
          <w:sz w:val="20"/>
          <w:szCs w:val="20"/>
        </w:rPr>
        <w:t xml:space="preserve">Mulley, W.R., K. Visvanathan, A.C. Hurt, F.G. Brown, K.R. Polkinghorne, T. </w:t>
      </w:r>
      <w:proofErr w:type="spellStart"/>
      <w:r w:rsidRPr="00D750B3">
        <w:rPr>
          <w:rFonts w:ascii="Arial" w:eastAsia="Times New Roman" w:hAnsi="Arial" w:cs="Arial"/>
          <w:sz w:val="20"/>
          <w:szCs w:val="20"/>
        </w:rPr>
        <w:t>Mastorakos</w:t>
      </w:r>
      <w:proofErr w:type="spellEnd"/>
      <w:r w:rsidRPr="00D750B3">
        <w:rPr>
          <w:rFonts w:ascii="Arial" w:eastAsia="Times New Roman" w:hAnsi="Arial" w:cs="Arial"/>
          <w:sz w:val="20"/>
          <w:szCs w:val="20"/>
        </w:rPr>
        <w:t xml:space="preserve">, M.C. </w:t>
      </w:r>
      <w:proofErr w:type="spellStart"/>
      <w:r w:rsidRPr="00D750B3">
        <w:rPr>
          <w:rFonts w:ascii="Arial" w:eastAsia="Times New Roman" w:hAnsi="Arial" w:cs="Arial"/>
          <w:sz w:val="20"/>
          <w:szCs w:val="20"/>
        </w:rPr>
        <w:t>Lewicki</w:t>
      </w:r>
      <w:proofErr w:type="spellEnd"/>
      <w:r w:rsidRPr="00D750B3">
        <w:rPr>
          <w:rFonts w:ascii="Arial" w:eastAsia="Times New Roman" w:hAnsi="Arial" w:cs="Arial"/>
          <w:sz w:val="20"/>
          <w:szCs w:val="20"/>
        </w:rPr>
        <w:t xml:space="preserve">, R.L. Stuart, S.J. Tan, R. Chean, P.G. Kerr, and J. Kanellis, </w:t>
      </w:r>
      <w:r w:rsidRPr="00D750B3">
        <w:rPr>
          <w:rFonts w:ascii="Arial" w:eastAsia="Times New Roman" w:hAnsi="Arial" w:cs="Arial"/>
          <w:i/>
          <w:iCs/>
          <w:sz w:val="20"/>
          <w:szCs w:val="20"/>
        </w:rPr>
        <w:t xml:space="preserve">Mycophenolate and lower graft function reduce the </w:t>
      </w:r>
      <w:proofErr w:type="spellStart"/>
      <w:r w:rsidRPr="00D750B3">
        <w:rPr>
          <w:rFonts w:ascii="Arial" w:eastAsia="Times New Roman" w:hAnsi="Arial" w:cs="Arial"/>
          <w:i/>
          <w:iCs/>
          <w:sz w:val="20"/>
          <w:szCs w:val="20"/>
        </w:rPr>
        <w:t>seroresponse</w:t>
      </w:r>
      <w:proofErr w:type="spellEnd"/>
      <w:r w:rsidRPr="00D750B3">
        <w:rPr>
          <w:rFonts w:ascii="Arial" w:eastAsia="Times New Roman" w:hAnsi="Arial" w:cs="Arial"/>
          <w:i/>
          <w:iCs/>
          <w:sz w:val="20"/>
          <w:szCs w:val="20"/>
        </w:rPr>
        <w:t xml:space="preserve"> of kidney transplant recipients to pandemic H1N1 vaccination. </w:t>
      </w:r>
      <w:r w:rsidRPr="00D750B3">
        <w:rPr>
          <w:rFonts w:ascii="Arial" w:eastAsia="Times New Roman" w:hAnsi="Arial" w:cs="Arial"/>
          <w:sz w:val="20"/>
          <w:szCs w:val="20"/>
        </w:rPr>
        <w:t xml:space="preserve">Kidney Int, 2012. </w:t>
      </w:r>
      <w:r w:rsidRPr="00D750B3">
        <w:rPr>
          <w:rFonts w:ascii="Arial" w:eastAsia="Times New Roman" w:hAnsi="Arial" w:cs="Arial"/>
          <w:b/>
          <w:bCs/>
          <w:sz w:val="20"/>
          <w:szCs w:val="20"/>
        </w:rPr>
        <w:t>82</w:t>
      </w:r>
      <w:r w:rsidRPr="00D750B3">
        <w:rPr>
          <w:rFonts w:ascii="Arial" w:eastAsia="Times New Roman" w:hAnsi="Arial" w:cs="Arial"/>
          <w:sz w:val="20"/>
          <w:szCs w:val="20"/>
        </w:rPr>
        <w:t xml:space="preserve">(2): p. 212-9. </w:t>
      </w:r>
    </w:p>
    <w:p w14:paraId="7375B4D6" w14:textId="77777777" w:rsidR="0036399E" w:rsidRPr="00D750B3" w:rsidRDefault="0036399E" w:rsidP="0036399E">
      <w:pPr>
        <w:numPr>
          <w:ilvl w:val="0"/>
          <w:numId w:val="4"/>
        </w:numPr>
        <w:spacing w:before="100" w:beforeAutospacing="1" w:after="100" w:afterAutospacing="1"/>
        <w:rPr>
          <w:rFonts w:ascii="Arial" w:eastAsia="Times New Roman" w:hAnsi="Arial" w:cs="Arial"/>
          <w:sz w:val="20"/>
          <w:szCs w:val="20"/>
        </w:rPr>
      </w:pPr>
      <w:r w:rsidRPr="00D750B3">
        <w:rPr>
          <w:rFonts w:ascii="Arial" w:eastAsia="Times New Roman" w:hAnsi="Arial" w:cs="Arial"/>
          <w:sz w:val="20"/>
          <w:szCs w:val="20"/>
        </w:rPr>
        <w:t xml:space="preserve">Hoi, A., R. </w:t>
      </w:r>
      <w:proofErr w:type="spellStart"/>
      <w:r w:rsidRPr="00D750B3">
        <w:rPr>
          <w:rFonts w:ascii="Arial" w:eastAsia="Times New Roman" w:hAnsi="Arial" w:cs="Arial"/>
          <w:sz w:val="20"/>
          <w:szCs w:val="20"/>
        </w:rPr>
        <w:t>Koelmeyer</w:t>
      </w:r>
      <w:proofErr w:type="spellEnd"/>
      <w:r w:rsidRPr="00D750B3">
        <w:rPr>
          <w:rFonts w:ascii="Arial" w:eastAsia="Times New Roman" w:hAnsi="Arial" w:cs="Arial"/>
          <w:sz w:val="20"/>
          <w:szCs w:val="20"/>
        </w:rPr>
        <w:t xml:space="preserve">, J. Bonin, Y. Sun, A. Kao, O. Gunther, H.T. Nim, and E. Morand, </w:t>
      </w:r>
      <w:r w:rsidRPr="00D750B3">
        <w:rPr>
          <w:rFonts w:ascii="Arial" w:eastAsia="Times New Roman" w:hAnsi="Arial" w:cs="Arial"/>
          <w:i/>
          <w:iCs/>
          <w:sz w:val="20"/>
          <w:szCs w:val="20"/>
        </w:rPr>
        <w:t xml:space="preserve">Disease course following High Disease Activity Status revealed patterns in SLE. </w:t>
      </w:r>
      <w:r w:rsidRPr="00D750B3">
        <w:rPr>
          <w:rFonts w:ascii="Arial" w:eastAsia="Times New Roman" w:hAnsi="Arial" w:cs="Arial"/>
          <w:sz w:val="20"/>
          <w:szCs w:val="20"/>
        </w:rPr>
        <w:t xml:space="preserve">Arthritis Res Ther, 2021. </w:t>
      </w:r>
      <w:r w:rsidRPr="00D750B3">
        <w:rPr>
          <w:rFonts w:ascii="Arial" w:eastAsia="Times New Roman" w:hAnsi="Arial" w:cs="Arial"/>
          <w:b/>
          <w:bCs/>
          <w:sz w:val="20"/>
          <w:szCs w:val="20"/>
        </w:rPr>
        <w:t>23</w:t>
      </w:r>
      <w:r w:rsidRPr="00D750B3">
        <w:rPr>
          <w:rFonts w:ascii="Arial" w:eastAsia="Times New Roman" w:hAnsi="Arial" w:cs="Arial"/>
          <w:sz w:val="20"/>
          <w:szCs w:val="20"/>
        </w:rPr>
        <w:t xml:space="preserve">(1): p. 191. </w:t>
      </w:r>
    </w:p>
    <w:p w14:paraId="05A7707B" w14:textId="77777777" w:rsidR="0036399E" w:rsidRPr="00D750B3" w:rsidRDefault="0036399E" w:rsidP="0036399E">
      <w:pPr>
        <w:numPr>
          <w:ilvl w:val="0"/>
          <w:numId w:val="4"/>
        </w:numPr>
        <w:spacing w:before="100" w:beforeAutospacing="1" w:after="100" w:afterAutospacing="1"/>
        <w:rPr>
          <w:rFonts w:ascii="Arial" w:eastAsia="Times New Roman" w:hAnsi="Arial" w:cs="Arial"/>
          <w:sz w:val="20"/>
          <w:szCs w:val="20"/>
        </w:rPr>
      </w:pPr>
      <w:r w:rsidRPr="00D750B3">
        <w:rPr>
          <w:rFonts w:ascii="Arial" w:eastAsia="Times New Roman" w:hAnsi="Arial" w:cs="Arial"/>
          <w:sz w:val="20"/>
          <w:szCs w:val="20"/>
        </w:rPr>
        <w:t xml:space="preserve">Mehta, P., E. Sanchez, E. Moraitis, N. Longley, D.W. </w:t>
      </w:r>
      <w:proofErr w:type="spellStart"/>
      <w:r w:rsidRPr="00D750B3">
        <w:rPr>
          <w:rFonts w:ascii="Arial" w:eastAsia="Times New Roman" w:hAnsi="Arial" w:cs="Arial"/>
          <w:sz w:val="20"/>
          <w:szCs w:val="20"/>
        </w:rPr>
        <w:t>Lendrem</w:t>
      </w:r>
      <w:proofErr w:type="spellEnd"/>
      <w:r w:rsidRPr="00D750B3">
        <w:rPr>
          <w:rFonts w:ascii="Arial" w:eastAsia="Times New Roman" w:hAnsi="Arial" w:cs="Arial"/>
          <w:sz w:val="20"/>
          <w:szCs w:val="20"/>
        </w:rPr>
        <w:t xml:space="preserve">, I.P. Giles, R.C. Chambers, C. </w:t>
      </w:r>
      <w:proofErr w:type="spellStart"/>
      <w:r w:rsidRPr="00D750B3">
        <w:rPr>
          <w:rFonts w:ascii="Arial" w:eastAsia="Times New Roman" w:hAnsi="Arial" w:cs="Arial"/>
          <w:sz w:val="20"/>
          <w:szCs w:val="20"/>
        </w:rPr>
        <w:t>Ciurtin</w:t>
      </w:r>
      <w:proofErr w:type="spellEnd"/>
      <w:r w:rsidRPr="00D750B3">
        <w:rPr>
          <w:rFonts w:ascii="Arial" w:eastAsia="Times New Roman" w:hAnsi="Arial" w:cs="Arial"/>
          <w:sz w:val="20"/>
          <w:szCs w:val="20"/>
        </w:rPr>
        <w:t xml:space="preserve">, and J.D. Isaacs, </w:t>
      </w:r>
      <w:r w:rsidRPr="00D750B3">
        <w:rPr>
          <w:rFonts w:ascii="Arial" w:eastAsia="Times New Roman" w:hAnsi="Arial" w:cs="Arial"/>
          <w:i/>
          <w:iCs/>
          <w:sz w:val="20"/>
          <w:szCs w:val="20"/>
        </w:rPr>
        <w:t xml:space="preserve">Influenza vaccination and interruption of methotrexate in adult patients in the COVID-19 era: an ongoing dilemma. </w:t>
      </w:r>
      <w:r w:rsidRPr="00D750B3">
        <w:rPr>
          <w:rFonts w:ascii="Arial" w:eastAsia="Times New Roman" w:hAnsi="Arial" w:cs="Arial"/>
          <w:sz w:val="20"/>
          <w:szCs w:val="20"/>
        </w:rPr>
        <w:t xml:space="preserve">Lancet </w:t>
      </w:r>
      <w:proofErr w:type="spellStart"/>
      <w:r w:rsidRPr="00D750B3">
        <w:rPr>
          <w:rFonts w:ascii="Arial" w:eastAsia="Times New Roman" w:hAnsi="Arial" w:cs="Arial"/>
          <w:sz w:val="20"/>
          <w:szCs w:val="20"/>
        </w:rPr>
        <w:t>Rheumatol</w:t>
      </w:r>
      <w:proofErr w:type="spellEnd"/>
      <w:r w:rsidRPr="00D750B3">
        <w:rPr>
          <w:rFonts w:ascii="Arial" w:eastAsia="Times New Roman" w:hAnsi="Arial" w:cs="Arial"/>
          <w:sz w:val="20"/>
          <w:szCs w:val="20"/>
        </w:rPr>
        <w:t xml:space="preserve">, 2021. </w:t>
      </w:r>
      <w:r w:rsidRPr="00D750B3">
        <w:rPr>
          <w:rFonts w:ascii="Arial" w:eastAsia="Times New Roman" w:hAnsi="Arial" w:cs="Arial"/>
          <w:b/>
          <w:bCs/>
          <w:sz w:val="20"/>
          <w:szCs w:val="20"/>
        </w:rPr>
        <w:t>3</w:t>
      </w:r>
      <w:r w:rsidRPr="00D750B3">
        <w:rPr>
          <w:rFonts w:ascii="Arial" w:eastAsia="Times New Roman" w:hAnsi="Arial" w:cs="Arial"/>
          <w:sz w:val="20"/>
          <w:szCs w:val="20"/>
        </w:rPr>
        <w:t xml:space="preserve">(1): p. e9-e10. </w:t>
      </w:r>
    </w:p>
    <w:p w14:paraId="0392C02E" w14:textId="77777777" w:rsidR="0036399E" w:rsidRPr="00D750B3" w:rsidRDefault="0036399E" w:rsidP="0036399E">
      <w:pPr>
        <w:numPr>
          <w:ilvl w:val="0"/>
          <w:numId w:val="4"/>
        </w:numPr>
        <w:spacing w:before="100" w:beforeAutospacing="1" w:after="100" w:afterAutospacing="1"/>
        <w:rPr>
          <w:rFonts w:ascii="Arial" w:eastAsia="Times New Roman" w:hAnsi="Arial" w:cs="Arial"/>
          <w:sz w:val="20"/>
          <w:szCs w:val="20"/>
        </w:rPr>
      </w:pPr>
      <w:r w:rsidRPr="00D750B3">
        <w:rPr>
          <w:rFonts w:ascii="Arial" w:eastAsia="Times New Roman" w:hAnsi="Arial" w:cs="Arial"/>
          <w:sz w:val="20"/>
          <w:szCs w:val="20"/>
        </w:rPr>
        <w:t xml:space="preserve">Park, J.K., Y.J. Lee, K. Shin, Y.J. Ha, E.Y. Lee, Y.W. Song, Y. Choi, K.L. Winthrop, and E.B. Lee, </w:t>
      </w:r>
      <w:r w:rsidRPr="00D750B3">
        <w:rPr>
          <w:rFonts w:ascii="Arial" w:eastAsia="Times New Roman" w:hAnsi="Arial" w:cs="Arial"/>
          <w:i/>
          <w:iCs/>
          <w:sz w:val="20"/>
          <w:szCs w:val="20"/>
        </w:rPr>
        <w:t xml:space="preserve">Impact of temporary methotrexate discontinuation for 2 weeks on immunogenicity of seasonal influenza vaccination in patients with rheumatoid arthritis: a randomised clinical trial. </w:t>
      </w:r>
      <w:r w:rsidRPr="00D750B3">
        <w:rPr>
          <w:rFonts w:ascii="Arial" w:eastAsia="Times New Roman" w:hAnsi="Arial" w:cs="Arial"/>
          <w:sz w:val="20"/>
          <w:szCs w:val="20"/>
        </w:rPr>
        <w:t xml:space="preserve">Ann Rheum Dis, 2018. </w:t>
      </w:r>
      <w:r w:rsidRPr="00D750B3">
        <w:rPr>
          <w:rFonts w:ascii="Arial" w:eastAsia="Times New Roman" w:hAnsi="Arial" w:cs="Arial"/>
          <w:b/>
          <w:bCs/>
          <w:sz w:val="20"/>
          <w:szCs w:val="20"/>
        </w:rPr>
        <w:t>77</w:t>
      </w:r>
      <w:r w:rsidRPr="00D750B3">
        <w:rPr>
          <w:rFonts w:ascii="Arial" w:eastAsia="Times New Roman" w:hAnsi="Arial" w:cs="Arial"/>
          <w:sz w:val="20"/>
          <w:szCs w:val="20"/>
        </w:rPr>
        <w:t xml:space="preserve">(6): p. 898-904. </w:t>
      </w:r>
    </w:p>
    <w:p w14:paraId="2FE35F9B" w14:textId="77777777" w:rsidR="0036399E" w:rsidRPr="00D750B3" w:rsidRDefault="0036399E" w:rsidP="0036399E">
      <w:pPr>
        <w:numPr>
          <w:ilvl w:val="0"/>
          <w:numId w:val="4"/>
        </w:numPr>
        <w:spacing w:before="100" w:beforeAutospacing="1" w:after="100" w:afterAutospacing="1"/>
        <w:rPr>
          <w:rFonts w:ascii="Arial" w:eastAsia="Times New Roman" w:hAnsi="Arial" w:cs="Arial"/>
          <w:sz w:val="20"/>
          <w:szCs w:val="20"/>
        </w:rPr>
      </w:pPr>
      <w:r w:rsidRPr="00D750B3">
        <w:rPr>
          <w:rFonts w:ascii="Arial" w:eastAsia="Times New Roman" w:hAnsi="Arial" w:cs="Arial"/>
          <w:sz w:val="20"/>
          <w:szCs w:val="20"/>
        </w:rPr>
        <w:t xml:space="preserve">Connolly, C.M., T.P. Chiang, B.J. Boyarsky, J.A. Ruddy, M. Teles, J.L. Alejo, A. Massie, W.A. Werbel, A.A. Shah, L. Christopher-Stine, J. Garonzik-Wang, D.L. Segev, and J.J. Paik, </w:t>
      </w:r>
      <w:r w:rsidRPr="00D750B3">
        <w:rPr>
          <w:rFonts w:ascii="Arial" w:eastAsia="Times New Roman" w:hAnsi="Arial" w:cs="Arial"/>
          <w:i/>
          <w:iCs/>
          <w:sz w:val="20"/>
          <w:szCs w:val="20"/>
        </w:rPr>
        <w:t xml:space="preserve">Temporary hold of mycophenolate augments humoral response to SARS-CoV-2 vaccination in patients with rheumatic and musculoskeletal diseases: a case series. </w:t>
      </w:r>
      <w:r w:rsidRPr="00D750B3">
        <w:rPr>
          <w:rFonts w:ascii="Arial" w:eastAsia="Times New Roman" w:hAnsi="Arial" w:cs="Arial"/>
          <w:sz w:val="20"/>
          <w:szCs w:val="20"/>
        </w:rPr>
        <w:t xml:space="preserve">Ann Rheum Dis, 2022. </w:t>
      </w:r>
      <w:r w:rsidRPr="00D750B3">
        <w:rPr>
          <w:rFonts w:ascii="Arial" w:eastAsia="Times New Roman" w:hAnsi="Arial" w:cs="Arial"/>
          <w:b/>
          <w:bCs/>
          <w:sz w:val="20"/>
          <w:szCs w:val="20"/>
        </w:rPr>
        <w:t>81</w:t>
      </w:r>
      <w:r w:rsidRPr="00D750B3">
        <w:rPr>
          <w:rFonts w:ascii="Arial" w:eastAsia="Times New Roman" w:hAnsi="Arial" w:cs="Arial"/>
          <w:sz w:val="20"/>
          <w:szCs w:val="20"/>
        </w:rPr>
        <w:t xml:space="preserve">(2): p. 293-295. </w:t>
      </w:r>
    </w:p>
    <w:p w14:paraId="40D78E4E" w14:textId="77777777" w:rsidR="0036399E" w:rsidRPr="00D750B3" w:rsidRDefault="0036399E" w:rsidP="0036399E">
      <w:pPr>
        <w:numPr>
          <w:ilvl w:val="0"/>
          <w:numId w:val="4"/>
        </w:numPr>
        <w:spacing w:before="100" w:beforeAutospacing="1" w:after="100" w:afterAutospacing="1"/>
        <w:rPr>
          <w:rFonts w:ascii="Arial" w:eastAsia="Times New Roman" w:hAnsi="Arial" w:cs="Arial"/>
          <w:sz w:val="20"/>
          <w:szCs w:val="20"/>
        </w:rPr>
      </w:pPr>
      <w:r w:rsidRPr="00D750B3">
        <w:rPr>
          <w:rFonts w:ascii="Arial" w:eastAsia="Times New Roman" w:hAnsi="Arial" w:cs="Arial"/>
          <w:sz w:val="20"/>
          <w:szCs w:val="20"/>
        </w:rPr>
        <w:t xml:space="preserve">Bossert, M., C. Prati, C. Vidal, S. </w:t>
      </w:r>
      <w:proofErr w:type="spellStart"/>
      <w:r w:rsidRPr="00D750B3">
        <w:rPr>
          <w:rFonts w:ascii="Arial" w:eastAsia="Times New Roman" w:hAnsi="Arial" w:cs="Arial"/>
          <w:sz w:val="20"/>
          <w:szCs w:val="20"/>
        </w:rPr>
        <w:t>Bongain</w:t>
      </w:r>
      <w:proofErr w:type="spellEnd"/>
      <w:r w:rsidRPr="00D750B3">
        <w:rPr>
          <w:rFonts w:ascii="Arial" w:eastAsia="Times New Roman" w:hAnsi="Arial" w:cs="Arial"/>
          <w:sz w:val="20"/>
          <w:szCs w:val="20"/>
        </w:rPr>
        <w:t xml:space="preserve">, E. </w:t>
      </w:r>
      <w:proofErr w:type="spellStart"/>
      <w:r w:rsidRPr="00D750B3">
        <w:rPr>
          <w:rFonts w:ascii="Arial" w:eastAsia="Times New Roman" w:hAnsi="Arial" w:cs="Arial"/>
          <w:sz w:val="20"/>
          <w:szCs w:val="20"/>
        </w:rPr>
        <w:t>Toussirot</w:t>
      </w:r>
      <w:proofErr w:type="spellEnd"/>
      <w:r w:rsidRPr="00D750B3">
        <w:rPr>
          <w:rFonts w:ascii="Arial" w:eastAsia="Times New Roman" w:hAnsi="Arial" w:cs="Arial"/>
          <w:sz w:val="20"/>
          <w:szCs w:val="20"/>
        </w:rPr>
        <w:t xml:space="preserve">, and D. Wendling, </w:t>
      </w:r>
      <w:r w:rsidRPr="00D750B3">
        <w:rPr>
          <w:rFonts w:ascii="Arial" w:eastAsia="Times New Roman" w:hAnsi="Arial" w:cs="Arial"/>
          <w:i/>
          <w:iCs/>
          <w:sz w:val="20"/>
          <w:szCs w:val="20"/>
        </w:rPr>
        <w:t xml:space="preserve">Evaluation of self-report questionnaires for assessing rheumatoid arthritis activity: a cross-sectional study of RAPID3 and RADAI5 and flare detection in 200 patients. </w:t>
      </w:r>
      <w:r w:rsidRPr="00D750B3">
        <w:rPr>
          <w:rFonts w:ascii="Arial" w:eastAsia="Times New Roman" w:hAnsi="Arial" w:cs="Arial"/>
          <w:sz w:val="20"/>
          <w:szCs w:val="20"/>
        </w:rPr>
        <w:t xml:space="preserve">Joint Bone Spine, 2012. </w:t>
      </w:r>
      <w:r w:rsidRPr="00D750B3">
        <w:rPr>
          <w:rFonts w:ascii="Arial" w:eastAsia="Times New Roman" w:hAnsi="Arial" w:cs="Arial"/>
          <w:b/>
          <w:bCs/>
          <w:sz w:val="20"/>
          <w:szCs w:val="20"/>
        </w:rPr>
        <w:t>79</w:t>
      </w:r>
      <w:r w:rsidRPr="00D750B3">
        <w:rPr>
          <w:rFonts w:ascii="Arial" w:eastAsia="Times New Roman" w:hAnsi="Arial" w:cs="Arial"/>
          <w:sz w:val="20"/>
          <w:szCs w:val="20"/>
        </w:rPr>
        <w:t xml:space="preserve">(1): p. 57-62. </w:t>
      </w:r>
    </w:p>
    <w:p w14:paraId="39CA34CC" w14:textId="5B37680D" w:rsidR="00000C66" w:rsidRPr="008E63F1" w:rsidRDefault="00000C66" w:rsidP="00000C66">
      <w:pPr>
        <w:rPr>
          <w:rFonts w:ascii="Arial" w:eastAsia="Times New Roman" w:hAnsi="Arial" w:cs="Arial"/>
          <w:sz w:val="20"/>
          <w:szCs w:val="20"/>
        </w:rPr>
      </w:pPr>
    </w:p>
    <w:sectPr w:rsidR="00000C66" w:rsidRPr="008E63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D697A" w14:textId="77777777" w:rsidR="001C54BB" w:rsidRDefault="001C54BB" w:rsidP="00D750B3">
      <w:r>
        <w:separator/>
      </w:r>
    </w:p>
  </w:endnote>
  <w:endnote w:type="continuationSeparator" w:id="0">
    <w:p w14:paraId="37059D90" w14:textId="77777777" w:rsidR="001C54BB" w:rsidRDefault="001C54BB" w:rsidP="00D7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D6FC" w14:textId="25B6AD5E" w:rsidR="00D750B3" w:rsidRDefault="00335C28" w:rsidP="00D750B3">
    <w:pPr>
      <w:pStyle w:val="Header"/>
    </w:pPr>
    <w:r>
      <w:t xml:space="preserve">TWIRL Study </w:t>
    </w:r>
    <w:r w:rsidR="00D750B3">
      <w:t xml:space="preserve">Protocol version </w:t>
    </w:r>
    <w:r w:rsidR="00F10E3C">
      <w:t>6</w:t>
    </w:r>
    <w:r w:rsidR="00D750B3">
      <w:t xml:space="preserve">.0, Date </w:t>
    </w:r>
    <w:r w:rsidR="00F10E3C">
      <w:t xml:space="preserve">30 October </w:t>
    </w:r>
    <w:r w:rsidR="00D750B3">
      <w:t>202</w:t>
    </w:r>
    <w:r w:rsidR="002F6B0A">
      <w:t>3</w:t>
    </w:r>
  </w:p>
  <w:p w14:paraId="28DB06D6" w14:textId="77777777" w:rsidR="00D750B3" w:rsidRDefault="00D75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4B3FF" w14:textId="77777777" w:rsidR="001C54BB" w:rsidRDefault="001C54BB" w:rsidP="00D750B3">
      <w:r>
        <w:separator/>
      </w:r>
    </w:p>
  </w:footnote>
  <w:footnote w:type="continuationSeparator" w:id="0">
    <w:p w14:paraId="49B919C7" w14:textId="77777777" w:rsidR="001C54BB" w:rsidRDefault="001C54BB" w:rsidP="00D75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07127"/>
    <w:multiLevelType w:val="multilevel"/>
    <w:tmpl w:val="56D491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51287"/>
    <w:multiLevelType w:val="multilevel"/>
    <w:tmpl w:val="093C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9E2B9D"/>
    <w:multiLevelType w:val="multilevel"/>
    <w:tmpl w:val="D7A0BBF6"/>
    <w:lvl w:ilvl="0">
      <w:start w:val="1"/>
      <w:numFmt w:val="decimal"/>
      <w:lvlText w:val="%1."/>
      <w:lvlJc w:val="left"/>
      <w:pPr>
        <w:ind w:left="720" w:hanging="360"/>
      </w:pPr>
      <w:rPr>
        <w:b w:val="0"/>
        <w:bCs/>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2515F5"/>
    <w:multiLevelType w:val="multilevel"/>
    <w:tmpl w:val="F4B0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33"/>
    <w:rsid w:val="00000C66"/>
    <w:rsid w:val="00035620"/>
    <w:rsid w:val="00073810"/>
    <w:rsid w:val="00086708"/>
    <w:rsid w:val="000F5D12"/>
    <w:rsid w:val="00132B6E"/>
    <w:rsid w:val="00150042"/>
    <w:rsid w:val="00194F66"/>
    <w:rsid w:val="001A2E0C"/>
    <w:rsid w:val="001A3880"/>
    <w:rsid w:val="001C54BB"/>
    <w:rsid w:val="001E1B95"/>
    <w:rsid w:val="002051CF"/>
    <w:rsid w:val="002153F4"/>
    <w:rsid w:val="00222DFF"/>
    <w:rsid w:val="002240C7"/>
    <w:rsid w:val="0027204F"/>
    <w:rsid w:val="002777E5"/>
    <w:rsid w:val="00284CD7"/>
    <w:rsid w:val="002F2BFF"/>
    <w:rsid w:val="002F6B0A"/>
    <w:rsid w:val="00311ECC"/>
    <w:rsid w:val="0031389D"/>
    <w:rsid w:val="00320A6D"/>
    <w:rsid w:val="00335C28"/>
    <w:rsid w:val="00357B95"/>
    <w:rsid w:val="0036399E"/>
    <w:rsid w:val="00384833"/>
    <w:rsid w:val="003A22A4"/>
    <w:rsid w:val="003A602B"/>
    <w:rsid w:val="00411771"/>
    <w:rsid w:val="00416BC2"/>
    <w:rsid w:val="00421DC5"/>
    <w:rsid w:val="00424E18"/>
    <w:rsid w:val="00430C7A"/>
    <w:rsid w:val="00473FAC"/>
    <w:rsid w:val="004767D3"/>
    <w:rsid w:val="004910A4"/>
    <w:rsid w:val="0049291E"/>
    <w:rsid w:val="00493814"/>
    <w:rsid w:val="004C59D9"/>
    <w:rsid w:val="004C6D01"/>
    <w:rsid w:val="004D16E5"/>
    <w:rsid w:val="004E6B06"/>
    <w:rsid w:val="004F5A07"/>
    <w:rsid w:val="0052307E"/>
    <w:rsid w:val="00537F66"/>
    <w:rsid w:val="0055790B"/>
    <w:rsid w:val="005716D1"/>
    <w:rsid w:val="00581998"/>
    <w:rsid w:val="005B0CD4"/>
    <w:rsid w:val="005C63B9"/>
    <w:rsid w:val="005E04E3"/>
    <w:rsid w:val="00605EAE"/>
    <w:rsid w:val="006D07A5"/>
    <w:rsid w:val="006F2648"/>
    <w:rsid w:val="007008B5"/>
    <w:rsid w:val="00735D36"/>
    <w:rsid w:val="00754AD6"/>
    <w:rsid w:val="00783B2E"/>
    <w:rsid w:val="00792E1F"/>
    <w:rsid w:val="007D1211"/>
    <w:rsid w:val="007D1FD0"/>
    <w:rsid w:val="007D3AF8"/>
    <w:rsid w:val="007E3FFA"/>
    <w:rsid w:val="008945A4"/>
    <w:rsid w:val="008C1670"/>
    <w:rsid w:val="008E63F1"/>
    <w:rsid w:val="008F391A"/>
    <w:rsid w:val="00912D1E"/>
    <w:rsid w:val="0095151A"/>
    <w:rsid w:val="0095386A"/>
    <w:rsid w:val="009A1B05"/>
    <w:rsid w:val="009B37A9"/>
    <w:rsid w:val="009B6865"/>
    <w:rsid w:val="009C6448"/>
    <w:rsid w:val="00A01625"/>
    <w:rsid w:val="00A01821"/>
    <w:rsid w:val="00A028E3"/>
    <w:rsid w:val="00A359B6"/>
    <w:rsid w:val="00A52D21"/>
    <w:rsid w:val="00A566AD"/>
    <w:rsid w:val="00A60D5B"/>
    <w:rsid w:val="00A82D73"/>
    <w:rsid w:val="00A85FFA"/>
    <w:rsid w:val="00AA2B82"/>
    <w:rsid w:val="00AA519C"/>
    <w:rsid w:val="00AC490B"/>
    <w:rsid w:val="00AC6DDA"/>
    <w:rsid w:val="00AE19ED"/>
    <w:rsid w:val="00AF45FB"/>
    <w:rsid w:val="00B27372"/>
    <w:rsid w:val="00B36F84"/>
    <w:rsid w:val="00B401FA"/>
    <w:rsid w:val="00B42FC0"/>
    <w:rsid w:val="00B53126"/>
    <w:rsid w:val="00BB4E07"/>
    <w:rsid w:val="00BD1DD9"/>
    <w:rsid w:val="00C145A6"/>
    <w:rsid w:val="00C37DA7"/>
    <w:rsid w:val="00C40DEF"/>
    <w:rsid w:val="00C467B2"/>
    <w:rsid w:val="00C5444B"/>
    <w:rsid w:val="00C54C0B"/>
    <w:rsid w:val="00C9151C"/>
    <w:rsid w:val="00C95B2F"/>
    <w:rsid w:val="00CA4D41"/>
    <w:rsid w:val="00CB203E"/>
    <w:rsid w:val="00CB3D11"/>
    <w:rsid w:val="00CE5820"/>
    <w:rsid w:val="00D1030B"/>
    <w:rsid w:val="00D219F7"/>
    <w:rsid w:val="00D40612"/>
    <w:rsid w:val="00D750B3"/>
    <w:rsid w:val="00DA2B0E"/>
    <w:rsid w:val="00DE4C57"/>
    <w:rsid w:val="00DE6A25"/>
    <w:rsid w:val="00DF648B"/>
    <w:rsid w:val="00DF68B4"/>
    <w:rsid w:val="00E648D3"/>
    <w:rsid w:val="00E80142"/>
    <w:rsid w:val="00EA541B"/>
    <w:rsid w:val="00EA6B22"/>
    <w:rsid w:val="00EB575C"/>
    <w:rsid w:val="00F049FA"/>
    <w:rsid w:val="00F10E3C"/>
    <w:rsid w:val="00F57269"/>
    <w:rsid w:val="00F85DFE"/>
    <w:rsid w:val="00F87802"/>
    <w:rsid w:val="00F94B2B"/>
    <w:rsid w:val="00FA4EE3"/>
    <w:rsid w:val="00FA4F9D"/>
    <w:rsid w:val="00FE5BC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C4F6"/>
  <w15:chartTrackingRefBased/>
  <w15:docId w15:val="{E89A4BC9-3F3F-EF4B-ABC7-993DE283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4C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4C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4C0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D1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00C66"/>
    <w:pPr>
      <w:ind w:left="720"/>
      <w:contextualSpacing/>
    </w:pPr>
  </w:style>
  <w:style w:type="paragraph" w:styleId="Header">
    <w:name w:val="header"/>
    <w:basedOn w:val="Normal"/>
    <w:link w:val="HeaderChar"/>
    <w:uiPriority w:val="99"/>
    <w:unhideWhenUsed/>
    <w:rsid w:val="00D750B3"/>
    <w:pPr>
      <w:tabs>
        <w:tab w:val="center" w:pos="4513"/>
        <w:tab w:val="right" w:pos="9026"/>
      </w:tabs>
    </w:pPr>
  </w:style>
  <w:style w:type="character" w:customStyle="1" w:styleId="HeaderChar">
    <w:name w:val="Header Char"/>
    <w:basedOn w:val="DefaultParagraphFont"/>
    <w:link w:val="Header"/>
    <w:uiPriority w:val="99"/>
    <w:rsid w:val="00D750B3"/>
  </w:style>
  <w:style w:type="paragraph" w:styleId="Footer">
    <w:name w:val="footer"/>
    <w:basedOn w:val="Normal"/>
    <w:link w:val="FooterChar"/>
    <w:uiPriority w:val="99"/>
    <w:unhideWhenUsed/>
    <w:rsid w:val="00D750B3"/>
    <w:pPr>
      <w:tabs>
        <w:tab w:val="center" w:pos="4513"/>
        <w:tab w:val="right" w:pos="9026"/>
      </w:tabs>
    </w:pPr>
  </w:style>
  <w:style w:type="character" w:customStyle="1" w:styleId="FooterChar">
    <w:name w:val="Footer Char"/>
    <w:basedOn w:val="DefaultParagraphFont"/>
    <w:link w:val="Footer"/>
    <w:uiPriority w:val="99"/>
    <w:rsid w:val="00D750B3"/>
  </w:style>
  <w:style w:type="character" w:customStyle="1" w:styleId="Heading1Char">
    <w:name w:val="Heading 1 Char"/>
    <w:basedOn w:val="DefaultParagraphFont"/>
    <w:link w:val="Heading1"/>
    <w:uiPriority w:val="9"/>
    <w:rsid w:val="00C54C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4C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54C0B"/>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C54C0B"/>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C54C0B"/>
    <w:pPr>
      <w:spacing w:before="120"/>
    </w:pPr>
    <w:rPr>
      <w:rFonts w:cstheme="minorHAnsi"/>
      <w:b/>
      <w:bCs/>
      <w:i/>
      <w:iCs/>
    </w:rPr>
  </w:style>
  <w:style w:type="paragraph" w:styleId="TOC2">
    <w:name w:val="toc 2"/>
    <w:basedOn w:val="Normal"/>
    <w:next w:val="Normal"/>
    <w:autoRedefine/>
    <w:uiPriority w:val="39"/>
    <w:unhideWhenUsed/>
    <w:rsid w:val="00C54C0B"/>
    <w:pPr>
      <w:spacing w:before="120"/>
      <w:ind w:left="240"/>
    </w:pPr>
    <w:rPr>
      <w:rFonts w:cstheme="minorHAnsi"/>
      <w:b/>
      <w:bCs/>
      <w:sz w:val="22"/>
      <w:szCs w:val="22"/>
    </w:rPr>
  </w:style>
  <w:style w:type="paragraph" w:styleId="TOC3">
    <w:name w:val="toc 3"/>
    <w:basedOn w:val="Normal"/>
    <w:next w:val="Normal"/>
    <w:autoRedefine/>
    <w:uiPriority w:val="39"/>
    <w:unhideWhenUsed/>
    <w:rsid w:val="00C54C0B"/>
    <w:pPr>
      <w:ind w:left="480"/>
    </w:pPr>
    <w:rPr>
      <w:rFonts w:cstheme="minorHAnsi"/>
      <w:sz w:val="20"/>
      <w:szCs w:val="20"/>
    </w:rPr>
  </w:style>
  <w:style w:type="character" w:styleId="Hyperlink">
    <w:name w:val="Hyperlink"/>
    <w:basedOn w:val="DefaultParagraphFont"/>
    <w:uiPriority w:val="99"/>
    <w:unhideWhenUsed/>
    <w:rsid w:val="00C54C0B"/>
    <w:rPr>
      <w:color w:val="0563C1" w:themeColor="hyperlink"/>
      <w:u w:val="single"/>
    </w:rPr>
  </w:style>
  <w:style w:type="paragraph" w:styleId="TOC4">
    <w:name w:val="toc 4"/>
    <w:basedOn w:val="Normal"/>
    <w:next w:val="Normal"/>
    <w:autoRedefine/>
    <w:uiPriority w:val="39"/>
    <w:semiHidden/>
    <w:unhideWhenUsed/>
    <w:rsid w:val="00C54C0B"/>
    <w:pPr>
      <w:ind w:left="720"/>
    </w:pPr>
    <w:rPr>
      <w:rFonts w:cstheme="minorHAnsi"/>
      <w:sz w:val="20"/>
      <w:szCs w:val="20"/>
    </w:rPr>
  </w:style>
  <w:style w:type="paragraph" w:styleId="TOC5">
    <w:name w:val="toc 5"/>
    <w:basedOn w:val="Normal"/>
    <w:next w:val="Normal"/>
    <w:autoRedefine/>
    <w:uiPriority w:val="39"/>
    <w:semiHidden/>
    <w:unhideWhenUsed/>
    <w:rsid w:val="00C54C0B"/>
    <w:pPr>
      <w:ind w:left="960"/>
    </w:pPr>
    <w:rPr>
      <w:rFonts w:cstheme="minorHAnsi"/>
      <w:sz w:val="20"/>
      <w:szCs w:val="20"/>
    </w:rPr>
  </w:style>
  <w:style w:type="paragraph" w:styleId="TOC6">
    <w:name w:val="toc 6"/>
    <w:basedOn w:val="Normal"/>
    <w:next w:val="Normal"/>
    <w:autoRedefine/>
    <w:uiPriority w:val="39"/>
    <w:semiHidden/>
    <w:unhideWhenUsed/>
    <w:rsid w:val="00C54C0B"/>
    <w:pPr>
      <w:ind w:left="1200"/>
    </w:pPr>
    <w:rPr>
      <w:rFonts w:cstheme="minorHAnsi"/>
      <w:sz w:val="20"/>
      <w:szCs w:val="20"/>
    </w:rPr>
  </w:style>
  <w:style w:type="paragraph" w:styleId="TOC7">
    <w:name w:val="toc 7"/>
    <w:basedOn w:val="Normal"/>
    <w:next w:val="Normal"/>
    <w:autoRedefine/>
    <w:uiPriority w:val="39"/>
    <w:semiHidden/>
    <w:unhideWhenUsed/>
    <w:rsid w:val="00C54C0B"/>
    <w:pPr>
      <w:ind w:left="1440"/>
    </w:pPr>
    <w:rPr>
      <w:rFonts w:cstheme="minorHAnsi"/>
      <w:sz w:val="20"/>
      <w:szCs w:val="20"/>
    </w:rPr>
  </w:style>
  <w:style w:type="paragraph" w:styleId="TOC8">
    <w:name w:val="toc 8"/>
    <w:basedOn w:val="Normal"/>
    <w:next w:val="Normal"/>
    <w:autoRedefine/>
    <w:uiPriority w:val="39"/>
    <w:semiHidden/>
    <w:unhideWhenUsed/>
    <w:rsid w:val="00C54C0B"/>
    <w:pPr>
      <w:ind w:left="1680"/>
    </w:pPr>
    <w:rPr>
      <w:rFonts w:cstheme="minorHAnsi"/>
      <w:sz w:val="20"/>
      <w:szCs w:val="20"/>
    </w:rPr>
  </w:style>
  <w:style w:type="paragraph" w:styleId="TOC9">
    <w:name w:val="toc 9"/>
    <w:basedOn w:val="Normal"/>
    <w:next w:val="Normal"/>
    <w:autoRedefine/>
    <w:uiPriority w:val="39"/>
    <w:semiHidden/>
    <w:unhideWhenUsed/>
    <w:rsid w:val="00C54C0B"/>
    <w:pPr>
      <w:ind w:left="1920"/>
    </w:pPr>
    <w:rPr>
      <w:rFonts w:cstheme="minorHAnsi"/>
      <w:sz w:val="20"/>
      <w:szCs w:val="20"/>
    </w:rPr>
  </w:style>
  <w:style w:type="paragraph" w:styleId="Revision">
    <w:name w:val="Revision"/>
    <w:hidden/>
    <w:uiPriority w:val="99"/>
    <w:semiHidden/>
    <w:rsid w:val="00A359B6"/>
  </w:style>
  <w:style w:type="paragraph" w:styleId="BalloonText">
    <w:name w:val="Balloon Text"/>
    <w:basedOn w:val="Normal"/>
    <w:link w:val="BalloonTextChar"/>
    <w:uiPriority w:val="99"/>
    <w:semiHidden/>
    <w:unhideWhenUsed/>
    <w:rsid w:val="00CB3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D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6440">
      <w:bodyDiv w:val="1"/>
      <w:marLeft w:val="0"/>
      <w:marRight w:val="0"/>
      <w:marTop w:val="0"/>
      <w:marBottom w:val="0"/>
      <w:divBdr>
        <w:top w:val="none" w:sz="0" w:space="0" w:color="auto"/>
        <w:left w:val="none" w:sz="0" w:space="0" w:color="auto"/>
        <w:bottom w:val="none" w:sz="0" w:space="0" w:color="auto"/>
        <w:right w:val="none" w:sz="0" w:space="0" w:color="auto"/>
      </w:divBdr>
      <w:divsChild>
        <w:div w:id="518468758">
          <w:marLeft w:val="0"/>
          <w:marRight w:val="0"/>
          <w:marTop w:val="0"/>
          <w:marBottom w:val="0"/>
          <w:divBdr>
            <w:top w:val="none" w:sz="0" w:space="0" w:color="auto"/>
            <w:left w:val="none" w:sz="0" w:space="0" w:color="auto"/>
            <w:bottom w:val="none" w:sz="0" w:space="0" w:color="auto"/>
            <w:right w:val="none" w:sz="0" w:space="0" w:color="auto"/>
          </w:divBdr>
          <w:divsChild>
            <w:div w:id="973096746">
              <w:marLeft w:val="0"/>
              <w:marRight w:val="0"/>
              <w:marTop w:val="0"/>
              <w:marBottom w:val="0"/>
              <w:divBdr>
                <w:top w:val="none" w:sz="0" w:space="0" w:color="auto"/>
                <w:left w:val="none" w:sz="0" w:space="0" w:color="auto"/>
                <w:bottom w:val="none" w:sz="0" w:space="0" w:color="auto"/>
                <w:right w:val="none" w:sz="0" w:space="0" w:color="auto"/>
              </w:divBdr>
              <w:divsChild>
                <w:div w:id="1570774750">
                  <w:marLeft w:val="0"/>
                  <w:marRight w:val="0"/>
                  <w:marTop w:val="0"/>
                  <w:marBottom w:val="0"/>
                  <w:divBdr>
                    <w:top w:val="none" w:sz="0" w:space="0" w:color="auto"/>
                    <w:left w:val="none" w:sz="0" w:space="0" w:color="auto"/>
                    <w:bottom w:val="none" w:sz="0" w:space="0" w:color="auto"/>
                    <w:right w:val="none" w:sz="0" w:space="0" w:color="auto"/>
                  </w:divBdr>
                </w:div>
              </w:divsChild>
            </w:div>
            <w:div w:id="1247034940">
              <w:marLeft w:val="0"/>
              <w:marRight w:val="0"/>
              <w:marTop w:val="0"/>
              <w:marBottom w:val="0"/>
              <w:divBdr>
                <w:top w:val="none" w:sz="0" w:space="0" w:color="auto"/>
                <w:left w:val="none" w:sz="0" w:space="0" w:color="auto"/>
                <w:bottom w:val="none" w:sz="0" w:space="0" w:color="auto"/>
                <w:right w:val="none" w:sz="0" w:space="0" w:color="auto"/>
              </w:divBdr>
              <w:divsChild>
                <w:div w:id="9360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529">
          <w:marLeft w:val="0"/>
          <w:marRight w:val="0"/>
          <w:marTop w:val="0"/>
          <w:marBottom w:val="0"/>
          <w:divBdr>
            <w:top w:val="none" w:sz="0" w:space="0" w:color="auto"/>
            <w:left w:val="none" w:sz="0" w:space="0" w:color="auto"/>
            <w:bottom w:val="none" w:sz="0" w:space="0" w:color="auto"/>
            <w:right w:val="none" w:sz="0" w:space="0" w:color="auto"/>
          </w:divBdr>
          <w:divsChild>
            <w:div w:id="1920358839">
              <w:marLeft w:val="0"/>
              <w:marRight w:val="0"/>
              <w:marTop w:val="0"/>
              <w:marBottom w:val="0"/>
              <w:divBdr>
                <w:top w:val="none" w:sz="0" w:space="0" w:color="auto"/>
                <w:left w:val="none" w:sz="0" w:space="0" w:color="auto"/>
                <w:bottom w:val="none" w:sz="0" w:space="0" w:color="auto"/>
                <w:right w:val="none" w:sz="0" w:space="0" w:color="auto"/>
              </w:divBdr>
              <w:divsChild>
                <w:div w:id="2104300631">
                  <w:marLeft w:val="0"/>
                  <w:marRight w:val="0"/>
                  <w:marTop w:val="0"/>
                  <w:marBottom w:val="0"/>
                  <w:divBdr>
                    <w:top w:val="none" w:sz="0" w:space="0" w:color="auto"/>
                    <w:left w:val="none" w:sz="0" w:space="0" w:color="auto"/>
                    <w:bottom w:val="none" w:sz="0" w:space="0" w:color="auto"/>
                    <w:right w:val="none" w:sz="0" w:space="0" w:color="auto"/>
                  </w:divBdr>
                </w:div>
                <w:div w:id="1567840976">
                  <w:marLeft w:val="0"/>
                  <w:marRight w:val="0"/>
                  <w:marTop w:val="0"/>
                  <w:marBottom w:val="0"/>
                  <w:divBdr>
                    <w:top w:val="none" w:sz="0" w:space="0" w:color="auto"/>
                    <w:left w:val="none" w:sz="0" w:space="0" w:color="auto"/>
                    <w:bottom w:val="none" w:sz="0" w:space="0" w:color="auto"/>
                    <w:right w:val="none" w:sz="0" w:space="0" w:color="auto"/>
                  </w:divBdr>
                </w:div>
              </w:divsChild>
            </w:div>
            <w:div w:id="494801395">
              <w:marLeft w:val="0"/>
              <w:marRight w:val="0"/>
              <w:marTop w:val="0"/>
              <w:marBottom w:val="0"/>
              <w:divBdr>
                <w:top w:val="none" w:sz="0" w:space="0" w:color="auto"/>
                <w:left w:val="none" w:sz="0" w:space="0" w:color="auto"/>
                <w:bottom w:val="none" w:sz="0" w:space="0" w:color="auto"/>
                <w:right w:val="none" w:sz="0" w:space="0" w:color="auto"/>
              </w:divBdr>
              <w:divsChild>
                <w:div w:id="1619946474">
                  <w:marLeft w:val="0"/>
                  <w:marRight w:val="0"/>
                  <w:marTop w:val="0"/>
                  <w:marBottom w:val="0"/>
                  <w:divBdr>
                    <w:top w:val="none" w:sz="0" w:space="0" w:color="auto"/>
                    <w:left w:val="none" w:sz="0" w:space="0" w:color="auto"/>
                    <w:bottom w:val="none" w:sz="0" w:space="0" w:color="auto"/>
                    <w:right w:val="none" w:sz="0" w:space="0" w:color="auto"/>
                  </w:divBdr>
                </w:div>
              </w:divsChild>
            </w:div>
            <w:div w:id="152180067">
              <w:marLeft w:val="0"/>
              <w:marRight w:val="0"/>
              <w:marTop w:val="0"/>
              <w:marBottom w:val="0"/>
              <w:divBdr>
                <w:top w:val="none" w:sz="0" w:space="0" w:color="auto"/>
                <w:left w:val="none" w:sz="0" w:space="0" w:color="auto"/>
                <w:bottom w:val="none" w:sz="0" w:space="0" w:color="auto"/>
                <w:right w:val="none" w:sz="0" w:space="0" w:color="auto"/>
              </w:divBdr>
              <w:divsChild>
                <w:div w:id="4233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5525">
          <w:marLeft w:val="0"/>
          <w:marRight w:val="0"/>
          <w:marTop w:val="0"/>
          <w:marBottom w:val="0"/>
          <w:divBdr>
            <w:top w:val="none" w:sz="0" w:space="0" w:color="auto"/>
            <w:left w:val="none" w:sz="0" w:space="0" w:color="auto"/>
            <w:bottom w:val="none" w:sz="0" w:space="0" w:color="auto"/>
            <w:right w:val="none" w:sz="0" w:space="0" w:color="auto"/>
          </w:divBdr>
          <w:divsChild>
            <w:div w:id="275524698">
              <w:marLeft w:val="0"/>
              <w:marRight w:val="0"/>
              <w:marTop w:val="0"/>
              <w:marBottom w:val="0"/>
              <w:divBdr>
                <w:top w:val="none" w:sz="0" w:space="0" w:color="auto"/>
                <w:left w:val="none" w:sz="0" w:space="0" w:color="auto"/>
                <w:bottom w:val="none" w:sz="0" w:space="0" w:color="auto"/>
                <w:right w:val="none" w:sz="0" w:space="0" w:color="auto"/>
              </w:divBdr>
              <w:divsChild>
                <w:div w:id="14717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28967">
      <w:bodyDiv w:val="1"/>
      <w:marLeft w:val="0"/>
      <w:marRight w:val="0"/>
      <w:marTop w:val="0"/>
      <w:marBottom w:val="0"/>
      <w:divBdr>
        <w:top w:val="none" w:sz="0" w:space="0" w:color="auto"/>
        <w:left w:val="none" w:sz="0" w:space="0" w:color="auto"/>
        <w:bottom w:val="none" w:sz="0" w:space="0" w:color="auto"/>
        <w:right w:val="none" w:sz="0" w:space="0" w:color="auto"/>
      </w:divBdr>
    </w:div>
    <w:div w:id="935360890">
      <w:bodyDiv w:val="1"/>
      <w:marLeft w:val="0"/>
      <w:marRight w:val="0"/>
      <w:marTop w:val="0"/>
      <w:marBottom w:val="0"/>
      <w:divBdr>
        <w:top w:val="none" w:sz="0" w:space="0" w:color="auto"/>
        <w:left w:val="none" w:sz="0" w:space="0" w:color="auto"/>
        <w:bottom w:val="none" w:sz="0" w:space="0" w:color="auto"/>
        <w:right w:val="none" w:sz="0" w:space="0" w:color="auto"/>
      </w:divBdr>
      <w:divsChild>
        <w:div w:id="1066416043">
          <w:marLeft w:val="0"/>
          <w:marRight w:val="0"/>
          <w:marTop w:val="0"/>
          <w:marBottom w:val="0"/>
          <w:divBdr>
            <w:top w:val="none" w:sz="0" w:space="0" w:color="auto"/>
            <w:left w:val="none" w:sz="0" w:space="0" w:color="auto"/>
            <w:bottom w:val="none" w:sz="0" w:space="0" w:color="auto"/>
            <w:right w:val="none" w:sz="0" w:space="0" w:color="auto"/>
          </w:divBdr>
          <w:divsChild>
            <w:div w:id="1888175407">
              <w:marLeft w:val="0"/>
              <w:marRight w:val="0"/>
              <w:marTop w:val="0"/>
              <w:marBottom w:val="0"/>
              <w:divBdr>
                <w:top w:val="none" w:sz="0" w:space="0" w:color="auto"/>
                <w:left w:val="none" w:sz="0" w:space="0" w:color="auto"/>
                <w:bottom w:val="none" w:sz="0" w:space="0" w:color="auto"/>
                <w:right w:val="none" w:sz="0" w:space="0" w:color="auto"/>
              </w:divBdr>
              <w:divsChild>
                <w:div w:id="314840625">
                  <w:marLeft w:val="0"/>
                  <w:marRight w:val="0"/>
                  <w:marTop w:val="0"/>
                  <w:marBottom w:val="0"/>
                  <w:divBdr>
                    <w:top w:val="none" w:sz="0" w:space="0" w:color="auto"/>
                    <w:left w:val="none" w:sz="0" w:space="0" w:color="auto"/>
                    <w:bottom w:val="none" w:sz="0" w:space="0" w:color="auto"/>
                    <w:right w:val="none" w:sz="0" w:space="0" w:color="auto"/>
                  </w:divBdr>
                </w:div>
              </w:divsChild>
            </w:div>
            <w:div w:id="933512765">
              <w:marLeft w:val="0"/>
              <w:marRight w:val="0"/>
              <w:marTop w:val="0"/>
              <w:marBottom w:val="0"/>
              <w:divBdr>
                <w:top w:val="none" w:sz="0" w:space="0" w:color="auto"/>
                <w:left w:val="none" w:sz="0" w:space="0" w:color="auto"/>
                <w:bottom w:val="none" w:sz="0" w:space="0" w:color="auto"/>
                <w:right w:val="none" w:sz="0" w:space="0" w:color="auto"/>
              </w:divBdr>
              <w:divsChild>
                <w:div w:id="12615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2605">
          <w:marLeft w:val="0"/>
          <w:marRight w:val="0"/>
          <w:marTop w:val="0"/>
          <w:marBottom w:val="0"/>
          <w:divBdr>
            <w:top w:val="none" w:sz="0" w:space="0" w:color="auto"/>
            <w:left w:val="none" w:sz="0" w:space="0" w:color="auto"/>
            <w:bottom w:val="none" w:sz="0" w:space="0" w:color="auto"/>
            <w:right w:val="none" w:sz="0" w:space="0" w:color="auto"/>
          </w:divBdr>
          <w:divsChild>
            <w:div w:id="1995525147">
              <w:marLeft w:val="0"/>
              <w:marRight w:val="0"/>
              <w:marTop w:val="0"/>
              <w:marBottom w:val="0"/>
              <w:divBdr>
                <w:top w:val="none" w:sz="0" w:space="0" w:color="auto"/>
                <w:left w:val="none" w:sz="0" w:space="0" w:color="auto"/>
                <w:bottom w:val="none" w:sz="0" w:space="0" w:color="auto"/>
                <w:right w:val="none" w:sz="0" w:space="0" w:color="auto"/>
              </w:divBdr>
              <w:divsChild>
                <w:div w:id="721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A4511-57AE-442B-AE51-28978795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3549</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Alberta Hoi</dc:creator>
  <cp:keywords/>
  <dc:description/>
  <cp:lastModifiedBy>Celine Shi</cp:lastModifiedBy>
  <cp:revision>8</cp:revision>
  <dcterms:created xsi:type="dcterms:W3CDTF">2023-11-06T00:55:00Z</dcterms:created>
  <dcterms:modified xsi:type="dcterms:W3CDTF">2024-02-05T04:47:00Z</dcterms:modified>
</cp:coreProperties>
</file>