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203B" w14:textId="77777777" w:rsidR="00004AF9" w:rsidRPr="0058224B" w:rsidRDefault="00004AF9" w:rsidP="0058224B">
      <w:pPr>
        <w:autoSpaceDE w:val="0"/>
        <w:autoSpaceDN w:val="0"/>
        <w:adjustRightInd w:val="0"/>
        <w:rPr>
          <w:rFonts w:ascii="Calibri" w:hAnsi="Calibri" w:cs="Arial"/>
          <w:b/>
          <w:bCs/>
          <w:color w:val="000000"/>
          <w:lang w:val="en-AU"/>
        </w:rPr>
      </w:pPr>
    </w:p>
    <w:p w14:paraId="188A459E" w14:textId="33C73D4C" w:rsidR="0058224B" w:rsidRPr="0058224B" w:rsidRDefault="00A04217" w:rsidP="0058224B">
      <w:pPr>
        <w:autoSpaceDE w:val="0"/>
        <w:autoSpaceDN w:val="0"/>
        <w:adjustRightInd w:val="0"/>
        <w:jc w:val="center"/>
        <w:rPr>
          <w:rFonts w:ascii="Calibri" w:hAnsi="Calibri" w:cs="Arial"/>
          <w:b/>
          <w:bCs/>
          <w:color w:val="000000"/>
          <w:lang w:val="en-AU"/>
        </w:rPr>
      </w:pPr>
      <w:r w:rsidRPr="0058224B">
        <w:rPr>
          <w:rFonts w:ascii="Calibri" w:hAnsi="Calibri" w:cs="Arial"/>
          <w:b/>
          <w:bCs/>
          <w:color w:val="000000"/>
          <w:lang w:val="en-AU"/>
        </w:rPr>
        <w:t>Research Protocol</w:t>
      </w:r>
    </w:p>
    <w:p w14:paraId="7D874FE4" w14:textId="77777777" w:rsidR="0058224B" w:rsidRPr="0058224B" w:rsidRDefault="0058224B" w:rsidP="0058224B">
      <w:pPr>
        <w:autoSpaceDE w:val="0"/>
        <w:autoSpaceDN w:val="0"/>
        <w:adjustRightInd w:val="0"/>
        <w:jc w:val="center"/>
        <w:rPr>
          <w:rFonts w:ascii="Calibri" w:hAnsi="Calibri" w:cs="Arial"/>
          <w:b/>
          <w:bCs/>
          <w:color w:val="000000"/>
          <w:lang w:val="en-AU"/>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2861"/>
        <w:gridCol w:w="4675"/>
      </w:tblGrid>
      <w:tr w:rsidR="00A04217" w:rsidRPr="00470CE3" w14:paraId="7D66151B" w14:textId="77777777" w:rsidTr="00470CE3">
        <w:trPr>
          <w:trHeight w:val="483"/>
        </w:trPr>
        <w:tc>
          <w:tcPr>
            <w:tcW w:w="5610" w:type="dxa"/>
            <w:gridSpan w:val="2"/>
            <w:shd w:val="clear" w:color="auto" w:fill="auto"/>
          </w:tcPr>
          <w:p w14:paraId="119AC957" w14:textId="77777777" w:rsidR="00A04217" w:rsidRPr="00470CE3" w:rsidRDefault="00A04217" w:rsidP="00777BED">
            <w:pPr>
              <w:rPr>
                <w:rFonts w:ascii="Calibri" w:hAnsi="Calibri" w:cs="Arial"/>
                <w:sz w:val="16"/>
                <w:szCs w:val="16"/>
              </w:rPr>
            </w:pPr>
            <w:r w:rsidRPr="00470CE3">
              <w:rPr>
                <w:rFonts w:ascii="Calibri" w:hAnsi="Calibri" w:cs="Arial"/>
                <w:sz w:val="16"/>
                <w:szCs w:val="16"/>
              </w:rPr>
              <w:t>DATE</w:t>
            </w:r>
          </w:p>
          <w:p w14:paraId="510E53E4" w14:textId="26A7D7F8" w:rsidR="00A04217" w:rsidRDefault="006C2733" w:rsidP="00777BED">
            <w:pPr>
              <w:rPr>
                <w:rFonts w:ascii="Calibri" w:hAnsi="Calibri"/>
                <w:iCs/>
                <w:lang w:val="en-NZ"/>
              </w:rPr>
            </w:pPr>
            <w:r>
              <w:rPr>
                <w:rFonts w:ascii="Calibri" w:hAnsi="Calibri"/>
                <w:iCs/>
                <w:lang w:val="en-NZ"/>
              </w:rPr>
              <w:t>4 May 2022</w:t>
            </w:r>
          </w:p>
          <w:p w14:paraId="7A2AC7CF" w14:textId="4DAF16E6" w:rsidR="0058224B" w:rsidRPr="0006376F" w:rsidRDefault="0058224B" w:rsidP="00777BED">
            <w:pPr>
              <w:rPr>
                <w:rFonts w:ascii="Arial" w:hAnsi="Arial" w:cs="Arial"/>
                <w:iCs/>
              </w:rPr>
            </w:pPr>
          </w:p>
        </w:tc>
        <w:tc>
          <w:tcPr>
            <w:tcW w:w="4675" w:type="dxa"/>
            <w:shd w:val="clear" w:color="auto" w:fill="auto"/>
          </w:tcPr>
          <w:p w14:paraId="75755892" w14:textId="77777777" w:rsidR="00A04217" w:rsidRDefault="00A04217" w:rsidP="00777BED">
            <w:pPr>
              <w:rPr>
                <w:rFonts w:ascii="Calibri" w:hAnsi="Calibri" w:cs="Arial"/>
                <w:sz w:val="16"/>
                <w:szCs w:val="16"/>
              </w:rPr>
            </w:pPr>
            <w:r w:rsidRPr="00470CE3">
              <w:rPr>
                <w:rFonts w:ascii="Calibri" w:hAnsi="Calibri" w:cs="Arial"/>
                <w:sz w:val="16"/>
                <w:szCs w:val="16"/>
              </w:rPr>
              <w:t>VERSION NUMBER</w:t>
            </w:r>
          </w:p>
          <w:p w14:paraId="56405768" w14:textId="0C94700C" w:rsidR="0006376F" w:rsidRPr="0006376F" w:rsidRDefault="006C2733" w:rsidP="00777BED">
            <w:pPr>
              <w:rPr>
                <w:rFonts w:ascii="Calibri" w:hAnsi="Calibri" w:cs="Arial"/>
              </w:rPr>
            </w:pPr>
            <w:r>
              <w:rPr>
                <w:rFonts w:ascii="Calibri" w:hAnsi="Calibri" w:cs="Arial"/>
              </w:rPr>
              <w:t>6</w:t>
            </w:r>
          </w:p>
        </w:tc>
      </w:tr>
      <w:tr w:rsidR="00A04217" w:rsidRPr="00CF4AAA" w14:paraId="16CB8F1A" w14:textId="77777777" w:rsidTr="00470CE3">
        <w:tc>
          <w:tcPr>
            <w:tcW w:w="2749" w:type="dxa"/>
            <w:shd w:val="clear" w:color="auto" w:fill="E6E6E6"/>
          </w:tcPr>
          <w:p w14:paraId="5044B554" w14:textId="77777777" w:rsidR="00A04217" w:rsidRPr="00CF4AAA" w:rsidRDefault="00A04217" w:rsidP="00777BED">
            <w:pPr>
              <w:rPr>
                <w:rFonts w:asciiTheme="minorHAnsi" w:hAnsiTheme="minorHAnsi" w:cstheme="minorHAnsi"/>
                <w:b/>
              </w:rPr>
            </w:pPr>
            <w:r w:rsidRPr="00CF4AAA">
              <w:rPr>
                <w:rFonts w:asciiTheme="minorHAnsi" w:hAnsiTheme="minorHAnsi" w:cstheme="minorHAnsi"/>
                <w:b/>
              </w:rPr>
              <w:t>STUDY TITLE</w:t>
            </w:r>
          </w:p>
        </w:tc>
        <w:tc>
          <w:tcPr>
            <w:tcW w:w="7536" w:type="dxa"/>
            <w:gridSpan w:val="2"/>
            <w:shd w:val="clear" w:color="auto" w:fill="auto"/>
          </w:tcPr>
          <w:p w14:paraId="47C09323" w14:textId="77777777" w:rsidR="00A04217" w:rsidRPr="00CF4AAA" w:rsidRDefault="00976464" w:rsidP="00976464">
            <w:pPr>
              <w:rPr>
                <w:rFonts w:asciiTheme="minorHAnsi" w:hAnsiTheme="minorHAnsi" w:cstheme="minorHAnsi"/>
                <w:lang w:val="en-AU"/>
              </w:rPr>
            </w:pPr>
            <w:r w:rsidRPr="00CF4AAA">
              <w:rPr>
                <w:rFonts w:asciiTheme="minorHAnsi" w:hAnsiTheme="minorHAnsi" w:cstheme="minorHAnsi"/>
                <w:lang w:val="en-AU"/>
              </w:rPr>
              <w:t xml:space="preserve">Cerebral Oximetry when </w:t>
            </w:r>
            <w:proofErr w:type="spellStart"/>
            <w:r w:rsidRPr="00CF4AAA">
              <w:rPr>
                <w:rFonts w:asciiTheme="minorHAnsi" w:hAnsiTheme="minorHAnsi" w:cstheme="minorHAnsi"/>
                <w:lang w:val="en-AU"/>
              </w:rPr>
              <w:t>VEntilated</w:t>
            </w:r>
            <w:proofErr w:type="spellEnd"/>
            <w:r w:rsidRPr="00CF4AAA">
              <w:rPr>
                <w:rFonts w:asciiTheme="minorHAnsi" w:hAnsiTheme="minorHAnsi" w:cstheme="minorHAnsi"/>
                <w:lang w:val="en-AU"/>
              </w:rPr>
              <w:t xml:space="preserve"> </w:t>
            </w:r>
            <w:proofErr w:type="spellStart"/>
            <w:r w:rsidRPr="00CF4AAA">
              <w:rPr>
                <w:rFonts w:asciiTheme="minorHAnsi" w:hAnsiTheme="minorHAnsi" w:cstheme="minorHAnsi"/>
                <w:lang w:val="en-AU"/>
              </w:rPr>
              <w:t>oR</w:t>
            </w:r>
            <w:proofErr w:type="spellEnd"/>
            <w:r w:rsidRPr="00CF4AAA">
              <w:rPr>
                <w:rFonts w:asciiTheme="minorHAnsi" w:hAnsiTheme="minorHAnsi" w:cstheme="minorHAnsi"/>
                <w:lang w:val="en-AU"/>
              </w:rPr>
              <w:t xml:space="preserve"> Spontaneously</w:t>
            </w:r>
            <w:r w:rsidRPr="00CF4AAA">
              <w:rPr>
                <w:rFonts w:asciiTheme="minorHAnsi" w:hAnsiTheme="minorHAnsi" w:cstheme="minorHAnsi"/>
                <w:b/>
                <w:bCs/>
                <w:lang w:val="en-AU"/>
              </w:rPr>
              <w:t xml:space="preserve"> </w:t>
            </w:r>
            <w:r w:rsidRPr="00CF4AAA">
              <w:rPr>
                <w:rFonts w:asciiTheme="minorHAnsi" w:hAnsiTheme="minorHAnsi" w:cstheme="minorHAnsi"/>
                <w:lang w:val="en-AU"/>
              </w:rPr>
              <w:t xml:space="preserve">breathing </w:t>
            </w:r>
          </w:p>
          <w:p w14:paraId="044644D7" w14:textId="78B4B63F" w:rsidR="0058224B" w:rsidRPr="00CF4AAA" w:rsidRDefault="0058224B" w:rsidP="00976464">
            <w:pPr>
              <w:rPr>
                <w:rFonts w:asciiTheme="minorHAnsi" w:hAnsiTheme="minorHAnsi" w:cstheme="minorHAnsi"/>
              </w:rPr>
            </w:pPr>
          </w:p>
        </w:tc>
      </w:tr>
      <w:tr w:rsidR="00A04217" w:rsidRPr="00CF4AAA" w14:paraId="2CAD752A" w14:textId="77777777" w:rsidTr="00470CE3">
        <w:trPr>
          <w:trHeight w:val="139"/>
        </w:trPr>
        <w:tc>
          <w:tcPr>
            <w:tcW w:w="2749" w:type="dxa"/>
            <w:shd w:val="clear" w:color="auto" w:fill="E6E6E6"/>
          </w:tcPr>
          <w:p w14:paraId="1A3D8541" w14:textId="77777777" w:rsidR="00A04217" w:rsidRPr="00CF4AAA" w:rsidRDefault="00A04217" w:rsidP="00777BED">
            <w:pPr>
              <w:rPr>
                <w:rFonts w:asciiTheme="minorHAnsi" w:hAnsiTheme="minorHAnsi" w:cstheme="minorHAnsi"/>
                <w:b/>
              </w:rPr>
            </w:pPr>
            <w:r w:rsidRPr="00CF4AAA">
              <w:rPr>
                <w:rFonts w:asciiTheme="minorHAnsi" w:hAnsiTheme="minorHAnsi" w:cstheme="minorHAnsi"/>
                <w:b/>
              </w:rPr>
              <w:t>Short title</w:t>
            </w:r>
          </w:p>
        </w:tc>
        <w:tc>
          <w:tcPr>
            <w:tcW w:w="7536" w:type="dxa"/>
            <w:gridSpan w:val="2"/>
            <w:shd w:val="clear" w:color="auto" w:fill="auto"/>
          </w:tcPr>
          <w:p w14:paraId="337B9B35" w14:textId="77777777" w:rsidR="00A04217" w:rsidRPr="00CF4AAA" w:rsidRDefault="00976464" w:rsidP="00976464">
            <w:pPr>
              <w:rPr>
                <w:rFonts w:asciiTheme="minorHAnsi" w:hAnsiTheme="minorHAnsi" w:cstheme="minorHAnsi"/>
                <w:i/>
                <w:sz w:val="22"/>
                <w:szCs w:val="22"/>
                <w:lang w:val="en-NZ"/>
              </w:rPr>
            </w:pPr>
            <w:r w:rsidRPr="00CF4AAA">
              <w:rPr>
                <w:rFonts w:asciiTheme="minorHAnsi" w:hAnsiTheme="minorHAnsi" w:cstheme="minorHAnsi"/>
                <w:lang w:val="en-AU"/>
              </w:rPr>
              <w:t>The COVERS trial</w:t>
            </w:r>
            <w:r w:rsidRPr="00CF4AAA">
              <w:rPr>
                <w:rFonts w:asciiTheme="minorHAnsi" w:hAnsiTheme="minorHAnsi" w:cstheme="minorHAnsi"/>
                <w:i/>
                <w:sz w:val="22"/>
                <w:szCs w:val="22"/>
                <w:lang w:val="en-NZ"/>
              </w:rPr>
              <w:t xml:space="preserve"> </w:t>
            </w:r>
          </w:p>
          <w:p w14:paraId="0B0DD4E8" w14:textId="577B626C" w:rsidR="00976464" w:rsidRPr="00CF4AAA" w:rsidRDefault="00976464" w:rsidP="00976464">
            <w:pPr>
              <w:rPr>
                <w:rFonts w:asciiTheme="minorHAnsi" w:hAnsiTheme="minorHAnsi" w:cstheme="minorHAnsi"/>
              </w:rPr>
            </w:pPr>
          </w:p>
        </w:tc>
      </w:tr>
    </w:tbl>
    <w:p w14:paraId="5F91E356" w14:textId="77777777" w:rsidR="0006376F" w:rsidRPr="00CF4AAA" w:rsidRDefault="0006376F" w:rsidP="00A04217">
      <w:pPr>
        <w:rPr>
          <w:rFonts w:asciiTheme="minorHAnsi" w:hAnsiTheme="minorHAnsi" w:cstheme="minorHAnsi"/>
          <w:b/>
          <w:bCs/>
          <w:iCs/>
        </w:rPr>
      </w:pPr>
    </w:p>
    <w:p w14:paraId="15749E88" w14:textId="17BD988C" w:rsidR="00A04217" w:rsidRPr="00CF4AAA" w:rsidRDefault="00A04217" w:rsidP="00A04217">
      <w:pPr>
        <w:rPr>
          <w:rFonts w:asciiTheme="minorHAnsi" w:hAnsiTheme="minorHAnsi" w:cstheme="minorHAnsi"/>
          <w:b/>
          <w:bCs/>
          <w:iCs/>
        </w:rPr>
      </w:pPr>
      <w:r w:rsidRPr="00CF4AAA">
        <w:rPr>
          <w:rFonts w:asciiTheme="minorHAnsi" w:hAnsiTheme="minorHAnsi" w:cstheme="minorHAnsi"/>
          <w:b/>
          <w:bCs/>
          <w:iCs/>
        </w:rPr>
        <w:t>PRINCIPAL INVESTIGATOR</w:t>
      </w:r>
      <w:r w:rsidRPr="00CF4AAA">
        <w:rPr>
          <w:rFonts w:asciiTheme="minorHAnsi" w:hAnsiTheme="minorHAnsi" w:cstheme="minorHAnsi"/>
          <w:b/>
          <w:bCs/>
          <w:iCs/>
        </w:rPr>
        <w:tab/>
      </w:r>
      <w:r w:rsidRPr="00CF4AAA">
        <w:rPr>
          <w:rFonts w:asciiTheme="minorHAnsi" w:hAnsiTheme="minorHAnsi" w:cstheme="minorHAnsi"/>
          <w:b/>
          <w:bCs/>
          <w:iCs/>
        </w:rPr>
        <w:tab/>
      </w:r>
    </w:p>
    <w:tbl>
      <w:tblPr>
        <w:tblW w:w="10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2804"/>
        <w:gridCol w:w="844"/>
        <w:gridCol w:w="926"/>
        <w:gridCol w:w="1496"/>
        <w:gridCol w:w="748"/>
        <w:gridCol w:w="1309"/>
      </w:tblGrid>
      <w:tr w:rsidR="00A04217" w:rsidRPr="00CF4AAA" w14:paraId="32F8C117" w14:textId="77777777" w:rsidTr="00470CE3">
        <w:tc>
          <w:tcPr>
            <w:tcW w:w="2158" w:type="dxa"/>
            <w:shd w:val="clear" w:color="auto" w:fill="E6E6E6"/>
          </w:tcPr>
          <w:p w14:paraId="35F28BD1" w14:textId="77777777" w:rsidR="00A04217" w:rsidRPr="00CF4AAA" w:rsidRDefault="00A04217" w:rsidP="006C2733">
            <w:pPr>
              <w:rPr>
                <w:rFonts w:asciiTheme="minorHAnsi" w:hAnsiTheme="minorHAnsi" w:cstheme="minorHAnsi"/>
                <w:b/>
                <w:bCs/>
              </w:rPr>
            </w:pPr>
            <w:r w:rsidRPr="00CF4AAA">
              <w:rPr>
                <w:rFonts w:asciiTheme="minorHAnsi" w:hAnsiTheme="minorHAnsi" w:cstheme="minorHAnsi"/>
                <w:b/>
                <w:bCs/>
              </w:rPr>
              <w:t xml:space="preserve">Name   </w:t>
            </w:r>
          </w:p>
        </w:tc>
        <w:tc>
          <w:tcPr>
            <w:tcW w:w="6070" w:type="dxa"/>
            <w:gridSpan w:val="4"/>
            <w:shd w:val="clear" w:color="auto" w:fill="auto"/>
          </w:tcPr>
          <w:p w14:paraId="34EAA48C" w14:textId="3C3D2820" w:rsidR="00A04217" w:rsidRPr="00CF4AAA" w:rsidRDefault="00976464" w:rsidP="006C2733">
            <w:pPr>
              <w:rPr>
                <w:rFonts w:asciiTheme="minorHAnsi" w:hAnsiTheme="minorHAnsi" w:cstheme="minorHAnsi"/>
              </w:rPr>
            </w:pPr>
            <w:r w:rsidRPr="00CF4AAA">
              <w:rPr>
                <w:rFonts w:asciiTheme="minorHAnsi" w:hAnsiTheme="minorHAnsi" w:cstheme="minorHAnsi"/>
                <w:lang w:val="en-AU"/>
              </w:rPr>
              <w:t>Andrew Cameron</w:t>
            </w:r>
          </w:p>
        </w:tc>
        <w:tc>
          <w:tcPr>
            <w:tcW w:w="748" w:type="dxa"/>
            <w:shd w:val="clear" w:color="auto" w:fill="E0E0E0"/>
          </w:tcPr>
          <w:p w14:paraId="28B75D9C" w14:textId="77777777" w:rsidR="00A04217" w:rsidRPr="00CF4AAA" w:rsidRDefault="00A04217" w:rsidP="006C2733">
            <w:pPr>
              <w:rPr>
                <w:rFonts w:asciiTheme="minorHAnsi" w:hAnsiTheme="minorHAnsi" w:cstheme="minorHAnsi"/>
                <w:b/>
              </w:rPr>
            </w:pPr>
            <w:r w:rsidRPr="00CF4AAA">
              <w:rPr>
                <w:rFonts w:asciiTheme="minorHAnsi" w:hAnsiTheme="minorHAnsi" w:cstheme="minorHAnsi"/>
                <w:b/>
              </w:rPr>
              <w:t>Title</w:t>
            </w:r>
          </w:p>
        </w:tc>
        <w:tc>
          <w:tcPr>
            <w:tcW w:w="1309" w:type="dxa"/>
            <w:shd w:val="clear" w:color="auto" w:fill="auto"/>
          </w:tcPr>
          <w:p w14:paraId="11F9B09A" w14:textId="09F44E15" w:rsidR="00A04217" w:rsidRPr="00CF4AAA" w:rsidRDefault="00976464" w:rsidP="006C2733">
            <w:pPr>
              <w:rPr>
                <w:rFonts w:asciiTheme="minorHAnsi" w:hAnsiTheme="minorHAnsi" w:cstheme="minorHAnsi"/>
              </w:rPr>
            </w:pPr>
            <w:r w:rsidRPr="00CF4AAA">
              <w:rPr>
                <w:rFonts w:asciiTheme="minorHAnsi" w:hAnsiTheme="minorHAnsi" w:cstheme="minorHAnsi"/>
              </w:rPr>
              <w:t>Dr</w:t>
            </w:r>
          </w:p>
        </w:tc>
      </w:tr>
      <w:tr w:rsidR="00A04217" w:rsidRPr="00CF4AAA" w14:paraId="1D6EC1E8" w14:textId="77777777" w:rsidTr="004C5804">
        <w:tc>
          <w:tcPr>
            <w:tcW w:w="2158" w:type="dxa"/>
            <w:shd w:val="clear" w:color="auto" w:fill="E6E6E6"/>
          </w:tcPr>
          <w:p w14:paraId="0C144B3A" w14:textId="77777777" w:rsidR="00A04217" w:rsidRPr="00CF4AAA" w:rsidRDefault="00A04217" w:rsidP="006C2733">
            <w:pPr>
              <w:rPr>
                <w:rFonts w:asciiTheme="minorHAnsi" w:hAnsiTheme="minorHAnsi" w:cstheme="minorHAnsi"/>
                <w:b/>
                <w:bCs/>
              </w:rPr>
            </w:pPr>
            <w:r w:rsidRPr="00CF4AAA">
              <w:rPr>
                <w:rFonts w:asciiTheme="minorHAnsi" w:hAnsiTheme="minorHAnsi" w:cstheme="minorHAnsi"/>
                <w:b/>
              </w:rPr>
              <w:t>Institution</w:t>
            </w:r>
          </w:p>
        </w:tc>
        <w:tc>
          <w:tcPr>
            <w:tcW w:w="2804" w:type="dxa"/>
            <w:shd w:val="clear" w:color="auto" w:fill="auto"/>
          </w:tcPr>
          <w:p w14:paraId="0196A892" w14:textId="793E558B" w:rsidR="00A04217" w:rsidRPr="00CF4AAA" w:rsidRDefault="00976464" w:rsidP="006C2733">
            <w:pPr>
              <w:rPr>
                <w:rFonts w:asciiTheme="minorHAnsi" w:hAnsiTheme="minorHAnsi" w:cstheme="minorHAnsi"/>
              </w:rPr>
            </w:pPr>
            <w:r w:rsidRPr="00CF4AAA">
              <w:rPr>
                <w:rFonts w:asciiTheme="minorHAnsi" w:hAnsiTheme="minorHAnsi" w:cstheme="minorHAnsi"/>
              </w:rPr>
              <w:t>Counties Manukau Health</w:t>
            </w:r>
          </w:p>
        </w:tc>
        <w:tc>
          <w:tcPr>
            <w:tcW w:w="1770" w:type="dxa"/>
            <w:gridSpan w:val="2"/>
            <w:shd w:val="clear" w:color="auto" w:fill="E6E6E6"/>
          </w:tcPr>
          <w:p w14:paraId="0BCD9ADF" w14:textId="77777777" w:rsidR="00A04217" w:rsidRPr="00CF4AAA" w:rsidRDefault="00A04217" w:rsidP="006C2733">
            <w:pPr>
              <w:rPr>
                <w:rFonts w:asciiTheme="minorHAnsi" w:hAnsiTheme="minorHAnsi" w:cstheme="minorHAnsi"/>
                <w:b/>
              </w:rPr>
            </w:pPr>
            <w:r w:rsidRPr="00CF4AAA">
              <w:rPr>
                <w:rFonts w:asciiTheme="minorHAnsi" w:hAnsiTheme="minorHAnsi" w:cstheme="minorHAnsi"/>
                <w:b/>
              </w:rPr>
              <w:t>Department</w:t>
            </w:r>
          </w:p>
        </w:tc>
        <w:tc>
          <w:tcPr>
            <w:tcW w:w="3553" w:type="dxa"/>
            <w:gridSpan w:val="3"/>
            <w:shd w:val="clear" w:color="auto" w:fill="auto"/>
          </w:tcPr>
          <w:p w14:paraId="4740D66C" w14:textId="4332ABC4" w:rsidR="00A04217" w:rsidRPr="00CF4AAA" w:rsidRDefault="00976464" w:rsidP="006C2733">
            <w:pPr>
              <w:rPr>
                <w:rFonts w:asciiTheme="minorHAnsi" w:hAnsiTheme="minorHAnsi" w:cstheme="minorHAnsi"/>
              </w:rPr>
            </w:pPr>
            <w:r w:rsidRPr="00CF4AAA">
              <w:rPr>
                <w:rFonts w:asciiTheme="minorHAnsi" w:hAnsiTheme="minorHAnsi" w:cstheme="minorHAnsi"/>
              </w:rPr>
              <w:t>Anaesthesia and Pain Medicine</w:t>
            </w:r>
          </w:p>
        </w:tc>
      </w:tr>
      <w:tr w:rsidR="00A04217" w:rsidRPr="00CF4AAA" w14:paraId="71AB1E71" w14:textId="77777777" w:rsidTr="004C5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14:paraId="3D119E80" w14:textId="77777777" w:rsidR="00A04217" w:rsidRPr="00CF4AAA" w:rsidRDefault="00A04217" w:rsidP="006C2733">
            <w:pPr>
              <w:rPr>
                <w:rFonts w:asciiTheme="minorHAnsi" w:hAnsiTheme="minorHAnsi" w:cstheme="minorHAnsi"/>
                <w:b/>
                <w:bCs/>
              </w:rPr>
            </w:pPr>
            <w:r w:rsidRPr="00CF4AAA">
              <w:rPr>
                <w:rFonts w:asciiTheme="minorHAnsi" w:hAnsiTheme="minorHAnsi" w:cstheme="minorHAnsi"/>
                <w:b/>
                <w:bCs/>
              </w:rPr>
              <w:t xml:space="preserve">Phone </w:t>
            </w:r>
          </w:p>
        </w:tc>
        <w:tc>
          <w:tcPr>
            <w:tcW w:w="2804" w:type="dxa"/>
            <w:shd w:val="clear" w:color="auto" w:fill="auto"/>
          </w:tcPr>
          <w:p w14:paraId="67FA5755" w14:textId="15C81EED" w:rsidR="00A04217" w:rsidRPr="00CF4AAA" w:rsidRDefault="00976464" w:rsidP="006C2733">
            <w:pPr>
              <w:rPr>
                <w:rFonts w:asciiTheme="minorHAnsi" w:hAnsiTheme="minorHAnsi" w:cstheme="minorHAnsi"/>
              </w:rPr>
            </w:pPr>
            <w:r w:rsidRPr="00CF4AAA">
              <w:rPr>
                <w:rFonts w:asciiTheme="minorHAnsi" w:hAnsiTheme="minorHAnsi" w:cstheme="minorHAnsi"/>
              </w:rPr>
              <w:t>021 237 8437</w:t>
            </w:r>
          </w:p>
        </w:tc>
        <w:tc>
          <w:tcPr>
            <w:tcW w:w="844" w:type="dxa"/>
            <w:shd w:val="clear" w:color="auto" w:fill="E6E6E6"/>
          </w:tcPr>
          <w:p w14:paraId="09F558FC" w14:textId="77777777" w:rsidR="00A04217" w:rsidRPr="00CF4AAA" w:rsidRDefault="00A04217" w:rsidP="006C2733">
            <w:pPr>
              <w:rPr>
                <w:rFonts w:asciiTheme="minorHAnsi" w:hAnsiTheme="minorHAnsi" w:cstheme="minorHAnsi"/>
                <w:b/>
              </w:rPr>
            </w:pPr>
            <w:r w:rsidRPr="00CF4AAA">
              <w:rPr>
                <w:rFonts w:asciiTheme="minorHAnsi" w:hAnsiTheme="minorHAnsi" w:cstheme="minorHAnsi"/>
                <w:b/>
              </w:rPr>
              <w:t>Email</w:t>
            </w:r>
          </w:p>
        </w:tc>
        <w:tc>
          <w:tcPr>
            <w:tcW w:w="4479" w:type="dxa"/>
            <w:gridSpan w:val="4"/>
            <w:shd w:val="clear" w:color="auto" w:fill="auto"/>
          </w:tcPr>
          <w:p w14:paraId="15762D0E" w14:textId="1EC9EA6A" w:rsidR="00A04217" w:rsidRPr="00CF4AAA" w:rsidRDefault="00976464" w:rsidP="006C2733">
            <w:pPr>
              <w:rPr>
                <w:rFonts w:asciiTheme="minorHAnsi" w:hAnsiTheme="minorHAnsi" w:cstheme="minorHAnsi"/>
              </w:rPr>
            </w:pPr>
            <w:r w:rsidRPr="00CF4AAA">
              <w:rPr>
                <w:rFonts w:asciiTheme="minorHAnsi" w:hAnsiTheme="minorHAnsi" w:cstheme="minorHAnsi"/>
              </w:rPr>
              <w:t>Andrew.cameron@middlemore.co.nz</w:t>
            </w:r>
          </w:p>
        </w:tc>
      </w:tr>
    </w:tbl>
    <w:p w14:paraId="639958C5" w14:textId="77777777" w:rsidR="0006376F" w:rsidRDefault="0006376F" w:rsidP="006C2733">
      <w:pPr>
        <w:rPr>
          <w:rFonts w:ascii="Calibri" w:hAnsi="Calibri" w:cs="Arial"/>
          <w:b/>
          <w:bCs/>
          <w:iCs/>
        </w:rPr>
      </w:pPr>
    </w:p>
    <w:p w14:paraId="4CBBC345" w14:textId="7ACB4815" w:rsidR="00A04217" w:rsidRPr="00375396" w:rsidRDefault="00A04217" w:rsidP="006C2733">
      <w:pPr>
        <w:rPr>
          <w:rFonts w:ascii="Calibri" w:hAnsi="Calibri" w:cs="Arial"/>
          <w:b/>
          <w:bCs/>
          <w:iCs/>
        </w:rPr>
      </w:pPr>
      <w:r w:rsidRPr="00375396">
        <w:rPr>
          <w:rFonts w:ascii="Calibri" w:hAnsi="Calibri" w:cs="Arial"/>
          <w:b/>
          <w:bCs/>
          <w:iCs/>
        </w:rPr>
        <w:t>OTHER INVESTIGATOR(S)</w:t>
      </w:r>
    </w:p>
    <w:tbl>
      <w:tblPr>
        <w:tblW w:w="10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2804"/>
        <w:gridCol w:w="844"/>
        <w:gridCol w:w="926"/>
        <w:gridCol w:w="1496"/>
        <w:gridCol w:w="748"/>
        <w:gridCol w:w="1309"/>
      </w:tblGrid>
      <w:tr w:rsidR="00A04217" w:rsidRPr="00470CE3" w14:paraId="4326C96E" w14:textId="77777777" w:rsidTr="00470CE3">
        <w:tc>
          <w:tcPr>
            <w:tcW w:w="2158" w:type="dxa"/>
            <w:shd w:val="clear" w:color="auto" w:fill="E6E6E6"/>
          </w:tcPr>
          <w:p w14:paraId="5A3F0F66" w14:textId="77777777" w:rsidR="00A04217" w:rsidRPr="00470CE3" w:rsidRDefault="00A04217" w:rsidP="006C2733">
            <w:pPr>
              <w:rPr>
                <w:rFonts w:ascii="Calibri" w:hAnsi="Calibri" w:cs="Arial"/>
                <w:b/>
                <w:bCs/>
              </w:rPr>
            </w:pPr>
            <w:r w:rsidRPr="00470CE3">
              <w:rPr>
                <w:rFonts w:ascii="Calibri" w:hAnsi="Calibri" w:cs="Arial"/>
                <w:b/>
                <w:bCs/>
              </w:rPr>
              <w:t xml:space="preserve">(1) Name   </w:t>
            </w:r>
          </w:p>
        </w:tc>
        <w:tc>
          <w:tcPr>
            <w:tcW w:w="6070" w:type="dxa"/>
            <w:gridSpan w:val="4"/>
            <w:shd w:val="clear" w:color="auto" w:fill="auto"/>
          </w:tcPr>
          <w:p w14:paraId="403E9405" w14:textId="3A91671B" w:rsidR="00A04217" w:rsidRPr="00470CE3" w:rsidRDefault="00976464" w:rsidP="006C2733">
            <w:pPr>
              <w:rPr>
                <w:rFonts w:ascii="Calibri" w:hAnsi="Calibri" w:cs="Arial"/>
              </w:rPr>
            </w:pPr>
            <w:r>
              <w:rPr>
                <w:rFonts w:ascii="Calibri" w:hAnsi="Calibri" w:cs="Arial"/>
              </w:rPr>
              <w:t>Nicholas Lightfoot</w:t>
            </w:r>
          </w:p>
        </w:tc>
        <w:tc>
          <w:tcPr>
            <w:tcW w:w="748" w:type="dxa"/>
            <w:shd w:val="clear" w:color="auto" w:fill="E0E0E0"/>
          </w:tcPr>
          <w:p w14:paraId="3BC16719" w14:textId="77777777" w:rsidR="00A04217" w:rsidRPr="00470CE3" w:rsidRDefault="00A04217" w:rsidP="006C2733">
            <w:pPr>
              <w:rPr>
                <w:rFonts w:ascii="Calibri" w:hAnsi="Calibri" w:cs="Arial"/>
                <w:b/>
              </w:rPr>
            </w:pPr>
            <w:r w:rsidRPr="00470CE3">
              <w:rPr>
                <w:rFonts w:ascii="Calibri" w:hAnsi="Calibri" w:cs="Arial"/>
                <w:b/>
              </w:rPr>
              <w:t>Title</w:t>
            </w:r>
          </w:p>
        </w:tc>
        <w:tc>
          <w:tcPr>
            <w:tcW w:w="1309" w:type="dxa"/>
            <w:shd w:val="clear" w:color="auto" w:fill="auto"/>
          </w:tcPr>
          <w:p w14:paraId="71CC3C00" w14:textId="6DACF1EC" w:rsidR="00A04217" w:rsidRPr="00470CE3" w:rsidRDefault="00976464" w:rsidP="006C2733">
            <w:pPr>
              <w:rPr>
                <w:rFonts w:ascii="Calibri" w:hAnsi="Calibri" w:cs="Arial"/>
              </w:rPr>
            </w:pPr>
            <w:r>
              <w:rPr>
                <w:rFonts w:ascii="Calibri" w:hAnsi="Calibri" w:cs="Arial"/>
              </w:rPr>
              <w:t>Dr</w:t>
            </w:r>
          </w:p>
        </w:tc>
      </w:tr>
      <w:tr w:rsidR="00A04217" w:rsidRPr="00470CE3" w14:paraId="0E57F96D" w14:textId="77777777" w:rsidTr="004C5804">
        <w:tc>
          <w:tcPr>
            <w:tcW w:w="2158" w:type="dxa"/>
            <w:shd w:val="clear" w:color="auto" w:fill="E6E6E6"/>
          </w:tcPr>
          <w:p w14:paraId="420A5D7F" w14:textId="77777777" w:rsidR="00A04217" w:rsidRPr="00470CE3" w:rsidRDefault="00A04217" w:rsidP="006C2733">
            <w:pPr>
              <w:rPr>
                <w:rFonts w:ascii="Calibri" w:hAnsi="Calibri" w:cs="Arial"/>
                <w:b/>
                <w:bCs/>
              </w:rPr>
            </w:pPr>
            <w:r w:rsidRPr="00470CE3">
              <w:rPr>
                <w:rFonts w:ascii="Calibri" w:hAnsi="Calibri" w:cs="Arial"/>
                <w:b/>
              </w:rPr>
              <w:t>Institution</w:t>
            </w:r>
          </w:p>
        </w:tc>
        <w:tc>
          <w:tcPr>
            <w:tcW w:w="2804" w:type="dxa"/>
            <w:shd w:val="clear" w:color="auto" w:fill="auto"/>
          </w:tcPr>
          <w:p w14:paraId="22B1B77E" w14:textId="2607A3AF" w:rsidR="00A04217" w:rsidRPr="00470CE3" w:rsidRDefault="00976464" w:rsidP="006C2733">
            <w:pPr>
              <w:rPr>
                <w:rFonts w:ascii="Calibri" w:hAnsi="Calibri" w:cs="Arial"/>
              </w:rPr>
            </w:pPr>
            <w:r>
              <w:rPr>
                <w:rFonts w:ascii="Calibri" w:hAnsi="Calibri" w:cs="Arial"/>
              </w:rPr>
              <w:t>Counties Manukau Health</w:t>
            </w:r>
          </w:p>
        </w:tc>
        <w:tc>
          <w:tcPr>
            <w:tcW w:w="1770" w:type="dxa"/>
            <w:gridSpan w:val="2"/>
            <w:shd w:val="clear" w:color="auto" w:fill="E6E6E6"/>
          </w:tcPr>
          <w:p w14:paraId="16D914E6" w14:textId="77777777" w:rsidR="00A04217" w:rsidRPr="00470CE3" w:rsidRDefault="00A04217" w:rsidP="006C2733">
            <w:pPr>
              <w:rPr>
                <w:rFonts w:ascii="Calibri" w:hAnsi="Calibri" w:cs="Arial"/>
                <w:b/>
              </w:rPr>
            </w:pPr>
            <w:r w:rsidRPr="00470CE3">
              <w:rPr>
                <w:rFonts w:ascii="Calibri" w:hAnsi="Calibri" w:cs="Arial"/>
                <w:b/>
              </w:rPr>
              <w:t>Department</w:t>
            </w:r>
          </w:p>
        </w:tc>
        <w:tc>
          <w:tcPr>
            <w:tcW w:w="3553" w:type="dxa"/>
            <w:gridSpan w:val="3"/>
            <w:shd w:val="clear" w:color="auto" w:fill="auto"/>
          </w:tcPr>
          <w:p w14:paraId="1C0F3459" w14:textId="180E0A47" w:rsidR="00A04217" w:rsidRPr="00470CE3" w:rsidRDefault="00976464" w:rsidP="006C2733">
            <w:pPr>
              <w:rPr>
                <w:rFonts w:ascii="Calibri" w:hAnsi="Calibri" w:cs="Arial"/>
              </w:rPr>
            </w:pPr>
            <w:r>
              <w:rPr>
                <w:rFonts w:ascii="Calibri" w:hAnsi="Calibri" w:cs="Arial"/>
              </w:rPr>
              <w:t>Anaesthesia and Pain Medicine</w:t>
            </w:r>
          </w:p>
        </w:tc>
      </w:tr>
      <w:tr w:rsidR="00A04217" w:rsidRPr="00470CE3" w14:paraId="09BCC968" w14:textId="77777777" w:rsidTr="004C5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14:paraId="60087BD3" w14:textId="77777777" w:rsidR="00A04217" w:rsidRPr="00470CE3" w:rsidRDefault="00A04217" w:rsidP="006C2733">
            <w:pPr>
              <w:rPr>
                <w:rFonts w:ascii="Calibri" w:hAnsi="Calibri" w:cs="Arial"/>
                <w:b/>
                <w:bCs/>
              </w:rPr>
            </w:pPr>
            <w:r w:rsidRPr="00470CE3">
              <w:rPr>
                <w:rFonts w:ascii="Calibri" w:hAnsi="Calibri" w:cs="Arial"/>
                <w:b/>
                <w:bCs/>
              </w:rPr>
              <w:t xml:space="preserve">Phone </w:t>
            </w:r>
          </w:p>
        </w:tc>
        <w:tc>
          <w:tcPr>
            <w:tcW w:w="2804" w:type="dxa"/>
            <w:shd w:val="clear" w:color="auto" w:fill="auto"/>
          </w:tcPr>
          <w:p w14:paraId="40833474" w14:textId="7B1C9FFE" w:rsidR="00A04217" w:rsidRPr="00470CE3" w:rsidRDefault="00976464" w:rsidP="006C2733">
            <w:pPr>
              <w:rPr>
                <w:rFonts w:ascii="Calibri" w:hAnsi="Calibri" w:cs="Arial"/>
              </w:rPr>
            </w:pPr>
            <w:r>
              <w:rPr>
                <w:rFonts w:ascii="Calibri" w:hAnsi="Calibri" w:cs="Arial"/>
              </w:rPr>
              <w:t>021 377 276</w:t>
            </w:r>
          </w:p>
        </w:tc>
        <w:tc>
          <w:tcPr>
            <w:tcW w:w="844" w:type="dxa"/>
            <w:shd w:val="clear" w:color="auto" w:fill="E6E6E6"/>
          </w:tcPr>
          <w:p w14:paraId="04802813" w14:textId="77777777" w:rsidR="00A04217" w:rsidRPr="00470CE3" w:rsidRDefault="00A04217" w:rsidP="006C2733">
            <w:pPr>
              <w:rPr>
                <w:rFonts w:ascii="Calibri" w:hAnsi="Calibri" w:cs="Arial"/>
                <w:b/>
              </w:rPr>
            </w:pPr>
            <w:r w:rsidRPr="00470CE3">
              <w:rPr>
                <w:rFonts w:ascii="Calibri" w:hAnsi="Calibri" w:cs="Arial"/>
                <w:b/>
              </w:rPr>
              <w:t>Email</w:t>
            </w:r>
          </w:p>
        </w:tc>
        <w:tc>
          <w:tcPr>
            <w:tcW w:w="4479" w:type="dxa"/>
            <w:gridSpan w:val="4"/>
            <w:shd w:val="clear" w:color="auto" w:fill="auto"/>
          </w:tcPr>
          <w:p w14:paraId="3F03A424" w14:textId="0F0398EA" w:rsidR="00A04217" w:rsidRPr="00470CE3" w:rsidRDefault="00976464" w:rsidP="006C2733">
            <w:pPr>
              <w:rPr>
                <w:rFonts w:ascii="Calibri" w:hAnsi="Calibri" w:cs="Arial"/>
              </w:rPr>
            </w:pPr>
            <w:r>
              <w:rPr>
                <w:rFonts w:ascii="Calibri" w:hAnsi="Calibri" w:cs="Arial"/>
              </w:rPr>
              <w:t>nick.lightfoot@middlemore.co.nz</w:t>
            </w:r>
          </w:p>
        </w:tc>
      </w:tr>
    </w:tbl>
    <w:p w14:paraId="14367248" w14:textId="77777777" w:rsidR="00976464" w:rsidRDefault="00976464" w:rsidP="006C2733">
      <w:pPr>
        <w:rPr>
          <w:rFonts w:ascii="Calibri" w:hAnsi="Calibri"/>
          <w:b/>
          <w:sz w:val="22"/>
          <w:szCs w:val="22"/>
          <w:lang w:val="en-NZ"/>
        </w:rPr>
      </w:pPr>
    </w:p>
    <w:tbl>
      <w:tblPr>
        <w:tblW w:w="10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2804"/>
        <w:gridCol w:w="844"/>
        <w:gridCol w:w="926"/>
        <w:gridCol w:w="1496"/>
        <w:gridCol w:w="748"/>
        <w:gridCol w:w="1309"/>
      </w:tblGrid>
      <w:tr w:rsidR="00976464" w:rsidRPr="00470CE3" w14:paraId="28D359AC" w14:textId="77777777" w:rsidTr="00D86E55">
        <w:tc>
          <w:tcPr>
            <w:tcW w:w="2158" w:type="dxa"/>
            <w:shd w:val="clear" w:color="auto" w:fill="E6E6E6"/>
          </w:tcPr>
          <w:p w14:paraId="6E1A1849" w14:textId="7384B010" w:rsidR="00976464" w:rsidRPr="00470CE3" w:rsidRDefault="00976464" w:rsidP="006C2733">
            <w:pPr>
              <w:rPr>
                <w:rFonts w:ascii="Calibri" w:hAnsi="Calibri" w:cs="Arial"/>
                <w:b/>
                <w:bCs/>
              </w:rPr>
            </w:pPr>
            <w:r w:rsidRPr="00470CE3">
              <w:rPr>
                <w:rFonts w:ascii="Calibri" w:hAnsi="Calibri" w:cs="Arial"/>
                <w:b/>
                <w:bCs/>
              </w:rPr>
              <w:t>(</w:t>
            </w:r>
            <w:r w:rsidR="006C2733">
              <w:rPr>
                <w:rFonts w:ascii="Calibri" w:hAnsi="Calibri" w:cs="Arial"/>
                <w:b/>
                <w:bCs/>
              </w:rPr>
              <w:t>2</w:t>
            </w:r>
            <w:r w:rsidRPr="00470CE3">
              <w:rPr>
                <w:rFonts w:ascii="Calibri" w:hAnsi="Calibri" w:cs="Arial"/>
                <w:b/>
                <w:bCs/>
              </w:rPr>
              <w:t xml:space="preserve">) Name   </w:t>
            </w:r>
          </w:p>
        </w:tc>
        <w:tc>
          <w:tcPr>
            <w:tcW w:w="6070" w:type="dxa"/>
            <w:gridSpan w:val="4"/>
            <w:shd w:val="clear" w:color="auto" w:fill="auto"/>
          </w:tcPr>
          <w:p w14:paraId="7A229C0E" w14:textId="0BBB761B" w:rsidR="00976464" w:rsidRPr="00470CE3" w:rsidRDefault="00976464" w:rsidP="006C2733">
            <w:pPr>
              <w:rPr>
                <w:rFonts w:ascii="Calibri" w:hAnsi="Calibri" w:cs="Arial"/>
              </w:rPr>
            </w:pPr>
            <w:r>
              <w:rPr>
                <w:rFonts w:ascii="Calibri" w:hAnsi="Calibri" w:cs="Arial"/>
              </w:rPr>
              <w:t xml:space="preserve">Adam </w:t>
            </w:r>
            <w:proofErr w:type="spellStart"/>
            <w:r>
              <w:rPr>
                <w:rFonts w:ascii="Calibri" w:hAnsi="Calibri" w:cs="Arial"/>
              </w:rPr>
              <w:t>Durrant</w:t>
            </w:r>
            <w:proofErr w:type="spellEnd"/>
          </w:p>
        </w:tc>
        <w:tc>
          <w:tcPr>
            <w:tcW w:w="748" w:type="dxa"/>
            <w:shd w:val="clear" w:color="auto" w:fill="E0E0E0"/>
          </w:tcPr>
          <w:p w14:paraId="1CC9C8E3" w14:textId="77777777" w:rsidR="00976464" w:rsidRPr="00470CE3" w:rsidRDefault="00976464" w:rsidP="006C2733">
            <w:pPr>
              <w:rPr>
                <w:rFonts w:ascii="Calibri" w:hAnsi="Calibri" w:cs="Arial"/>
                <w:b/>
              </w:rPr>
            </w:pPr>
            <w:r w:rsidRPr="00470CE3">
              <w:rPr>
                <w:rFonts w:ascii="Calibri" w:hAnsi="Calibri" w:cs="Arial"/>
                <w:b/>
              </w:rPr>
              <w:t>Title</w:t>
            </w:r>
          </w:p>
        </w:tc>
        <w:tc>
          <w:tcPr>
            <w:tcW w:w="1309" w:type="dxa"/>
            <w:shd w:val="clear" w:color="auto" w:fill="auto"/>
          </w:tcPr>
          <w:p w14:paraId="3854D099" w14:textId="01EA27C0" w:rsidR="00976464" w:rsidRPr="00470CE3" w:rsidRDefault="00976464" w:rsidP="006C2733">
            <w:pPr>
              <w:rPr>
                <w:rFonts w:ascii="Calibri" w:hAnsi="Calibri" w:cs="Arial"/>
              </w:rPr>
            </w:pPr>
            <w:r>
              <w:rPr>
                <w:rFonts w:ascii="Calibri" w:hAnsi="Calibri" w:cs="Arial"/>
              </w:rPr>
              <w:t>Dr</w:t>
            </w:r>
          </w:p>
        </w:tc>
      </w:tr>
      <w:tr w:rsidR="00976464" w:rsidRPr="00470CE3" w14:paraId="4708D66D" w14:textId="77777777" w:rsidTr="00D86E55">
        <w:tc>
          <w:tcPr>
            <w:tcW w:w="2158" w:type="dxa"/>
            <w:shd w:val="clear" w:color="auto" w:fill="E6E6E6"/>
          </w:tcPr>
          <w:p w14:paraId="4F23D807" w14:textId="77777777" w:rsidR="00976464" w:rsidRPr="00470CE3" w:rsidRDefault="00976464" w:rsidP="006C2733">
            <w:pPr>
              <w:rPr>
                <w:rFonts w:ascii="Calibri" w:hAnsi="Calibri" w:cs="Arial"/>
                <w:b/>
                <w:bCs/>
              </w:rPr>
            </w:pPr>
            <w:r w:rsidRPr="00470CE3">
              <w:rPr>
                <w:rFonts w:ascii="Calibri" w:hAnsi="Calibri" w:cs="Arial"/>
                <w:b/>
              </w:rPr>
              <w:t>Institution</w:t>
            </w:r>
          </w:p>
        </w:tc>
        <w:tc>
          <w:tcPr>
            <w:tcW w:w="2804" w:type="dxa"/>
            <w:shd w:val="clear" w:color="auto" w:fill="auto"/>
          </w:tcPr>
          <w:p w14:paraId="2D235564" w14:textId="77777777" w:rsidR="00976464" w:rsidRPr="00470CE3" w:rsidRDefault="00976464" w:rsidP="006C2733">
            <w:pPr>
              <w:rPr>
                <w:rFonts w:ascii="Calibri" w:hAnsi="Calibri" w:cs="Arial"/>
              </w:rPr>
            </w:pPr>
            <w:r>
              <w:rPr>
                <w:rFonts w:ascii="Calibri" w:hAnsi="Calibri" w:cs="Arial"/>
              </w:rPr>
              <w:t>Counties Manukau Health</w:t>
            </w:r>
          </w:p>
        </w:tc>
        <w:tc>
          <w:tcPr>
            <w:tcW w:w="1770" w:type="dxa"/>
            <w:gridSpan w:val="2"/>
            <w:shd w:val="clear" w:color="auto" w:fill="E6E6E6"/>
          </w:tcPr>
          <w:p w14:paraId="3F8FB6CB" w14:textId="77777777" w:rsidR="00976464" w:rsidRPr="00470CE3" w:rsidRDefault="00976464" w:rsidP="006C2733">
            <w:pPr>
              <w:rPr>
                <w:rFonts w:ascii="Calibri" w:hAnsi="Calibri" w:cs="Arial"/>
                <w:b/>
              </w:rPr>
            </w:pPr>
            <w:r w:rsidRPr="00470CE3">
              <w:rPr>
                <w:rFonts w:ascii="Calibri" w:hAnsi="Calibri" w:cs="Arial"/>
                <w:b/>
              </w:rPr>
              <w:t>Department</w:t>
            </w:r>
          </w:p>
        </w:tc>
        <w:tc>
          <w:tcPr>
            <w:tcW w:w="3553" w:type="dxa"/>
            <w:gridSpan w:val="3"/>
            <w:shd w:val="clear" w:color="auto" w:fill="auto"/>
          </w:tcPr>
          <w:p w14:paraId="309B0B2F" w14:textId="6A134FD2" w:rsidR="00976464" w:rsidRPr="00470CE3" w:rsidRDefault="00976464" w:rsidP="006C2733">
            <w:pPr>
              <w:rPr>
                <w:rFonts w:ascii="Calibri" w:hAnsi="Calibri" w:cs="Arial"/>
              </w:rPr>
            </w:pPr>
            <w:r>
              <w:rPr>
                <w:rFonts w:ascii="Calibri" w:hAnsi="Calibri" w:cs="Arial"/>
              </w:rPr>
              <w:t>Plastics and Hand Surgery</w:t>
            </w:r>
          </w:p>
        </w:tc>
      </w:tr>
      <w:tr w:rsidR="00976464" w:rsidRPr="00470CE3" w14:paraId="2ADA4E72" w14:textId="77777777" w:rsidTr="00D86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14:paraId="3916F0F6" w14:textId="77777777" w:rsidR="00976464" w:rsidRPr="00470CE3" w:rsidRDefault="00976464" w:rsidP="006C2733">
            <w:pPr>
              <w:rPr>
                <w:rFonts w:ascii="Calibri" w:hAnsi="Calibri" w:cs="Arial"/>
                <w:b/>
                <w:bCs/>
              </w:rPr>
            </w:pPr>
            <w:r w:rsidRPr="00470CE3">
              <w:rPr>
                <w:rFonts w:ascii="Calibri" w:hAnsi="Calibri" w:cs="Arial"/>
                <w:b/>
                <w:bCs/>
              </w:rPr>
              <w:t xml:space="preserve">Phone </w:t>
            </w:r>
          </w:p>
        </w:tc>
        <w:tc>
          <w:tcPr>
            <w:tcW w:w="2804" w:type="dxa"/>
            <w:shd w:val="clear" w:color="auto" w:fill="auto"/>
          </w:tcPr>
          <w:p w14:paraId="4026CD48" w14:textId="1D605BA6" w:rsidR="00976464" w:rsidRPr="00470CE3" w:rsidRDefault="00976464" w:rsidP="006C2733">
            <w:pPr>
              <w:rPr>
                <w:rFonts w:ascii="Calibri" w:hAnsi="Calibri" w:cs="Arial"/>
              </w:rPr>
            </w:pPr>
            <w:r>
              <w:rPr>
                <w:rFonts w:ascii="Calibri" w:hAnsi="Calibri" w:cs="Arial"/>
              </w:rPr>
              <w:t>021 896 957</w:t>
            </w:r>
          </w:p>
        </w:tc>
        <w:tc>
          <w:tcPr>
            <w:tcW w:w="844" w:type="dxa"/>
            <w:shd w:val="clear" w:color="auto" w:fill="E6E6E6"/>
          </w:tcPr>
          <w:p w14:paraId="2B9E1AAD" w14:textId="77777777" w:rsidR="00976464" w:rsidRPr="00470CE3" w:rsidRDefault="00976464" w:rsidP="006C2733">
            <w:pPr>
              <w:rPr>
                <w:rFonts w:ascii="Calibri" w:hAnsi="Calibri" w:cs="Arial"/>
                <w:b/>
              </w:rPr>
            </w:pPr>
            <w:r w:rsidRPr="00470CE3">
              <w:rPr>
                <w:rFonts w:ascii="Calibri" w:hAnsi="Calibri" w:cs="Arial"/>
                <w:b/>
              </w:rPr>
              <w:t>Email</w:t>
            </w:r>
          </w:p>
        </w:tc>
        <w:tc>
          <w:tcPr>
            <w:tcW w:w="4479" w:type="dxa"/>
            <w:gridSpan w:val="4"/>
            <w:shd w:val="clear" w:color="auto" w:fill="auto"/>
          </w:tcPr>
          <w:p w14:paraId="131BC17B" w14:textId="362FFD40" w:rsidR="00976464" w:rsidRPr="00470CE3" w:rsidRDefault="00976464" w:rsidP="006C2733">
            <w:pPr>
              <w:rPr>
                <w:rFonts w:ascii="Calibri" w:hAnsi="Calibri" w:cs="Arial"/>
              </w:rPr>
            </w:pPr>
            <w:r>
              <w:rPr>
                <w:rFonts w:ascii="Calibri" w:hAnsi="Calibri" w:cs="Arial"/>
              </w:rPr>
              <w:t>adam.durrant@middlemore.co.nz</w:t>
            </w:r>
          </w:p>
        </w:tc>
      </w:tr>
    </w:tbl>
    <w:p w14:paraId="58D4930C" w14:textId="54EF4B4D" w:rsidR="00976464" w:rsidRDefault="00976464" w:rsidP="006C2733">
      <w:pPr>
        <w:rPr>
          <w:rFonts w:ascii="Calibri" w:hAnsi="Calibri"/>
          <w:b/>
          <w:sz w:val="22"/>
          <w:szCs w:val="22"/>
          <w:lang w:val="en-NZ"/>
        </w:rPr>
      </w:pPr>
    </w:p>
    <w:tbl>
      <w:tblPr>
        <w:tblW w:w="10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2804"/>
        <w:gridCol w:w="844"/>
        <w:gridCol w:w="926"/>
        <w:gridCol w:w="1496"/>
        <w:gridCol w:w="748"/>
        <w:gridCol w:w="1309"/>
      </w:tblGrid>
      <w:tr w:rsidR="006C2733" w:rsidRPr="00470CE3" w14:paraId="058D364A" w14:textId="77777777" w:rsidTr="00C33592">
        <w:tc>
          <w:tcPr>
            <w:tcW w:w="2158" w:type="dxa"/>
            <w:shd w:val="clear" w:color="auto" w:fill="E6E6E6"/>
          </w:tcPr>
          <w:p w14:paraId="57F9B77D" w14:textId="2DB1B9A0" w:rsidR="006C2733" w:rsidRPr="00470CE3" w:rsidRDefault="006C2733" w:rsidP="006C2733">
            <w:pPr>
              <w:rPr>
                <w:rFonts w:ascii="Calibri" w:hAnsi="Calibri" w:cs="Arial"/>
                <w:b/>
                <w:bCs/>
              </w:rPr>
            </w:pPr>
            <w:r w:rsidRPr="00470CE3">
              <w:rPr>
                <w:rFonts w:ascii="Calibri" w:hAnsi="Calibri" w:cs="Arial"/>
                <w:b/>
                <w:bCs/>
              </w:rPr>
              <w:t>(</w:t>
            </w:r>
            <w:r>
              <w:rPr>
                <w:rFonts w:ascii="Calibri" w:hAnsi="Calibri" w:cs="Arial"/>
                <w:b/>
                <w:bCs/>
              </w:rPr>
              <w:t>3</w:t>
            </w:r>
            <w:r w:rsidRPr="00470CE3">
              <w:rPr>
                <w:rFonts w:ascii="Calibri" w:hAnsi="Calibri" w:cs="Arial"/>
                <w:b/>
                <w:bCs/>
              </w:rPr>
              <w:t xml:space="preserve">) Name   </w:t>
            </w:r>
          </w:p>
        </w:tc>
        <w:tc>
          <w:tcPr>
            <w:tcW w:w="6070" w:type="dxa"/>
            <w:gridSpan w:val="4"/>
            <w:shd w:val="clear" w:color="auto" w:fill="auto"/>
          </w:tcPr>
          <w:p w14:paraId="22010C0E" w14:textId="77777777" w:rsidR="006C2733" w:rsidRPr="00470CE3" w:rsidRDefault="006C2733" w:rsidP="006C2733">
            <w:pPr>
              <w:rPr>
                <w:rFonts w:ascii="Calibri" w:hAnsi="Calibri" w:cs="Arial"/>
              </w:rPr>
            </w:pPr>
            <w:r>
              <w:rPr>
                <w:rFonts w:ascii="Calibri" w:hAnsi="Calibri" w:cs="Arial"/>
              </w:rPr>
              <w:t>David Choi</w:t>
            </w:r>
          </w:p>
        </w:tc>
        <w:tc>
          <w:tcPr>
            <w:tcW w:w="748" w:type="dxa"/>
            <w:shd w:val="clear" w:color="auto" w:fill="E0E0E0"/>
          </w:tcPr>
          <w:p w14:paraId="1D38402B" w14:textId="77777777" w:rsidR="006C2733" w:rsidRPr="00470CE3" w:rsidRDefault="006C2733" w:rsidP="006C2733">
            <w:pPr>
              <w:rPr>
                <w:rFonts w:ascii="Calibri" w:hAnsi="Calibri" w:cs="Arial"/>
                <w:b/>
              </w:rPr>
            </w:pPr>
            <w:r w:rsidRPr="00470CE3">
              <w:rPr>
                <w:rFonts w:ascii="Calibri" w:hAnsi="Calibri" w:cs="Arial"/>
                <w:b/>
              </w:rPr>
              <w:t>Title</w:t>
            </w:r>
          </w:p>
        </w:tc>
        <w:tc>
          <w:tcPr>
            <w:tcW w:w="1309" w:type="dxa"/>
            <w:shd w:val="clear" w:color="auto" w:fill="auto"/>
          </w:tcPr>
          <w:p w14:paraId="00F30180" w14:textId="1FE52E5A" w:rsidR="006C2733" w:rsidRPr="00470CE3" w:rsidRDefault="006C2733" w:rsidP="006C2733">
            <w:pPr>
              <w:rPr>
                <w:rFonts w:ascii="Calibri" w:hAnsi="Calibri" w:cs="Arial"/>
              </w:rPr>
            </w:pPr>
            <w:r>
              <w:rPr>
                <w:rFonts w:ascii="Calibri" w:hAnsi="Calibri" w:cs="Arial"/>
              </w:rPr>
              <w:t>Dr</w:t>
            </w:r>
          </w:p>
        </w:tc>
      </w:tr>
      <w:tr w:rsidR="006C2733" w:rsidRPr="00470CE3" w14:paraId="711771A6" w14:textId="77777777" w:rsidTr="00C33592">
        <w:tc>
          <w:tcPr>
            <w:tcW w:w="2158" w:type="dxa"/>
            <w:shd w:val="clear" w:color="auto" w:fill="E6E6E6"/>
          </w:tcPr>
          <w:p w14:paraId="15685D80" w14:textId="77777777" w:rsidR="006C2733" w:rsidRPr="00470CE3" w:rsidRDefault="006C2733" w:rsidP="006C2733">
            <w:pPr>
              <w:rPr>
                <w:rFonts w:ascii="Calibri" w:hAnsi="Calibri" w:cs="Arial"/>
                <w:b/>
                <w:bCs/>
              </w:rPr>
            </w:pPr>
            <w:r w:rsidRPr="00470CE3">
              <w:rPr>
                <w:rFonts w:ascii="Calibri" w:hAnsi="Calibri" w:cs="Arial"/>
                <w:b/>
              </w:rPr>
              <w:t>Institution</w:t>
            </w:r>
          </w:p>
        </w:tc>
        <w:tc>
          <w:tcPr>
            <w:tcW w:w="2804" w:type="dxa"/>
            <w:shd w:val="clear" w:color="auto" w:fill="auto"/>
          </w:tcPr>
          <w:p w14:paraId="5FD7A157" w14:textId="77777777" w:rsidR="006C2733" w:rsidRPr="00470CE3" w:rsidRDefault="006C2733" w:rsidP="006C2733">
            <w:pPr>
              <w:rPr>
                <w:rFonts w:ascii="Calibri" w:hAnsi="Calibri" w:cs="Arial"/>
              </w:rPr>
            </w:pPr>
            <w:r>
              <w:rPr>
                <w:rFonts w:ascii="Calibri" w:hAnsi="Calibri" w:cs="Arial"/>
              </w:rPr>
              <w:t>Counties Manukau Health</w:t>
            </w:r>
          </w:p>
        </w:tc>
        <w:tc>
          <w:tcPr>
            <w:tcW w:w="1770" w:type="dxa"/>
            <w:gridSpan w:val="2"/>
            <w:shd w:val="clear" w:color="auto" w:fill="E6E6E6"/>
          </w:tcPr>
          <w:p w14:paraId="6E557D1F" w14:textId="77777777" w:rsidR="006C2733" w:rsidRPr="00470CE3" w:rsidRDefault="006C2733" w:rsidP="006C2733">
            <w:pPr>
              <w:rPr>
                <w:rFonts w:ascii="Calibri" w:hAnsi="Calibri" w:cs="Arial"/>
                <w:b/>
              </w:rPr>
            </w:pPr>
            <w:r w:rsidRPr="00470CE3">
              <w:rPr>
                <w:rFonts w:ascii="Calibri" w:hAnsi="Calibri" w:cs="Arial"/>
                <w:b/>
              </w:rPr>
              <w:t>Department</w:t>
            </w:r>
          </w:p>
        </w:tc>
        <w:tc>
          <w:tcPr>
            <w:tcW w:w="3553" w:type="dxa"/>
            <w:gridSpan w:val="3"/>
            <w:shd w:val="clear" w:color="auto" w:fill="auto"/>
          </w:tcPr>
          <w:p w14:paraId="0DE6FA27" w14:textId="74669EC0" w:rsidR="006C2733" w:rsidRPr="00470CE3" w:rsidRDefault="006C2733" w:rsidP="006C2733">
            <w:pPr>
              <w:rPr>
                <w:rFonts w:ascii="Calibri" w:hAnsi="Calibri" w:cs="Arial"/>
              </w:rPr>
            </w:pPr>
            <w:r>
              <w:rPr>
                <w:rFonts w:ascii="Calibri" w:hAnsi="Calibri" w:cs="Arial"/>
              </w:rPr>
              <w:t>Anaesthesia and Pain Medicine</w:t>
            </w:r>
          </w:p>
        </w:tc>
      </w:tr>
      <w:tr w:rsidR="006C2733" w:rsidRPr="00470CE3" w14:paraId="3B2F7DF8" w14:textId="77777777" w:rsidTr="00C33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14:paraId="2B6FD216" w14:textId="77777777" w:rsidR="006C2733" w:rsidRPr="00470CE3" w:rsidRDefault="006C2733" w:rsidP="006C2733">
            <w:pPr>
              <w:rPr>
                <w:rFonts w:ascii="Calibri" w:hAnsi="Calibri" w:cs="Arial"/>
                <w:b/>
                <w:bCs/>
              </w:rPr>
            </w:pPr>
            <w:r w:rsidRPr="00470CE3">
              <w:rPr>
                <w:rFonts w:ascii="Calibri" w:hAnsi="Calibri" w:cs="Arial"/>
                <w:b/>
                <w:bCs/>
              </w:rPr>
              <w:t xml:space="preserve">Phone </w:t>
            </w:r>
          </w:p>
        </w:tc>
        <w:tc>
          <w:tcPr>
            <w:tcW w:w="2804" w:type="dxa"/>
            <w:shd w:val="clear" w:color="auto" w:fill="auto"/>
          </w:tcPr>
          <w:p w14:paraId="7BDB554E" w14:textId="77777777" w:rsidR="006C2733" w:rsidRPr="00470CE3" w:rsidRDefault="006C2733" w:rsidP="006C2733">
            <w:pPr>
              <w:rPr>
                <w:rFonts w:ascii="Calibri" w:hAnsi="Calibri" w:cs="Arial"/>
              </w:rPr>
            </w:pPr>
            <w:r>
              <w:rPr>
                <w:rFonts w:ascii="Calibri" w:hAnsi="Calibri" w:cs="Arial"/>
              </w:rPr>
              <w:t>021 022 12621</w:t>
            </w:r>
          </w:p>
        </w:tc>
        <w:tc>
          <w:tcPr>
            <w:tcW w:w="844" w:type="dxa"/>
            <w:shd w:val="clear" w:color="auto" w:fill="E6E6E6"/>
          </w:tcPr>
          <w:p w14:paraId="28647DD5" w14:textId="77777777" w:rsidR="006C2733" w:rsidRPr="00470CE3" w:rsidRDefault="006C2733" w:rsidP="006C2733">
            <w:pPr>
              <w:rPr>
                <w:rFonts w:ascii="Calibri" w:hAnsi="Calibri" w:cs="Arial"/>
                <w:b/>
              </w:rPr>
            </w:pPr>
            <w:r w:rsidRPr="00470CE3">
              <w:rPr>
                <w:rFonts w:ascii="Calibri" w:hAnsi="Calibri" w:cs="Arial"/>
                <w:b/>
              </w:rPr>
              <w:t>Email</w:t>
            </w:r>
          </w:p>
        </w:tc>
        <w:tc>
          <w:tcPr>
            <w:tcW w:w="4479" w:type="dxa"/>
            <w:gridSpan w:val="4"/>
            <w:shd w:val="clear" w:color="auto" w:fill="auto"/>
          </w:tcPr>
          <w:p w14:paraId="49DCEAFB" w14:textId="4FAB2992" w:rsidR="006C2733" w:rsidRPr="00470CE3" w:rsidRDefault="006C2733" w:rsidP="006C2733">
            <w:pPr>
              <w:rPr>
                <w:rFonts w:ascii="Calibri" w:hAnsi="Calibri" w:cs="Arial"/>
              </w:rPr>
            </w:pPr>
            <w:r>
              <w:rPr>
                <w:rFonts w:ascii="Calibri" w:hAnsi="Calibri" w:cs="Arial"/>
              </w:rPr>
              <w:t>david.choi</w:t>
            </w:r>
            <w:r>
              <w:rPr>
                <w:rFonts w:ascii="Calibri" w:hAnsi="Calibri" w:cs="Arial"/>
              </w:rPr>
              <w:t>@middlemore.co.nz</w:t>
            </w:r>
          </w:p>
        </w:tc>
      </w:tr>
    </w:tbl>
    <w:p w14:paraId="7B28B3BE" w14:textId="63847A01" w:rsidR="006C2733" w:rsidRDefault="006C2733" w:rsidP="006C2733">
      <w:pPr>
        <w:rPr>
          <w:rFonts w:ascii="Calibri" w:hAnsi="Calibri"/>
          <w:b/>
          <w:sz w:val="22"/>
          <w:szCs w:val="22"/>
          <w:lang w:val="en-NZ"/>
        </w:rPr>
      </w:pPr>
    </w:p>
    <w:p w14:paraId="6C496D79" w14:textId="77777777" w:rsidR="006C2733" w:rsidRDefault="006C2733" w:rsidP="006C2733">
      <w:pPr>
        <w:rPr>
          <w:rFonts w:ascii="Calibri" w:hAnsi="Calibri"/>
          <w:b/>
          <w:sz w:val="22"/>
          <w:szCs w:val="22"/>
          <w:lang w:val="en-NZ"/>
        </w:rPr>
      </w:pPr>
    </w:p>
    <w:tbl>
      <w:tblPr>
        <w:tblW w:w="10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2804"/>
        <w:gridCol w:w="844"/>
        <w:gridCol w:w="926"/>
        <w:gridCol w:w="1496"/>
        <w:gridCol w:w="748"/>
        <w:gridCol w:w="1309"/>
      </w:tblGrid>
      <w:tr w:rsidR="00976464" w:rsidRPr="00470CE3" w14:paraId="731F5D07" w14:textId="77777777" w:rsidTr="00D86E55">
        <w:tc>
          <w:tcPr>
            <w:tcW w:w="2158" w:type="dxa"/>
            <w:shd w:val="clear" w:color="auto" w:fill="E6E6E6"/>
          </w:tcPr>
          <w:p w14:paraId="7DA98DE0" w14:textId="07D38DA5" w:rsidR="00976464" w:rsidRPr="00470CE3" w:rsidRDefault="00976464" w:rsidP="006C2733">
            <w:pPr>
              <w:rPr>
                <w:rFonts w:ascii="Calibri" w:hAnsi="Calibri" w:cs="Arial"/>
                <w:b/>
                <w:bCs/>
              </w:rPr>
            </w:pPr>
            <w:r w:rsidRPr="00470CE3">
              <w:rPr>
                <w:rFonts w:ascii="Calibri" w:hAnsi="Calibri" w:cs="Arial"/>
                <w:b/>
                <w:bCs/>
              </w:rPr>
              <w:t>(</w:t>
            </w:r>
            <w:r w:rsidR="006C2733">
              <w:rPr>
                <w:rFonts w:ascii="Calibri" w:hAnsi="Calibri" w:cs="Arial"/>
                <w:b/>
                <w:bCs/>
              </w:rPr>
              <w:t>4</w:t>
            </w:r>
            <w:r w:rsidRPr="00470CE3">
              <w:rPr>
                <w:rFonts w:ascii="Calibri" w:hAnsi="Calibri" w:cs="Arial"/>
                <w:b/>
                <w:bCs/>
              </w:rPr>
              <w:t xml:space="preserve">) Name   </w:t>
            </w:r>
          </w:p>
        </w:tc>
        <w:tc>
          <w:tcPr>
            <w:tcW w:w="6070" w:type="dxa"/>
            <w:gridSpan w:val="4"/>
            <w:shd w:val="clear" w:color="auto" w:fill="auto"/>
          </w:tcPr>
          <w:p w14:paraId="6CB4D464" w14:textId="4F6CC27F" w:rsidR="00976464" w:rsidRPr="00470CE3" w:rsidRDefault="006C2733" w:rsidP="006C2733">
            <w:pPr>
              <w:rPr>
                <w:rFonts w:ascii="Calibri" w:hAnsi="Calibri" w:cs="Arial"/>
              </w:rPr>
            </w:pPr>
            <w:r>
              <w:rPr>
                <w:rFonts w:ascii="Calibri" w:hAnsi="Calibri" w:cs="Arial"/>
              </w:rPr>
              <w:t>Jennifer Stephens</w:t>
            </w:r>
          </w:p>
        </w:tc>
        <w:tc>
          <w:tcPr>
            <w:tcW w:w="748" w:type="dxa"/>
            <w:shd w:val="clear" w:color="auto" w:fill="E0E0E0"/>
          </w:tcPr>
          <w:p w14:paraId="7044F0A5" w14:textId="77777777" w:rsidR="00976464" w:rsidRPr="00470CE3" w:rsidRDefault="00976464" w:rsidP="006C2733">
            <w:pPr>
              <w:rPr>
                <w:rFonts w:ascii="Calibri" w:hAnsi="Calibri" w:cs="Arial"/>
                <w:b/>
              </w:rPr>
            </w:pPr>
            <w:r w:rsidRPr="00470CE3">
              <w:rPr>
                <w:rFonts w:ascii="Calibri" w:hAnsi="Calibri" w:cs="Arial"/>
                <w:b/>
              </w:rPr>
              <w:t>Title</w:t>
            </w:r>
          </w:p>
        </w:tc>
        <w:tc>
          <w:tcPr>
            <w:tcW w:w="1309" w:type="dxa"/>
            <w:shd w:val="clear" w:color="auto" w:fill="auto"/>
          </w:tcPr>
          <w:p w14:paraId="28918EC8" w14:textId="241834B8" w:rsidR="00976464" w:rsidRPr="00470CE3" w:rsidRDefault="00976464" w:rsidP="006C2733">
            <w:pPr>
              <w:rPr>
                <w:rFonts w:ascii="Calibri" w:hAnsi="Calibri" w:cs="Arial"/>
              </w:rPr>
            </w:pPr>
            <w:r>
              <w:rPr>
                <w:rFonts w:ascii="Calibri" w:hAnsi="Calibri" w:cs="Arial"/>
              </w:rPr>
              <w:t>Dr</w:t>
            </w:r>
          </w:p>
        </w:tc>
      </w:tr>
      <w:tr w:rsidR="00976464" w:rsidRPr="00470CE3" w14:paraId="64006C88" w14:textId="77777777" w:rsidTr="00D86E55">
        <w:tc>
          <w:tcPr>
            <w:tcW w:w="2158" w:type="dxa"/>
            <w:shd w:val="clear" w:color="auto" w:fill="E6E6E6"/>
          </w:tcPr>
          <w:p w14:paraId="1540D599" w14:textId="77777777" w:rsidR="00976464" w:rsidRPr="00470CE3" w:rsidRDefault="00976464" w:rsidP="006C2733">
            <w:pPr>
              <w:rPr>
                <w:rFonts w:ascii="Calibri" w:hAnsi="Calibri" w:cs="Arial"/>
                <w:b/>
                <w:bCs/>
              </w:rPr>
            </w:pPr>
            <w:r w:rsidRPr="00470CE3">
              <w:rPr>
                <w:rFonts w:ascii="Calibri" w:hAnsi="Calibri" w:cs="Arial"/>
                <w:b/>
              </w:rPr>
              <w:t>Institution</w:t>
            </w:r>
          </w:p>
        </w:tc>
        <w:tc>
          <w:tcPr>
            <w:tcW w:w="2804" w:type="dxa"/>
            <w:shd w:val="clear" w:color="auto" w:fill="auto"/>
          </w:tcPr>
          <w:p w14:paraId="734F1264" w14:textId="77777777" w:rsidR="00976464" w:rsidRPr="00470CE3" w:rsidRDefault="00976464" w:rsidP="006C2733">
            <w:pPr>
              <w:rPr>
                <w:rFonts w:ascii="Calibri" w:hAnsi="Calibri" w:cs="Arial"/>
              </w:rPr>
            </w:pPr>
            <w:r>
              <w:rPr>
                <w:rFonts w:ascii="Calibri" w:hAnsi="Calibri" w:cs="Arial"/>
              </w:rPr>
              <w:t>Counties Manukau Health</w:t>
            </w:r>
          </w:p>
        </w:tc>
        <w:tc>
          <w:tcPr>
            <w:tcW w:w="1770" w:type="dxa"/>
            <w:gridSpan w:val="2"/>
            <w:shd w:val="clear" w:color="auto" w:fill="E6E6E6"/>
          </w:tcPr>
          <w:p w14:paraId="3B816EEE" w14:textId="77777777" w:rsidR="00976464" w:rsidRPr="00470CE3" w:rsidRDefault="00976464" w:rsidP="006C2733">
            <w:pPr>
              <w:rPr>
                <w:rFonts w:ascii="Calibri" w:hAnsi="Calibri" w:cs="Arial"/>
                <w:b/>
              </w:rPr>
            </w:pPr>
            <w:r w:rsidRPr="00470CE3">
              <w:rPr>
                <w:rFonts w:ascii="Calibri" w:hAnsi="Calibri" w:cs="Arial"/>
                <w:b/>
              </w:rPr>
              <w:t>Department</w:t>
            </w:r>
          </w:p>
        </w:tc>
        <w:tc>
          <w:tcPr>
            <w:tcW w:w="3553" w:type="dxa"/>
            <w:gridSpan w:val="3"/>
            <w:shd w:val="clear" w:color="auto" w:fill="auto"/>
          </w:tcPr>
          <w:p w14:paraId="05AD4A1A" w14:textId="0D6984CC" w:rsidR="00976464" w:rsidRPr="00470CE3" w:rsidRDefault="00976464" w:rsidP="006C2733">
            <w:pPr>
              <w:rPr>
                <w:rFonts w:ascii="Calibri" w:hAnsi="Calibri" w:cs="Arial"/>
              </w:rPr>
            </w:pPr>
            <w:r>
              <w:rPr>
                <w:rFonts w:ascii="Calibri" w:hAnsi="Calibri" w:cs="Arial"/>
              </w:rPr>
              <w:t>Anaesthesia and Pain Medicine</w:t>
            </w:r>
          </w:p>
        </w:tc>
      </w:tr>
      <w:tr w:rsidR="00976464" w:rsidRPr="00470CE3" w14:paraId="7416FBE9" w14:textId="77777777" w:rsidTr="00D86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14:paraId="7F509A3C" w14:textId="77777777" w:rsidR="00976464" w:rsidRPr="00470CE3" w:rsidRDefault="00976464" w:rsidP="006C2733">
            <w:pPr>
              <w:rPr>
                <w:rFonts w:ascii="Calibri" w:hAnsi="Calibri" w:cs="Arial"/>
                <w:b/>
                <w:bCs/>
              </w:rPr>
            </w:pPr>
            <w:r w:rsidRPr="00470CE3">
              <w:rPr>
                <w:rFonts w:ascii="Calibri" w:hAnsi="Calibri" w:cs="Arial"/>
                <w:b/>
                <w:bCs/>
              </w:rPr>
              <w:t xml:space="preserve">Phone </w:t>
            </w:r>
          </w:p>
        </w:tc>
        <w:tc>
          <w:tcPr>
            <w:tcW w:w="2804" w:type="dxa"/>
            <w:shd w:val="clear" w:color="auto" w:fill="auto"/>
          </w:tcPr>
          <w:p w14:paraId="5239E12A" w14:textId="550B929D" w:rsidR="00976464" w:rsidRPr="00470CE3" w:rsidRDefault="00976464" w:rsidP="006C2733">
            <w:pPr>
              <w:rPr>
                <w:rFonts w:ascii="Calibri" w:hAnsi="Calibri" w:cs="Arial"/>
              </w:rPr>
            </w:pPr>
            <w:r>
              <w:rPr>
                <w:rFonts w:ascii="Calibri" w:hAnsi="Calibri" w:cs="Arial"/>
              </w:rPr>
              <w:t xml:space="preserve">021 </w:t>
            </w:r>
            <w:r w:rsidR="006C2733">
              <w:rPr>
                <w:rFonts w:ascii="Calibri" w:hAnsi="Calibri" w:cs="Arial"/>
              </w:rPr>
              <w:t>1486420</w:t>
            </w:r>
          </w:p>
        </w:tc>
        <w:tc>
          <w:tcPr>
            <w:tcW w:w="844" w:type="dxa"/>
            <w:shd w:val="clear" w:color="auto" w:fill="E6E6E6"/>
          </w:tcPr>
          <w:p w14:paraId="117FDB5B" w14:textId="77777777" w:rsidR="00976464" w:rsidRPr="00470CE3" w:rsidRDefault="00976464" w:rsidP="006C2733">
            <w:pPr>
              <w:rPr>
                <w:rFonts w:ascii="Calibri" w:hAnsi="Calibri" w:cs="Arial"/>
                <w:b/>
              </w:rPr>
            </w:pPr>
            <w:r w:rsidRPr="00470CE3">
              <w:rPr>
                <w:rFonts w:ascii="Calibri" w:hAnsi="Calibri" w:cs="Arial"/>
                <w:b/>
              </w:rPr>
              <w:t>Email</w:t>
            </w:r>
          </w:p>
        </w:tc>
        <w:tc>
          <w:tcPr>
            <w:tcW w:w="4479" w:type="dxa"/>
            <w:gridSpan w:val="4"/>
            <w:shd w:val="clear" w:color="auto" w:fill="auto"/>
          </w:tcPr>
          <w:p w14:paraId="660F4D57" w14:textId="59EDA897" w:rsidR="00976464" w:rsidRPr="00470CE3" w:rsidRDefault="006C2733" w:rsidP="006C2733">
            <w:pPr>
              <w:rPr>
                <w:rFonts w:ascii="Calibri" w:hAnsi="Calibri" w:cs="Arial"/>
              </w:rPr>
            </w:pPr>
            <w:r>
              <w:rPr>
                <w:rFonts w:ascii="Calibri" w:hAnsi="Calibri" w:cs="Arial"/>
              </w:rPr>
              <w:t>jen.stephens</w:t>
            </w:r>
            <w:r w:rsidR="00976464">
              <w:rPr>
                <w:rFonts w:ascii="Calibri" w:hAnsi="Calibri" w:cs="Arial"/>
              </w:rPr>
              <w:t>@middlemore.co.nz</w:t>
            </w:r>
          </w:p>
        </w:tc>
      </w:tr>
    </w:tbl>
    <w:p w14:paraId="447A2870" w14:textId="77777777" w:rsidR="00004AF9" w:rsidRDefault="00004AF9" w:rsidP="006C2733">
      <w:pPr>
        <w:rPr>
          <w:rFonts w:ascii="Calibri" w:hAnsi="Calibri" w:cs="Arial"/>
          <w:i/>
          <w:sz w:val="22"/>
          <w:szCs w:val="22"/>
        </w:rPr>
      </w:pPr>
    </w:p>
    <w:p w14:paraId="3530D3EF" w14:textId="77777777" w:rsidR="00CF4AAA" w:rsidRDefault="00CF4AAA" w:rsidP="00A04217">
      <w:pPr>
        <w:spacing w:before="120"/>
        <w:rPr>
          <w:rFonts w:asciiTheme="minorHAnsi" w:hAnsiTheme="minorHAnsi" w:cstheme="minorHAnsi"/>
          <w:b/>
          <w:i/>
          <w:lang w:val="en-NZ"/>
        </w:rPr>
      </w:pPr>
    </w:p>
    <w:p w14:paraId="71B6B238" w14:textId="77777777" w:rsidR="00CF4AAA" w:rsidRDefault="00CF4AAA" w:rsidP="00A04217">
      <w:pPr>
        <w:spacing w:before="120"/>
        <w:rPr>
          <w:rFonts w:asciiTheme="minorHAnsi" w:hAnsiTheme="minorHAnsi" w:cstheme="minorHAnsi"/>
          <w:b/>
          <w:i/>
          <w:lang w:val="en-NZ"/>
        </w:rPr>
      </w:pPr>
    </w:p>
    <w:p w14:paraId="15A3ADBB" w14:textId="77777777" w:rsidR="00CF4AAA" w:rsidRDefault="00CF4AAA" w:rsidP="00A04217">
      <w:pPr>
        <w:spacing w:before="120"/>
        <w:rPr>
          <w:rFonts w:asciiTheme="minorHAnsi" w:hAnsiTheme="minorHAnsi" w:cstheme="minorHAnsi"/>
          <w:b/>
          <w:i/>
          <w:lang w:val="en-NZ"/>
        </w:rPr>
      </w:pPr>
    </w:p>
    <w:p w14:paraId="6DF25CC9" w14:textId="77777777" w:rsidR="00CF4AAA" w:rsidRDefault="00CF4AAA" w:rsidP="00A04217">
      <w:pPr>
        <w:spacing w:before="120"/>
        <w:rPr>
          <w:rFonts w:asciiTheme="minorHAnsi" w:hAnsiTheme="minorHAnsi" w:cstheme="minorHAnsi"/>
          <w:b/>
          <w:i/>
          <w:lang w:val="en-NZ"/>
        </w:rPr>
      </w:pPr>
    </w:p>
    <w:p w14:paraId="42E69A2E" w14:textId="77777777" w:rsidR="00CF4AAA" w:rsidRDefault="00CF4AAA" w:rsidP="00A04217">
      <w:pPr>
        <w:spacing w:before="120"/>
        <w:rPr>
          <w:rFonts w:asciiTheme="minorHAnsi" w:hAnsiTheme="minorHAnsi" w:cstheme="minorHAnsi"/>
          <w:b/>
          <w:i/>
          <w:lang w:val="en-NZ"/>
        </w:rPr>
      </w:pPr>
    </w:p>
    <w:p w14:paraId="0B2C0F71" w14:textId="77777777" w:rsidR="00CF4AAA" w:rsidRDefault="00CF4AAA" w:rsidP="00A04217">
      <w:pPr>
        <w:spacing w:before="120"/>
        <w:rPr>
          <w:rFonts w:asciiTheme="minorHAnsi" w:hAnsiTheme="minorHAnsi" w:cstheme="minorHAnsi"/>
          <w:b/>
          <w:i/>
          <w:lang w:val="en-NZ"/>
        </w:rPr>
      </w:pPr>
    </w:p>
    <w:p w14:paraId="5AF472AF" w14:textId="77777777" w:rsidR="00CF4AAA" w:rsidRDefault="00CF4AAA" w:rsidP="00A04217">
      <w:pPr>
        <w:spacing w:before="120"/>
        <w:rPr>
          <w:rFonts w:asciiTheme="minorHAnsi" w:hAnsiTheme="minorHAnsi" w:cstheme="minorHAnsi"/>
          <w:b/>
          <w:i/>
          <w:lang w:val="en-NZ"/>
        </w:rPr>
      </w:pPr>
    </w:p>
    <w:p w14:paraId="473D3673" w14:textId="34592530" w:rsidR="00A04217" w:rsidRPr="00F11D2E" w:rsidRDefault="00A04217" w:rsidP="00A04217">
      <w:pPr>
        <w:spacing w:before="120"/>
        <w:rPr>
          <w:rFonts w:asciiTheme="minorHAnsi" w:hAnsiTheme="minorHAnsi" w:cstheme="minorHAnsi"/>
          <w:i/>
          <w:lang w:val="en-NZ"/>
        </w:rPr>
      </w:pPr>
      <w:r w:rsidRPr="00F11D2E">
        <w:rPr>
          <w:rFonts w:asciiTheme="minorHAnsi" w:hAnsiTheme="minorHAnsi" w:cstheme="minorHAnsi"/>
          <w:b/>
          <w:i/>
          <w:lang w:val="en-NZ"/>
        </w:rPr>
        <w:t>A) Project summary / Abstract</w:t>
      </w:r>
    </w:p>
    <w:p w14:paraId="4D102C1D" w14:textId="77777777" w:rsidR="00F15BF9" w:rsidRPr="00F11D2E" w:rsidRDefault="00F15BF9" w:rsidP="00A04217">
      <w:pPr>
        <w:spacing w:before="120"/>
        <w:rPr>
          <w:rFonts w:asciiTheme="minorHAnsi" w:hAnsiTheme="minorHAnsi" w:cstheme="minorHAnsi"/>
          <w:b/>
          <w:i/>
          <w:lang w:val="en-NZ"/>
        </w:rPr>
      </w:pPr>
    </w:p>
    <w:p w14:paraId="637D60E8" w14:textId="77777777" w:rsidR="00F15BF9" w:rsidRPr="00F11D2E" w:rsidRDefault="00F15BF9" w:rsidP="00F15BF9">
      <w:pPr>
        <w:rPr>
          <w:rFonts w:asciiTheme="minorHAnsi" w:hAnsiTheme="minorHAnsi" w:cstheme="minorHAnsi"/>
          <w:lang w:val="en-AU"/>
        </w:rPr>
      </w:pPr>
      <w:r w:rsidRPr="00F11D2E">
        <w:rPr>
          <w:rFonts w:asciiTheme="minorHAnsi" w:hAnsiTheme="minorHAnsi" w:cstheme="minorHAnsi"/>
          <w:lang w:val="en-AU"/>
        </w:rPr>
        <w:t>Data from observational series suggests that ventilatory strategy may affect cerebral oxygenation during shoulder surgery in the beach chair (sitting) position.</w:t>
      </w:r>
      <w:r w:rsidRPr="00F11D2E">
        <w:rPr>
          <w:rStyle w:val="EndnoteReference"/>
          <w:rFonts w:asciiTheme="minorHAnsi" w:hAnsiTheme="minorHAnsi" w:cstheme="minorHAnsi"/>
          <w:lang w:val="en-AU"/>
        </w:rPr>
        <w:endnoteReference w:id="1"/>
      </w:r>
      <w:r w:rsidRPr="00F11D2E">
        <w:rPr>
          <w:rFonts w:asciiTheme="minorHAnsi" w:hAnsiTheme="minorHAnsi" w:cstheme="minorHAnsi"/>
          <w:vertAlign w:val="superscript"/>
          <w:lang w:val="en-AU"/>
        </w:rPr>
        <w:t>,</w:t>
      </w:r>
      <w:r w:rsidRPr="00F11D2E">
        <w:rPr>
          <w:rStyle w:val="EndnoteReference"/>
          <w:rFonts w:asciiTheme="minorHAnsi" w:hAnsiTheme="minorHAnsi" w:cstheme="minorHAnsi"/>
          <w:lang w:val="en-AU"/>
        </w:rPr>
        <w:endnoteReference w:id="2"/>
      </w:r>
      <w:r w:rsidRPr="00F11D2E">
        <w:rPr>
          <w:rFonts w:asciiTheme="minorHAnsi" w:hAnsiTheme="minorHAnsi" w:cstheme="minorHAnsi"/>
          <w:lang w:val="en-AU"/>
        </w:rPr>
        <w:t xml:space="preserve"> This has not previously been tested through a randomised control trial. We propose to undertake a patient-blinded, randomised control trial comparing cerebral oximetry in patients who are spontaneously breathing under anaesthesia with those who are ventilated with intermittent positive pressure ventilation. The primary outcome would be mean change from baseline cerebral oximetry. We plan to recruit 40 ASA 1-2 patients aged 18-70 undergoing arthroscopic shoulder surgery in the beach chair position. Recruitment and follow up is anticipated to take six months or less. We expect to show that intermittent positive pressure ventilation is associated with a reduction in cerebral oximetry.</w:t>
      </w:r>
    </w:p>
    <w:p w14:paraId="1C2A34F2" w14:textId="77777777" w:rsidR="00F15BF9" w:rsidRPr="00F11D2E" w:rsidRDefault="00F15BF9" w:rsidP="00A04217">
      <w:pPr>
        <w:spacing w:after="120"/>
        <w:rPr>
          <w:rFonts w:asciiTheme="minorHAnsi" w:hAnsiTheme="minorHAnsi" w:cstheme="minorHAnsi"/>
          <w:lang w:val="en-NZ"/>
        </w:rPr>
      </w:pPr>
    </w:p>
    <w:p w14:paraId="5D59B671" w14:textId="4C11313C" w:rsidR="00A04217" w:rsidRPr="00F11D2E" w:rsidRDefault="00A04217" w:rsidP="00A04217">
      <w:pPr>
        <w:spacing w:before="120"/>
        <w:rPr>
          <w:rFonts w:asciiTheme="minorHAnsi" w:hAnsiTheme="minorHAnsi" w:cstheme="minorHAnsi"/>
          <w:i/>
          <w:lang w:val="en-NZ"/>
        </w:rPr>
      </w:pPr>
      <w:r w:rsidRPr="00F11D2E">
        <w:rPr>
          <w:rFonts w:asciiTheme="minorHAnsi" w:hAnsiTheme="minorHAnsi" w:cstheme="minorHAnsi"/>
          <w:b/>
          <w:i/>
          <w:lang w:val="en-NZ"/>
        </w:rPr>
        <w:t>B) Background / Rationale</w:t>
      </w:r>
    </w:p>
    <w:p w14:paraId="01AA5987" w14:textId="77777777" w:rsidR="00F15BF9" w:rsidRPr="00F11D2E" w:rsidRDefault="00F15BF9" w:rsidP="00A04217">
      <w:pPr>
        <w:spacing w:before="120"/>
        <w:rPr>
          <w:rFonts w:asciiTheme="minorHAnsi" w:hAnsiTheme="minorHAnsi" w:cstheme="minorHAnsi"/>
          <w:i/>
          <w:lang w:val="en-NZ"/>
        </w:rPr>
      </w:pPr>
    </w:p>
    <w:p w14:paraId="30F52037" w14:textId="77777777" w:rsidR="00F15BF9" w:rsidRPr="00F11D2E" w:rsidRDefault="00F15BF9" w:rsidP="00F15BF9">
      <w:pPr>
        <w:rPr>
          <w:rFonts w:asciiTheme="minorHAnsi" w:hAnsiTheme="minorHAnsi" w:cstheme="minorHAnsi"/>
          <w:lang w:val="en-AU"/>
        </w:rPr>
      </w:pPr>
      <w:r w:rsidRPr="00F11D2E">
        <w:rPr>
          <w:rFonts w:asciiTheme="minorHAnsi" w:hAnsiTheme="minorHAnsi" w:cstheme="minorHAnsi"/>
          <w:lang w:val="en-AU"/>
        </w:rPr>
        <w:t>The ‘beach chair’ or sitting position is commonly used during shoulder surgery. Maintenance of adequate cerebral perfusion is a key goal of anaesthetic technique. Rare but catastrophic outcomes (stroke, brain death) have been reported. Further concern has been raised that relative hypoperfusion could lead to subclinical cerebral damage in vulnerable patients</w:t>
      </w:r>
      <w:r w:rsidRPr="00F11D2E">
        <w:rPr>
          <w:rStyle w:val="EndnoteReference"/>
          <w:rFonts w:asciiTheme="minorHAnsi" w:hAnsiTheme="minorHAnsi" w:cstheme="minorHAnsi"/>
          <w:lang w:val="en-AU"/>
        </w:rPr>
        <w:endnoteReference w:id="3"/>
      </w:r>
      <w:r w:rsidRPr="00F11D2E">
        <w:rPr>
          <w:rFonts w:asciiTheme="minorHAnsi" w:hAnsiTheme="minorHAnsi" w:cstheme="minorHAnsi"/>
          <w:lang w:val="en-AU"/>
        </w:rPr>
        <w:t>.</w:t>
      </w:r>
    </w:p>
    <w:p w14:paraId="46E19B59" w14:textId="77777777" w:rsidR="00F15BF9" w:rsidRPr="00F11D2E" w:rsidRDefault="00F15BF9" w:rsidP="00F15BF9">
      <w:pPr>
        <w:rPr>
          <w:rFonts w:asciiTheme="minorHAnsi" w:hAnsiTheme="minorHAnsi" w:cstheme="minorHAnsi"/>
          <w:lang w:val="en-AU"/>
        </w:rPr>
      </w:pPr>
    </w:p>
    <w:p w14:paraId="5811761B" w14:textId="77777777" w:rsidR="00F15BF9" w:rsidRPr="00F11D2E" w:rsidRDefault="00F15BF9" w:rsidP="00F15BF9">
      <w:pPr>
        <w:rPr>
          <w:rFonts w:asciiTheme="minorHAnsi" w:hAnsiTheme="minorHAnsi" w:cstheme="minorHAnsi"/>
          <w:lang w:val="en-AU"/>
        </w:rPr>
      </w:pPr>
      <w:r w:rsidRPr="00F11D2E">
        <w:rPr>
          <w:rFonts w:asciiTheme="minorHAnsi" w:hAnsiTheme="minorHAnsi" w:cstheme="minorHAnsi"/>
          <w:lang w:val="en-AU"/>
        </w:rPr>
        <w:t xml:space="preserve">Cerebral oximetry is a non-invasive monitor which can be used to measure cerebral oxygenation. Over the past decade, this monitor has been used to explore the impact of many elements of anaesthetic technique in those at </w:t>
      </w:r>
      <w:proofErr w:type="gramStart"/>
      <w:r w:rsidRPr="00F11D2E">
        <w:rPr>
          <w:rFonts w:asciiTheme="minorHAnsi" w:hAnsiTheme="minorHAnsi" w:cstheme="minorHAnsi"/>
          <w:lang w:val="en-AU"/>
        </w:rPr>
        <w:t>higher than average</w:t>
      </w:r>
      <w:proofErr w:type="gramEnd"/>
      <w:r w:rsidRPr="00F11D2E">
        <w:rPr>
          <w:rFonts w:asciiTheme="minorHAnsi" w:hAnsiTheme="minorHAnsi" w:cstheme="minorHAnsi"/>
          <w:lang w:val="en-AU"/>
        </w:rPr>
        <w:t xml:space="preserve"> risk of cerebral events – including neonates and patients undergoing vascular, cardiac and shoulder surgery. Among patients undergoing shoulder surgery, studies have looked at the impact of position, regional techniques, and anaesthetic agent.</w:t>
      </w:r>
      <w:r w:rsidRPr="00F11D2E">
        <w:rPr>
          <w:rStyle w:val="EndnoteReference"/>
          <w:rFonts w:asciiTheme="minorHAnsi" w:hAnsiTheme="minorHAnsi" w:cstheme="minorHAnsi"/>
          <w:lang w:val="en-AU"/>
        </w:rPr>
        <w:endnoteReference w:id="4"/>
      </w:r>
      <w:r w:rsidRPr="00F11D2E">
        <w:rPr>
          <w:rFonts w:asciiTheme="minorHAnsi" w:hAnsiTheme="minorHAnsi" w:cstheme="minorHAnsi"/>
          <w:lang w:val="en-AU"/>
        </w:rPr>
        <w:t xml:space="preserve"> Only two randomised control trials have considered the impact of ventilatory technique – they studied the effect of inspired oxygen concentration and end tidal CO</w:t>
      </w:r>
      <w:r w:rsidRPr="00F11D2E">
        <w:rPr>
          <w:rFonts w:asciiTheme="minorHAnsi" w:hAnsiTheme="minorHAnsi" w:cstheme="minorHAnsi"/>
          <w:vertAlign w:val="subscript"/>
          <w:lang w:val="en-AU"/>
        </w:rPr>
        <w:t>2</w:t>
      </w:r>
      <w:r w:rsidRPr="00F11D2E">
        <w:rPr>
          <w:rFonts w:asciiTheme="minorHAnsi" w:hAnsiTheme="minorHAnsi" w:cstheme="minorHAnsi"/>
          <w:lang w:val="en-AU"/>
        </w:rPr>
        <w:t>.</w:t>
      </w:r>
      <w:bookmarkStart w:id="0" w:name="_Ref70770655"/>
      <w:r w:rsidRPr="00F11D2E">
        <w:rPr>
          <w:rStyle w:val="EndnoteReference"/>
          <w:rFonts w:asciiTheme="minorHAnsi" w:hAnsiTheme="minorHAnsi" w:cstheme="minorHAnsi"/>
          <w:lang w:val="en-AU"/>
        </w:rPr>
        <w:endnoteReference w:id="5"/>
      </w:r>
      <w:bookmarkEnd w:id="0"/>
      <w:r w:rsidRPr="00F11D2E">
        <w:rPr>
          <w:rFonts w:asciiTheme="minorHAnsi" w:hAnsiTheme="minorHAnsi" w:cstheme="minorHAnsi"/>
          <w:vertAlign w:val="superscript"/>
          <w:lang w:val="en-AU"/>
        </w:rPr>
        <w:t>,</w:t>
      </w:r>
      <w:r w:rsidRPr="00F11D2E">
        <w:rPr>
          <w:rStyle w:val="EndnoteReference"/>
          <w:rFonts w:asciiTheme="minorHAnsi" w:hAnsiTheme="minorHAnsi" w:cstheme="minorHAnsi"/>
          <w:lang w:val="en-AU"/>
        </w:rPr>
        <w:endnoteReference w:id="6"/>
      </w:r>
      <w:r w:rsidRPr="00F11D2E">
        <w:rPr>
          <w:rFonts w:asciiTheme="minorHAnsi" w:hAnsiTheme="minorHAnsi" w:cstheme="minorHAnsi"/>
          <w:vertAlign w:val="superscript"/>
          <w:lang w:val="en-AU"/>
        </w:rPr>
        <w:t>.</w:t>
      </w:r>
    </w:p>
    <w:p w14:paraId="30ECBC4E" w14:textId="77777777" w:rsidR="00F15BF9" w:rsidRPr="00F11D2E" w:rsidRDefault="00F15BF9" w:rsidP="00F15BF9">
      <w:pPr>
        <w:rPr>
          <w:rFonts w:asciiTheme="minorHAnsi" w:hAnsiTheme="minorHAnsi" w:cstheme="minorHAnsi"/>
          <w:lang w:val="en-AU"/>
        </w:rPr>
      </w:pPr>
    </w:p>
    <w:p w14:paraId="0500D5A8" w14:textId="77777777" w:rsidR="00F15BF9" w:rsidRPr="00F11D2E" w:rsidRDefault="00F15BF9" w:rsidP="00F15BF9">
      <w:pPr>
        <w:rPr>
          <w:rFonts w:asciiTheme="minorHAnsi" w:hAnsiTheme="minorHAnsi" w:cstheme="minorHAnsi"/>
          <w:lang w:val="en-AU"/>
        </w:rPr>
      </w:pPr>
      <w:r w:rsidRPr="00F11D2E">
        <w:rPr>
          <w:rFonts w:asciiTheme="minorHAnsi" w:hAnsiTheme="minorHAnsi" w:cstheme="minorHAnsi"/>
          <w:lang w:val="en-AU"/>
        </w:rPr>
        <w:t>Only one study has compared positive pressure ventilation with spontaneous ventilation for surgery in the beach chair position. The study was an observational cohort study (all patients were exposed to both ventilatory strategies) and some elements of anaesthetic care (inspired oxygen fraction, anaesthetic agent, management protocol for hypotension) were not standardised. No difference was found in the incidence of cerebral desaturation events.</w:t>
      </w:r>
      <w:bookmarkStart w:id="1" w:name="_Ref21204916"/>
      <w:r w:rsidRPr="00F11D2E">
        <w:rPr>
          <w:rStyle w:val="EndnoteReference"/>
          <w:rFonts w:asciiTheme="minorHAnsi" w:hAnsiTheme="minorHAnsi" w:cstheme="minorHAnsi"/>
          <w:lang w:val="en-AU"/>
        </w:rPr>
        <w:endnoteReference w:id="7"/>
      </w:r>
      <w:bookmarkEnd w:id="1"/>
    </w:p>
    <w:p w14:paraId="6D3C07BE" w14:textId="77777777" w:rsidR="00F15BF9" w:rsidRPr="00F11D2E" w:rsidRDefault="00F15BF9" w:rsidP="00A04217">
      <w:pPr>
        <w:spacing w:before="120"/>
        <w:rPr>
          <w:rFonts w:asciiTheme="minorHAnsi" w:hAnsiTheme="minorHAnsi" w:cstheme="minorHAnsi"/>
          <w:b/>
          <w:i/>
          <w:lang w:val="en-NZ"/>
        </w:rPr>
      </w:pPr>
    </w:p>
    <w:p w14:paraId="133BAF20" w14:textId="5A1FA033" w:rsidR="00A04217" w:rsidRPr="00F11D2E" w:rsidRDefault="00A04217" w:rsidP="00A04217">
      <w:pPr>
        <w:spacing w:before="120"/>
        <w:rPr>
          <w:rFonts w:asciiTheme="minorHAnsi" w:hAnsiTheme="minorHAnsi" w:cstheme="minorHAnsi"/>
          <w:b/>
          <w:i/>
          <w:lang w:val="en-NZ"/>
        </w:rPr>
      </w:pPr>
      <w:r w:rsidRPr="00F11D2E">
        <w:rPr>
          <w:rFonts w:asciiTheme="minorHAnsi" w:hAnsiTheme="minorHAnsi" w:cstheme="minorHAnsi"/>
          <w:b/>
          <w:i/>
          <w:lang w:val="en-NZ"/>
        </w:rPr>
        <w:t>C1) Aims and Objectives</w:t>
      </w:r>
    </w:p>
    <w:p w14:paraId="668A3375" w14:textId="77777777" w:rsidR="00F15BF9" w:rsidRPr="00F11D2E" w:rsidRDefault="00F15BF9" w:rsidP="00F15BF9">
      <w:pPr>
        <w:rPr>
          <w:rFonts w:asciiTheme="minorHAnsi" w:hAnsiTheme="minorHAnsi" w:cstheme="minorHAnsi"/>
          <w:lang w:val="en-AU"/>
        </w:rPr>
      </w:pPr>
    </w:p>
    <w:p w14:paraId="66F37689" w14:textId="77777777" w:rsidR="001F72EB" w:rsidRDefault="00F15BF9" w:rsidP="00F15BF9">
      <w:pPr>
        <w:rPr>
          <w:rFonts w:asciiTheme="minorHAnsi" w:hAnsiTheme="minorHAnsi" w:cstheme="minorHAnsi"/>
          <w:lang w:val="en-AU"/>
        </w:rPr>
      </w:pPr>
      <w:r w:rsidRPr="00F11D2E">
        <w:rPr>
          <w:rFonts w:asciiTheme="minorHAnsi" w:hAnsiTheme="minorHAnsi" w:cstheme="minorHAnsi"/>
          <w:lang w:val="en-AU"/>
        </w:rPr>
        <w:t xml:space="preserve">The objective of our study is to compare the effect of the two ventilatory strategies on cerebral oximetry in the beach chair position. </w:t>
      </w:r>
      <w:r w:rsidR="001F72EB">
        <w:rPr>
          <w:rFonts w:asciiTheme="minorHAnsi" w:hAnsiTheme="minorHAnsi" w:cstheme="minorHAnsi"/>
          <w:lang w:val="en-AU"/>
        </w:rPr>
        <w:t>Secondary</w:t>
      </w:r>
      <w:r w:rsidRPr="00F11D2E">
        <w:rPr>
          <w:rFonts w:asciiTheme="minorHAnsi" w:hAnsiTheme="minorHAnsi" w:cstheme="minorHAnsi"/>
          <w:lang w:val="en-AU"/>
        </w:rPr>
        <w:t xml:space="preserve"> objective</w:t>
      </w:r>
      <w:r w:rsidR="001F72EB">
        <w:rPr>
          <w:rFonts w:asciiTheme="minorHAnsi" w:hAnsiTheme="minorHAnsi" w:cstheme="minorHAnsi"/>
          <w:lang w:val="en-AU"/>
        </w:rPr>
        <w:t>s</w:t>
      </w:r>
      <w:r w:rsidRPr="00F11D2E">
        <w:rPr>
          <w:rFonts w:asciiTheme="minorHAnsi" w:hAnsiTheme="minorHAnsi" w:cstheme="minorHAnsi"/>
          <w:lang w:val="en-AU"/>
        </w:rPr>
        <w:t xml:space="preserve"> </w:t>
      </w:r>
      <w:r w:rsidR="001F72EB">
        <w:rPr>
          <w:rFonts w:asciiTheme="minorHAnsi" w:hAnsiTheme="minorHAnsi" w:cstheme="minorHAnsi"/>
          <w:lang w:val="en-AU"/>
        </w:rPr>
        <w:t>are</w:t>
      </w:r>
      <w:r w:rsidRPr="00F11D2E">
        <w:rPr>
          <w:rFonts w:asciiTheme="minorHAnsi" w:hAnsiTheme="minorHAnsi" w:cstheme="minorHAnsi"/>
          <w:lang w:val="en-AU"/>
        </w:rPr>
        <w:t xml:space="preserve"> </w:t>
      </w:r>
    </w:p>
    <w:p w14:paraId="5EE4EB84" w14:textId="4327D764" w:rsidR="00F15BF9" w:rsidRPr="001F72EB" w:rsidRDefault="00F15BF9" w:rsidP="001F72EB">
      <w:pPr>
        <w:pStyle w:val="ListParagraph"/>
        <w:numPr>
          <w:ilvl w:val="0"/>
          <w:numId w:val="31"/>
        </w:numPr>
        <w:rPr>
          <w:rFonts w:asciiTheme="minorHAnsi" w:hAnsiTheme="minorHAnsi" w:cstheme="minorHAnsi"/>
          <w:lang w:val="en-AU"/>
        </w:rPr>
      </w:pPr>
      <w:r w:rsidRPr="001F72EB">
        <w:rPr>
          <w:rFonts w:asciiTheme="minorHAnsi" w:hAnsiTheme="minorHAnsi" w:cstheme="minorHAnsi"/>
          <w:lang w:val="en-AU"/>
        </w:rPr>
        <w:t xml:space="preserve">to see if </w:t>
      </w:r>
      <w:r w:rsidR="001F72EB" w:rsidRPr="001F72EB">
        <w:rPr>
          <w:rFonts w:asciiTheme="minorHAnsi" w:hAnsiTheme="minorHAnsi" w:cstheme="minorHAnsi"/>
          <w:lang w:val="en-AU"/>
        </w:rPr>
        <w:t>ventilatory strategy</w:t>
      </w:r>
      <w:r w:rsidRPr="001F72EB">
        <w:rPr>
          <w:rFonts w:asciiTheme="minorHAnsi" w:hAnsiTheme="minorHAnsi" w:cstheme="minorHAnsi"/>
          <w:lang w:val="en-AU"/>
        </w:rPr>
        <w:t xml:space="preserve"> affects the incidence of cerebral desaturation events.</w:t>
      </w:r>
    </w:p>
    <w:p w14:paraId="6A7EF9A2" w14:textId="776B6194" w:rsidR="001F72EB" w:rsidRPr="001F72EB" w:rsidRDefault="001F72EB" w:rsidP="001F72EB">
      <w:pPr>
        <w:pStyle w:val="ListParagraph"/>
        <w:numPr>
          <w:ilvl w:val="0"/>
          <w:numId w:val="31"/>
        </w:numPr>
        <w:rPr>
          <w:rFonts w:asciiTheme="minorHAnsi" w:hAnsiTheme="minorHAnsi" w:cstheme="minorHAnsi"/>
          <w:lang w:val="en-AU"/>
        </w:rPr>
      </w:pPr>
      <w:r w:rsidRPr="001F72EB">
        <w:rPr>
          <w:rFonts w:asciiTheme="minorHAnsi" w:hAnsiTheme="minorHAnsi" w:cstheme="minorHAnsi"/>
          <w:lang w:val="en-AU"/>
        </w:rPr>
        <w:t>If possible, to report changes in cerebral oximetry by ethnicity</w:t>
      </w:r>
    </w:p>
    <w:p w14:paraId="5C2CF180" w14:textId="77777777" w:rsidR="00A04217" w:rsidRPr="00F11D2E" w:rsidRDefault="00A04217" w:rsidP="00F15BF9">
      <w:pPr>
        <w:rPr>
          <w:rFonts w:asciiTheme="minorHAnsi" w:hAnsiTheme="minorHAnsi" w:cstheme="minorHAnsi"/>
          <w:i/>
          <w:lang w:val="en-NZ"/>
        </w:rPr>
      </w:pPr>
    </w:p>
    <w:p w14:paraId="74C9A33D" w14:textId="77777777" w:rsidR="0006376F" w:rsidRPr="00F11D2E" w:rsidRDefault="0006376F" w:rsidP="00A04217">
      <w:pPr>
        <w:rPr>
          <w:rFonts w:asciiTheme="minorHAnsi" w:hAnsiTheme="minorHAnsi" w:cstheme="minorHAnsi"/>
          <w:b/>
          <w:i/>
          <w:lang w:val="en-NZ"/>
        </w:rPr>
      </w:pPr>
    </w:p>
    <w:p w14:paraId="433994E4" w14:textId="60749D76" w:rsidR="00A04217" w:rsidRPr="00F11D2E" w:rsidRDefault="00A04217" w:rsidP="00A04217">
      <w:pPr>
        <w:rPr>
          <w:rFonts w:asciiTheme="minorHAnsi" w:hAnsiTheme="minorHAnsi" w:cstheme="minorHAnsi"/>
          <w:b/>
          <w:i/>
          <w:lang w:val="en-NZ"/>
        </w:rPr>
      </w:pPr>
      <w:r w:rsidRPr="00F11D2E">
        <w:rPr>
          <w:rFonts w:asciiTheme="minorHAnsi" w:hAnsiTheme="minorHAnsi" w:cstheme="minorHAnsi"/>
          <w:b/>
          <w:i/>
          <w:lang w:val="en-NZ"/>
        </w:rPr>
        <w:t>C2) Hypotheses</w:t>
      </w:r>
    </w:p>
    <w:p w14:paraId="39D71652" w14:textId="77777777" w:rsidR="00F15BF9" w:rsidRPr="00F11D2E" w:rsidRDefault="00F15BF9" w:rsidP="00A04217">
      <w:pPr>
        <w:rPr>
          <w:rFonts w:asciiTheme="minorHAnsi" w:hAnsiTheme="minorHAnsi" w:cstheme="minorHAnsi"/>
          <w:b/>
          <w:i/>
          <w:lang w:val="en-NZ"/>
        </w:rPr>
      </w:pPr>
    </w:p>
    <w:p w14:paraId="23B87459" w14:textId="77777777" w:rsidR="00F15BF9" w:rsidRPr="00F11D2E" w:rsidRDefault="00F15BF9" w:rsidP="00F15BF9">
      <w:pPr>
        <w:rPr>
          <w:rFonts w:asciiTheme="minorHAnsi" w:hAnsiTheme="minorHAnsi" w:cstheme="minorHAnsi"/>
          <w:lang w:val="en-AU"/>
        </w:rPr>
      </w:pPr>
      <w:r w:rsidRPr="00F11D2E">
        <w:rPr>
          <w:rFonts w:asciiTheme="minorHAnsi" w:hAnsiTheme="minorHAnsi" w:cstheme="minorHAnsi"/>
          <w:lang w:val="en-AU"/>
        </w:rPr>
        <w:t>The null hypothesis is that mean change in cerebral saturation (</w:t>
      </w:r>
      <w:r w:rsidRPr="00F11D2E">
        <w:rPr>
          <w:rFonts w:asciiTheme="minorHAnsi" w:hAnsiTheme="minorHAnsi" w:cstheme="minorHAnsi"/>
          <w:lang w:val="en-AU"/>
        </w:rPr>
        <w:sym w:font="Symbol" w:char="F044"/>
      </w:r>
      <w:r w:rsidRPr="00F11D2E">
        <w:rPr>
          <w:rFonts w:asciiTheme="minorHAnsi" w:hAnsiTheme="minorHAnsi" w:cstheme="minorHAnsi"/>
          <w:lang w:val="en-AU"/>
        </w:rPr>
        <w:t>SctO</w:t>
      </w:r>
      <w:r w:rsidRPr="00F11D2E">
        <w:rPr>
          <w:rFonts w:asciiTheme="minorHAnsi" w:hAnsiTheme="minorHAnsi" w:cstheme="minorHAnsi"/>
          <w:lang w:val="en-AU"/>
        </w:rPr>
        <w:softHyphen/>
      </w:r>
      <w:r w:rsidRPr="00F11D2E">
        <w:rPr>
          <w:rFonts w:asciiTheme="minorHAnsi" w:hAnsiTheme="minorHAnsi" w:cstheme="minorHAnsi"/>
          <w:vertAlign w:val="subscript"/>
          <w:lang w:val="en-AU"/>
        </w:rPr>
        <w:t>2</w:t>
      </w:r>
      <w:r w:rsidRPr="00F11D2E">
        <w:rPr>
          <w:rFonts w:asciiTheme="minorHAnsi" w:hAnsiTheme="minorHAnsi" w:cstheme="minorHAnsi"/>
          <w:lang w:val="en-AU"/>
        </w:rPr>
        <w:t>) under general anaesthesia is the same, regardless of whether patients are breathing spontaneously or being ventilated with intermittent positive pressure ventilation.</w:t>
      </w:r>
    </w:p>
    <w:p w14:paraId="2A8E8DD7" w14:textId="77777777" w:rsidR="00A04217" w:rsidRPr="00F11D2E" w:rsidRDefault="00A04217" w:rsidP="00F15BF9">
      <w:pPr>
        <w:rPr>
          <w:rFonts w:asciiTheme="minorHAnsi" w:hAnsiTheme="minorHAnsi" w:cstheme="minorHAnsi"/>
          <w:lang w:val="en-NZ"/>
        </w:rPr>
      </w:pPr>
    </w:p>
    <w:p w14:paraId="39E43D15" w14:textId="665B5A04" w:rsidR="00A04217" w:rsidRPr="001B7326" w:rsidRDefault="00A04217" w:rsidP="001B7326">
      <w:pPr>
        <w:pStyle w:val="ListParagraph"/>
        <w:numPr>
          <w:ilvl w:val="0"/>
          <w:numId w:val="30"/>
        </w:numPr>
        <w:spacing w:before="120"/>
        <w:rPr>
          <w:rFonts w:asciiTheme="minorHAnsi" w:hAnsiTheme="minorHAnsi" w:cstheme="minorHAnsi"/>
          <w:b/>
          <w:i/>
        </w:rPr>
      </w:pPr>
      <w:r w:rsidRPr="001B7326">
        <w:rPr>
          <w:rFonts w:asciiTheme="minorHAnsi" w:hAnsiTheme="minorHAnsi" w:cstheme="minorHAnsi"/>
          <w:b/>
          <w:i/>
        </w:rPr>
        <w:t xml:space="preserve">D) Methodology </w:t>
      </w:r>
    </w:p>
    <w:p w14:paraId="59993821" w14:textId="77777777" w:rsidR="00F11D2E" w:rsidRPr="00F11D2E" w:rsidRDefault="00F11D2E" w:rsidP="0006376F">
      <w:pPr>
        <w:spacing w:before="120"/>
        <w:rPr>
          <w:rFonts w:asciiTheme="minorHAnsi" w:hAnsiTheme="minorHAnsi" w:cstheme="minorHAnsi"/>
          <w:b/>
          <w:i/>
          <w:u w:val="single"/>
        </w:rPr>
      </w:pPr>
    </w:p>
    <w:p w14:paraId="04082F84" w14:textId="45F74668" w:rsidR="00A04217"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Study design / type:</w:t>
      </w:r>
    </w:p>
    <w:p w14:paraId="1E6D398C" w14:textId="40388E91" w:rsidR="00101342" w:rsidRPr="00F11D2E" w:rsidRDefault="00101342" w:rsidP="001B7326">
      <w:pPr>
        <w:pStyle w:val="ListParagraph"/>
        <w:numPr>
          <w:ilvl w:val="1"/>
          <w:numId w:val="30"/>
        </w:numPr>
        <w:rPr>
          <w:rFonts w:asciiTheme="minorHAnsi" w:hAnsiTheme="minorHAnsi" w:cstheme="minorHAnsi"/>
          <w:sz w:val="24"/>
          <w:szCs w:val="24"/>
          <w:lang w:val="en-AU"/>
        </w:rPr>
      </w:pPr>
      <w:r w:rsidRPr="00F11D2E">
        <w:rPr>
          <w:rFonts w:asciiTheme="minorHAnsi" w:hAnsiTheme="minorHAnsi" w:cstheme="minorHAnsi"/>
          <w:sz w:val="24"/>
          <w:szCs w:val="24"/>
          <w:lang w:val="en-AU"/>
        </w:rPr>
        <w:t>This is a patient-blinded randomised control trial. The researcher responsible for data extraction from the anaesthetic record will also be blinded to treatment group assignation.</w:t>
      </w:r>
      <w:r w:rsidR="007D03CF">
        <w:rPr>
          <w:rFonts w:asciiTheme="minorHAnsi" w:hAnsiTheme="minorHAnsi" w:cstheme="minorHAnsi"/>
          <w:sz w:val="24"/>
          <w:szCs w:val="24"/>
          <w:lang w:val="en-AU"/>
        </w:rPr>
        <w:t xml:space="preserve"> The anaesthetist/co-investigator providing intra-operative patient care will be aware of treatment group assignation.</w:t>
      </w:r>
    </w:p>
    <w:p w14:paraId="3A54D202" w14:textId="77777777" w:rsidR="00101342" w:rsidRPr="00F11D2E" w:rsidRDefault="00101342" w:rsidP="00101342">
      <w:pPr>
        <w:ind w:left="1800"/>
        <w:rPr>
          <w:rFonts w:asciiTheme="minorHAnsi" w:hAnsiTheme="minorHAnsi" w:cstheme="minorHAnsi"/>
          <w:lang w:val="en-NZ"/>
        </w:rPr>
      </w:pPr>
    </w:p>
    <w:p w14:paraId="046741CB" w14:textId="5E65D70D" w:rsidR="00DC615B"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Participants:</w:t>
      </w:r>
    </w:p>
    <w:p w14:paraId="69A0978D" w14:textId="379F950C" w:rsidR="00DC615B" w:rsidRPr="00F11D2E" w:rsidRDefault="00DC615B" w:rsidP="001B7326">
      <w:pPr>
        <w:numPr>
          <w:ilvl w:val="1"/>
          <w:numId w:val="30"/>
        </w:numPr>
        <w:rPr>
          <w:rFonts w:asciiTheme="minorHAnsi" w:hAnsiTheme="minorHAnsi" w:cstheme="minorHAnsi"/>
          <w:lang w:val="en-NZ"/>
        </w:rPr>
      </w:pPr>
      <w:r w:rsidRPr="00F11D2E">
        <w:rPr>
          <w:rFonts w:asciiTheme="minorHAnsi" w:hAnsiTheme="minorHAnsi" w:cstheme="minorHAnsi"/>
          <w:lang w:val="en-AU"/>
        </w:rPr>
        <w:t>We plan to enrol 40 patients (20 patients in each treatment arm)</w:t>
      </w:r>
      <w:r w:rsidR="00A12B8E" w:rsidRPr="00F11D2E">
        <w:rPr>
          <w:rFonts w:asciiTheme="minorHAnsi" w:hAnsiTheme="minorHAnsi" w:cstheme="minorHAnsi"/>
          <w:lang w:val="en-AU"/>
        </w:rPr>
        <w:t xml:space="preserve"> across two sites (Counties Manukau Health and </w:t>
      </w:r>
      <w:proofErr w:type="spellStart"/>
      <w:r w:rsidR="00A12B8E" w:rsidRPr="00F11D2E">
        <w:rPr>
          <w:rFonts w:asciiTheme="minorHAnsi" w:hAnsiTheme="minorHAnsi" w:cstheme="minorHAnsi"/>
          <w:lang w:val="en-AU"/>
        </w:rPr>
        <w:t>MercyAscot</w:t>
      </w:r>
      <w:proofErr w:type="spellEnd"/>
      <w:r w:rsidR="00A12B8E" w:rsidRPr="00F11D2E">
        <w:rPr>
          <w:rFonts w:asciiTheme="minorHAnsi" w:hAnsiTheme="minorHAnsi" w:cstheme="minorHAnsi"/>
          <w:lang w:val="en-AU"/>
        </w:rPr>
        <w:t>).</w:t>
      </w:r>
    </w:p>
    <w:p w14:paraId="3A0C058D" w14:textId="1F907C1F" w:rsidR="00101342" w:rsidRPr="00F11D2E" w:rsidRDefault="00101342" w:rsidP="001B7326">
      <w:pPr>
        <w:numPr>
          <w:ilvl w:val="1"/>
          <w:numId w:val="30"/>
        </w:numPr>
        <w:rPr>
          <w:rFonts w:asciiTheme="minorHAnsi" w:hAnsiTheme="minorHAnsi" w:cstheme="minorHAnsi"/>
          <w:lang w:val="en-NZ"/>
        </w:rPr>
      </w:pPr>
      <w:r w:rsidRPr="00F11D2E">
        <w:rPr>
          <w:rFonts w:asciiTheme="minorHAnsi" w:hAnsiTheme="minorHAnsi" w:cstheme="minorHAnsi"/>
          <w:lang w:val="en-AU"/>
        </w:rPr>
        <w:t>Inclusion criteria – ASA1-2 patients aged 18-70 undergoing arthroscopic shoulder surgery in the beach chair position under general anaesthesia with interscalene blockade (either ‘single shot’ or catheter-based).</w:t>
      </w:r>
    </w:p>
    <w:p w14:paraId="4F4F53D0" w14:textId="77777777" w:rsidR="00101342" w:rsidRPr="00F11D2E" w:rsidRDefault="00101342" w:rsidP="001B7326">
      <w:pPr>
        <w:numPr>
          <w:ilvl w:val="1"/>
          <w:numId w:val="30"/>
        </w:numPr>
        <w:rPr>
          <w:rFonts w:asciiTheme="minorHAnsi" w:hAnsiTheme="minorHAnsi" w:cstheme="minorHAnsi"/>
          <w:lang w:val="en-NZ"/>
        </w:rPr>
      </w:pPr>
      <w:r w:rsidRPr="00F11D2E">
        <w:rPr>
          <w:rFonts w:asciiTheme="minorHAnsi" w:hAnsiTheme="minorHAnsi" w:cstheme="minorHAnsi"/>
          <w:lang w:val="en-AU"/>
        </w:rPr>
        <w:t xml:space="preserve">Exclusion criteria </w:t>
      </w:r>
    </w:p>
    <w:p w14:paraId="19563217" w14:textId="77777777" w:rsidR="00DC615B" w:rsidRPr="00F11D2E" w:rsidRDefault="00101342" w:rsidP="001B7326">
      <w:pPr>
        <w:pStyle w:val="ListParagraph"/>
        <w:numPr>
          <w:ilvl w:val="2"/>
          <w:numId w:val="30"/>
        </w:numPr>
        <w:rPr>
          <w:rFonts w:asciiTheme="minorHAnsi" w:hAnsiTheme="minorHAnsi" w:cstheme="minorHAnsi"/>
          <w:sz w:val="24"/>
          <w:szCs w:val="24"/>
          <w:lang w:val="en-AU"/>
        </w:rPr>
      </w:pPr>
      <w:r w:rsidRPr="00F11D2E">
        <w:rPr>
          <w:rFonts w:asciiTheme="minorHAnsi" w:hAnsiTheme="minorHAnsi" w:cstheme="minorHAnsi"/>
          <w:sz w:val="24"/>
          <w:szCs w:val="24"/>
          <w:lang w:val="en-AU"/>
        </w:rPr>
        <w:t xml:space="preserve">known cerebrovascular or peripheral vascular disease, </w:t>
      </w:r>
    </w:p>
    <w:p w14:paraId="2F697EA6" w14:textId="2EF7E038" w:rsidR="00DC615B" w:rsidRPr="00F11D2E" w:rsidRDefault="00101342" w:rsidP="001B7326">
      <w:pPr>
        <w:pStyle w:val="ListParagraph"/>
        <w:numPr>
          <w:ilvl w:val="2"/>
          <w:numId w:val="30"/>
        </w:numPr>
        <w:rPr>
          <w:rFonts w:asciiTheme="minorHAnsi" w:hAnsiTheme="minorHAnsi" w:cstheme="minorHAnsi"/>
          <w:sz w:val="24"/>
          <w:szCs w:val="24"/>
          <w:lang w:val="en-AU"/>
        </w:rPr>
      </w:pPr>
      <w:r w:rsidRPr="00F11D2E">
        <w:rPr>
          <w:rFonts w:asciiTheme="minorHAnsi" w:hAnsiTheme="minorHAnsi" w:cstheme="minorHAnsi"/>
          <w:sz w:val="24"/>
          <w:szCs w:val="24"/>
          <w:lang w:val="en-AU"/>
        </w:rPr>
        <w:t>uncontrolled hypertension</w:t>
      </w:r>
    </w:p>
    <w:p w14:paraId="4C24F6AE" w14:textId="50F95BFA" w:rsidR="00DC615B" w:rsidRPr="00F11D2E" w:rsidRDefault="00101342" w:rsidP="001B7326">
      <w:pPr>
        <w:pStyle w:val="ListParagraph"/>
        <w:numPr>
          <w:ilvl w:val="2"/>
          <w:numId w:val="30"/>
        </w:numPr>
        <w:rPr>
          <w:rFonts w:asciiTheme="minorHAnsi" w:hAnsiTheme="minorHAnsi" w:cstheme="minorHAnsi"/>
          <w:sz w:val="24"/>
          <w:szCs w:val="24"/>
          <w:lang w:val="en-AU"/>
        </w:rPr>
      </w:pPr>
      <w:r w:rsidRPr="00F11D2E">
        <w:rPr>
          <w:rFonts w:asciiTheme="minorHAnsi" w:hAnsiTheme="minorHAnsi" w:cstheme="minorHAnsi"/>
          <w:sz w:val="24"/>
          <w:szCs w:val="24"/>
          <w:lang w:val="en-AU"/>
        </w:rPr>
        <w:t xml:space="preserve">a history of severe postoperative nausea and vomiting (which may mandate a </w:t>
      </w:r>
      <w:r w:rsidR="007D03CF">
        <w:rPr>
          <w:rFonts w:asciiTheme="minorHAnsi" w:hAnsiTheme="minorHAnsi" w:cstheme="minorHAnsi"/>
          <w:sz w:val="24"/>
          <w:szCs w:val="24"/>
          <w:lang w:val="en-AU"/>
        </w:rPr>
        <w:t>total intravenous</w:t>
      </w:r>
      <w:r w:rsidRPr="00F11D2E">
        <w:rPr>
          <w:rFonts w:asciiTheme="minorHAnsi" w:hAnsiTheme="minorHAnsi" w:cstheme="minorHAnsi"/>
          <w:sz w:val="24"/>
          <w:szCs w:val="24"/>
          <w:lang w:val="en-AU"/>
        </w:rPr>
        <w:t xml:space="preserve"> based anaesthetic)</w:t>
      </w:r>
    </w:p>
    <w:p w14:paraId="5321369D" w14:textId="587433FB" w:rsidR="00070BF1" w:rsidRPr="00F11D2E" w:rsidRDefault="00070BF1" w:rsidP="001B7326">
      <w:pPr>
        <w:pStyle w:val="ListParagraph"/>
        <w:numPr>
          <w:ilvl w:val="1"/>
          <w:numId w:val="30"/>
        </w:numPr>
        <w:rPr>
          <w:rFonts w:asciiTheme="minorHAnsi" w:hAnsiTheme="minorHAnsi" w:cstheme="minorHAnsi"/>
          <w:sz w:val="24"/>
          <w:szCs w:val="24"/>
          <w:lang w:val="en-AU"/>
        </w:rPr>
      </w:pPr>
      <w:r w:rsidRPr="00F11D2E">
        <w:rPr>
          <w:rFonts w:asciiTheme="minorHAnsi" w:hAnsiTheme="minorHAnsi" w:cstheme="minorHAnsi"/>
          <w:sz w:val="24"/>
          <w:szCs w:val="24"/>
          <w:lang w:val="en-AU"/>
        </w:rPr>
        <w:t xml:space="preserve">Participants will be identified by </w:t>
      </w:r>
      <w:r w:rsidR="00F11D2E">
        <w:rPr>
          <w:rFonts w:asciiTheme="minorHAnsi" w:hAnsiTheme="minorHAnsi" w:cstheme="minorHAnsi"/>
          <w:sz w:val="24"/>
          <w:szCs w:val="24"/>
          <w:lang w:val="en-AU"/>
        </w:rPr>
        <w:t>through screening of theatre lists 3-4 days prior to surgery.</w:t>
      </w:r>
    </w:p>
    <w:p w14:paraId="2917C3ED" w14:textId="77777777" w:rsidR="00875812" w:rsidRPr="00F11D2E" w:rsidRDefault="00875812" w:rsidP="00875812">
      <w:pPr>
        <w:pStyle w:val="ListParagraph"/>
        <w:ind w:left="2160"/>
        <w:rPr>
          <w:rFonts w:asciiTheme="minorHAnsi" w:hAnsiTheme="minorHAnsi" w:cstheme="minorHAnsi"/>
          <w:sz w:val="24"/>
          <w:szCs w:val="24"/>
          <w:lang w:val="en-AU"/>
        </w:rPr>
      </w:pPr>
    </w:p>
    <w:p w14:paraId="25BE1D61" w14:textId="77777777" w:rsidR="00A04217"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Outcomes:</w:t>
      </w:r>
    </w:p>
    <w:p w14:paraId="2DE4E11B" w14:textId="043E554F" w:rsidR="009536BA" w:rsidRPr="00F11D2E" w:rsidRDefault="00A04217" w:rsidP="001B7326">
      <w:pPr>
        <w:numPr>
          <w:ilvl w:val="1"/>
          <w:numId w:val="30"/>
        </w:numPr>
        <w:rPr>
          <w:rFonts w:asciiTheme="minorHAnsi" w:hAnsiTheme="minorHAnsi" w:cstheme="minorHAnsi"/>
          <w:lang w:val="en-NZ"/>
        </w:rPr>
      </w:pPr>
      <w:r w:rsidRPr="00F11D2E">
        <w:rPr>
          <w:rFonts w:asciiTheme="minorHAnsi" w:hAnsiTheme="minorHAnsi" w:cstheme="minorHAnsi"/>
          <w:lang w:val="en-NZ"/>
        </w:rPr>
        <w:t>Primary outcome</w:t>
      </w:r>
      <w:r w:rsidR="005F39B2" w:rsidRPr="00F11D2E">
        <w:rPr>
          <w:rFonts w:asciiTheme="minorHAnsi" w:hAnsiTheme="minorHAnsi" w:cstheme="minorHAnsi"/>
          <w:lang w:val="en-NZ"/>
        </w:rPr>
        <w:t xml:space="preserve"> – mean change in cerebral oximetry during the operative period. This will be calculated as the difference between baseline cerebral oximetry values and mean intraoperative values, which are defined as</w:t>
      </w:r>
    </w:p>
    <w:p w14:paraId="60CF6E4F" w14:textId="3A7D35FD" w:rsidR="005F39B2" w:rsidRPr="00F11D2E" w:rsidRDefault="005F39B2" w:rsidP="001B7326">
      <w:pPr>
        <w:numPr>
          <w:ilvl w:val="2"/>
          <w:numId w:val="30"/>
        </w:numPr>
        <w:rPr>
          <w:rFonts w:asciiTheme="minorHAnsi" w:hAnsiTheme="minorHAnsi" w:cstheme="minorHAnsi"/>
          <w:lang w:val="en-NZ"/>
        </w:rPr>
      </w:pPr>
      <w:r w:rsidRPr="00F11D2E">
        <w:rPr>
          <w:rFonts w:asciiTheme="minorHAnsi" w:hAnsiTheme="minorHAnsi" w:cstheme="minorHAnsi"/>
        </w:rPr>
        <w:t xml:space="preserve">the area under the curve (AUC) </w:t>
      </w:r>
      <w:r w:rsidRPr="00F11D2E">
        <w:rPr>
          <w:rFonts w:asciiTheme="minorHAnsi" w:hAnsiTheme="minorHAnsi" w:cstheme="minorHAnsi"/>
          <w:color w:val="000000"/>
        </w:rPr>
        <w:t xml:space="preserve">for </w:t>
      </w:r>
      <w:r w:rsidR="00F12348" w:rsidRPr="00F11D2E">
        <w:rPr>
          <w:rFonts w:asciiTheme="minorHAnsi" w:hAnsiTheme="minorHAnsi" w:cstheme="minorHAnsi"/>
          <w:color w:val="000000"/>
        </w:rPr>
        <w:t>‘</w:t>
      </w:r>
      <w:r w:rsidRPr="00F11D2E">
        <w:rPr>
          <w:rFonts w:asciiTheme="minorHAnsi" w:hAnsiTheme="minorHAnsi" w:cstheme="minorHAnsi"/>
          <w:color w:val="000000"/>
        </w:rPr>
        <w:t>cerebral oximetry versus time</w:t>
      </w:r>
      <w:r w:rsidR="00F12348" w:rsidRPr="00F11D2E">
        <w:rPr>
          <w:rFonts w:asciiTheme="minorHAnsi" w:hAnsiTheme="minorHAnsi" w:cstheme="minorHAnsi"/>
          <w:color w:val="000000"/>
        </w:rPr>
        <w:t>’</w:t>
      </w:r>
      <w:r w:rsidRPr="00F11D2E">
        <w:rPr>
          <w:rFonts w:asciiTheme="minorHAnsi" w:hAnsiTheme="minorHAnsi" w:cstheme="minorHAnsi"/>
          <w:color w:val="000000"/>
        </w:rPr>
        <w:t xml:space="preserve"> between anaesthesia induction and application of dressings</w:t>
      </w:r>
      <w:r w:rsidR="00F12348" w:rsidRPr="00F11D2E">
        <w:rPr>
          <w:rFonts w:asciiTheme="minorHAnsi" w:hAnsiTheme="minorHAnsi" w:cstheme="minorHAnsi"/>
          <w:color w:val="000000"/>
        </w:rPr>
        <w:t>,</w:t>
      </w:r>
      <w:r w:rsidRPr="00F11D2E">
        <w:rPr>
          <w:rFonts w:asciiTheme="minorHAnsi" w:hAnsiTheme="minorHAnsi" w:cstheme="minorHAnsi"/>
          <w:color w:val="000000"/>
        </w:rPr>
        <w:t xml:space="preserve"> divided by duration (measured in seconds) to produce a value (AUC/t). </w:t>
      </w:r>
    </w:p>
    <w:p w14:paraId="5E110E51" w14:textId="6A4CBB4E" w:rsidR="005F39B2" w:rsidRPr="0096646A" w:rsidRDefault="00F12348" w:rsidP="001B7326">
      <w:pPr>
        <w:numPr>
          <w:ilvl w:val="2"/>
          <w:numId w:val="30"/>
        </w:numPr>
        <w:rPr>
          <w:rFonts w:asciiTheme="minorHAnsi" w:hAnsiTheme="minorHAnsi" w:cstheme="minorHAnsi"/>
          <w:lang w:val="en-NZ"/>
        </w:rPr>
      </w:pPr>
      <w:r w:rsidRPr="00F11D2E">
        <w:rPr>
          <w:rFonts w:asciiTheme="minorHAnsi" w:hAnsiTheme="minorHAnsi" w:cstheme="minorHAnsi"/>
          <w:color w:val="000000"/>
        </w:rPr>
        <w:t xml:space="preserve">this difference </w:t>
      </w:r>
      <w:r w:rsidR="005F39B2" w:rsidRPr="00F11D2E">
        <w:rPr>
          <w:rFonts w:asciiTheme="minorHAnsi" w:hAnsiTheme="minorHAnsi" w:cstheme="minorHAnsi"/>
          <w:color w:val="000000"/>
        </w:rPr>
        <w:t xml:space="preserve">will be calculated for both the right and left hemisphere recordings and mean value defined as [right hemisphere + left hemisphere]/ 2. </w:t>
      </w:r>
    </w:p>
    <w:p w14:paraId="1CBA859E" w14:textId="3AA4C68E" w:rsidR="0096646A" w:rsidRDefault="0096646A" w:rsidP="0096646A">
      <w:pPr>
        <w:rPr>
          <w:rFonts w:asciiTheme="minorHAnsi" w:hAnsiTheme="minorHAnsi" w:cstheme="minorHAnsi"/>
          <w:color w:val="000000"/>
        </w:rPr>
      </w:pPr>
    </w:p>
    <w:p w14:paraId="5E620C5A" w14:textId="7280BF92" w:rsidR="0096646A" w:rsidRDefault="0096646A" w:rsidP="0096646A">
      <w:pPr>
        <w:rPr>
          <w:rFonts w:asciiTheme="minorHAnsi" w:hAnsiTheme="minorHAnsi" w:cstheme="minorHAnsi"/>
          <w:color w:val="000000"/>
        </w:rPr>
      </w:pPr>
    </w:p>
    <w:p w14:paraId="50422CF0" w14:textId="77777777" w:rsidR="0096646A" w:rsidRPr="00F11D2E" w:rsidRDefault="0096646A" w:rsidP="0096646A">
      <w:pPr>
        <w:rPr>
          <w:rFonts w:asciiTheme="minorHAnsi" w:hAnsiTheme="minorHAnsi" w:cstheme="minorHAnsi"/>
          <w:lang w:val="en-NZ"/>
        </w:rPr>
      </w:pPr>
    </w:p>
    <w:p w14:paraId="6EF5438E" w14:textId="77777777" w:rsidR="0096646A" w:rsidRDefault="00F12348" w:rsidP="0058224B">
      <w:pPr>
        <w:numPr>
          <w:ilvl w:val="1"/>
          <w:numId w:val="30"/>
        </w:numPr>
        <w:rPr>
          <w:rFonts w:asciiTheme="minorHAnsi" w:hAnsiTheme="minorHAnsi" w:cstheme="minorHAnsi"/>
          <w:lang w:val="en-NZ"/>
        </w:rPr>
      </w:pPr>
      <w:r w:rsidRPr="00F11D2E">
        <w:rPr>
          <w:rFonts w:asciiTheme="minorHAnsi" w:hAnsiTheme="minorHAnsi" w:cstheme="minorHAnsi"/>
          <w:lang w:val="en-NZ"/>
        </w:rPr>
        <w:t xml:space="preserve">Secondary outcome – </w:t>
      </w:r>
    </w:p>
    <w:p w14:paraId="275CCE92" w14:textId="522D91C0" w:rsidR="005F39B2" w:rsidRDefault="00F12348"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Incidence of cerebral desaturation events (defined as a fall of 20% below baseline values and/or an absolute measured cerebral oxygenation value of 55% or less in either hemisphere)</w:t>
      </w:r>
      <w:r w:rsidR="001F0A79" w:rsidRPr="00F11D2E">
        <w:rPr>
          <w:rFonts w:asciiTheme="minorHAnsi" w:hAnsiTheme="minorHAnsi" w:cstheme="minorHAnsi"/>
          <w:lang w:val="en-NZ"/>
        </w:rPr>
        <w:t>.</w:t>
      </w:r>
    </w:p>
    <w:p w14:paraId="393D53A2" w14:textId="219679AC" w:rsidR="0096646A" w:rsidRPr="00F11D2E" w:rsidRDefault="0096646A" w:rsidP="0096646A">
      <w:pPr>
        <w:numPr>
          <w:ilvl w:val="2"/>
          <w:numId w:val="30"/>
        </w:numPr>
        <w:rPr>
          <w:rFonts w:asciiTheme="minorHAnsi" w:hAnsiTheme="minorHAnsi" w:cstheme="minorHAnsi"/>
          <w:lang w:val="en-NZ"/>
        </w:rPr>
      </w:pPr>
      <w:r>
        <w:rPr>
          <w:rFonts w:asciiTheme="minorHAnsi" w:hAnsiTheme="minorHAnsi" w:cstheme="minorHAnsi"/>
          <w:lang w:val="en-NZ"/>
        </w:rPr>
        <w:t>Mean change in cerebral oximetry for each ethnic group represented.</w:t>
      </w:r>
    </w:p>
    <w:p w14:paraId="75B29B0D" w14:textId="77777777" w:rsidR="00875812" w:rsidRPr="00F11D2E" w:rsidRDefault="00875812" w:rsidP="00875812">
      <w:pPr>
        <w:ind w:left="1800"/>
        <w:rPr>
          <w:rFonts w:asciiTheme="minorHAnsi" w:hAnsiTheme="minorHAnsi" w:cstheme="minorHAnsi"/>
          <w:lang w:val="en-NZ"/>
        </w:rPr>
      </w:pPr>
    </w:p>
    <w:p w14:paraId="350230AC" w14:textId="76FA595A" w:rsidR="00A04217" w:rsidRPr="001B7326" w:rsidRDefault="00A04217" w:rsidP="001B7326">
      <w:pPr>
        <w:numPr>
          <w:ilvl w:val="0"/>
          <w:numId w:val="30"/>
        </w:numPr>
        <w:rPr>
          <w:rFonts w:asciiTheme="minorHAnsi" w:hAnsiTheme="minorHAnsi" w:cstheme="minorHAnsi"/>
          <w:lang w:val="en-NZ"/>
        </w:rPr>
      </w:pPr>
      <w:r w:rsidRPr="001B7326">
        <w:rPr>
          <w:rFonts w:asciiTheme="minorHAnsi" w:hAnsiTheme="minorHAnsi" w:cstheme="minorHAnsi"/>
          <w:lang w:val="en-NZ"/>
        </w:rPr>
        <w:t>Sample size calculations.</w:t>
      </w:r>
    </w:p>
    <w:p w14:paraId="4D1C0BC5" w14:textId="421BCE58" w:rsidR="00821A35" w:rsidRPr="001B7326" w:rsidRDefault="007D03CF" w:rsidP="001B7326">
      <w:pPr>
        <w:pStyle w:val="CommentText"/>
        <w:numPr>
          <w:ilvl w:val="1"/>
          <w:numId w:val="30"/>
        </w:numPr>
        <w:rPr>
          <w:rFonts w:asciiTheme="minorHAnsi" w:hAnsiTheme="minorHAnsi"/>
          <w:sz w:val="24"/>
        </w:rPr>
      </w:pPr>
      <w:r w:rsidRPr="001B7326">
        <w:rPr>
          <w:rFonts w:asciiTheme="minorHAnsi" w:hAnsiTheme="minorHAnsi" w:cstheme="minorHAnsi"/>
          <w:sz w:val="24"/>
          <w:szCs w:val="24"/>
          <w:lang w:val="en-AU"/>
        </w:rPr>
        <w:t xml:space="preserve">A recent series by Cox et al </w:t>
      </w:r>
      <w:r w:rsidR="00821A35" w:rsidRPr="001B7326">
        <w:rPr>
          <w:rFonts w:asciiTheme="minorHAnsi" w:hAnsiTheme="minorHAnsi"/>
          <w:sz w:val="24"/>
        </w:rPr>
        <w:t>presented a complete dataset of NIRS values in forty patients across multiple phases of arthroscopic surgery in the beach chair position</w:t>
      </w:r>
      <w:r w:rsidR="008E0B9C">
        <w:rPr>
          <w:rStyle w:val="EndnoteReference"/>
          <w:rFonts w:asciiTheme="minorHAnsi" w:hAnsiTheme="minorHAnsi"/>
          <w:sz w:val="24"/>
        </w:rPr>
        <w:endnoteReference w:id="8"/>
      </w:r>
      <w:r w:rsidR="00821A35" w:rsidRPr="001B7326">
        <w:rPr>
          <w:rFonts w:asciiTheme="minorHAnsi" w:hAnsiTheme="minorHAnsi"/>
          <w:sz w:val="24"/>
        </w:rPr>
        <w:t>. This information was used to derive the mean and associated standard deviations of NIRS values between the baseline (or awake) value to the conclusion of surgery which includes the operative phase during which the patient was anaesthetised and in the beach chair position. The mean change in NIRS value between these two phases was 1.65% with an associated standard deviation of 7.3%.</w:t>
      </w:r>
    </w:p>
    <w:p w14:paraId="47FC60A7" w14:textId="77777777" w:rsidR="00821A35" w:rsidRPr="001B7326" w:rsidRDefault="00821A35" w:rsidP="00821A35">
      <w:pPr>
        <w:pStyle w:val="CommentText"/>
        <w:rPr>
          <w:rFonts w:asciiTheme="minorHAnsi" w:hAnsiTheme="minorHAnsi"/>
          <w:sz w:val="24"/>
        </w:rPr>
      </w:pPr>
    </w:p>
    <w:p w14:paraId="3814C993" w14:textId="320BBECA" w:rsidR="00821A35" w:rsidRPr="008E0B9C" w:rsidRDefault="00821A35" w:rsidP="008E0B9C">
      <w:pPr>
        <w:pStyle w:val="CommentText"/>
        <w:numPr>
          <w:ilvl w:val="1"/>
          <w:numId w:val="30"/>
        </w:numPr>
        <w:rPr>
          <w:rFonts w:asciiTheme="minorHAnsi" w:hAnsiTheme="minorHAnsi"/>
          <w:sz w:val="24"/>
        </w:rPr>
      </w:pPr>
      <w:r w:rsidRPr="001B7326">
        <w:rPr>
          <w:rFonts w:asciiTheme="minorHAnsi" w:hAnsiTheme="minorHAnsi"/>
          <w:sz w:val="24"/>
        </w:rPr>
        <w:t xml:space="preserve">We consider an absolute difference in NIRS values between the two groups of </w:t>
      </w:r>
      <w:r w:rsidR="001F72EB">
        <w:rPr>
          <w:rFonts w:asciiTheme="minorHAnsi" w:hAnsiTheme="minorHAnsi"/>
          <w:sz w:val="24"/>
        </w:rPr>
        <w:t>6</w:t>
      </w:r>
      <w:r w:rsidRPr="001B7326">
        <w:rPr>
          <w:rFonts w:asciiTheme="minorHAnsi" w:hAnsiTheme="minorHAnsi"/>
          <w:sz w:val="24"/>
        </w:rPr>
        <w:t xml:space="preserve">% to be clinically relevant. This </w:t>
      </w:r>
      <w:proofErr w:type="gramStart"/>
      <w:r w:rsidRPr="001B7326">
        <w:rPr>
          <w:rFonts w:asciiTheme="minorHAnsi" w:hAnsiTheme="minorHAnsi"/>
          <w:sz w:val="24"/>
        </w:rPr>
        <w:t>is in agreement</w:t>
      </w:r>
      <w:proofErr w:type="gramEnd"/>
      <w:r w:rsidRPr="001B7326">
        <w:rPr>
          <w:rFonts w:asciiTheme="minorHAnsi" w:hAnsiTheme="minorHAnsi"/>
          <w:sz w:val="24"/>
        </w:rPr>
        <w:t xml:space="preserve"> with the power calculations provided by </w:t>
      </w:r>
      <w:proofErr w:type="spellStart"/>
      <w:r w:rsidRPr="001B7326">
        <w:rPr>
          <w:rFonts w:asciiTheme="minorHAnsi" w:hAnsiTheme="minorHAnsi"/>
          <w:sz w:val="24"/>
        </w:rPr>
        <w:t>Picton</w:t>
      </w:r>
      <w:proofErr w:type="spellEnd"/>
      <w:r w:rsidRPr="001B7326">
        <w:rPr>
          <w:rFonts w:asciiTheme="minorHAnsi" w:hAnsiTheme="minorHAnsi"/>
          <w:sz w:val="24"/>
        </w:rPr>
        <w:t xml:space="preserve"> et al</w:t>
      </w:r>
      <w:r w:rsidR="008E0B9C" w:rsidRPr="008E0B9C">
        <w:rPr>
          <w:rFonts w:asciiTheme="minorHAnsi" w:hAnsiTheme="minorHAnsi"/>
          <w:sz w:val="24"/>
          <w:vertAlign w:val="superscript"/>
        </w:rPr>
        <w:fldChar w:fldCharType="begin"/>
      </w:r>
      <w:r w:rsidR="008E0B9C" w:rsidRPr="008E0B9C">
        <w:rPr>
          <w:rFonts w:asciiTheme="minorHAnsi" w:hAnsiTheme="minorHAnsi"/>
          <w:sz w:val="24"/>
          <w:vertAlign w:val="superscript"/>
        </w:rPr>
        <w:instrText xml:space="preserve"> NOTEREF _Ref70770655 \h </w:instrText>
      </w:r>
      <w:r w:rsidR="008E0B9C">
        <w:rPr>
          <w:rFonts w:asciiTheme="minorHAnsi" w:hAnsiTheme="minorHAnsi"/>
          <w:sz w:val="24"/>
          <w:vertAlign w:val="superscript"/>
        </w:rPr>
        <w:instrText xml:space="preserve"> \* MERGEFORMAT </w:instrText>
      </w:r>
      <w:r w:rsidR="008E0B9C" w:rsidRPr="008E0B9C">
        <w:rPr>
          <w:rFonts w:asciiTheme="minorHAnsi" w:hAnsiTheme="minorHAnsi"/>
          <w:sz w:val="24"/>
          <w:vertAlign w:val="superscript"/>
        </w:rPr>
      </w:r>
      <w:r w:rsidR="008E0B9C" w:rsidRPr="008E0B9C">
        <w:rPr>
          <w:rFonts w:asciiTheme="minorHAnsi" w:hAnsiTheme="minorHAnsi"/>
          <w:sz w:val="24"/>
          <w:vertAlign w:val="superscript"/>
        </w:rPr>
        <w:fldChar w:fldCharType="separate"/>
      </w:r>
      <w:r w:rsidR="008E0B9C" w:rsidRPr="008E0B9C">
        <w:rPr>
          <w:rFonts w:asciiTheme="minorHAnsi" w:hAnsiTheme="minorHAnsi"/>
          <w:sz w:val="24"/>
          <w:vertAlign w:val="superscript"/>
        </w:rPr>
        <w:t>5</w:t>
      </w:r>
      <w:r w:rsidR="008E0B9C" w:rsidRPr="008E0B9C">
        <w:rPr>
          <w:rFonts w:asciiTheme="minorHAnsi" w:hAnsiTheme="minorHAnsi"/>
          <w:sz w:val="24"/>
          <w:vertAlign w:val="superscript"/>
        </w:rPr>
        <w:fldChar w:fldCharType="end"/>
      </w:r>
      <w:r w:rsidR="008E0B9C" w:rsidRPr="008E0B9C">
        <w:rPr>
          <w:rFonts w:asciiTheme="minorHAnsi" w:hAnsiTheme="minorHAnsi"/>
          <w:sz w:val="24"/>
          <w:vertAlign w:val="superscript"/>
        </w:rPr>
        <w:t xml:space="preserve"> </w:t>
      </w:r>
      <w:r w:rsidRPr="008E0B9C">
        <w:rPr>
          <w:rFonts w:asciiTheme="minorHAnsi" w:hAnsiTheme="minorHAnsi"/>
          <w:sz w:val="24"/>
        </w:rPr>
        <w:t>for a study comparing the effect of anaesthetic techniques in patients undergoing shoulder surgery in the beach chair position. Here a difference of NIRS values between the two groups of 4-5% was regarded as a clinically relevant difference.</w:t>
      </w:r>
    </w:p>
    <w:p w14:paraId="1085DD41" w14:textId="77777777" w:rsidR="00821A35" w:rsidRPr="001B7326" w:rsidRDefault="00821A35" w:rsidP="00821A35">
      <w:pPr>
        <w:pStyle w:val="CommentText"/>
        <w:rPr>
          <w:rFonts w:asciiTheme="minorHAnsi" w:hAnsiTheme="minorHAnsi"/>
          <w:sz w:val="24"/>
        </w:rPr>
      </w:pPr>
    </w:p>
    <w:p w14:paraId="7D42C070" w14:textId="62AA00B0" w:rsidR="00875812" w:rsidRDefault="001F72EB" w:rsidP="000A042F">
      <w:pPr>
        <w:pStyle w:val="CommentText"/>
        <w:numPr>
          <w:ilvl w:val="1"/>
          <w:numId w:val="30"/>
        </w:numPr>
        <w:rPr>
          <w:rFonts w:asciiTheme="minorHAnsi" w:hAnsiTheme="minorHAnsi"/>
          <w:sz w:val="24"/>
        </w:rPr>
      </w:pPr>
      <w:r>
        <w:rPr>
          <w:rFonts w:asciiTheme="minorHAnsi" w:hAnsiTheme="minorHAnsi"/>
          <w:sz w:val="24"/>
        </w:rPr>
        <w:t>Based on a minimum clinical difference of 6%, a standard deviation of 7.3</w:t>
      </w:r>
      <w:r w:rsidR="0096646A">
        <w:rPr>
          <w:rFonts w:asciiTheme="minorHAnsi" w:hAnsiTheme="minorHAnsi"/>
          <w:sz w:val="24"/>
        </w:rPr>
        <w:t xml:space="preserve">%, a power of 90% and a </w:t>
      </w:r>
      <w:proofErr w:type="gramStart"/>
      <w:r w:rsidR="0096646A">
        <w:rPr>
          <w:rFonts w:asciiTheme="minorHAnsi" w:hAnsiTheme="minorHAnsi"/>
          <w:sz w:val="24"/>
        </w:rPr>
        <w:t>two sided</w:t>
      </w:r>
      <w:proofErr w:type="gramEnd"/>
      <w:r w:rsidR="0096646A">
        <w:rPr>
          <w:rFonts w:asciiTheme="minorHAnsi" w:hAnsiTheme="minorHAnsi"/>
          <w:sz w:val="24"/>
        </w:rPr>
        <w:t xml:space="preserve"> alpha value of 0.05 we would need a sample size of 30 patients. Accounting for protocol violations and a study </w:t>
      </w:r>
      <w:proofErr w:type="spellStart"/>
      <w:r w:rsidR="0096646A">
        <w:rPr>
          <w:rFonts w:asciiTheme="minorHAnsi" w:hAnsiTheme="minorHAnsi"/>
          <w:sz w:val="24"/>
        </w:rPr>
        <w:t>drop out</w:t>
      </w:r>
      <w:proofErr w:type="spellEnd"/>
      <w:r w:rsidR="0096646A">
        <w:rPr>
          <w:rFonts w:asciiTheme="minorHAnsi" w:hAnsiTheme="minorHAnsi"/>
          <w:sz w:val="24"/>
        </w:rPr>
        <w:t xml:space="preserve"> rate of 25%, we would need 20 in each group using a 1:1 ratio.</w:t>
      </w:r>
    </w:p>
    <w:p w14:paraId="45CD2848" w14:textId="77777777" w:rsidR="0096646A" w:rsidRDefault="0096646A" w:rsidP="0096646A">
      <w:pPr>
        <w:pStyle w:val="ListParagraph"/>
        <w:rPr>
          <w:rFonts w:asciiTheme="minorHAnsi" w:hAnsiTheme="minorHAnsi"/>
          <w:sz w:val="24"/>
        </w:rPr>
      </w:pPr>
    </w:p>
    <w:p w14:paraId="2EE94372" w14:textId="5BF63CA3" w:rsidR="0096646A" w:rsidRDefault="0096646A" w:rsidP="000A042F">
      <w:pPr>
        <w:pStyle w:val="CommentText"/>
        <w:numPr>
          <w:ilvl w:val="1"/>
          <w:numId w:val="30"/>
        </w:numPr>
        <w:rPr>
          <w:rFonts w:asciiTheme="minorHAnsi" w:hAnsiTheme="minorHAnsi"/>
          <w:sz w:val="24"/>
        </w:rPr>
      </w:pPr>
      <w:r>
        <w:rPr>
          <w:rFonts w:asciiTheme="minorHAnsi" w:hAnsiTheme="minorHAnsi"/>
          <w:sz w:val="24"/>
        </w:rPr>
        <w:t xml:space="preserve">Our power calculation was completed by Christin </w:t>
      </w:r>
      <w:proofErr w:type="spellStart"/>
      <w:r>
        <w:rPr>
          <w:rFonts w:asciiTheme="minorHAnsi" w:hAnsiTheme="minorHAnsi"/>
          <w:sz w:val="24"/>
        </w:rPr>
        <w:t>Coomarasamay</w:t>
      </w:r>
      <w:proofErr w:type="spellEnd"/>
      <w:r>
        <w:rPr>
          <w:rFonts w:asciiTheme="minorHAnsi" w:hAnsiTheme="minorHAnsi"/>
          <w:sz w:val="24"/>
        </w:rPr>
        <w:t>, Biostatistician with the Counties Manukau Health Research Office.</w:t>
      </w:r>
    </w:p>
    <w:p w14:paraId="453A556F" w14:textId="77777777" w:rsidR="0096646A" w:rsidRDefault="0096646A" w:rsidP="0096646A">
      <w:pPr>
        <w:pStyle w:val="ListParagraph"/>
        <w:rPr>
          <w:rFonts w:asciiTheme="minorHAnsi" w:hAnsiTheme="minorHAnsi"/>
          <w:sz w:val="24"/>
        </w:rPr>
      </w:pPr>
    </w:p>
    <w:p w14:paraId="10812377" w14:textId="77777777" w:rsidR="0096646A" w:rsidRPr="0096646A" w:rsidRDefault="0096646A" w:rsidP="0096646A">
      <w:pPr>
        <w:pStyle w:val="CommentText"/>
        <w:ind w:left="1440"/>
        <w:rPr>
          <w:rFonts w:asciiTheme="minorHAnsi" w:hAnsiTheme="minorHAnsi"/>
          <w:sz w:val="24"/>
        </w:rPr>
      </w:pPr>
    </w:p>
    <w:p w14:paraId="301212A6" w14:textId="66F1F555" w:rsidR="00A04217"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 xml:space="preserve">Procedure – </w:t>
      </w:r>
      <w:r w:rsidR="00D96B6B" w:rsidRPr="00F11D2E">
        <w:rPr>
          <w:rFonts w:asciiTheme="minorHAnsi" w:hAnsiTheme="minorHAnsi" w:cstheme="minorHAnsi"/>
          <w:lang w:val="en-NZ"/>
        </w:rPr>
        <w:t>please see Appendix 1.</w:t>
      </w:r>
    </w:p>
    <w:p w14:paraId="6B5D9FCF" w14:textId="77777777" w:rsidR="00D96B6B" w:rsidRPr="00F11D2E" w:rsidRDefault="00D96B6B" w:rsidP="00D96B6B">
      <w:pPr>
        <w:ind w:left="720"/>
        <w:rPr>
          <w:rFonts w:asciiTheme="minorHAnsi" w:hAnsiTheme="minorHAnsi" w:cstheme="minorHAnsi"/>
          <w:lang w:val="en-NZ"/>
        </w:rPr>
      </w:pPr>
    </w:p>
    <w:p w14:paraId="40622DD1" w14:textId="2BF0C097" w:rsidR="00A04217" w:rsidRPr="00F11D2E" w:rsidRDefault="00D96B6B" w:rsidP="001B7326">
      <w:pPr>
        <w:numPr>
          <w:ilvl w:val="0"/>
          <w:numId w:val="30"/>
        </w:numPr>
        <w:rPr>
          <w:rFonts w:asciiTheme="minorHAnsi" w:hAnsiTheme="minorHAnsi" w:cstheme="minorHAnsi"/>
          <w:lang w:val="en-NZ"/>
        </w:rPr>
      </w:pPr>
      <w:r w:rsidRPr="00F11D2E">
        <w:rPr>
          <w:rFonts w:asciiTheme="minorHAnsi" w:hAnsiTheme="minorHAnsi" w:cstheme="minorHAnsi"/>
        </w:rPr>
        <w:t xml:space="preserve">Randomisation – a series of opaque envelopes containing treatment group assignations will be prepared by a nurse not otherwise affiliated with the study. </w:t>
      </w:r>
      <w:r w:rsidR="004F2615" w:rsidRPr="00F11D2E">
        <w:rPr>
          <w:rFonts w:asciiTheme="minorHAnsi" w:hAnsiTheme="minorHAnsi" w:cstheme="minorHAnsi"/>
        </w:rPr>
        <w:t xml:space="preserve"> These envelopes will be sequentially labelled with the patient study numbers (01-40). </w:t>
      </w:r>
    </w:p>
    <w:p w14:paraId="6087188C" w14:textId="77777777" w:rsidR="00D96B6B" w:rsidRPr="00F11D2E" w:rsidRDefault="00D96B6B" w:rsidP="00D96B6B">
      <w:pPr>
        <w:rPr>
          <w:rFonts w:asciiTheme="minorHAnsi" w:hAnsiTheme="minorHAnsi" w:cstheme="minorHAnsi"/>
          <w:lang w:val="en-NZ"/>
        </w:rPr>
      </w:pPr>
    </w:p>
    <w:p w14:paraId="118477A8" w14:textId="1072708B" w:rsidR="00A04217"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Recruitment proces</w:t>
      </w:r>
      <w:r w:rsidR="00D96B6B" w:rsidRPr="00F11D2E">
        <w:rPr>
          <w:rFonts w:asciiTheme="minorHAnsi" w:hAnsiTheme="minorHAnsi" w:cstheme="minorHAnsi"/>
          <w:lang w:val="en-NZ"/>
        </w:rPr>
        <w:t>s</w:t>
      </w:r>
      <w:r w:rsidR="004F2615" w:rsidRPr="00F11D2E">
        <w:rPr>
          <w:rFonts w:asciiTheme="minorHAnsi" w:hAnsiTheme="minorHAnsi" w:cstheme="minorHAnsi"/>
          <w:lang w:val="en-NZ"/>
        </w:rPr>
        <w:t xml:space="preserve">. Theatre lists will be screened in advance of the surgical date, and patients who meet eligibility criteria will be contacted by phone by one of the investigators, or one of the departmental research nurses. The study will be outlined and patients will be asked if they wish to consider participating. Those who are interested in participating will be emailed a copy of the </w:t>
      </w:r>
      <w:r w:rsidR="004F2615" w:rsidRPr="00F11D2E">
        <w:rPr>
          <w:rFonts w:asciiTheme="minorHAnsi" w:hAnsiTheme="minorHAnsi" w:cstheme="minorHAnsi"/>
          <w:lang w:val="en-NZ"/>
        </w:rPr>
        <w:lastRenderedPageBreak/>
        <w:t>Patient Information Sheet (Appendix 2).</w:t>
      </w:r>
      <w:r w:rsidR="003529BF" w:rsidRPr="00F11D2E">
        <w:rPr>
          <w:rFonts w:asciiTheme="minorHAnsi" w:hAnsiTheme="minorHAnsi" w:cstheme="minorHAnsi"/>
          <w:lang w:val="en-NZ"/>
        </w:rPr>
        <w:t xml:space="preserve"> An investigator will subsequently contact them to answer any questions and confirm whether the patient wishes to participate.</w:t>
      </w:r>
    </w:p>
    <w:p w14:paraId="1BBD3744" w14:textId="77777777" w:rsidR="00D96B6B" w:rsidRPr="00F11D2E" w:rsidRDefault="00D96B6B" w:rsidP="00D96B6B">
      <w:pPr>
        <w:rPr>
          <w:rFonts w:asciiTheme="minorHAnsi" w:hAnsiTheme="minorHAnsi" w:cstheme="minorHAnsi"/>
          <w:lang w:val="en-NZ"/>
        </w:rPr>
      </w:pPr>
    </w:p>
    <w:p w14:paraId="21EF1B82" w14:textId="101532FB" w:rsidR="00A04217"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Visit schedule</w:t>
      </w:r>
      <w:r w:rsidR="002356F6" w:rsidRPr="00F11D2E">
        <w:rPr>
          <w:rFonts w:asciiTheme="minorHAnsi" w:hAnsiTheme="minorHAnsi" w:cstheme="minorHAnsi"/>
          <w:lang w:val="en-NZ"/>
        </w:rPr>
        <w:t>. All data will be collected during the intraoperative period. There will be no additional visits or extensions, no additional surveys or questionnaires and no additional investigations. There will be no extension to any element of the perioperative journey (</w:t>
      </w:r>
      <w:proofErr w:type="spellStart"/>
      <w:r w:rsidR="002356F6" w:rsidRPr="00F11D2E">
        <w:rPr>
          <w:rFonts w:asciiTheme="minorHAnsi" w:hAnsiTheme="minorHAnsi" w:cstheme="minorHAnsi"/>
          <w:lang w:val="en-NZ"/>
        </w:rPr>
        <w:t>eg</w:t>
      </w:r>
      <w:proofErr w:type="spellEnd"/>
      <w:r w:rsidR="002356F6" w:rsidRPr="00F11D2E">
        <w:rPr>
          <w:rFonts w:asciiTheme="minorHAnsi" w:hAnsiTheme="minorHAnsi" w:cstheme="minorHAnsi"/>
          <w:lang w:val="en-NZ"/>
        </w:rPr>
        <w:t xml:space="preserve"> </w:t>
      </w:r>
      <w:r w:rsidR="00F11D2E">
        <w:rPr>
          <w:rFonts w:asciiTheme="minorHAnsi" w:hAnsiTheme="minorHAnsi" w:cstheme="minorHAnsi"/>
          <w:lang w:val="en-NZ"/>
        </w:rPr>
        <w:t>time</w:t>
      </w:r>
      <w:r w:rsidR="002356F6" w:rsidRPr="00F11D2E">
        <w:rPr>
          <w:rFonts w:asciiTheme="minorHAnsi" w:hAnsiTheme="minorHAnsi" w:cstheme="minorHAnsi"/>
          <w:lang w:val="en-NZ"/>
        </w:rPr>
        <w:t xml:space="preserve"> in PACU).</w:t>
      </w:r>
    </w:p>
    <w:p w14:paraId="554D20BB" w14:textId="77777777" w:rsidR="002356F6" w:rsidRPr="00F11D2E" w:rsidRDefault="002356F6" w:rsidP="002356F6">
      <w:pPr>
        <w:rPr>
          <w:rFonts w:asciiTheme="minorHAnsi" w:hAnsiTheme="minorHAnsi" w:cstheme="minorHAnsi"/>
          <w:lang w:val="en-NZ"/>
        </w:rPr>
      </w:pPr>
    </w:p>
    <w:p w14:paraId="6CFF1BE5" w14:textId="2D3DDA40" w:rsidR="00A04217" w:rsidRPr="00F11D2E"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Follow-up assessments</w:t>
      </w:r>
      <w:r w:rsidR="002356F6" w:rsidRPr="00F11D2E">
        <w:rPr>
          <w:rFonts w:asciiTheme="minorHAnsi" w:hAnsiTheme="minorHAnsi" w:cstheme="minorHAnsi"/>
          <w:lang w:val="en-NZ"/>
        </w:rPr>
        <w:t>. There will be no follow up assessments.</w:t>
      </w:r>
    </w:p>
    <w:p w14:paraId="38EA9048" w14:textId="77777777" w:rsidR="002356F6" w:rsidRPr="00F11D2E" w:rsidRDefault="002356F6" w:rsidP="002356F6">
      <w:pPr>
        <w:rPr>
          <w:rFonts w:asciiTheme="minorHAnsi" w:hAnsiTheme="minorHAnsi" w:cstheme="minorHAnsi"/>
          <w:lang w:val="en-NZ"/>
        </w:rPr>
      </w:pPr>
    </w:p>
    <w:p w14:paraId="0A7A12DD" w14:textId="24C6758E" w:rsidR="00E64681" w:rsidRDefault="00A04217" w:rsidP="001B7326">
      <w:pPr>
        <w:numPr>
          <w:ilvl w:val="0"/>
          <w:numId w:val="30"/>
        </w:numPr>
        <w:rPr>
          <w:rFonts w:asciiTheme="minorHAnsi" w:hAnsiTheme="minorHAnsi" w:cstheme="minorHAnsi"/>
          <w:lang w:val="en-NZ"/>
        </w:rPr>
      </w:pPr>
      <w:r w:rsidRPr="00F11D2E">
        <w:rPr>
          <w:rFonts w:asciiTheme="minorHAnsi" w:hAnsiTheme="minorHAnsi" w:cstheme="minorHAnsi"/>
          <w:lang w:val="en-NZ"/>
        </w:rPr>
        <w:t xml:space="preserve">Variables being collected </w:t>
      </w:r>
    </w:p>
    <w:p w14:paraId="354BB067" w14:textId="77777777" w:rsidR="0096646A" w:rsidRDefault="0096646A" w:rsidP="0096646A">
      <w:pPr>
        <w:pStyle w:val="ListParagraph"/>
        <w:rPr>
          <w:rFonts w:asciiTheme="minorHAnsi" w:hAnsiTheme="minorHAnsi" w:cstheme="minorHAnsi"/>
        </w:rPr>
      </w:pPr>
    </w:p>
    <w:p w14:paraId="6C9899A8" w14:textId="1655B79F" w:rsidR="0096646A" w:rsidRPr="00F11D2E" w:rsidRDefault="0096646A" w:rsidP="0096646A">
      <w:pPr>
        <w:numPr>
          <w:ilvl w:val="1"/>
          <w:numId w:val="30"/>
        </w:numPr>
        <w:rPr>
          <w:rFonts w:asciiTheme="minorHAnsi" w:hAnsiTheme="minorHAnsi" w:cstheme="minorHAnsi"/>
          <w:lang w:val="en-NZ"/>
        </w:rPr>
      </w:pPr>
      <w:r>
        <w:rPr>
          <w:rFonts w:asciiTheme="minorHAnsi" w:hAnsiTheme="minorHAnsi" w:cstheme="minorHAnsi"/>
          <w:lang w:val="en-NZ"/>
        </w:rPr>
        <w:t>Preoperatively….</w:t>
      </w:r>
    </w:p>
    <w:p w14:paraId="5FF435AD" w14:textId="6EA0521D" w:rsidR="00E64681" w:rsidRPr="00F11D2E"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Demographic (age, gender, ethnicity)</w:t>
      </w:r>
    </w:p>
    <w:p w14:paraId="177B0CF0" w14:textId="1DCC5B8F" w:rsidR="00E64681" w:rsidRPr="00F11D2E"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Planned surgical procedure</w:t>
      </w:r>
    </w:p>
    <w:p w14:paraId="1259DC25" w14:textId="3E9C7FBA" w:rsidR="00E64681"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 xml:space="preserve">Physical status (height, weight, comorbidities, American Society of </w:t>
      </w:r>
      <w:proofErr w:type="spellStart"/>
      <w:r w:rsidRPr="00F11D2E">
        <w:rPr>
          <w:rFonts w:asciiTheme="minorHAnsi" w:hAnsiTheme="minorHAnsi" w:cstheme="minorHAnsi"/>
          <w:lang w:val="en-NZ"/>
        </w:rPr>
        <w:t>Anesthesiologists</w:t>
      </w:r>
      <w:proofErr w:type="spellEnd"/>
      <w:r w:rsidRPr="00F11D2E">
        <w:rPr>
          <w:rFonts w:asciiTheme="minorHAnsi" w:hAnsiTheme="minorHAnsi" w:cstheme="minorHAnsi"/>
          <w:lang w:val="en-NZ"/>
        </w:rPr>
        <w:t xml:space="preserve"> physical status score)</w:t>
      </w:r>
    </w:p>
    <w:p w14:paraId="14DCDAEA" w14:textId="6DF408C6" w:rsidR="0096646A" w:rsidRDefault="0096646A" w:rsidP="0096646A">
      <w:pPr>
        <w:numPr>
          <w:ilvl w:val="2"/>
          <w:numId w:val="30"/>
        </w:numPr>
        <w:rPr>
          <w:rFonts w:asciiTheme="minorHAnsi" w:hAnsiTheme="minorHAnsi" w:cstheme="minorHAnsi"/>
          <w:lang w:val="en-NZ"/>
        </w:rPr>
      </w:pPr>
      <w:r>
        <w:rPr>
          <w:rFonts w:asciiTheme="minorHAnsi" w:hAnsiTheme="minorHAnsi" w:cstheme="minorHAnsi"/>
          <w:lang w:val="en-NZ"/>
        </w:rPr>
        <w:t>Blood pressure on admission</w:t>
      </w:r>
    </w:p>
    <w:p w14:paraId="40BAEE14" w14:textId="41A7A233" w:rsidR="0096646A" w:rsidRPr="00F11D2E" w:rsidRDefault="0096646A" w:rsidP="0096646A">
      <w:pPr>
        <w:numPr>
          <w:ilvl w:val="1"/>
          <w:numId w:val="30"/>
        </w:numPr>
        <w:rPr>
          <w:rFonts w:asciiTheme="minorHAnsi" w:hAnsiTheme="minorHAnsi" w:cstheme="minorHAnsi"/>
          <w:lang w:val="en-NZ"/>
        </w:rPr>
      </w:pPr>
      <w:r>
        <w:rPr>
          <w:rFonts w:asciiTheme="minorHAnsi" w:hAnsiTheme="minorHAnsi" w:cstheme="minorHAnsi"/>
          <w:lang w:val="en-NZ"/>
        </w:rPr>
        <w:t>Intraoperatively…</w:t>
      </w:r>
    </w:p>
    <w:p w14:paraId="4546EC6F" w14:textId="4082095B" w:rsidR="00E64681" w:rsidRPr="0096646A"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Baseline and intraoperative cerebral oximetry values</w:t>
      </w:r>
    </w:p>
    <w:p w14:paraId="4D6349E1" w14:textId="29C67C55" w:rsidR="00E64681" w:rsidRPr="00F11D2E"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Intraoperative controlled variables (angle of ‘beach chair’ operating table, end tidal sevoflurane, end tidal O</w:t>
      </w:r>
      <w:r w:rsidRPr="00F11D2E">
        <w:rPr>
          <w:rFonts w:asciiTheme="minorHAnsi" w:hAnsiTheme="minorHAnsi" w:cstheme="minorHAnsi"/>
          <w:vertAlign w:val="subscript"/>
          <w:lang w:val="en-NZ"/>
        </w:rPr>
        <w:t>2</w:t>
      </w:r>
      <w:r w:rsidRPr="00F11D2E">
        <w:rPr>
          <w:rFonts w:asciiTheme="minorHAnsi" w:hAnsiTheme="minorHAnsi" w:cstheme="minorHAnsi"/>
          <w:lang w:val="en-NZ"/>
        </w:rPr>
        <w:t>)</w:t>
      </w:r>
    </w:p>
    <w:p w14:paraId="6D4A87C1" w14:textId="2A2EAD3B" w:rsidR="00E64681" w:rsidRPr="00F11D2E"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Physiological variables (heart rate, blood pressure, end tidal CO</w:t>
      </w:r>
      <w:r w:rsidRPr="00F11D2E">
        <w:rPr>
          <w:rFonts w:asciiTheme="minorHAnsi" w:hAnsiTheme="minorHAnsi" w:cstheme="minorHAnsi"/>
          <w:vertAlign w:val="subscript"/>
          <w:lang w:val="en-NZ"/>
        </w:rPr>
        <w:t>2</w:t>
      </w:r>
      <w:r w:rsidRPr="00F11D2E">
        <w:rPr>
          <w:rFonts w:asciiTheme="minorHAnsi" w:hAnsiTheme="minorHAnsi" w:cstheme="minorHAnsi"/>
          <w:lang w:val="en-NZ"/>
        </w:rPr>
        <w:t xml:space="preserve">). </w:t>
      </w:r>
    </w:p>
    <w:p w14:paraId="5BB86C6A" w14:textId="2A2132F9" w:rsidR="00E64681" w:rsidRPr="00F11D2E" w:rsidRDefault="00E64681" w:rsidP="0096646A">
      <w:pPr>
        <w:numPr>
          <w:ilvl w:val="2"/>
          <w:numId w:val="30"/>
        </w:numPr>
        <w:rPr>
          <w:rFonts w:asciiTheme="minorHAnsi" w:hAnsiTheme="minorHAnsi" w:cstheme="minorHAnsi"/>
          <w:lang w:val="en-NZ"/>
        </w:rPr>
      </w:pPr>
      <w:r w:rsidRPr="00F11D2E">
        <w:rPr>
          <w:rFonts w:asciiTheme="minorHAnsi" w:hAnsiTheme="minorHAnsi" w:cstheme="minorHAnsi"/>
          <w:lang w:val="en-NZ"/>
        </w:rPr>
        <w:t>Intraoperative medication administered.</w:t>
      </w:r>
    </w:p>
    <w:p w14:paraId="0BD324CB" w14:textId="77777777" w:rsidR="00110A40" w:rsidRPr="00F11D2E" w:rsidRDefault="00110A40" w:rsidP="00110A40">
      <w:pPr>
        <w:rPr>
          <w:rFonts w:asciiTheme="minorHAnsi" w:hAnsiTheme="minorHAnsi" w:cstheme="minorHAnsi"/>
          <w:lang w:val="en-NZ"/>
        </w:rPr>
      </w:pPr>
    </w:p>
    <w:p w14:paraId="52D7BBE4" w14:textId="388FF6D1" w:rsidR="00380849" w:rsidRPr="0058224B" w:rsidRDefault="00A04217" w:rsidP="00380849">
      <w:pPr>
        <w:numPr>
          <w:ilvl w:val="0"/>
          <w:numId w:val="30"/>
        </w:numPr>
        <w:rPr>
          <w:rFonts w:asciiTheme="minorHAnsi" w:hAnsiTheme="minorHAnsi" w:cstheme="minorHAnsi"/>
          <w:lang w:val="en-NZ"/>
        </w:rPr>
      </w:pPr>
      <w:r w:rsidRPr="0058224B">
        <w:rPr>
          <w:rFonts w:asciiTheme="minorHAnsi" w:hAnsiTheme="minorHAnsi" w:cstheme="minorHAnsi"/>
          <w:lang w:val="en-NZ"/>
        </w:rPr>
        <w:t>Analysis plan</w:t>
      </w:r>
    </w:p>
    <w:p w14:paraId="4385FE27" w14:textId="77777777" w:rsidR="00380849" w:rsidRPr="0058224B" w:rsidRDefault="00380849" w:rsidP="00380849">
      <w:pPr>
        <w:pStyle w:val="CommentText"/>
        <w:numPr>
          <w:ilvl w:val="1"/>
          <w:numId w:val="30"/>
        </w:numPr>
        <w:rPr>
          <w:rFonts w:asciiTheme="minorHAnsi" w:hAnsiTheme="minorHAnsi" w:cstheme="minorHAnsi"/>
          <w:sz w:val="24"/>
          <w:szCs w:val="24"/>
        </w:rPr>
      </w:pPr>
      <w:r w:rsidRPr="0058224B">
        <w:rPr>
          <w:rFonts w:asciiTheme="minorHAnsi" w:hAnsiTheme="minorHAnsi" w:cstheme="minorHAnsi"/>
          <w:sz w:val="24"/>
          <w:szCs w:val="24"/>
        </w:rPr>
        <w:t>Patient data will be stored in a password protected Microsoft Excel spreadsheet on a secure research server within the Department of Anaesthesia and Pain Medicine at Counties Manukau Health. The statistical analysis will be completed on an intention to treat basis with those completing the process blinded to group allocations. To avoid the assumption of normality of data, non-parametric statistical tests will be used to compare the two groups. Continuous variables will be compared using the Mann-Whitney U test and discrete or binomial variables compared with the Fisher Exact or the Chi Square test with or without the Yates correction as appropriate. A two-tailed p-value of less than 0.05 will define statistical significance. The statistical analysis will be completed with SPSS Version 27.0 (IBM, New York, United States) by a researcher who is versed in the analysis of trial information in Anaesthesia and Perioperative Medicine. The analysis will be completed using blinded data whereby the researcher is unaware of the group allocation meaning bias is not introduced to the analysis.</w:t>
      </w:r>
    </w:p>
    <w:p w14:paraId="0673F2C4" w14:textId="77777777" w:rsidR="00380849" w:rsidRPr="0058224B" w:rsidRDefault="00380849" w:rsidP="00380849">
      <w:pPr>
        <w:pStyle w:val="CommentText"/>
        <w:ind w:left="720"/>
        <w:rPr>
          <w:rFonts w:asciiTheme="minorHAnsi" w:hAnsiTheme="minorHAnsi" w:cstheme="minorHAnsi"/>
          <w:sz w:val="24"/>
          <w:szCs w:val="24"/>
        </w:rPr>
      </w:pPr>
    </w:p>
    <w:p w14:paraId="06D40058" w14:textId="77777777" w:rsidR="00E137B6" w:rsidRDefault="00380849" w:rsidP="00380849">
      <w:pPr>
        <w:pStyle w:val="CommentText"/>
        <w:numPr>
          <w:ilvl w:val="1"/>
          <w:numId w:val="30"/>
        </w:numPr>
        <w:rPr>
          <w:rFonts w:asciiTheme="minorHAnsi" w:hAnsiTheme="minorHAnsi" w:cstheme="minorHAnsi"/>
          <w:sz w:val="24"/>
          <w:szCs w:val="24"/>
        </w:rPr>
      </w:pPr>
      <w:r w:rsidRPr="0058224B">
        <w:rPr>
          <w:rFonts w:asciiTheme="minorHAnsi" w:hAnsiTheme="minorHAnsi" w:cstheme="minorHAnsi"/>
          <w:sz w:val="24"/>
          <w:szCs w:val="24"/>
        </w:rPr>
        <w:t xml:space="preserve">Baseline demographic data will be collected including age, sex, comorbidities, baseline drug consumption (e.g., antihypertensives etc), indication for surgery, surgical procedure </w:t>
      </w:r>
    </w:p>
    <w:p w14:paraId="0E1DD8E3" w14:textId="77777777" w:rsidR="00E137B6" w:rsidRDefault="00E137B6" w:rsidP="00E137B6">
      <w:pPr>
        <w:pStyle w:val="ListParagraph"/>
        <w:rPr>
          <w:rFonts w:asciiTheme="minorHAnsi" w:hAnsiTheme="minorHAnsi" w:cstheme="minorHAnsi"/>
          <w:sz w:val="24"/>
          <w:szCs w:val="24"/>
        </w:rPr>
      </w:pPr>
    </w:p>
    <w:p w14:paraId="2934FF74" w14:textId="03163AA2" w:rsidR="00380849" w:rsidRPr="0058224B" w:rsidRDefault="00380849" w:rsidP="00E137B6">
      <w:pPr>
        <w:pStyle w:val="CommentText"/>
        <w:ind w:left="1440"/>
        <w:rPr>
          <w:rFonts w:asciiTheme="minorHAnsi" w:hAnsiTheme="minorHAnsi" w:cstheme="minorHAnsi"/>
          <w:sz w:val="24"/>
          <w:szCs w:val="24"/>
        </w:rPr>
      </w:pPr>
      <w:r w:rsidRPr="0058224B">
        <w:rPr>
          <w:rFonts w:asciiTheme="minorHAnsi" w:hAnsiTheme="minorHAnsi" w:cstheme="minorHAnsi"/>
          <w:sz w:val="24"/>
          <w:szCs w:val="24"/>
        </w:rPr>
        <w:t>performed, duration of surgery, drugs and doses used for anaesthesia induction and maintenance and the conduct and performance of the regional anaesthetic block procedure. This will help derive a baseline dataset to ensure the randomisation procedure has produced two groups with comparable demographics.</w:t>
      </w:r>
    </w:p>
    <w:p w14:paraId="7138CC18" w14:textId="77777777" w:rsidR="00380849" w:rsidRPr="0058224B" w:rsidRDefault="00380849" w:rsidP="00380849">
      <w:pPr>
        <w:pStyle w:val="CommentText"/>
        <w:ind w:left="720"/>
        <w:rPr>
          <w:rFonts w:asciiTheme="minorHAnsi" w:hAnsiTheme="minorHAnsi" w:cstheme="minorHAnsi"/>
          <w:sz w:val="24"/>
          <w:szCs w:val="24"/>
        </w:rPr>
      </w:pPr>
    </w:p>
    <w:p w14:paraId="2AFAB572" w14:textId="77777777" w:rsidR="00380849" w:rsidRPr="0058224B" w:rsidRDefault="00380849" w:rsidP="00380849">
      <w:pPr>
        <w:pStyle w:val="CommentText"/>
        <w:numPr>
          <w:ilvl w:val="1"/>
          <w:numId w:val="30"/>
        </w:numPr>
        <w:rPr>
          <w:rFonts w:asciiTheme="minorHAnsi" w:hAnsiTheme="minorHAnsi" w:cstheme="minorHAnsi"/>
          <w:sz w:val="24"/>
          <w:szCs w:val="24"/>
        </w:rPr>
      </w:pPr>
      <w:r w:rsidRPr="0058224B">
        <w:rPr>
          <w:rFonts w:asciiTheme="minorHAnsi" w:hAnsiTheme="minorHAnsi" w:cstheme="minorHAnsi"/>
          <w:sz w:val="24"/>
          <w:szCs w:val="24"/>
        </w:rPr>
        <w:t>For the primary outcome (cerebral oximetry values for both the right and left hemisphere and the mean value) will be treated as both time dependent and time independent variables. For the time dependent analysis, the area under the curve (AUC) for cerebral oximetry versus time between anaesthesia induction and surgical wound closure and application of dressings with the patient still in the beach chair position will be calculated for both the right and left hemisphere recordings and mean value defined as [right hemisphere + left hemisphere]/ 2. This value will be divided by the duration of the operation (in seconds) to produce a value for AUC/t.  For the time independent analysis, the average cerebral oximetry recording over a thirty second window at the time of anaesthesia induction and at the time of surgical wound closure with the patient still in the beach chair position will be subtracted from one another to define the difference in cerebral saturations between the two times. For both analyses, the Mann Whitney U test will be used to detect a difference between the two groups.</w:t>
      </w:r>
    </w:p>
    <w:p w14:paraId="6F0FB2A6" w14:textId="77777777" w:rsidR="00380849" w:rsidRPr="0058224B" w:rsidRDefault="00380849" w:rsidP="0058224B">
      <w:pPr>
        <w:pStyle w:val="CommentText"/>
        <w:ind w:left="720"/>
        <w:rPr>
          <w:rFonts w:asciiTheme="minorHAnsi" w:hAnsiTheme="minorHAnsi" w:cstheme="minorHAnsi"/>
          <w:sz w:val="24"/>
          <w:szCs w:val="24"/>
        </w:rPr>
      </w:pPr>
    </w:p>
    <w:p w14:paraId="634F44C1" w14:textId="31E9FDA7" w:rsidR="00F11D2E" w:rsidRPr="0058224B" w:rsidRDefault="00380849" w:rsidP="0058224B">
      <w:pPr>
        <w:pStyle w:val="CommentText"/>
        <w:numPr>
          <w:ilvl w:val="1"/>
          <w:numId w:val="30"/>
        </w:numPr>
        <w:rPr>
          <w:rFonts w:asciiTheme="minorHAnsi" w:hAnsiTheme="minorHAnsi" w:cstheme="minorHAnsi"/>
          <w:sz w:val="24"/>
          <w:szCs w:val="24"/>
        </w:rPr>
      </w:pPr>
      <w:r w:rsidRPr="0058224B">
        <w:rPr>
          <w:rFonts w:asciiTheme="minorHAnsi" w:hAnsiTheme="minorHAnsi" w:cstheme="minorHAnsi"/>
          <w:sz w:val="24"/>
          <w:szCs w:val="24"/>
        </w:rPr>
        <w:t>Should enough information be available, the data from both the spontaneously breathing and intermittent positive pressure ventilation groups will be pooled to conduct a multivariate analysis of factors predictive of changes in the mean cerebral oximetry values over time (AUC/t). Patient and anaesthetic specific factors will be entered to this model to determine the predictors of changes in cerebral oximetry over time</w:t>
      </w:r>
    </w:p>
    <w:p w14:paraId="2E1B4838" w14:textId="63E1AA4D" w:rsidR="00A04217" w:rsidRPr="00F11D2E" w:rsidRDefault="00A04217" w:rsidP="00F11D2E">
      <w:pPr>
        <w:spacing w:before="120"/>
        <w:rPr>
          <w:rFonts w:asciiTheme="minorHAnsi" w:hAnsiTheme="minorHAnsi" w:cstheme="minorHAnsi"/>
          <w:b/>
          <w:i/>
        </w:rPr>
      </w:pPr>
      <w:r w:rsidRPr="00F11D2E">
        <w:rPr>
          <w:rFonts w:asciiTheme="minorHAnsi" w:hAnsiTheme="minorHAnsi" w:cstheme="minorHAnsi"/>
          <w:b/>
          <w:i/>
        </w:rPr>
        <w:t>E) Ethics and safety</w:t>
      </w:r>
    </w:p>
    <w:p w14:paraId="67AE6701" w14:textId="464229B9" w:rsidR="00A04217" w:rsidRPr="00F11D2E" w:rsidRDefault="00A04217" w:rsidP="00F11D2E">
      <w:pPr>
        <w:pStyle w:val="ListParagraph"/>
        <w:numPr>
          <w:ilvl w:val="0"/>
          <w:numId w:val="29"/>
        </w:numPr>
        <w:rPr>
          <w:rFonts w:asciiTheme="minorHAnsi" w:hAnsiTheme="minorHAnsi" w:cstheme="minorHAnsi"/>
        </w:rPr>
      </w:pPr>
      <w:r w:rsidRPr="00F11D2E">
        <w:rPr>
          <w:rFonts w:asciiTheme="minorHAnsi" w:hAnsiTheme="minorHAnsi" w:cstheme="minorHAnsi"/>
          <w:b/>
        </w:rPr>
        <w:t>Participant safety</w:t>
      </w:r>
    </w:p>
    <w:p w14:paraId="603130C8" w14:textId="730D98D2" w:rsidR="009536BA" w:rsidRPr="00F11D2E" w:rsidRDefault="009536BA" w:rsidP="00F11D2E">
      <w:pPr>
        <w:pStyle w:val="ListParagraph"/>
        <w:rPr>
          <w:rFonts w:asciiTheme="minorHAnsi" w:hAnsiTheme="minorHAnsi" w:cstheme="minorHAnsi"/>
          <w:lang w:val="en-AU"/>
        </w:rPr>
      </w:pPr>
      <w:r w:rsidRPr="00F11D2E">
        <w:rPr>
          <w:rFonts w:asciiTheme="minorHAnsi" w:hAnsiTheme="minorHAnsi" w:cstheme="minorHAnsi"/>
          <w:lang w:val="en-AU"/>
        </w:rPr>
        <w:t xml:space="preserve">Regardless of treatment arm, all patients will receive anaesthetic care which is entirely consistent with safe, contemporary practice. </w:t>
      </w:r>
    </w:p>
    <w:p w14:paraId="7347799E" w14:textId="5A295753" w:rsidR="009536BA" w:rsidRPr="00F11D2E" w:rsidRDefault="009536BA" w:rsidP="00A04217">
      <w:pPr>
        <w:ind w:firstLine="720"/>
        <w:rPr>
          <w:rFonts w:asciiTheme="minorHAnsi" w:hAnsiTheme="minorHAnsi" w:cstheme="minorHAnsi"/>
          <w:lang w:val="en-NZ"/>
        </w:rPr>
      </w:pPr>
    </w:p>
    <w:p w14:paraId="28B28953" w14:textId="7D8A3401" w:rsidR="00A04217" w:rsidRPr="00F11D2E" w:rsidRDefault="00A04217" w:rsidP="00F11D2E">
      <w:pPr>
        <w:pStyle w:val="ListParagraph"/>
        <w:numPr>
          <w:ilvl w:val="0"/>
          <w:numId w:val="29"/>
        </w:numPr>
        <w:rPr>
          <w:rFonts w:asciiTheme="minorHAnsi" w:hAnsiTheme="minorHAnsi" w:cstheme="minorHAnsi"/>
        </w:rPr>
      </w:pPr>
      <w:r w:rsidRPr="00F11D2E">
        <w:rPr>
          <w:rFonts w:asciiTheme="minorHAnsi" w:hAnsiTheme="minorHAnsi" w:cstheme="minorHAnsi"/>
          <w:b/>
        </w:rPr>
        <w:t>Informed consent</w:t>
      </w:r>
      <w:r w:rsidRPr="00F11D2E">
        <w:rPr>
          <w:rFonts w:asciiTheme="minorHAnsi" w:hAnsiTheme="minorHAnsi" w:cstheme="minorHAnsi"/>
        </w:rPr>
        <w:t>;</w:t>
      </w:r>
    </w:p>
    <w:p w14:paraId="629E8B14" w14:textId="7055BFD0" w:rsidR="009536BA" w:rsidRDefault="009536BA" w:rsidP="00F11D2E">
      <w:pPr>
        <w:pStyle w:val="ListParagraph"/>
        <w:rPr>
          <w:rFonts w:asciiTheme="minorHAnsi" w:hAnsiTheme="minorHAnsi" w:cstheme="minorHAnsi"/>
        </w:rPr>
      </w:pPr>
      <w:r w:rsidRPr="00F11D2E">
        <w:rPr>
          <w:rFonts w:asciiTheme="minorHAnsi" w:hAnsiTheme="minorHAnsi" w:cstheme="minorHAnsi"/>
        </w:rPr>
        <w:t>Refer Appendix 2 (Patient Information Sheet and Consent Form)</w:t>
      </w:r>
    </w:p>
    <w:p w14:paraId="24AC8FD1" w14:textId="77777777" w:rsidR="00F11D2E" w:rsidRPr="00F11D2E" w:rsidRDefault="00F11D2E" w:rsidP="00F11D2E">
      <w:pPr>
        <w:pStyle w:val="ListParagraph"/>
        <w:rPr>
          <w:rFonts w:asciiTheme="minorHAnsi" w:hAnsiTheme="minorHAnsi" w:cstheme="minorHAnsi"/>
        </w:rPr>
      </w:pPr>
    </w:p>
    <w:p w14:paraId="644B0792" w14:textId="16A5A998" w:rsidR="00A04217" w:rsidRPr="00F11D2E" w:rsidRDefault="00A04217" w:rsidP="00F11D2E">
      <w:pPr>
        <w:pStyle w:val="ListParagraph"/>
        <w:numPr>
          <w:ilvl w:val="0"/>
          <w:numId w:val="29"/>
        </w:numPr>
        <w:rPr>
          <w:rFonts w:asciiTheme="minorHAnsi" w:hAnsiTheme="minorHAnsi" w:cstheme="minorHAnsi"/>
        </w:rPr>
      </w:pPr>
      <w:r w:rsidRPr="00F11D2E">
        <w:rPr>
          <w:rFonts w:asciiTheme="minorHAnsi" w:hAnsiTheme="minorHAnsi" w:cstheme="minorHAnsi"/>
          <w:b/>
        </w:rPr>
        <w:t>Confidentiality</w:t>
      </w:r>
      <w:r w:rsidRPr="00F11D2E">
        <w:rPr>
          <w:rFonts w:asciiTheme="minorHAnsi" w:hAnsiTheme="minorHAnsi" w:cstheme="minorHAnsi"/>
        </w:rPr>
        <w:t>;</w:t>
      </w:r>
    </w:p>
    <w:p w14:paraId="266EF489" w14:textId="0B160525" w:rsidR="009536BA" w:rsidRDefault="009536BA" w:rsidP="00F11D2E">
      <w:pPr>
        <w:pStyle w:val="ListParagraph"/>
        <w:rPr>
          <w:rFonts w:asciiTheme="minorHAnsi" w:hAnsiTheme="minorHAnsi" w:cstheme="minorHAnsi"/>
        </w:rPr>
      </w:pPr>
      <w:r w:rsidRPr="00F11D2E">
        <w:rPr>
          <w:rFonts w:asciiTheme="minorHAnsi" w:hAnsiTheme="minorHAnsi" w:cstheme="minorHAnsi"/>
        </w:rPr>
        <w:t>Refer Appendix 3 (Data Management Plan)</w:t>
      </w:r>
    </w:p>
    <w:p w14:paraId="66D0031A" w14:textId="77777777" w:rsidR="00F11D2E" w:rsidRPr="00F11D2E" w:rsidRDefault="00F11D2E" w:rsidP="00F11D2E">
      <w:pPr>
        <w:pStyle w:val="ListParagraph"/>
        <w:rPr>
          <w:rFonts w:asciiTheme="minorHAnsi" w:hAnsiTheme="minorHAnsi" w:cstheme="minorHAnsi"/>
        </w:rPr>
      </w:pPr>
    </w:p>
    <w:p w14:paraId="2D6E64C0" w14:textId="30552705" w:rsidR="00A04217" w:rsidRPr="00F11D2E" w:rsidRDefault="00A04217" w:rsidP="00F11D2E">
      <w:pPr>
        <w:pStyle w:val="ListParagraph"/>
        <w:numPr>
          <w:ilvl w:val="0"/>
          <w:numId w:val="29"/>
        </w:numPr>
        <w:rPr>
          <w:rFonts w:asciiTheme="minorHAnsi" w:hAnsiTheme="minorHAnsi" w:cstheme="minorHAnsi"/>
        </w:rPr>
      </w:pPr>
      <w:r w:rsidRPr="00F11D2E">
        <w:rPr>
          <w:rFonts w:asciiTheme="minorHAnsi" w:hAnsiTheme="minorHAnsi" w:cstheme="minorHAnsi"/>
          <w:b/>
        </w:rPr>
        <w:t>Safety monitoring</w:t>
      </w:r>
    </w:p>
    <w:p w14:paraId="433D976E" w14:textId="5513F228" w:rsidR="009536BA" w:rsidRDefault="009536BA" w:rsidP="00F11D2E">
      <w:pPr>
        <w:pStyle w:val="ListParagraph"/>
        <w:rPr>
          <w:rFonts w:asciiTheme="minorHAnsi" w:hAnsiTheme="minorHAnsi" w:cstheme="minorHAnsi"/>
          <w:lang w:val="en-AU"/>
        </w:rPr>
      </w:pPr>
      <w:r w:rsidRPr="00F11D2E">
        <w:rPr>
          <w:rFonts w:asciiTheme="minorHAnsi" w:hAnsiTheme="minorHAnsi" w:cstheme="minorHAnsi"/>
          <w:lang w:val="en-AU"/>
        </w:rPr>
        <w:t xml:space="preserve">Major adverse events will be reported to the CMH Research Office. All adverse events will be reported to the CMH Department of Anaesthesia Quality Assurance Committee. </w:t>
      </w:r>
    </w:p>
    <w:p w14:paraId="793DD014" w14:textId="77777777" w:rsidR="00F11D2E" w:rsidRPr="00F11D2E" w:rsidRDefault="00F11D2E" w:rsidP="00F11D2E">
      <w:pPr>
        <w:pStyle w:val="ListParagraph"/>
        <w:rPr>
          <w:rFonts w:asciiTheme="minorHAnsi" w:hAnsiTheme="minorHAnsi" w:cstheme="minorHAnsi"/>
        </w:rPr>
      </w:pPr>
    </w:p>
    <w:p w14:paraId="7F1BE520" w14:textId="039495AD" w:rsidR="00A04217" w:rsidRDefault="00A04217" w:rsidP="00F11D2E">
      <w:pPr>
        <w:pStyle w:val="ListParagraph"/>
        <w:numPr>
          <w:ilvl w:val="0"/>
          <w:numId w:val="29"/>
        </w:numPr>
        <w:rPr>
          <w:rFonts w:asciiTheme="minorHAnsi" w:hAnsiTheme="minorHAnsi" w:cstheme="minorHAnsi"/>
        </w:rPr>
      </w:pPr>
      <w:r w:rsidRPr="00F11D2E">
        <w:rPr>
          <w:rFonts w:asciiTheme="minorHAnsi" w:hAnsiTheme="minorHAnsi" w:cstheme="minorHAnsi"/>
          <w:b/>
        </w:rPr>
        <w:t>Relevant consultation</w:t>
      </w:r>
      <w:r w:rsidRPr="00F11D2E">
        <w:rPr>
          <w:rFonts w:asciiTheme="minorHAnsi" w:hAnsiTheme="minorHAnsi" w:cstheme="minorHAnsi"/>
        </w:rPr>
        <w:t xml:space="preserve"> </w:t>
      </w:r>
    </w:p>
    <w:p w14:paraId="763ECF1B" w14:textId="4644AE57" w:rsidR="00F11D2E" w:rsidRPr="00F11D2E" w:rsidRDefault="00F11D2E" w:rsidP="00F11D2E">
      <w:pPr>
        <w:pStyle w:val="ListParagraph"/>
        <w:rPr>
          <w:rFonts w:asciiTheme="minorHAnsi" w:hAnsiTheme="minorHAnsi" w:cstheme="minorHAnsi"/>
        </w:rPr>
      </w:pPr>
      <w:r>
        <w:rPr>
          <w:rFonts w:asciiTheme="minorHAnsi" w:hAnsiTheme="minorHAnsi" w:cstheme="minorHAnsi"/>
        </w:rPr>
        <w:t xml:space="preserve">Refer Appendix 4 (Letter of Recommendation – </w:t>
      </w:r>
      <w:proofErr w:type="spellStart"/>
      <w:r>
        <w:rPr>
          <w:rFonts w:asciiTheme="minorHAnsi" w:hAnsiTheme="minorHAnsi" w:cstheme="minorHAnsi"/>
        </w:rPr>
        <w:t>Taia</w:t>
      </w:r>
      <w:proofErr w:type="spellEnd"/>
      <w:r>
        <w:rPr>
          <w:rFonts w:asciiTheme="minorHAnsi" w:hAnsiTheme="minorHAnsi" w:cstheme="minorHAnsi"/>
        </w:rPr>
        <w:t xml:space="preserve"> </w:t>
      </w:r>
      <w:proofErr w:type="spellStart"/>
      <w:r>
        <w:rPr>
          <w:rFonts w:asciiTheme="minorHAnsi" w:hAnsiTheme="minorHAnsi" w:cstheme="minorHAnsi"/>
        </w:rPr>
        <w:t>te</w:t>
      </w:r>
      <w:proofErr w:type="spellEnd"/>
      <w:r>
        <w:rPr>
          <w:rFonts w:asciiTheme="minorHAnsi" w:hAnsiTheme="minorHAnsi" w:cstheme="minorHAnsi"/>
        </w:rPr>
        <w:t xml:space="preserve"> Hauora)</w:t>
      </w:r>
    </w:p>
    <w:p w14:paraId="35ACE21A" w14:textId="77777777" w:rsidR="009536BA" w:rsidRPr="00F11D2E" w:rsidRDefault="009536BA" w:rsidP="00A04217">
      <w:pPr>
        <w:rPr>
          <w:rFonts w:asciiTheme="minorHAnsi" w:hAnsiTheme="minorHAnsi" w:cstheme="minorHAnsi"/>
          <w:lang w:val="en-NZ"/>
        </w:rPr>
      </w:pPr>
    </w:p>
    <w:p w14:paraId="5330749C" w14:textId="446AD16B" w:rsidR="006C0F4C" w:rsidRPr="00F11D2E" w:rsidRDefault="006C0F4C" w:rsidP="00F11D2E">
      <w:pPr>
        <w:pStyle w:val="ListParagraph"/>
        <w:numPr>
          <w:ilvl w:val="0"/>
          <w:numId w:val="29"/>
        </w:numPr>
        <w:rPr>
          <w:rFonts w:asciiTheme="minorHAnsi" w:hAnsiTheme="minorHAnsi" w:cstheme="minorHAnsi"/>
        </w:rPr>
      </w:pPr>
      <w:r w:rsidRPr="00F11D2E">
        <w:rPr>
          <w:rFonts w:asciiTheme="minorHAnsi" w:hAnsiTheme="minorHAnsi" w:cstheme="minorHAnsi"/>
          <w:b/>
        </w:rPr>
        <w:lastRenderedPageBreak/>
        <w:t xml:space="preserve">Data </w:t>
      </w:r>
      <w:r w:rsidR="00945E4C" w:rsidRPr="00F11D2E">
        <w:rPr>
          <w:rFonts w:asciiTheme="minorHAnsi" w:hAnsiTheme="minorHAnsi" w:cstheme="minorHAnsi"/>
          <w:b/>
        </w:rPr>
        <w:t>S</w:t>
      </w:r>
      <w:r w:rsidRPr="00F11D2E">
        <w:rPr>
          <w:rFonts w:asciiTheme="minorHAnsi" w:hAnsiTheme="minorHAnsi" w:cstheme="minorHAnsi"/>
          <w:b/>
        </w:rPr>
        <w:t xml:space="preserve">torage / </w:t>
      </w:r>
      <w:r w:rsidR="006C090B" w:rsidRPr="00F11D2E">
        <w:rPr>
          <w:rFonts w:asciiTheme="minorHAnsi" w:hAnsiTheme="minorHAnsi" w:cstheme="minorHAnsi"/>
          <w:b/>
        </w:rPr>
        <w:t xml:space="preserve">Data </w:t>
      </w:r>
      <w:r w:rsidR="00945E4C" w:rsidRPr="00F11D2E">
        <w:rPr>
          <w:rFonts w:asciiTheme="minorHAnsi" w:hAnsiTheme="minorHAnsi" w:cstheme="minorHAnsi"/>
          <w:b/>
        </w:rPr>
        <w:t>P</w:t>
      </w:r>
      <w:r w:rsidRPr="00F11D2E">
        <w:rPr>
          <w:rFonts w:asciiTheme="minorHAnsi" w:hAnsiTheme="minorHAnsi" w:cstheme="minorHAnsi"/>
          <w:b/>
        </w:rPr>
        <w:t>rotection</w:t>
      </w:r>
      <w:r w:rsidR="00945E4C" w:rsidRPr="00F11D2E">
        <w:rPr>
          <w:rFonts w:asciiTheme="minorHAnsi" w:hAnsiTheme="minorHAnsi" w:cstheme="minorHAnsi"/>
          <w:b/>
        </w:rPr>
        <w:t xml:space="preserve"> / Data Privacy</w:t>
      </w:r>
      <w:r w:rsidRPr="00F11D2E">
        <w:rPr>
          <w:rFonts w:asciiTheme="minorHAnsi" w:hAnsiTheme="minorHAnsi" w:cstheme="minorHAnsi"/>
        </w:rPr>
        <w:t>:</w:t>
      </w:r>
    </w:p>
    <w:p w14:paraId="50F0C4C5" w14:textId="3BA6F772" w:rsidR="009536BA" w:rsidRPr="00F11D2E" w:rsidRDefault="009536BA" w:rsidP="00F11D2E">
      <w:pPr>
        <w:pStyle w:val="ListParagraph"/>
        <w:numPr>
          <w:ilvl w:val="0"/>
          <w:numId w:val="29"/>
        </w:numPr>
        <w:rPr>
          <w:rFonts w:asciiTheme="minorHAnsi" w:hAnsiTheme="minorHAnsi" w:cstheme="minorHAnsi"/>
          <w:bCs/>
        </w:rPr>
      </w:pPr>
      <w:r w:rsidRPr="00F11D2E">
        <w:rPr>
          <w:rFonts w:asciiTheme="minorHAnsi" w:hAnsiTheme="minorHAnsi" w:cstheme="minorHAnsi"/>
          <w:bCs/>
        </w:rPr>
        <w:t>Refer Appendix 3 (Data Management Plan)</w:t>
      </w:r>
    </w:p>
    <w:p w14:paraId="0F6FA649" w14:textId="77777777" w:rsidR="00313674" w:rsidRPr="00F11D2E" w:rsidRDefault="00313674" w:rsidP="006C0F4C">
      <w:pPr>
        <w:ind w:left="720"/>
        <w:rPr>
          <w:rFonts w:asciiTheme="minorHAnsi" w:hAnsiTheme="minorHAnsi" w:cstheme="minorHAnsi"/>
          <w:bCs/>
          <w:lang w:val="en-NZ"/>
        </w:rPr>
      </w:pPr>
    </w:p>
    <w:p w14:paraId="04F65E5D" w14:textId="77777777" w:rsidR="0005685E" w:rsidRPr="00F11D2E" w:rsidRDefault="0005685E" w:rsidP="006C0F4C">
      <w:pPr>
        <w:ind w:left="720"/>
        <w:rPr>
          <w:rFonts w:asciiTheme="minorHAnsi" w:hAnsiTheme="minorHAnsi" w:cstheme="minorHAnsi"/>
          <w:b/>
          <w:i/>
          <w:lang w:val="en-NZ"/>
        </w:rPr>
      </w:pPr>
    </w:p>
    <w:tbl>
      <w:tblPr>
        <w:tblStyle w:val="TableGrid"/>
        <w:tblW w:w="0" w:type="auto"/>
        <w:tblLook w:val="04A0" w:firstRow="1" w:lastRow="0" w:firstColumn="1" w:lastColumn="0" w:noHBand="0" w:noVBand="1"/>
      </w:tblPr>
      <w:tblGrid>
        <w:gridCol w:w="222"/>
        <w:gridCol w:w="1359"/>
        <w:gridCol w:w="8612"/>
      </w:tblGrid>
      <w:tr w:rsidR="0005685E" w:rsidRPr="00F11D2E" w14:paraId="6C33CBD3" w14:textId="77777777" w:rsidTr="00C818B1">
        <w:trPr>
          <w:trHeight w:val="285"/>
        </w:trPr>
        <w:tc>
          <w:tcPr>
            <w:tcW w:w="817" w:type="dxa"/>
            <w:tcBorders>
              <w:top w:val="nil"/>
              <w:left w:val="nil"/>
              <w:bottom w:val="nil"/>
            </w:tcBorders>
            <w:shd w:val="clear" w:color="auto" w:fill="auto"/>
            <w:vAlign w:val="center"/>
          </w:tcPr>
          <w:p w14:paraId="7A8ED984" w14:textId="77777777" w:rsidR="0005685E" w:rsidRPr="00F11D2E" w:rsidRDefault="0005685E" w:rsidP="00965F9E">
            <w:pPr>
              <w:rPr>
                <w:rFonts w:asciiTheme="minorHAnsi" w:hAnsiTheme="minorHAnsi" w:cstheme="minorHAnsi"/>
                <w:b/>
              </w:rPr>
            </w:pPr>
          </w:p>
        </w:tc>
        <w:tc>
          <w:tcPr>
            <w:tcW w:w="9497" w:type="dxa"/>
            <w:gridSpan w:val="2"/>
            <w:shd w:val="clear" w:color="auto" w:fill="D9D9D9" w:themeFill="background1" w:themeFillShade="D9"/>
          </w:tcPr>
          <w:p w14:paraId="553BA4F2" w14:textId="77777777" w:rsidR="0005685E" w:rsidRPr="00F11D2E" w:rsidRDefault="0005685E" w:rsidP="0005685E">
            <w:pPr>
              <w:rPr>
                <w:rFonts w:asciiTheme="minorHAnsi" w:hAnsiTheme="minorHAnsi" w:cstheme="minorHAnsi"/>
                <w:b/>
              </w:rPr>
            </w:pPr>
            <w:r w:rsidRPr="00F11D2E">
              <w:rPr>
                <w:rFonts w:asciiTheme="minorHAnsi" w:hAnsiTheme="minorHAnsi" w:cstheme="minorHAnsi"/>
                <w:b/>
              </w:rPr>
              <w:t xml:space="preserve">By checking the boxes </w:t>
            </w:r>
            <w:proofErr w:type="gramStart"/>
            <w:r w:rsidRPr="00F11D2E">
              <w:rPr>
                <w:rFonts w:asciiTheme="minorHAnsi" w:hAnsiTheme="minorHAnsi" w:cstheme="minorHAnsi"/>
                <w:b/>
              </w:rPr>
              <w:t>below</w:t>
            </w:r>
            <w:proofErr w:type="gramEnd"/>
            <w:r w:rsidRPr="00F11D2E">
              <w:rPr>
                <w:rFonts w:asciiTheme="minorHAnsi" w:hAnsiTheme="minorHAnsi" w:cstheme="minorHAnsi"/>
                <w:b/>
              </w:rPr>
              <w:t xml:space="preserve"> I confirm that I Agree:</w:t>
            </w:r>
          </w:p>
        </w:tc>
      </w:tr>
      <w:tr w:rsidR="0005685E" w:rsidRPr="00F11D2E" w14:paraId="52DEAC75" w14:textId="77777777" w:rsidTr="0005685E">
        <w:trPr>
          <w:trHeight w:val="285"/>
        </w:trPr>
        <w:tc>
          <w:tcPr>
            <w:tcW w:w="817" w:type="dxa"/>
            <w:tcBorders>
              <w:top w:val="nil"/>
              <w:left w:val="nil"/>
              <w:bottom w:val="nil"/>
              <w:right w:val="single" w:sz="4" w:space="0" w:color="auto"/>
            </w:tcBorders>
          </w:tcPr>
          <w:p w14:paraId="1A1F5DC8" w14:textId="77777777" w:rsidR="0005685E" w:rsidRPr="00F11D2E" w:rsidRDefault="0005685E" w:rsidP="00965F9E">
            <w:pPr>
              <w:rPr>
                <w:rFonts w:asciiTheme="minorHAnsi" w:hAnsiTheme="minorHAnsi" w:cstheme="minorHAnsi"/>
              </w:rPr>
            </w:pPr>
          </w:p>
        </w:tc>
        <w:tc>
          <w:tcPr>
            <w:tcW w:w="1134" w:type="dxa"/>
            <w:tcBorders>
              <w:left w:val="single" w:sz="4" w:space="0" w:color="auto"/>
            </w:tcBorders>
          </w:tcPr>
          <w:p w14:paraId="405D8C83" w14:textId="15D7F640" w:rsidR="0005685E" w:rsidRPr="00F11D2E" w:rsidRDefault="00D10214" w:rsidP="00965F9E">
            <w:pPr>
              <w:jc w:val="center"/>
              <w:rPr>
                <w:rFonts w:asciiTheme="minorHAnsi" w:hAnsiTheme="minorHAnsi" w:cstheme="minorHAnsi"/>
              </w:rPr>
            </w:pPr>
            <w:sdt>
              <w:sdtPr>
                <w:rPr>
                  <w:rFonts w:asciiTheme="minorHAnsi" w:hAnsiTheme="minorHAnsi" w:cstheme="minorHAnsi"/>
                </w:rPr>
                <w:id w:val="-2038802860"/>
                <w14:checkbox>
                  <w14:checked w14:val="1"/>
                  <w14:checkedState w14:val="2612" w14:font="MS Gothic"/>
                  <w14:uncheckedState w14:val="2610" w14:font="MS Gothic"/>
                </w14:checkbox>
              </w:sdtPr>
              <w:sdtEndPr/>
              <w:sdtContent>
                <w:r w:rsidR="00E805BB" w:rsidRPr="00F11D2E">
                  <w:rPr>
                    <w:rFonts w:ascii="Segoe UI Symbol" w:eastAsia="MS Gothic" w:hAnsi="Segoe UI Symbol" w:cs="Segoe UI Symbol"/>
                  </w:rPr>
                  <w:t>☒</w:t>
                </w:r>
              </w:sdtContent>
            </w:sdt>
          </w:p>
        </w:tc>
        <w:tc>
          <w:tcPr>
            <w:tcW w:w="8363" w:type="dxa"/>
            <w:tcBorders>
              <w:top w:val="single" w:sz="4" w:space="0" w:color="auto"/>
              <w:bottom w:val="single" w:sz="4" w:space="0" w:color="auto"/>
            </w:tcBorders>
          </w:tcPr>
          <w:p w14:paraId="5FE442AC" w14:textId="77777777" w:rsidR="0005685E" w:rsidRPr="00F11D2E" w:rsidRDefault="0005685E" w:rsidP="0005685E">
            <w:pPr>
              <w:pStyle w:val="Default"/>
              <w:spacing w:after="117"/>
              <w:rPr>
                <w:rFonts w:asciiTheme="minorHAnsi" w:hAnsiTheme="minorHAnsi" w:cstheme="minorHAnsi"/>
              </w:rPr>
            </w:pPr>
            <w:r w:rsidRPr="00F11D2E">
              <w:rPr>
                <w:rFonts w:asciiTheme="minorHAnsi" w:hAnsiTheme="minorHAnsi" w:cstheme="minorHAnsi"/>
              </w:rPr>
              <w:t xml:space="preserve">I have read “Health Research and Privacy: Guidance notes for health researchers and ethics committees”* </w:t>
            </w:r>
          </w:p>
        </w:tc>
      </w:tr>
      <w:tr w:rsidR="0005685E" w:rsidRPr="00F11D2E" w14:paraId="76DB0733" w14:textId="77777777" w:rsidTr="0005685E">
        <w:trPr>
          <w:trHeight w:val="285"/>
        </w:trPr>
        <w:tc>
          <w:tcPr>
            <w:tcW w:w="817" w:type="dxa"/>
            <w:tcBorders>
              <w:top w:val="nil"/>
              <w:left w:val="nil"/>
              <w:bottom w:val="nil"/>
              <w:right w:val="single" w:sz="4" w:space="0" w:color="auto"/>
            </w:tcBorders>
          </w:tcPr>
          <w:p w14:paraId="438AD487" w14:textId="77777777" w:rsidR="0005685E" w:rsidRPr="00F11D2E" w:rsidRDefault="0005685E" w:rsidP="00965F9E">
            <w:pPr>
              <w:rPr>
                <w:rFonts w:asciiTheme="minorHAnsi" w:hAnsiTheme="minorHAnsi" w:cstheme="minorHAnsi"/>
              </w:rPr>
            </w:pPr>
          </w:p>
        </w:tc>
        <w:tc>
          <w:tcPr>
            <w:tcW w:w="1134" w:type="dxa"/>
            <w:tcBorders>
              <w:left w:val="single" w:sz="4" w:space="0" w:color="auto"/>
            </w:tcBorders>
          </w:tcPr>
          <w:p w14:paraId="40081895" w14:textId="4E4D90A9" w:rsidR="0005685E" w:rsidRPr="00F11D2E" w:rsidRDefault="00D10214" w:rsidP="00965F9E">
            <w:pPr>
              <w:jc w:val="center"/>
              <w:rPr>
                <w:rFonts w:asciiTheme="minorHAnsi" w:hAnsiTheme="minorHAnsi" w:cstheme="minorHAnsi"/>
              </w:rPr>
            </w:pPr>
            <w:sdt>
              <w:sdtPr>
                <w:rPr>
                  <w:rFonts w:asciiTheme="minorHAnsi" w:hAnsiTheme="minorHAnsi" w:cstheme="minorHAnsi"/>
                </w:rPr>
                <w:id w:val="572776367"/>
                <w14:checkbox>
                  <w14:checked w14:val="1"/>
                  <w14:checkedState w14:val="2612" w14:font="MS Gothic"/>
                  <w14:uncheckedState w14:val="2610" w14:font="MS Gothic"/>
                </w14:checkbox>
              </w:sdtPr>
              <w:sdtEndPr/>
              <w:sdtContent>
                <w:r w:rsidR="00E805BB" w:rsidRPr="00F11D2E">
                  <w:rPr>
                    <w:rFonts w:ascii="Segoe UI Symbol" w:eastAsia="MS Gothic" w:hAnsi="Segoe UI Symbol" w:cs="Segoe UI Symbol"/>
                  </w:rPr>
                  <w:t>☒</w:t>
                </w:r>
              </w:sdtContent>
            </w:sdt>
          </w:p>
        </w:tc>
        <w:tc>
          <w:tcPr>
            <w:tcW w:w="8363" w:type="dxa"/>
            <w:tcBorders>
              <w:top w:val="single" w:sz="4" w:space="0" w:color="auto"/>
              <w:bottom w:val="single" w:sz="4" w:space="0" w:color="auto"/>
            </w:tcBorders>
          </w:tcPr>
          <w:p w14:paraId="11A3E84B" w14:textId="77777777" w:rsidR="00922CC4" w:rsidRPr="00F11D2E" w:rsidRDefault="00922CC4" w:rsidP="00922CC4">
            <w:pPr>
              <w:spacing w:before="120" w:after="120"/>
              <w:rPr>
                <w:rFonts w:asciiTheme="minorHAnsi" w:hAnsiTheme="minorHAnsi" w:cstheme="minorHAnsi"/>
              </w:rPr>
            </w:pPr>
            <w:r w:rsidRPr="00F11D2E">
              <w:rPr>
                <w:rFonts w:asciiTheme="minorHAnsi" w:hAnsiTheme="minorHAnsi" w:cstheme="minorHAnsi"/>
              </w:rPr>
              <w:t xml:space="preserve">For all non-CM Health members of the research team who will have access to the research data: </w:t>
            </w:r>
          </w:p>
          <w:p w14:paraId="581348C1" w14:textId="77777777" w:rsidR="00922CC4" w:rsidRPr="00F11D2E" w:rsidRDefault="00922CC4" w:rsidP="00922CC4">
            <w:pPr>
              <w:pStyle w:val="Default"/>
              <w:spacing w:after="117"/>
              <w:rPr>
                <w:rFonts w:asciiTheme="minorHAnsi" w:hAnsiTheme="minorHAnsi" w:cstheme="minorHAnsi"/>
              </w:rPr>
            </w:pPr>
            <w:r w:rsidRPr="00F11D2E">
              <w:rPr>
                <w:rFonts w:asciiTheme="minorHAnsi" w:hAnsiTheme="minorHAnsi" w:cstheme="minorHAnsi"/>
              </w:rPr>
              <w:t xml:space="preserve">Signed confidentiality agreement(s) </w:t>
            </w:r>
            <w:r w:rsidRPr="00F11D2E">
              <w:rPr>
                <w:rFonts w:asciiTheme="minorHAnsi" w:hAnsiTheme="minorHAnsi" w:cstheme="minorHAnsi"/>
                <w:i/>
              </w:rPr>
              <w:t>(download</w:t>
            </w:r>
            <w:r w:rsidR="00386474" w:rsidRPr="00F11D2E">
              <w:rPr>
                <w:rFonts w:asciiTheme="minorHAnsi" w:hAnsiTheme="minorHAnsi" w:cstheme="minorHAnsi"/>
                <w:i/>
              </w:rPr>
              <w:t>ed</w:t>
            </w:r>
            <w:r w:rsidRPr="00F11D2E">
              <w:rPr>
                <w:rFonts w:asciiTheme="minorHAnsi" w:hAnsiTheme="minorHAnsi" w:cstheme="minorHAnsi"/>
                <w:i/>
              </w:rPr>
              <w:t xml:space="preserve"> from the Research Office Registry Templates page under “Additional Resources”)</w:t>
            </w:r>
            <w:r w:rsidRPr="00F11D2E">
              <w:rPr>
                <w:rFonts w:asciiTheme="minorHAnsi" w:hAnsiTheme="minorHAnsi" w:cstheme="minorHAnsi"/>
              </w:rPr>
              <w:t xml:space="preserve"> have been uploaded with the research application on the online Research Registry.</w:t>
            </w:r>
          </w:p>
        </w:tc>
      </w:tr>
      <w:tr w:rsidR="0005685E" w:rsidRPr="00F11D2E" w14:paraId="7F4FAC24" w14:textId="77777777" w:rsidTr="0005685E">
        <w:trPr>
          <w:trHeight w:val="285"/>
        </w:trPr>
        <w:tc>
          <w:tcPr>
            <w:tcW w:w="817" w:type="dxa"/>
            <w:tcBorders>
              <w:top w:val="nil"/>
              <w:left w:val="nil"/>
              <w:bottom w:val="nil"/>
              <w:right w:val="single" w:sz="4" w:space="0" w:color="auto"/>
            </w:tcBorders>
          </w:tcPr>
          <w:p w14:paraId="4BB02FBB" w14:textId="77777777" w:rsidR="0005685E" w:rsidRPr="00F11D2E" w:rsidRDefault="0005685E" w:rsidP="00965F9E">
            <w:pPr>
              <w:rPr>
                <w:rFonts w:asciiTheme="minorHAnsi" w:hAnsiTheme="minorHAnsi" w:cstheme="minorHAnsi"/>
              </w:rPr>
            </w:pPr>
          </w:p>
        </w:tc>
        <w:tc>
          <w:tcPr>
            <w:tcW w:w="1134" w:type="dxa"/>
            <w:tcBorders>
              <w:left w:val="single" w:sz="4" w:space="0" w:color="auto"/>
            </w:tcBorders>
          </w:tcPr>
          <w:p w14:paraId="4123EAAE" w14:textId="6614CF14" w:rsidR="0005685E" w:rsidRPr="00F11D2E" w:rsidRDefault="00D10214" w:rsidP="00965F9E">
            <w:pPr>
              <w:jc w:val="center"/>
              <w:rPr>
                <w:rFonts w:asciiTheme="minorHAnsi" w:hAnsiTheme="minorHAnsi" w:cstheme="minorHAnsi"/>
              </w:rPr>
            </w:pPr>
            <w:sdt>
              <w:sdtPr>
                <w:rPr>
                  <w:rFonts w:asciiTheme="minorHAnsi" w:hAnsiTheme="minorHAnsi" w:cstheme="minorHAnsi"/>
                </w:rPr>
                <w:id w:val="-1567253322"/>
                <w14:checkbox>
                  <w14:checked w14:val="1"/>
                  <w14:checkedState w14:val="2612" w14:font="MS Gothic"/>
                  <w14:uncheckedState w14:val="2610" w14:font="MS Gothic"/>
                </w14:checkbox>
              </w:sdtPr>
              <w:sdtEndPr/>
              <w:sdtContent>
                <w:r w:rsidR="00E805BB" w:rsidRPr="00F11D2E">
                  <w:rPr>
                    <w:rFonts w:ascii="Segoe UI Symbol" w:eastAsia="MS Gothic" w:hAnsi="Segoe UI Symbol" w:cs="Segoe UI Symbol"/>
                  </w:rPr>
                  <w:t>☒</w:t>
                </w:r>
              </w:sdtContent>
            </w:sdt>
          </w:p>
        </w:tc>
        <w:tc>
          <w:tcPr>
            <w:tcW w:w="8363" w:type="dxa"/>
            <w:tcBorders>
              <w:top w:val="single" w:sz="4" w:space="0" w:color="auto"/>
              <w:bottom w:val="single" w:sz="4" w:space="0" w:color="auto"/>
            </w:tcBorders>
          </w:tcPr>
          <w:p w14:paraId="19EEF592" w14:textId="77777777" w:rsidR="0005685E" w:rsidRPr="00F11D2E" w:rsidRDefault="0005685E" w:rsidP="0005685E">
            <w:pPr>
              <w:pStyle w:val="Default"/>
              <w:spacing w:after="117"/>
              <w:rPr>
                <w:rFonts w:asciiTheme="minorHAnsi" w:hAnsiTheme="minorHAnsi" w:cstheme="minorHAnsi"/>
              </w:rPr>
            </w:pPr>
            <w:r w:rsidRPr="00F11D2E">
              <w:rPr>
                <w:rFonts w:asciiTheme="minorHAnsi" w:hAnsiTheme="minorHAnsi" w:cstheme="minorHAnsi"/>
              </w:rPr>
              <w:t xml:space="preserve">I will only transfer Health Information** by email to those within the regional secure network (any Middlemore, Waitemata or ADHB email) who are members of the research team. </w:t>
            </w:r>
          </w:p>
        </w:tc>
      </w:tr>
      <w:tr w:rsidR="0005685E" w:rsidRPr="00F11D2E" w14:paraId="39B38CE7" w14:textId="77777777" w:rsidTr="0005685E">
        <w:trPr>
          <w:trHeight w:val="285"/>
        </w:trPr>
        <w:tc>
          <w:tcPr>
            <w:tcW w:w="817" w:type="dxa"/>
            <w:tcBorders>
              <w:top w:val="nil"/>
              <w:left w:val="nil"/>
              <w:bottom w:val="nil"/>
              <w:right w:val="single" w:sz="4" w:space="0" w:color="auto"/>
            </w:tcBorders>
          </w:tcPr>
          <w:p w14:paraId="2E8BD392" w14:textId="77777777" w:rsidR="0005685E" w:rsidRPr="00F11D2E" w:rsidRDefault="0005685E" w:rsidP="00965F9E">
            <w:pPr>
              <w:rPr>
                <w:rFonts w:asciiTheme="minorHAnsi" w:hAnsiTheme="minorHAnsi" w:cstheme="minorHAnsi"/>
              </w:rPr>
            </w:pPr>
          </w:p>
        </w:tc>
        <w:tc>
          <w:tcPr>
            <w:tcW w:w="1134" w:type="dxa"/>
            <w:tcBorders>
              <w:left w:val="single" w:sz="4" w:space="0" w:color="auto"/>
            </w:tcBorders>
          </w:tcPr>
          <w:p w14:paraId="4540507F" w14:textId="43C3F956" w:rsidR="0005685E" w:rsidRPr="00F11D2E" w:rsidRDefault="00D10214" w:rsidP="00965F9E">
            <w:pPr>
              <w:jc w:val="center"/>
              <w:rPr>
                <w:rFonts w:asciiTheme="minorHAnsi" w:hAnsiTheme="minorHAnsi" w:cstheme="minorHAnsi"/>
              </w:rPr>
            </w:pPr>
            <w:sdt>
              <w:sdtPr>
                <w:rPr>
                  <w:rFonts w:asciiTheme="minorHAnsi" w:hAnsiTheme="minorHAnsi" w:cstheme="minorHAnsi"/>
                </w:rPr>
                <w:id w:val="1690644404"/>
                <w14:checkbox>
                  <w14:checked w14:val="1"/>
                  <w14:checkedState w14:val="2612" w14:font="MS Gothic"/>
                  <w14:uncheckedState w14:val="2610" w14:font="MS Gothic"/>
                </w14:checkbox>
              </w:sdtPr>
              <w:sdtEndPr/>
              <w:sdtContent>
                <w:r w:rsidR="00E805BB" w:rsidRPr="00F11D2E">
                  <w:rPr>
                    <w:rFonts w:ascii="Segoe UI Symbol" w:eastAsia="MS Gothic" w:hAnsi="Segoe UI Symbol" w:cs="Segoe UI Symbol"/>
                  </w:rPr>
                  <w:t>☒</w:t>
                </w:r>
              </w:sdtContent>
            </w:sdt>
          </w:p>
        </w:tc>
        <w:tc>
          <w:tcPr>
            <w:tcW w:w="8363" w:type="dxa"/>
            <w:tcBorders>
              <w:top w:val="single" w:sz="4" w:space="0" w:color="auto"/>
              <w:bottom w:val="single" w:sz="4" w:space="0" w:color="auto"/>
            </w:tcBorders>
          </w:tcPr>
          <w:p w14:paraId="4F5CE46A" w14:textId="77777777" w:rsidR="0005685E" w:rsidRPr="00F11D2E" w:rsidRDefault="0005685E" w:rsidP="0005685E">
            <w:pPr>
              <w:pStyle w:val="Default"/>
              <w:spacing w:after="117"/>
              <w:rPr>
                <w:rFonts w:asciiTheme="minorHAnsi" w:hAnsiTheme="minorHAnsi" w:cstheme="minorHAnsi"/>
              </w:rPr>
            </w:pPr>
            <w:r w:rsidRPr="00F11D2E">
              <w:rPr>
                <w:rFonts w:asciiTheme="minorHAnsi" w:hAnsiTheme="minorHAnsi" w:cstheme="minorHAnsi"/>
              </w:rPr>
              <w:t xml:space="preserve">I will encrypt or password-protect any data storage devices (e.g. USB flash drives) used to store health information. </w:t>
            </w:r>
          </w:p>
        </w:tc>
      </w:tr>
      <w:tr w:rsidR="0005685E" w:rsidRPr="00F11D2E" w14:paraId="59BA4362" w14:textId="77777777" w:rsidTr="0005685E">
        <w:trPr>
          <w:trHeight w:val="285"/>
        </w:trPr>
        <w:tc>
          <w:tcPr>
            <w:tcW w:w="817" w:type="dxa"/>
            <w:tcBorders>
              <w:top w:val="nil"/>
              <w:left w:val="nil"/>
              <w:bottom w:val="nil"/>
              <w:right w:val="single" w:sz="4" w:space="0" w:color="auto"/>
            </w:tcBorders>
          </w:tcPr>
          <w:p w14:paraId="38313DF4" w14:textId="77777777" w:rsidR="0005685E" w:rsidRPr="00F11D2E" w:rsidRDefault="0005685E" w:rsidP="00965F9E">
            <w:pPr>
              <w:rPr>
                <w:rFonts w:asciiTheme="minorHAnsi" w:hAnsiTheme="minorHAnsi" w:cstheme="minorHAnsi"/>
              </w:rPr>
            </w:pPr>
          </w:p>
        </w:tc>
        <w:tc>
          <w:tcPr>
            <w:tcW w:w="1134" w:type="dxa"/>
            <w:tcBorders>
              <w:left w:val="single" w:sz="4" w:space="0" w:color="auto"/>
            </w:tcBorders>
          </w:tcPr>
          <w:p w14:paraId="542290C8" w14:textId="6E7BF4B2" w:rsidR="0005685E" w:rsidRPr="00F11D2E" w:rsidRDefault="00D10214" w:rsidP="00965F9E">
            <w:pPr>
              <w:jc w:val="center"/>
              <w:rPr>
                <w:rFonts w:asciiTheme="minorHAnsi" w:hAnsiTheme="minorHAnsi" w:cstheme="minorHAnsi"/>
              </w:rPr>
            </w:pPr>
            <w:sdt>
              <w:sdtPr>
                <w:rPr>
                  <w:rFonts w:asciiTheme="minorHAnsi" w:hAnsiTheme="minorHAnsi" w:cstheme="minorHAnsi"/>
                </w:rPr>
                <w:id w:val="1682545148"/>
                <w14:checkbox>
                  <w14:checked w14:val="1"/>
                  <w14:checkedState w14:val="2612" w14:font="MS Gothic"/>
                  <w14:uncheckedState w14:val="2610" w14:font="MS Gothic"/>
                </w14:checkbox>
              </w:sdtPr>
              <w:sdtEndPr/>
              <w:sdtContent>
                <w:r w:rsidR="00E805BB" w:rsidRPr="00F11D2E">
                  <w:rPr>
                    <w:rFonts w:ascii="Segoe UI Symbol" w:eastAsia="MS Gothic" w:hAnsi="Segoe UI Symbol" w:cs="Segoe UI Symbol"/>
                  </w:rPr>
                  <w:t>☒</w:t>
                </w:r>
              </w:sdtContent>
            </w:sdt>
          </w:p>
        </w:tc>
        <w:tc>
          <w:tcPr>
            <w:tcW w:w="8363" w:type="dxa"/>
            <w:tcBorders>
              <w:top w:val="single" w:sz="4" w:space="0" w:color="auto"/>
              <w:bottom w:val="single" w:sz="4" w:space="0" w:color="auto"/>
            </w:tcBorders>
          </w:tcPr>
          <w:p w14:paraId="4D192C03" w14:textId="77777777" w:rsidR="0005685E" w:rsidRPr="00F11D2E" w:rsidRDefault="0005685E" w:rsidP="0005685E">
            <w:pPr>
              <w:pStyle w:val="Default"/>
              <w:spacing w:after="117"/>
              <w:rPr>
                <w:rFonts w:asciiTheme="minorHAnsi" w:hAnsiTheme="minorHAnsi" w:cstheme="minorHAnsi"/>
              </w:rPr>
            </w:pPr>
            <w:r w:rsidRPr="00F11D2E">
              <w:rPr>
                <w:rFonts w:asciiTheme="minorHAnsi" w:hAnsiTheme="minorHAnsi" w:cstheme="minorHAnsi"/>
              </w:rPr>
              <w:t xml:space="preserve">I will password-protect any files containing Health Information. </w:t>
            </w:r>
          </w:p>
        </w:tc>
      </w:tr>
      <w:tr w:rsidR="0005685E" w:rsidRPr="00F11D2E" w14:paraId="4F0359B3" w14:textId="77777777" w:rsidTr="0005685E">
        <w:trPr>
          <w:trHeight w:val="285"/>
        </w:trPr>
        <w:tc>
          <w:tcPr>
            <w:tcW w:w="817" w:type="dxa"/>
            <w:tcBorders>
              <w:top w:val="nil"/>
              <w:left w:val="nil"/>
              <w:bottom w:val="nil"/>
              <w:right w:val="single" w:sz="4" w:space="0" w:color="auto"/>
            </w:tcBorders>
          </w:tcPr>
          <w:p w14:paraId="59B7EDB4" w14:textId="77777777" w:rsidR="0005685E" w:rsidRPr="00F11D2E" w:rsidRDefault="0005685E" w:rsidP="00965F9E">
            <w:pPr>
              <w:rPr>
                <w:rFonts w:asciiTheme="minorHAnsi" w:hAnsiTheme="minorHAnsi" w:cstheme="minorHAnsi"/>
              </w:rPr>
            </w:pPr>
          </w:p>
        </w:tc>
        <w:tc>
          <w:tcPr>
            <w:tcW w:w="1134" w:type="dxa"/>
            <w:tcBorders>
              <w:left w:val="single" w:sz="4" w:space="0" w:color="auto"/>
            </w:tcBorders>
          </w:tcPr>
          <w:p w14:paraId="0026E9D6" w14:textId="2B2B9FAC" w:rsidR="0005685E" w:rsidRPr="00F11D2E" w:rsidRDefault="00D10214" w:rsidP="00965F9E">
            <w:pPr>
              <w:jc w:val="center"/>
              <w:rPr>
                <w:rFonts w:asciiTheme="minorHAnsi" w:hAnsiTheme="minorHAnsi" w:cstheme="minorHAnsi"/>
              </w:rPr>
            </w:pPr>
            <w:sdt>
              <w:sdtPr>
                <w:rPr>
                  <w:rFonts w:asciiTheme="minorHAnsi" w:hAnsiTheme="minorHAnsi" w:cstheme="minorHAnsi"/>
                </w:rPr>
                <w:id w:val="-949854957"/>
                <w14:checkbox>
                  <w14:checked w14:val="1"/>
                  <w14:checkedState w14:val="2612" w14:font="MS Gothic"/>
                  <w14:uncheckedState w14:val="2610" w14:font="MS Gothic"/>
                </w14:checkbox>
              </w:sdtPr>
              <w:sdtEndPr/>
              <w:sdtContent>
                <w:r w:rsidR="00E805BB" w:rsidRPr="00F11D2E">
                  <w:rPr>
                    <w:rFonts w:ascii="Segoe UI Symbol" w:eastAsia="MS Gothic" w:hAnsi="Segoe UI Symbol" w:cs="Segoe UI Symbol"/>
                  </w:rPr>
                  <w:t>☒</w:t>
                </w:r>
              </w:sdtContent>
            </w:sdt>
          </w:p>
        </w:tc>
        <w:tc>
          <w:tcPr>
            <w:tcW w:w="8363" w:type="dxa"/>
            <w:tcBorders>
              <w:top w:val="single" w:sz="4" w:space="0" w:color="auto"/>
              <w:bottom w:val="single" w:sz="4" w:space="0" w:color="auto"/>
            </w:tcBorders>
          </w:tcPr>
          <w:p w14:paraId="6FE5693E" w14:textId="77777777" w:rsidR="0005685E" w:rsidRPr="00F11D2E" w:rsidRDefault="0005685E" w:rsidP="0005685E">
            <w:pPr>
              <w:pStyle w:val="Default"/>
              <w:rPr>
                <w:rFonts w:asciiTheme="minorHAnsi" w:hAnsiTheme="minorHAnsi" w:cstheme="minorHAnsi"/>
              </w:rPr>
            </w:pPr>
            <w:r w:rsidRPr="00F11D2E">
              <w:rPr>
                <w:rFonts w:asciiTheme="minorHAnsi" w:hAnsiTheme="minorHAnsi" w:cstheme="minorHAnsi"/>
              </w:rPr>
              <w:t xml:space="preserve">I will keep any hardcopy Health Information that relates to identifiable individuals for 10 years and then destroy it in a secure bin. </w:t>
            </w:r>
          </w:p>
        </w:tc>
      </w:tr>
      <w:tr w:rsidR="0005685E" w:rsidRPr="00F11D2E" w14:paraId="28277C33" w14:textId="77777777" w:rsidTr="0005685E">
        <w:trPr>
          <w:trHeight w:val="285"/>
        </w:trPr>
        <w:tc>
          <w:tcPr>
            <w:tcW w:w="817" w:type="dxa"/>
            <w:tcBorders>
              <w:top w:val="nil"/>
              <w:left w:val="nil"/>
              <w:bottom w:val="nil"/>
              <w:right w:val="single" w:sz="4" w:space="0" w:color="auto"/>
            </w:tcBorders>
          </w:tcPr>
          <w:p w14:paraId="4E94F8B9" w14:textId="77777777" w:rsidR="0005685E" w:rsidRPr="00F11D2E" w:rsidRDefault="0005685E" w:rsidP="00965F9E">
            <w:pPr>
              <w:rPr>
                <w:rFonts w:asciiTheme="minorHAnsi" w:hAnsiTheme="minorHAnsi" w:cstheme="minorHAnsi"/>
              </w:rPr>
            </w:pPr>
          </w:p>
        </w:tc>
        <w:tc>
          <w:tcPr>
            <w:tcW w:w="9497" w:type="dxa"/>
            <w:gridSpan w:val="2"/>
            <w:tcBorders>
              <w:left w:val="single" w:sz="4" w:space="0" w:color="auto"/>
            </w:tcBorders>
          </w:tcPr>
          <w:p w14:paraId="4416C319" w14:textId="77777777" w:rsidR="0005685E" w:rsidRPr="00F11D2E" w:rsidRDefault="0005685E" w:rsidP="0005685E">
            <w:pPr>
              <w:rPr>
                <w:rFonts w:asciiTheme="minorHAnsi" w:hAnsiTheme="minorHAnsi" w:cstheme="minorHAnsi"/>
              </w:rPr>
            </w:pPr>
            <w:r w:rsidRPr="00F11D2E">
              <w:rPr>
                <w:rFonts w:asciiTheme="minorHAnsi" w:hAnsiTheme="minorHAnsi" w:cstheme="minorHAnsi"/>
              </w:rPr>
              <w:t>* http://www.hrc.govt.nz/sites/default/files/Research%20involving%20personal%20health%20information.pdf</w:t>
            </w:r>
          </w:p>
          <w:p w14:paraId="38477385" w14:textId="77777777" w:rsidR="0005685E" w:rsidRPr="00F11D2E" w:rsidRDefault="0005685E" w:rsidP="00965F9E">
            <w:pPr>
              <w:rPr>
                <w:rFonts w:asciiTheme="minorHAnsi" w:hAnsiTheme="minorHAnsi" w:cstheme="minorHAnsi"/>
              </w:rPr>
            </w:pPr>
            <w:r w:rsidRPr="00F11D2E">
              <w:rPr>
                <w:rFonts w:asciiTheme="minorHAnsi" w:hAnsiTheme="minorHAnsi" w:cstheme="minorHAnsi"/>
              </w:rPr>
              <w:t>**Note: anonymised information which cannot be linked to identifiable individuals is not regarded as Health Information by the Health Information Privacy Code (1994).</w:t>
            </w:r>
          </w:p>
        </w:tc>
      </w:tr>
    </w:tbl>
    <w:p w14:paraId="0DD483ED" w14:textId="77777777" w:rsidR="006C0F4C" w:rsidRPr="00F11D2E" w:rsidRDefault="006C0F4C" w:rsidP="006C0F4C">
      <w:pPr>
        <w:ind w:left="720"/>
        <w:rPr>
          <w:rFonts w:asciiTheme="minorHAnsi" w:hAnsiTheme="minorHAnsi" w:cstheme="minorHAnsi"/>
        </w:rPr>
      </w:pPr>
    </w:p>
    <w:p w14:paraId="2CD5D4F2" w14:textId="77777777" w:rsidR="00A04217" w:rsidRPr="00F11D2E" w:rsidRDefault="00A04217" w:rsidP="00A04217">
      <w:pPr>
        <w:spacing w:before="120"/>
        <w:rPr>
          <w:rFonts w:asciiTheme="minorHAnsi" w:hAnsiTheme="minorHAnsi" w:cstheme="minorHAnsi"/>
          <w:b/>
          <w:i/>
          <w:lang w:val="en-NZ"/>
        </w:rPr>
      </w:pPr>
      <w:r w:rsidRPr="00F11D2E">
        <w:rPr>
          <w:rFonts w:asciiTheme="minorHAnsi" w:hAnsiTheme="minorHAnsi" w:cstheme="minorHAnsi"/>
          <w:b/>
          <w:i/>
          <w:lang w:val="en-NZ"/>
        </w:rPr>
        <w:t>F) Project Management</w:t>
      </w:r>
    </w:p>
    <w:p w14:paraId="22570415" w14:textId="52B5EAFB" w:rsidR="00A04217" w:rsidRPr="00F11D2E" w:rsidRDefault="00A04217" w:rsidP="00A04217">
      <w:pPr>
        <w:rPr>
          <w:rFonts w:asciiTheme="minorHAnsi" w:hAnsiTheme="minorHAnsi" w:cstheme="minorHAnsi"/>
          <w:lang w:val="en-NZ"/>
        </w:rPr>
      </w:pPr>
      <w:r w:rsidRPr="00F11D2E">
        <w:rPr>
          <w:rFonts w:asciiTheme="minorHAnsi" w:hAnsiTheme="minorHAnsi" w:cstheme="minorHAnsi"/>
          <w:lang w:val="en-NZ"/>
        </w:rPr>
        <w:t>Participating site(s)</w:t>
      </w:r>
    </w:p>
    <w:p w14:paraId="51B58E83" w14:textId="5E217818" w:rsidR="00E805BB" w:rsidRPr="00F11D2E" w:rsidRDefault="00E805BB" w:rsidP="00A04217">
      <w:pPr>
        <w:rPr>
          <w:rFonts w:asciiTheme="minorHAnsi" w:hAnsiTheme="minorHAnsi" w:cstheme="minorHAnsi"/>
          <w:lang w:val="en-NZ"/>
        </w:rPr>
      </w:pPr>
    </w:p>
    <w:p w14:paraId="2EC1C030" w14:textId="280477FA" w:rsidR="00E805BB" w:rsidRPr="00F11D2E" w:rsidRDefault="00E805BB" w:rsidP="00E805BB">
      <w:pPr>
        <w:rPr>
          <w:rFonts w:asciiTheme="minorHAnsi" w:hAnsiTheme="minorHAnsi" w:cstheme="minorHAnsi"/>
          <w:lang w:val="en-AU"/>
        </w:rPr>
      </w:pPr>
      <w:r w:rsidRPr="00F11D2E">
        <w:rPr>
          <w:rFonts w:asciiTheme="minorHAnsi" w:hAnsiTheme="minorHAnsi" w:cstheme="minorHAnsi"/>
          <w:lang w:val="en-NZ"/>
        </w:rPr>
        <w:tab/>
      </w:r>
      <w:r w:rsidRPr="00F11D2E">
        <w:rPr>
          <w:rFonts w:asciiTheme="minorHAnsi" w:hAnsiTheme="minorHAnsi" w:cstheme="minorHAnsi"/>
          <w:lang w:val="en-AU"/>
        </w:rPr>
        <w:t>Manukau Surgery Centre, Manukau, Auckland.</w:t>
      </w:r>
    </w:p>
    <w:p w14:paraId="59F6C5F5" w14:textId="77777777" w:rsidR="00E805BB" w:rsidRPr="00F11D2E" w:rsidRDefault="00E805BB" w:rsidP="0006376F">
      <w:pPr>
        <w:ind w:firstLine="720"/>
        <w:rPr>
          <w:rFonts w:asciiTheme="minorHAnsi" w:hAnsiTheme="minorHAnsi" w:cstheme="minorHAnsi"/>
          <w:lang w:val="en-AU"/>
        </w:rPr>
      </w:pPr>
      <w:proofErr w:type="spellStart"/>
      <w:r w:rsidRPr="00F11D2E">
        <w:rPr>
          <w:rFonts w:asciiTheme="minorHAnsi" w:hAnsiTheme="minorHAnsi" w:cstheme="minorHAnsi"/>
          <w:lang w:val="en-AU"/>
        </w:rPr>
        <w:t>MercyAscot</w:t>
      </w:r>
      <w:proofErr w:type="spellEnd"/>
      <w:r w:rsidRPr="00F11D2E">
        <w:rPr>
          <w:rFonts w:asciiTheme="minorHAnsi" w:hAnsiTheme="minorHAnsi" w:cstheme="minorHAnsi"/>
          <w:lang w:val="en-AU"/>
        </w:rPr>
        <w:t xml:space="preserve"> Hospital, Greenlane, Auckland.</w:t>
      </w:r>
    </w:p>
    <w:p w14:paraId="45091559" w14:textId="6B151DA5" w:rsidR="00E805BB" w:rsidRPr="00F11D2E" w:rsidRDefault="00E805BB" w:rsidP="00A04217">
      <w:pPr>
        <w:rPr>
          <w:rFonts w:asciiTheme="minorHAnsi" w:hAnsiTheme="minorHAnsi" w:cstheme="minorHAnsi"/>
          <w:lang w:val="en-NZ"/>
        </w:rPr>
      </w:pPr>
    </w:p>
    <w:p w14:paraId="7F446DFF" w14:textId="73C3AE69" w:rsidR="00A04217" w:rsidRPr="00F11D2E" w:rsidRDefault="00E805BB" w:rsidP="00A04217">
      <w:pPr>
        <w:rPr>
          <w:rFonts w:asciiTheme="minorHAnsi" w:hAnsiTheme="minorHAnsi" w:cstheme="minorHAnsi"/>
          <w:lang w:val="en-NZ"/>
        </w:rPr>
      </w:pPr>
      <w:r w:rsidRPr="00F11D2E">
        <w:rPr>
          <w:rFonts w:asciiTheme="minorHAnsi" w:hAnsiTheme="minorHAnsi" w:cstheme="minorHAnsi"/>
          <w:lang w:val="en-NZ"/>
        </w:rPr>
        <w:t>Investigators (and r</w:t>
      </w:r>
      <w:r w:rsidR="00A04217" w:rsidRPr="00F11D2E">
        <w:rPr>
          <w:rFonts w:asciiTheme="minorHAnsi" w:hAnsiTheme="minorHAnsi" w:cstheme="minorHAnsi"/>
          <w:lang w:val="en-NZ"/>
        </w:rPr>
        <w:t>esponsibilities of each</w:t>
      </w:r>
      <w:r w:rsidRPr="00F11D2E">
        <w:rPr>
          <w:rFonts w:asciiTheme="minorHAnsi" w:hAnsiTheme="minorHAnsi" w:cstheme="minorHAnsi"/>
          <w:lang w:val="en-NZ"/>
        </w:rPr>
        <w:t>)</w:t>
      </w:r>
    </w:p>
    <w:p w14:paraId="2DA1437C" w14:textId="1EA6A79E" w:rsidR="00E805BB" w:rsidRPr="00F11D2E" w:rsidRDefault="00E805BB" w:rsidP="00A04217">
      <w:pPr>
        <w:rPr>
          <w:rFonts w:asciiTheme="minorHAnsi" w:hAnsiTheme="minorHAnsi" w:cstheme="minorHAnsi"/>
          <w:lang w:val="en-NZ"/>
        </w:rPr>
      </w:pPr>
    </w:p>
    <w:p w14:paraId="7DF4C828" w14:textId="3506E250" w:rsidR="00E805BB" w:rsidRPr="00F11D2E" w:rsidRDefault="00E805BB" w:rsidP="00E805BB">
      <w:pPr>
        <w:rPr>
          <w:rFonts w:asciiTheme="minorHAnsi" w:hAnsiTheme="minorHAnsi" w:cstheme="minorHAnsi"/>
          <w:lang w:val="en-AU"/>
        </w:rPr>
      </w:pPr>
      <w:r w:rsidRPr="00F11D2E">
        <w:rPr>
          <w:rFonts w:asciiTheme="minorHAnsi" w:hAnsiTheme="minorHAnsi" w:cstheme="minorHAnsi"/>
          <w:lang w:val="en-NZ"/>
        </w:rPr>
        <w:tab/>
      </w:r>
      <w:r w:rsidRPr="00F11D2E">
        <w:rPr>
          <w:rFonts w:asciiTheme="minorHAnsi" w:hAnsiTheme="minorHAnsi" w:cstheme="minorHAnsi"/>
          <w:lang w:val="en-AU"/>
        </w:rPr>
        <w:t xml:space="preserve">Andrew Cameron </w:t>
      </w:r>
      <w:r w:rsidRPr="00F11D2E">
        <w:rPr>
          <w:rFonts w:asciiTheme="minorHAnsi" w:hAnsiTheme="minorHAnsi" w:cstheme="minorHAnsi"/>
          <w:lang w:val="en-AU"/>
        </w:rPr>
        <w:tab/>
        <w:t>Anaesthetist</w:t>
      </w:r>
      <w:r w:rsidRPr="00F11D2E">
        <w:rPr>
          <w:rFonts w:asciiTheme="minorHAnsi" w:hAnsiTheme="minorHAnsi" w:cstheme="minorHAnsi"/>
          <w:lang w:val="en-AU"/>
        </w:rPr>
        <w:tab/>
      </w:r>
      <w:r w:rsidRPr="00F11D2E">
        <w:rPr>
          <w:rFonts w:asciiTheme="minorHAnsi" w:hAnsiTheme="minorHAnsi" w:cstheme="minorHAnsi"/>
          <w:lang w:val="en-AU"/>
        </w:rPr>
        <w:tab/>
        <w:t>(lead investigator)</w:t>
      </w:r>
    </w:p>
    <w:p w14:paraId="32AF9401" w14:textId="77777777" w:rsidR="00E805BB" w:rsidRPr="00F11D2E" w:rsidRDefault="00E805BB" w:rsidP="0006376F">
      <w:pPr>
        <w:ind w:firstLine="720"/>
        <w:rPr>
          <w:rFonts w:asciiTheme="minorHAnsi" w:hAnsiTheme="minorHAnsi" w:cstheme="minorHAnsi"/>
          <w:lang w:val="en-AU"/>
        </w:rPr>
      </w:pPr>
      <w:r w:rsidRPr="00F11D2E">
        <w:rPr>
          <w:rFonts w:asciiTheme="minorHAnsi" w:hAnsiTheme="minorHAnsi" w:cstheme="minorHAnsi"/>
          <w:lang w:val="en-AU"/>
        </w:rPr>
        <w:t xml:space="preserve">Adam </w:t>
      </w:r>
      <w:proofErr w:type="spellStart"/>
      <w:r w:rsidRPr="00F11D2E">
        <w:rPr>
          <w:rFonts w:asciiTheme="minorHAnsi" w:hAnsiTheme="minorHAnsi" w:cstheme="minorHAnsi"/>
          <w:lang w:val="en-AU"/>
        </w:rPr>
        <w:t>Durrant</w:t>
      </w:r>
      <w:proofErr w:type="spellEnd"/>
      <w:r w:rsidRPr="00F11D2E">
        <w:rPr>
          <w:rFonts w:asciiTheme="minorHAnsi" w:hAnsiTheme="minorHAnsi" w:cstheme="minorHAnsi"/>
          <w:lang w:val="en-AU"/>
        </w:rPr>
        <w:tab/>
      </w:r>
      <w:r w:rsidRPr="00F11D2E">
        <w:rPr>
          <w:rFonts w:asciiTheme="minorHAnsi" w:hAnsiTheme="minorHAnsi" w:cstheme="minorHAnsi"/>
          <w:lang w:val="en-AU"/>
        </w:rPr>
        <w:tab/>
        <w:t>Orthopaedic Surgeon</w:t>
      </w:r>
      <w:r w:rsidRPr="00F11D2E">
        <w:rPr>
          <w:rFonts w:asciiTheme="minorHAnsi" w:hAnsiTheme="minorHAnsi" w:cstheme="minorHAnsi"/>
          <w:lang w:val="en-AU"/>
        </w:rPr>
        <w:tab/>
        <w:t>(recruitment)</w:t>
      </w:r>
    </w:p>
    <w:p w14:paraId="14CDAC61" w14:textId="77777777" w:rsidR="00E805BB" w:rsidRPr="00F11D2E" w:rsidRDefault="00E805BB" w:rsidP="0006376F">
      <w:pPr>
        <w:ind w:firstLine="720"/>
        <w:rPr>
          <w:rFonts w:asciiTheme="minorHAnsi" w:hAnsiTheme="minorHAnsi" w:cstheme="minorHAnsi"/>
          <w:lang w:val="en-AU"/>
        </w:rPr>
      </w:pPr>
      <w:r w:rsidRPr="00F11D2E">
        <w:rPr>
          <w:rFonts w:asciiTheme="minorHAnsi" w:hAnsiTheme="minorHAnsi" w:cstheme="minorHAnsi"/>
          <w:lang w:val="en-AU"/>
        </w:rPr>
        <w:t>Nicholas Lightfoot</w:t>
      </w:r>
      <w:r w:rsidRPr="00F11D2E">
        <w:rPr>
          <w:rFonts w:asciiTheme="minorHAnsi" w:hAnsiTheme="minorHAnsi" w:cstheme="minorHAnsi"/>
          <w:lang w:val="en-AU"/>
        </w:rPr>
        <w:tab/>
        <w:t>Anaesthetist</w:t>
      </w:r>
      <w:r w:rsidRPr="00F11D2E">
        <w:rPr>
          <w:rFonts w:asciiTheme="minorHAnsi" w:hAnsiTheme="minorHAnsi" w:cstheme="minorHAnsi"/>
          <w:lang w:val="en-AU"/>
        </w:rPr>
        <w:tab/>
      </w:r>
      <w:r w:rsidRPr="00F11D2E">
        <w:rPr>
          <w:rFonts w:asciiTheme="minorHAnsi" w:hAnsiTheme="minorHAnsi" w:cstheme="minorHAnsi"/>
          <w:lang w:val="en-AU"/>
        </w:rPr>
        <w:tab/>
        <w:t>(statistical analysis)</w:t>
      </w:r>
    </w:p>
    <w:p w14:paraId="315AB9B0" w14:textId="40A9F7BC" w:rsidR="00E805BB" w:rsidRDefault="00E805BB" w:rsidP="0006376F">
      <w:pPr>
        <w:ind w:firstLine="720"/>
        <w:rPr>
          <w:rFonts w:asciiTheme="minorHAnsi" w:hAnsiTheme="minorHAnsi" w:cstheme="minorHAnsi"/>
          <w:lang w:val="en-AU"/>
        </w:rPr>
      </w:pPr>
      <w:r w:rsidRPr="00F11D2E">
        <w:rPr>
          <w:rFonts w:asciiTheme="minorHAnsi" w:hAnsiTheme="minorHAnsi" w:cstheme="minorHAnsi"/>
          <w:lang w:val="en-AU"/>
        </w:rPr>
        <w:t>David Choi</w:t>
      </w:r>
      <w:r w:rsidRPr="00F11D2E">
        <w:rPr>
          <w:rFonts w:asciiTheme="minorHAnsi" w:hAnsiTheme="minorHAnsi" w:cstheme="minorHAnsi"/>
          <w:lang w:val="en-AU"/>
        </w:rPr>
        <w:tab/>
      </w:r>
      <w:r w:rsidRPr="00F11D2E">
        <w:rPr>
          <w:rFonts w:asciiTheme="minorHAnsi" w:hAnsiTheme="minorHAnsi" w:cstheme="minorHAnsi"/>
          <w:lang w:val="en-AU"/>
        </w:rPr>
        <w:tab/>
        <w:t>Anaesthetist</w:t>
      </w:r>
      <w:r w:rsidRPr="00F11D2E">
        <w:rPr>
          <w:rFonts w:asciiTheme="minorHAnsi" w:hAnsiTheme="minorHAnsi" w:cstheme="minorHAnsi"/>
          <w:lang w:val="en-AU"/>
        </w:rPr>
        <w:tab/>
      </w:r>
      <w:r w:rsidRPr="00F11D2E">
        <w:rPr>
          <w:rFonts w:asciiTheme="minorHAnsi" w:hAnsiTheme="minorHAnsi" w:cstheme="minorHAnsi"/>
          <w:lang w:val="en-AU"/>
        </w:rPr>
        <w:tab/>
        <w:t>(data handling, publication)</w:t>
      </w:r>
    </w:p>
    <w:p w14:paraId="5391B6CC" w14:textId="71CA654E" w:rsidR="006C2733" w:rsidRPr="00F11D2E" w:rsidRDefault="006C2733" w:rsidP="0006376F">
      <w:pPr>
        <w:ind w:firstLine="720"/>
        <w:rPr>
          <w:rFonts w:asciiTheme="minorHAnsi" w:hAnsiTheme="minorHAnsi" w:cstheme="minorHAnsi"/>
          <w:lang w:val="en-AU"/>
        </w:rPr>
      </w:pPr>
      <w:r>
        <w:rPr>
          <w:rFonts w:asciiTheme="minorHAnsi" w:hAnsiTheme="minorHAnsi" w:cstheme="minorHAnsi"/>
          <w:lang w:val="en-AU"/>
        </w:rPr>
        <w:t>Jennifer Stephens</w:t>
      </w:r>
      <w:r>
        <w:rPr>
          <w:rFonts w:asciiTheme="minorHAnsi" w:hAnsiTheme="minorHAnsi" w:cstheme="minorHAnsi"/>
          <w:lang w:val="en-AU"/>
        </w:rPr>
        <w:tab/>
        <w:t>Anaesthesia Fellow</w:t>
      </w:r>
      <w:r>
        <w:rPr>
          <w:rFonts w:asciiTheme="minorHAnsi" w:hAnsiTheme="minorHAnsi" w:cstheme="minorHAnsi"/>
          <w:lang w:val="en-AU"/>
        </w:rPr>
        <w:tab/>
        <w:t>(</w:t>
      </w:r>
      <w:r w:rsidRPr="00F11D2E">
        <w:rPr>
          <w:rFonts w:asciiTheme="minorHAnsi" w:hAnsiTheme="minorHAnsi" w:cstheme="minorHAnsi"/>
          <w:lang w:val="en-AU"/>
        </w:rPr>
        <w:t>data handling, publication</w:t>
      </w:r>
      <w:r>
        <w:rPr>
          <w:rFonts w:asciiTheme="minorHAnsi" w:hAnsiTheme="minorHAnsi" w:cstheme="minorHAnsi"/>
          <w:lang w:val="en-AU"/>
        </w:rPr>
        <w:t>).</w:t>
      </w:r>
    </w:p>
    <w:p w14:paraId="7A791B62" w14:textId="0092747A" w:rsidR="00E805BB" w:rsidRPr="00F11D2E" w:rsidRDefault="00E805BB" w:rsidP="00A04217">
      <w:pPr>
        <w:rPr>
          <w:rFonts w:asciiTheme="minorHAnsi" w:hAnsiTheme="minorHAnsi" w:cstheme="minorHAnsi"/>
          <w:lang w:val="en-NZ"/>
        </w:rPr>
      </w:pPr>
    </w:p>
    <w:p w14:paraId="0517C844" w14:textId="77777777" w:rsidR="0006376F" w:rsidRPr="00F11D2E" w:rsidRDefault="00A04217" w:rsidP="00A04217">
      <w:pPr>
        <w:rPr>
          <w:rFonts w:asciiTheme="minorHAnsi" w:hAnsiTheme="minorHAnsi" w:cstheme="minorHAnsi"/>
          <w:lang w:val="en-NZ"/>
        </w:rPr>
      </w:pPr>
      <w:r w:rsidRPr="00F11D2E">
        <w:rPr>
          <w:rFonts w:asciiTheme="minorHAnsi" w:hAnsiTheme="minorHAnsi" w:cstheme="minorHAnsi"/>
          <w:lang w:val="en-NZ"/>
        </w:rPr>
        <w:t>Data ownership;</w:t>
      </w:r>
      <w:r w:rsidR="0006376F" w:rsidRPr="00F11D2E">
        <w:rPr>
          <w:rFonts w:asciiTheme="minorHAnsi" w:hAnsiTheme="minorHAnsi" w:cstheme="minorHAnsi"/>
          <w:lang w:val="en-NZ"/>
        </w:rPr>
        <w:t xml:space="preserve"> </w:t>
      </w:r>
    </w:p>
    <w:p w14:paraId="37CD51C0" w14:textId="25FA0ED5" w:rsidR="00E805BB" w:rsidRPr="00F11D2E" w:rsidRDefault="00E805BB" w:rsidP="0006376F">
      <w:pPr>
        <w:ind w:left="720"/>
        <w:rPr>
          <w:rFonts w:asciiTheme="minorHAnsi" w:hAnsiTheme="minorHAnsi" w:cstheme="minorHAnsi"/>
          <w:lang w:val="en-NZ"/>
        </w:rPr>
      </w:pPr>
      <w:r w:rsidRPr="00F11D2E">
        <w:rPr>
          <w:rFonts w:asciiTheme="minorHAnsi" w:hAnsiTheme="minorHAnsi" w:cstheme="minorHAnsi"/>
          <w:lang w:val="en-NZ"/>
        </w:rPr>
        <w:t>Data remains the property/responsibility of Counties Manukau Health</w:t>
      </w:r>
      <w:r w:rsidR="00F873DD" w:rsidRPr="00F11D2E">
        <w:rPr>
          <w:rFonts w:asciiTheme="minorHAnsi" w:hAnsiTheme="minorHAnsi" w:cstheme="minorHAnsi"/>
          <w:lang w:val="en-NZ"/>
        </w:rPr>
        <w:t>, the investigators and the individual participants (for their own data). There are no external sponsors.</w:t>
      </w:r>
    </w:p>
    <w:p w14:paraId="4B2F1143" w14:textId="77777777" w:rsidR="00F873DD" w:rsidRPr="00F11D2E" w:rsidRDefault="00F873DD" w:rsidP="00A04217">
      <w:pPr>
        <w:rPr>
          <w:rFonts w:asciiTheme="minorHAnsi" w:hAnsiTheme="minorHAnsi" w:cstheme="minorHAnsi"/>
          <w:lang w:val="en-NZ"/>
        </w:rPr>
      </w:pPr>
    </w:p>
    <w:p w14:paraId="58469C26" w14:textId="07FA324F" w:rsidR="00A04217" w:rsidRPr="00F11D2E" w:rsidRDefault="00A04217" w:rsidP="0006376F">
      <w:pPr>
        <w:rPr>
          <w:rFonts w:asciiTheme="minorHAnsi" w:hAnsiTheme="minorHAnsi" w:cstheme="minorHAnsi"/>
          <w:lang w:val="en-NZ"/>
        </w:rPr>
      </w:pPr>
      <w:r w:rsidRPr="00F11D2E">
        <w:rPr>
          <w:rFonts w:asciiTheme="minorHAnsi" w:hAnsiTheme="minorHAnsi" w:cstheme="minorHAnsi"/>
          <w:lang w:val="en-NZ"/>
        </w:rPr>
        <w:t>Risk management of project.</w:t>
      </w:r>
      <w:r w:rsidR="00F873DD" w:rsidRPr="00F11D2E">
        <w:rPr>
          <w:rFonts w:asciiTheme="minorHAnsi" w:hAnsiTheme="minorHAnsi" w:cstheme="minorHAnsi"/>
          <w:lang w:val="en-NZ"/>
        </w:rPr>
        <w:t xml:space="preserve"> </w:t>
      </w:r>
    </w:p>
    <w:p w14:paraId="2468BFB7" w14:textId="616976A9" w:rsidR="00F873DD" w:rsidRPr="00F11D2E" w:rsidRDefault="00F873DD" w:rsidP="0006376F">
      <w:pPr>
        <w:ind w:left="720"/>
        <w:rPr>
          <w:rFonts w:asciiTheme="minorHAnsi" w:hAnsiTheme="minorHAnsi" w:cstheme="minorHAnsi"/>
          <w:lang w:val="en-NZ"/>
        </w:rPr>
      </w:pPr>
      <w:r w:rsidRPr="00F11D2E">
        <w:rPr>
          <w:rFonts w:asciiTheme="minorHAnsi" w:hAnsiTheme="minorHAnsi" w:cstheme="minorHAnsi"/>
          <w:lang w:val="en-NZ"/>
        </w:rPr>
        <w:t>The risks have been assessed and, wherever possible, minimised as part of the HDEC application process. A process for adverse event monitoring is in place. Participants will be eligible to apply for ACC support  if affected by and adverse event.</w:t>
      </w:r>
    </w:p>
    <w:p w14:paraId="27E13E17" w14:textId="77777777" w:rsidR="00A04217" w:rsidRPr="00F11D2E" w:rsidRDefault="00A04217" w:rsidP="0006376F">
      <w:pPr>
        <w:rPr>
          <w:rFonts w:asciiTheme="minorHAnsi" w:hAnsiTheme="minorHAnsi" w:cstheme="minorHAnsi"/>
          <w:lang w:val="en-NZ"/>
        </w:rPr>
      </w:pPr>
    </w:p>
    <w:p w14:paraId="0717BB7F" w14:textId="77777777" w:rsidR="00A04217" w:rsidRPr="00F11D2E" w:rsidRDefault="00A04217" w:rsidP="00A04217">
      <w:pPr>
        <w:spacing w:before="120"/>
        <w:rPr>
          <w:rFonts w:asciiTheme="minorHAnsi" w:hAnsiTheme="minorHAnsi" w:cstheme="minorHAnsi"/>
          <w:b/>
          <w:i/>
          <w:lang w:val="en-NZ"/>
        </w:rPr>
      </w:pPr>
      <w:r w:rsidRPr="00F11D2E">
        <w:rPr>
          <w:rFonts w:asciiTheme="minorHAnsi" w:hAnsiTheme="minorHAnsi" w:cstheme="minorHAnsi"/>
          <w:b/>
          <w:i/>
          <w:lang w:val="en-NZ"/>
        </w:rPr>
        <w:t>G) Timetable</w:t>
      </w:r>
    </w:p>
    <w:p w14:paraId="6E46D0F5" w14:textId="56BE493F" w:rsidR="00E805BB" w:rsidRPr="00F11D2E" w:rsidRDefault="00A04217" w:rsidP="00E805BB">
      <w:pPr>
        <w:rPr>
          <w:rFonts w:asciiTheme="minorHAnsi" w:hAnsiTheme="minorHAnsi" w:cstheme="minorHAnsi"/>
          <w:lang w:val="en-AU"/>
        </w:rPr>
      </w:pPr>
      <w:r w:rsidRPr="00F11D2E">
        <w:rPr>
          <w:rFonts w:asciiTheme="minorHAnsi" w:hAnsiTheme="minorHAnsi" w:cstheme="minorHAnsi"/>
          <w:b/>
          <w:lang w:val="en-NZ"/>
        </w:rPr>
        <w:tab/>
      </w:r>
      <w:r w:rsidR="00E805BB" w:rsidRPr="00F11D2E">
        <w:rPr>
          <w:rFonts w:asciiTheme="minorHAnsi" w:hAnsiTheme="minorHAnsi" w:cstheme="minorHAnsi"/>
          <w:lang w:val="en-AU"/>
        </w:rPr>
        <w:t>The overall aim to have the study completed by mid 2022.</w:t>
      </w:r>
    </w:p>
    <w:p w14:paraId="2DCB2D35" w14:textId="77777777" w:rsidR="00E805BB" w:rsidRPr="00F11D2E" w:rsidRDefault="00E805BB" w:rsidP="00E805BB">
      <w:pPr>
        <w:rPr>
          <w:rFonts w:asciiTheme="minorHAnsi" w:hAnsiTheme="minorHAnsi" w:cstheme="minorHAnsi"/>
          <w:lang w:val="en-AU"/>
        </w:rPr>
      </w:pPr>
    </w:p>
    <w:p w14:paraId="66921ACD" w14:textId="04EA48EA" w:rsidR="00E805BB" w:rsidRPr="00F11D2E" w:rsidRDefault="00E805BB" w:rsidP="00E805BB">
      <w:pPr>
        <w:ind w:firstLine="720"/>
        <w:rPr>
          <w:rFonts w:asciiTheme="minorHAnsi" w:hAnsiTheme="minorHAnsi" w:cstheme="minorHAnsi"/>
          <w:lang w:val="en-AU"/>
        </w:rPr>
      </w:pPr>
      <w:r w:rsidRPr="00F11D2E">
        <w:rPr>
          <w:rFonts w:asciiTheme="minorHAnsi" w:hAnsiTheme="minorHAnsi" w:cstheme="minorHAnsi"/>
          <w:lang w:val="en-AU"/>
        </w:rPr>
        <w:t>Jan - May 2021</w:t>
      </w:r>
      <w:r w:rsidRPr="00F11D2E">
        <w:rPr>
          <w:rFonts w:asciiTheme="minorHAnsi" w:hAnsiTheme="minorHAnsi" w:cstheme="minorHAnsi"/>
          <w:lang w:val="en-AU"/>
        </w:rPr>
        <w:tab/>
      </w:r>
      <w:r w:rsidRPr="00F11D2E">
        <w:rPr>
          <w:rFonts w:asciiTheme="minorHAnsi" w:hAnsiTheme="minorHAnsi" w:cstheme="minorHAnsi"/>
          <w:lang w:val="en-AU"/>
        </w:rPr>
        <w:tab/>
        <w:t>Ethics and funding applications</w:t>
      </w:r>
    </w:p>
    <w:p w14:paraId="0E1B0E6E" w14:textId="057A34BB" w:rsidR="00E805BB" w:rsidRPr="00F11D2E" w:rsidRDefault="00E805BB" w:rsidP="00E805BB">
      <w:pPr>
        <w:ind w:firstLine="720"/>
        <w:rPr>
          <w:rFonts w:asciiTheme="minorHAnsi" w:hAnsiTheme="minorHAnsi" w:cstheme="minorHAnsi"/>
          <w:lang w:val="en-AU"/>
        </w:rPr>
      </w:pPr>
      <w:r w:rsidRPr="00F11D2E">
        <w:rPr>
          <w:rFonts w:asciiTheme="minorHAnsi" w:hAnsiTheme="minorHAnsi" w:cstheme="minorHAnsi"/>
          <w:lang w:val="en-AU"/>
        </w:rPr>
        <w:t>Jun - Jul 2021</w:t>
      </w:r>
      <w:r w:rsidRPr="00F11D2E">
        <w:rPr>
          <w:rFonts w:asciiTheme="minorHAnsi" w:hAnsiTheme="minorHAnsi" w:cstheme="minorHAnsi"/>
          <w:lang w:val="en-AU"/>
        </w:rPr>
        <w:tab/>
      </w:r>
      <w:r w:rsidRPr="00F11D2E">
        <w:rPr>
          <w:rFonts w:asciiTheme="minorHAnsi" w:hAnsiTheme="minorHAnsi" w:cstheme="minorHAnsi"/>
          <w:lang w:val="en-AU"/>
        </w:rPr>
        <w:tab/>
      </w:r>
      <w:r w:rsidRPr="00F11D2E">
        <w:rPr>
          <w:rFonts w:asciiTheme="minorHAnsi" w:hAnsiTheme="minorHAnsi" w:cstheme="minorHAnsi"/>
          <w:lang w:val="en-AU"/>
        </w:rPr>
        <w:tab/>
        <w:t>Site approval, ‘trial run’ patients</w:t>
      </w:r>
    </w:p>
    <w:p w14:paraId="3F055147" w14:textId="08339449" w:rsidR="00E805BB" w:rsidRPr="00F11D2E" w:rsidRDefault="00F873DD" w:rsidP="00E805BB">
      <w:pPr>
        <w:ind w:firstLine="720"/>
        <w:rPr>
          <w:rFonts w:asciiTheme="minorHAnsi" w:hAnsiTheme="minorHAnsi" w:cstheme="minorHAnsi"/>
          <w:lang w:val="en-AU"/>
        </w:rPr>
      </w:pPr>
      <w:r w:rsidRPr="00F11D2E">
        <w:rPr>
          <w:rFonts w:asciiTheme="minorHAnsi" w:hAnsiTheme="minorHAnsi" w:cstheme="minorHAnsi"/>
          <w:lang w:val="en-AU"/>
        </w:rPr>
        <w:t>Aug 2021</w:t>
      </w:r>
      <w:r w:rsidR="00E805BB" w:rsidRPr="00F11D2E">
        <w:rPr>
          <w:rFonts w:asciiTheme="minorHAnsi" w:hAnsiTheme="minorHAnsi" w:cstheme="minorHAnsi"/>
          <w:lang w:val="en-AU"/>
        </w:rPr>
        <w:t xml:space="preserve"> - </w:t>
      </w:r>
      <w:r w:rsidRPr="00F11D2E">
        <w:rPr>
          <w:rFonts w:asciiTheme="minorHAnsi" w:hAnsiTheme="minorHAnsi" w:cstheme="minorHAnsi"/>
          <w:lang w:val="en-AU"/>
        </w:rPr>
        <w:t>Mar</w:t>
      </w:r>
      <w:r w:rsidR="00E805BB" w:rsidRPr="00F11D2E">
        <w:rPr>
          <w:rFonts w:asciiTheme="minorHAnsi" w:hAnsiTheme="minorHAnsi" w:cstheme="minorHAnsi"/>
          <w:lang w:val="en-AU"/>
        </w:rPr>
        <w:t xml:space="preserve"> 202</w:t>
      </w:r>
      <w:r w:rsidRPr="00F11D2E">
        <w:rPr>
          <w:rFonts w:asciiTheme="minorHAnsi" w:hAnsiTheme="minorHAnsi" w:cstheme="minorHAnsi"/>
          <w:lang w:val="en-AU"/>
        </w:rPr>
        <w:t>2</w:t>
      </w:r>
      <w:r w:rsidR="00E805BB" w:rsidRPr="00F11D2E">
        <w:rPr>
          <w:rFonts w:asciiTheme="minorHAnsi" w:hAnsiTheme="minorHAnsi" w:cstheme="minorHAnsi"/>
          <w:lang w:val="en-AU"/>
        </w:rPr>
        <w:tab/>
      </w:r>
      <w:r w:rsidR="00E805BB" w:rsidRPr="00F11D2E">
        <w:rPr>
          <w:rFonts w:asciiTheme="minorHAnsi" w:hAnsiTheme="minorHAnsi" w:cstheme="minorHAnsi"/>
          <w:lang w:val="en-AU"/>
        </w:rPr>
        <w:tab/>
        <w:t>Recruitment</w:t>
      </w:r>
    </w:p>
    <w:p w14:paraId="4A0BD6ED" w14:textId="4A22381D" w:rsidR="00E805BB" w:rsidRPr="00F11D2E" w:rsidRDefault="00F873DD" w:rsidP="00E805BB">
      <w:pPr>
        <w:ind w:firstLine="720"/>
        <w:rPr>
          <w:rFonts w:asciiTheme="minorHAnsi" w:hAnsiTheme="minorHAnsi" w:cstheme="minorHAnsi"/>
          <w:lang w:val="en-AU"/>
        </w:rPr>
      </w:pPr>
      <w:r w:rsidRPr="00F11D2E">
        <w:rPr>
          <w:rFonts w:asciiTheme="minorHAnsi" w:hAnsiTheme="minorHAnsi" w:cstheme="minorHAnsi"/>
          <w:lang w:val="en-AU"/>
        </w:rPr>
        <w:t>Apr</w:t>
      </w:r>
      <w:r w:rsidR="00E805BB" w:rsidRPr="00F11D2E">
        <w:rPr>
          <w:rFonts w:asciiTheme="minorHAnsi" w:hAnsiTheme="minorHAnsi" w:cstheme="minorHAnsi"/>
          <w:lang w:val="en-AU"/>
        </w:rPr>
        <w:t xml:space="preserve"> –</w:t>
      </w:r>
      <w:r w:rsidRPr="00F11D2E">
        <w:rPr>
          <w:rFonts w:asciiTheme="minorHAnsi" w:hAnsiTheme="minorHAnsi" w:cstheme="minorHAnsi"/>
          <w:lang w:val="en-AU"/>
        </w:rPr>
        <w:t xml:space="preserve"> May</w:t>
      </w:r>
      <w:r w:rsidR="00E805BB" w:rsidRPr="00F11D2E">
        <w:rPr>
          <w:rFonts w:asciiTheme="minorHAnsi" w:hAnsiTheme="minorHAnsi" w:cstheme="minorHAnsi"/>
          <w:lang w:val="en-AU"/>
        </w:rPr>
        <w:t xml:space="preserve"> 202</w:t>
      </w:r>
      <w:r w:rsidRPr="00F11D2E">
        <w:rPr>
          <w:rFonts w:asciiTheme="minorHAnsi" w:hAnsiTheme="minorHAnsi" w:cstheme="minorHAnsi"/>
          <w:lang w:val="en-AU"/>
        </w:rPr>
        <w:t>2</w:t>
      </w:r>
      <w:r w:rsidR="00E805BB" w:rsidRPr="00F11D2E">
        <w:rPr>
          <w:rFonts w:asciiTheme="minorHAnsi" w:hAnsiTheme="minorHAnsi" w:cstheme="minorHAnsi"/>
          <w:lang w:val="en-AU"/>
        </w:rPr>
        <w:tab/>
      </w:r>
      <w:r w:rsidR="00E805BB" w:rsidRPr="00F11D2E">
        <w:rPr>
          <w:rFonts w:asciiTheme="minorHAnsi" w:hAnsiTheme="minorHAnsi" w:cstheme="minorHAnsi"/>
          <w:lang w:val="en-AU"/>
        </w:rPr>
        <w:tab/>
        <w:t>Data analysis</w:t>
      </w:r>
    </w:p>
    <w:p w14:paraId="43411C89" w14:textId="0B086686" w:rsidR="00E805BB" w:rsidRPr="00F11D2E" w:rsidRDefault="00F873DD" w:rsidP="00E805BB">
      <w:pPr>
        <w:ind w:firstLine="720"/>
        <w:rPr>
          <w:rFonts w:asciiTheme="minorHAnsi" w:hAnsiTheme="minorHAnsi" w:cstheme="minorHAnsi"/>
          <w:lang w:val="en-AU"/>
        </w:rPr>
      </w:pPr>
      <w:r w:rsidRPr="00F11D2E">
        <w:rPr>
          <w:rFonts w:asciiTheme="minorHAnsi" w:hAnsiTheme="minorHAnsi" w:cstheme="minorHAnsi"/>
          <w:lang w:val="en-AU"/>
        </w:rPr>
        <w:t>Jun</w:t>
      </w:r>
      <w:r w:rsidR="00E805BB" w:rsidRPr="00F11D2E">
        <w:rPr>
          <w:rFonts w:asciiTheme="minorHAnsi" w:hAnsiTheme="minorHAnsi" w:cstheme="minorHAnsi"/>
          <w:lang w:val="en-AU"/>
        </w:rPr>
        <w:t xml:space="preserve"> - </w:t>
      </w:r>
      <w:r w:rsidRPr="00F11D2E">
        <w:rPr>
          <w:rFonts w:asciiTheme="minorHAnsi" w:hAnsiTheme="minorHAnsi" w:cstheme="minorHAnsi"/>
          <w:lang w:val="en-AU"/>
        </w:rPr>
        <w:t>Jul</w:t>
      </w:r>
      <w:r w:rsidR="00E805BB" w:rsidRPr="00F11D2E">
        <w:rPr>
          <w:rFonts w:asciiTheme="minorHAnsi" w:hAnsiTheme="minorHAnsi" w:cstheme="minorHAnsi"/>
          <w:lang w:val="en-AU"/>
        </w:rPr>
        <w:t xml:space="preserve"> 202</w:t>
      </w:r>
      <w:r w:rsidRPr="00F11D2E">
        <w:rPr>
          <w:rFonts w:asciiTheme="minorHAnsi" w:hAnsiTheme="minorHAnsi" w:cstheme="minorHAnsi"/>
          <w:lang w:val="en-AU"/>
        </w:rPr>
        <w:t>2</w:t>
      </w:r>
      <w:r w:rsidR="00E805BB" w:rsidRPr="00F11D2E">
        <w:rPr>
          <w:rFonts w:asciiTheme="minorHAnsi" w:hAnsiTheme="minorHAnsi" w:cstheme="minorHAnsi"/>
          <w:lang w:val="en-AU"/>
        </w:rPr>
        <w:tab/>
      </w:r>
      <w:r w:rsidR="00E805BB" w:rsidRPr="00F11D2E">
        <w:rPr>
          <w:rFonts w:asciiTheme="minorHAnsi" w:hAnsiTheme="minorHAnsi" w:cstheme="minorHAnsi"/>
          <w:lang w:val="en-AU"/>
        </w:rPr>
        <w:tab/>
      </w:r>
      <w:r w:rsidRPr="00F11D2E">
        <w:rPr>
          <w:rFonts w:asciiTheme="minorHAnsi" w:hAnsiTheme="minorHAnsi" w:cstheme="minorHAnsi"/>
          <w:lang w:val="en-AU"/>
        </w:rPr>
        <w:tab/>
      </w:r>
      <w:r w:rsidR="00E805BB" w:rsidRPr="00F11D2E">
        <w:rPr>
          <w:rFonts w:asciiTheme="minorHAnsi" w:hAnsiTheme="minorHAnsi" w:cstheme="minorHAnsi"/>
          <w:lang w:val="en-AU"/>
        </w:rPr>
        <w:t>Write-up and publication.</w:t>
      </w:r>
    </w:p>
    <w:p w14:paraId="33F096D3" w14:textId="77777777" w:rsidR="00E805BB" w:rsidRPr="00F11D2E" w:rsidRDefault="00E805BB" w:rsidP="00E805BB">
      <w:pPr>
        <w:rPr>
          <w:rFonts w:asciiTheme="minorHAnsi" w:hAnsiTheme="minorHAnsi" w:cstheme="minorHAnsi"/>
          <w:lang w:val="en-AU"/>
        </w:rPr>
      </w:pPr>
    </w:p>
    <w:p w14:paraId="45BE7923" w14:textId="77777777" w:rsidR="00A04217" w:rsidRPr="00F11D2E" w:rsidRDefault="00A04217" w:rsidP="00A04217">
      <w:pPr>
        <w:spacing w:before="120"/>
        <w:rPr>
          <w:rFonts w:asciiTheme="minorHAnsi" w:hAnsiTheme="minorHAnsi" w:cstheme="minorHAnsi"/>
          <w:b/>
          <w:i/>
          <w:lang w:val="en-NZ"/>
        </w:rPr>
      </w:pPr>
      <w:r w:rsidRPr="00F11D2E">
        <w:rPr>
          <w:rFonts w:asciiTheme="minorHAnsi" w:hAnsiTheme="minorHAnsi" w:cstheme="minorHAnsi"/>
          <w:b/>
          <w:i/>
          <w:lang w:val="en-NZ"/>
        </w:rPr>
        <w:t>F) Resources</w:t>
      </w:r>
    </w:p>
    <w:p w14:paraId="67C7DCAA" w14:textId="77777777" w:rsidR="00F873DD" w:rsidRPr="00F11D2E" w:rsidRDefault="00A04217" w:rsidP="00F873DD">
      <w:pPr>
        <w:rPr>
          <w:rFonts w:asciiTheme="minorHAnsi" w:hAnsiTheme="minorHAnsi" w:cstheme="minorHAnsi"/>
          <w:b/>
          <w:lang w:val="en-NZ"/>
        </w:rPr>
      </w:pPr>
      <w:r w:rsidRPr="00F11D2E">
        <w:rPr>
          <w:rFonts w:asciiTheme="minorHAnsi" w:hAnsiTheme="minorHAnsi" w:cstheme="minorHAnsi"/>
          <w:b/>
          <w:lang w:val="en-NZ"/>
        </w:rPr>
        <w:tab/>
      </w:r>
    </w:p>
    <w:p w14:paraId="46357F83" w14:textId="309282C5" w:rsidR="00F873DD" w:rsidRPr="00F11D2E" w:rsidRDefault="00F873DD" w:rsidP="00F873DD">
      <w:pPr>
        <w:rPr>
          <w:rFonts w:asciiTheme="minorHAnsi" w:hAnsiTheme="minorHAnsi" w:cstheme="minorHAnsi"/>
          <w:lang w:val="en-AU"/>
        </w:rPr>
      </w:pPr>
      <w:r w:rsidRPr="00F11D2E">
        <w:rPr>
          <w:rFonts w:asciiTheme="minorHAnsi" w:hAnsiTheme="minorHAnsi" w:cstheme="minorHAnsi"/>
          <w:lang w:val="en-AU"/>
        </w:rPr>
        <w:t>The cerebral oximetry probes cost $280 per person (two probes). We budget an equipment cost of $11200. All investigator time will be donated. There are no other costs associated with the trial.</w:t>
      </w:r>
    </w:p>
    <w:p w14:paraId="4BB914A4" w14:textId="77777777" w:rsidR="00A04217" w:rsidRPr="00F11D2E" w:rsidRDefault="00A04217" w:rsidP="00A04217">
      <w:pPr>
        <w:rPr>
          <w:rFonts w:asciiTheme="minorHAnsi" w:hAnsiTheme="minorHAnsi" w:cstheme="minorHAnsi"/>
          <w:lang w:val="en-NZ"/>
        </w:rPr>
      </w:pPr>
      <w:r w:rsidRPr="00F11D2E">
        <w:rPr>
          <w:rFonts w:asciiTheme="minorHAnsi" w:hAnsiTheme="minorHAnsi" w:cstheme="minorHAnsi"/>
          <w:b/>
          <w:lang w:val="en-NZ"/>
        </w:rPr>
        <w:tab/>
      </w:r>
    </w:p>
    <w:p w14:paraId="1659C055" w14:textId="77777777" w:rsidR="00A04217" w:rsidRPr="00F11D2E" w:rsidRDefault="00A04217" w:rsidP="00A04217">
      <w:pPr>
        <w:spacing w:before="120"/>
        <w:rPr>
          <w:rFonts w:asciiTheme="minorHAnsi" w:hAnsiTheme="minorHAnsi" w:cstheme="minorHAnsi"/>
          <w:b/>
          <w:i/>
          <w:lang w:val="en-NZ"/>
        </w:rPr>
      </w:pPr>
      <w:r w:rsidRPr="00F11D2E">
        <w:rPr>
          <w:rFonts w:asciiTheme="minorHAnsi" w:hAnsiTheme="minorHAnsi" w:cstheme="minorHAnsi"/>
          <w:b/>
          <w:i/>
          <w:lang w:val="en-NZ"/>
        </w:rPr>
        <w:t>G) Research Output</w:t>
      </w:r>
    </w:p>
    <w:p w14:paraId="73A6BD06" w14:textId="77777777" w:rsidR="00F873DD" w:rsidRPr="00F11D2E" w:rsidRDefault="00F873DD" w:rsidP="00F873DD">
      <w:pPr>
        <w:rPr>
          <w:rFonts w:asciiTheme="minorHAnsi" w:hAnsiTheme="minorHAnsi" w:cstheme="minorHAnsi"/>
          <w:lang w:val="en-NZ"/>
        </w:rPr>
      </w:pPr>
    </w:p>
    <w:p w14:paraId="32ABF49B" w14:textId="4DE00FB5" w:rsidR="00A04217" w:rsidRPr="008E0B9C" w:rsidRDefault="00F873DD" w:rsidP="008E0B9C">
      <w:pPr>
        <w:rPr>
          <w:rFonts w:asciiTheme="minorHAnsi" w:hAnsiTheme="minorHAnsi" w:cstheme="minorHAnsi"/>
          <w:lang w:val="en-NZ"/>
        </w:rPr>
      </w:pPr>
      <w:r w:rsidRPr="00F11D2E">
        <w:rPr>
          <w:rFonts w:asciiTheme="minorHAnsi" w:hAnsiTheme="minorHAnsi" w:cstheme="minorHAnsi"/>
          <w:lang w:val="en-NZ"/>
        </w:rPr>
        <w:t>The outcome of the study will be presented at conferences (provisionally the European Society of Regional Anaesthesia Congress in September 2022)</w:t>
      </w:r>
      <w:r w:rsidR="0006376F" w:rsidRPr="00F11D2E">
        <w:rPr>
          <w:rFonts w:asciiTheme="minorHAnsi" w:hAnsiTheme="minorHAnsi" w:cstheme="minorHAnsi"/>
          <w:lang w:val="en-NZ"/>
        </w:rPr>
        <w:t xml:space="preserve"> in addition to Orthopaedic Surgical Conferences. The study will be submitted to medical journals for publication. The study will be presented at the Counties Manukau Research Week.</w:t>
      </w:r>
    </w:p>
    <w:sectPr w:rsidR="00A04217" w:rsidRPr="008E0B9C" w:rsidSect="00BC2163">
      <w:headerReference w:type="default" r:id="rId7"/>
      <w:footerReference w:type="even" r:id="rId8"/>
      <w:footerReference w:type="default" r:id="rId9"/>
      <w:endnotePr>
        <w:numFmt w:val="decimal"/>
      </w:endnotePr>
      <w:pgSz w:w="12240" w:h="15840" w:code="1"/>
      <w:pgMar w:top="1814"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6C83" w14:textId="77777777" w:rsidR="00D10214" w:rsidRDefault="00D10214" w:rsidP="0011165A">
      <w:r>
        <w:separator/>
      </w:r>
    </w:p>
  </w:endnote>
  <w:endnote w:type="continuationSeparator" w:id="0">
    <w:p w14:paraId="2688DE88" w14:textId="77777777" w:rsidR="00D10214" w:rsidRDefault="00D10214" w:rsidP="0011165A">
      <w:r>
        <w:continuationSeparator/>
      </w:r>
    </w:p>
  </w:endnote>
  <w:endnote w:id="1">
    <w:p w14:paraId="5BFB9951" w14:textId="77777777" w:rsidR="00F15BF9" w:rsidRPr="007E660B" w:rsidRDefault="00F15BF9" w:rsidP="00F15BF9">
      <w:pPr>
        <w:pStyle w:val="EndnoteText"/>
        <w:rPr>
          <w:lang w:val="en-AU"/>
        </w:rPr>
      </w:pPr>
      <w:r>
        <w:rPr>
          <w:rStyle w:val="EndnoteReference"/>
        </w:rPr>
        <w:endnoteRef/>
      </w:r>
      <w:r>
        <w:t xml:space="preserve"> </w:t>
      </w:r>
      <w:r>
        <w:rPr>
          <w:lang w:val="en-AU"/>
        </w:rPr>
        <w:t>Moerman AT, De Hert SG, Jacobs TF, De Wilde LF, Wouters PF. Cerebral oxygen desaturation during beach chair position. Eur J Anaesthesiol 2012; 29: 82-7.</w:t>
      </w:r>
    </w:p>
  </w:endnote>
  <w:endnote w:id="2">
    <w:p w14:paraId="5E35ADFD" w14:textId="77777777" w:rsidR="00F15BF9" w:rsidRPr="00D91E7C" w:rsidRDefault="00F15BF9" w:rsidP="00F15BF9">
      <w:pPr>
        <w:pStyle w:val="EndnoteText"/>
        <w:rPr>
          <w:lang w:val="en-AU"/>
        </w:rPr>
      </w:pPr>
      <w:r>
        <w:rPr>
          <w:rStyle w:val="EndnoteReference"/>
        </w:rPr>
        <w:endnoteRef/>
      </w:r>
      <w:r>
        <w:t xml:space="preserve"> </w:t>
      </w:r>
      <w:r>
        <w:rPr>
          <w:lang w:val="en-AU"/>
        </w:rPr>
        <w:t>Salazar D, Sears BW, Andre J, Tonino B, Marra G. Cerebral desaturation during shoulder arthroscopy: a prospective observational study. Clin Orth Relat Res 2013; 471: 4027-34.</w:t>
      </w:r>
    </w:p>
  </w:endnote>
  <w:endnote w:id="3">
    <w:p w14:paraId="0C112EEE" w14:textId="77777777" w:rsidR="00F15BF9" w:rsidRPr="0005592B" w:rsidRDefault="00F15BF9" w:rsidP="00F15BF9">
      <w:pPr>
        <w:pStyle w:val="EndnoteText"/>
        <w:rPr>
          <w:lang w:val="en-AU"/>
        </w:rPr>
      </w:pPr>
      <w:r>
        <w:rPr>
          <w:rStyle w:val="EndnoteReference"/>
        </w:rPr>
        <w:endnoteRef/>
      </w:r>
      <w:r>
        <w:t xml:space="preserve"> </w:t>
      </w:r>
      <w:r>
        <w:rPr>
          <w:lang w:val="en-AU"/>
        </w:rPr>
        <w:t>Salazar D, Hazel A, Tauchen AJ, Sears BW, Marra G. Neurocognitive deficits and cerebral desaturation during shoulder arthroscopy with patient in beach-chair position: a review of the current literature. Am J Orthop 2016; 45: E63-8.</w:t>
      </w:r>
    </w:p>
  </w:endnote>
  <w:endnote w:id="4">
    <w:p w14:paraId="0A4209FA" w14:textId="77777777" w:rsidR="00F15BF9" w:rsidRPr="00524D1A" w:rsidRDefault="00F15BF9" w:rsidP="00F15BF9">
      <w:pPr>
        <w:pStyle w:val="EndnoteText"/>
        <w:rPr>
          <w:lang w:val="en-AU"/>
        </w:rPr>
      </w:pPr>
      <w:r>
        <w:rPr>
          <w:rStyle w:val="EndnoteReference"/>
        </w:rPr>
        <w:endnoteRef/>
      </w:r>
      <w:r>
        <w:t xml:space="preserve"> </w:t>
      </w:r>
      <w:r>
        <w:rPr>
          <w:lang w:val="en-AU"/>
        </w:rPr>
        <w:t>Orebaugh S, Palermi S, Lin C, YaDeau J. Daring discourse: is nerve block with sedation the safest anesthetic for beach chair position? Reg Anesth Pain Med 2019; 44: 707-12.</w:t>
      </w:r>
    </w:p>
  </w:endnote>
  <w:endnote w:id="5">
    <w:p w14:paraId="22856110" w14:textId="77777777" w:rsidR="00F15BF9" w:rsidRPr="00601B5B" w:rsidRDefault="00F15BF9" w:rsidP="00F15BF9">
      <w:pPr>
        <w:pStyle w:val="EndnoteText"/>
        <w:rPr>
          <w:lang w:val="en-AU"/>
        </w:rPr>
      </w:pPr>
      <w:r>
        <w:rPr>
          <w:rStyle w:val="EndnoteReference"/>
        </w:rPr>
        <w:endnoteRef/>
      </w:r>
      <w:r>
        <w:t xml:space="preserve"> </w:t>
      </w:r>
      <w:r>
        <w:rPr>
          <w:lang w:val="en-AU"/>
        </w:rPr>
        <w:t xml:space="preserve"> Picton P, Dering A, Alexander A, Neff M, Miller BS, Shanks A, Housey M, Mashour GA. Influence of ventilation strategies and anesthetic techniques on regional cerebral oximetry in the beach chair position: a prospective interventional study with a randomized comparison of two anesthetics. Anesthesiology 2015; 123: 765-74.</w:t>
      </w:r>
    </w:p>
  </w:endnote>
  <w:endnote w:id="6">
    <w:p w14:paraId="71E960DA" w14:textId="77777777" w:rsidR="00F15BF9" w:rsidRPr="00BC5069" w:rsidRDefault="00F15BF9" w:rsidP="00F15BF9">
      <w:pPr>
        <w:pStyle w:val="EndnoteText"/>
        <w:rPr>
          <w:lang w:val="en-AU"/>
        </w:rPr>
      </w:pPr>
      <w:r>
        <w:rPr>
          <w:rStyle w:val="EndnoteReference"/>
        </w:rPr>
        <w:endnoteRef/>
      </w:r>
      <w:r>
        <w:t xml:space="preserve"> </w:t>
      </w:r>
      <w:r>
        <w:rPr>
          <w:lang w:val="en-AU"/>
        </w:rPr>
        <w:t>Murphy GS, Szokol JW, Avram MJ et al. Effect of ventilation on cerebral oxygenation in patients undergoing surgery in the beach chair position: a randomized controlled trial. Br J Anaesth 2014; 113: 618-27.</w:t>
      </w:r>
    </w:p>
  </w:endnote>
  <w:endnote w:id="7">
    <w:p w14:paraId="21357452" w14:textId="77777777" w:rsidR="00F15BF9" w:rsidRPr="00884080" w:rsidRDefault="00F15BF9" w:rsidP="00F15BF9">
      <w:pPr>
        <w:pStyle w:val="EndnoteText"/>
        <w:rPr>
          <w:lang w:val="en-AU"/>
        </w:rPr>
      </w:pPr>
      <w:r>
        <w:rPr>
          <w:rStyle w:val="EndnoteReference"/>
        </w:rPr>
        <w:endnoteRef/>
      </w:r>
      <w:r>
        <w:t xml:space="preserve"> Ya Deau JT, Kahn RL, Lin Y, Goytizolo EA et al. Cerebral oxygenation in the sitting position is not compromised during spontaneous or positive pressure ventilation. HSSJ 2019; 15: 167-75.</w:t>
      </w:r>
    </w:p>
  </w:endnote>
  <w:endnote w:id="8">
    <w:p w14:paraId="660F98C2" w14:textId="77777777" w:rsidR="008E0B9C" w:rsidRPr="00856920" w:rsidRDefault="008E0B9C" w:rsidP="008E0B9C">
      <w:pPr>
        <w:pStyle w:val="EndnoteText"/>
        <w:rPr>
          <w:lang w:val="en-AU"/>
        </w:rPr>
      </w:pPr>
      <w:r>
        <w:rPr>
          <w:rStyle w:val="EndnoteReference"/>
        </w:rPr>
        <w:endnoteRef/>
      </w:r>
      <w:r>
        <w:t xml:space="preserve"> </w:t>
      </w:r>
      <w:r>
        <w:rPr>
          <w:lang w:val="en-AU"/>
        </w:rPr>
        <w:t>Cox RM, Jamgochain GC, Nicholson K, Wong JC, Namdari S, Abboud JA. The effectiveness of cerebral oxygenation monitoring during arthroscopic shoulder surgery in the beach chair position: a randomized blinded study. J Shoulder Elbow Surg 2018; 27: 692-700.</w:t>
      </w:r>
    </w:p>
    <w:p w14:paraId="3FC7D71E" w14:textId="7F644462" w:rsidR="008E0B9C" w:rsidRPr="008E0B9C" w:rsidRDefault="008E0B9C">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E65C" w14:textId="77777777" w:rsidR="00A357D0" w:rsidRDefault="00A357D0" w:rsidP="00111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83B27" w14:textId="77777777" w:rsidR="00A357D0" w:rsidRDefault="00A357D0" w:rsidP="008D4A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4B0C" w14:textId="221A8BB4" w:rsidR="00A357D0" w:rsidRPr="006C090B" w:rsidRDefault="009536BA" w:rsidP="00524267">
    <w:pPr>
      <w:pStyle w:val="Footer"/>
      <w:tabs>
        <w:tab w:val="right" w:pos="9838"/>
      </w:tabs>
      <w:ind w:right="360"/>
      <w:rPr>
        <w:rFonts w:ascii="Calibri" w:hAnsi="Calibri"/>
        <w:sz w:val="16"/>
        <w:szCs w:val="16"/>
        <w:lang w:val="en-US"/>
      </w:rPr>
    </w:pPr>
    <w:r>
      <w:rPr>
        <w:rStyle w:val="PageNumber"/>
        <w:rFonts w:ascii="Calibri" w:hAnsi="Calibri"/>
        <w:sz w:val="16"/>
        <w:szCs w:val="16"/>
        <w:lang w:val="en-US"/>
      </w:rPr>
      <w:t>The COVERS Trial V4, May 2021.</w:t>
    </w:r>
    <w:r w:rsidR="00A357D0">
      <w:rPr>
        <w:rStyle w:val="PageNumber"/>
        <w:rFonts w:ascii="Calibri" w:hAnsi="Calibri"/>
        <w:sz w:val="20"/>
        <w:szCs w:val="20"/>
        <w:lang w:val="en-US"/>
      </w:rPr>
      <w:tab/>
    </w:r>
    <w:r w:rsidR="00A357D0">
      <w:rPr>
        <w:rStyle w:val="PageNumber"/>
        <w:rFonts w:ascii="Calibri" w:hAnsi="Calibri"/>
        <w:sz w:val="20"/>
        <w:szCs w:val="20"/>
        <w:lang w:val="en-US"/>
      </w:rPr>
      <w:tab/>
    </w:r>
    <w:r w:rsidR="00A357D0" w:rsidRPr="008D4A21">
      <w:rPr>
        <w:rStyle w:val="PageNumber"/>
        <w:rFonts w:ascii="Calibri" w:hAnsi="Calibri"/>
        <w:sz w:val="20"/>
        <w:szCs w:val="20"/>
        <w:lang w:val="en-US"/>
      </w:rPr>
      <w:t xml:space="preserve">Page </w:t>
    </w:r>
    <w:r w:rsidR="00A357D0" w:rsidRPr="008D4A21">
      <w:rPr>
        <w:rStyle w:val="PageNumber"/>
        <w:rFonts w:ascii="Calibri" w:hAnsi="Calibri"/>
        <w:sz w:val="20"/>
        <w:szCs w:val="20"/>
        <w:lang w:val="en-US"/>
      </w:rPr>
      <w:fldChar w:fldCharType="begin"/>
    </w:r>
    <w:r w:rsidR="00A357D0" w:rsidRPr="008D4A21">
      <w:rPr>
        <w:rStyle w:val="PageNumber"/>
        <w:rFonts w:ascii="Calibri" w:hAnsi="Calibri"/>
        <w:sz w:val="20"/>
        <w:szCs w:val="20"/>
        <w:lang w:val="en-US"/>
      </w:rPr>
      <w:instrText xml:space="preserve"> PAGE </w:instrText>
    </w:r>
    <w:r w:rsidR="00A357D0" w:rsidRPr="008D4A21">
      <w:rPr>
        <w:rStyle w:val="PageNumber"/>
        <w:rFonts w:ascii="Calibri" w:hAnsi="Calibri"/>
        <w:sz w:val="20"/>
        <w:szCs w:val="20"/>
        <w:lang w:val="en-US"/>
      </w:rPr>
      <w:fldChar w:fldCharType="separate"/>
    </w:r>
    <w:r w:rsidR="00DE3198">
      <w:rPr>
        <w:rStyle w:val="PageNumber"/>
        <w:rFonts w:ascii="Calibri" w:hAnsi="Calibri"/>
        <w:noProof/>
        <w:sz w:val="20"/>
        <w:szCs w:val="20"/>
        <w:lang w:val="en-US"/>
      </w:rPr>
      <w:t>1</w:t>
    </w:r>
    <w:r w:rsidR="00A357D0" w:rsidRPr="008D4A21">
      <w:rPr>
        <w:rStyle w:val="PageNumber"/>
        <w:rFonts w:ascii="Calibri" w:hAnsi="Calibri"/>
        <w:sz w:val="20"/>
        <w:szCs w:val="20"/>
        <w:lang w:val="en-US"/>
      </w:rPr>
      <w:fldChar w:fldCharType="end"/>
    </w:r>
    <w:r w:rsidR="00A357D0" w:rsidRPr="008D4A21">
      <w:rPr>
        <w:rStyle w:val="PageNumber"/>
        <w:rFonts w:ascii="Calibri" w:hAnsi="Calibri"/>
        <w:sz w:val="20"/>
        <w:szCs w:val="20"/>
        <w:lang w:val="en-US"/>
      </w:rPr>
      <w:t xml:space="preserve"> of </w:t>
    </w:r>
    <w:r w:rsidR="00A357D0" w:rsidRPr="008D4A21">
      <w:rPr>
        <w:rStyle w:val="PageNumber"/>
        <w:rFonts w:ascii="Calibri" w:hAnsi="Calibri"/>
        <w:sz w:val="20"/>
        <w:szCs w:val="20"/>
        <w:lang w:val="en-US"/>
      </w:rPr>
      <w:fldChar w:fldCharType="begin"/>
    </w:r>
    <w:r w:rsidR="00A357D0" w:rsidRPr="008D4A21">
      <w:rPr>
        <w:rStyle w:val="PageNumber"/>
        <w:rFonts w:ascii="Calibri" w:hAnsi="Calibri"/>
        <w:sz w:val="20"/>
        <w:szCs w:val="20"/>
        <w:lang w:val="en-US"/>
      </w:rPr>
      <w:instrText xml:space="preserve"> NUMPAGES </w:instrText>
    </w:r>
    <w:r w:rsidR="00A357D0" w:rsidRPr="008D4A21">
      <w:rPr>
        <w:rStyle w:val="PageNumber"/>
        <w:rFonts w:ascii="Calibri" w:hAnsi="Calibri"/>
        <w:sz w:val="20"/>
        <w:szCs w:val="20"/>
        <w:lang w:val="en-US"/>
      </w:rPr>
      <w:fldChar w:fldCharType="separate"/>
    </w:r>
    <w:r w:rsidR="00DE3198">
      <w:rPr>
        <w:rStyle w:val="PageNumber"/>
        <w:rFonts w:ascii="Calibri" w:hAnsi="Calibri"/>
        <w:noProof/>
        <w:sz w:val="20"/>
        <w:szCs w:val="20"/>
        <w:lang w:val="en-US"/>
      </w:rPr>
      <w:t>4</w:t>
    </w:r>
    <w:r w:rsidR="00A357D0" w:rsidRPr="008D4A21">
      <w:rPr>
        <w:rStyle w:val="PageNumber"/>
        <w:rFonts w:ascii="Calibri" w:hAnsi="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7F6C" w14:textId="77777777" w:rsidR="00D10214" w:rsidRDefault="00D10214" w:rsidP="0011165A">
      <w:r>
        <w:separator/>
      </w:r>
    </w:p>
  </w:footnote>
  <w:footnote w:type="continuationSeparator" w:id="0">
    <w:p w14:paraId="41DC4047" w14:textId="77777777" w:rsidR="00D10214" w:rsidRDefault="00D10214" w:rsidP="0011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5399" w14:textId="77777777" w:rsidR="00A357D0" w:rsidRDefault="006C0F4C" w:rsidP="00BC2163">
    <w:pPr>
      <w:jc w:val="both"/>
      <w:rPr>
        <w:rFonts w:ascii="Calibri" w:hAnsi="Calibri"/>
        <w:b/>
        <w:sz w:val="22"/>
        <w:szCs w:val="22"/>
      </w:rPr>
    </w:pPr>
    <w:r>
      <w:rPr>
        <w:noProof/>
        <w:lang w:val="en-NZ" w:eastAsia="en-NZ"/>
      </w:rPr>
      <w:drawing>
        <wp:anchor distT="0" distB="0" distL="114300" distR="114300" simplePos="0" relativeHeight="251657216" behindDoc="1" locked="0" layoutInCell="1" allowOverlap="1" wp14:anchorId="69C343AE" wp14:editId="03085C2E">
          <wp:simplePos x="0" y="0"/>
          <wp:positionH relativeFrom="column">
            <wp:posOffset>5106035</wp:posOffset>
          </wp:positionH>
          <wp:positionV relativeFrom="paragraph">
            <wp:posOffset>-8255</wp:posOffset>
          </wp:positionV>
          <wp:extent cx="1299845" cy="1006475"/>
          <wp:effectExtent l="0" t="0" r="0" b="3175"/>
          <wp:wrapNone/>
          <wp:docPr id="2" name="Picture 2" descr="CM%20Health%20logo%20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20Health%20logo%20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F0E1E" w14:textId="77777777" w:rsidR="00A357D0" w:rsidRPr="00076DF4" w:rsidRDefault="005935B1" w:rsidP="00BC2163">
    <w:pPr>
      <w:jc w:val="both"/>
      <w:rPr>
        <w:rFonts w:ascii="Calibri" w:hAnsi="Calibri"/>
        <w:b/>
        <w:color w:val="333333"/>
        <w:sz w:val="20"/>
        <w:szCs w:val="20"/>
      </w:rPr>
    </w:pPr>
    <w:r>
      <w:rPr>
        <w:rFonts w:ascii="Calibri" w:hAnsi="Calibri"/>
        <w:b/>
        <w:color w:val="333333"/>
        <w:sz w:val="20"/>
        <w:szCs w:val="20"/>
      </w:rPr>
      <w:t>CM Health</w:t>
    </w:r>
    <w:r w:rsidR="00A357D0" w:rsidRPr="00076DF4">
      <w:rPr>
        <w:rFonts w:ascii="Calibri" w:hAnsi="Calibri"/>
        <w:b/>
        <w:color w:val="333333"/>
        <w:sz w:val="20"/>
        <w:szCs w:val="20"/>
      </w:rPr>
      <w:t xml:space="preserve"> Research Office</w:t>
    </w:r>
  </w:p>
  <w:p w14:paraId="599D605A" w14:textId="77777777" w:rsidR="00A357D0" w:rsidRPr="00076DF4" w:rsidRDefault="00A357D0" w:rsidP="00BC2163">
    <w:pPr>
      <w:jc w:val="both"/>
      <w:rPr>
        <w:rFonts w:ascii="Calibri" w:hAnsi="Calibri"/>
        <w:b/>
        <w:color w:val="333333"/>
        <w:sz w:val="20"/>
        <w:szCs w:val="20"/>
      </w:rPr>
    </w:pPr>
    <w:r w:rsidRPr="00076DF4">
      <w:rPr>
        <w:rFonts w:ascii="Calibri" w:hAnsi="Calibri"/>
        <w:b/>
        <w:color w:val="333333"/>
        <w:sz w:val="20"/>
        <w:szCs w:val="20"/>
      </w:rPr>
      <w:t>Counties Manukau District Health Board</w:t>
    </w:r>
  </w:p>
  <w:p w14:paraId="0586332B" w14:textId="77777777" w:rsidR="00A357D0" w:rsidRPr="00076DF4" w:rsidRDefault="006C0F4C">
    <w:pPr>
      <w:rPr>
        <w:color w:val="333333"/>
      </w:rPr>
    </w:pPr>
    <w:r>
      <w:rPr>
        <w:noProof/>
        <w:lang w:val="en-NZ" w:eastAsia="en-NZ"/>
      </w:rPr>
      <w:drawing>
        <wp:anchor distT="0" distB="0" distL="114300" distR="114300" simplePos="0" relativeHeight="251658240" behindDoc="1" locked="0" layoutInCell="1" allowOverlap="1" wp14:anchorId="72C50EC0" wp14:editId="0CD3C4E1">
          <wp:simplePos x="0" y="0"/>
          <wp:positionH relativeFrom="column">
            <wp:posOffset>3152140</wp:posOffset>
          </wp:positionH>
          <wp:positionV relativeFrom="paragraph">
            <wp:posOffset>7620</wp:posOffset>
          </wp:positionV>
          <wp:extent cx="1771650" cy="333375"/>
          <wp:effectExtent l="0" t="0" r="0" b="9525"/>
          <wp:wrapNone/>
          <wp:docPr id="3" name="Picture 5" descr="colour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transparen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716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5B1">
      <w:rPr>
        <w:rFonts w:ascii="Calibri" w:hAnsi="Calibri"/>
        <w:noProof/>
        <w:color w:val="333333"/>
        <w:sz w:val="20"/>
        <w:szCs w:val="20"/>
      </w:rPr>
      <w:t>Level 1</w:t>
    </w:r>
    <w:r w:rsidR="0008364D">
      <w:rPr>
        <w:rFonts w:ascii="Calibri" w:hAnsi="Calibri"/>
        <w:noProof/>
        <w:color w:val="333333"/>
        <w:sz w:val="20"/>
        <w:szCs w:val="20"/>
      </w:rPr>
      <w:t>, Ko Awatea</w:t>
    </w:r>
    <w:r w:rsidR="005366E3">
      <w:rPr>
        <w:rFonts w:ascii="Calibri" w:hAnsi="Calibri"/>
        <w:noProof/>
        <w:color w:val="333333"/>
        <w:sz w:val="20"/>
        <w:szCs w:val="20"/>
      </w:rPr>
      <w:t xml:space="preserve"> Building</w:t>
    </w:r>
    <w:r w:rsidR="0008364D">
      <w:rPr>
        <w:rFonts w:ascii="Calibri" w:hAnsi="Calibri"/>
        <w:noProof/>
        <w:color w:val="333333"/>
        <w:sz w:val="20"/>
        <w:szCs w:val="20"/>
      </w:rPr>
      <w:t xml:space="preserve">, </w:t>
    </w:r>
    <w:r w:rsidR="00A357D0" w:rsidRPr="00076DF4">
      <w:rPr>
        <w:rFonts w:ascii="Calibri" w:hAnsi="Calibri"/>
        <w:noProof/>
        <w:color w:val="333333"/>
      </w:rPr>
      <w:br/>
    </w:r>
    <w:r w:rsidR="00A357D0" w:rsidRPr="00076DF4">
      <w:rPr>
        <w:rFonts w:ascii="Calibri" w:hAnsi="Calibri"/>
        <w:noProof/>
        <w:color w:val="333333"/>
        <w:sz w:val="20"/>
        <w:szCs w:val="20"/>
      </w:rPr>
      <w:t>Middlemore Hospital, 100 Hospital Road, Otahuhu</w:t>
    </w:r>
    <w:r w:rsidR="0000623C">
      <w:rPr>
        <w:rFonts w:ascii="Calibri" w:hAnsi="Calibri"/>
        <w:noProof/>
        <w:color w:val="333333"/>
        <w:sz w:val="20"/>
        <w:szCs w:val="20"/>
      </w:rPr>
      <w:t xml:space="preserve"> </w:t>
    </w:r>
    <w:r w:rsidR="00A357D0" w:rsidRPr="00076DF4">
      <w:rPr>
        <w:rFonts w:ascii="Calibri" w:hAnsi="Calibri"/>
        <w:noProof/>
        <w:color w:val="333333"/>
      </w:rPr>
      <w:br/>
    </w:r>
    <w:r w:rsidR="00A357D0" w:rsidRPr="00076DF4">
      <w:rPr>
        <w:rFonts w:ascii="Calibri" w:hAnsi="Calibri"/>
        <w:noProof/>
        <w:color w:val="333333"/>
        <w:sz w:val="20"/>
        <w:szCs w:val="20"/>
      </w:rPr>
      <w:t>Private Bag 93311, Auckland 1640</w:t>
    </w:r>
    <w:r w:rsidR="00A357D0" w:rsidRPr="00076DF4">
      <w:rPr>
        <w:rFonts w:ascii="Calibri" w:hAnsi="Calibri"/>
        <w:noProof/>
        <w:color w:val="333333"/>
      </w:rPr>
      <w:br/>
    </w:r>
    <w:r w:rsidR="00A357D0" w:rsidRPr="00076DF4">
      <w:rPr>
        <w:rFonts w:ascii="Calibri" w:hAnsi="Calibri"/>
        <w:i/>
        <w:noProof/>
        <w:color w:val="333333"/>
        <w:sz w:val="20"/>
        <w:szCs w:val="20"/>
      </w:rPr>
      <w:t>cmdhb.org.nz</w:t>
    </w:r>
    <w:r w:rsidR="00A357D0" w:rsidRPr="00076DF4">
      <w:rPr>
        <w:rFonts w:ascii="Calibri" w:hAnsi="Calibri"/>
        <w:noProof/>
        <w:color w:val="333333"/>
        <w:sz w:val="20"/>
        <w:szCs w:val="20"/>
      </w:rPr>
      <w:t xml:space="preserve">  </w:t>
    </w:r>
    <w:r w:rsidR="0008364D">
      <w:rPr>
        <w:rFonts w:ascii="Calibri" w:hAnsi="Calibri"/>
        <w:noProof/>
        <w:color w:val="333333"/>
        <w:sz w:val="20"/>
        <w:szCs w:val="20"/>
      </w:rPr>
      <w:t>researchoffice@middlemore.co.nz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7C8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3C18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6CDA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247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283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41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099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C4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3CA0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A8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25410"/>
    <w:multiLevelType w:val="hybridMultilevel"/>
    <w:tmpl w:val="7518A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04574"/>
    <w:multiLevelType w:val="hybridMultilevel"/>
    <w:tmpl w:val="6F36E60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3CD2763"/>
    <w:multiLevelType w:val="hybridMultilevel"/>
    <w:tmpl w:val="587E401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AD4647"/>
    <w:multiLevelType w:val="hybridMultilevel"/>
    <w:tmpl w:val="A6604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A058E"/>
    <w:multiLevelType w:val="hybridMultilevel"/>
    <w:tmpl w:val="9CDE9B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00080"/>
    <w:multiLevelType w:val="hybridMultilevel"/>
    <w:tmpl w:val="0AD604A2"/>
    <w:lvl w:ilvl="0" w:tplc="D0F4D020">
      <w:start w:val="1"/>
      <w:numFmt w:val="decimal"/>
      <w:lvlText w:val="%1."/>
      <w:lvlJc w:val="left"/>
      <w:pPr>
        <w:ind w:left="720" w:hanging="360"/>
      </w:pPr>
      <w:rPr>
        <w:rFonts w:ascii="Calibri" w:hAnsi="Calibri"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6141CD"/>
    <w:multiLevelType w:val="hybridMultilevel"/>
    <w:tmpl w:val="F5FC6FC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872A41"/>
    <w:multiLevelType w:val="hybridMultilevel"/>
    <w:tmpl w:val="6CA44892"/>
    <w:lvl w:ilvl="0" w:tplc="1409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4B0E0B8C"/>
    <w:multiLevelType w:val="hybridMultilevel"/>
    <w:tmpl w:val="4A50460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12C5E"/>
    <w:multiLevelType w:val="hybridMultilevel"/>
    <w:tmpl w:val="9F50491E"/>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836"/>
        </w:tabs>
        <w:ind w:left="2836" w:hanging="360"/>
      </w:pPr>
      <w:rPr>
        <w:rFonts w:ascii="Courier New" w:hAnsi="Courier New" w:cs="Courier New" w:hint="default"/>
      </w:rPr>
    </w:lvl>
    <w:lvl w:ilvl="2" w:tplc="08090005" w:tentative="1">
      <w:start w:val="1"/>
      <w:numFmt w:val="bullet"/>
      <w:lvlText w:val=""/>
      <w:lvlJc w:val="left"/>
      <w:pPr>
        <w:tabs>
          <w:tab w:val="num" w:pos="3556"/>
        </w:tabs>
        <w:ind w:left="3556" w:hanging="360"/>
      </w:pPr>
      <w:rPr>
        <w:rFonts w:ascii="Wingdings" w:hAnsi="Wingdings" w:hint="default"/>
      </w:rPr>
    </w:lvl>
    <w:lvl w:ilvl="3" w:tplc="08090001" w:tentative="1">
      <w:start w:val="1"/>
      <w:numFmt w:val="bullet"/>
      <w:lvlText w:val=""/>
      <w:lvlJc w:val="left"/>
      <w:pPr>
        <w:tabs>
          <w:tab w:val="num" w:pos="4276"/>
        </w:tabs>
        <w:ind w:left="4276" w:hanging="360"/>
      </w:pPr>
      <w:rPr>
        <w:rFonts w:ascii="Symbol" w:hAnsi="Symbol" w:hint="default"/>
      </w:rPr>
    </w:lvl>
    <w:lvl w:ilvl="4" w:tplc="08090003" w:tentative="1">
      <w:start w:val="1"/>
      <w:numFmt w:val="bullet"/>
      <w:lvlText w:val="o"/>
      <w:lvlJc w:val="left"/>
      <w:pPr>
        <w:tabs>
          <w:tab w:val="num" w:pos="4996"/>
        </w:tabs>
        <w:ind w:left="4996" w:hanging="360"/>
      </w:pPr>
      <w:rPr>
        <w:rFonts w:ascii="Courier New" w:hAnsi="Courier New" w:cs="Courier New" w:hint="default"/>
      </w:rPr>
    </w:lvl>
    <w:lvl w:ilvl="5" w:tplc="08090005" w:tentative="1">
      <w:start w:val="1"/>
      <w:numFmt w:val="bullet"/>
      <w:lvlText w:val=""/>
      <w:lvlJc w:val="left"/>
      <w:pPr>
        <w:tabs>
          <w:tab w:val="num" w:pos="5716"/>
        </w:tabs>
        <w:ind w:left="5716" w:hanging="360"/>
      </w:pPr>
      <w:rPr>
        <w:rFonts w:ascii="Wingdings" w:hAnsi="Wingdings" w:hint="default"/>
      </w:rPr>
    </w:lvl>
    <w:lvl w:ilvl="6" w:tplc="08090001" w:tentative="1">
      <w:start w:val="1"/>
      <w:numFmt w:val="bullet"/>
      <w:lvlText w:val=""/>
      <w:lvlJc w:val="left"/>
      <w:pPr>
        <w:tabs>
          <w:tab w:val="num" w:pos="6436"/>
        </w:tabs>
        <w:ind w:left="6436" w:hanging="360"/>
      </w:pPr>
      <w:rPr>
        <w:rFonts w:ascii="Symbol" w:hAnsi="Symbol" w:hint="default"/>
      </w:rPr>
    </w:lvl>
    <w:lvl w:ilvl="7" w:tplc="08090003" w:tentative="1">
      <w:start w:val="1"/>
      <w:numFmt w:val="bullet"/>
      <w:lvlText w:val="o"/>
      <w:lvlJc w:val="left"/>
      <w:pPr>
        <w:tabs>
          <w:tab w:val="num" w:pos="7156"/>
        </w:tabs>
        <w:ind w:left="7156" w:hanging="360"/>
      </w:pPr>
      <w:rPr>
        <w:rFonts w:ascii="Courier New" w:hAnsi="Courier New" w:cs="Courier New" w:hint="default"/>
      </w:rPr>
    </w:lvl>
    <w:lvl w:ilvl="8" w:tplc="08090005" w:tentative="1">
      <w:start w:val="1"/>
      <w:numFmt w:val="bullet"/>
      <w:lvlText w:val=""/>
      <w:lvlJc w:val="left"/>
      <w:pPr>
        <w:tabs>
          <w:tab w:val="num" w:pos="7876"/>
        </w:tabs>
        <w:ind w:left="7876" w:hanging="360"/>
      </w:pPr>
      <w:rPr>
        <w:rFonts w:ascii="Wingdings" w:hAnsi="Wingdings" w:hint="default"/>
      </w:rPr>
    </w:lvl>
  </w:abstractNum>
  <w:abstractNum w:abstractNumId="20" w15:restartNumberingAfterBreak="0">
    <w:nsid w:val="517C3C6B"/>
    <w:multiLevelType w:val="hybridMultilevel"/>
    <w:tmpl w:val="12267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6729B"/>
    <w:multiLevelType w:val="hybridMultilevel"/>
    <w:tmpl w:val="8BE68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02496D"/>
    <w:multiLevelType w:val="hybridMultilevel"/>
    <w:tmpl w:val="FE44132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93C2A8C"/>
    <w:multiLevelType w:val="hybridMultilevel"/>
    <w:tmpl w:val="F70877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082A1C"/>
    <w:multiLevelType w:val="hybridMultilevel"/>
    <w:tmpl w:val="6FFA6DA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4002091"/>
    <w:multiLevelType w:val="hybridMultilevel"/>
    <w:tmpl w:val="2BB07E02"/>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428122B"/>
    <w:multiLevelType w:val="hybridMultilevel"/>
    <w:tmpl w:val="F574F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2152C"/>
    <w:multiLevelType w:val="hybridMultilevel"/>
    <w:tmpl w:val="B540D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C5EE9"/>
    <w:multiLevelType w:val="hybridMultilevel"/>
    <w:tmpl w:val="98880110"/>
    <w:lvl w:ilvl="0" w:tplc="73D64F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A724B7"/>
    <w:multiLevelType w:val="multilevel"/>
    <w:tmpl w:val="880C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B1E79C8"/>
    <w:multiLevelType w:val="hybridMultilevel"/>
    <w:tmpl w:val="9482E8C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122117481">
    <w:abstractNumId w:val="29"/>
  </w:num>
  <w:num w:numId="2" w16cid:durableId="794367834">
    <w:abstractNumId w:val="9"/>
  </w:num>
  <w:num w:numId="3" w16cid:durableId="347145512">
    <w:abstractNumId w:val="7"/>
  </w:num>
  <w:num w:numId="4" w16cid:durableId="1241671763">
    <w:abstractNumId w:val="6"/>
  </w:num>
  <w:num w:numId="5" w16cid:durableId="1014721205">
    <w:abstractNumId w:val="5"/>
  </w:num>
  <w:num w:numId="6" w16cid:durableId="1106189681">
    <w:abstractNumId w:val="4"/>
  </w:num>
  <w:num w:numId="7" w16cid:durableId="1377973520">
    <w:abstractNumId w:val="8"/>
  </w:num>
  <w:num w:numId="8" w16cid:durableId="1452941486">
    <w:abstractNumId w:val="3"/>
  </w:num>
  <w:num w:numId="9" w16cid:durableId="1070227504">
    <w:abstractNumId w:val="2"/>
  </w:num>
  <w:num w:numId="10" w16cid:durableId="1343314436">
    <w:abstractNumId w:val="1"/>
  </w:num>
  <w:num w:numId="11" w16cid:durableId="1820225732">
    <w:abstractNumId w:val="0"/>
  </w:num>
  <w:num w:numId="12" w16cid:durableId="660356623">
    <w:abstractNumId w:val="21"/>
  </w:num>
  <w:num w:numId="13" w16cid:durableId="1240940883">
    <w:abstractNumId w:val="26"/>
  </w:num>
  <w:num w:numId="14" w16cid:durableId="1896313443">
    <w:abstractNumId w:val="18"/>
  </w:num>
  <w:num w:numId="15" w16cid:durableId="1013386090">
    <w:abstractNumId w:val="10"/>
  </w:num>
  <w:num w:numId="16" w16cid:durableId="346299699">
    <w:abstractNumId w:val="28"/>
  </w:num>
  <w:num w:numId="17" w16cid:durableId="56586963">
    <w:abstractNumId w:val="23"/>
  </w:num>
  <w:num w:numId="18" w16cid:durableId="30613054">
    <w:abstractNumId w:val="11"/>
  </w:num>
  <w:num w:numId="19" w16cid:durableId="1656179350">
    <w:abstractNumId w:val="22"/>
  </w:num>
  <w:num w:numId="20" w16cid:durableId="1133254277">
    <w:abstractNumId w:val="30"/>
  </w:num>
  <w:num w:numId="21" w16cid:durableId="408239210">
    <w:abstractNumId w:val="27"/>
  </w:num>
  <w:num w:numId="22" w16cid:durableId="1618096632">
    <w:abstractNumId w:val="17"/>
  </w:num>
  <w:num w:numId="23" w16cid:durableId="1927838757">
    <w:abstractNumId w:val="25"/>
  </w:num>
  <w:num w:numId="24" w16cid:durableId="1105419914">
    <w:abstractNumId w:val="16"/>
  </w:num>
  <w:num w:numId="25" w16cid:durableId="1805342856">
    <w:abstractNumId w:val="19"/>
  </w:num>
  <w:num w:numId="26" w16cid:durableId="1227649749">
    <w:abstractNumId w:val="24"/>
  </w:num>
  <w:num w:numId="27" w16cid:durableId="2026664538">
    <w:abstractNumId w:val="15"/>
  </w:num>
  <w:num w:numId="28" w16cid:durableId="1079983525">
    <w:abstractNumId w:val="12"/>
  </w:num>
  <w:num w:numId="29" w16cid:durableId="627126698">
    <w:abstractNumId w:val="13"/>
  </w:num>
  <w:num w:numId="30" w16cid:durableId="81799633">
    <w:abstractNumId w:val="20"/>
  </w:num>
  <w:num w:numId="31" w16cid:durableId="682516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List"/>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BA"/>
    <w:rsid w:val="00004AF9"/>
    <w:rsid w:val="0000623C"/>
    <w:rsid w:val="000201C0"/>
    <w:rsid w:val="00021207"/>
    <w:rsid w:val="000421BA"/>
    <w:rsid w:val="000424FF"/>
    <w:rsid w:val="0005685E"/>
    <w:rsid w:val="0006376F"/>
    <w:rsid w:val="000650BB"/>
    <w:rsid w:val="00070BF1"/>
    <w:rsid w:val="00076DF4"/>
    <w:rsid w:val="0008364D"/>
    <w:rsid w:val="000A042F"/>
    <w:rsid w:val="000A139B"/>
    <w:rsid w:val="000A53C8"/>
    <w:rsid w:val="000C40B5"/>
    <w:rsid w:val="000E1526"/>
    <w:rsid w:val="000F0779"/>
    <w:rsid w:val="00101342"/>
    <w:rsid w:val="00110A40"/>
    <w:rsid w:val="0011165A"/>
    <w:rsid w:val="001763B9"/>
    <w:rsid w:val="00183047"/>
    <w:rsid w:val="001A36D0"/>
    <w:rsid w:val="001B2FDA"/>
    <w:rsid w:val="001B6EE7"/>
    <w:rsid w:val="001B7326"/>
    <w:rsid w:val="001C1ED6"/>
    <w:rsid w:val="001C77FC"/>
    <w:rsid w:val="001D1BF0"/>
    <w:rsid w:val="001D3244"/>
    <w:rsid w:val="001E10D8"/>
    <w:rsid w:val="001F0A79"/>
    <w:rsid w:val="001F72EB"/>
    <w:rsid w:val="0020655F"/>
    <w:rsid w:val="00211937"/>
    <w:rsid w:val="002345D9"/>
    <w:rsid w:val="002356F6"/>
    <w:rsid w:val="00265C90"/>
    <w:rsid w:val="00293AED"/>
    <w:rsid w:val="002D6186"/>
    <w:rsid w:val="002E2BB8"/>
    <w:rsid w:val="00313674"/>
    <w:rsid w:val="00343741"/>
    <w:rsid w:val="003529BF"/>
    <w:rsid w:val="00380849"/>
    <w:rsid w:val="00386474"/>
    <w:rsid w:val="0039531B"/>
    <w:rsid w:val="003C0606"/>
    <w:rsid w:val="003C1C31"/>
    <w:rsid w:val="003F05C3"/>
    <w:rsid w:val="004005CF"/>
    <w:rsid w:val="004415D7"/>
    <w:rsid w:val="00470CE3"/>
    <w:rsid w:val="004A3B50"/>
    <w:rsid w:val="004A6CFA"/>
    <w:rsid w:val="004B3D0E"/>
    <w:rsid w:val="004C005E"/>
    <w:rsid w:val="004C5804"/>
    <w:rsid w:val="004F2615"/>
    <w:rsid w:val="005164D4"/>
    <w:rsid w:val="00524267"/>
    <w:rsid w:val="00532206"/>
    <w:rsid w:val="005356BA"/>
    <w:rsid w:val="005366E3"/>
    <w:rsid w:val="005661F2"/>
    <w:rsid w:val="00580496"/>
    <w:rsid w:val="0058224B"/>
    <w:rsid w:val="00584E4F"/>
    <w:rsid w:val="005935B1"/>
    <w:rsid w:val="005A4540"/>
    <w:rsid w:val="005B228A"/>
    <w:rsid w:val="005D03CD"/>
    <w:rsid w:val="005D5104"/>
    <w:rsid w:val="005E2D03"/>
    <w:rsid w:val="005F39B2"/>
    <w:rsid w:val="00646BC7"/>
    <w:rsid w:val="0067737C"/>
    <w:rsid w:val="006B0B8C"/>
    <w:rsid w:val="006C090B"/>
    <w:rsid w:val="006C0F4C"/>
    <w:rsid w:val="006C2733"/>
    <w:rsid w:val="006C4D48"/>
    <w:rsid w:val="006D0A7D"/>
    <w:rsid w:val="006D3073"/>
    <w:rsid w:val="006E376A"/>
    <w:rsid w:val="006F55F5"/>
    <w:rsid w:val="006F5AFF"/>
    <w:rsid w:val="00727223"/>
    <w:rsid w:val="007536B2"/>
    <w:rsid w:val="00777BED"/>
    <w:rsid w:val="007B5524"/>
    <w:rsid w:val="007B60EC"/>
    <w:rsid w:val="007D03CF"/>
    <w:rsid w:val="007E5018"/>
    <w:rsid w:val="008059F8"/>
    <w:rsid w:val="00813026"/>
    <w:rsid w:val="0082073A"/>
    <w:rsid w:val="0082129D"/>
    <w:rsid w:val="00821A35"/>
    <w:rsid w:val="0086405A"/>
    <w:rsid w:val="00875812"/>
    <w:rsid w:val="00886652"/>
    <w:rsid w:val="00893B95"/>
    <w:rsid w:val="008A4A92"/>
    <w:rsid w:val="008D4A21"/>
    <w:rsid w:val="008E0B9C"/>
    <w:rsid w:val="008F5B82"/>
    <w:rsid w:val="00922CC4"/>
    <w:rsid w:val="009312F9"/>
    <w:rsid w:val="00940071"/>
    <w:rsid w:val="00944EF4"/>
    <w:rsid w:val="00945E12"/>
    <w:rsid w:val="00945E4C"/>
    <w:rsid w:val="009536BA"/>
    <w:rsid w:val="0096646A"/>
    <w:rsid w:val="00976464"/>
    <w:rsid w:val="00996347"/>
    <w:rsid w:val="009B16A3"/>
    <w:rsid w:val="009C5978"/>
    <w:rsid w:val="009C7F19"/>
    <w:rsid w:val="009D19EB"/>
    <w:rsid w:val="00A03BF3"/>
    <w:rsid w:val="00A04217"/>
    <w:rsid w:val="00A12B8E"/>
    <w:rsid w:val="00A26005"/>
    <w:rsid w:val="00A357D0"/>
    <w:rsid w:val="00AA6072"/>
    <w:rsid w:val="00AB09FF"/>
    <w:rsid w:val="00AC5963"/>
    <w:rsid w:val="00AF17C0"/>
    <w:rsid w:val="00B17EDF"/>
    <w:rsid w:val="00B41FE9"/>
    <w:rsid w:val="00B51081"/>
    <w:rsid w:val="00B605F3"/>
    <w:rsid w:val="00B72418"/>
    <w:rsid w:val="00B8695A"/>
    <w:rsid w:val="00B932DA"/>
    <w:rsid w:val="00B9503B"/>
    <w:rsid w:val="00B9633D"/>
    <w:rsid w:val="00BA3FA3"/>
    <w:rsid w:val="00BB2F91"/>
    <w:rsid w:val="00BC2163"/>
    <w:rsid w:val="00BC2922"/>
    <w:rsid w:val="00BD7E8F"/>
    <w:rsid w:val="00C05DC5"/>
    <w:rsid w:val="00C16FA0"/>
    <w:rsid w:val="00C2040E"/>
    <w:rsid w:val="00C21513"/>
    <w:rsid w:val="00C329F4"/>
    <w:rsid w:val="00C56D8B"/>
    <w:rsid w:val="00C7329F"/>
    <w:rsid w:val="00C911C1"/>
    <w:rsid w:val="00CF4AAA"/>
    <w:rsid w:val="00D10214"/>
    <w:rsid w:val="00D11FC3"/>
    <w:rsid w:val="00D16CB1"/>
    <w:rsid w:val="00D24731"/>
    <w:rsid w:val="00D422F6"/>
    <w:rsid w:val="00D45EAC"/>
    <w:rsid w:val="00D80405"/>
    <w:rsid w:val="00D96B6B"/>
    <w:rsid w:val="00DC615B"/>
    <w:rsid w:val="00DC7A1C"/>
    <w:rsid w:val="00DD0C36"/>
    <w:rsid w:val="00DE3198"/>
    <w:rsid w:val="00DF3A4F"/>
    <w:rsid w:val="00E137B6"/>
    <w:rsid w:val="00E242F3"/>
    <w:rsid w:val="00E64681"/>
    <w:rsid w:val="00E805BB"/>
    <w:rsid w:val="00EB7C4C"/>
    <w:rsid w:val="00ED0677"/>
    <w:rsid w:val="00F00D52"/>
    <w:rsid w:val="00F11D2E"/>
    <w:rsid w:val="00F12348"/>
    <w:rsid w:val="00F15BF9"/>
    <w:rsid w:val="00F30FEA"/>
    <w:rsid w:val="00F72D10"/>
    <w:rsid w:val="00F806C6"/>
    <w:rsid w:val="00F833E7"/>
    <w:rsid w:val="00F873DD"/>
    <w:rsid w:val="00FE11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6756E"/>
  <w15:docId w15:val="{7F82AFC3-5DD6-E246-A4B9-ADE2E8B6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217"/>
    <w:rPr>
      <w:sz w:val="24"/>
      <w:szCs w:val="24"/>
      <w:lang w:val="en-GB" w:eastAsia="en-GB"/>
    </w:rPr>
  </w:style>
  <w:style w:type="paragraph" w:styleId="Heading1">
    <w:name w:val="heading 1"/>
    <w:basedOn w:val="Normal"/>
    <w:next w:val="Normal"/>
    <w:qFormat/>
    <w:rsid w:val="00B963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421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B9633D"/>
    <w:pPr>
      <w:ind w:left="283" w:hanging="283"/>
    </w:pPr>
  </w:style>
  <w:style w:type="paragraph" w:styleId="BodyText">
    <w:name w:val="Body Text"/>
    <w:basedOn w:val="Normal"/>
    <w:rsid w:val="00B9633D"/>
    <w:pPr>
      <w:spacing w:after="120"/>
    </w:pPr>
  </w:style>
  <w:style w:type="paragraph" w:styleId="Header">
    <w:name w:val="header"/>
    <w:basedOn w:val="Normal"/>
    <w:rsid w:val="008D4A21"/>
    <w:pPr>
      <w:tabs>
        <w:tab w:val="center" w:pos="4153"/>
        <w:tab w:val="right" w:pos="8306"/>
      </w:tabs>
    </w:pPr>
  </w:style>
  <w:style w:type="paragraph" w:styleId="Footer">
    <w:name w:val="footer"/>
    <w:basedOn w:val="Normal"/>
    <w:rsid w:val="008D4A21"/>
    <w:pPr>
      <w:tabs>
        <w:tab w:val="center" w:pos="4153"/>
        <w:tab w:val="right" w:pos="8306"/>
      </w:tabs>
    </w:pPr>
  </w:style>
  <w:style w:type="character" w:styleId="PageNumber">
    <w:name w:val="page number"/>
    <w:basedOn w:val="DefaultParagraphFont"/>
    <w:rsid w:val="008D4A21"/>
  </w:style>
  <w:style w:type="paragraph" w:styleId="BalloonText">
    <w:name w:val="Balloon Text"/>
    <w:basedOn w:val="Normal"/>
    <w:rsid w:val="000421BA"/>
    <w:rPr>
      <w:rFonts w:ascii="Tahoma" w:hAnsi="Tahoma" w:cs="Tahoma"/>
      <w:sz w:val="16"/>
      <w:szCs w:val="16"/>
    </w:rPr>
  </w:style>
  <w:style w:type="table" w:styleId="TableColumns3">
    <w:name w:val="Table Columns 3"/>
    <w:basedOn w:val="TableNormal"/>
    <w:rsid w:val="000421B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3Deffects2">
    <w:name w:val="Table 3D effects 2"/>
    <w:basedOn w:val="TableNormal"/>
    <w:rsid w:val="000421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9531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9D19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Web3">
    <w:name w:val="Table Web 3"/>
    <w:basedOn w:val="TableNormal"/>
    <w:rsid w:val="009D19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rsid w:val="009D19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5D03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5D03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5D03C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5D03C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5D03C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03C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yperlink">
    <w:name w:val="Hyperlink"/>
    <w:rsid w:val="00BC2922"/>
    <w:rPr>
      <w:color w:val="0000FF"/>
      <w:u w:val="single"/>
    </w:rPr>
  </w:style>
  <w:style w:type="table" w:styleId="TableList4">
    <w:name w:val="Table List 4"/>
    <w:basedOn w:val="TableNormal"/>
    <w:rsid w:val="002119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1">
    <w:name w:val="Table Grid 1"/>
    <w:basedOn w:val="TableNormal"/>
    <w:rsid w:val="001763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mailStyle36">
    <w:name w:val="EmailStyle36"/>
    <w:semiHidden/>
    <w:rsid w:val="00AA6072"/>
    <w:rPr>
      <w:rFonts w:ascii="Calibri" w:hAnsi="Calibri"/>
      <w:b w:val="0"/>
      <w:bCs w:val="0"/>
      <w:i w:val="0"/>
      <w:iCs w:val="0"/>
      <w:strike w:val="0"/>
      <w:color w:val="auto"/>
      <w:sz w:val="22"/>
      <w:szCs w:val="22"/>
      <w:u w:val="none"/>
    </w:rPr>
  </w:style>
  <w:style w:type="paragraph" w:styleId="BodyTextIndent">
    <w:name w:val="Body Text Indent"/>
    <w:basedOn w:val="Normal"/>
    <w:rsid w:val="00A04217"/>
    <w:pPr>
      <w:spacing w:after="120"/>
      <w:ind w:left="283"/>
    </w:pPr>
  </w:style>
  <w:style w:type="table" w:styleId="TableGrid">
    <w:name w:val="Table Grid"/>
    <w:basedOn w:val="TableNormal"/>
    <w:uiPriority w:val="59"/>
    <w:rsid w:val="00A0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C0F4C"/>
    <w:pPr>
      <w:autoSpaceDE w:val="0"/>
      <w:autoSpaceDN w:val="0"/>
    </w:pPr>
    <w:rPr>
      <w:rFonts w:ascii="Wingdings" w:eastAsia="Calibri" w:hAnsi="Wingdings"/>
      <w:color w:val="000000"/>
      <w:lang w:val="en-NZ" w:eastAsia="en-NZ"/>
    </w:rPr>
  </w:style>
  <w:style w:type="character" w:styleId="Strong">
    <w:name w:val="Strong"/>
    <w:uiPriority w:val="22"/>
    <w:qFormat/>
    <w:rsid w:val="006C0F4C"/>
    <w:rPr>
      <w:b/>
      <w:bCs/>
    </w:rPr>
  </w:style>
  <w:style w:type="paragraph" w:styleId="NormalWeb">
    <w:name w:val="Normal (Web)"/>
    <w:basedOn w:val="Normal"/>
    <w:uiPriority w:val="99"/>
    <w:unhideWhenUsed/>
    <w:rsid w:val="006C0F4C"/>
    <w:pPr>
      <w:spacing w:after="150"/>
    </w:pPr>
    <w:rPr>
      <w:lang w:val="en-NZ" w:eastAsia="en-NZ"/>
    </w:rPr>
  </w:style>
  <w:style w:type="character" w:styleId="FollowedHyperlink">
    <w:name w:val="FollowedHyperlink"/>
    <w:basedOn w:val="DefaultParagraphFont"/>
    <w:rsid w:val="006C0F4C"/>
    <w:rPr>
      <w:color w:val="800080" w:themeColor="followedHyperlink"/>
      <w:u w:val="single"/>
    </w:rPr>
  </w:style>
  <w:style w:type="paragraph" w:styleId="ListParagraph">
    <w:name w:val="List Paragraph"/>
    <w:basedOn w:val="Normal"/>
    <w:uiPriority w:val="34"/>
    <w:qFormat/>
    <w:rsid w:val="006C0F4C"/>
    <w:pPr>
      <w:ind w:left="720"/>
      <w:contextualSpacing/>
    </w:pPr>
    <w:rPr>
      <w:rFonts w:ascii="Calibri" w:eastAsia="Calibri" w:hAnsi="Calibri"/>
      <w:sz w:val="22"/>
      <w:szCs w:val="22"/>
      <w:lang w:val="en-NZ" w:eastAsia="en-US"/>
    </w:rPr>
  </w:style>
  <w:style w:type="paragraph" w:styleId="EndnoteText">
    <w:name w:val="endnote text"/>
    <w:basedOn w:val="Normal"/>
    <w:link w:val="EndnoteTextChar"/>
    <w:uiPriority w:val="99"/>
    <w:semiHidden/>
    <w:unhideWhenUsed/>
    <w:rsid w:val="00F15BF9"/>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15BF9"/>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F15BF9"/>
    <w:rPr>
      <w:vertAlign w:val="superscript"/>
    </w:rPr>
  </w:style>
  <w:style w:type="paragraph" w:styleId="CommentText">
    <w:name w:val="annotation text"/>
    <w:basedOn w:val="Normal"/>
    <w:link w:val="CommentTextChar"/>
    <w:uiPriority w:val="99"/>
    <w:unhideWhenUsed/>
    <w:rsid w:val="00821A35"/>
    <w:rPr>
      <w:sz w:val="20"/>
      <w:szCs w:val="20"/>
    </w:rPr>
  </w:style>
  <w:style w:type="character" w:customStyle="1" w:styleId="CommentTextChar">
    <w:name w:val="Comment Text Char"/>
    <w:basedOn w:val="DefaultParagraphFont"/>
    <w:link w:val="CommentText"/>
    <w:uiPriority w:val="99"/>
    <w:rsid w:val="00821A3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8765">
      <w:bodyDiv w:val="1"/>
      <w:marLeft w:val="0"/>
      <w:marRight w:val="0"/>
      <w:marTop w:val="0"/>
      <w:marBottom w:val="0"/>
      <w:divBdr>
        <w:top w:val="none" w:sz="0" w:space="0" w:color="auto"/>
        <w:left w:val="none" w:sz="0" w:space="0" w:color="auto"/>
        <w:bottom w:val="none" w:sz="0" w:space="0" w:color="auto"/>
        <w:right w:val="none" w:sz="0" w:space="0" w:color="auto"/>
      </w:divBdr>
    </w:div>
    <w:div w:id="944119247">
      <w:bodyDiv w:val="1"/>
      <w:marLeft w:val="0"/>
      <w:marRight w:val="0"/>
      <w:marTop w:val="0"/>
      <w:marBottom w:val="0"/>
      <w:divBdr>
        <w:top w:val="none" w:sz="0" w:space="0" w:color="auto"/>
        <w:left w:val="none" w:sz="0" w:space="0" w:color="auto"/>
        <w:bottom w:val="none" w:sz="0" w:space="0" w:color="auto"/>
        <w:right w:val="none" w:sz="0" w:space="0" w:color="auto"/>
      </w:divBdr>
      <w:divsChild>
        <w:div w:id="843130517">
          <w:marLeft w:val="0"/>
          <w:marRight w:val="0"/>
          <w:marTop w:val="0"/>
          <w:marBottom w:val="0"/>
          <w:divBdr>
            <w:top w:val="none" w:sz="0" w:space="0" w:color="auto"/>
            <w:left w:val="none" w:sz="0" w:space="0" w:color="auto"/>
            <w:bottom w:val="none" w:sz="0" w:space="0" w:color="auto"/>
            <w:right w:val="none" w:sz="0" w:space="0" w:color="auto"/>
          </w:divBdr>
          <w:divsChild>
            <w:div w:id="807743693">
              <w:marLeft w:val="0"/>
              <w:marRight w:val="0"/>
              <w:marTop w:val="0"/>
              <w:marBottom w:val="0"/>
              <w:divBdr>
                <w:top w:val="none" w:sz="0" w:space="0" w:color="auto"/>
                <w:left w:val="none" w:sz="0" w:space="0" w:color="auto"/>
                <w:bottom w:val="none" w:sz="0" w:space="0" w:color="auto"/>
                <w:right w:val="none" w:sz="0" w:space="0" w:color="auto"/>
              </w:divBdr>
              <w:divsChild>
                <w:div w:id="579607372">
                  <w:marLeft w:val="0"/>
                  <w:marRight w:val="0"/>
                  <w:marTop w:val="0"/>
                  <w:marBottom w:val="0"/>
                  <w:divBdr>
                    <w:top w:val="none" w:sz="0" w:space="0" w:color="auto"/>
                    <w:left w:val="none" w:sz="0" w:space="0" w:color="auto"/>
                    <w:bottom w:val="none" w:sz="0" w:space="0" w:color="auto"/>
                    <w:right w:val="none" w:sz="0" w:space="0" w:color="auto"/>
                  </w:divBdr>
                  <w:divsChild>
                    <w:div w:id="2006591358">
                      <w:marLeft w:val="-225"/>
                      <w:marRight w:val="-225"/>
                      <w:marTop w:val="0"/>
                      <w:marBottom w:val="0"/>
                      <w:divBdr>
                        <w:top w:val="none" w:sz="0" w:space="0" w:color="auto"/>
                        <w:left w:val="none" w:sz="0" w:space="0" w:color="auto"/>
                        <w:bottom w:val="none" w:sz="0" w:space="0" w:color="auto"/>
                        <w:right w:val="none" w:sz="0" w:space="0" w:color="auto"/>
                      </w:divBdr>
                      <w:divsChild>
                        <w:div w:id="2042776327">
                          <w:marLeft w:val="0"/>
                          <w:marRight w:val="0"/>
                          <w:marTop w:val="0"/>
                          <w:marBottom w:val="0"/>
                          <w:divBdr>
                            <w:top w:val="none" w:sz="0" w:space="0" w:color="auto"/>
                            <w:left w:val="none" w:sz="0" w:space="0" w:color="auto"/>
                            <w:bottom w:val="none" w:sz="0" w:space="0" w:color="auto"/>
                            <w:right w:val="none" w:sz="0" w:space="0" w:color="auto"/>
                          </w:divBdr>
                          <w:divsChild>
                            <w:div w:id="2077314917">
                              <w:marLeft w:val="0"/>
                              <w:marRight w:val="0"/>
                              <w:marTop w:val="0"/>
                              <w:marBottom w:val="0"/>
                              <w:divBdr>
                                <w:top w:val="none" w:sz="0" w:space="0" w:color="auto"/>
                                <w:left w:val="none" w:sz="0" w:space="0" w:color="auto"/>
                                <w:bottom w:val="none" w:sz="0" w:space="0" w:color="auto"/>
                                <w:right w:val="none" w:sz="0" w:space="0" w:color="auto"/>
                              </w:divBdr>
                              <w:divsChild>
                                <w:div w:id="255868428">
                                  <w:marLeft w:val="0"/>
                                  <w:marRight w:val="0"/>
                                  <w:marTop w:val="0"/>
                                  <w:marBottom w:val="0"/>
                                  <w:divBdr>
                                    <w:top w:val="none" w:sz="0" w:space="0" w:color="auto"/>
                                    <w:left w:val="none" w:sz="0" w:space="0" w:color="auto"/>
                                    <w:bottom w:val="none" w:sz="0" w:space="0" w:color="auto"/>
                                    <w:right w:val="none" w:sz="0" w:space="0" w:color="auto"/>
                                  </w:divBdr>
                                  <w:divsChild>
                                    <w:div w:id="1007943710">
                                      <w:marLeft w:val="0"/>
                                      <w:marRight w:val="0"/>
                                      <w:marTop w:val="0"/>
                                      <w:marBottom w:val="0"/>
                                      <w:divBdr>
                                        <w:top w:val="none" w:sz="0" w:space="0" w:color="auto"/>
                                        <w:left w:val="none" w:sz="0" w:space="0" w:color="auto"/>
                                        <w:bottom w:val="none" w:sz="0" w:space="0" w:color="auto"/>
                                        <w:right w:val="none" w:sz="0" w:space="0" w:color="auto"/>
                                      </w:divBdr>
                                      <w:divsChild>
                                        <w:div w:id="1393310542">
                                          <w:marLeft w:val="0"/>
                                          <w:marRight w:val="0"/>
                                          <w:marTop w:val="0"/>
                                          <w:marBottom w:val="0"/>
                                          <w:divBdr>
                                            <w:top w:val="none" w:sz="0" w:space="0" w:color="auto"/>
                                            <w:left w:val="none" w:sz="0" w:space="0" w:color="auto"/>
                                            <w:bottom w:val="none" w:sz="0" w:space="0" w:color="auto"/>
                                            <w:right w:val="none" w:sz="0" w:space="0" w:color="auto"/>
                                          </w:divBdr>
                                          <w:divsChild>
                                            <w:div w:id="585264862">
                                              <w:marLeft w:val="0"/>
                                              <w:marRight w:val="0"/>
                                              <w:marTop w:val="0"/>
                                              <w:marBottom w:val="0"/>
                                              <w:divBdr>
                                                <w:top w:val="none" w:sz="0" w:space="0" w:color="auto"/>
                                                <w:left w:val="none" w:sz="0" w:space="0" w:color="auto"/>
                                                <w:bottom w:val="none" w:sz="0" w:space="0" w:color="auto"/>
                                                <w:right w:val="none" w:sz="0" w:space="0" w:color="auto"/>
                                              </w:divBdr>
                                              <w:divsChild>
                                                <w:div w:id="1240291495">
                                                  <w:marLeft w:val="0"/>
                                                  <w:marRight w:val="0"/>
                                                  <w:marTop w:val="0"/>
                                                  <w:marBottom w:val="150"/>
                                                  <w:divBdr>
                                                    <w:top w:val="none" w:sz="0" w:space="0" w:color="auto"/>
                                                    <w:left w:val="none" w:sz="0" w:space="0" w:color="auto"/>
                                                    <w:bottom w:val="none" w:sz="0" w:space="0" w:color="auto"/>
                                                    <w:right w:val="none" w:sz="0" w:space="0" w:color="auto"/>
                                                  </w:divBdr>
                                                  <w:divsChild>
                                                    <w:div w:id="2110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1592">
      <w:bodyDiv w:val="1"/>
      <w:marLeft w:val="0"/>
      <w:marRight w:val="0"/>
      <w:marTop w:val="0"/>
      <w:marBottom w:val="0"/>
      <w:divBdr>
        <w:top w:val="none" w:sz="0" w:space="0" w:color="auto"/>
        <w:left w:val="none" w:sz="0" w:space="0" w:color="auto"/>
        <w:bottom w:val="none" w:sz="0" w:space="0" w:color="auto"/>
        <w:right w:val="none" w:sz="0" w:space="0" w:color="auto"/>
      </w:divBdr>
    </w:div>
    <w:div w:id="1281380167">
      <w:bodyDiv w:val="1"/>
      <w:marLeft w:val="0"/>
      <w:marRight w:val="0"/>
      <w:marTop w:val="0"/>
      <w:marBottom w:val="0"/>
      <w:divBdr>
        <w:top w:val="none" w:sz="0" w:space="0" w:color="auto"/>
        <w:left w:val="none" w:sz="0" w:space="0" w:color="auto"/>
        <w:bottom w:val="none" w:sz="0" w:space="0" w:color="auto"/>
        <w:right w:val="none" w:sz="0" w:space="0" w:color="auto"/>
      </w:divBdr>
    </w:div>
    <w:div w:id="17153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2.png@01D491F7.90803D2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Ko Awatea Research Office</vt:lpstr>
    </vt:vector>
  </TitlesOfParts>
  <Company>healthAlliance</Company>
  <LinksUpToDate>false</LinksUpToDate>
  <CharactersWithSpaces>15917</CharactersWithSpaces>
  <SharedDoc>false</SharedDoc>
  <HLinks>
    <vt:vector size="60" baseType="variant">
      <vt:variant>
        <vt:i4>2424950</vt:i4>
      </vt:variant>
      <vt:variant>
        <vt:i4>24</vt:i4>
      </vt:variant>
      <vt:variant>
        <vt:i4>0</vt:i4>
      </vt:variant>
      <vt:variant>
        <vt:i4>5</vt:i4>
      </vt:variant>
      <vt:variant>
        <vt:lpwstr>http://www.who.int/rpc/research_ethics/guide_rp/en/index.html</vt:lpwstr>
      </vt:variant>
      <vt:variant>
        <vt:lpwstr/>
      </vt:variant>
      <vt:variant>
        <vt:i4>7536676</vt:i4>
      </vt:variant>
      <vt:variant>
        <vt:i4>21</vt:i4>
      </vt:variant>
      <vt:variant>
        <vt:i4>0</vt:i4>
      </vt:variant>
      <vt:variant>
        <vt:i4>5</vt:i4>
      </vt:variant>
      <vt:variant>
        <vt:lpwstr>http://medind.nic.in/nac/t05/i1/nact05i1p5.pdf</vt:lpwstr>
      </vt:variant>
      <vt:variant>
        <vt:lpwstr/>
      </vt:variant>
      <vt:variant>
        <vt:i4>1376275</vt:i4>
      </vt:variant>
      <vt:variant>
        <vt:i4>18</vt:i4>
      </vt:variant>
      <vt:variant>
        <vt:i4>0</vt:i4>
      </vt:variant>
      <vt:variant>
        <vt:i4>5</vt:i4>
      </vt:variant>
      <vt:variant>
        <vt:lpwstr>https://www.ethicsform.org/Nz/SignIn.aspx</vt:lpwstr>
      </vt:variant>
      <vt:variant>
        <vt:lpwstr/>
      </vt:variant>
      <vt:variant>
        <vt:i4>5177368</vt:i4>
      </vt:variant>
      <vt:variant>
        <vt:i4>15</vt:i4>
      </vt:variant>
      <vt:variant>
        <vt:i4>0</vt:i4>
      </vt:variant>
      <vt:variant>
        <vt:i4>5</vt:i4>
      </vt:variant>
      <vt:variant>
        <vt:lpwstr>http://www.ethics.health.govt.nz/</vt:lpwstr>
      </vt:variant>
      <vt:variant>
        <vt:lpwstr/>
      </vt:variant>
      <vt:variant>
        <vt:i4>5701726</vt:i4>
      </vt:variant>
      <vt:variant>
        <vt:i4>12</vt:i4>
      </vt:variant>
      <vt:variant>
        <vt:i4>0</vt:i4>
      </vt:variant>
      <vt:variant>
        <vt:i4>5</vt:i4>
      </vt:variant>
      <vt:variant>
        <vt:lpwstr>http://www.nci.cu.edu.eg/lectures/monday2006/23-4/How to Write a Protocol.pdf</vt:lpwstr>
      </vt:variant>
      <vt:variant>
        <vt:lpwstr/>
      </vt:variant>
      <vt:variant>
        <vt:i4>1048590</vt:i4>
      </vt:variant>
      <vt:variant>
        <vt:i4>9</vt:i4>
      </vt:variant>
      <vt:variant>
        <vt:i4>0</vt:i4>
      </vt:variant>
      <vt:variant>
        <vt:i4>5</vt:i4>
      </vt:variant>
      <vt:variant>
        <vt:lpwstr>http://www.ich.org/cache/compo/276-254-1.html</vt:lpwstr>
      </vt:variant>
      <vt:variant>
        <vt:lpwstr/>
      </vt:variant>
      <vt:variant>
        <vt:i4>524299</vt:i4>
      </vt:variant>
      <vt:variant>
        <vt:i4>6</vt:i4>
      </vt:variant>
      <vt:variant>
        <vt:i4>0</vt:i4>
      </vt:variant>
      <vt:variant>
        <vt:i4>5</vt:i4>
      </vt:variant>
      <vt:variant>
        <vt:lpwstr>http://www.docstoc.com/docs/432932/How-to-write-a-clinical-study-protocol</vt:lpwstr>
      </vt:variant>
      <vt:variant>
        <vt:lpwstr/>
      </vt:variant>
      <vt:variant>
        <vt:i4>7864437</vt:i4>
      </vt:variant>
      <vt:variant>
        <vt:i4>3</vt:i4>
      </vt:variant>
      <vt:variant>
        <vt:i4>0</vt:i4>
      </vt:variant>
      <vt:variant>
        <vt:i4>5</vt:i4>
      </vt:variant>
      <vt:variant>
        <vt:lpwstr>http://www.ess-eg.org/pages/groups/surgical/publications/1-how.pdf</vt:lpwstr>
      </vt:variant>
      <vt:variant>
        <vt:lpwstr/>
      </vt:variant>
      <vt:variant>
        <vt:i4>7471203</vt:i4>
      </vt:variant>
      <vt:variant>
        <vt:i4>0</vt:i4>
      </vt:variant>
      <vt:variant>
        <vt:i4>0</vt:i4>
      </vt:variant>
      <vt:variant>
        <vt:i4>5</vt:i4>
      </vt:variant>
      <vt:variant>
        <vt:lpwstr>http://www.msi.govt.nz/get-funded/research-organisations/2012-investment round/appdocs/</vt:lpwstr>
      </vt:variant>
      <vt:variant>
        <vt:lpwstr/>
      </vt:variant>
      <vt:variant>
        <vt:i4>3997785</vt:i4>
      </vt:variant>
      <vt:variant>
        <vt:i4>-1</vt:i4>
      </vt:variant>
      <vt:variant>
        <vt:i4>2051</vt:i4>
      </vt:variant>
      <vt:variant>
        <vt:i4>1</vt:i4>
      </vt:variant>
      <vt:variant>
        <vt:lpwstr>cid:image002.png@01D491F7.90803D20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 Awatea Research Office</dc:title>
  <cp:lastModifiedBy>Jenny Stephens</cp:lastModifiedBy>
  <cp:revision>3</cp:revision>
  <cp:lastPrinted>2018-12-10T22:21:00Z</cp:lastPrinted>
  <dcterms:created xsi:type="dcterms:W3CDTF">2022-05-04T02:41:00Z</dcterms:created>
  <dcterms:modified xsi:type="dcterms:W3CDTF">2022-05-04T02:42:00Z</dcterms:modified>
</cp:coreProperties>
</file>