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90B3" w14:textId="77777777" w:rsidR="00A21B5F" w:rsidRPr="00D42E18" w:rsidRDefault="002B3234" w:rsidP="00A21B5F">
      <w:pPr>
        <w:jc w:val="center"/>
        <w:rPr>
          <w:noProof/>
          <w:lang w:val="en-AU" w:eastAsia="en-AU"/>
        </w:rPr>
      </w:pPr>
      <w:r w:rsidRPr="00D42E18">
        <w:rPr>
          <w:noProof/>
          <w:lang w:val="en-AU" w:eastAsia="en-AU"/>
        </w:rPr>
        <w:drawing>
          <wp:inline distT="0" distB="0" distL="0" distR="0" wp14:anchorId="31E88BE8" wp14:editId="414C0D9C">
            <wp:extent cx="6362700" cy="1019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10">
                      <a:extLst>
                        <a:ext uri="{28A0092B-C50C-407E-A947-70E740481C1C}">
                          <a14:useLocalDpi xmlns:a14="http://schemas.microsoft.com/office/drawing/2010/main" val="0"/>
                        </a:ext>
                      </a:extLst>
                    </a:blip>
                    <a:stretch>
                      <a:fillRect/>
                    </a:stretch>
                  </pic:blipFill>
                  <pic:spPr>
                    <a:xfrm>
                      <a:off x="0" y="0"/>
                      <a:ext cx="6362700" cy="1019175"/>
                    </a:xfrm>
                    <a:prstGeom prst="rect">
                      <a:avLst/>
                    </a:prstGeom>
                  </pic:spPr>
                </pic:pic>
              </a:graphicData>
            </a:graphic>
          </wp:inline>
        </w:drawing>
      </w:r>
    </w:p>
    <w:p w14:paraId="643BF55F" w14:textId="77777777" w:rsidR="00A21B5F" w:rsidRPr="00D42E18" w:rsidRDefault="00A21B5F" w:rsidP="00A21B5F">
      <w:pPr>
        <w:jc w:val="center"/>
        <w:rPr>
          <w:highlight w:val="yellow"/>
          <w:u w:val="single"/>
        </w:rPr>
      </w:pPr>
    </w:p>
    <w:p w14:paraId="321147BC" w14:textId="5E52DAE4" w:rsidR="00A21B5F" w:rsidRPr="00D42E18" w:rsidRDefault="00A21B5F" w:rsidP="00083E98">
      <w:pPr>
        <w:jc w:val="center"/>
        <w:rPr>
          <w:rFonts w:eastAsia="Calibri"/>
          <w:color w:val="9D2235"/>
          <w:spacing w:val="-3"/>
          <w:u w:val="single"/>
          <w:lang w:eastAsia="en-AU"/>
        </w:rPr>
      </w:pPr>
      <w:r w:rsidRPr="00D42E18">
        <w:rPr>
          <w:rFonts w:eastAsia="Calibri"/>
          <w:color w:val="9D2235"/>
          <w:spacing w:val="-3"/>
          <w:u w:val="single"/>
          <w:lang w:eastAsia="en-AU"/>
        </w:rPr>
        <w:t>Project Description</w:t>
      </w:r>
    </w:p>
    <w:p w14:paraId="4D1EE0B0" w14:textId="77777777" w:rsidR="00A21B5F" w:rsidRPr="00D42E18" w:rsidRDefault="00A21B5F" w:rsidP="00A21B5F">
      <w:pPr>
        <w:rPr>
          <w:b/>
        </w:rPr>
      </w:pPr>
    </w:p>
    <w:p w14:paraId="349EA637" w14:textId="77777777" w:rsidR="00A21B5F" w:rsidRPr="00D42E1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4"/>
        </w:rPr>
      </w:pPr>
      <w:r w:rsidRPr="00D42E18">
        <w:rPr>
          <w:rFonts w:ascii="Times New Roman" w:hAnsi="Times New Roman" w:cs="Times New Roman"/>
          <w:b w:val="0"/>
          <w:sz w:val="24"/>
        </w:rPr>
        <w:t>Section 1: Overview</w:t>
      </w:r>
    </w:p>
    <w:p w14:paraId="455B637F" w14:textId="77777777" w:rsidR="00A21B5F" w:rsidRPr="00D42E18" w:rsidRDefault="00A21B5F" w:rsidP="00A21B5F">
      <w:pPr>
        <w:jc w:val="right"/>
      </w:pPr>
    </w:p>
    <w:p w14:paraId="5E04DEF8" w14:textId="7E267E7E" w:rsidR="00A21B5F" w:rsidRPr="00D42E18" w:rsidRDefault="00A21B5F" w:rsidP="00D64385">
      <w:pPr>
        <w:ind w:left="720" w:hanging="720"/>
      </w:pPr>
      <w:r w:rsidRPr="00D42E18">
        <w:rPr>
          <w:b/>
          <w:color w:val="582C83"/>
        </w:rPr>
        <w:t xml:space="preserve">1.1. </w:t>
      </w:r>
      <w:r w:rsidRPr="00D42E18">
        <w:tab/>
        <w:t xml:space="preserve">Project Title: </w:t>
      </w:r>
      <w:r w:rsidR="00D64385" w:rsidRPr="00D42E18">
        <w:rPr>
          <w:b/>
          <w:bCs/>
        </w:rPr>
        <w:t xml:space="preserve">A </w:t>
      </w:r>
      <w:bookmarkStart w:id="0" w:name="_Hlk99617935"/>
      <w:r w:rsidR="00D64385" w:rsidRPr="00D42E18">
        <w:rPr>
          <w:b/>
          <w:bCs/>
        </w:rPr>
        <w:t>pilot f</w:t>
      </w:r>
      <w:r w:rsidR="00C34A64" w:rsidRPr="00D42E18">
        <w:rPr>
          <w:b/>
          <w:bCs/>
        </w:rPr>
        <w:t xml:space="preserve">easibility trial </w:t>
      </w:r>
      <w:bookmarkEnd w:id="0"/>
      <w:r w:rsidR="007A347A" w:rsidRPr="00D42E18">
        <w:rPr>
          <w:b/>
          <w:bCs/>
        </w:rPr>
        <w:t xml:space="preserve">of web-based mindfulness </w:t>
      </w:r>
      <w:r w:rsidR="006F4051">
        <w:rPr>
          <w:b/>
          <w:bCs/>
        </w:rPr>
        <w:t>program</w:t>
      </w:r>
      <w:r w:rsidR="00AC21FD" w:rsidRPr="00D42E18">
        <w:rPr>
          <w:b/>
          <w:bCs/>
        </w:rPr>
        <w:t xml:space="preserve"> for adolescent and </w:t>
      </w:r>
      <w:r w:rsidR="003100CA" w:rsidRPr="00D42E18">
        <w:rPr>
          <w:b/>
          <w:bCs/>
        </w:rPr>
        <w:t xml:space="preserve">young people </w:t>
      </w:r>
      <w:r w:rsidR="00AC21FD" w:rsidRPr="00D42E18">
        <w:rPr>
          <w:b/>
          <w:bCs/>
        </w:rPr>
        <w:t>with cancer</w:t>
      </w:r>
    </w:p>
    <w:p w14:paraId="7BEAB625" w14:textId="345804DD" w:rsidR="00A21B5F" w:rsidRPr="00D42E18" w:rsidRDefault="00A21B5F" w:rsidP="00A21B5F">
      <w:r w:rsidRPr="00D42E18">
        <w:rPr>
          <w:b/>
          <w:color w:val="582C83"/>
        </w:rPr>
        <w:t>1.2.</w:t>
      </w:r>
      <w:r w:rsidRPr="00D42E18">
        <w:tab/>
        <w:t>Project Acronym or short title (if applicable):</w:t>
      </w:r>
    </w:p>
    <w:p w14:paraId="765A926A" w14:textId="77777777" w:rsidR="00A21B5F" w:rsidRPr="00D42E18" w:rsidRDefault="00A21B5F" w:rsidP="00A21B5F">
      <w:r w:rsidRPr="00D42E18">
        <w:rPr>
          <w:b/>
          <w:color w:val="582C83"/>
        </w:rPr>
        <w:t>1.3.</w:t>
      </w:r>
      <w:r w:rsidRPr="00D42E18">
        <w:tab/>
        <w:t>Version Number:</w:t>
      </w:r>
    </w:p>
    <w:p w14:paraId="3368AC26" w14:textId="46CCAE3C" w:rsidR="007258C4" w:rsidRPr="00D42E18" w:rsidRDefault="00A21B5F" w:rsidP="00334149">
      <w:pPr>
        <w:ind w:left="720" w:hanging="720"/>
      </w:pPr>
      <w:r w:rsidRPr="00D42E18">
        <w:rPr>
          <w:b/>
          <w:color w:val="7030A0"/>
        </w:rPr>
        <w:t>1.4</w:t>
      </w:r>
      <w:r w:rsidRPr="00D42E18">
        <w:tab/>
        <w:t xml:space="preserve">Does this project already have funding logged with </w:t>
      </w:r>
      <w:r w:rsidR="00334149" w:rsidRPr="00D42E18">
        <w:t>the Grants Services team?</w:t>
      </w:r>
      <w:r w:rsidR="002A72BD" w:rsidRPr="00D42E18">
        <w:t xml:space="preserve"> School of Nursing and Midwifery Partnership Grant</w:t>
      </w:r>
      <w:r w:rsidR="008F2ADE">
        <w:t xml:space="preserve"> project number P00027828</w:t>
      </w:r>
    </w:p>
    <w:p w14:paraId="795A9EB9" w14:textId="5BC4A948" w:rsidR="00A21B5F" w:rsidRPr="00D42E18" w:rsidRDefault="00A21B5F" w:rsidP="002A72BD">
      <w:pPr>
        <w:ind w:left="720"/>
        <w:rPr>
          <w:b/>
        </w:rPr>
      </w:pPr>
      <w:r w:rsidRPr="00D42E18">
        <w:t>Project ID</w:t>
      </w:r>
      <w:r w:rsidR="002A72BD" w:rsidRPr="00D42E18">
        <w:t xml:space="preserve">: </w:t>
      </w:r>
      <w:r w:rsidR="002A3050" w:rsidRPr="00D42E18">
        <w:rPr>
          <w:b/>
        </w:rPr>
        <w:t>65164</w:t>
      </w:r>
      <w:r w:rsidR="002A72BD" w:rsidRPr="00D42E18">
        <w:t xml:space="preserve"> (</w:t>
      </w:r>
      <w:r w:rsidR="002A3050" w:rsidRPr="00D42E18">
        <w:rPr>
          <w:b/>
        </w:rPr>
        <w:t xml:space="preserve">School of Nursing and Midwifery’s cost </w:t>
      </w:r>
      <w:proofErr w:type="spellStart"/>
      <w:r w:rsidR="002A3050" w:rsidRPr="00D42E18">
        <w:rPr>
          <w:b/>
        </w:rPr>
        <w:t>centre</w:t>
      </w:r>
      <w:proofErr w:type="spellEnd"/>
      <w:r w:rsidR="002A3050" w:rsidRPr="00D42E18">
        <w:rPr>
          <w:b/>
        </w:rPr>
        <w:t xml:space="preserve"> 20341.65164</w:t>
      </w:r>
      <w:r w:rsidR="002A72BD" w:rsidRPr="00D42E18">
        <w:rPr>
          <w:b/>
        </w:rPr>
        <w:t>)</w:t>
      </w:r>
    </w:p>
    <w:p w14:paraId="24881F1D" w14:textId="77777777" w:rsidR="00A21B5F" w:rsidRPr="00D42E1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4"/>
        </w:rPr>
      </w:pPr>
      <w:r w:rsidRPr="00D42E18">
        <w:rPr>
          <w:rFonts w:ascii="Times New Roman" w:hAnsi="Times New Roman" w:cs="Times New Roman"/>
          <w:b w:val="0"/>
          <w:sz w:val="24"/>
        </w:rPr>
        <w:t>Section 2: Western Sydney University School or Institute approval</w:t>
      </w:r>
    </w:p>
    <w:p w14:paraId="151E5169" w14:textId="77777777" w:rsidR="00A21B5F" w:rsidRPr="00D42E18" w:rsidRDefault="00A21B5F" w:rsidP="00A21B5F">
      <w:pPr>
        <w:jc w:val="right"/>
      </w:pPr>
    </w:p>
    <w:p w14:paraId="4725F3A0" w14:textId="6CF9A090" w:rsidR="00A21B5F" w:rsidRPr="00D42E18" w:rsidRDefault="00A21B5F" w:rsidP="00A21B5F">
      <w:pPr>
        <w:ind w:left="720" w:hanging="720"/>
      </w:pPr>
      <w:r w:rsidRPr="00D42E18">
        <w:rPr>
          <w:b/>
          <w:color w:val="582C83"/>
        </w:rPr>
        <w:t>2.1.</w:t>
      </w:r>
      <w:r w:rsidRPr="00D42E18">
        <w:tab/>
        <w:t>Which Institute/School/Centre will be administering this project?</w:t>
      </w:r>
      <w:r w:rsidR="00830720" w:rsidRPr="00D42E18">
        <w:t xml:space="preserve"> Western Sydney University and Canteen</w:t>
      </w:r>
    </w:p>
    <w:p w14:paraId="160009BC" w14:textId="77777777" w:rsidR="00A61128" w:rsidRPr="00D42E18" w:rsidRDefault="00A21B5F" w:rsidP="00A21B5F">
      <w:pPr>
        <w:ind w:left="720" w:hanging="720"/>
      </w:pPr>
      <w:r w:rsidRPr="00D42E18">
        <w:rPr>
          <w:b/>
          <w:color w:val="582C83"/>
        </w:rPr>
        <w:t>2.2.</w:t>
      </w:r>
      <w:r w:rsidRPr="00D42E18">
        <w:rPr>
          <w:b/>
          <w:color w:val="582C83"/>
        </w:rPr>
        <w:tab/>
      </w:r>
      <w:r w:rsidRPr="00D42E18">
        <w:t>If</w:t>
      </w:r>
      <w:r w:rsidR="00A61128" w:rsidRPr="00D42E18">
        <w:t xml:space="preserve"> your </w:t>
      </w:r>
      <w:r w:rsidR="00220E98" w:rsidRPr="00D42E18">
        <w:t>Institute</w:t>
      </w:r>
      <w:r w:rsidR="00A61128" w:rsidRPr="00D42E18">
        <w:t>/</w:t>
      </w:r>
      <w:r w:rsidR="00220E98" w:rsidRPr="00D42E18">
        <w:t>School</w:t>
      </w:r>
      <w:r w:rsidR="00A61128" w:rsidRPr="00D42E18">
        <w:t>/Centre</w:t>
      </w:r>
      <w:r w:rsidRPr="00D42E18">
        <w:t xml:space="preserve"> has a requirement that human research projects are reviewed or agreed to before an ethics application comes to the ethics committee, has this occurred?                </w:t>
      </w:r>
    </w:p>
    <w:p w14:paraId="1A822526" w14:textId="5179B849" w:rsidR="00A21B5F" w:rsidRPr="00D42E18" w:rsidRDefault="00A21B5F" w:rsidP="00A21B5F">
      <w:pPr>
        <w:ind w:left="720" w:hanging="720"/>
      </w:pPr>
      <w:r w:rsidRPr="00D42E18">
        <w:t xml:space="preserve">    </w:t>
      </w:r>
      <w:r w:rsidR="0023578D" w:rsidRPr="00D42E18">
        <w:tab/>
      </w:r>
      <w:sdt>
        <w:sdtPr>
          <w:id w:val="-1886705006"/>
          <w14:checkbox>
            <w14:checked w14:val="0"/>
            <w14:checkedState w14:val="2612" w14:font="MS Gothic"/>
            <w14:uncheckedState w14:val="2610" w14:font="MS Gothic"/>
          </w14:checkbox>
        </w:sdtPr>
        <w:sdtEndPr/>
        <w:sdtContent>
          <w:r w:rsidRPr="00D42E18">
            <w:rPr>
              <w:rFonts w:ascii="Segoe UI Symbol" w:eastAsia="MS Gothic" w:hAnsi="Segoe UI Symbol" w:cs="Segoe UI Symbol"/>
            </w:rPr>
            <w:t>☐</w:t>
          </w:r>
        </w:sdtContent>
      </w:sdt>
      <w:r w:rsidRPr="00D42E18">
        <w:t xml:space="preserve"> Yes      </w:t>
      </w:r>
      <w:sdt>
        <w:sdtPr>
          <w:id w:val="1008024216"/>
          <w14:checkbox>
            <w14:checked w14:val="1"/>
            <w14:checkedState w14:val="2612" w14:font="MS Gothic"/>
            <w14:uncheckedState w14:val="2610" w14:font="MS Gothic"/>
          </w14:checkbox>
        </w:sdtPr>
        <w:sdtEndPr/>
        <w:sdtContent>
          <w:r w:rsidR="00830720" w:rsidRPr="00D42E18">
            <w:rPr>
              <w:rFonts w:ascii="Segoe UI Symbol" w:eastAsia="MS Gothic" w:hAnsi="Segoe UI Symbol" w:cs="Segoe UI Symbol"/>
            </w:rPr>
            <w:t>☒</w:t>
          </w:r>
        </w:sdtContent>
      </w:sdt>
      <w:r w:rsidRPr="00D42E18">
        <w:t xml:space="preserve"> No  </w:t>
      </w:r>
      <w:sdt>
        <w:sdtPr>
          <w:id w:val="-264309339"/>
          <w14:checkbox>
            <w14:checked w14:val="0"/>
            <w14:checkedState w14:val="2612" w14:font="MS Gothic"/>
            <w14:uncheckedState w14:val="2610" w14:font="MS Gothic"/>
          </w14:checkbox>
        </w:sdtPr>
        <w:sdtEndPr/>
        <w:sdtContent>
          <w:r w:rsidRPr="00D42E18">
            <w:rPr>
              <w:rFonts w:ascii="Segoe UI Symbol" w:eastAsia="MS Mincho" w:hAnsi="Segoe UI Symbol" w:cs="Segoe UI Symbol"/>
            </w:rPr>
            <w:t>☐</w:t>
          </w:r>
        </w:sdtContent>
      </w:sdt>
      <w:r w:rsidRPr="00D42E18">
        <w:t xml:space="preserve"> NA</w:t>
      </w:r>
    </w:p>
    <w:p w14:paraId="2F22347C" w14:textId="77777777" w:rsidR="00A21B5F" w:rsidRPr="00D42E1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4"/>
        </w:rPr>
      </w:pPr>
      <w:r w:rsidRPr="00D42E18">
        <w:rPr>
          <w:rFonts w:ascii="Times New Roman" w:hAnsi="Times New Roman" w:cs="Times New Roman"/>
          <w:b w:val="0"/>
          <w:sz w:val="24"/>
        </w:rPr>
        <w:t xml:space="preserve">Section 3: Project Team Named in the HREA </w:t>
      </w:r>
    </w:p>
    <w:p w14:paraId="4E443331" w14:textId="77777777" w:rsidR="00A21B5F" w:rsidRPr="00D42E1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4"/>
        </w:rPr>
      </w:pPr>
      <w:r w:rsidRPr="00D42E18">
        <w:rPr>
          <w:rFonts w:ascii="Times New Roman" w:hAnsi="Times New Roman" w:cs="Times New Roman"/>
          <w:b w:val="0"/>
          <w:sz w:val="24"/>
        </w:rPr>
        <w:t>(Provide names only. Additional details should be included in HREA Q1.9)</w:t>
      </w:r>
    </w:p>
    <w:p w14:paraId="296CB6D8" w14:textId="77777777" w:rsidR="00A21B5F" w:rsidRPr="00D42E18" w:rsidRDefault="00A21B5F" w:rsidP="00A21B5F">
      <w:pPr>
        <w:jc w:val="right"/>
      </w:pPr>
    </w:p>
    <w:p w14:paraId="259171F0" w14:textId="635EEDCA" w:rsidR="00A21B5F" w:rsidRPr="00D42E18" w:rsidRDefault="00A21B5F" w:rsidP="00A21B5F">
      <w:r w:rsidRPr="00D42E18">
        <w:rPr>
          <w:b/>
          <w:color w:val="582C83"/>
        </w:rPr>
        <w:t>3.1.</w:t>
      </w:r>
      <w:r w:rsidRPr="00D42E18">
        <w:tab/>
        <w:t>Chief Investigator / Principal Supervisor:</w:t>
      </w:r>
      <w:r w:rsidR="00EA0B3D" w:rsidRPr="00D42E18">
        <w:t xml:space="preserve"> Dr. Sheeja Perumbil Pathrose</w:t>
      </w:r>
    </w:p>
    <w:p w14:paraId="57CCD7BB" w14:textId="2D351902" w:rsidR="00A21B5F" w:rsidRPr="00D42E18" w:rsidRDefault="00A21B5F" w:rsidP="00A21B5F">
      <w:r w:rsidRPr="00D42E18">
        <w:rPr>
          <w:b/>
          <w:color w:val="582C83"/>
        </w:rPr>
        <w:t>3.2.</w:t>
      </w:r>
      <w:r w:rsidRPr="00D42E18">
        <w:tab/>
        <w:t>Chief Student (if applicable):</w:t>
      </w:r>
      <w:r w:rsidR="00EA0B3D" w:rsidRPr="00D42E18">
        <w:t>N/A</w:t>
      </w:r>
      <w:r w:rsidRPr="00D42E18">
        <w:t xml:space="preserve"> </w:t>
      </w:r>
    </w:p>
    <w:p w14:paraId="687D0F13" w14:textId="54A65803" w:rsidR="00A21B5F" w:rsidRPr="00D42E18" w:rsidRDefault="00A21B5F" w:rsidP="000F60C8">
      <w:pPr>
        <w:ind w:left="720" w:hanging="720"/>
      </w:pPr>
      <w:r w:rsidRPr="00D42E18">
        <w:rPr>
          <w:b/>
          <w:color w:val="582C83"/>
        </w:rPr>
        <w:t>3.3.</w:t>
      </w:r>
      <w:r w:rsidRPr="00D42E18">
        <w:tab/>
        <w:t>Other Investigators/Supervisors:</w:t>
      </w:r>
      <w:r w:rsidR="00EA0B3D" w:rsidRPr="00D42E18">
        <w:t xml:space="preserve"> </w:t>
      </w:r>
      <w:r w:rsidR="000F60C8" w:rsidRPr="00D42E18">
        <w:t>A/Prof</w:t>
      </w:r>
      <w:r w:rsidR="00EA0B3D" w:rsidRPr="00D42E18">
        <w:t xml:space="preserve"> Lucie Ramjan, Dr. Pandora Patterson</w:t>
      </w:r>
      <w:r w:rsidR="00B56CBC" w:rsidRPr="00D42E18">
        <w:t>,</w:t>
      </w:r>
      <w:r w:rsidR="00EA0B3D" w:rsidRPr="00D42E18">
        <w:t xml:space="preserve"> </w:t>
      </w:r>
      <w:r w:rsidR="000F60C8" w:rsidRPr="00D42E18">
        <w:t xml:space="preserve">Prof Yenna Salamonson, </w:t>
      </w:r>
      <w:r w:rsidR="00EA0B3D" w:rsidRPr="00D42E18">
        <w:t>Dr. Fiona McDonald</w:t>
      </w:r>
      <w:r w:rsidR="000F60C8" w:rsidRPr="00D42E18">
        <w:t>, A/Prof Bronwyn Everett</w:t>
      </w:r>
      <w:r w:rsidR="004B48CB" w:rsidRPr="00D42E18">
        <w:t>,</w:t>
      </w:r>
      <w:r w:rsidR="000F60C8" w:rsidRPr="00D42E18">
        <w:t xml:space="preserve"> Prof Jane Ussher</w:t>
      </w:r>
      <w:r w:rsidR="004B48CB" w:rsidRPr="00D42E18">
        <w:t xml:space="preserve"> and Gina Biegel</w:t>
      </w:r>
    </w:p>
    <w:p w14:paraId="20B84C8E" w14:textId="77777777" w:rsidR="00A21B5F" w:rsidRPr="00D42E18" w:rsidRDefault="00A21B5F" w:rsidP="00A21B5F">
      <w:r w:rsidRPr="00D42E18">
        <w:rPr>
          <w:b/>
          <w:color w:val="582C83"/>
        </w:rPr>
        <w:t>3.4.</w:t>
      </w:r>
      <w:r w:rsidRPr="00D42E18">
        <w:tab/>
        <w:t>Other Students:</w:t>
      </w:r>
    </w:p>
    <w:p w14:paraId="595DB8B4" w14:textId="1E223BE6" w:rsidR="00A21B5F" w:rsidRPr="00D42E18" w:rsidRDefault="00A21B5F" w:rsidP="00A21B5F">
      <w:r w:rsidRPr="00D42E18">
        <w:rPr>
          <w:b/>
          <w:color w:val="582C83"/>
        </w:rPr>
        <w:t>3.5.</w:t>
      </w:r>
      <w:r w:rsidRPr="00D42E18">
        <w:tab/>
        <w:t>Role/s yet to be assigned</w:t>
      </w:r>
      <w:r w:rsidR="003100CA" w:rsidRPr="00D42E18">
        <w:t>: Research Assistant</w:t>
      </w:r>
    </w:p>
    <w:p w14:paraId="6C8050E9" w14:textId="7D83F97F" w:rsidR="007258C4" w:rsidRPr="00D42E18" w:rsidRDefault="007258C4" w:rsidP="007258C4">
      <w:pPr>
        <w:ind w:left="720" w:hanging="720"/>
      </w:pPr>
      <w:r w:rsidRPr="00D42E18">
        <w:rPr>
          <w:b/>
          <w:color w:val="582C83"/>
        </w:rPr>
        <w:t>3.6:</w:t>
      </w:r>
      <w:r w:rsidRPr="00D42E18">
        <w:t xml:space="preserve"> </w:t>
      </w:r>
      <w:r w:rsidRPr="00D42E18">
        <w:tab/>
        <w:t>Will students be added to this project in the future? If yes, what level of study will they be enrolled in, and what will their role/s be on the project?</w:t>
      </w:r>
      <w:r w:rsidR="004B48CB" w:rsidRPr="00D42E18">
        <w:t xml:space="preserve"> N/A</w:t>
      </w:r>
    </w:p>
    <w:p w14:paraId="7B83B86A" w14:textId="77777777" w:rsidR="00A21B5F" w:rsidRPr="00D42E18" w:rsidRDefault="00A21B5F" w:rsidP="00A21B5F"/>
    <w:p w14:paraId="0746B159" w14:textId="77777777" w:rsidR="00A21B5F" w:rsidRPr="00D42E1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themeFill="background1" w:themeFillShade="BF"/>
        <w:rPr>
          <w:rFonts w:ascii="Times New Roman" w:hAnsi="Times New Roman" w:cs="Times New Roman"/>
          <w:sz w:val="24"/>
        </w:rPr>
      </w:pPr>
      <w:r w:rsidRPr="00D42E18">
        <w:rPr>
          <w:rFonts w:ascii="Times New Roman" w:hAnsi="Times New Roman" w:cs="Times New Roman"/>
          <w:b w:val="0"/>
          <w:sz w:val="24"/>
        </w:rPr>
        <w:t>Section 4: Background</w:t>
      </w:r>
      <w:r w:rsidRPr="00D42E18">
        <w:rPr>
          <w:rFonts w:ascii="Times New Roman" w:hAnsi="Times New Roman" w:cs="Times New Roman"/>
          <w:sz w:val="24"/>
        </w:rPr>
        <w:t xml:space="preserve"> </w:t>
      </w:r>
      <w:r w:rsidRPr="00D42E18">
        <w:rPr>
          <w:rFonts w:ascii="Times New Roman" w:hAnsi="Times New Roman" w:cs="Times New Roman"/>
          <w:b w:val="0"/>
          <w:sz w:val="24"/>
        </w:rPr>
        <w:t xml:space="preserve">(Limit to </w:t>
      </w:r>
      <w:r w:rsidR="00220E98" w:rsidRPr="00D42E18">
        <w:rPr>
          <w:rFonts w:ascii="Times New Roman" w:hAnsi="Times New Roman" w:cs="Times New Roman"/>
          <w:b w:val="0"/>
          <w:sz w:val="24"/>
        </w:rPr>
        <w:t xml:space="preserve">500 words </w:t>
      </w:r>
      <w:r w:rsidRPr="00D42E18">
        <w:rPr>
          <w:rFonts w:ascii="Times New Roman" w:hAnsi="Times New Roman" w:cs="Times New Roman"/>
          <w:b w:val="0"/>
          <w:sz w:val="24"/>
        </w:rPr>
        <w:t>for all of section 4. Overly long entries will be returned to the researcher for editing.)</w:t>
      </w:r>
    </w:p>
    <w:p w14:paraId="3E0E5A1B" w14:textId="77777777" w:rsidR="00A21B5F" w:rsidRPr="00D42E18" w:rsidRDefault="00A21B5F" w:rsidP="00A21B5F">
      <w:pPr>
        <w:jc w:val="right"/>
      </w:pPr>
    </w:p>
    <w:p w14:paraId="5BFB7AEE" w14:textId="77777777" w:rsidR="00A21B5F" w:rsidRPr="00D42E18" w:rsidRDefault="00A21B5F" w:rsidP="00A21B5F">
      <w:pPr>
        <w:rPr>
          <w:b/>
          <w:color w:val="582C83"/>
        </w:rPr>
      </w:pPr>
    </w:p>
    <w:p w14:paraId="59A7D686" w14:textId="77777777" w:rsidR="00A21B5F" w:rsidRPr="00D42E18" w:rsidRDefault="00A21B5F" w:rsidP="00A21B5F">
      <w:r w:rsidRPr="00D42E18">
        <w:rPr>
          <w:b/>
          <w:color w:val="582C83"/>
        </w:rPr>
        <w:t>4.1.</w:t>
      </w:r>
      <w:r w:rsidRPr="00D42E18">
        <w:tab/>
        <w:t>Literature Review (include citation details):</w:t>
      </w:r>
    </w:p>
    <w:p w14:paraId="5318E601" w14:textId="2A692169" w:rsidR="00A21B5F" w:rsidRPr="00D42E18" w:rsidRDefault="00F01E2D" w:rsidP="00C87EE7">
      <w:r w:rsidRPr="00D42E18">
        <w:tab/>
        <w:t xml:space="preserve">Every day, 2-3 adolescents and young adults aged 14–29 years are diagnosed with cancer in Australia (1). There is a need for these </w:t>
      </w:r>
      <w:r w:rsidR="003100CA" w:rsidRPr="00D42E18">
        <w:t xml:space="preserve">young people </w:t>
      </w:r>
      <w:r w:rsidRPr="00D42E18">
        <w:t xml:space="preserve">to continually re-adjust to different phases of the cancer journey (diagnosis/treatment/post treatment), in addition to their age specific identity crisis (2, 3). </w:t>
      </w:r>
      <w:r w:rsidR="00556875" w:rsidRPr="00D42E18">
        <w:t xml:space="preserve">Post-traumatic stress, anxiety, depression, and poor quality of life are common in </w:t>
      </w:r>
      <w:r w:rsidR="003100CA" w:rsidRPr="00D42E18">
        <w:t xml:space="preserve">young people </w:t>
      </w:r>
      <w:r w:rsidR="00556875" w:rsidRPr="00D42E18">
        <w:t xml:space="preserve">with cancer and substantially contribute to the burden of disease (4, 5). </w:t>
      </w:r>
      <w:r w:rsidRPr="00D42E18">
        <w:t xml:space="preserve">Unmet psychosocial needs have a cumulative impact on disease burden and therefore cost-effective interventions targeting this population are warranted (6, 7). Preventive and promotive mental health interventions have been shown to improve psychosocial functioning and resilience in </w:t>
      </w:r>
      <w:r w:rsidR="003100CA" w:rsidRPr="00D42E18">
        <w:t>young people</w:t>
      </w:r>
      <w:r w:rsidRPr="00D42E18">
        <w:t xml:space="preserve"> (7-9). However, studies reveal inadequacy of mental health services among this unique sub-population (10-12). Mindfulness-based </w:t>
      </w:r>
      <w:r w:rsidR="006F4051">
        <w:t>program</w:t>
      </w:r>
      <w:r w:rsidRPr="00D42E18">
        <w:t xml:space="preserve">s (MBI) have demonstrated benefits for adults with chronic illness and are becoming increasingly popular among </w:t>
      </w:r>
      <w:r w:rsidRPr="00D42E18">
        <w:lastRenderedPageBreak/>
        <w:t xml:space="preserve">children and </w:t>
      </w:r>
      <w:r w:rsidR="003100CA" w:rsidRPr="00D42E18">
        <w:t xml:space="preserve">young people </w:t>
      </w:r>
      <w:r w:rsidRPr="00D42E18">
        <w:t xml:space="preserve">(7, 13, 14). Although the evidence base for the utility of MBI in adolescents with chronic illness is growing, there are limited mindfulness resources available to meet the needs of </w:t>
      </w:r>
      <w:r w:rsidR="003100CA" w:rsidRPr="00D42E18">
        <w:t xml:space="preserve">young people </w:t>
      </w:r>
      <w:r w:rsidRPr="00D42E18">
        <w:t xml:space="preserve">with cancer (7, 14). </w:t>
      </w:r>
    </w:p>
    <w:p w14:paraId="1595C4AC" w14:textId="77777777" w:rsidR="00A21B5F" w:rsidRPr="00D42E18" w:rsidRDefault="00A21B5F" w:rsidP="00A21B5F"/>
    <w:p w14:paraId="2DA6AF29" w14:textId="2391B29B" w:rsidR="00A21B5F" w:rsidRPr="00D42E18" w:rsidRDefault="00A21B5F" w:rsidP="00A21B5F">
      <w:pPr>
        <w:ind w:left="720" w:hanging="720"/>
      </w:pPr>
      <w:r w:rsidRPr="00D42E18">
        <w:rPr>
          <w:b/>
          <w:color w:val="582C83"/>
        </w:rPr>
        <w:t>4.2.</w:t>
      </w:r>
      <w:r w:rsidRPr="00D42E18">
        <w:tab/>
        <w:t>Rationale/Justification (i.e. how the research will fill any gaps, contribute to the field of research or contribute to existing or improved practice):</w:t>
      </w:r>
    </w:p>
    <w:p w14:paraId="7D4FF9BD" w14:textId="2885CD95" w:rsidR="003A1D4F" w:rsidRPr="00D42E18" w:rsidRDefault="003A1D4F" w:rsidP="00556875">
      <w:r w:rsidRPr="00D42E18">
        <w:rPr>
          <w:b/>
          <w:color w:val="582C83"/>
        </w:rPr>
        <w:tab/>
      </w:r>
      <w:r w:rsidR="00C87EE7" w:rsidRPr="00D42E18">
        <w:t xml:space="preserve">Traditional approaches of in-person, multi week mindfulness programs have limited accessibility and low compliance, however web-based mindfulness </w:t>
      </w:r>
      <w:r w:rsidR="006F4051">
        <w:t>program</w:t>
      </w:r>
      <w:r w:rsidR="00C87EE7" w:rsidRPr="00D42E18">
        <w:t xml:space="preserve">s are reported to be feasible and accessible, </w:t>
      </w:r>
      <w:r w:rsidR="001E106A">
        <w:t>15-</w:t>
      </w:r>
      <w:r w:rsidR="00C87EE7" w:rsidRPr="00D42E18">
        <w:t xml:space="preserve">and an effective alternative to face- to-face delivery (7). The research team identified the need to tailor the mindfulness </w:t>
      </w:r>
      <w:r w:rsidR="006F4051">
        <w:t>program</w:t>
      </w:r>
      <w:r w:rsidR="00C87EE7" w:rsidRPr="00D42E18">
        <w:t xml:space="preserve"> to address cancer specific needs (7, </w:t>
      </w:r>
      <w:r w:rsidR="003100CA" w:rsidRPr="00D42E18">
        <w:t>15</w:t>
      </w:r>
      <w:r w:rsidR="00C87EE7" w:rsidRPr="00D42E18">
        <w:t xml:space="preserve">). Therefore, the team designed a web- based mindfulness </w:t>
      </w:r>
      <w:r w:rsidR="006F4051">
        <w:t>program</w:t>
      </w:r>
      <w:r w:rsidR="00C87EE7" w:rsidRPr="00D42E18">
        <w:t xml:space="preserve"> with feedback from </w:t>
      </w:r>
      <w:r w:rsidR="003100CA" w:rsidRPr="00D42E18">
        <w:t>young people</w:t>
      </w:r>
      <w:r w:rsidR="00C87EE7" w:rsidRPr="00D42E18">
        <w:t>, care givers, healthcare providers and parents through a user-centered approach (manuscript in preparation). The results from our previous pilot study identified that the current web-based platform limited accessibility</w:t>
      </w:r>
      <w:r w:rsidR="006328DF">
        <w:t xml:space="preserve"> </w:t>
      </w:r>
      <w:r w:rsidR="00C87EE7" w:rsidRPr="00D42E18">
        <w:t xml:space="preserve">being hosted on an offshore platform. This project aims to transfer the </w:t>
      </w:r>
      <w:r w:rsidR="006F4051">
        <w:t>program</w:t>
      </w:r>
      <w:r w:rsidR="00C87EE7" w:rsidRPr="00D42E18">
        <w:t xml:space="preserve"> onto a more user-friendly and accessible platform. Any </w:t>
      </w:r>
      <w:r w:rsidR="006F4051">
        <w:t>program</w:t>
      </w:r>
      <w:r w:rsidR="00C87EE7" w:rsidRPr="00D42E18">
        <w:t xml:space="preserve"> should be examined for usefulness, acceptability, and feasibility among </w:t>
      </w:r>
      <w:r w:rsidR="003100CA" w:rsidRPr="00D42E18">
        <w:t xml:space="preserve">young people </w:t>
      </w:r>
      <w:r w:rsidR="00C87EE7" w:rsidRPr="00D42E18">
        <w:t xml:space="preserve">with cancer. Therefore, a pilot feasibility trial of the improved web-based mindfulness </w:t>
      </w:r>
      <w:r w:rsidR="006F4051">
        <w:t>program</w:t>
      </w:r>
      <w:r w:rsidR="00C87EE7" w:rsidRPr="00D42E18">
        <w:t xml:space="preserve"> with this population</w:t>
      </w:r>
      <w:r w:rsidR="006328DF">
        <w:t xml:space="preserve"> needs to be undertaken</w:t>
      </w:r>
      <w:r w:rsidR="00556875" w:rsidRPr="00D42E18">
        <w:t>.</w:t>
      </w:r>
      <w:r w:rsidR="00C71274" w:rsidRPr="00D42E18">
        <w:t xml:space="preserve"> </w:t>
      </w:r>
      <w:r w:rsidRPr="00D42E18">
        <w:t xml:space="preserve">This study seeks to explore the acceptability, feasibility, and usefulness of a web-based </w:t>
      </w:r>
      <w:r w:rsidR="006F4051">
        <w:t>program</w:t>
      </w:r>
      <w:r w:rsidRPr="00D42E18">
        <w:t xml:space="preserve"> for young cancer patients. It is anticipated that providing the </w:t>
      </w:r>
      <w:r w:rsidR="006F4051">
        <w:t>program</w:t>
      </w:r>
      <w:r w:rsidRPr="00D42E18">
        <w:t xml:space="preserve"> online will increase its accessibility and appeal to young cancer patients who may find attending group-based activities at structured times and locations challenging due to the physical challenges associated with cancer, its treatment, and side-effects. Additionally, this pilot study will provide the necessary information to develop a larger scale, comprehensive randomised controlled trial.</w:t>
      </w:r>
    </w:p>
    <w:p w14:paraId="10DDD4BA" w14:textId="77777777" w:rsidR="00A21B5F" w:rsidRPr="00D42E18" w:rsidRDefault="00A21B5F" w:rsidP="00A21B5F">
      <w:pPr>
        <w:pBdr>
          <w:bottom w:val="single" w:sz="6" w:space="1" w:color="auto"/>
        </w:pBdr>
      </w:pPr>
    </w:p>
    <w:p w14:paraId="2936A44F" w14:textId="77777777" w:rsidR="00A21B5F" w:rsidRPr="00D42E18" w:rsidRDefault="00A21B5F" w:rsidP="00A21B5F"/>
    <w:p w14:paraId="304A4224" w14:textId="2FE5C4CF" w:rsidR="00A21B5F" w:rsidRPr="00D42E18" w:rsidRDefault="00A21B5F" w:rsidP="00A21B5F">
      <w:r w:rsidRPr="00D42E18">
        <w:rPr>
          <w:b/>
          <w:color w:val="582C83"/>
        </w:rPr>
        <w:t>4.3.</w:t>
      </w:r>
      <w:r w:rsidRPr="00D42E18">
        <w:tab/>
        <w:t>Research questions/aims/objectives/hypothesis:</w:t>
      </w:r>
    </w:p>
    <w:p w14:paraId="1CBC0EFF" w14:textId="0EB391E4" w:rsidR="00556875" w:rsidRPr="00D42E18" w:rsidRDefault="00556875" w:rsidP="00A21B5F">
      <w:r w:rsidRPr="00D42E18">
        <w:t>This proposed study has two main objectives; (</w:t>
      </w:r>
      <w:r w:rsidR="003100CA" w:rsidRPr="00D42E18">
        <w:t>1) To</w:t>
      </w:r>
      <w:r w:rsidRPr="00D42E18">
        <w:t xml:space="preserve"> </w:t>
      </w:r>
      <w:bookmarkStart w:id="1" w:name="_Hlk102751918"/>
      <w:r w:rsidRPr="00D42E18">
        <w:t>examine the feasibility of conducting larger scale</w:t>
      </w:r>
      <w:bookmarkEnd w:id="1"/>
      <w:r w:rsidRPr="00D42E18">
        <w:t>, comprehensive randomised controlled trial</w:t>
      </w:r>
      <w:r w:rsidR="008E6069" w:rsidRPr="00D42E18">
        <w:t xml:space="preserve"> among </w:t>
      </w:r>
      <w:r w:rsidR="003100CA" w:rsidRPr="00D42E18">
        <w:t xml:space="preserve">young people </w:t>
      </w:r>
      <w:r w:rsidR="008E6069" w:rsidRPr="00D42E18">
        <w:t xml:space="preserve">with cancer (aged </w:t>
      </w:r>
      <w:r w:rsidR="001E106A">
        <w:t xml:space="preserve">15-30 </w:t>
      </w:r>
      <w:r w:rsidR="008E6069" w:rsidRPr="00D42E18">
        <w:t>years)</w:t>
      </w:r>
      <w:r w:rsidRPr="00D42E18">
        <w:t xml:space="preserve"> including recruitment, retention, and satisfaction rates; and</w:t>
      </w:r>
      <w:r w:rsidR="008E6069" w:rsidRPr="00D42E18">
        <w:t xml:space="preserve"> (2) to identify the potential for change through measurement of psychosocial outcomes including mindfulness, stress, </w:t>
      </w:r>
      <w:r w:rsidR="00DA1D3C">
        <w:t xml:space="preserve">and </w:t>
      </w:r>
      <w:r w:rsidR="008E6069" w:rsidRPr="00D42E18">
        <w:t>quality of life</w:t>
      </w:r>
      <w:r w:rsidR="00DA1D3C">
        <w:t>.</w:t>
      </w:r>
      <w:r w:rsidR="008E6069" w:rsidRPr="00D42E18">
        <w:t xml:space="preserve"> </w:t>
      </w:r>
    </w:p>
    <w:p w14:paraId="59605BCE" w14:textId="77777777" w:rsidR="00A21B5F" w:rsidRPr="00D42E18" w:rsidRDefault="00A21B5F" w:rsidP="00A21B5F">
      <w:pPr>
        <w:pBdr>
          <w:bottom w:val="single" w:sz="6" w:space="1" w:color="auto"/>
        </w:pBdr>
      </w:pPr>
    </w:p>
    <w:p w14:paraId="60AEDD8D" w14:textId="77777777" w:rsidR="00A21B5F" w:rsidRPr="00D42E18" w:rsidRDefault="00A21B5F" w:rsidP="00A21B5F"/>
    <w:p w14:paraId="2F7663C2" w14:textId="77777777" w:rsidR="00A21B5F" w:rsidRPr="00D42E18" w:rsidRDefault="00A21B5F" w:rsidP="00A21B5F">
      <w:r w:rsidRPr="00D42E18">
        <w:rPr>
          <w:b/>
          <w:color w:val="582C83"/>
        </w:rPr>
        <w:t>4.4.</w:t>
      </w:r>
      <w:r w:rsidRPr="00D42E18">
        <w:tab/>
        <w:t>Expected Outcomes:</w:t>
      </w:r>
    </w:p>
    <w:p w14:paraId="73082CD8" w14:textId="7F6A3E57" w:rsidR="00A21B5F" w:rsidRPr="00D42E18" w:rsidRDefault="00117A4C" w:rsidP="00A21B5F">
      <w:r w:rsidRPr="00D42E18">
        <w:tab/>
      </w:r>
      <w:r w:rsidR="00BB62FD" w:rsidRPr="00BB62FD">
        <w:t>Age and cancer specific mindfulness intervention may assist young people manage challenges and therefore potentially prevent long term adverse effects on psychological wellbeing. The young people with cancer in large would potentially benefit with this intervention assisting with dealing with stress related to cancer and treatment.</w:t>
      </w:r>
    </w:p>
    <w:p w14:paraId="1BAD4565" w14:textId="77777777" w:rsidR="00A21B5F" w:rsidRPr="00D42E1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4"/>
        </w:rPr>
      </w:pPr>
      <w:r w:rsidRPr="00D42E18">
        <w:rPr>
          <w:rFonts w:ascii="Times New Roman" w:hAnsi="Times New Roman" w:cs="Times New Roman"/>
          <w:b w:val="0"/>
          <w:sz w:val="24"/>
        </w:rPr>
        <w:t>Section 5: Sites and Methodology</w:t>
      </w:r>
      <w:r w:rsidRPr="00D42E18">
        <w:rPr>
          <w:rFonts w:ascii="Times New Roman" w:hAnsi="Times New Roman" w:cs="Times New Roman"/>
          <w:sz w:val="24"/>
        </w:rPr>
        <w:t xml:space="preserve"> </w:t>
      </w:r>
      <w:r w:rsidRPr="00D42E18">
        <w:rPr>
          <w:rFonts w:ascii="Times New Roman" w:hAnsi="Times New Roman" w:cs="Times New Roman"/>
          <w:b w:val="0"/>
          <w:sz w:val="24"/>
        </w:rPr>
        <w:t xml:space="preserve">(Limit to </w:t>
      </w:r>
      <w:r w:rsidR="00220E98" w:rsidRPr="00D42E18">
        <w:rPr>
          <w:rFonts w:ascii="Times New Roman" w:hAnsi="Times New Roman" w:cs="Times New Roman"/>
          <w:b w:val="0"/>
          <w:sz w:val="24"/>
        </w:rPr>
        <w:t>250 words</w:t>
      </w:r>
      <w:r w:rsidRPr="00D42E18">
        <w:rPr>
          <w:rFonts w:ascii="Times New Roman" w:hAnsi="Times New Roman" w:cs="Times New Roman"/>
          <w:b w:val="0"/>
          <w:sz w:val="24"/>
        </w:rPr>
        <w:t xml:space="preserve"> for all of section 5)</w:t>
      </w:r>
    </w:p>
    <w:p w14:paraId="614BEEF5" w14:textId="77777777" w:rsidR="00A21B5F" w:rsidRPr="00D42E18" w:rsidRDefault="00A21B5F" w:rsidP="00A21B5F"/>
    <w:p w14:paraId="60C7D143" w14:textId="77777777" w:rsidR="00A21B5F" w:rsidRPr="00D42E18" w:rsidRDefault="00A21B5F" w:rsidP="00A21B5F"/>
    <w:p w14:paraId="6CB3EC86" w14:textId="77777777" w:rsidR="00A21B5F" w:rsidRPr="00D42E18" w:rsidRDefault="00A21B5F" w:rsidP="00A21B5F">
      <w:pPr>
        <w:ind w:left="720" w:hanging="720"/>
      </w:pPr>
      <w:r w:rsidRPr="00D42E18">
        <w:rPr>
          <w:b/>
          <w:color w:val="582C83"/>
        </w:rPr>
        <w:t>5.1.</w:t>
      </w:r>
      <w:r w:rsidRPr="00D42E18">
        <w:tab/>
        <w:t xml:space="preserve">List the </w:t>
      </w:r>
      <w:r w:rsidRPr="00D42E18">
        <w:rPr>
          <w:i/>
        </w:rPr>
        <w:t>specific</w:t>
      </w:r>
      <w:r w:rsidRPr="00D42E18">
        <w:t xml:space="preserve"> sites based on your answers to HREA Q1.4. (e.g. </w:t>
      </w:r>
      <w:r w:rsidRPr="00D42E18">
        <w:rPr>
          <w:i/>
        </w:rPr>
        <w:t>which</w:t>
      </w:r>
      <w:r w:rsidRPr="00D42E18">
        <w:t xml:space="preserve"> Universities, workplaces, schools or public places?):</w:t>
      </w:r>
    </w:p>
    <w:p w14:paraId="4D85D42E" w14:textId="195C456C" w:rsidR="00A21B5F" w:rsidRPr="00D42E18" w:rsidRDefault="00D85C02" w:rsidP="00A21B5F">
      <w:r w:rsidRPr="00D42E18">
        <w:tab/>
        <w:t>Online</w:t>
      </w:r>
    </w:p>
    <w:p w14:paraId="2229BA29" w14:textId="77777777" w:rsidR="00A21B5F" w:rsidRPr="00D42E18" w:rsidRDefault="00A21B5F" w:rsidP="00A21B5F">
      <w:pPr>
        <w:ind w:left="720" w:hanging="720"/>
      </w:pPr>
      <w:r w:rsidRPr="00D42E18">
        <w:rPr>
          <w:b/>
          <w:color w:val="582C83"/>
        </w:rPr>
        <w:t>5.2.</w:t>
      </w:r>
      <w:r w:rsidRPr="00D42E18">
        <w:tab/>
        <w:t xml:space="preserve">The HREA lists the following methodological approach(es). Refer HREA Q1.17. </w:t>
      </w:r>
    </w:p>
    <w:p w14:paraId="35D77B61" w14:textId="77777777" w:rsidR="00A21B5F" w:rsidRPr="00D42E18" w:rsidRDefault="00A21B5F" w:rsidP="00A21B5F">
      <w:pPr>
        <w:ind w:left="720" w:hanging="720"/>
        <w:rPr>
          <w:b/>
          <w:color w:val="582C83"/>
        </w:rPr>
      </w:pPr>
    </w:p>
    <w:p w14:paraId="26A512D4" w14:textId="77777777" w:rsidR="00A21B5F" w:rsidRPr="00D42E18" w:rsidRDefault="00A21B5F" w:rsidP="00A21B5F">
      <w:pPr>
        <w:ind w:left="720" w:hanging="720"/>
      </w:pPr>
      <w:r w:rsidRPr="00D42E18">
        <w:rPr>
          <w:b/>
          <w:color w:val="582C83"/>
        </w:rPr>
        <w:t xml:space="preserve">5.2.1  </w:t>
      </w:r>
      <w:r w:rsidR="007B0B1C" w:rsidRPr="00D42E18">
        <w:rPr>
          <w:b/>
          <w:color w:val="582C83"/>
        </w:rPr>
        <w:tab/>
      </w:r>
      <w:r w:rsidRPr="00D42E18">
        <w:rPr>
          <w:u w:val="single"/>
        </w:rPr>
        <w:t>Delete the options which are not applicable</w:t>
      </w:r>
      <w:r w:rsidRPr="00D42E18">
        <w:t xml:space="preserve"> </w:t>
      </w:r>
    </w:p>
    <w:p w14:paraId="16FAB0BB" w14:textId="77777777" w:rsidR="00091A69" w:rsidRPr="00D42E18" w:rsidRDefault="00A21B5F" w:rsidP="00A21B5F">
      <w:pPr>
        <w:ind w:firstLine="720"/>
      </w:pPr>
      <w:r w:rsidRPr="00D42E18">
        <w:t>Interventio</w:t>
      </w:r>
      <w:r w:rsidR="00091A69" w:rsidRPr="00D42E18">
        <w:t>n</w:t>
      </w:r>
    </w:p>
    <w:p w14:paraId="33D58DBF" w14:textId="3186BCE1" w:rsidR="00A21B5F" w:rsidRPr="00D42E18" w:rsidRDefault="00A21B5F" w:rsidP="00A21B5F">
      <w:pPr>
        <w:ind w:firstLine="720"/>
      </w:pPr>
      <w:r w:rsidRPr="00D42E18">
        <w:t>Clinical Trial</w:t>
      </w:r>
    </w:p>
    <w:p w14:paraId="36BBC707" w14:textId="77777777" w:rsidR="007258C4" w:rsidRPr="00D42E18" w:rsidRDefault="00A21B5F" w:rsidP="00A21B5F">
      <w:pPr>
        <w:ind w:firstLine="720"/>
      </w:pPr>
      <w:r w:rsidRPr="00D42E18">
        <w:t>Survey</w:t>
      </w:r>
    </w:p>
    <w:p w14:paraId="2F1C596A" w14:textId="77777777" w:rsidR="00A21B5F" w:rsidRPr="00D42E18" w:rsidRDefault="00A21B5F" w:rsidP="00A21B5F">
      <w:pPr>
        <w:ind w:left="720" w:hanging="720"/>
        <w:rPr>
          <w:b/>
          <w:color w:val="582C83"/>
        </w:rPr>
      </w:pPr>
    </w:p>
    <w:p w14:paraId="1D211580" w14:textId="77777777" w:rsidR="00360433" w:rsidRDefault="00A21B5F" w:rsidP="00A21B5F">
      <w:pPr>
        <w:ind w:left="720" w:hanging="720"/>
      </w:pPr>
      <w:r w:rsidRPr="00D42E18">
        <w:rPr>
          <w:b/>
          <w:color w:val="582C83"/>
        </w:rPr>
        <w:t xml:space="preserve">5.2.2 </w:t>
      </w:r>
      <w:r w:rsidRPr="00D42E18">
        <w:t>Explain why you selected the</w:t>
      </w:r>
      <w:r w:rsidR="00900AAC" w:rsidRPr="00D42E18">
        <w:t>se methodologies:</w:t>
      </w:r>
      <w:r w:rsidR="00D85C02" w:rsidRPr="00D42E18">
        <w:t xml:space="preserve"> </w:t>
      </w:r>
    </w:p>
    <w:p w14:paraId="729595C8" w14:textId="3D811C22" w:rsidR="00F02AD6" w:rsidRDefault="00FF0A01" w:rsidP="00360433">
      <w:pPr>
        <w:ind w:left="720"/>
      </w:pPr>
      <w:r>
        <w:lastRenderedPageBreak/>
        <w:t xml:space="preserve"> </w:t>
      </w:r>
      <w:r w:rsidR="0096623F">
        <w:t>I</w:t>
      </w:r>
      <w:r w:rsidR="00E25C94">
        <w:t>t is a</w:t>
      </w:r>
      <w:r w:rsidR="0096623F">
        <w:t xml:space="preserve"> web-based mindfulness </w:t>
      </w:r>
      <w:r w:rsidR="00E25C94">
        <w:t>intervention</w:t>
      </w:r>
      <w:r w:rsidR="0096623F">
        <w:t xml:space="preserve"> </w:t>
      </w:r>
      <w:r w:rsidR="00E25C94">
        <w:t xml:space="preserve">study </w:t>
      </w:r>
      <w:r w:rsidR="0096623F">
        <w:t xml:space="preserve">evaluating </w:t>
      </w:r>
      <w:r w:rsidR="0096623F" w:rsidRPr="0096623F">
        <w:t>the feasibility of conducting larger scale</w:t>
      </w:r>
      <w:r w:rsidR="0096623F">
        <w:t xml:space="preserve"> RCT. Online recruitment and delivery of intervention is chosen based on the </w:t>
      </w:r>
      <w:r w:rsidR="005567E6">
        <w:t>evidence</w:t>
      </w:r>
      <w:r w:rsidR="0096623F">
        <w:t xml:space="preserve"> to reach to young people with cancer.</w:t>
      </w:r>
    </w:p>
    <w:p w14:paraId="5140E98D" w14:textId="77777777" w:rsidR="00A21B5F" w:rsidRPr="00D42E18" w:rsidRDefault="00A21B5F" w:rsidP="00A21B5F"/>
    <w:p w14:paraId="424CB771" w14:textId="77777777" w:rsidR="00A21B5F" w:rsidRPr="00D42E1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4"/>
        </w:rPr>
      </w:pPr>
      <w:r w:rsidRPr="00D42E18">
        <w:rPr>
          <w:rFonts w:ascii="Times New Roman" w:hAnsi="Times New Roman" w:cs="Times New Roman"/>
          <w:b w:val="0"/>
          <w:sz w:val="24"/>
        </w:rPr>
        <w:t>Section 6: Active Participant Details</w:t>
      </w:r>
      <w:r w:rsidRPr="00D42E18">
        <w:rPr>
          <w:rFonts w:ascii="Times New Roman" w:hAnsi="Times New Roman" w:cs="Times New Roman"/>
          <w:sz w:val="24"/>
        </w:rPr>
        <w:t xml:space="preserve"> </w:t>
      </w:r>
      <w:r w:rsidRPr="00D42E18">
        <w:rPr>
          <w:rFonts w:ascii="Times New Roman" w:hAnsi="Times New Roman" w:cs="Times New Roman"/>
          <w:b w:val="0"/>
          <w:sz w:val="24"/>
        </w:rPr>
        <w:t>(YOU MUST copy questions 6.2. to 6.1</w:t>
      </w:r>
      <w:r w:rsidR="00892FC0" w:rsidRPr="00D42E18">
        <w:rPr>
          <w:rFonts w:ascii="Times New Roman" w:hAnsi="Times New Roman" w:cs="Times New Roman"/>
          <w:b w:val="0"/>
          <w:sz w:val="24"/>
        </w:rPr>
        <w:t>4</w:t>
      </w:r>
      <w:r w:rsidRPr="00D42E18">
        <w:rPr>
          <w:rFonts w:ascii="Times New Roman" w:hAnsi="Times New Roman" w:cs="Times New Roman"/>
          <w:b w:val="0"/>
          <w:sz w:val="24"/>
        </w:rPr>
        <w:t xml:space="preserve"> </w:t>
      </w:r>
      <w:r w:rsidR="00892FC0" w:rsidRPr="00D42E18">
        <w:rPr>
          <w:rFonts w:ascii="Times New Roman" w:hAnsi="Times New Roman" w:cs="Times New Roman"/>
          <w:b w:val="0"/>
          <w:sz w:val="24"/>
        </w:rPr>
        <w:t xml:space="preserve">as a table for every participant group. </w:t>
      </w:r>
      <w:r w:rsidRPr="00D42E18">
        <w:rPr>
          <w:rFonts w:ascii="Times New Roman" w:hAnsi="Times New Roman" w:cs="Times New Roman"/>
          <w:b w:val="0"/>
          <w:sz w:val="24"/>
        </w:rPr>
        <w:t>Delete this Section if you are only collecting</w:t>
      </w:r>
      <w:r w:rsidR="00220E98" w:rsidRPr="00D42E18">
        <w:rPr>
          <w:rFonts w:ascii="Times New Roman" w:hAnsi="Times New Roman" w:cs="Times New Roman"/>
          <w:b w:val="0"/>
          <w:sz w:val="24"/>
        </w:rPr>
        <w:t>/using</w:t>
      </w:r>
      <w:r w:rsidRPr="00D42E18">
        <w:rPr>
          <w:rFonts w:ascii="Times New Roman" w:hAnsi="Times New Roman" w:cs="Times New Roman"/>
          <w:b w:val="0"/>
          <w:sz w:val="24"/>
        </w:rPr>
        <w:t xml:space="preserve"> pre-existing data.</w:t>
      </w:r>
    </w:p>
    <w:p w14:paraId="14262F23" w14:textId="77777777" w:rsidR="00A21B5F" w:rsidRPr="00D42E18" w:rsidRDefault="00A21B5F" w:rsidP="00A21B5F"/>
    <w:p w14:paraId="1B596EA1" w14:textId="77777777" w:rsidR="00A21B5F" w:rsidRPr="00D42E18" w:rsidRDefault="00A21B5F" w:rsidP="00A21B5F">
      <w:pPr>
        <w:rPr>
          <w:b/>
        </w:rPr>
      </w:pPr>
      <w:r w:rsidRPr="00D42E18">
        <w:rPr>
          <w:b/>
        </w:rPr>
        <w:t>6.1.</w:t>
      </w:r>
      <w:r w:rsidRPr="00D42E18">
        <w:rPr>
          <w:b/>
        </w:rPr>
        <w:tab/>
      </w:r>
      <w:r w:rsidRPr="00D42E18">
        <w:t>How many participant groups will be in this project?</w:t>
      </w:r>
      <w:r w:rsidRPr="00D42E18">
        <w:rPr>
          <w:b/>
        </w:rPr>
        <w:t xml:space="preserve"> </w:t>
      </w:r>
      <w:r w:rsidRPr="00D42E18">
        <w:t>Examples of participant groups include teachers, students and parents.</w:t>
      </w:r>
      <w:r w:rsidR="00892FC0" w:rsidRPr="00D42E18">
        <w:t xml:space="preserve"> (You will need 1 table for each group.)</w:t>
      </w:r>
    </w:p>
    <w:p w14:paraId="50F5D9FF" w14:textId="77777777" w:rsidR="00A21B5F" w:rsidRPr="00D42E18" w:rsidRDefault="00A21B5F" w:rsidP="00A21B5F"/>
    <w:tbl>
      <w:tblPr>
        <w:tblStyle w:val="TableGrid"/>
        <w:tblW w:w="0" w:type="auto"/>
        <w:tblLook w:val="04A0" w:firstRow="1" w:lastRow="0" w:firstColumn="1" w:lastColumn="0" w:noHBand="0" w:noVBand="1"/>
      </w:tblPr>
      <w:tblGrid>
        <w:gridCol w:w="3936"/>
        <w:gridCol w:w="6390"/>
      </w:tblGrid>
      <w:tr w:rsidR="00A21B5F" w:rsidRPr="00D42E18" w14:paraId="3D2330D2" w14:textId="77777777" w:rsidTr="002C777E">
        <w:tc>
          <w:tcPr>
            <w:tcW w:w="3936" w:type="dxa"/>
          </w:tcPr>
          <w:p w14:paraId="02B8FEBB" w14:textId="77777777" w:rsidR="00A21B5F" w:rsidRPr="00D42E18" w:rsidRDefault="00A21B5F" w:rsidP="002C777E">
            <w:r w:rsidRPr="00D42E18">
              <w:rPr>
                <w:b/>
              </w:rPr>
              <w:t>6.2 Participation Group Number (</w:t>
            </w:r>
            <w:proofErr w:type="spellStart"/>
            <w:r w:rsidRPr="00D42E18">
              <w:rPr>
                <w:b/>
              </w:rPr>
              <w:t>eg</w:t>
            </w:r>
            <w:proofErr w:type="spellEnd"/>
            <w:r w:rsidRPr="00D42E18">
              <w:rPr>
                <w:b/>
              </w:rPr>
              <w:t xml:space="preserve"> 1,</w:t>
            </w:r>
            <w:r w:rsidR="00892FC0" w:rsidRPr="00D42E18">
              <w:rPr>
                <w:b/>
              </w:rPr>
              <w:t xml:space="preserve"> </w:t>
            </w:r>
            <w:r w:rsidRPr="00D42E18">
              <w:rPr>
                <w:b/>
              </w:rPr>
              <w:t xml:space="preserve">2 </w:t>
            </w:r>
            <w:proofErr w:type="spellStart"/>
            <w:r w:rsidRPr="00D42E18">
              <w:rPr>
                <w:b/>
              </w:rPr>
              <w:t>etc</w:t>
            </w:r>
            <w:proofErr w:type="spellEnd"/>
            <w:r w:rsidRPr="00D42E18">
              <w:rPr>
                <w:b/>
              </w:rPr>
              <w:t>)</w:t>
            </w:r>
          </w:p>
        </w:tc>
        <w:tc>
          <w:tcPr>
            <w:tcW w:w="6390" w:type="dxa"/>
          </w:tcPr>
          <w:p w14:paraId="0E10FF6A" w14:textId="50C810FF" w:rsidR="00A21B5F" w:rsidRPr="00D42E18" w:rsidRDefault="00D85C02" w:rsidP="002C777E">
            <w:r w:rsidRPr="00D42E18">
              <w:t>20</w:t>
            </w:r>
          </w:p>
        </w:tc>
      </w:tr>
      <w:tr w:rsidR="00A21B5F" w:rsidRPr="00D42E18" w14:paraId="2B090EDB" w14:textId="77777777" w:rsidTr="002C777E">
        <w:tc>
          <w:tcPr>
            <w:tcW w:w="3936" w:type="dxa"/>
          </w:tcPr>
          <w:p w14:paraId="0A14B252" w14:textId="77777777" w:rsidR="00A21B5F" w:rsidRPr="00D42E18" w:rsidRDefault="00A21B5F" w:rsidP="002C777E">
            <w:pPr>
              <w:rPr>
                <w:b/>
              </w:rPr>
            </w:pPr>
            <w:r w:rsidRPr="00D42E18">
              <w:rPr>
                <w:b/>
              </w:rPr>
              <w:t>6.3 Group name</w:t>
            </w:r>
          </w:p>
        </w:tc>
        <w:tc>
          <w:tcPr>
            <w:tcW w:w="6390" w:type="dxa"/>
          </w:tcPr>
          <w:p w14:paraId="5709B8F2" w14:textId="7567854D" w:rsidR="00A21B5F" w:rsidRPr="00D42E18" w:rsidRDefault="003100CA" w:rsidP="002C777E">
            <w:r w:rsidRPr="00D42E18">
              <w:t xml:space="preserve">Young people </w:t>
            </w:r>
            <w:r w:rsidR="00D85C02" w:rsidRPr="00D42E18">
              <w:t>(</w:t>
            </w:r>
            <w:r w:rsidR="008F6FCF">
              <w:t>15-30</w:t>
            </w:r>
            <w:r w:rsidR="00D85C02" w:rsidRPr="00D42E18">
              <w:t xml:space="preserve"> years) diagnosed with cancer</w:t>
            </w:r>
          </w:p>
        </w:tc>
      </w:tr>
      <w:tr w:rsidR="00A21B5F" w:rsidRPr="00D42E18" w14:paraId="1848C44D" w14:textId="77777777" w:rsidTr="002C777E">
        <w:tc>
          <w:tcPr>
            <w:tcW w:w="3936" w:type="dxa"/>
          </w:tcPr>
          <w:p w14:paraId="158BB377" w14:textId="77777777" w:rsidR="00A21B5F" w:rsidRPr="00D42E18" w:rsidRDefault="00A21B5F" w:rsidP="002C777E">
            <w:r w:rsidRPr="00D42E18">
              <w:rPr>
                <w:b/>
              </w:rPr>
              <w:t>6.4 Characteristics of the group that are relevant to the aims of the project</w:t>
            </w:r>
          </w:p>
        </w:tc>
        <w:tc>
          <w:tcPr>
            <w:tcW w:w="6390" w:type="dxa"/>
          </w:tcPr>
          <w:p w14:paraId="62D6702F" w14:textId="6AA5051D" w:rsidR="00D85C02" w:rsidRPr="00D42E18" w:rsidRDefault="003100CA" w:rsidP="00D85C02">
            <w:r w:rsidRPr="00D42E18">
              <w:t xml:space="preserve">Young people </w:t>
            </w:r>
            <w:r w:rsidR="00D85C02" w:rsidRPr="00D42E18">
              <w:t xml:space="preserve">between the ages of </w:t>
            </w:r>
            <w:r w:rsidR="008F6FCF">
              <w:t>15-30</w:t>
            </w:r>
            <w:r w:rsidR="00D85C02" w:rsidRPr="00D42E18">
              <w:t xml:space="preserve"> years who have or have had a diagnosis of cancer will take part in this study. The age range proposed for this study falls between the range proposed by the National Cancer Institute’s progress review group (Australian Institute of Health and welfare, 2011).</w:t>
            </w:r>
          </w:p>
          <w:p w14:paraId="2B708FC8" w14:textId="5EE86D31" w:rsidR="00A21B5F" w:rsidRPr="00D42E18" w:rsidRDefault="003100CA" w:rsidP="002C777E">
            <w:r w:rsidRPr="00D42E18">
              <w:t xml:space="preserve">Young people </w:t>
            </w:r>
            <w:r w:rsidR="00D85C02" w:rsidRPr="00D42E18">
              <w:t xml:space="preserve">diagnosed with cancer have been found to have higher levels of emotional distress compared to their peers. Web-based mindfulness-based </w:t>
            </w:r>
            <w:r w:rsidR="006F4051">
              <w:t>program</w:t>
            </w:r>
            <w:r w:rsidR="00D85C02" w:rsidRPr="00D42E18">
              <w:t xml:space="preserve">s has been found to be a convenient, inexpensive, effective </w:t>
            </w:r>
            <w:r w:rsidR="006F4051">
              <w:t>program</w:t>
            </w:r>
            <w:r w:rsidR="00D85C02" w:rsidRPr="00D42E18">
              <w:t xml:space="preserve"> to cope with stress among children and adults, however adolescents and </w:t>
            </w:r>
            <w:r w:rsidRPr="00D42E18">
              <w:t xml:space="preserve">young people </w:t>
            </w:r>
            <w:r w:rsidR="00D85C02" w:rsidRPr="00D42E18">
              <w:t>with cancer have not been adequately studied.</w:t>
            </w:r>
          </w:p>
        </w:tc>
      </w:tr>
      <w:tr w:rsidR="00A21B5F" w:rsidRPr="00D42E18" w14:paraId="30CC4BD6" w14:textId="77777777" w:rsidTr="002C777E">
        <w:tc>
          <w:tcPr>
            <w:tcW w:w="3936" w:type="dxa"/>
          </w:tcPr>
          <w:p w14:paraId="3A9F6CE1" w14:textId="77777777" w:rsidR="00A21B5F" w:rsidRPr="00D42E18" w:rsidRDefault="00A21B5F" w:rsidP="002C777E">
            <w:r w:rsidRPr="00D42E18">
              <w:rPr>
                <w:b/>
              </w:rPr>
              <w:t>6.5 Inclusion criteria</w:t>
            </w:r>
          </w:p>
        </w:tc>
        <w:tc>
          <w:tcPr>
            <w:tcW w:w="6390" w:type="dxa"/>
          </w:tcPr>
          <w:p w14:paraId="1120C257" w14:textId="4D5AF9C2" w:rsidR="00A21B5F" w:rsidRPr="00D42E18" w:rsidRDefault="00D42E18" w:rsidP="002C777E">
            <w:r w:rsidRPr="00D42E18">
              <w:t xml:space="preserve">Young </w:t>
            </w:r>
            <w:r w:rsidR="003100CA" w:rsidRPr="00D42E18">
              <w:t xml:space="preserve">people </w:t>
            </w:r>
            <w:r w:rsidR="00D85C02" w:rsidRPr="00D42E18">
              <w:t xml:space="preserve">between the ages of </w:t>
            </w:r>
            <w:r w:rsidR="008F6FCF">
              <w:t>15-30</w:t>
            </w:r>
            <w:r w:rsidR="00D85C02" w:rsidRPr="00D42E18">
              <w:t xml:space="preserve"> years who have or have had a diagnosis of cancer will be included in the study. </w:t>
            </w:r>
          </w:p>
        </w:tc>
      </w:tr>
      <w:tr w:rsidR="00A21B5F" w:rsidRPr="00D42E18" w14:paraId="49147F2D" w14:textId="77777777" w:rsidTr="002C777E">
        <w:tc>
          <w:tcPr>
            <w:tcW w:w="3936" w:type="dxa"/>
          </w:tcPr>
          <w:p w14:paraId="28862E7B" w14:textId="77777777" w:rsidR="00A21B5F" w:rsidRPr="00D42E18" w:rsidRDefault="00A21B5F" w:rsidP="002C777E">
            <w:r w:rsidRPr="00D42E18">
              <w:rPr>
                <w:b/>
              </w:rPr>
              <w:t>6.6 Exclusion criteria</w:t>
            </w:r>
          </w:p>
        </w:tc>
        <w:tc>
          <w:tcPr>
            <w:tcW w:w="6390" w:type="dxa"/>
          </w:tcPr>
          <w:p w14:paraId="3EB1E114" w14:textId="348B2BB0" w:rsidR="00A21B5F" w:rsidRPr="00D42E18" w:rsidRDefault="00A21B5F" w:rsidP="002C777E"/>
        </w:tc>
      </w:tr>
      <w:tr w:rsidR="00A21B5F" w:rsidRPr="00D42E18" w14:paraId="63E26414" w14:textId="77777777" w:rsidTr="002C777E">
        <w:tc>
          <w:tcPr>
            <w:tcW w:w="3936" w:type="dxa"/>
          </w:tcPr>
          <w:p w14:paraId="325FC30E" w14:textId="77777777" w:rsidR="00A21B5F" w:rsidRPr="00D42E18" w:rsidRDefault="00A21B5F" w:rsidP="002C777E">
            <w:r w:rsidRPr="00D42E18">
              <w:rPr>
                <w:b/>
              </w:rPr>
              <w:t>6.7 Expected number and age of participants</w:t>
            </w:r>
          </w:p>
        </w:tc>
        <w:tc>
          <w:tcPr>
            <w:tcW w:w="6390" w:type="dxa"/>
          </w:tcPr>
          <w:p w14:paraId="1ECAC488" w14:textId="5D7EEA8A" w:rsidR="00A21B5F" w:rsidRPr="00D42E18" w:rsidRDefault="007805C7" w:rsidP="002C777E">
            <w:r w:rsidRPr="00D42E18">
              <w:t xml:space="preserve">20 </w:t>
            </w:r>
            <w:r w:rsidR="003100CA" w:rsidRPr="00D42E18">
              <w:t xml:space="preserve">young people </w:t>
            </w:r>
            <w:r w:rsidRPr="00D42E18">
              <w:t xml:space="preserve">between the ages of </w:t>
            </w:r>
            <w:r w:rsidR="008F6FCF">
              <w:t>15-30</w:t>
            </w:r>
            <w:r w:rsidRPr="00D42E18">
              <w:t xml:space="preserve"> years </w:t>
            </w:r>
          </w:p>
        </w:tc>
      </w:tr>
      <w:tr w:rsidR="00A21B5F" w:rsidRPr="00D42E18" w14:paraId="6A04F19E" w14:textId="77777777" w:rsidTr="002C777E">
        <w:tc>
          <w:tcPr>
            <w:tcW w:w="3936" w:type="dxa"/>
          </w:tcPr>
          <w:p w14:paraId="7F2648D3" w14:textId="77777777" w:rsidR="00A21B5F" w:rsidRPr="00D42E18" w:rsidRDefault="00A21B5F" w:rsidP="002C777E">
            <w:r w:rsidRPr="00D42E18">
              <w:rPr>
                <w:b/>
              </w:rPr>
              <w:t>6.8 Sample size and statistical power issues</w:t>
            </w:r>
          </w:p>
        </w:tc>
        <w:tc>
          <w:tcPr>
            <w:tcW w:w="6390" w:type="dxa"/>
          </w:tcPr>
          <w:p w14:paraId="7AC4C6A0" w14:textId="299734E6" w:rsidR="00A21B5F" w:rsidRPr="00D42E18" w:rsidRDefault="007805C7" w:rsidP="002C777E">
            <w:r w:rsidRPr="00D42E18">
              <w:t xml:space="preserve">As the primary aim of this pilot feasibility trial is to examine feasibility and refine aspects of the research approach; a formal sample size calculation is not warranted. 20 </w:t>
            </w:r>
            <w:r w:rsidR="003100CA" w:rsidRPr="00D42E18">
              <w:t xml:space="preserve">young people </w:t>
            </w:r>
            <w:r w:rsidRPr="00D42E18">
              <w:t>will be randomized for the medium effect size of 0.5 (21) to either a study group or a waitlist control group using a computer-generated randomization procedure.</w:t>
            </w:r>
          </w:p>
        </w:tc>
      </w:tr>
      <w:tr w:rsidR="00A21B5F" w:rsidRPr="00D42E18" w14:paraId="3240A847" w14:textId="77777777" w:rsidTr="002C777E">
        <w:tc>
          <w:tcPr>
            <w:tcW w:w="3936" w:type="dxa"/>
          </w:tcPr>
          <w:p w14:paraId="5AB6203A" w14:textId="77777777" w:rsidR="00A21B5F" w:rsidRPr="00D42E18" w:rsidRDefault="00A21B5F" w:rsidP="002C777E">
            <w:r w:rsidRPr="00D42E18">
              <w:rPr>
                <w:b/>
              </w:rPr>
              <w:t>6.9 Describe what these participants will be asked to do</w:t>
            </w:r>
          </w:p>
        </w:tc>
        <w:tc>
          <w:tcPr>
            <w:tcW w:w="6390" w:type="dxa"/>
          </w:tcPr>
          <w:p w14:paraId="17FF2525" w14:textId="701189C0" w:rsidR="00A21B5F" w:rsidRPr="00D42E18" w:rsidRDefault="0078684C" w:rsidP="002C777E">
            <w:r w:rsidRPr="00D42E18">
              <w:t xml:space="preserve">Prospective </w:t>
            </w:r>
            <w:r w:rsidR="009739A8" w:rsidRPr="00D42E18">
              <w:t>participants</w:t>
            </w:r>
            <w:r w:rsidRPr="00D42E18">
              <w:t xml:space="preserve"> will gain access to the survey which</w:t>
            </w:r>
            <w:r w:rsidR="009739A8" w:rsidRPr="00D42E18">
              <w:t xml:space="preserve"> will</w:t>
            </w:r>
            <w:r w:rsidRPr="00D42E18">
              <w:t xml:space="preserve"> include the participant information sheet and first set of baseline measures. Completion and submission of the questionnaires will be deemed as implied consent to participate in the research. On completion, participants in the study group will be given access to the web-based mindfulness </w:t>
            </w:r>
            <w:r w:rsidR="006F4051">
              <w:t>program</w:t>
            </w:r>
            <w:r w:rsidRPr="00D42E18">
              <w:t xml:space="preserve"> by </w:t>
            </w:r>
            <w:r w:rsidR="009739A8" w:rsidRPr="00D42E18">
              <w:t xml:space="preserve">an </w:t>
            </w:r>
            <w:r w:rsidRPr="00D42E18">
              <w:t>email and participants in a waitlist control group will receive access on completion of the post- survey</w:t>
            </w:r>
            <w:r w:rsidR="009739A8" w:rsidRPr="00D42E18">
              <w:t xml:space="preserve"> (after 6 weeks)</w:t>
            </w:r>
            <w:r w:rsidRPr="00D42E18">
              <w:t xml:space="preserve">. A weekly reminder through Qualtrics will be sent to the to </w:t>
            </w:r>
            <w:r w:rsidR="009739A8" w:rsidRPr="00D42E18">
              <w:t xml:space="preserve">engage in the </w:t>
            </w:r>
            <w:r w:rsidR="006F4051">
              <w:t>program</w:t>
            </w:r>
            <w:r w:rsidRPr="00D42E18">
              <w:t xml:space="preserve">. After the 6 weeks both groups will complete the post-test questionnaires of the same quantitative measures and </w:t>
            </w:r>
            <w:r w:rsidR="00EE5421" w:rsidRPr="00D42E18">
              <w:t xml:space="preserve">in addition study group receives </w:t>
            </w:r>
            <w:r w:rsidRPr="00D42E18">
              <w:t xml:space="preserve">a post </w:t>
            </w:r>
            <w:r w:rsidR="006F4051">
              <w:t>program</w:t>
            </w:r>
            <w:r w:rsidRPr="00D42E18">
              <w:t xml:space="preserve"> survey with open-ended questions to assess the feasibility of the mindfulness </w:t>
            </w:r>
            <w:r w:rsidR="006F4051">
              <w:t>program</w:t>
            </w:r>
            <w:r w:rsidR="00EE5421" w:rsidRPr="00D42E18">
              <w:t>.</w:t>
            </w:r>
            <w:r w:rsidRPr="00D42E18">
              <w:t xml:space="preserve"> </w:t>
            </w:r>
          </w:p>
        </w:tc>
      </w:tr>
      <w:tr w:rsidR="00A21B5F" w:rsidRPr="00D42E18" w14:paraId="0D294E96" w14:textId="77777777" w:rsidTr="002C777E">
        <w:tc>
          <w:tcPr>
            <w:tcW w:w="3936" w:type="dxa"/>
          </w:tcPr>
          <w:p w14:paraId="7584693B" w14:textId="77777777" w:rsidR="00A21B5F" w:rsidRPr="00D42E18" w:rsidRDefault="00A21B5F" w:rsidP="002C777E">
            <w:r w:rsidRPr="00D42E18">
              <w:rPr>
                <w:b/>
              </w:rPr>
              <w:t>6.10 Follow up plans</w:t>
            </w:r>
          </w:p>
        </w:tc>
        <w:tc>
          <w:tcPr>
            <w:tcW w:w="6390" w:type="dxa"/>
          </w:tcPr>
          <w:p w14:paraId="73C5FA89" w14:textId="77777777" w:rsidR="00A21B5F" w:rsidRPr="00D42E18" w:rsidRDefault="00A21B5F" w:rsidP="002C777E"/>
        </w:tc>
      </w:tr>
      <w:tr w:rsidR="00A21B5F" w:rsidRPr="00D42E18" w14:paraId="6C684CFD" w14:textId="77777777" w:rsidTr="002C777E">
        <w:tc>
          <w:tcPr>
            <w:tcW w:w="3936" w:type="dxa"/>
          </w:tcPr>
          <w:p w14:paraId="04B88ADE" w14:textId="77777777" w:rsidR="00A21B5F" w:rsidRPr="00D42E18" w:rsidRDefault="00A21B5F" w:rsidP="002C777E">
            <w:pPr>
              <w:rPr>
                <w:b/>
              </w:rPr>
            </w:pPr>
            <w:r w:rsidRPr="00D42E18">
              <w:rPr>
                <w:b/>
              </w:rPr>
              <w:t>6.11 Recruitment</w:t>
            </w:r>
          </w:p>
          <w:p w14:paraId="36B406DE" w14:textId="77777777" w:rsidR="00A21B5F" w:rsidRPr="00D42E18" w:rsidRDefault="00E97E9A" w:rsidP="002C777E">
            <w:r w:rsidRPr="00D42E18">
              <w:lastRenderedPageBreak/>
              <w:t xml:space="preserve">How will </w:t>
            </w:r>
            <w:r w:rsidR="00A21B5F" w:rsidRPr="00D42E18">
              <w:t>you identify and recruit participants</w:t>
            </w:r>
            <w:r w:rsidRPr="00D42E18">
              <w:t>?</w:t>
            </w:r>
            <w:r w:rsidR="00A21B5F" w:rsidRPr="00D42E18">
              <w:t xml:space="preserve"> Include whether screening takes place before or after consent; who will initially approach the participants; how participants will receive the recruitment documentation; how much time a participant will have to consider participation.</w:t>
            </w:r>
          </w:p>
          <w:p w14:paraId="33785089" w14:textId="77777777" w:rsidR="00E97E9A" w:rsidRPr="00D42E18" w:rsidRDefault="00E97E9A" w:rsidP="002C777E">
            <w:pPr>
              <w:rPr>
                <w:b/>
              </w:rPr>
            </w:pPr>
            <w:r w:rsidRPr="00D42E18">
              <w:rPr>
                <w:b/>
              </w:rPr>
              <w:t>Will participants be offered any form of reimbursement?</w:t>
            </w:r>
          </w:p>
          <w:p w14:paraId="29B6621A" w14:textId="77777777" w:rsidR="00404F51" w:rsidRPr="00D42E18" w:rsidRDefault="00404F51" w:rsidP="00774F2B">
            <w:r w:rsidRPr="00D42E18">
              <w:t xml:space="preserve">This can be written in conjunction </w:t>
            </w:r>
            <w:r w:rsidR="00774F2B" w:rsidRPr="00D42E18">
              <w:t>with</w:t>
            </w:r>
            <w:r w:rsidRPr="00D42E18">
              <w:t xml:space="preserve"> question 2.1.1 of the HREA.</w:t>
            </w:r>
          </w:p>
        </w:tc>
        <w:tc>
          <w:tcPr>
            <w:tcW w:w="6390" w:type="dxa"/>
          </w:tcPr>
          <w:p w14:paraId="236277E9" w14:textId="490065B5" w:rsidR="00A21B5F" w:rsidRPr="00D42E18" w:rsidRDefault="00487158" w:rsidP="002C777E">
            <w:r w:rsidRPr="00D42E18">
              <w:lastRenderedPageBreak/>
              <w:t xml:space="preserve">Study will adopt following recruitment </w:t>
            </w:r>
            <w:r w:rsidR="00C71274" w:rsidRPr="00D42E18">
              <w:t>options.</w:t>
            </w:r>
          </w:p>
          <w:p w14:paraId="505EAB9A" w14:textId="7903E058" w:rsidR="00C71274" w:rsidRDefault="00C71274" w:rsidP="00C71274">
            <w:pPr>
              <w:pStyle w:val="ListParagraph"/>
              <w:numPr>
                <w:ilvl w:val="0"/>
                <w:numId w:val="10"/>
              </w:numPr>
              <w:rPr>
                <w:rFonts w:ascii="Times New Roman" w:hAnsi="Times New Roman"/>
              </w:rPr>
            </w:pPr>
            <w:r w:rsidRPr="00D42E18">
              <w:rPr>
                <w:rFonts w:ascii="Times New Roman" w:hAnsi="Times New Roman"/>
              </w:rPr>
              <w:t>Targeted emails</w:t>
            </w:r>
            <w:r w:rsidR="007C3B63">
              <w:rPr>
                <w:rFonts w:ascii="Times New Roman" w:hAnsi="Times New Roman"/>
              </w:rPr>
              <w:t xml:space="preserve"> and SMS</w:t>
            </w:r>
            <w:r w:rsidRPr="00D42E18">
              <w:rPr>
                <w:rFonts w:ascii="Times New Roman" w:hAnsi="Times New Roman"/>
              </w:rPr>
              <w:t xml:space="preserve"> to </w:t>
            </w:r>
            <w:r w:rsidR="002A3839" w:rsidRPr="00D42E18">
              <w:rPr>
                <w:rFonts w:ascii="Times New Roman" w:hAnsi="Times New Roman"/>
              </w:rPr>
              <w:t xml:space="preserve">young people </w:t>
            </w:r>
            <w:r w:rsidRPr="00D42E18">
              <w:rPr>
                <w:rFonts w:ascii="Times New Roman" w:hAnsi="Times New Roman"/>
              </w:rPr>
              <w:t xml:space="preserve">registered </w:t>
            </w:r>
            <w:r w:rsidRPr="00D42E18">
              <w:rPr>
                <w:rFonts w:ascii="Times New Roman" w:hAnsi="Times New Roman"/>
              </w:rPr>
              <w:lastRenderedPageBreak/>
              <w:t>with Canteen</w:t>
            </w:r>
          </w:p>
          <w:p w14:paraId="24C295CB" w14:textId="07E5EF6A" w:rsidR="007C3B63" w:rsidRDefault="007C3B63" w:rsidP="00C71274">
            <w:pPr>
              <w:pStyle w:val="ListParagraph"/>
              <w:numPr>
                <w:ilvl w:val="0"/>
                <w:numId w:val="10"/>
              </w:numPr>
              <w:rPr>
                <w:rFonts w:ascii="Times New Roman" w:hAnsi="Times New Roman"/>
              </w:rPr>
            </w:pPr>
            <w:r>
              <w:rPr>
                <w:rFonts w:ascii="Times New Roman" w:hAnsi="Times New Roman"/>
              </w:rPr>
              <w:t xml:space="preserve">Distribution of flyers and conveying the project during </w:t>
            </w:r>
            <w:r w:rsidR="00036D32">
              <w:rPr>
                <w:rFonts w:ascii="Times New Roman" w:hAnsi="Times New Roman"/>
              </w:rPr>
              <w:t>face-to-face</w:t>
            </w:r>
            <w:r>
              <w:rPr>
                <w:rFonts w:ascii="Times New Roman" w:hAnsi="Times New Roman"/>
              </w:rPr>
              <w:t xml:space="preserve"> meetings/ camps conducted by Canteen</w:t>
            </w:r>
          </w:p>
          <w:p w14:paraId="2FE645F4" w14:textId="3A1691C6" w:rsidR="007C3B63" w:rsidRDefault="007C3B63" w:rsidP="00C71274">
            <w:pPr>
              <w:pStyle w:val="ListParagraph"/>
              <w:numPr>
                <w:ilvl w:val="0"/>
                <w:numId w:val="10"/>
              </w:numPr>
              <w:rPr>
                <w:rFonts w:ascii="Times New Roman" w:hAnsi="Times New Roman"/>
              </w:rPr>
            </w:pPr>
            <w:r w:rsidRPr="007C3B63">
              <w:rPr>
                <w:rFonts w:ascii="Times New Roman" w:hAnsi="Times New Roman"/>
              </w:rPr>
              <w:t xml:space="preserve">A web page in canteen website </w:t>
            </w:r>
            <w:r>
              <w:rPr>
                <w:rFonts w:ascii="Times New Roman" w:hAnsi="Times New Roman"/>
              </w:rPr>
              <w:t xml:space="preserve">with pop up option </w:t>
            </w:r>
            <w:r w:rsidRPr="007C3B63">
              <w:rPr>
                <w:rFonts w:ascii="Times New Roman" w:hAnsi="Times New Roman"/>
              </w:rPr>
              <w:t>introducing the project with link to the Qualtrics survey.</w:t>
            </w:r>
          </w:p>
          <w:p w14:paraId="5AEA0896" w14:textId="796EF48D" w:rsidR="00C71274" w:rsidRPr="00D42E18" w:rsidRDefault="00C71274" w:rsidP="00C71274">
            <w:pPr>
              <w:pStyle w:val="ListParagraph"/>
              <w:numPr>
                <w:ilvl w:val="0"/>
                <w:numId w:val="10"/>
              </w:numPr>
              <w:rPr>
                <w:rFonts w:ascii="Times New Roman" w:hAnsi="Times New Roman"/>
              </w:rPr>
            </w:pPr>
            <w:r w:rsidRPr="00D42E18">
              <w:rPr>
                <w:rFonts w:ascii="Times New Roman" w:hAnsi="Times New Roman"/>
              </w:rPr>
              <w:t xml:space="preserve">A dedicated Twitter feed (Twitter, Inc., San Francisco, USA) targeting </w:t>
            </w:r>
            <w:r w:rsidR="00D42E18" w:rsidRPr="00D42E18">
              <w:rPr>
                <w:rFonts w:ascii="Times New Roman" w:hAnsi="Times New Roman"/>
              </w:rPr>
              <w:t>young people</w:t>
            </w:r>
            <w:r w:rsidRPr="00D42E18">
              <w:rPr>
                <w:rFonts w:ascii="Times New Roman" w:hAnsi="Times New Roman"/>
              </w:rPr>
              <w:t xml:space="preserve">: </w:t>
            </w:r>
            <w:r w:rsidR="00036D32" w:rsidRPr="00D42E18">
              <w:rPr>
                <w:rFonts w:ascii="Times New Roman" w:hAnsi="Times New Roman"/>
              </w:rPr>
              <w:t>short</w:t>
            </w:r>
            <w:r w:rsidRPr="00D42E18">
              <w:rPr>
                <w:rFonts w:ascii="Times New Roman" w:hAnsi="Times New Roman"/>
              </w:rPr>
              <w:t xml:space="preserve"> tweets will have the link to the Qualtrics survey. Will encourage people to retweet the messages to their followers.</w:t>
            </w:r>
          </w:p>
          <w:p w14:paraId="5F5853EF" w14:textId="65993DAC" w:rsidR="00C71274" w:rsidRPr="00D42E18" w:rsidRDefault="00C71274" w:rsidP="00C71274">
            <w:pPr>
              <w:pStyle w:val="ListParagraph"/>
              <w:numPr>
                <w:ilvl w:val="0"/>
                <w:numId w:val="10"/>
              </w:numPr>
              <w:rPr>
                <w:rFonts w:ascii="Times New Roman" w:hAnsi="Times New Roman"/>
              </w:rPr>
            </w:pPr>
            <w:r w:rsidRPr="00D42E18">
              <w:rPr>
                <w:rFonts w:ascii="Times New Roman" w:hAnsi="Times New Roman"/>
              </w:rPr>
              <w:t xml:space="preserve">A dedicated Facebook group page (Facebook, Inc., California, USA) will be created with same content and will be linked to the Twitter feed </w:t>
            </w:r>
          </w:p>
          <w:p w14:paraId="526EA02E" w14:textId="77777777" w:rsidR="007C3B63" w:rsidRPr="00D42E18" w:rsidRDefault="007C3B63" w:rsidP="007C3B63">
            <w:pPr>
              <w:pStyle w:val="ListParagraph"/>
              <w:numPr>
                <w:ilvl w:val="0"/>
                <w:numId w:val="10"/>
              </w:numPr>
              <w:rPr>
                <w:rFonts w:ascii="Times New Roman" w:hAnsi="Times New Roman"/>
              </w:rPr>
            </w:pPr>
            <w:r>
              <w:rPr>
                <w:rFonts w:ascii="Times New Roman" w:hAnsi="Times New Roman"/>
              </w:rPr>
              <w:t>Snowballing: Participants will be encouraged to share the study link to others</w:t>
            </w:r>
          </w:p>
          <w:p w14:paraId="54DE3A1D" w14:textId="346D99F7" w:rsidR="00C71274" w:rsidRPr="00D42E18" w:rsidRDefault="00EB57F8" w:rsidP="00EB57F8">
            <w:r w:rsidRPr="00D42E18">
              <w:t xml:space="preserve">No screening will take place and recruitment will be open to all </w:t>
            </w:r>
            <w:r w:rsidR="003100CA" w:rsidRPr="00D42E18">
              <w:t xml:space="preserve">young people </w:t>
            </w:r>
            <w:r w:rsidRPr="00D42E18">
              <w:t xml:space="preserve">aged </w:t>
            </w:r>
            <w:r w:rsidR="008F6FCF">
              <w:t>15-30</w:t>
            </w:r>
            <w:r w:rsidRPr="00D42E18">
              <w:t xml:space="preserve"> years diagnosed with cancer. The prospective participants will be invited by an email or will make contact for further information about the study which will be provided in the form of a Participant Information Sheet (PIS). </w:t>
            </w:r>
            <w:r w:rsidR="00C71274" w:rsidRPr="00D42E18">
              <w:t xml:space="preserve">There is no </w:t>
            </w:r>
            <w:r w:rsidRPr="00D42E18">
              <w:t>face-to-face</w:t>
            </w:r>
            <w:r w:rsidR="00C71274" w:rsidRPr="00D42E18">
              <w:t xml:space="preserve"> interaction in this study as </w:t>
            </w:r>
            <w:r w:rsidRPr="00D42E18">
              <w:t xml:space="preserve">the survey of </w:t>
            </w:r>
            <w:r w:rsidR="00C71274" w:rsidRPr="00D42E18">
              <w:t>measures</w:t>
            </w:r>
            <w:r w:rsidRPr="00D42E18">
              <w:t xml:space="preserve"> and </w:t>
            </w:r>
            <w:r w:rsidR="006F4051">
              <w:t>program</w:t>
            </w:r>
            <w:r w:rsidRPr="00D42E18">
              <w:t xml:space="preserve"> is fully online.</w:t>
            </w:r>
            <w:r w:rsidR="00C71274" w:rsidRPr="00D42E18">
              <w:t xml:space="preserve"> </w:t>
            </w:r>
            <w:r w:rsidRPr="00D42E18">
              <w:t>Participants will take approximately 1</w:t>
            </w:r>
            <w:r w:rsidR="0025495C">
              <w:t>5</w:t>
            </w:r>
            <w:r w:rsidRPr="00D42E18">
              <w:t xml:space="preserve"> minutes to complete the baseline survey and the </w:t>
            </w:r>
            <w:r w:rsidR="006F4051">
              <w:t>program</w:t>
            </w:r>
            <w:r w:rsidRPr="00D42E18">
              <w:t xml:space="preserve"> would require at least one hour per week for 6 weeks. Post </w:t>
            </w:r>
            <w:r w:rsidR="006F4051">
              <w:t>program</w:t>
            </w:r>
            <w:r w:rsidRPr="00D42E18">
              <w:t xml:space="preserve"> response may take </w:t>
            </w:r>
            <w:r w:rsidR="0025495C" w:rsidRPr="00D42E18">
              <w:t>1</w:t>
            </w:r>
            <w:r w:rsidR="0025495C">
              <w:t>5-20</w:t>
            </w:r>
            <w:r w:rsidR="0025495C" w:rsidRPr="00D42E18">
              <w:t xml:space="preserve"> </w:t>
            </w:r>
            <w:r w:rsidRPr="00D42E18">
              <w:t xml:space="preserve">minutes to complete. Participants will receive a gift card worth $50 for their time to complete the online surveys and </w:t>
            </w:r>
            <w:r w:rsidR="00DA1D3C">
              <w:t>in reimbursement for internet usage</w:t>
            </w:r>
            <w:r w:rsidRPr="00D42E18">
              <w:t>.</w:t>
            </w:r>
          </w:p>
        </w:tc>
      </w:tr>
      <w:tr w:rsidR="00A21B5F" w:rsidRPr="00D42E18" w14:paraId="04CC1BA5" w14:textId="77777777" w:rsidTr="002C777E">
        <w:tc>
          <w:tcPr>
            <w:tcW w:w="3936" w:type="dxa"/>
          </w:tcPr>
          <w:p w14:paraId="785E79AC" w14:textId="77777777" w:rsidR="00A21B5F" w:rsidRPr="00D42E18" w:rsidRDefault="00A21B5F" w:rsidP="002C777E">
            <w:pPr>
              <w:rPr>
                <w:b/>
              </w:rPr>
            </w:pPr>
            <w:r w:rsidRPr="00D42E18">
              <w:rPr>
                <w:b/>
              </w:rPr>
              <w:lastRenderedPageBreak/>
              <w:t>6.12 Consent type</w:t>
            </w:r>
          </w:p>
          <w:p w14:paraId="5B6EADC0" w14:textId="77777777" w:rsidR="00A21B5F" w:rsidRPr="00D42E18" w:rsidRDefault="00A21B5F" w:rsidP="002C777E">
            <w:pPr>
              <w:rPr>
                <w:b/>
              </w:rPr>
            </w:pPr>
          </w:p>
          <w:p w14:paraId="400C78BD" w14:textId="77777777" w:rsidR="00A21B5F" w:rsidRPr="00D42E18" w:rsidRDefault="00A21B5F" w:rsidP="002C777E">
            <w:r w:rsidRPr="00D42E18">
              <w:t xml:space="preserve">If you are seeking a waiver of consent for the use of pre-existing </w:t>
            </w:r>
            <w:r w:rsidR="007B0B1C" w:rsidRPr="00D42E18">
              <w:t>data,</w:t>
            </w:r>
            <w:r w:rsidRPr="00D42E18">
              <w:t xml:space="preserve"> you must complete Section 11 of this form.  </w:t>
            </w:r>
          </w:p>
          <w:p w14:paraId="3980CA45" w14:textId="77777777" w:rsidR="00A21B5F" w:rsidRPr="00D42E18" w:rsidRDefault="00A21B5F" w:rsidP="002C777E"/>
        </w:tc>
        <w:tc>
          <w:tcPr>
            <w:tcW w:w="6390" w:type="dxa"/>
          </w:tcPr>
          <w:p w14:paraId="1CDC8A37" w14:textId="77777777" w:rsidR="00A21B5F" w:rsidRPr="00D42E18" w:rsidRDefault="00050FE8" w:rsidP="002C777E">
            <w:pPr>
              <w:ind w:firstLine="720"/>
            </w:pPr>
            <w:sdt>
              <w:sdtPr>
                <w:id w:val="2085331675"/>
                <w14:checkbox>
                  <w14:checked w14:val="0"/>
                  <w14:checkedState w14:val="2612" w14:font="MS Gothic"/>
                  <w14:uncheckedState w14:val="2610" w14:font="MS Gothic"/>
                </w14:checkbox>
              </w:sdtPr>
              <w:sdtEndPr/>
              <w:sdtContent>
                <w:r w:rsidR="00A9631E" w:rsidRPr="00D42E18">
                  <w:rPr>
                    <w:rFonts w:ascii="Segoe UI Symbol" w:eastAsia="MS Gothic" w:hAnsi="Segoe UI Symbol" w:cs="Segoe UI Symbol"/>
                  </w:rPr>
                  <w:t>☐</w:t>
                </w:r>
              </w:sdtContent>
            </w:sdt>
            <w:r w:rsidR="00D926AE" w:rsidRPr="00D42E18">
              <w:t xml:space="preserve"> Written                        </w:t>
            </w:r>
            <w:sdt>
              <w:sdtPr>
                <w:id w:val="201215968"/>
                <w14:checkbox>
                  <w14:checked w14:val="0"/>
                  <w14:checkedState w14:val="2612" w14:font="MS Gothic"/>
                  <w14:uncheckedState w14:val="2610" w14:font="MS Gothic"/>
                </w14:checkbox>
              </w:sdtPr>
              <w:sdtEndPr/>
              <w:sdtContent>
                <w:r w:rsidR="00D926AE" w:rsidRPr="00D42E18">
                  <w:rPr>
                    <w:rFonts w:ascii="Segoe UI Symbol" w:eastAsia="MS Mincho" w:hAnsi="Segoe UI Symbol" w:cs="Segoe UI Symbol"/>
                  </w:rPr>
                  <w:t>☐</w:t>
                </w:r>
              </w:sdtContent>
            </w:sdt>
            <w:r w:rsidR="00D926AE" w:rsidRPr="00D42E18">
              <w:t xml:space="preserve">  Verbal  </w:t>
            </w:r>
          </w:p>
          <w:p w14:paraId="53AF2EF4" w14:textId="77777777" w:rsidR="00D926AE" w:rsidRPr="00D42E18" w:rsidRDefault="00D926AE" w:rsidP="002C777E">
            <w:pPr>
              <w:ind w:firstLine="720"/>
            </w:pPr>
          </w:p>
          <w:p w14:paraId="02A931B8" w14:textId="16884F31" w:rsidR="00D926AE" w:rsidRPr="00D42E18" w:rsidRDefault="00050FE8" w:rsidP="002C777E">
            <w:pPr>
              <w:ind w:firstLine="720"/>
            </w:pPr>
            <w:sdt>
              <w:sdtPr>
                <w:id w:val="-1826965516"/>
                <w14:checkbox>
                  <w14:checked w14:val="1"/>
                  <w14:checkedState w14:val="2612" w14:font="MS Gothic"/>
                  <w14:uncheckedState w14:val="2610" w14:font="MS Gothic"/>
                </w14:checkbox>
              </w:sdtPr>
              <w:sdtEndPr/>
              <w:sdtContent>
                <w:r w:rsidR="00623460" w:rsidRPr="00D42E18">
                  <w:rPr>
                    <w:rFonts w:ascii="Segoe UI Symbol" w:eastAsia="MS Gothic" w:hAnsi="Segoe UI Symbol" w:cs="Segoe UI Symbol"/>
                  </w:rPr>
                  <w:t>☒</w:t>
                </w:r>
              </w:sdtContent>
            </w:sdt>
            <w:r w:rsidR="00D926AE" w:rsidRPr="00D42E18">
              <w:t xml:space="preserve"> Implied                        </w:t>
            </w:r>
            <w:sdt>
              <w:sdtPr>
                <w:id w:val="680165683"/>
                <w14:checkbox>
                  <w14:checked w14:val="0"/>
                  <w14:checkedState w14:val="2612" w14:font="MS Gothic"/>
                  <w14:uncheckedState w14:val="2610" w14:font="MS Gothic"/>
                </w14:checkbox>
              </w:sdtPr>
              <w:sdtEndPr/>
              <w:sdtContent>
                <w:r w:rsidR="00D926AE" w:rsidRPr="00D42E18">
                  <w:rPr>
                    <w:rFonts w:ascii="Segoe UI Symbol" w:eastAsia="MS Gothic" w:hAnsi="Segoe UI Symbol" w:cs="Segoe UI Symbol"/>
                  </w:rPr>
                  <w:t>☐</w:t>
                </w:r>
              </w:sdtContent>
            </w:sdt>
            <w:r w:rsidR="00D926AE" w:rsidRPr="00D42E18">
              <w:t xml:space="preserve"> Waiver</w:t>
            </w:r>
          </w:p>
          <w:p w14:paraId="2FE5029D" w14:textId="77777777" w:rsidR="00D926AE" w:rsidRPr="00D42E18" w:rsidRDefault="00D926AE" w:rsidP="002C777E">
            <w:pPr>
              <w:ind w:firstLine="720"/>
            </w:pPr>
          </w:p>
          <w:p w14:paraId="7FA1FF4D" w14:textId="77777777" w:rsidR="00D926AE" w:rsidRPr="00D42E18" w:rsidRDefault="00D926AE" w:rsidP="00D926AE">
            <w:pPr>
              <w:rPr>
                <w:color w:val="00B050"/>
              </w:rPr>
            </w:pPr>
            <w:r w:rsidRPr="00D42E18">
              <w:t xml:space="preserve">               </w:t>
            </w:r>
            <w:sdt>
              <w:sdtPr>
                <w:id w:val="-271326602"/>
                <w14:checkbox>
                  <w14:checked w14:val="0"/>
                  <w14:checkedState w14:val="2612" w14:font="MS Gothic"/>
                  <w14:uncheckedState w14:val="2610" w14:font="MS Gothic"/>
                </w14:checkbox>
              </w:sdtPr>
              <w:sdtEndPr/>
              <w:sdtContent>
                <w:r w:rsidRPr="00D42E18">
                  <w:rPr>
                    <w:rFonts w:ascii="Segoe UI Symbol" w:eastAsia="MS Mincho" w:hAnsi="Segoe UI Symbol" w:cs="Segoe UI Symbol"/>
                  </w:rPr>
                  <w:t>☐</w:t>
                </w:r>
              </w:sdtContent>
            </w:sdt>
            <w:r w:rsidRPr="00D42E18">
              <w:t xml:space="preserve"> Opt-out                       </w:t>
            </w:r>
            <w:sdt>
              <w:sdtPr>
                <w:id w:val="1842042152"/>
                <w14:checkbox>
                  <w14:checked w14:val="0"/>
                  <w14:checkedState w14:val="2612" w14:font="MS Gothic"/>
                  <w14:uncheckedState w14:val="2610" w14:font="MS Gothic"/>
                </w14:checkbox>
              </w:sdtPr>
              <w:sdtEndPr/>
              <w:sdtContent>
                <w:r w:rsidRPr="00D42E18">
                  <w:rPr>
                    <w:rFonts w:ascii="Segoe UI Symbol" w:eastAsia="MS Mincho" w:hAnsi="Segoe UI Symbol" w:cs="Segoe UI Symbol"/>
                  </w:rPr>
                  <w:t>☐</w:t>
                </w:r>
              </w:sdtContent>
            </w:sdt>
            <w:r w:rsidRPr="00D42E18">
              <w:t xml:space="preserve"> Assent     </w:t>
            </w:r>
          </w:p>
        </w:tc>
      </w:tr>
      <w:tr w:rsidR="00A21B5F" w:rsidRPr="00D42E18" w14:paraId="34115FEC" w14:textId="77777777" w:rsidTr="002C777E">
        <w:tc>
          <w:tcPr>
            <w:tcW w:w="3936" w:type="dxa"/>
          </w:tcPr>
          <w:p w14:paraId="254D475C" w14:textId="77777777" w:rsidR="00A21B5F" w:rsidRPr="00D42E18" w:rsidRDefault="00A21B5F" w:rsidP="002C777E">
            <w:r w:rsidRPr="00D42E18">
              <w:rPr>
                <w:b/>
              </w:rPr>
              <w:t>6.13 Summary of consent process</w:t>
            </w:r>
            <w:r w:rsidR="00404F51" w:rsidRPr="00D42E18">
              <w:t xml:space="preserve"> The summary can be adapted from Question 2.2.1 of the HREA.</w:t>
            </w:r>
          </w:p>
        </w:tc>
        <w:tc>
          <w:tcPr>
            <w:tcW w:w="6390" w:type="dxa"/>
          </w:tcPr>
          <w:p w14:paraId="0E990FDB" w14:textId="7D05372D" w:rsidR="001F679E" w:rsidRPr="00D42E18" w:rsidRDefault="001F679E" w:rsidP="001F679E">
            <w:pPr>
              <w:jc w:val="both"/>
            </w:pPr>
            <w:r w:rsidRPr="00D42E18">
              <w:t xml:space="preserve">The prospective participants will </w:t>
            </w:r>
            <w:r w:rsidR="00CB0014" w:rsidRPr="00D42E18">
              <w:t xml:space="preserve">attend to the Qualtrics survey advertised in social media or through targeted emails. Survey will contain Participant Information Sheet (PIS).  </w:t>
            </w:r>
            <w:r w:rsidRPr="00D42E18">
              <w:t xml:space="preserve">Completion and submission of the survey will be deemed as implied consent to participate in the research. </w:t>
            </w:r>
          </w:p>
          <w:p w14:paraId="20B753AA" w14:textId="77777777" w:rsidR="00A21B5F" w:rsidRPr="00D42E18" w:rsidRDefault="00A21B5F" w:rsidP="002C777E"/>
        </w:tc>
      </w:tr>
      <w:tr w:rsidR="00A21B5F" w:rsidRPr="00D42E18" w14:paraId="665BC5F4" w14:textId="77777777" w:rsidTr="002C777E">
        <w:tc>
          <w:tcPr>
            <w:tcW w:w="3936" w:type="dxa"/>
          </w:tcPr>
          <w:p w14:paraId="1999BF4C" w14:textId="77777777" w:rsidR="00A21B5F" w:rsidRPr="00D42E18" w:rsidRDefault="00A21B5F" w:rsidP="002C777E">
            <w:pPr>
              <w:rPr>
                <w:b/>
              </w:rPr>
            </w:pPr>
            <w:r w:rsidRPr="00D42E18">
              <w:rPr>
                <w:b/>
              </w:rPr>
              <w:t>6.14 Summary of project risks</w:t>
            </w:r>
          </w:p>
          <w:p w14:paraId="3A4C82ED" w14:textId="77777777" w:rsidR="00A21B5F" w:rsidRPr="00D42E18" w:rsidRDefault="00A21B5F" w:rsidP="002C777E">
            <w:r w:rsidRPr="00D42E18">
              <w:t>(do not respond with N/A or ‘none’)</w:t>
            </w:r>
          </w:p>
          <w:p w14:paraId="2447A068" w14:textId="61064A6D" w:rsidR="00404F51" w:rsidRPr="00D42E18" w:rsidRDefault="00404F51" w:rsidP="00774F2B">
            <w:r w:rsidRPr="00D42E18">
              <w:t xml:space="preserve">The summary can be a condensed version of information included in question 2.3.1 of the HREA. This </w:t>
            </w:r>
            <w:r w:rsidR="00686362" w:rsidRPr="00D42E18">
              <w:t xml:space="preserve">section </w:t>
            </w:r>
            <w:r w:rsidRPr="00D42E18">
              <w:t xml:space="preserve">should </w:t>
            </w:r>
            <w:r w:rsidR="003A3A31" w:rsidRPr="00D42E18">
              <w:t xml:space="preserve">relate to </w:t>
            </w:r>
            <w:r w:rsidRPr="00D42E18">
              <w:t xml:space="preserve">risks to </w:t>
            </w:r>
            <w:r w:rsidR="003A3A31" w:rsidRPr="00D42E18">
              <w:t>th</w:t>
            </w:r>
            <w:r w:rsidR="00686362" w:rsidRPr="00D42E18">
              <w:t xml:space="preserve">is group </w:t>
            </w:r>
            <w:r w:rsidR="00C2586B" w:rsidRPr="00D42E18">
              <w:t>of participants</w:t>
            </w:r>
            <w:r w:rsidRPr="00D42E18">
              <w:t>.</w:t>
            </w:r>
          </w:p>
        </w:tc>
        <w:tc>
          <w:tcPr>
            <w:tcW w:w="6390" w:type="dxa"/>
          </w:tcPr>
          <w:p w14:paraId="6AE1753E" w14:textId="23F99AD8" w:rsidR="00A21B5F" w:rsidRPr="00D42E18" w:rsidRDefault="00CB0014" w:rsidP="002C777E">
            <w:r w:rsidRPr="00D42E18">
              <w:t xml:space="preserve">We anticipate that participation in this study should not cause undue distress. However, a list of free counselling services will be provided in the PIS, should completion of any of the study questionnaires cause distress. </w:t>
            </w:r>
          </w:p>
        </w:tc>
      </w:tr>
    </w:tbl>
    <w:p w14:paraId="69C61A59" w14:textId="3724AF7A" w:rsidR="00A21B5F" w:rsidRDefault="00A21B5F" w:rsidP="00A21B5F"/>
    <w:p w14:paraId="156CB7DC" w14:textId="77777777" w:rsidR="00D42E18" w:rsidRPr="00D42E18" w:rsidRDefault="00D42E18" w:rsidP="00A21B5F"/>
    <w:p w14:paraId="4E2755F6" w14:textId="77777777" w:rsidR="00A21B5F" w:rsidRPr="00D42E1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4"/>
        </w:rPr>
      </w:pPr>
      <w:r w:rsidRPr="00D42E18">
        <w:rPr>
          <w:rFonts w:ascii="Times New Roman" w:hAnsi="Times New Roman" w:cs="Times New Roman"/>
          <w:b w:val="0"/>
          <w:sz w:val="24"/>
        </w:rPr>
        <w:t>Section 8: Data</w:t>
      </w:r>
    </w:p>
    <w:p w14:paraId="5619A10C" w14:textId="77777777" w:rsidR="00A21B5F" w:rsidRPr="00D42E18" w:rsidRDefault="00A21B5F" w:rsidP="00A21B5F"/>
    <w:p w14:paraId="424BFE96" w14:textId="77777777" w:rsidR="003A3A31" w:rsidRPr="00D42E18" w:rsidRDefault="00A21B5F" w:rsidP="00A21B5F">
      <w:pPr>
        <w:ind w:left="720" w:hanging="720"/>
        <w:rPr>
          <w:color w:val="00B050"/>
        </w:rPr>
      </w:pPr>
      <w:r w:rsidRPr="00D42E18">
        <w:rPr>
          <w:b/>
          <w:color w:val="582C83"/>
        </w:rPr>
        <w:t>8.1.</w:t>
      </w:r>
      <w:r w:rsidRPr="00D42E18">
        <w:t xml:space="preserve"> </w:t>
      </w:r>
      <w:r w:rsidR="00A94FE9" w:rsidRPr="00D42E18">
        <w:tab/>
      </w:r>
      <w:r w:rsidRPr="00D42E18">
        <w:t>What is the scope of consent you will seek for this project? – relates to HREA 2.2.2.1</w:t>
      </w:r>
      <w:r w:rsidR="007F3E8A" w:rsidRPr="00D42E18">
        <w:rPr>
          <w:color w:val="00B050"/>
        </w:rPr>
        <w:t xml:space="preserve"> </w:t>
      </w:r>
    </w:p>
    <w:p w14:paraId="7872948F" w14:textId="77777777" w:rsidR="003A3A31" w:rsidRPr="00D42E18" w:rsidRDefault="003A3A31" w:rsidP="00A21B5F">
      <w:pPr>
        <w:ind w:left="720" w:hanging="720"/>
        <w:rPr>
          <w:color w:val="FF0000"/>
        </w:rPr>
      </w:pPr>
    </w:p>
    <w:p w14:paraId="5EBA2A82" w14:textId="2AA765F8" w:rsidR="003A3A31" w:rsidRPr="00D42E18" w:rsidRDefault="00050FE8" w:rsidP="0043144B">
      <w:pPr>
        <w:pStyle w:val="ListParagraph"/>
        <w:widowControl/>
        <w:autoSpaceDE/>
        <w:autoSpaceDN/>
        <w:spacing w:after="160" w:line="259" w:lineRule="auto"/>
        <w:ind w:left="1440" w:hanging="720"/>
        <w:rPr>
          <w:rFonts w:ascii="Times New Roman" w:hAnsi="Times New Roman"/>
          <w:lang w:val="en-US"/>
        </w:rPr>
      </w:pPr>
      <w:sdt>
        <w:sdtPr>
          <w:rPr>
            <w:rFonts w:ascii="Times New Roman" w:hAnsi="Times New Roman"/>
          </w:rPr>
          <w:id w:val="1913959779"/>
          <w14:checkbox>
            <w14:checked w14:val="0"/>
            <w14:checkedState w14:val="2612" w14:font="MS Gothic"/>
            <w14:uncheckedState w14:val="2610" w14:font="MS Gothic"/>
          </w14:checkbox>
        </w:sdtPr>
        <w:sdtEndPr/>
        <w:sdtContent>
          <w:r w:rsidR="0043144B" w:rsidRPr="00D42E18">
            <w:rPr>
              <w:rFonts w:ascii="Segoe UI Symbol" w:eastAsia="MS Gothic" w:hAnsi="Segoe UI Symbol" w:cs="Segoe UI Symbol"/>
            </w:rPr>
            <w:t>☐</w:t>
          </w:r>
        </w:sdtContent>
      </w:sdt>
      <w:r w:rsidR="0043144B" w:rsidRPr="00D42E18">
        <w:rPr>
          <w:rFonts w:ascii="Times New Roman" w:hAnsi="Times New Roman"/>
        </w:rPr>
        <w:t xml:space="preserve"> </w:t>
      </w:r>
      <w:r w:rsidR="0043144B" w:rsidRPr="00D42E18">
        <w:rPr>
          <w:rFonts w:ascii="Times New Roman" w:hAnsi="Times New Roman"/>
        </w:rPr>
        <w:tab/>
      </w:r>
      <w:r w:rsidR="003A3A31" w:rsidRPr="00D42E18">
        <w:rPr>
          <w:rFonts w:ascii="Times New Roman" w:hAnsi="Times New Roman"/>
          <w:b/>
          <w:lang w:val="en-US"/>
        </w:rPr>
        <w:t>Specific consent</w:t>
      </w:r>
      <w:r w:rsidR="003A3A31" w:rsidRPr="00D42E18">
        <w:rPr>
          <w:rFonts w:ascii="Times New Roman" w:hAnsi="Times New Roman"/>
          <w:lang w:val="en-US"/>
        </w:rPr>
        <w:t xml:space="preserve"> should be selected when consent is restricted to the specific project under consideration.</w:t>
      </w:r>
    </w:p>
    <w:p w14:paraId="72FFA81E" w14:textId="0FB88377" w:rsidR="0043144B" w:rsidRPr="00D42E18" w:rsidRDefault="0043144B" w:rsidP="0043144B">
      <w:pPr>
        <w:pStyle w:val="ListParagraph"/>
        <w:widowControl/>
        <w:autoSpaceDE/>
        <w:autoSpaceDN/>
        <w:spacing w:after="160" w:line="259" w:lineRule="auto"/>
        <w:ind w:left="1440" w:hanging="720"/>
        <w:rPr>
          <w:rFonts w:ascii="Times New Roman" w:hAnsi="Times New Roman"/>
        </w:rPr>
      </w:pPr>
      <w:r w:rsidRPr="00D42E18">
        <w:rPr>
          <w:rFonts w:ascii="Times New Roman" w:eastAsia="MS Gothic" w:hAnsi="Times New Roman"/>
        </w:rPr>
        <w:tab/>
      </w:r>
      <w:r w:rsidRPr="00D42E18">
        <w:rPr>
          <w:rFonts w:ascii="Times New Roman" w:hAnsi="Times New Roman"/>
        </w:rPr>
        <w:t>If seeking specific consent,</w:t>
      </w:r>
      <w:r w:rsidRPr="00D42E18">
        <w:rPr>
          <w:rFonts w:ascii="Times New Roman" w:eastAsia="MS Gothic" w:hAnsi="Times New Roman"/>
        </w:rPr>
        <w:t xml:space="preserve"> </w:t>
      </w:r>
      <w:r w:rsidRPr="00D42E18">
        <w:rPr>
          <w:rFonts w:ascii="Times New Roman" w:hAnsi="Times New Roman"/>
        </w:rPr>
        <w:t>what is the ethically justifiable reason for this approach? (see section 3.1.50 of the National Statement on Ethical Conduct in Human Research):</w:t>
      </w:r>
    </w:p>
    <w:p w14:paraId="34981E82" w14:textId="77777777" w:rsidR="0043144B" w:rsidRPr="00D42E18" w:rsidRDefault="0043144B" w:rsidP="0043144B">
      <w:pPr>
        <w:pStyle w:val="ListParagraph"/>
        <w:widowControl/>
        <w:autoSpaceDE/>
        <w:autoSpaceDN/>
        <w:spacing w:after="160" w:line="259" w:lineRule="auto"/>
        <w:ind w:left="1440" w:hanging="720"/>
        <w:rPr>
          <w:rFonts w:ascii="Times New Roman" w:hAnsi="Times New Roman"/>
        </w:rPr>
      </w:pPr>
    </w:p>
    <w:p w14:paraId="26FDA11C" w14:textId="17E47F87" w:rsidR="003A3A31" w:rsidRPr="00D42E18" w:rsidRDefault="00050FE8" w:rsidP="0043144B">
      <w:pPr>
        <w:pStyle w:val="ListParagraph"/>
        <w:widowControl/>
        <w:autoSpaceDE/>
        <w:autoSpaceDN/>
        <w:spacing w:after="160" w:line="259" w:lineRule="auto"/>
        <w:ind w:left="1440" w:hanging="720"/>
        <w:rPr>
          <w:rFonts w:ascii="Times New Roman" w:hAnsi="Times New Roman"/>
          <w:lang w:val="en-US"/>
        </w:rPr>
      </w:pPr>
      <w:sdt>
        <w:sdtPr>
          <w:rPr>
            <w:rFonts w:ascii="Times New Roman" w:hAnsi="Times New Roman"/>
          </w:rPr>
          <w:id w:val="1051347124"/>
          <w14:checkbox>
            <w14:checked w14:val="1"/>
            <w14:checkedState w14:val="2612" w14:font="MS Gothic"/>
            <w14:uncheckedState w14:val="2610" w14:font="MS Gothic"/>
          </w14:checkbox>
        </w:sdtPr>
        <w:sdtEndPr/>
        <w:sdtContent>
          <w:r w:rsidR="00CB0014" w:rsidRPr="00D42E18">
            <w:rPr>
              <w:rFonts w:ascii="Segoe UI Symbol" w:eastAsia="MS Gothic" w:hAnsi="Segoe UI Symbol" w:cs="Segoe UI Symbol"/>
            </w:rPr>
            <w:t>☒</w:t>
          </w:r>
        </w:sdtContent>
      </w:sdt>
      <w:r w:rsidR="0043144B" w:rsidRPr="00D42E18">
        <w:rPr>
          <w:rFonts w:ascii="Times New Roman" w:hAnsi="Times New Roman"/>
        </w:rPr>
        <w:t xml:space="preserve"> </w:t>
      </w:r>
      <w:r w:rsidR="0043144B" w:rsidRPr="00D42E18">
        <w:rPr>
          <w:rFonts w:ascii="Times New Roman" w:hAnsi="Times New Roman"/>
        </w:rPr>
        <w:tab/>
      </w:r>
      <w:r w:rsidR="003A3A31" w:rsidRPr="00D42E18">
        <w:rPr>
          <w:rFonts w:ascii="Times New Roman" w:hAnsi="Times New Roman"/>
          <w:b/>
          <w:lang w:val="en-US"/>
        </w:rPr>
        <w:t>Extended consent</w:t>
      </w:r>
      <w:r w:rsidR="003A3A31" w:rsidRPr="00D42E18">
        <w:rPr>
          <w:rFonts w:ascii="Times New Roman" w:hAnsi="Times New Roman"/>
          <w:lang w:val="en-US"/>
        </w:rPr>
        <w:t xml:space="preserve"> should be selected when there is intention to use data or tissue in future research projects (This refers to extended, closely related, ongoing projects or projects in the same general area of research). This also includes permission to enter original data or tissue into a data/tissue bank.</w:t>
      </w:r>
    </w:p>
    <w:p w14:paraId="4796107E" w14:textId="77777777" w:rsidR="0043144B" w:rsidRPr="00D42E18" w:rsidRDefault="0043144B" w:rsidP="0043144B">
      <w:pPr>
        <w:pStyle w:val="ListParagraph"/>
        <w:widowControl/>
        <w:autoSpaceDE/>
        <w:autoSpaceDN/>
        <w:spacing w:after="160" w:line="259" w:lineRule="auto"/>
        <w:rPr>
          <w:rFonts w:ascii="Times New Roman" w:hAnsi="Times New Roman"/>
          <w:lang w:val="en-US"/>
        </w:rPr>
      </w:pPr>
    </w:p>
    <w:p w14:paraId="6B1A6784" w14:textId="4FBCC402" w:rsidR="003A3A31" w:rsidRPr="00D42E18" w:rsidRDefault="00050FE8" w:rsidP="0043144B">
      <w:pPr>
        <w:pStyle w:val="ListParagraph"/>
        <w:widowControl/>
        <w:autoSpaceDE/>
        <w:autoSpaceDN/>
        <w:spacing w:after="160" w:line="259" w:lineRule="auto"/>
        <w:ind w:left="1440" w:hanging="720"/>
        <w:rPr>
          <w:rFonts w:ascii="Times New Roman" w:hAnsi="Times New Roman"/>
          <w:lang w:val="en-US"/>
        </w:rPr>
      </w:pPr>
      <w:sdt>
        <w:sdtPr>
          <w:rPr>
            <w:rFonts w:ascii="Times New Roman" w:hAnsi="Times New Roman"/>
          </w:rPr>
          <w:id w:val="-972672826"/>
          <w14:checkbox>
            <w14:checked w14:val="0"/>
            <w14:checkedState w14:val="2612" w14:font="MS Gothic"/>
            <w14:uncheckedState w14:val="2610" w14:font="MS Gothic"/>
          </w14:checkbox>
        </w:sdtPr>
        <w:sdtEndPr/>
        <w:sdtContent>
          <w:r w:rsidR="0043144B" w:rsidRPr="00D42E18">
            <w:rPr>
              <w:rFonts w:ascii="Segoe UI Symbol" w:eastAsia="MS Gothic" w:hAnsi="Segoe UI Symbol" w:cs="Segoe UI Symbol"/>
            </w:rPr>
            <w:t>☐</w:t>
          </w:r>
        </w:sdtContent>
      </w:sdt>
      <w:r w:rsidR="0043144B" w:rsidRPr="00D42E18">
        <w:rPr>
          <w:rFonts w:ascii="Times New Roman" w:hAnsi="Times New Roman"/>
        </w:rPr>
        <w:t xml:space="preserve"> </w:t>
      </w:r>
      <w:r w:rsidR="0043144B" w:rsidRPr="00D42E18">
        <w:rPr>
          <w:rFonts w:ascii="Times New Roman" w:hAnsi="Times New Roman"/>
        </w:rPr>
        <w:tab/>
      </w:r>
      <w:r w:rsidR="003A3A31" w:rsidRPr="00D42E18">
        <w:rPr>
          <w:rFonts w:ascii="Times New Roman" w:hAnsi="Times New Roman"/>
          <w:b/>
          <w:lang w:val="en-US"/>
        </w:rPr>
        <w:t>Unspecified consent</w:t>
      </w:r>
      <w:r w:rsidR="003A3A31" w:rsidRPr="00D42E18">
        <w:rPr>
          <w:rFonts w:ascii="Times New Roman" w:hAnsi="Times New Roman"/>
          <w:lang w:val="en-US"/>
        </w:rPr>
        <w:t xml:space="preserve"> should be selected when there will be </w:t>
      </w:r>
      <w:r w:rsidR="0043144B" w:rsidRPr="00D42E18">
        <w:rPr>
          <w:rFonts w:ascii="Times New Roman" w:hAnsi="Times New Roman"/>
          <w:lang w:val="en-US"/>
        </w:rPr>
        <w:t xml:space="preserve">a </w:t>
      </w:r>
      <w:r w:rsidR="003A3A31" w:rsidRPr="00D42E18">
        <w:rPr>
          <w:rFonts w:ascii="Times New Roman" w:hAnsi="Times New Roman"/>
          <w:lang w:val="en-US"/>
        </w:rPr>
        <w:t>need to use data or tissue in any future research. This also includes permission to enter original data or tissue into a data/tissue bank and needs to be clearly outlined to participants.</w:t>
      </w:r>
    </w:p>
    <w:p w14:paraId="401B722E" w14:textId="77777777" w:rsidR="00A94FE9" w:rsidRPr="00D42E18" w:rsidRDefault="00A94FE9" w:rsidP="00A94FE9">
      <w:pPr>
        <w:ind w:left="1440"/>
      </w:pPr>
    </w:p>
    <w:p w14:paraId="6B98E7D8" w14:textId="2BC0B1EF" w:rsidR="00A21B5F" w:rsidRPr="00D42E18" w:rsidRDefault="00A21B5F" w:rsidP="00A21B5F">
      <w:pPr>
        <w:tabs>
          <w:tab w:val="left" w:pos="993"/>
          <w:tab w:val="center" w:pos="4320"/>
          <w:tab w:val="right" w:pos="8640"/>
        </w:tabs>
        <w:ind w:left="720" w:hanging="720"/>
        <w:jc w:val="both"/>
      </w:pPr>
      <w:r w:rsidRPr="00D42E18">
        <w:rPr>
          <w:b/>
          <w:color w:val="7030A0"/>
        </w:rPr>
        <w:t>8.</w:t>
      </w:r>
      <w:r w:rsidR="0043144B" w:rsidRPr="00D42E18">
        <w:rPr>
          <w:b/>
          <w:color w:val="7030A0"/>
        </w:rPr>
        <w:t>2</w:t>
      </w:r>
      <w:r w:rsidR="007B0B1C" w:rsidRPr="00D42E18">
        <w:rPr>
          <w:b/>
          <w:color w:val="7030A0"/>
        </w:rPr>
        <w:t>.</w:t>
      </w:r>
      <w:r w:rsidRPr="00D42E18">
        <w:t xml:space="preserve"> </w:t>
      </w:r>
      <w:r w:rsidR="00A94FE9" w:rsidRPr="00D42E18">
        <w:tab/>
      </w:r>
      <w:r w:rsidRPr="00D42E18">
        <w:t>For prospective data collection, what information are you going to collect/gather?</w:t>
      </w:r>
    </w:p>
    <w:p w14:paraId="35397332" w14:textId="756BC265" w:rsidR="004A1D51" w:rsidRPr="00D42E18" w:rsidRDefault="004A1D51" w:rsidP="004A1D51">
      <w:pPr>
        <w:pStyle w:val="ListParagraph"/>
        <w:numPr>
          <w:ilvl w:val="0"/>
          <w:numId w:val="11"/>
        </w:numPr>
        <w:tabs>
          <w:tab w:val="left" w:pos="993"/>
          <w:tab w:val="center" w:pos="4320"/>
          <w:tab w:val="right" w:pos="8640"/>
        </w:tabs>
        <w:jc w:val="both"/>
        <w:rPr>
          <w:rFonts w:ascii="Times New Roman" w:hAnsi="Times New Roman"/>
          <w:lang w:val="en-US"/>
        </w:rPr>
      </w:pPr>
      <w:r w:rsidRPr="00D42E18">
        <w:rPr>
          <w:rFonts w:ascii="Times New Roman" w:hAnsi="Times New Roman"/>
        </w:rPr>
        <w:tab/>
      </w:r>
      <w:r w:rsidRPr="00D42E18">
        <w:rPr>
          <w:rFonts w:ascii="Times New Roman" w:hAnsi="Times New Roman"/>
          <w:b/>
          <w:bCs/>
          <w:i/>
          <w:iCs/>
          <w:lang w:val="en-US"/>
        </w:rPr>
        <w:t>Demographic variables</w:t>
      </w:r>
      <w:r w:rsidRPr="00D42E18">
        <w:rPr>
          <w:rFonts w:ascii="Times New Roman" w:hAnsi="Times New Roman"/>
          <w:lang w:val="en-US"/>
        </w:rPr>
        <w:t xml:space="preserve"> include time invariant (age, date of birth, gender, age at diagnosis) and time-variant (employment/school status, relationship/marital status,) information. </w:t>
      </w:r>
    </w:p>
    <w:p w14:paraId="7C75AAA4" w14:textId="4C57E9CD" w:rsidR="003A27C1" w:rsidRPr="00D42E18" w:rsidRDefault="003A27C1" w:rsidP="004A1D51">
      <w:pPr>
        <w:pStyle w:val="ListParagraph"/>
        <w:numPr>
          <w:ilvl w:val="0"/>
          <w:numId w:val="11"/>
        </w:numPr>
        <w:tabs>
          <w:tab w:val="left" w:pos="993"/>
          <w:tab w:val="center" w:pos="4320"/>
          <w:tab w:val="right" w:pos="8640"/>
        </w:tabs>
        <w:jc w:val="both"/>
        <w:rPr>
          <w:rFonts w:ascii="Times New Roman" w:hAnsi="Times New Roman"/>
          <w:b/>
          <w:bCs/>
          <w:i/>
          <w:iCs/>
          <w:lang w:val="en-US"/>
        </w:rPr>
      </w:pPr>
      <w:r w:rsidRPr="00D42E18">
        <w:rPr>
          <w:rFonts w:ascii="Times New Roman" w:hAnsi="Times New Roman"/>
          <w:b/>
          <w:bCs/>
          <w:i/>
          <w:iCs/>
          <w:lang w:val="en-US"/>
        </w:rPr>
        <w:t>Feasibility outcomes measures:</w:t>
      </w:r>
    </w:p>
    <w:p w14:paraId="79EBD054" w14:textId="65C47BAE" w:rsidR="003A27C1" w:rsidRPr="00D42E18" w:rsidRDefault="003A27C1" w:rsidP="003A27C1">
      <w:pPr>
        <w:pStyle w:val="ListParagraph"/>
        <w:numPr>
          <w:ilvl w:val="1"/>
          <w:numId w:val="11"/>
        </w:numPr>
        <w:tabs>
          <w:tab w:val="left" w:pos="993"/>
          <w:tab w:val="center" w:pos="4320"/>
          <w:tab w:val="right" w:pos="8640"/>
        </w:tabs>
        <w:jc w:val="both"/>
        <w:rPr>
          <w:rFonts w:ascii="Times New Roman" w:hAnsi="Times New Roman"/>
          <w:lang w:val="en-US"/>
        </w:rPr>
      </w:pPr>
      <w:r w:rsidRPr="00D42E18">
        <w:rPr>
          <w:rFonts w:ascii="Times New Roman" w:hAnsi="Times New Roman"/>
          <w:lang w:val="en-US"/>
        </w:rPr>
        <w:t>Assessing recruitment feasibility</w:t>
      </w:r>
      <w:r w:rsidR="00FF5F53" w:rsidRPr="00D42E18">
        <w:rPr>
          <w:rFonts w:ascii="Times New Roman" w:hAnsi="Times New Roman"/>
          <w:lang w:val="en-US"/>
        </w:rPr>
        <w:t>:</w:t>
      </w:r>
      <w:r w:rsidR="00FF5F53" w:rsidRPr="00D42E18">
        <w:rPr>
          <w:rFonts w:ascii="Times New Roman" w:hAnsi="Times New Roman"/>
        </w:rPr>
        <w:t xml:space="preserve"> </w:t>
      </w:r>
      <w:r w:rsidR="00FF5F53" w:rsidRPr="00D42E18">
        <w:rPr>
          <w:rFonts w:ascii="Times New Roman" w:hAnsi="Times New Roman"/>
          <w:lang w:val="en-US"/>
        </w:rPr>
        <w:t>Recruitment feasibility will be examined through</w:t>
      </w:r>
      <w:r w:rsidR="007E18D8" w:rsidRPr="00D42E18">
        <w:rPr>
          <w:rFonts w:ascii="Times New Roman" w:hAnsi="Times New Roman"/>
          <w:lang w:val="en-US"/>
        </w:rPr>
        <w:t xml:space="preserve"> detailed tracking of recruitment processes, including number of targeted emails sent, number of views, retweets and shares.</w:t>
      </w:r>
    </w:p>
    <w:p w14:paraId="66A42C7C" w14:textId="2DF0A7DC" w:rsidR="003A27C1" w:rsidRPr="00D42E18" w:rsidRDefault="003A27C1" w:rsidP="003A27C1">
      <w:pPr>
        <w:pStyle w:val="ListParagraph"/>
        <w:numPr>
          <w:ilvl w:val="1"/>
          <w:numId w:val="11"/>
        </w:numPr>
        <w:tabs>
          <w:tab w:val="left" w:pos="993"/>
          <w:tab w:val="center" w:pos="4320"/>
          <w:tab w:val="right" w:pos="8640"/>
        </w:tabs>
        <w:jc w:val="both"/>
        <w:rPr>
          <w:rFonts w:ascii="Times New Roman" w:hAnsi="Times New Roman"/>
          <w:lang w:val="en-US"/>
        </w:rPr>
      </w:pPr>
      <w:r w:rsidRPr="00D42E18">
        <w:rPr>
          <w:rFonts w:ascii="Times New Roman" w:hAnsi="Times New Roman"/>
          <w:lang w:val="en-US"/>
        </w:rPr>
        <w:t>Assessing retention</w:t>
      </w:r>
      <w:r w:rsidR="00ED662F" w:rsidRPr="00D42E18">
        <w:rPr>
          <w:rFonts w:ascii="Times New Roman" w:hAnsi="Times New Roman"/>
          <w:lang w:val="en-US"/>
        </w:rPr>
        <w:t xml:space="preserve"> and </w:t>
      </w:r>
      <w:r w:rsidR="00D67632" w:rsidRPr="00D42E18">
        <w:rPr>
          <w:rFonts w:ascii="Times New Roman" w:hAnsi="Times New Roman"/>
          <w:lang w:val="en-US"/>
        </w:rPr>
        <w:t>participation</w:t>
      </w:r>
      <w:r w:rsidR="008469D0" w:rsidRPr="00D42E18">
        <w:rPr>
          <w:rFonts w:ascii="Times New Roman" w:hAnsi="Times New Roman"/>
          <w:lang w:val="en-US"/>
        </w:rPr>
        <w:t>:</w:t>
      </w:r>
      <w:r w:rsidR="00ED662F" w:rsidRPr="00D42E18">
        <w:rPr>
          <w:rFonts w:ascii="Times New Roman" w:hAnsi="Times New Roman"/>
        </w:rPr>
        <w:t xml:space="preserve"> </w:t>
      </w:r>
      <w:r w:rsidR="00ED662F" w:rsidRPr="00D42E18">
        <w:rPr>
          <w:rFonts w:ascii="Times New Roman" w:hAnsi="Times New Roman"/>
          <w:lang w:val="en-US"/>
        </w:rPr>
        <w:t>Retention rate w</w:t>
      </w:r>
      <w:r w:rsidR="00D67632" w:rsidRPr="00D42E18">
        <w:rPr>
          <w:rFonts w:ascii="Times New Roman" w:hAnsi="Times New Roman"/>
          <w:lang w:val="en-US"/>
        </w:rPr>
        <w:t>ill be</w:t>
      </w:r>
      <w:r w:rsidR="00ED662F" w:rsidRPr="00D42E18">
        <w:rPr>
          <w:rFonts w:ascii="Times New Roman" w:hAnsi="Times New Roman"/>
          <w:lang w:val="en-US"/>
        </w:rPr>
        <w:t xml:space="preserve"> estimated by number of participants completing post-</w:t>
      </w:r>
      <w:r w:rsidR="006F4051">
        <w:rPr>
          <w:rFonts w:ascii="Times New Roman" w:hAnsi="Times New Roman"/>
          <w:lang w:val="en-US"/>
        </w:rPr>
        <w:t>program</w:t>
      </w:r>
      <w:r w:rsidR="00ED662F" w:rsidRPr="00D42E18">
        <w:rPr>
          <w:rFonts w:ascii="Times New Roman" w:hAnsi="Times New Roman"/>
          <w:lang w:val="en-US"/>
        </w:rPr>
        <w:t xml:space="preserve"> measures.</w:t>
      </w:r>
      <w:r w:rsidR="00711BC7" w:rsidRPr="00D42E18">
        <w:rPr>
          <w:rFonts w:ascii="Times New Roman" w:hAnsi="Times New Roman"/>
          <w:lang w:val="en-US"/>
        </w:rPr>
        <w:t xml:space="preserve"> Participation data will be collected from traffic source analysis</w:t>
      </w:r>
      <w:r w:rsidR="008D2730" w:rsidRPr="00D42E18">
        <w:rPr>
          <w:rFonts w:ascii="Times New Roman" w:hAnsi="Times New Roman"/>
          <w:lang w:val="en-US"/>
        </w:rPr>
        <w:t xml:space="preserve"> </w:t>
      </w:r>
      <w:r w:rsidR="00711BC7" w:rsidRPr="00D42E18">
        <w:rPr>
          <w:rFonts w:ascii="Times New Roman" w:hAnsi="Times New Roman"/>
          <w:lang w:val="en-US"/>
        </w:rPr>
        <w:t>performed using Google Analytics (http://www.google.com/analytics), an integral feature of Google.</w:t>
      </w:r>
    </w:p>
    <w:p w14:paraId="570C548D" w14:textId="77777777" w:rsidR="00314FDA" w:rsidRPr="00D42E18" w:rsidRDefault="003A27C1" w:rsidP="00314FDA">
      <w:pPr>
        <w:pStyle w:val="ListParagraph"/>
        <w:numPr>
          <w:ilvl w:val="1"/>
          <w:numId w:val="11"/>
        </w:numPr>
        <w:tabs>
          <w:tab w:val="left" w:pos="993"/>
          <w:tab w:val="center" w:pos="4320"/>
          <w:tab w:val="right" w:pos="8640"/>
        </w:tabs>
        <w:jc w:val="both"/>
        <w:rPr>
          <w:rFonts w:ascii="Times New Roman" w:hAnsi="Times New Roman"/>
          <w:lang w:val="en-US"/>
        </w:rPr>
      </w:pPr>
      <w:r w:rsidRPr="00D42E18">
        <w:rPr>
          <w:rFonts w:ascii="Times New Roman" w:hAnsi="Times New Roman"/>
          <w:lang w:val="en-US"/>
        </w:rPr>
        <w:t xml:space="preserve">Assessing participant satisfaction: </w:t>
      </w:r>
      <w:r w:rsidR="00314FDA" w:rsidRPr="00D42E18">
        <w:rPr>
          <w:rFonts w:ascii="Times New Roman" w:hAnsi="Times New Roman"/>
          <w:lang w:val="en-US"/>
        </w:rPr>
        <w:t xml:space="preserve">This will include a satisfaction survey consisting of five items, including ease of navigation, meaningfulness, usefulness in improving general well-being, ability to gain mindful awareness, and whether the web-based platform is challenging with a 4-point Likert-scale response ranging from agree completely to disagree with an option for open-ended response text. </w:t>
      </w:r>
    </w:p>
    <w:p w14:paraId="2196FAAE" w14:textId="61F3C0D8" w:rsidR="00314FDA" w:rsidRPr="00D42E18" w:rsidRDefault="00314FDA" w:rsidP="00314FDA">
      <w:pPr>
        <w:pStyle w:val="ListParagraph"/>
        <w:numPr>
          <w:ilvl w:val="0"/>
          <w:numId w:val="11"/>
        </w:numPr>
        <w:rPr>
          <w:rFonts w:ascii="Times New Roman" w:hAnsi="Times New Roman"/>
          <w:b/>
          <w:bCs/>
          <w:i/>
          <w:iCs/>
          <w:lang w:val="en-US"/>
        </w:rPr>
      </w:pPr>
      <w:r w:rsidRPr="00D42E18">
        <w:rPr>
          <w:rFonts w:ascii="Times New Roman" w:hAnsi="Times New Roman"/>
          <w:b/>
          <w:bCs/>
          <w:i/>
          <w:iCs/>
          <w:lang w:val="en-US"/>
        </w:rPr>
        <w:t>Self-reported psychosocial outcomes</w:t>
      </w:r>
    </w:p>
    <w:p w14:paraId="03C04347" w14:textId="16EBA95C" w:rsidR="00275B97" w:rsidRDefault="00351180" w:rsidP="000806DE">
      <w:pPr>
        <w:pStyle w:val="ListParagraph"/>
        <w:numPr>
          <w:ilvl w:val="1"/>
          <w:numId w:val="11"/>
        </w:numPr>
        <w:rPr>
          <w:rFonts w:ascii="Times New Roman" w:hAnsi="Times New Roman"/>
          <w:lang w:val="en-US"/>
        </w:rPr>
      </w:pPr>
      <w:bookmarkStart w:id="2" w:name="_Hlk104895185"/>
      <w:r w:rsidRPr="000806DE">
        <w:rPr>
          <w:rFonts w:ascii="Times New Roman" w:hAnsi="Times New Roman"/>
          <w:lang w:val="en-US"/>
        </w:rPr>
        <w:t xml:space="preserve">Mindful Attention Awareness Scales (MAAS): MAAS adult version </w:t>
      </w:r>
      <w:bookmarkEnd w:id="2"/>
      <w:r w:rsidR="005567E6">
        <w:rPr>
          <w:rFonts w:ascii="Times New Roman" w:hAnsi="Times New Roman"/>
          <w:lang w:val="en-US"/>
        </w:rPr>
        <w:t xml:space="preserve">will be used for participants between the ages of 18-30 years which </w:t>
      </w:r>
      <w:r w:rsidRPr="000806DE">
        <w:rPr>
          <w:rFonts w:ascii="Times New Roman" w:hAnsi="Times New Roman"/>
          <w:lang w:val="en-US"/>
        </w:rPr>
        <w:t xml:space="preserve">has 15 items and adolescent </w:t>
      </w:r>
      <w:r w:rsidR="005567E6" w:rsidRPr="000806DE">
        <w:rPr>
          <w:rFonts w:ascii="Times New Roman" w:hAnsi="Times New Roman"/>
          <w:lang w:val="en-US"/>
        </w:rPr>
        <w:t xml:space="preserve">version </w:t>
      </w:r>
      <w:r w:rsidR="005567E6">
        <w:rPr>
          <w:rFonts w:ascii="Times New Roman" w:hAnsi="Times New Roman"/>
          <w:lang w:val="en-US"/>
        </w:rPr>
        <w:t xml:space="preserve">with 14 items will be used for participants between the ages of </w:t>
      </w:r>
      <w:r w:rsidRPr="000806DE">
        <w:rPr>
          <w:rFonts w:ascii="Times New Roman" w:hAnsi="Times New Roman"/>
          <w:lang w:val="en-US"/>
        </w:rPr>
        <w:t>15-17 years</w:t>
      </w:r>
      <w:r w:rsidR="005567E6">
        <w:rPr>
          <w:rFonts w:ascii="Times New Roman" w:hAnsi="Times New Roman"/>
          <w:lang w:val="en-US"/>
        </w:rPr>
        <w:t xml:space="preserve"> </w:t>
      </w:r>
      <w:r w:rsidR="00314FDA" w:rsidRPr="000806DE">
        <w:rPr>
          <w:rFonts w:ascii="Times New Roman" w:hAnsi="Times New Roman"/>
          <w:lang w:val="en-US"/>
        </w:rPr>
        <w:t xml:space="preserve">to explore </w:t>
      </w:r>
      <w:r w:rsidR="000806DE" w:rsidRPr="000806DE">
        <w:rPr>
          <w:rFonts w:ascii="Times New Roman" w:hAnsi="Times New Roman"/>
          <w:lang w:val="en-US"/>
        </w:rPr>
        <w:t>self-report measure of trait mindfulness</w:t>
      </w:r>
      <w:r w:rsidR="00314FDA" w:rsidRPr="000806DE">
        <w:rPr>
          <w:rFonts w:ascii="Times New Roman" w:hAnsi="Times New Roman"/>
          <w:lang w:val="en-US"/>
        </w:rPr>
        <w:t xml:space="preserve">.  </w:t>
      </w:r>
      <w:r w:rsidR="000806DE" w:rsidRPr="000806DE">
        <w:rPr>
          <w:rFonts w:ascii="Times New Roman" w:hAnsi="Times New Roman"/>
          <w:lang w:val="en-US"/>
        </w:rPr>
        <w:t xml:space="preserve">Tool demonstrates good </w:t>
      </w:r>
      <w:r w:rsidR="00314FDA" w:rsidRPr="000806DE">
        <w:rPr>
          <w:rFonts w:ascii="Times New Roman" w:hAnsi="Times New Roman"/>
          <w:lang w:val="en-US"/>
        </w:rPr>
        <w:t xml:space="preserve">Internal </w:t>
      </w:r>
      <w:r w:rsidR="000806DE" w:rsidRPr="000806DE">
        <w:rPr>
          <w:rFonts w:ascii="Times New Roman" w:hAnsi="Times New Roman"/>
          <w:lang w:val="en-US"/>
        </w:rPr>
        <w:t xml:space="preserve">reliability of </w:t>
      </w:r>
      <w:r w:rsidR="00275B97" w:rsidRPr="000806DE">
        <w:rPr>
          <w:rFonts w:ascii="Times New Roman" w:hAnsi="Times New Roman"/>
          <w:lang w:val="en-US"/>
        </w:rPr>
        <w:t>(α = .82–.84</w:t>
      </w:r>
      <w:r w:rsidR="00275B97">
        <w:rPr>
          <w:rFonts w:ascii="Times New Roman" w:hAnsi="Times New Roman"/>
          <w:lang w:val="en-US"/>
        </w:rPr>
        <w:t xml:space="preserve"> for </w:t>
      </w:r>
      <w:r w:rsidR="000806DE" w:rsidRPr="000806DE">
        <w:rPr>
          <w:rFonts w:ascii="Times New Roman" w:hAnsi="Times New Roman"/>
          <w:lang w:val="en-US"/>
        </w:rPr>
        <w:t>MAAS-A</w:t>
      </w:r>
      <w:r w:rsidR="000806DE">
        <w:rPr>
          <w:rFonts w:ascii="Times New Roman" w:hAnsi="Times New Roman"/>
          <w:lang w:val="en-US"/>
        </w:rPr>
        <w:t>dolescent version</w:t>
      </w:r>
      <w:r w:rsidR="00275B97">
        <w:rPr>
          <w:rFonts w:ascii="Times New Roman" w:hAnsi="Times New Roman"/>
          <w:lang w:val="en-US"/>
        </w:rPr>
        <w:t xml:space="preserve"> </w:t>
      </w:r>
      <w:r w:rsidR="000806DE" w:rsidRPr="000806DE">
        <w:rPr>
          <w:rFonts w:ascii="Times New Roman" w:hAnsi="Times New Roman"/>
          <w:lang w:val="en-US"/>
        </w:rPr>
        <w:t>and good internal reliability</w:t>
      </w:r>
      <w:r w:rsidR="000806DE">
        <w:rPr>
          <w:rFonts w:ascii="Times New Roman" w:hAnsi="Times New Roman"/>
          <w:lang w:val="en-US"/>
        </w:rPr>
        <w:t xml:space="preserve"> </w:t>
      </w:r>
      <w:r w:rsidR="000806DE" w:rsidRPr="000806DE">
        <w:rPr>
          <w:rFonts w:ascii="Times New Roman" w:hAnsi="Times New Roman"/>
          <w:lang w:val="en-US"/>
        </w:rPr>
        <w:t>(α = .86)</w:t>
      </w:r>
      <w:r w:rsidR="00275B97">
        <w:rPr>
          <w:rFonts w:ascii="Times New Roman" w:hAnsi="Times New Roman"/>
          <w:lang w:val="en-US"/>
        </w:rPr>
        <w:t xml:space="preserve"> for adult version.</w:t>
      </w:r>
    </w:p>
    <w:p w14:paraId="32E71A6F" w14:textId="6AC2A438" w:rsidR="00F35CE3" w:rsidRPr="00F35CE3" w:rsidRDefault="00F35CE3" w:rsidP="00F35CE3">
      <w:pPr>
        <w:pStyle w:val="ListParagraph"/>
        <w:numPr>
          <w:ilvl w:val="1"/>
          <w:numId w:val="11"/>
        </w:numPr>
        <w:tabs>
          <w:tab w:val="left" w:pos="993"/>
          <w:tab w:val="center" w:pos="4320"/>
          <w:tab w:val="right" w:pos="8640"/>
        </w:tabs>
        <w:jc w:val="both"/>
        <w:rPr>
          <w:rFonts w:ascii="Times New Roman" w:hAnsi="Times New Roman"/>
          <w:lang w:val="en-US"/>
        </w:rPr>
      </w:pPr>
      <w:bookmarkStart w:id="3" w:name="_Hlk104895792"/>
      <w:r w:rsidRPr="00F35CE3">
        <w:rPr>
          <w:rFonts w:ascii="Times New Roman" w:hAnsi="Times New Roman"/>
          <w:lang w:val="en-US"/>
        </w:rPr>
        <w:t xml:space="preserve">Quality of life. The single-item Ladder of Life, </w:t>
      </w:r>
      <w:r w:rsidR="000D6606">
        <w:rPr>
          <w:rFonts w:ascii="Times New Roman" w:hAnsi="Times New Roman"/>
          <w:lang w:val="en-US"/>
        </w:rPr>
        <w:t xml:space="preserve">used to measure general life satisfaction. The scale asks </w:t>
      </w:r>
      <w:r w:rsidRPr="00F35CE3">
        <w:rPr>
          <w:rFonts w:ascii="Times New Roman" w:hAnsi="Times New Roman"/>
          <w:lang w:val="en-US"/>
        </w:rPr>
        <w:t>participants to rate their QOL on a 10-point Likert scale (1 = worst imaginable–10 = perfect).</w:t>
      </w:r>
    </w:p>
    <w:p w14:paraId="6A94BEDB" w14:textId="0C22ECE7" w:rsidR="00583235" w:rsidRPr="00D42E18" w:rsidRDefault="004A1D51" w:rsidP="00F35CE3">
      <w:pPr>
        <w:pStyle w:val="ListParagraph"/>
        <w:numPr>
          <w:ilvl w:val="1"/>
          <w:numId w:val="11"/>
        </w:numPr>
        <w:tabs>
          <w:tab w:val="left" w:pos="993"/>
          <w:tab w:val="center" w:pos="4320"/>
          <w:tab w:val="right" w:pos="8640"/>
        </w:tabs>
        <w:jc w:val="both"/>
        <w:rPr>
          <w:rFonts w:ascii="Times New Roman" w:hAnsi="Times New Roman"/>
          <w:lang w:val="en-US"/>
        </w:rPr>
      </w:pPr>
      <w:r w:rsidRPr="00D42E18">
        <w:rPr>
          <w:rFonts w:ascii="Times New Roman" w:hAnsi="Times New Roman"/>
          <w:lang w:val="en-US"/>
        </w:rPr>
        <w:t xml:space="preserve">Patient Health Questionnaire-2 </w:t>
      </w:r>
      <w:bookmarkEnd w:id="3"/>
      <w:r w:rsidRPr="00D42E18">
        <w:rPr>
          <w:rFonts w:ascii="Times New Roman" w:hAnsi="Times New Roman"/>
          <w:lang w:val="en-US"/>
        </w:rPr>
        <w:t>(PHQ-2) will be used to assess the depression symptoms during the past 7 days. Each item on the measure is rated on a 4-point scale (0=Not at all; 1=several days; 2=More than half the days; and 3=nearly every day). The total score can range from 0 to 27, with higher scores indicating greater severity of depression.</w:t>
      </w:r>
    </w:p>
    <w:p w14:paraId="64033BCF" w14:textId="424DBF0A" w:rsidR="00A21B5F" w:rsidRPr="00D42E18" w:rsidRDefault="00583235" w:rsidP="00583235">
      <w:pPr>
        <w:pStyle w:val="ListParagraph"/>
        <w:numPr>
          <w:ilvl w:val="1"/>
          <w:numId w:val="11"/>
        </w:numPr>
        <w:tabs>
          <w:tab w:val="left" w:pos="993"/>
          <w:tab w:val="center" w:pos="4320"/>
          <w:tab w:val="right" w:pos="8640"/>
        </w:tabs>
        <w:jc w:val="both"/>
        <w:rPr>
          <w:rFonts w:ascii="Times New Roman" w:hAnsi="Times New Roman"/>
          <w:lang w:val="en-US"/>
        </w:rPr>
      </w:pPr>
      <w:bookmarkStart w:id="4" w:name="_Hlk104895826"/>
      <w:r w:rsidRPr="00D42E18">
        <w:rPr>
          <w:rFonts w:ascii="Times New Roman" w:hAnsi="Times New Roman"/>
        </w:rPr>
        <w:t xml:space="preserve">Kessler Psychological </w:t>
      </w:r>
      <w:r w:rsidR="00264A7B">
        <w:rPr>
          <w:rFonts w:ascii="Times New Roman" w:hAnsi="Times New Roman"/>
        </w:rPr>
        <w:t xml:space="preserve">Distress Scale (K10). </w:t>
      </w:r>
      <w:bookmarkEnd w:id="4"/>
      <w:r w:rsidRPr="00D42E18">
        <w:rPr>
          <w:rFonts w:ascii="Times New Roman" w:hAnsi="Times New Roman"/>
        </w:rPr>
        <w:t xml:space="preserve">This scale measures psychological distress over the previous month and has been shown to be useful in capturing general distress and predictive distress in an Australian sample (n = 2967) of </w:t>
      </w:r>
      <w:r w:rsidR="003100CA" w:rsidRPr="00D42E18">
        <w:rPr>
          <w:rFonts w:ascii="Times New Roman" w:hAnsi="Times New Roman"/>
        </w:rPr>
        <w:t xml:space="preserve">young </w:t>
      </w:r>
      <w:r w:rsidR="00D42E18" w:rsidRPr="00D42E18">
        <w:rPr>
          <w:rFonts w:ascii="Times New Roman" w:hAnsi="Times New Roman"/>
        </w:rPr>
        <w:t>people.</w:t>
      </w:r>
      <w:r w:rsidR="002A3839" w:rsidRPr="002A3839">
        <w:t xml:space="preserve"> </w:t>
      </w:r>
      <w:r w:rsidR="002A3839" w:rsidRPr="002A3839">
        <w:rPr>
          <w:rFonts w:ascii="Times New Roman" w:hAnsi="Times New Roman"/>
        </w:rPr>
        <w:t>The K10 has high internal consistency (a = 0.93).</w:t>
      </w:r>
    </w:p>
    <w:p w14:paraId="6B1A553B" w14:textId="77777777" w:rsidR="00A21B5F" w:rsidRPr="00D42E18" w:rsidRDefault="00A21B5F" w:rsidP="00A21B5F">
      <w:pPr>
        <w:tabs>
          <w:tab w:val="left" w:pos="993"/>
          <w:tab w:val="center" w:pos="4320"/>
          <w:tab w:val="right" w:pos="8640"/>
        </w:tabs>
        <w:ind w:left="720" w:hanging="720"/>
        <w:jc w:val="both"/>
      </w:pPr>
    </w:p>
    <w:p w14:paraId="6C449AE3" w14:textId="42DA8B80" w:rsidR="00A21B5F" w:rsidRPr="00D42E18" w:rsidRDefault="00A21B5F" w:rsidP="00A21B5F">
      <w:pPr>
        <w:tabs>
          <w:tab w:val="left" w:pos="993"/>
          <w:tab w:val="center" w:pos="4320"/>
          <w:tab w:val="right" w:pos="8640"/>
        </w:tabs>
        <w:ind w:left="720" w:hanging="720"/>
        <w:jc w:val="both"/>
      </w:pPr>
      <w:r w:rsidRPr="00D42E18">
        <w:rPr>
          <w:b/>
          <w:color w:val="582C83"/>
        </w:rPr>
        <w:t>8.</w:t>
      </w:r>
      <w:r w:rsidR="0043144B" w:rsidRPr="00D42E18">
        <w:rPr>
          <w:b/>
          <w:color w:val="582C83"/>
        </w:rPr>
        <w:t>3</w:t>
      </w:r>
      <w:r w:rsidR="007B0B1C" w:rsidRPr="00D42E18">
        <w:rPr>
          <w:b/>
          <w:color w:val="582C83"/>
        </w:rPr>
        <w:t>.</w:t>
      </w:r>
      <w:r w:rsidR="00A94FE9" w:rsidRPr="00D42E18">
        <w:t xml:space="preserve"> </w:t>
      </w:r>
      <w:r w:rsidR="00A94FE9" w:rsidRPr="00D42E18">
        <w:tab/>
      </w:r>
      <w:r w:rsidRPr="00D42E18">
        <w:t xml:space="preserve">How will you measure, manipulate and/or </w:t>
      </w:r>
      <w:proofErr w:type="spellStart"/>
      <w:r w:rsidRPr="00D42E18">
        <w:t>analyse</w:t>
      </w:r>
      <w:proofErr w:type="spellEnd"/>
      <w:r w:rsidRPr="00D42E18">
        <w:t xml:space="preserve"> the information that you collect/gather? When relevant include matching and sampling </w:t>
      </w:r>
      <w:r w:rsidR="00DB6508" w:rsidRPr="00D42E18">
        <w:t>strategies,</w:t>
      </w:r>
      <w:r w:rsidRPr="00D42E18">
        <w:t xml:space="preserve"> accounting for potential bias, confounding factors and missing information. Providing just the name of the software program is not enough information.</w:t>
      </w:r>
    </w:p>
    <w:p w14:paraId="7978C928" w14:textId="68E86ECE" w:rsidR="008469D0" w:rsidRPr="00D42E18" w:rsidRDefault="008469D0" w:rsidP="008469D0">
      <w:pPr>
        <w:pStyle w:val="ListParagraph"/>
        <w:numPr>
          <w:ilvl w:val="0"/>
          <w:numId w:val="12"/>
        </w:numPr>
        <w:tabs>
          <w:tab w:val="left" w:pos="993"/>
          <w:tab w:val="center" w:pos="4320"/>
          <w:tab w:val="right" w:pos="8640"/>
        </w:tabs>
        <w:jc w:val="both"/>
        <w:rPr>
          <w:rFonts w:ascii="Times New Roman" w:hAnsi="Times New Roman"/>
        </w:rPr>
      </w:pPr>
      <w:r w:rsidRPr="00D42E18">
        <w:rPr>
          <w:rFonts w:ascii="Times New Roman" w:hAnsi="Times New Roman"/>
        </w:rPr>
        <w:t>Social media influence will be calculated using the ‘Klout Score’. Klout (Klout Inc, San Francisco, US) is a free online social media analytics tool used to rank users according to their online social influence by means of their proprietary Klout Score. This is a numerical value between 1 and 100, measured using access- and analysis related metrics from linked social media accounts in the preceding 90 days. These may include follower counts, retweets and the influence of</w:t>
      </w:r>
      <w:r w:rsidR="00583235" w:rsidRPr="00D42E18">
        <w:rPr>
          <w:rFonts w:ascii="Times New Roman" w:hAnsi="Times New Roman"/>
        </w:rPr>
        <w:t xml:space="preserve"> </w:t>
      </w:r>
      <w:r w:rsidRPr="00D42E18">
        <w:rPr>
          <w:rFonts w:ascii="Times New Roman" w:hAnsi="Times New Roman"/>
        </w:rPr>
        <w:t>the users who retweet your own messages.</w:t>
      </w:r>
    </w:p>
    <w:p w14:paraId="5E5B4AEA" w14:textId="5CCB2D8C" w:rsidR="008D2730" w:rsidRPr="00D42E18" w:rsidRDefault="008469D0" w:rsidP="00A21B5F">
      <w:pPr>
        <w:pStyle w:val="ListParagraph"/>
        <w:numPr>
          <w:ilvl w:val="0"/>
          <w:numId w:val="12"/>
        </w:numPr>
        <w:tabs>
          <w:tab w:val="left" w:pos="993"/>
          <w:tab w:val="center" w:pos="4320"/>
          <w:tab w:val="right" w:pos="8640"/>
        </w:tabs>
        <w:jc w:val="both"/>
        <w:rPr>
          <w:rFonts w:ascii="Times New Roman" w:hAnsi="Times New Roman"/>
        </w:rPr>
      </w:pPr>
      <w:r w:rsidRPr="00D42E18">
        <w:rPr>
          <w:rFonts w:ascii="Times New Roman" w:hAnsi="Times New Roman"/>
        </w:rPr>
        <w:t xml:space="preserve">Frequencies will be used to examine the retention rate of </w:t>
      </w:r>
      <w:r w:rsidR="00BD63D2" w:rsidRPr="00D42E18">
        <w:rPr>
          <w:rFonts w:ascii="Times New Roman" w:hAnsi="Times New Roman"/>
        </w:rPr>
        <w:t>post-test</w:t>
      </w:r>
      <w:r w:rsidRPr="00D42E18">
        <w:rPr>
          <w:rFonts w:ascii="Times New Roman" w:hAnsi="Times New Roman"/>
        </w:rPr>
        <w:t xml:space="preserve"> completion in study group and </w:t>
      </w:r>
      <w:r w:rsidR="00ED662F" w:rsidRPr="00D42E18">
        <w:rPr>
          <w:rFonts w:ascii="Times New Roman" w:hAnsi="Times New Roman"/>
        </w:rPr>
        <w:t>waitlist control group</w:t>
      </w:r>
      <w:r w:rsidR="00711BC7" w:rsidRPr="00D42E18">
        <w:rPr>
          <w:rFonts w:ascii="Times New Roman" w:hAnsi="Times New Roman"/>
        </w:rPr>
        <w:t xml:space="preserve"> and google analytics data including time spent in each module and in activities.</w:t>
      </w:r>
    </w:p>
    <w:p w14:paraId="1EF6EA62" w14:textId="5D6196F4" w:rsidR="00A21B5F" w:rsidRPr="00D42E18" w:rsidRDefault="008D2730" w:rsidP="00A21B5F">
      <w:pPr>
        <w:pStyle w:val="ListParagraph"/>
        <w:numPr>
          <w:ilvl w:val="0"/>
          <w:numId w:val="12"/>
        </w:numPr>
        <w:tabs>
          <w:tab w:val="left" w:pos="993"/>
          <w:tab w:val="center" w:pos="4320"/>
          <w:tab w:val="right" w:pos="8640"/>
        </w:tabs>
        <w:jc w:val="both"/>
        <w:rPr>
          <w:rFonts w:ascii="Times New Roman" w:hAnsi="Times New Roman"/>
        </w:rPr>
      </w:pPr>
      <w:r w:rsidRPr="00D42E18">
        <w:rPr>
          <w:rFonts w:ascii="Times New Roman" w:hAnsi="Times New Roman"/>
        </w:rPr>
        <w:t>Paired t tests will be conducted to examine pre-post differences in the psychosocial outcomes of interest, and Cohen’s d effect sizes and confidence intervals will be calculated to examine the effect size of any changes</w:t>
      </w:r>
      <w:r w:rsidR="00D42E18">
        <w:rPr>
          <w:rFonts w:ascii="Times New Roman" w:hAnsi="Times New Roman"/>
        </w:rPr>
        <w:t xml:space="preserve"> in</w:t>
      </w:r>
      <w:r w:rsidRPr="00D42E18">
        <w:rPr>
          <w:rFonts w:ascii="Times New Roman" w:hAnsi="Times New Roman"/>
        </w:rPr>
        <w:t xml:space="preserve"> mindfulness, quality of life, </w:t>
      </w:r>
      <w:r w:rsidR="00D42E18">
        <w:rPr>
          <w:rFonts w:ascii="Times New Roman" w:hAnsi="Times New Roman"/>
        </w:rPr>
        <w:t>stress and depressive symptoms.</w:t>
      </w:r>
    </w:p>
    <w:p w14:paraId="018A6515" w14:textId="08C21C3F" w:rsidR="00A21B5F" w:rsidRPr="00D42E18" w:rsidRDefault="00A21B5F" w:rsidP="00A21B5F">
      <w:pPr>
        <w:tabs>
          <w:tab w:val="left" w:pos="993"/>
          <w:tab w:val="center" w:pos="4320"/>
          <w:tab w:val="right" w:pos="8640"/>
        </w:tabs>
        <w:ind w:left="720" w:hanging="720"/>
        <w:jc w:val="both"/>
      </w:pPr>
      <w:r w:rsidRPr="00D42E18">
        <w:rPr>
          <w:b/>
          <w:color w:val="582C83"/>
        </w:rPr>
        <w:t>8.</w:t>
      </w:r>
      <w:r w:rsidR="0043144B" w:rsidRPr="00D42E18">
        <w:rPr>
          <w:b/>
          <w:color w:val="582C83"/>
        </w:rPr>
        <w:t>4</w:t>
      </w:r>
      <w:r w:rsidR="007B0B1C" w:rsidRPr="00D42E18">
        <w:t>.</w:t>
      </w:r>
      <w:r w:rsidR="00A94FE9" w:rsidRPr="00D42E18">
        <w:tab/>
      </w:r>
      <w:r w:rsidRPr="00D42E18">
        <w:t xml:space="preserve">Are any Data Linkages planned or anticipated? If yes, please describe. See </w:t>
      </w:r>
      <w:hyperlink r:id="rId11" w:history="1">
        <w:r w:rsidRPr="00D42E18">
          <w:rPr>
            <w:rStyle w:val="Hyperlink"/>
          </w:rPr>
          <w:t>Guidance sheet</w:t>
        </w:r>
      </w:hyperlink>
      <w:r w:rsidRPr="00D42E18">
        <w:t xml:space="preserve"> for more information.</w:t>
      </w:r>
    </w:p>
    <w:p w14:paraId="355481F0" w14:textId="3AFB2058" w:rsidR="00A21B5F" w:rsidRPr="00D42E18" w:rsidRDefault="004A1D51" w:rsidP="004A1D51">
      <w:pPr>
        <w:tabs>
          <w:tab w:val="left" w:pos="993"/>
          <w:tab w:val="center" w:pos="4320"/>
          <w:tab w:val="right" w:pos="8640"/>
        </w:tabs>
        <w:ind w:left="720"/>
        <w:jc w:val="both"/>
      </w:pPr>
      <w:r w:rsidRPr="00D42E18">
        <w:t>Yes, pre and post-test questionnaires will need to be matched at two points so we will request DOB, Age, Postcode, Diagnosis Date/Age at the start of both sets of questionnaires.</w:t>
      </w:r>
    </w:p>
    <w:p w14:paraId="0609AD95" w14:textId="77777777" w:rsidR="00A21B5F" w:rsidRPr="00D42E18" w:rsidRDefault="00A21B5F" w:rsidP="00A21B5F">
      <w:pPr>
        <w:tabs>
          <w:tab w:val="left" w:pos="993"/>
          <w:tab w:val="center" w:pos="4320"/>
          <w:tab w:val="right" w:pos="8640"/>
        </w:tabs>
        <w:jc w:val="both"/>
        <w:rPr>
          <w:color w:val="FF0000"/>
        </w:rPr>
      </w:pPr>
    </w:p>
    <w:p w14:paraId="3C54E07E" w14:textId="77777777" w:rsidR="00A21B5F" w:rsidRPr="00D42E18" w:rsidRDefault="00A21B5F" w:rsidP="00A21B5F">
      <w:pPr>
        <w:pBdr>
          <w:top w:val="single" w:sz="4" w:space="1" w:color="auto"/>
          <w:left w:val="single" w:sz="4" w:space="4" w:color="auto"/>
          <w:bottom w:val="single" w:sz="4" w:space="1" w:color="auto"/>
          <w:right w:val="single" w:sz="4" w:space="4" w:color="auto"/>
        </w:pBdr>
        <w:shd w:val="clear" w:color="auto" w:fill="BFBFBF"/>
        <w:jc w:val="both"/>
      </w:pPr>
      <w:r w:rsidRPr="00D42E18">
        <w:t>Section 9: Results, Outcomes and Future Plans</w:t>
      </w:r>
    </w:p>
    <w:p w14:paraId="1F351C2D" w14:textId="77777777" w:rsidR="00A21B5F" w:rsidRPr="00D42E18" w:rsidRDefault="00A21B5F" w:rsidP="00A21B5F">
      <w:pPr>
        <w:jc w:val="both"/>
        <w:rPr>
          <w:b/>
        </w:rPr>
      </w:pPr>
    </w:p>
    <w:p w14:paraId="1E0FFC23" w14:textId="77777777" w:rsidR="00A21B5F" w:rsidRPr="00D42E18" w:rsidRDefault="00A21B5F" w:rsidP="00A21B5F">
      <w:r w:rsidRPr="00D42E18">
        <w:rPr>
          <w:b/>
          <w:color w:val="582C83"/>
        </w:rPr>
        <w:t>9.1.</w:t>
      </w:r>
      <w:r w:rsidRPr="00D42E18">
        <w:tab/>
        <w:t xml:space="preserve">Will the results or findings of the research, </w:t>
      </w:r>
      <w:r w:rsidR="0045743F" w:rsidRPr="00D42E18">
        <w:t>e.g.</w:t>
      </w:r>
      <w:r w:rsidRPr="00D42E18">
        <w:t xml:space="preserve"> a summary of the findings, be returned to participants? </w:t>
      </w:r>
    </w:p>
    <w:p w14:paraId="05D8F295" w14:textId="77777777" w:rsidR="007B0B1C" w:rsidRPr="00D42E18" w:rsidRDefault="007B0B1C" w:rsidP="004A1D51"/>
    <w:p w14:paraId="0EEBECFF" w14:textId="23F50976" w:rsidR="004A1D51" w:rsidRPr="00D42E18" w:rsidRDefault="00050FE8" w:rsidP="004A1D51">
      <w:pPr>
        <w:ind w:left="720"/>
        <w:jc w:val="both"/>
      </w:pPr>
      <w:sdt>
        <w:sdtPr>
          <w:id w:val="-589704764"/>
          <w14:checkbox>
            <w14:checked w14:val="1"/>
            <w14:checkedState w14:val="2612" w14:font="MS Gothic"/>
            <w14:uncheckedState w14:val="2610" w14:font="MS Gothic"/>
          </w14:checkbox>
        </w:sdtPr>
        <w:sdtEndPr/>
        <w:sdtContent>
          <w:r w:rsidR="004A1D51" w:rsidRPr="00D42E18">
            <w:rPr>
              <w:rFonts w:ascii="Segoe UI Symbol" w:eastAsia="MS Gothic" w:hAnsi="Segoe UI Symbol" w:cs="Segoe UI Symbol"/>
            </w:rPr>
            <w:t>☒</w:t>
          </w:r>
        </w:sdtContent>
      </w:sdt>
      <w:r w:rsidR="00A21B5F" w:rsidRPr="00D42E18">
        <w:t xml:space="preserve"> </w:t>
      </w:r>
      <w:r w:rsidR="004A1D51" w:rsidRPr="00D42E18">
        <w:t xml:space="preserve">No, the result of the study will be published in the peer reviewed journal articles as aggregate data and a link to the published paper will be made available on the </w:t>
      </w:r>
      <w:r w:rsidR="007165E0" w:rsidRPr="00D42E18">
        <w:t>Can</w:t>
      </w:r>
      <w:r w:rsidR="007165E0">
        <w:t>t</w:t>
      </w:r>
      <w:r w:rsidR="007165E0" w:rsidRPr="00D42E18">
        <w:t xml:space="preserve">een </w:t>
      </w:r>
      <w:r w:rsidR="004A1D51" w:rsidRPr="00D42E18">
        <w:t xml:space="preserve">website. </w:t>
      </w:r>
    </w:p>
    <w:p w14:paraId="6EDEE0F8" w14:textId="0BEF99E7" w:rsidR="00A21B5F" w:rsidRPr="00D42E18" w:rsidRDefault="00A21B5F" w:rsidP="00A21B5F">
      <w:pPr>
        <w:ind w:firstLine="720"/>
      </w:pPr>
    </w:p>
    <w:p w14:paraId="37DC7EB0" w14:textId="77777777" w:rsidR="00A21B5F" w:rsidRPr="00D42E18" w:rsidRDefault="00A21B5F" w:rsidP="00A21B5F">
      <w:pPr>
        <w:rPr>
          <w:b/>
        </w:rPr>
      </w:pPr>
      <w:r w:rsidRPr="00D42E18">
        <w:rPr>
          <w:b/>
        </w:rPr>
        <w:t>What are your plans for the following activities?</w:t>
      </w:r>
    </w:p>
    <w:p w14:paraId="20F50732" w14:textId="77777777" w:rsidR="00A21B5F" w:rsidRPr="00D42E18" w:rsidRDefault="00A21B5F" w:rsidP="00A21B5F"/>
    <w:p w14:paraId="7321DA29" w14:textId="06953243" w:rsidR="00A21B5F" w:rsidRPr="00D42E18" w:rsidRDefault="00A21B5F" w:rsidP="00A21B5F">
      <w:r w:rsidRPr="00D42E18">
        <w:rPr>
          <w:b/>
          <w:color w:val="582C83"/>
        </w:rPr>
        <w:t>9</w:t>
      </w:r>
      <w:r w:rsidR="0045743F" w:rsidRPr="00D42E18">
        <w:rPr>
          <w:b/>
          <w:color w:val="582C83"/>
        </w:rPr>
        <w:t>.2</w:t>
      </w:r>
      <w:r w:rsidRPr="00D42E18">
        <w:rPr>
          <w:b/>
          <w:color w:val="582C83"/>
        </w:rPr>
        <w:t>.</w:t>
      </w:r>
      <w:r w:rsidRPr="00D42E18">
        <w:tab/>
        <w:t>Dissemination and publication of project outcomes (e.g. thesis, journals, Research Direct)</w:t>
      </w:r>
    </w:p>
    <w:p w14:paraId="24B5E439" w14:textId="5EE52831" w:rsidR="004A1D51" w:rsidRPr="00D42E18" w:rsidRDefault="004A1D51" w:rsidP="004A1D51">
      <w:pPr>
        <w:ind w:left="720"/>
      </w:pPr>
      <w:r w:rsidRPr="00D42E18">
        <w:t>We will disseminate our data through peer-reviewed publications and presentations at professional conferences and meetings.</w:t>
      </w:r>
    </w:p>
    <w:p w14:paraId="74BB3E4B" w14:textId="77777777" w:rsidR="00A21B5F" w:rsidRPr="00D42E18" w:rsidRDefault="00A21B5F" w:rsidP="00A21B5F"/>
    <w:p w14:paraId="29077E55" w14:textId="29B3EF90" w:rsidR="004A1D51" w:rsidRPr="00D42E18" w:rsidRDefault="00A21B5F" w:rsidP="00AD5FBD">
      <w:pPr>
        <w:jc w:val="both"/>
      </w:pPr>
      <w:r w:rsidRPr="00D42E18">
        <w:rPr>
          <w:b/>
          <w:color w:val="582C83"/>
        </w:rPr>
        <w:t>9</w:t>
      </w:r>
      <w:r w:rsidR="0045743F" w:rsidRPr="00D42E18">
        <w:rPr>
          <w:b/>
          <w:color w:val="582C83"/>
        </w:rPr>
        <w:t>.3</w:t>
      </w:r>
      <w:r w:rsidRPr="00D42E18">
        <w:rPr>
          <w:b/>
          <w:color w:val="582C83"/>
        </w:rPr>
        <w:t>.</w:t>
      </w:r>
      <w:r w:rsidRPr="00D42E18">
        <w:rPr>
          <w:b/>
          <w:color w:val="582C83"/>
        </w:rPr>
        <w:tab/>
      </w:r>
      <w:r w:rsidRPr="00D42E18">
        <w:t>Other potential uses of the data at the end of the project</w:t>
      </w:r>
      <w:r w:rsidR="004A1D51" w:rsidRPr="00D42E18">
        <w:t>: The findings from this project will form data for future larger studies should funding be available.</w:t>
      </w:r>
    </w:p>
    <w:p w14:paraId="4E51B68F" w14:textId="1F8640C6" w:rsidR="00A21B5F" w:rsidRPr="00D42E18" w:rsidRDefault="00A21B5F" w:rsidP="00A21B5F"/>
    <w:p w14:paraId="2BD3A3D8" w14:textId="5CBE7C20" w:rsidR="00A21B5F" w:rsidRPr="00D42E18" w:rsidRDefault="00A21B5F" w:rsidP="00A21B5F">
      <w:r w:rsidRPr="00D42E18">
        <w:rPr>
          <w:b/>
          <w:color w:val="582C83"/>
        </w:rPr>
        <w:t>9.</w:t>
      </w:r>
      <w:r w:rsidR="0045743F" w:rsidRPr="00D42E18">
        <w:rPr>
          <w:b/>
          <w:color w:val="582C83"/>
        </w:rPr>
        <w:t>4</w:t>
      </w:r>
      <w:r w:rsidRPr="00D42E18">
        <w:rPr>
          <w:b/>
          <w:color w:val="582C83"/>
        </w:rPr>
        <w:t>.</w:t>
      </w:r>
      <w:r w:rsidRPr="00D42E18">
        <w:tab/>
        <w:t xml:space="preserve">Sharing and/or future use of data and/or follow up </w:t>
      </w:r>
      <w:proofErr w:type="spellStart"/>
      <w:r w:rsidRPr="00D42E18">
        <w:t>research</w:t>
      </w:r>
      <w:r w:rsidR="004A1D51" w:rsidRPr="00D42E18">
        <w:t>:N</w:t>
      </w:r>
      <w:proofErr w:type="spellEnd"/>
      <w:r w:rsidR="004A1D51" w:rsidRPr="00D42E18">
        <w:t>/A</w:t>
      </w:r>
    </w:p>
    <w:p w14:paraId="71416BDC" w14:textId="77777777" w:rsidR="00A21B5F" w:rsidRPr="00D42E18" w:rsidRDefault="00A21B5F" w:rsidP="00A21B5F"/>
    <w:p w14:paraId="75D3C151" w14:textId="10ECBCAA" w:rsidR="00A21B5F" w:rsidRPr="00D42E18" w:rsidRDefault="00A21B5F" w:rsidP="00A21B5F">
      <w:r w:rsidRPr="00D42E18">
        <w:rPr>
          <w:b/>
          <w:color w:val="582C83"/>
        </w:rPr>
        <w:t>9.</w:t>
      </w:r>
      <w:r w:rsidR="0045743F" w:rsidRPr="00D42E18">
        <w:rPr>
          <w:b/>
          <w:color w:val="582C83"/>
        </w:rPr>
        <w:t>5</w:t>
      </w:r>
      <w:r w:rsidRPr="00D42E18">
        <w:rPr>
          <w:b/>
          <w:color w:val="582C83"/>
        </w:rPr>
        <w:t>.</w:t>
      </w:r>
      <w:r w:rsidRPr="00D42E18">
        <w:tab/>
        <w:t xml:space="preserve">Anticipated secondary use of </w:t>
      </w:r>
      <w:proofErr w:type="spellStart"/>
      <w:r w:rsidRPr="00D42E18">
        <w:t>data</w:t>
      </w:r>
      <w:r w:rsidR="00AD5FBD" w:rsidRPr="00D42E18">
        <w:t>:N</w:t>
      </w:r>
      <w:proofErr w:type="spellEnd"/>
      <w:r w:rsidR="00AD5FBD" w:rsidRPr="00D42E18">
        <w:t>/A</w:t>
      </w:r>
    </w:p>
    <w:p w14:paraId="57AC3DEE" w14:textId="77777777" w:rsidR="00A21B5F" w:rsidRPr="00D42E18" w:rsidRDefault="00A21B5F" w:rsidP="00A21B5F"/>
    <w:p w14:paraId="05D0B6E5" w14:textId="77777777" w:rsidR="00A21B5F" w:rsidRPr="00D42E18" w:rsidRDefault="0045743F" w:rsidP="00A21B5F">
      <w:pPr>
        <w:ind w:left="720" w:hanging="720"/>
      </w:pPr>
      <w:r w:rsidRPr="00D42E18">
        <w:rPr>
          <w:b/>
          <w:color w:val="7030A0"/>
        </w:rPr>
        <w:t>9.6.</w:t>
      </w:r>
      <w:r w:rsidR="00A21B5F" w:rsidRPr="00D42E18">
        <w:tab/>
      </w:r>
      <w:proofErr w:type="spellStart"/>
      <w:r w:rsidR="00A21B5F" w:rsidRPr="00D42E18">
        <w:t>Summarise</w:t>
      </w:r>
      <w:proofErr w:type="spellEnd"/>
      <w:r w:rsidR="00A21B5F" w:rsidRPr="00D42E18">
        <w:t xml:space="preserve"> the arrangements regarding intellectual property (individual, community, </w:t>
      </w:r>
      <w:proofErr w:type="spellStart"/>
      <w:r w:rsidR="00A21B5F" w:rsidRPr="00D42E18">
        <w:t>organisational</w:t>
      </w:r>
      <w:proofErr w:type="spellEnd"/>
      <w:r w:rsidR="00A21B5F" w:rsidRPr="00D42E18">
        <w:t>, commercial) and copyright related to the data ownership and outputs of the research.</w:t>
      </w:r>
    </w:p>
    <w:p w14:paraId="06AAFF1F" w14:textId="2C93AF6A" w:rsidR="00583235" w:rsidRPr="00D42E18" w:rsidRDefault="00583235">
      <w:pPr>
        <w:ind w:left="720"/>
      </w:pPr>
      <w:r w:rsidRPr="00D42E18">
        <w:t>The copy right of the content</w:t>
      </w:r>
      <w:r w:rsidR="002A72BD" w:rsidRPr="00D42E18">
        <w:t xml:space="preserve"> and</w:t>
      </w:r>
      <w:r w:rsidRPr="00D42E18">
        <w:t xml:space="preserve"> </w:t>
      </w:r>
      <w:r w:rsidR="002A72BD" w:rsidRPr="00D42E18">
        <w:t xml:space="preserve">IP </w:t>
      </w:r>
      <w:r w:rsidRPr="00D42E18">
        <w:t xml:space="preserve">of the mindfulness </w:t>
      </w:r>
      <w:r w:rsidR="006F4051">
        <w:t>program</w:t>
      </w:r>
      <w:r w:rsidRPr="00D42E18">
        <w:t xml:space="preserve"> is owned by this project team. </w:t>
      </w:r>
      <w:r w:rsidR="002A72BD" w:rsidRPr="00D42E18">
        <w:t>Coordinating PI will be responsible for maintaining the utmost confidentiality of the collected data. Data will be decoded for analysis and participants will be given pseudonym. Internet Protocol addresses will not be</w:t>
      </w:r>
      <w:r w:rsidR="00264A7B">
        <w:t xml:space="preserve"> </w:t>
      </w:r>
      <w:r w:rsidR="002A72BD" w:rsidRPr="00D42E18">
        <w:t xml:space="preserve">collected through Qualtrics. Email and mobile number are </w:t>
      </w:r>
      <w:r w:rsidR="00D42E18" w:rsidRPr="00D42E18">
        <w:t>collected;</w:t>
      </w:r>
      <w:r w:rsidR="002A72BD" w:rsidRPr="00D42E18">
        <w:t xml:space="preserve"> however, this information will be removed before data analysis. Data will be </w:t>
      </w:r>
      <w:proofErr w:type="spellStart"/>
      <w:r w:rsidR="002A72BD" w:rsidRPr="00D42E18">
        <w:t>analysed</w:t>
      </w:r>
      <w:proofErr w:type="spellEnd"/>
      <w:r w:rsidR="002A72BD" w:rsidRPr="00D42E18">
        <w:t xml:space="preserve"> and only the aggregate data will be published or made available for future research.</w:t>
      </w:r>
    </w:p>
    <w:p w14:paraId="619C1470" w14:textId="33D80BBF" w:rsidR="004D75A3" w:rsidRPr="00D42E18" w:rsidRDefault="004D75A3" w:rsidP="00A21B5F">
      <w:pPr>
        <w:rPr>
          <w:color w:val="7030A0"/>
        </w:rPr>
      </w:pPr>
      <w:r w:rsidRPr="00D42E18">
        <w:rPr>
          <w:color w:val="7030A0"/>
        </w:rPr>
        <w:lastRenderedPageBreak/>
        <w:t>Conflict</w:t>
      </w:r>
      <w:r w:rsidR="00772623" w:rsidRPr="00D42E18">
        <w:rPr>
          <w:color w:val="7030A0"/>
        </w:rPr>
        <w:t>s</w:t>
      </w:r>
      <w:r w:rsidRPr="00D42E18">
        <w:rPr>
          <w:color w:val="7030A0"/>
        </w:rPr>
        <w:t xml:space="preserve"> of Interest</w:t>
      </w:r>
    </w:p>
    <w:p w14:paraId="3F524B28" w14:textId="22B02040" w:rsidR="004D75A3" w:rsidRPr="00D42E18" w:rsidRDefault="004D75A3" w:rsidP="00A21B5F">
      <w:pPr>
        <w:rPr>
          <w:rFonts w:eastAsia="MS Gothic"/>
        </w:rPr>
      </w:pPr>
      <w:r w:rsidRPr="00D42E18">
        <w:rPr>
          <w:rFonts w:eastAsia="MS Gothic"/>
        </w:rPr>
        <w:t>Have you disclosed any financial or non-financial interests at Q1.10 in the HREA which relate to a</w:t>
      </w:r>
      <w:r w:rsidR="007258C4" w:rsidRPr="00D42E18">
        <w:rPr>
          <w:rFonts w:eastAsia="MS Gothic"/>
        </w:rPr>
        <w:t xml:space="preserve"> conflict </w:t>
      </w:r>
      <w:r w:rsidR="007258C4" w:rsidRPr="00D42E18">
        <w:rPr>
          <w:rFonts w:eastAsia="MS Gothic"/>
          <w:i/>
          <w:iCs/>
        </w:rPr>
        <w:t>other than</w:t>
      </w:r>
      <w:r w:rsidR="007258C4" w:rsidRPr="00D42E18">
        <w:rPr>
          <w:rFonts w:eastAsia="MS Gothic"/>
        </w:rPr>
        <w:t xml:space="preserve"> a HREA Committee Member i.e. research-related commercial activity, Western Sydney staff members</w:t>
      </w:r>
      <w:r w:rsidRPr="00D42E18">
        <w:rPr>
          <w:rFonts w:eastAsia="MS Gothic"/>
        </w:rPr>
        <w:t>?</w:t>
      </w:r>
    </w:p>
    <w:p w14:paraId="7F00ADB0" w14:textId="10BD3AB8" w:rsidR="004D75A3" w:rsidRPr="00D42E18" w:rsidRDefault="004D75A3" w:rsidP="00A21B5F">
      <w:pPr>
        <w:rPr>
          <w:rFonts w:eastAsia="MS Gothic"/>
        </w:rPr>
      </w:pPr>
    </w:p>
    <w:p w14:paraId="46825818" w14:textId="0F6203CF" w:rsidR="004D75A3" w:rsidRPr="00D42E18" w:rsidRDefault="00050FE8" w:rsidP="00A21B5F">
      <w:sdt>
        <w:sdtPr>
          <w:rPr>
            <w:rFonts w:eastAsia="MS Gothic"/>
          </w:rPr>
          <w:id w:val="1137150778"/>
          <w14:checkbox>
            <w14:checked w14:val="1"/>
            <w14:checkedState w14:val="2612" w14:font="MS Gothic"/>
            <w14:uncheckedState w14:val="2610" w14:font="MS Gothic"/>
          </w14:checkbox>
        </w:sdtPr>
        <w:sdtEndPr/>
        <w:sdtContent>
          <w:r w:rsidR="00CB0014" w:rsidRPr="00D42E18">
            <w:rPr>
              <w:rFonts w:ascii="Segoe UI Symbol" w:eastAsia="MS Gothic" w:hAnsi="Segoe UI Symbol" w:cs="Segoe UI Symbol"/>
            </w:rPr>
            <w:t>☒</w:t>
          </w:r>
        </w:sdtContent>
      </w:sdt>
      <w:r w:rsidR="004D75A3" w:rsidRPr="00D42E18">
        <w:t xml:space="preserve"> </w:t>
      </w:r>
      <w:r w:rsidR="004D75A3" w:rsidRPr="00D42E18">
        <w:tab/>
        <w:t xml:space="preserve">No </w:t>
      </w:r>
      <w:r w:rsidR="004D75A3" w:rsidRPr="00D42E18">
        <w:tab/>
        <w:t xml:space="preserve">→ continue to </w:t>
      </w:r>
      <w:r w:rsidR="00772623" w:rsidRPr="00D42E18">
        <w:t>Attachment C</w:t>
      </w:r>
      <w:r w:rsidR="004D75A3" w:rsidRPr="00D42E18">
        <w:t>hecklist</w:t>
      </w:r>
    </w:p>
    <w:p w14:paraId="185239F3" w14:textId="2585E231" w:rsidR="004D75A3" w:rsidRPr="00D42E18" w:rsidRDefault="004D75A3" w:rsidP="00A21B5F"/>
    <w:p w14:paraId="3B570E28" w14:textId="68080211" w:rsidR="00772623" w:rsidRPr="00D42E18" w:rsidRDefault="00050FE8" w:rsidP="00772623">
      <w:pPr>
        <w:ind w:left="709" w:hanging="709"/>
      </w:pPr>
      <w:sdt>
        <w:sdtPr>
          <w:rPr>
            <w:rFonts w:eastAsia="MS Gothic"/>
          </w:rPr>
          <w:id w:val="1438263409"/>
          <w14:checkbox>
            <w14:checked w14:val="0"/>
            <w14:checkedState w14:val="2612" w14:font="MS Gothic"/>
            <w14:uncheckedState w14:val="2610" w14:font="MS Gothic"/>
          </w14:checkbox>
        </w:sdtPr>
        <w:sdtEndPr/>
        <w:sdtContent>
          <w:r w:rsidR="004D75A3" w:rsidRPr="00D42E18">
            <w:rPr>
              <w:rFonts w:ascii="Segoe UI Symbol" w:eastAsia="MS Gothic" w:hAnsi="Segoe UI Symbol" w:cs="Segoe UI Symbol"/>
            </w:rPr>
            <w:t>☐</w:t>
          </w:r>
        </w:sdtContent>
      </w:sdt>
      <w:r w:rsidR="004D75A3" w:rsidRPr="00D42E18">
        <w:rPr>
          <w:rFonts w:eastAsia="MS Gothic"/>
        </w:rPr>
        <w:tab/>
      </w:r>
      <w:r w:rsidR="004D75A3" w:rsidRPr="00D42E18">
        <w:t>Yes</w:t>
      </w:r>
      <w:r w:rsidR="004D75A3" w:rsidRPr="00D42E18">
        <w:tab/>
        <w:t xml:space="preserve">→ </w:t>
      </w:r>
      <w:r w:rsidR="00772623" w:rsidRPr="00D42E18">
        <w:t xml:space="preserve">please ensure that </w:t>
      </w:r>
      <w:r w:rsidR="004D75A3" w:rsidRPr="00D42E18">
        <w:t xml:space="preserve">any conflicts of interest </w:t>
      </w:r>
      <w:r w:rsidR="00772623" w:rsidRPr="00D42E18">
        <w:t>are</w:t>
      </w:r>
      <w:r w:rsidR="004D75A3" w:rsidRPr="00D42E18">
        <w:t xml:space="preserve"> recorded on the </w:t>
      </w:r>
      <w:r w:rsidR="007258C4" w:rsidRPr="00D42E18">
        <w:t>U</w:t>
      </w:r>
      <w:r w:rsidR="004D75A3" w:rsidRPr="00D42E18">
        <w:t>niversity’s</w:t>
      </w:r>
    </w:p>
    <w:p w14:paraId="1C432D26" w14:textId="7C8CC9FF" w:rsidR="004D75A3" w:rsidRPr="00D42E18" w:rsidRDefault="00772623" w:rsidP="00772623">
      <w:pPr>
        <w:ind w:left="2138" w:hanging="698"/>
      </w:pPr>
      <w:r w:rsidRPr="00D42E18">
        <w:t xml:space="preserve">    </w:t>
      </w:r>
      <w:hyperlink r:id="rId12" w:history="1">
        <w:r w:rsidRPr="00D42E18">
          <w:rPr>
            <w:rStyle w:val="Hyperlink"/>
          </w:rPr>
          <w:t>Conflict of Interest Register</w:t>
        </w:r>
      </w:hyperlink>
    </w:p>
    <w:p w14:paraId="2876B5BB" w14:textId="71DC849A" w:rsidR="004D75A3" w:rsidRPr="00D42E18" w:rsidRDefault="004D75A3" w:rsidP="00A21B5F">
      <w:pPr>
        <w:rPr>
          <w:rFonts w:eastAsia="MS Gothic"/>
        </w:rPr>
      </w:pPr>
    </w:p>
    <w:p w14:paraId="39639889" w14:textId="3BC8FBF5" w:rsidR="00A21B5F" w:rsidRPr="00D42E18" w:rsidRDefault="00A21B5F" w:rsidP="00A21B5F">
      <w:pPr>
        <w:rPr>
          <w:color w:val="7030A0"/>
        </w:rPr>
      </w:pPr>
      <w:r w:rsidRPr="00D42E18">
        <w:rPr>
          <w:color w:val="7030A0"/>
        </w:rPr>
        <w:t xml:space="preserve">Attachment Checklist </w:t>
      </w:r>
    </w:p>
    <w:p w14:paraId="3CDF9DE1" w14:textId="77777777" w:rsidR="00BB565A" w:rsidRPr="00D42E18" w:rsidRDefault="00C95716" w:rsidP="00BB565A">
      <w:r w:rsidRPr="00D42E18">
        <w:t>T</w:t>
      </w:r>
      <w:r w:rsidR="00BB565A" w:rsidRPr="00D42E18">
        <w:t>he file names should reflect the contents of the document. Document formats should usually be Word or PDF.</w:t>
      </w:r>
    </w:p>
    <w:p w14:paraId="69B89FF8" w14:textId="77777777" w:rsidR="00BB565A" w:rsidRPr="00D42E18" w:rsidRDefault="00BB565A" w:rsidP="00BB565A"/>
    <w:p w14:paraId="6ADDE820" w14:textId="77777777" w:rsidR="009477E0" w:rsidRPr="00D42E18" w:rsidRDefault="009477E0" w:rsidP="00BB565A">
      <w:pPr>
        <w:rPr>
          <w:b/>
          <w:color w:val="7030A0"/>
        </w:rPr>
      </w:pPr>
      <w:r w:rsidRPr="00D42E18">
        <w:rPr>
          <w:b/>
          <w:color w:val="7030A0"/>
        </w:rPr>
        <w:t>Mandatory Attachments</w:t>
      </w:r>
    </w:p>
    <w:p w14:paraId="5E1EF734" w14:textId="723B6C61" w:rsidR="00BB565A" w:rsidRPr="00D42E18" w:rsidRDefault="00050FE8" w:rsidP="00A94FE9">
      <w:pPr>
        <w:ind w:left="360"/>
      </w:pPr>
      <w:sdt>
        <w:sdtPr>
          <w:rPr>
            <w:rFonts w:eastAsia="MS Gothic"/>
          </w:rPr>
          <w:id w:val="-1852795249"/>
          <w14:checkbox>
            <w14:checked w14:val="1"/>
            <w14:checkedState w14:val="2612" w14:font="MS Gothic"/>
            <w14:uncheckedState w14:val="2610" w14:font="MS Gothic"/>
          </w14:checkbox>
        </w:sdtPr>
        <w:sdtEndPr/>
        <w:sdtContent>
          <w:r w:rsidR="002A72BD" w:rsidRPr="00D42E18">
            <w:rPr>
              <w:rFonts w:ascii="Segoe UI Symbol" w:eastAsia="MS Gothic" w:hAnsi="Segoe UI Symbol" w:cs="Segoe UI Symbol"/>
            </w:rPr>
            <w:t>☒</w:t>
          </w:r>
        </w:sdtContent>
      </w:sdt>
      <w:r w:rsidR="00A94FE9" w:rsidRPr="00D42E18">
        <w:t xml:space="preserve"> </w:t>
      </w:r>
      <w:r w:rsidR="00A94FE9" w:rsidRPr="00D42E18">
        <w:tab/>
      </w:r>
      <w:r w:rsidR="00BB565A" w:rsidRPr="00D42E18">
        <w:t>Project Description on WSU template</w:t>
      </w:r>
      <w:r w:rsidR="00A94FE9" w:rsidRPr="00D42E18">
        <w:t xml:space="preserve"> </w:t>
      </w:r>
      <w:hyperlink r:id="rId13" w:history="1">
        <w:r w:rsidR="00A94FE9" w:rsidRPr="00D42E18">
          <w:rPr>
            <w:rStyle w:val="Hyperlink"/>
          </w:rPr>
          <w:t>https://www.westernsydney.edu.au/research/forms</w:t>
        </w:r>
      </w:hyperlink>
    </w:p>
    <w:p w14:paraId="64FE6F2A" w14:textId="77777777" w:rsidR="00BB565A" w:rsidRPr="00D42E18" w:rsidRDefault="00050FE8" w:rsidP="00A94FE9">
      <w:pPr>
        <w:ind w:left="360"/>
        <w:rPr>
          <w:rStyle w:val="Hyperlink"/>
        </w:rPr>
      </w:pPr>
      <w:sdt>
        <w:sdtPr>
          <w:rPr>
            <w:rFonts w:eastAsia="MS Gothic"/>
            <w:color w:val="0000FF"/>
            <w:u w:val="single"/>
          </w:rPr>
          <w:id w:val="711235921"/>
          <w14:checkbox>
            <w14:checked w14:val="0"/>
            <w14:checkedState w14:val="2612" w14:font="MS Gothic"/>
            <w14:uncheckedState w14:val="2610" w14:font="MS Gothic"/>
          </w14:checkbox>
        </w:sdtPr>
        <w:sdtEndPr/>
        <w:sdtContent>
          <w:r w:rsidR="00A94FE9" w:rsidRPr="00D42E18">
            <w:rPr>
              <w:rFonts w:ascii="Segoe UI Symbol" w:eastAsia="MS Gothic" w:hAnsi="Segoe UI Symbol" w:cs="Segoe UI Symbol"/>
            </w:rPr>
            <w:t>☐</w:t>
          </w:r>
        </w:sdtContent>
      </w:sdt>
      <w:r w:rsidR="00A94FE9" w:rsidRPr="00D42E18">
        <w:t xml:space="preserve"> </w:t>
      </w:r>
      <w:r w:rsidR="00A94FE9" w:rsidRPr="00D42E18">
        <w:tab/>
      </w:r>
      <w:r w:rsidR="00BB565A" w:rsidRPr="00D42E18">
        <w:t>HREA form</w:t>
      </w:r>
      <w:r w:rsidR="00A94FE9" w:rsidRPr="00D42E18">
        <w:t xml:space="preserve"> </w:t>
      </w:r>
      <w:hyperlink r:id="rId14" w:history="1">
        <w:r w:rsidR="00A94FE9" w:rsidRPr="00D42E18">
          <w:rPr>
            <w:rStyle w:val="Hyperlink"/>
          </w:rPr>
          <w:t>https://hrea.gov.au/</w:t>
        </w:r>
      </w:hyperlink>
    </w:p>
    <w:p w14:paraId="0FFB7FF8" w14:textId="77777777" w:rsidR="0023578D" w:rsidRPr="00D42E18" w:rsidRDefault="00C706FC" w:rsidP="00C706FC">
      <w:pPr>
        <w:ind w:left="709" w:hanging="349"/>
        <w:rPr>
          <w:rStyle w:val="Hyperlink"/>
        </w:rPr>
      </w:pPr>
      <w:r w:rsidRPr="00D42E18">
        <w:rPr>
          <w:rFonts w:ascii="Segoe UI Symbol" w:eastAsia="MS Gothic" w:hAnsi="Segoe UI Symbol" w:cs="Segoe UI Symbol"/>
        </w:rPr>
        <w:t>☐</w:t>
      </w:r>
      <w:r w:rsidRPr="00D42E18">
        <w:rPr>
          <w:rFonts w:eastAsia="MS Gothic"/>
        </w:rPr>
        <w:tab/>
      </w:r>
      <w:r w:rsidRPr="00D42E18">
        <w:t xml:space="preserve">WSU Data Management Plan (mandatory as per the University’s Research Data Management Plan and Element 4 of the National Statement) </w:t>
      </w:r>
      <w:hyperlink r:id="rId15" w:history="1">
        <w:r w:rsidRPr="00D42E18">
          <w:rPr>
            <w:rStyle w:val="Hyperlink"/>
          </w:rPr>
          <w:t>https://researchdirect.westernsydney.edu.au/</w:t>
        </w:r>
      </w:hyperlink>
    </w:p>
    <w:p w14:paraId="3E68FB2D" w14:textId="77777777" w:rsidR="00EE553F" w:rsidRPr="00D42E18" w:rsidRDefault="00EE553F" w:rsidP="00C706FC">
      <w:pPr>
        <w:ind w:left="709" w:hanging="349"/>
      </w:pPr>
      <w:r w:rsidRPr="00D42E18">
        <w:rPr>
          <w:rFonts w:ascii="Segoe UI Symbol" w:eastAsia="MS Gothic" w:hAnsi="Segoe UI Symbol" w:cs="Segoe UI Symbol"/>
        </w:rPr>
        <w:t>☐</w:t>
      </w:r>
      <w:r w:rsidRPr="00D42E18">
        <w:rPr>
          <w:rFonts w:eastAsia="MS Gothic"/>
        </w:rPr>
        <w:tab/>
        <w:t xml:space="preserve">For projects which have chosen extended or unspecified as the scope of consent, the tailored sheet ‘Explanation of extended and unspecified consent’ must be attached to the Participant Information Sheet so that the participant is informed about what these terms mean and how their data may be used </w:t>
      </w:r>
      <w:hyperlink r:id="rId16" w:history="1">
        <w:r w:rsidRPr="00D42E18">
          <w:rPr>
            <w:rStyle w:val="Hyperlink"/>
          </w:rPr>
          <w:t>https://www.westernsydney.edu.au/research/forms</w:t>
        </w:r>
      </w:hyperlink>
    </w:p>
    <w:p w14:paraId="5C78BC05" w14:textId="77777777" w:rsidR="00C706FC" w:rsidRPr="00D42E18" w:rsidRDefault="00C706FC" w:rsidP="00BB565A">
      <w:pPr>
        <w:rPr>
          <w:b/>
          <w:color w:val="7030A0"/>
        </w:rPr>
      </w:pPr>
    </w:p>
    <w:p w14:paraId="1ED20162" w14:textId="77777777" w:rsidR="00BB565A" w:rsidRPr="00D42E18" w:rsidRDefault="00BB565A" w:rsidP="00BB565A">
      <w:pPr>
        <w:rPr>
          <w:b/>
          <w:color w:val="7030A0"/>
        </w:rPr>
      </w:pPr>
      <w:r w:rsidRPr="00D42E18">
        <w:rPr>
          <w:b/>
          <w:color w:val="7030A0"/>
        </w:rPr>
        <w:t>Other possible attachments</w:t>
      </w:r>
    </w:p>
    <w:p w14:paraId="798BBFD9" w14:textId="77777777" w:rsidR="00BB565A" w:rsidRPr="00D42E18" w:rsidRDefault="00BB565A" w:rsidP="00C95716">
      <w:r w:rsidRPr="00D42E18">
        <w:t>The attachments required will depend on the project. Below are the most usual attachments.</w:t>
      </w:r>
    </w:p>
    <w:p w14:paraId="014BF154" w14:textId="77777777" w:rsidR="00A21B5F" w:rsidRPr="00D42E18" w:rsidRDefault="00A21B5F" w:rsidP="00BB565A">
      <w:pPr>
        <w:pStyle w:val="ListParagraph"/>
        <w:numPr>
          <w:ilvl w:val="0"/>
          <w:numId w:val="8"/>
        </w:numPr>
        <w:rPr>
          <w:rFonts w:ascii="Times New Roman" w:hAnsi="Times New Roman"/>
        </w:rPr>
      </w:pPr>
      <w:r w:rsidRPr="00D42E18">
        <w:rPr>
          <w:rFonts w:ascii="Times New Roman" w:hAnsi="Times New Roman"/>
        </w:rPr>
        <w:t xml:space="preserve">Participant information sheet(s) - Western Sydney template at </w:t>
      </w:r>
      <w:hyperlink r:id="rId17" w:history="1">
        <w:r w:rsidRPr="00D42E18">
          <w:rPr>
            <w:rStyle w:val="Hyperlink"/>
            <w:rFonts w:ascii="Times New Roman" w:hAnsi="Times New Roman"/>
          </w:rPr>
          <w:t>https://www.westernsydney.edu.au/research/forms</w:t>
        </w:r>
      </w:hyperlink>
    </w:p>
    <w:p w14:paraId="5975E2FB" w14:textId="77777777" w:rsidR="00A21B5F" w:rsidRPr="00D42E18" w:rsidRDefault="00A21B5F" w:rsidP="00BB565A">
      <w:pPr>
        <w:pStyle w:val="ListParagraph"/>
        <w:numPr>
          <w:ilvl w:val="0"/>
          <w:numId w:val="8"/>
        </w:numPr>
        <w:rPr>
          <w:rFonts w:ascii="Times New Roman" w:hAnsi="Times New Roman"/>
        </w:rPr>
      </w:pPr>
      <w:r w:rsidRPr="00D42E18">
        <w:rPr>
          <w:rFonts w:ascii="Times New Roman" w:hAnsi="Times New Roman"/>
        </w:rPr>
        <w:t xml:space="preserve">Participant consent form(s) - Western Sydney template at </w:t>
      </w:r>
      <w:hyperlink r:id="rId18" w:history="1">
        <w:r w:rsidRPr="00D42E18">
          <w:rPr>
            <w:rStyle w:val="Hyperlink"/>
            <w:rFonts w:ascii="Times New Roman" w:hAnsi="Times New Roman"/>
          </w:rPr>
          <w:t>https://www.westernsydney.edu.au/research/forms</w:t>
        </w:r>
      </w:hyperlink>
    </w:p>
    <w:p w14:paraId="1A918B42" w14:textId="77777777" w:rsidR="00A21B5F" w:rsidRPr="00D42E18" w:rsidRDefault="00A21B5F" w:rsidP="00BB565A">
      <w:pPr>
        <w:pStyle w:val="ListParagraph"/>
        <w:numPr>
          <w:ilvl w:val="0"/>
          <w:numId w:val="8"/>
        </w:numPr>
        <w:rPr>
          <w:rFonts w:ascii="Times New Roman" w:hAnsi="Times New Roman"/>
        </w:rPr>
      </w:pPr>
      <w:r w:rsidRPr="00D42E18">
        <w:rPr>
          <w:rFonts w:ascii="Times New Roman" w:hAnsi="Times New Roman"/>
        </w:rPr>
        <w:t>Recruitment text/script/flyer</w:t>
      </w:r>
    </w:p>
    <w:p w14:paraId="5C981A46" w14:textId="77777777" w:rsidR="00A21B5F" w:rsidRPr="00D42E18" w:rsidRDefault="00A21B5F" w:rsidP="00BB565A">
      <w:pPr>
        <w:pStyle w:val="ListParagraph"/>
        <w:numPr>
          <w:ilvl w:val="0"/>
          <w:numId w:val="8"/>
        </w:numPr>
        <w:rPr>
          <w:rFonts w:ascii="Times New Roman" w:hAnsi="Times New Roman"/>
        </w:rPr>
      </w:pPr>
      <w:r w:rsidRPr="00D42E18">
        <w:rPr>
          <w:rFonts w:ascii="Times New Roman" w:hAnsi="Times New Roman"/>
        </w:rPr>
        <w:t>An age appropriate dialogue text for children’s assent</w:t>
      </w:r>
    </w:p>
    <w:p w14:paraId="5234CB37" w14:textId="77777777" w:rsidR="00A21B5F" w:rsidRPr="00D42E18" w:rsidRDefault="00A21B5F" w:rsidP="00BB565A">
      <w:pPr>
        <w:pStyle w:val="ListParagraph"/>
        <w:numPr>
          <w:ilvl w:val="0"/>
          <w:numId w:val="8"/>
        </w:numPr>
        <w:rPr>
          <w:rFonts w:ascii="Times New Roman" w:hAnsi="Times New Roman"/>
        </w:rPr>
      </w:pPr>
      <w:r w:rsidRPr="00D42E18">
        <w:rPr>
          <w:rFonts w:ascii="Times New Roman" w:hAnsi="Times New Roman"/>
        </w:rPr>
        <w:t xml:space="preserve">Copies of the documents you will use to collect the data </w:t>
      </w:r>
      <w:proofErr w:type="spellStart"/>
      <w:r w:rsidRPr="00D42E18">
        <w:rPr>
          <w:rFonts w:ascii="Times New Roman" w:hAnsi="Times New Roman"/>
        </w:rPr>
        <w:t>eg</w:t>
      </w:r>
      <w:proofErr w:type="spellEnd"/>
      <w:r w:rsidRPr="00D42E18">
        <w:rPr>
          <w:rFonts w:ascii="Times New Roman" w:hAnsi="Times New Roman"/>
        </w:rPr>
        <w:t xml:space="preserve"> survey, interview questions</w:t>
      </w:r>
    </w:p>
    <w:p w14:paraId="4E64EA60" w14:textId="77777777" w:rsidR="00A21B5F" w:rsidRPr="00D42E18" w:rsidRDefault="00A21B5F" w:rsidP="00BB565A">
      <w:pPr>
        <w:pStyle w:val="ListParagraph"/>
        <w:numPr>
          <w:ilvl w:val="0"/>
          <w:numId w:val="8"/>
        </w:numPr>
        <w:rPr>
          <w:rFonts w:ascii="Times New Roman" w:hAnsi="Times New Roman"/>
        </w:rPr>
      </w:pPr>
      <w:r w:rsidRPr="00D42E18">
        <w:rPr>
          <w:rFonts w:ascii="Times New Roman" w:hAnsi="Times New Roman"/>
        </w:rPr>
        <w:t>An e-mail confirming you have completed the Confirmation of Candidature (MPhil, PhD) or Presentation of Proposal (</w:t>
      </w:r>
      <w:proofErr w:type="spellStart"/>
      <w:r w:rsidRPr="00D42E18">
        <w:rPr>
          <w:rFonts w:ascii="Times New Roman" w:hAnsi="Times New Roman"/>
        </w:rPr>
        <w:t>MRes</w:t>
      </w:r>
      <w:proofErr w:type="spellEnd"/>
      <w:r w:rsidRPr="00D42E18">
        <w:rPr>
          <w:rFonts w:ascii="Times New Roman" w:hAnsi="Times New Roman"/>
        </w:rPr>
        <w:t>) process</w:t>
      </w:r>
    </w:p>
    <w:p w14:paraId="10804636" w14:textId="77777777" w:rsidR="00A21B5F" w:rsidRPr="00D42E18" w:rsidRDefault="00A21B5F" w:rsidP="00BB565A">
      <w:pPr>
        <w:pStyle w:val="ListParagraph"/>
        <w:numPr>
          <w:ilvl w:val="0"/>
          <w:numId w:val="8"/>
        </w:numPr>
        <w:rPr>
          <w:rFonts w:ascii="Times New Roman" w:hAnsi="Times New Roman"/>
        </w:rPr>
      </w:pPr>
      <w:r w:rsidRPr="00D42E18">
        <w:rPr>
          <w:rFonts w:ascii="Times New Roman" w:hAnsi="Times New Roman"/>
        </w:rPr>
        <w:t>Permission to access participants or a site or an existing dataset</w:t>
      </w:r>
    </w:p>
    <w:p w14:paraId="24123739" w14:textId="77777777" w:rsidR="00A21B5F" w:rsidRPr="00D42E18" w:rsidRDefault="00A21B5F" w:rsidP="00A21B5F">
      <w:pPr>
        <w:rPr>
          <w:color w:val="FF0000"/>
        </w:rPr>
      </w:pPr>
    </w:p>
    <w:p w14:paraId="69DD429F" w14:textId="77777777" w:rsidR="00A21B5F" w:rsidRPr="00D42E18" w:rsidRDefault="00A21B5F" w:rsidP="00A21B5F">
      <w:r w:rsidRPr="00D42E18">
        <w:t>Clinical Trials – Continue to Section 10 below</w:t>
      </w:r>
    </w:p>
    <w:p w14:paraId="6851C173" w14:textId="77777777" w:rsidR="00A21B5F" w:rsidRPr="00D42E18" w:rsidRDefault="00A21B5F" w:rsidP="00A21B5F">
      <w:r w:rsidRPr="00D42E18">
        <w:t>Requesting a Waiver of Consent – Continue to Section 11 below</w:t>
      </w:r>
    </w:p>
    <w:p w14:paraId="23774400" w14:textId="77777777" w:rsidR="00A21B5F" w:rsidRPr="00D42E18" w:rsidRDefault="00A21B5F" w:rsidP="00A21B5F"/>
    <w:p w14:paraId="31788B11" w14:textId="77777777" w:rsidR="00A21B5F" w:rsidRPr="00D42E18" w:rsidRDefault="00A21B5F" w:rsidP="00A21B5F"/>
    <w:p w14:paraId="787BE78F" w14:textId="77777777" w:rsidR="00A21B5F" w:rsidRPr="00D42E18" w:rsidRDefault="004C0BBF" w:rsidP="00A21B5F">
      <w:pPr>
        <w:rPr>
          <w:b/>
          <w:color w:val="582C83"/>
        </w:rPr>
      </w:pPr>
      <w:r w:rsidRPr="00D42E18">
        <w:rPr>
          <w:b/>
          <w:color w:val="582C83"/>
        </w:rPr>
        <w:t>This project description forms one part of your ethics application. It can either be uploaded to the online HREA system, or attached when you email your application to the ethics team.</w:t>
      </w:r>
    </w:p>
    <w:p w14:paraId="5DF27B92" w14:textId="77777777" w:rsidR="00A21B5F" w:rsidRPr="00D42E18" w:rsidRDefault="00A21B5F" w:rsidP="00A21B5F">
      <w:pPr>
        <w:rPr>
          <w:color w:val="FF0000"/>
        </w:rPr>
      </w:pPr>
    </w:p>
    <w:p w14:paraId="3A7B7DA9" w14:textId="77777777" w:rsidR="00A21B5F" w:rsidRPr="00D42E18" w:rsidRDefault="00A21B5F" w:rsidP="00A21B5F">
      <w:pPr>
        <w:pStyle w:val="Heading1"/>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val="0"/>
          <w:sz w:val="24"/>
        </w:rPr>
      </w:pPr>
      <w:r w:rsidRPr="00D42E18">
        <w:rPr>
          <w:rFonts w:ascii="Times New Roman" w:hAnsi="Times New Roman" w:cs="Times New Roman"/>
          <w:b w:val="0"/>
          <w:sz w:val="24"/>
        </w:rPr>
        <w:t>Attachment A. Section 10 – Clinical Trial</w:t>
      </w:r>
    </w:p>
    <w:p w14:paraId="2E908C45" w14:textId="77777777" w:rsidR="00A21B5F" w:rsidRPr="00D42E18" w:rsidRDefault="00A21B5F" w:rsidP="00A21B5F">
      <w:pPr>
        <w:rPr>
          <w:b/>
        </w:rPr>
      </w:pPr>
      <w:r w:rsidRPr="00D42E18">
        <w:rPr>
          <w:b/>
        </w:rPr>
        <w:t>Delete this section if not applicable</w:t>
      </w:r>
      <w:r w:rsidR="00220E98" w:rsidRPr="00D42E18">
        <w:rPr>
          <w:b/>
        </w:rPr>
        <w:t xml:space="preserve"> or you will be supplying a clinical trial protocol instead.</w:t>
      </w:r>
      <w:r w:rsidRPr="00D42E18">
        <w:rPr>
          <w:b/>
        </w:rPr>
        <w:t xml:space="preserve"> If completing this section you also need to have completed Sections 1-10.</w:t>
      </w:r>
    </w:p>
    <w:p w14:paraId="7A61FEAA" w14:textId="77777777" w:rsidR="00A21B5F" w:rsidRPr="00D42E18" w:rsidRDefault="00A21B5F" w:rsidP="00A21B5F"/>
    <w:p w14:paraId="1C73CA87" w14:textId="4A1C803C" w:rsidR="00A21B5F" w:rsidRPr="00D42E18" w:rsidRDefault="00A21B5F" w:rsidP="00A21B5F">
      <w:r w:rsidRPr="00D42E18">
        <w:rPr>
          <w:b/>
          <w:color w:val="582C83"/>
        </w:rPr>
        <w:t>10.1.</w:t>
      </w:r>
      <w:r w:rsidRPr="00D42E18">
        <w:tab/>
        <w:t>Is this research a Clinical Trial?</w:t>
      </w:r>
      <w:r w:rsidRPr="00D42E18">
        <w:tab/>
      </w:r>
      <w:r w:rsidRPr="00D42E18">
        <w:tab/>
      </w:r>
      <w:sdt>
        <w:sdtPr>
          <w:id w:val="-440615561"/>
          <w14:checkbox>
            <w14:checked w14:val="1"/>
            <w14:checkedState w14:val="2612" w14:font="MS Gothic"/>
            <w14:uncheckedState w14:val="2610" w14:font="MS Gothic"/>
          </w14:checkbox>
        </w:sdtPr>
        <w:sdtEndPr/>
        <w:sdtContent>
          <w:r w:rsidR="00C71274" w:rsidRPr="00D42E18">
            <w:rPr>
              <w:rFonts w:ascii="Segoe UI Symbol" w:eastAsia="MS Gothic" w:hAnsi="Segoe UI Symbol" w:cs="Segoe UI Symbol"/>
            </w:rPr>
            <w:t>☒</w:t>
          </w:r>
        </w:sdtContent>
      </w:sdt>
      <w:r w:rsidRPr="00D42E18">
        <w:t xml:space="preserve"> Yes</w:t>
      </w:r>
      <w:r w:rsidRPr="00D42E18">
        <w:tab/>
        <w:t xml:space="preserve">     </w:t>
      </w:r>
      <w:sdt>
        <w:sdtPr>
          <w:id w:val="522751862"/>
          <w14:checkbox>
            <w14:checked w14:val="0"/>
            <w14:checkedState w14:val="2612" w14:font="MS Gothic"/>
            <w14:uncheckedState w14:val="2610" w14:font="MS Gothic"/>
          </w14:checkbox>
        </w:sdtPr>
        <w:sdtEndPr/>
        <w:sdtContent>
          <w:r w:rsidRPr="00D42E18">
            <w:rPr>
              <w:rFonts w:ascii="Segoe UI Symbol" w:eastAsia="MS Mincho" w:hAnsi="Segoe UI Symbol" w:cs="Segoe UI Symbol"/>
            </w:rPr>
            <w:t>☐</w:t>
          </w:r>
        </w:sdtContent>
      </w:sdt>
      <w:r w:rsidRPr="00D42E18">
        <w:t xml:space="preserve"> No</w:t>
      </w:r>
    </w:p>
    <w:p w14:paraId="212D5FCE" w14:textId="77777777" w:rsidR="00A21B5F" w:rsidRPr="00D42E18" w:rsidRDefault="00A21B5F" w:rsidP="00A21B5F">
      <w:pPr>
        <w:ind w:left="720"/>
      </w:pPr>
      <w:r w:rsidRPr="00D42E18">
        <w:t>The WHO defines a clinical trial as “any research study that prospectively assigns human participants or groups of humans to one or more health-related interventions to evaluate the effects on health outcomes.”</w:t>
      </w:r>
    </w:p>
    <w:p w14:paraId="64C1359B" w14:textId="77777777" w:rsidR="00A21B5F" w:rsidRPr="00D42E18" w:rsidRDefault="00050FE8" w:rsidP="00A21B5F">
      <w:pPr>
        <w:ind w:firstLine="720"/>
      </w:pPr>
      <w:hyperlink r:id="rId19" w:history="1">
        <w:r w:rsidR="00A21B5F" w:rsidRPr="00D42E18">
          <w:rPr>
            <w:rStyle w:val="Hyperlink"/>
          </w:rPr>
          <w:t>http://www.who.int/topics/clinical_trials/en</w:t>
        </w:r>
      </w:hyperlink>
      <w:r w:rsidR="00A21B5F" w:rsidRPr="00D42E18">
        <w:t xml:space="preserve"> </w:t>
      </w:r>
    </w:p>
    <w:p w14:paraId="633257FE" w14:textId="77777777" w:rsidR="00A21B5F" w:rsidRPr="00D42E18" w:rsidRDefault="00A21B5F" w:rsidP="00A21B5F"/>
    <w:p w14:paraId="1D669F91" w14:textId="77777777" w:rsidR="00A21B5F" w:rsidRPr="00D42E18" w:rsidRDefault="00A21B5F" w:rsidP="00A21B5F">
      <w:r w:rsidRPr="00D42E18">
        <w:tab/>
        <w:t xml:space="preserve">The National Statement says: </w:t>
      </w:r>
    </w:p>
    <w:p w14:paraId="05042D8F" w14:textId="77777777" w:rsidR="00A21B5F" w:rsidRPr="00D42E18" w:rsidRDefault="00A21B5F" w:rsidP="00A21B5F">
      <w:pPr>
        <w:rPr>
          <w:i/>
          <w:iCs/>
          <w:color w:val="221E1F"/>
        </w:rPr>
      </w:pPr>
      <w:r w:rsidRPr="00D42E18">
        <w:rPr>
          <w:i/>
          <w:iCs/>
          <w:color w:val="221E1F"/>
        </w:rPr>
        <w:t xml:space="preserve">3.1.7 For any research project that prospectively assigns human participants or groups of humans to one or more health-related interventions to evaluate the effects on health outcomes, researchers must register the project as a clinical trial on a publicly accessible register complying with international standards (see information on the International Clinical Trials Registry Platform (ICTRP) on the World Health </w:t>
      </w:r>
      <w:proofErr w:type="spellStart"/>
      <w:r w:rsidRPr="00D42E18">
        <w:rPr>
          <w:i/>
          <w:iCs/>
          <w:color w:val="221E1F"/>
        </w:rPr>
        <w:t>Organisation</w:t>
      </w:r>
      <w:proofErr w:type="spellEnd"/>
      <w:r w:rsidRPr="00D42E18">
        <w:rPr>
          <w:i/>
          <w:iCs/>
          <w:color w:val="221E1F"/>
        </w:rPr>
        <w:t xml:space="preserve"> website) before the recruitment of the first participant.</w:t>
      </w:r>
    </w:p>
    <w:p w14:paraId="0C547D0D" w14:textId="77777777" w:rsidR="00A21B5F" w:rsidRPr="00D42E18" w:rsidRDefault="00A21B5F" w:rsidP="00A21B5F">
      <w:pPr>
        <w:rPr>
          <w:i/>
          <w:iCs/>
          <w:color w:val="221E1F"/>
        </w:rPr>
      </w:pPr>
    </w:p>
    <w:p w14:paraId="204E14BF" w14:textId="69FEA3F9" w:rsidR="00A21B5F" w:rsidRPr="00D42E18" w:rsidRDefault="00A21B5F" w:rsidP="00A21B5F">
      <w:r w:rsidRPr="00D42E18">
        <w:rPr>
          <w:b/>
          <w:color w:val="582C83"/>
        </w:rPr>
        <w:t xml:space="preserve">10.2. </w:t>
      </w:r>
      <w:r w:rsidRPr="00D42E18">
        <w:rPr>
          <w:iCs/>
          <w:color w:val="221E1F"/>
        </w:rPr>
        <w:t xml:space="preserve">Will you register this trial on a publicly available register? </w:t>
      </w:r>
      <w:sdt>
        <w:sdtPr>
          <w:id w:val="858397769"/>
          <w14:checkbox>
            <w14:checked w14:val="1"/>
            <w14:checkedState w14:val="2612" w14:font="MS Gothic"/>
            <w14:uncheckedState w14:val="2610" w14:font="MS Gothic"/>
          </w14:checkbox>
        </w:sdtPr>
        <w:sdtEndPr/>
        <w:sdtContent>
          <w:r w:rsidR="00C71274" w:rsidRPr="00D42E18">
            <w:rPr>
              <w:rFonts w:ascii="Segoe UI Symbol" w:eastAsia="MS Gothic" w:hAnsi="Segoe UI Symbol" w:cs="Segoe UI Symbol"/>
            </w:rPr>
            <w:t>☒</w:t>
          </w:r>
        </w:sdtContent>
      </w:sdt>
      <w:r w:rsidRPr="00D42E18">
        <w:t xml:space="preserve"> Yes       </w:t>
      </w:r>
      <w:sdt>
        <w:sdtPr>
          <w:id w:val="2098364957"/>
          <w14:checkbox>
            <w14:checked w14:val="0"/>
            <w14:checkedState w14:val="2612" w14:font="MS Gothic"/>
            <w14:uncheckedState w14:val="2610" w14:font="MS Gothic"/>
          </w14:checkbox>
        </w:sdtPr>
        <w:sdtEndPr/>
        <w:sdtContent>
          <w:r w:rsidRPr="00D42E18">
            <w:rPr>
              <w:rFonts w:ascii="Segoe UI Symbol" w:eastAsia="MS Mincho" w:hAnsi="Segoe UI Symbol" w:cs="Segoe UI Symbol"/>
            </w:rPr>
            <w:t>☐</w:t>
          </w:r>
        </w:sdtContent>
      </w:sdt>
      <w:r w:rsidRPr="00D42E18">
        <w:t xml:space="preserve"> No</w:t>
      </w:r>
    </w:p>
    <w:p w14:paraId="6E7E9FA0" w14:textId="77777777" w:rsidR="00A21B5F" w:rsidRPr="00D42E18" w:rsidRDefault="00A21B5F" w:rsidP="00A21B5F">
      <w:pPr>
        <w:rPr>
          <w:iCs/>
          <w:color w:val="221E1F"/>
        </w:rPr>
      </w:pPr>
      <w:r w:rsidRPr="00D42E18">
        <w:rPr>
          <w:iCs/>
          <w:color w:val="221E1F"/>
        </w:rPr>
        <w:t>If no, why not?</w:t>
      </w:r>
    </w:p>
    <w:p w14:paraId="0ABEBED4" w14:textId="77777777" w:rsidR="00A21B5F" w:rsidRPr="00D42E18" w:rsidRDefault="00A21B5F" w:rsidP="00A21B5F">
      <w:pPr>
        <w:rPr>
          <w:i/>
          <w:iCs/>
        </w:rPr>
      </w:pPr>
    </w:p>
    <w:p w14:paraId="52AB8EAD" w14:textId="44EED9F8" w:rsidR="00A21B5F" w:rsidRPr="00D42E18" w:rsidRDefault="00A21B5F" w:rsidP="00A21B5F">
      <w:r w:rsidRPr="00D42E18">
        <w:rPr>
          <w:b/>
          <w:color w:val="7030A0"/>
        </w:rPr>
        <w:t xml:space="preserve">10.3. </w:t>
      </w:r>
      <w:r w:rsidRPr="00D42E18">
        <w:t xml:space="preserve">Will the research require registration with the Therapeutic Goods Administration? </w:t>
      </w:r>
      <w:sdt>
        <w:sdtPr>
          <w:id w:val="-847552300"/>
          <w14:checkbox>
            <w14:checked w14:val="0"/>
            <w14:checkedState w14:val="2612" w14:font="MS Gothic"/>
            <w14:uncheckedState w14:val="2610" w14:font="MS Gothic"/>
          </w14:checkbox>
        </w:sdtPr>
        <w:sdtEndPr/>
        <w:sdtContent>
          <w:r w:rsidRPr="00D42E18">
            <w:rPr>
              <w:rFonts w:ascii="Segoe UI Symbol" w:eastAsia="MS Mincho" w:hAnsi="Segoe UI Symbol" w:cs="Segoe UI Symbol"/>
            </w:rPr>
            <w:t>☐</w:t>
          </w:r>
        </w:sdtContent>
      </w:sdt>
      <w:r w:rsidRPr="00D42E18">
        <w:t xml:space="preserve"> Yes       </w:t>
      </w:r>
      <w:sdt>
        <w:sdtPr>
          <w:id w:val="-1626536153"/>
          <w14:checkbox>
            <w14:checked w14:val="1"/>
            <w14:checkedState w14:val="2612" w14:font="MS Gothic"/>
            <w14:uncheckedState w14:val="2610" w14:font="MS Gothic"/>
          </w14:checkbox>
        </w:sdtPr>
        <w:sdtEndPr/>
        <w:sdtContent>
          <w:r w:rsidR="00C71274" w:rsidRPr="00D42E18">
            <w:rPr>
              <w:rFonts w:ascii="Segoe UI Symbol" w:eastAsia="MS Gothic" w:hAnsi="Segoe UI Symbol" w:cs="Segoe UI Symbol"/>
            </w:rPr>
            <w:t>☒</w:t>
          </w:r>
        </w:sdtContent>
      </w:sdt>
      <w:r w:rsidRPr="00D42E18">
        <w:t xml:space="preserve"> No</w:t>
      </w:r>
    </w:p>
    <w:p w14:paraId="1A8D5D83" w14:textId="77777777" w:rsidR="00A21B5F" w:rsidRPr="00D42E18" w:rsidRDefault="00A21B5F" w:rsidP="00A21B5F">
      <w:pPr>
        <w:ind w:left="720"/>
      </w:pPr>
      <w:r w:rsidRPr="00D42E18">
        <w:t xml:space="preserve">For information on how to register a clinical trial under the Western Sydney TGA account contact the human ethics team </w:t>
      </w:r>
      <w:hyperlink r:id="rId20" w:history="1">
        <w:r w:rsidRPr="00D42E18">
          <w:rPr>
            <w:rStyle w:val="Hyperlink"/>
          </w:rPr>
          <w:t>humanethics@westernsydney.edu.au</w:t>
        </w:r>
      </w:hyperlink>
    </w:p>
    <w:p w14:paraId="3C493C30" w14:textId="77777777" w:rsidR="00A21B5F" w:rsidRPr="00D42E18" w:rsidRDefault="00A21B5F" w:rsidP="00A21B5F">
      <w:pPr>
        <w:rPr>
          <w:b/>
          <w:color w:val="582C83"/>
        </w:rPr>
      </w:pPr>
    </w:p>
    <w:p w14:paraId="6096CFDB" w14:textId="445A6834" w:rsidR="00A21B5F" w:rsidRPr="00D42E18" w:rsidRDefault="00A21B5F" w:rsidP="00A21B5F">
      <w:r w:rsidRPr="00D42E18">
        <w:rPr>
          <w:b/>
          <w:color w:val="582C83"/>
        </w:rPr>
        <w:t>10.4.</w:t>
      </w:r>
      <w:r w:rsidRPr="00D42E18">
        <w:tab/>
        <w:t xml:space="preserve">Will the trial seek registration under the CTN/CTX scheme?      </w:t>
      </w:r>
      <w:sdt>
        <w:sdtPr>
          <w:id w:val="-1709869149"/>
          <w14:checkbox>
            <w14:checked w14:val="1"/>
            <w14:checkedState w14:val="2612" w14:font="MS Gothic"/>
            <w14:uncheckedState w14:val="2610" w14:font="MS Gothic"/>
          </w14:checkbox>
        </w:sdtPr>
        <w:sdtEndPr/>
        <w:sdtContent>
          <w:r w:rsidR="00C71274" w:rsidRPr="00D42E18">
            <w:rPr>
              <w:rFonts w:ascii="Segoe UI Symbol" w:eastAsia="MS Gothic" w:hAnsi="Segoe UI Symbol" w:cs="Segoe UI Symbol"/>
            </w:rPr>
            <w:t>☒</w:t>
          </w:r>
        </w:sdtContent>
      </w:sdt>
      <w:r w:rsidRPr="00D42E18">
        <w:t xml:space="preserve"> Yes       </w:t>
      </w:r>
      <w:sdt>
        <w:sdtPr>
          <w:id w:val="-10460454"/>
          <w14:checkbox>
            <w14:checked w14:val="0"/>
            <w14:checkedState w14:val="2612" w14:font="MS Gothic"/>
            <w14:uncheckedState w14:val="2610" w14:font="MS Gothic"/>
          </w14:checkbox>
        </w:sdtPr>
        <w:sdtEndPr/>
        <w:sdtContent>
          <w:r w:rsidRPr="00D42E18">
            <w:rPr>
              <w:rFonts w:ascii="Segoe UI Symbol" w:eastAsia="MS Mincho" w:hAnsi="Segoe UI Symbol" w:cs="Segoe UI Symbol"/>
            </w:rPr>
            <w:t>☐</w:t>
          </w:r>
        </w:sdtContent>
      </w:sdt>
      <w:r w:rsidRPr="00D42E18">
        <w:t xml:space="preserve"> No</w:t>
      </w:r>
    </w:p>
    <w:p w14:paraId="14B0FD45" w14:textId="77777777" w:rsidR="00A21B5F" w:rsidRPr="00D42E18" w:rsidRDefault="00A21B5F" w:rsidP="00A21B5F">
      <w:pPr>
        <w:pBdr>
          <w:bottom w:val="single" w:sz="6" w:space="1" w:color="auto"/>
        </w:pBdr>
      </w:pPr>
    </w:p>
    <w:p w14:paraId="07B3438C" w14:textId="77777777" w:rsidR="00A21B5F" w:rsidRPr="00D42E18" w:rsidRDefault="00A21B5F" w:rsidP="00A21B5F">
      <w:pPr>
        <w:tabs>
          <w:tab w:val="left" w:pos="993"/>
          <w:tab w:val="center" w:pos="4320"/>
          <w:tab w:val="right" w:pos="8640"/>
        </w:tabs>
        <w:jc w:val="center"/>
        <w:rPr>
          <w:b/>
          <w:color w:val="582C83"/>
        </w:rPr>
      </w:pPr>
    </w:p>
    <w:p w14:paraId="4251BD7F" w14:textId="77777777" w:rsidR="002A3839" w:rsidRDefault="002A3839" w:rsidP="002A3839">
      <w:pPr>
        <w:pStyle w:val="Default"/>
        <w:rPr>
          <w:sz w:val="23"/>
          <w:szCs w:val="23"/>
        </w:rPr>
      </w:pPr>
      <w:r>
        <w:rPr>
          <w:b/>
          <w:bCs/>
          <w:sz w:val="23"/>
          <w:szCs w:val="23"/>
        </w:rPr>
        <w:t xml:space="preserve">References </w:t>
      </w:r>
    </w:p>
    <w:p w14:paraId="54DF8D73" w14:textId="77777777" w:rsidR="002A3839" w:rsidRDefault="002A3839" w:rsidP="002A3839">
      <w:pPr>
        <w:pStyle w:val="Default"/>
        <w:spacing w:after="26"/>
        <w:rPr>
          <w:sz w:val="20"/>
          <w:szCs w:val="20"/>
        </w:rPr>
      </w:pPr>
      <w:r>
        <w:rPr>
          <w:sz w:val="22"/>
          <w:szCs w:val="22"/>
        </w:rPr>
        <w:t xml:space="preserve">1. </w:t>
      </w:r>
      <w:r>
        <w:rPr>
          <w:sz w:val="20"/>
          <w:szCs w:val="20"/>
        </w:rPr>
        <w:t xml:space="preserve">Australian Institute of Health and welfare. Cancer in adolescents and young adults in Australia 2018 [Available from: https://www.aihw.gov.au/getmedia/ed22109b-ab23-4273-8d23-7949a8922ea2/aihw-can- 110.pdf.aspx?inline=true. </w:t>
      </w:r>
    </w:p>
    <w:p w14:paraId="1F42463A" w14:textId="77777777" w:rsidR="002A3839" w:rsidRDefault="002A3839" w:rsidP="002A3839">
      <w:pPr>
        <w:pStyle w:val="Default"/>
        <w:spacing w:after="26"/>
        <w:rPr>
          <w:sz w:val="20"/>
          <w:szCs w:val="20"/>
        </w:rPr>
      </w:pPr>
      <w:r>
        <w:rPr>
          <w:sz w:val="20"/>
          <w:szCs w:val="20"/>
        </w:rPr>
        <w:t xml:space="preserve">2. Kim B, Patterson P, White K. Developmental considerations of young people with cancer transitioning to adulthood. European journal of cancer care. 2018;27(6):e12836-n/a. </w:t>
      </w:r>
    </w:p>
    <w:p w14:paraId="4C8CE38E" w14:textId="77777777" w:rsidR="002A3839" w:rsidRDefault="002A3839" w:rsidP="002A3839">
      <w:pPr>
        <w:pStyle w:val="Default"/>
        <w:spacing w:after="26"/>
        <w:rPr>
          <w:sz w:val="20"/>
          <w:szCs w:val="20"/>
        </w:rPr>
      </w:pPr>
      <w:r>
        <w:rPr>
          <w:sz w:val="20"/>
          <w:szCs w:val="20"/>
        </w:rPr>
        <w:t xml:space="preserve">3. Kim B, White K, Patterson P. Understanding the experiences of adolescents and young adults with cancer: A meta-synthesis. European Journal of Oncology Nursing. 2016;24:39-53. </w:t>
      </w:r>
    </w:p>
    <w:p w14:paraId="5402992C" w14:textId="77777777" w:rsidR="002A3839" w:rsidRDefault="002A3839" w:rsidP="002A3839">
      <w:pPr>
        <w:pStyle w:val="Default"/>
        <w:rPr>
          <w:sz w:val="20"/>
          <w:szCs w:val="20"/>
        </w:rPr>
      </w:pPr>
      <w:r>
        <w:rPr>
          <w:sz w:val="20"/>
          <w:szCs w:val="20"/>
        </w:rPr>
        <w:t xml:space="preserve">4. </w:t>
      </w:r>
      <w:proofErr w:type="spellStart"/>
      <w:r>
        <w:rPr>
          <w:sz w:val="20"/>
          <w:szCs w:val="20"/>
        </w:rPr>
        <w:t>Husson</w:t>
      </w:r>
      <w:proofErr w:type="spellEnd"/>
      <w:r>
        <w:rPr>
          <w:sz w:val="20"/>
          <w:szCs w:val="20"/>
        </w:rPr>
        <w:t xml:space="preserve"> O, </w:t>
      </w:r>
      <w:proofErr w:type="spellStart"/>
      <w:r>
        <w:rPr>
          <w:sz w:val="20"/>
          <w:szCs w:val="20"/>
        </w:rPr>
        <w:t>Zebrack</w:t>
      </w:r>
      <w:proofErr w:type="spellEnd"/>
      <w:r>
        <w:rPr>
          <w:sz w:val="20"/>
          <w:szCs w:val="20"/>
        </w:rPr>
        <w:t xml:space="preserve"> B, Block R, Embry L, Aguilar C, Hayes-Lattin B, et al. Posttraumatic growth and well-being among adolescents and young adults (AYAs) with cancer: a longitudinal study. Supportive Care In Cancer: Official Journal Of The Multinational Association Of Supportive Care In Cancer. </w:t>
      </w:r>
    </w:p>
    <w:p w14:paraId="5F79D65C" w14:textId="77777777" w:rsidR="002A3839" w:rsidRDefault="002A3839" w:rsidP="002A3839">
      <w:pPr>
        <w:pStyle w:val="Default"/>
        <w:spacing w:after="43"/>
        <w:rPr>
          <w:sz w:val="20"/>
          <w:szCs w:val="20"/>
        </w:rPr>
      </w:pPr>
      <w:r>
        <w:rPr>
          <w:sz w:val="20"/>
          <w:szCs w:val="20"/>
        </w:rPr>
        <w:t xml:space="preserve">5. </w:t>
      </w:r>
      <w:proofErr w:type="spellStart"/>
      <w:r>
        <w:rPr>
          <w:sz w:val="20"/>
          <w:szCs w:val="20"/>
        </w:rPr>
        <w:t>CanTeen</w:t>
      </w:r>
      <w:proofErr w:type="spellEnd"/>
      <w:r>
        <w:rPr>
          <w:sz w:val="20"/>
          <w:szCs w:val="20"/>
        </w:rPr>
        <w:t xml:space="preserve"> Australia. The economic cost of cancer in adolescents and young adults. 2018. </w:t>
      </w:r>
    </w:p>
    <w:p w14:paraId="60217FC2" w14:textId="77777777" w:rsidR="002A3839" w:rsidRDefault="002A3839" w:rsidP="002A3839">
      <w:pPr>
        <w:pStyle w:val="Default"/>
        <w:spacing w:after="43"/>
        <w:rPr>
          <w:sz w:val="20"/>
          <w:szCs w:val="20"/>
        </w:rPr>
      </w:pPr>
      <w:r>
        <w:rPr>
          <w:sz w:val="20"/>
          <w:szCs w:val="20"/>
        </w:rPr>
        <w:t xml:space="preserve">6. Barnett M, McDonnell G, DeRosa A, Schuler T, Philip E, Peterson L, et al. Psychosocial outcomes and interventions among cancer survivors diagnosed during adolescence and young adulthood (AYA): a systematic review. Journal of cancer survivorship : research and practice. 2016;10(5):814-31. </w:t>
      </w:r>
    </w:p>
    <w:p w14:paraId="002F1B62" w14:textId="4E1BE339" w:rsidR="002A3839" w:rsidRDefault="002A3839" w:rsidP="002A3839">
      <w:pPr>
        <w:pStyle w:val="Default"/>
        <w:spacing w:after="43"/>
        <w:rPr>
          <w:sz w:val="20"/>
          <w:szCs w:val="20"/>
        </w:rPr>
      </w:pPr>
      <w:r>
        <w:rPr>
          <w:sz w:val="20"/>
          <w:szCs w:val="20"/>
        </w:rPr>
        <w:t xml:space="preserve">7. Pathrose SP, Everett B, Patterson P, Ussher J, Salamonson Y, McDonald F, et al. Mindfulness- Based </w:t>
      </w:r>
      <w:r w:rsidR="006F4051">
        <w:rPr>
          <w:sz w:val="20"/>
          <w:szCs w:val="20"/>
        </w:rPr>
        <w:t>Program</w:t>
      </w:r>
      <w:r>
        <w:rPr>
          <w:sz w:val="20"/>
          <w:szCs w:val="20"/>
        </w:rPr>
        <w:t xml:space="preserve">s for Young People With Cancer: An Integrative Literature Review. Cancer Nursing. 2020;Publish Ahead of Print. </w:t>
      </w:r>
    </w:p>
    <w:p w14:paraId="2A3A3347" w14:textId="6882E147" w:rsidR="002A3839" w:rsidRDefault="002A3839" w:rsidP="002A3839">
      <w:pPr>
        <w:pStyle w:val="Default"/>
        <w:spacing w:after="43"/>
        <w:rPr>
          <w:sz w:val="20"/>
          <w:szCs w:val="20"/>
        </w:rPr>
      </w:pPr>
      <w:r>
        <w:rPr>
          <w:sz w:val="20"/>
          <w:szCs w:val="20"/>
        </w:rPr>
        <w:t xml:space="preserve">8. Van der Gucht K, Takano K, </w:t>
      </w:r>
      <w:proofErr w:type="spellStart"/>
      <w:r>
        <w:rPr>
          <w:sz w:val="20"/>
          <w:szCs w:val="20"/>
        </w:rPr>
        <w:t>Labarque</w:t>
      </w:r>
      <w:proofErr w:type="spellEnd"/>
      <w:r>
        <w:rPr>
          <w:sz w:val="20"/>
          <w:szCs w:val="20"/>
        </w:rPr>
        <w:t xml:space="preserve"> V, </w:t>
      </w:r>
      <w:proofErr w:type="spellStart"/>
      <w:r>
        <w:rPr>
          <w:sz w:val="20"/>
          <w:szCs w:val="20"/>
        </w:rPr>
        <w:t>Vandenabeele</w:t>
      </w:r>
      <w:proofErr w:type="spellEnd"/>
      <w:r>
        <w:rPr>
          <w:sz w:val="20"/>
          <w:szCs w:val="20"/>
        </w:rPr>
        <w:t xml:space="preserve"> K, </w:t>
      </w:r>
      <w:proofErr w:type="spellStart"/>
      <w:r>
        <w:rPr>
          <w:sz w:val="20"/>
          <w:szCs w:val="20"/>
        </w:rPr>
        <w:t>Nolf</w:t>
      </w:r>
      <w:proofErr w:type="spellEnd"/>
      <w:r>
        <w:rPr>
          <w:sz w:val="20"/>
          <w:szCs w:val="20"/>
        </w:rPr>
        <w:t xml:space="preserve"> N, Kuylen S, et al. A Mindfulness- Based </w:t>
      </w:r>
      <w:r w:rsidR="006F4051">
        <w:rPr>
          <w:sz w:val="20"/>
          <w:szCs w:val="20"/>
        </w:rPr>
        <w:t>Program</w:t>
      </w:r>
      <w:r>
        <w:rPr>
          <w:sz w:val="20"/>
          <w:szCs w:val="20"/>
        </w:rPr>
        <w:t xml:space="preserve"> for Adolescents and Young Adults After Cancer Treatment: Effects on Quality of Life, Emotional Distress, and Cognitive Vulnerability. Journal of Adolescent &amp; Young Adult Oncology. 2017;6(2):307-17. </w:t>
      </w:r>
    </w:p>
    <w:p w14:paraId="15CDF8DF" w14:textId="77777777" w:rsidR="002A3839" w:rsidRDefault="002A3839" w:rsidP="002A3839">
      <w:pPr>
        <w:pStyle w:val="Default"/>
        <w:spacing w:after="43"/>
        <w:rPr>
          <w:sz w:val="20"/>
          <w:szCs w:val="20"/>
        </w:rPr>
      </w:pPr>
      <w:r>
        <w:rPr>
          <w:sz w:val="20"/>
          <w:szCs w:val="20"/>
        </w:rPr>
        <w:t xml:space="preserve">9. </w:t>
      </w:r>
      <w:proofErr w:type="spellStart"/>
      <w:r>
        <w:rPr>
          <w:sz w:val="20"/>
          <w:szCs w:val="20"/>
        </w:rPr>
        <w:t>Malboeuf-Hurtubise</w:t>
      </w:r>
      <w:proofErr w:type="spellEnd"/>
      <w:r>
        <w:rPr>
          <w:sz w:val="20"/>
          <w:szCs w:val="20"/>
        </w:rPr>
        <w:t xml:space="preserve"> C, Achille M, Muise L, Beauregard-Lacroix R, Vadnais M, </w:t>
      </w:r>
      <w:proofErr w:type="spellStart"/>
      <w:r>
        <w:rPr>
          <w:sz w:val="20"/>
          <w:szCs w:val="20"/>
        </w:rPr>
        <w:t>Lacourse</w:t>
      </w:r>
      <w:proofErr w:type="spellEnd"/>
      <w:r>
        <w:rPr>
          <w:sz w:val="20"/>
          <w:szCs w:val="20"/>
        </w:rPr>
        <w:t xml:space="preserve"> É. A Mindfulness-Based Meditation Pilot Study: Lessons Learned on Acceptability and Feasibility in Adolescents with Cancer. Journal of Child and Family Studies. 2016;25(4):1168-77. </w:t>
      </w:r>
    </w:p>
    <w:p w14:paraId="19D14F37" w14:textId="77777777" w:rsidR="002A3839" w:rsidRDefault="002A3839" w:rsidP="002A3839">
      <w:pPr>
        <w:pStyle w:val="Default"/>
        <w:spacing w:after="43"/>
        <w:rPr>
          <w:sz w:val="20"/>
          <w:szCs w:val="20"/>
        </w:rPr>
      </w:pPr>
      <w:r>
        <w:rPr>
          <w:sz w:val="20"/>
          <w:szCs w:val="20"/>
        </w:rPr>
        <w:t xml:space="preserve">10. </w:t>
      </w:r>
      <w:proofErr w:type="spellStart"/>
      <w:r>
        <w:rPr>
          <w:sz w:val="20"/>
          <w:szCs w:val="20"/>
        </w:rPr>
        <w:t>Zebrack</w:t>
      </w:r>
      <w:proofErr w:type="spellEnd"/>
      <w:r>
        <w:rPr>
          <w:sz w:val="20"/>
          <w:szCs w:val="20"/>
        </w:rPr>
        <w:t xml:space="preserve"> BJ, Block R, Hayes-Lattin B, Embry L, Aguilar C, </w:t>
      </w:r>
      <w:proofErr w:type="spellStart"/>
      <w:r>
        <w:rPr>
          <w:sz w:val="20"/>
          <w:szCs w:val="20"/>
        </w:rPr>
        <w:t>Meeske</w:t>
      </w:r>
      <w:proofErr w:type="spellEnd"/>
      <w:r>
        <w:rPr>
          <w:sz w:val="20"/>
          <w:szCs w:val="20"/>
        </w:rPr>
        <w:t xml:space="preserve"> KA, et al. Psychosocial service use and unmet need among recently diagnosed adolescent and young adult cancer patients. Cancer. 2013;119(1):201-14. </w:t>
      </w:r>
    </w:p>
    <w:p w14:paraId="0DD8C068" w14:textId="77777777" w:rsidR="002A3839" w:rsidRDefault="002A3839" w:rsidP="002A3839">
      <w:pPr>
        <w:pStyle w:val="Default"/>
        <w:spacing w:after="43"/>
        <w:rPr>
          <w:sz w:val="20"/>
          <w:szCs w:val="20"/>
        </w:rPr>
      </w:pPr>
      <w:r>
        <w:rPr>
          <w:sz w:val="20"/>
          <w:szCs w:val="20"/>
        </w:rPr>
        <w:t xml:space="preserve">11. Medlow S, Patterson P. Determining research priorities for adolescent and young adult cancer in Australia. European Journal of Cancer Care. 2015;24(4):590-9. </w:t>
      </w:r>
    </w:p>
    <w:p w14:paraId="4F5A1DF0" w14:textId="77777777" w:rsidR="002A3839" w:rsidRDefault="002A3839" w:rsidP="002A3839">
      <w:pPr>
        <w:pStyle w:val="Default"/>
        <w:spacing w:after="43"/>
        <w:rPr>
          <w:sz w:val="20"/>
          <w:szCs w:val="20"/>
        </w:rPr>
      </w:pPr>
      <w:r>
        <w:rPr>
          <w:sz w:val="20"/>
          <w:szCs w:val="20"/>
        </w:rPr>
        <w:t xml:space="preserve">12. Phillips CR, Davis LL. Psychosocial Interventions for Adolescents and Young Adults with Cancer. Seminars in oncology nursing. 2015;31(3):242-50. </w:t>
      </w:r>
    </w:p>
    <w:p w14:paraId="4F3B56F4" w14:textId="77777777" w:rsidR="002A3839" w:rsidRDefault="002A3839" w:rsidP="002A3839">
      <w:pPr>
        <w:pStyle w:val="Default"/>
        <w:spacing w:after="43"/>
        <w:rPr>
          <w:sz w:val="20"/>
          <w:szCs w:val="20"/>
        </w:rPr>
      </w:pPr>
      <w:r>
        <w:rPr>
          <w:sz w:val="20"/>
          <w:szCs w:val="20"/>
        </w:rPr>
        <w:lastRenderedPageBreak/>
        <w:t xml:space="preserve">13. </w:t>
      </w:r>
      <w:proofErr w:type="spellStart"/>
      <w:r>
        <w:rPr>
          <w:sz w:val="20"/>
          <w:szCs w:val="20"/>
        </w:rPr>
        <w:t>Victorson</w:t>
      </w:r>
      <w:proofErr w:type="spellEnd"/>
      <w:r>
        <w:rPr>
          <w:sz w:val="20"/>
          <w:szCs w:val="20"/>
        </w:rPr>
        <w:t xml:space="preserve"> D, Murphy K, Benedict C, Horowitz B, </w:t>
      </w:r>
      <w:proofErr w:type="spellStart"/>
      <w:r>
        <w:rPr>
          <w:sz w:val="20"/>
          <w:szCs w:val="20"/>
        </w:rPr>
        <w:t>Maletich</w:t>
      </w:r>
      <w:proofErr w:type="spellEnd"/>
      <w:r>
        <w:rPr>
          <w:sz w:val="20"/>
          <w:szCs w:val="20"/>
        </w:rPr>
        <w:t xml:space="preserve"> C, Cordero E, et al. A randomized pilot study of mindfulness-based stress reduction in a young adult cancer sample: Feasibility, acceptability, and changes in patient reported outcomes. Psycho-oncology. 2020. </w:t>
      </w:r>
    </w:p>
    <w:p w14:paraId="3283B585" w14:textId="77777777" w:rsidR="002A3839" w:rsidRDefault="002A3839" w:rsidP="002A3839">
      <w:pPr>
        <w:pStyle w:val="Default"/>
        <w:rPr>
          <w:sz w:val="20"/>
          <w:szCs w:val="20"/>
        </w:rPr>
      </w:pPr>
      <w:r>
        <w:rPr>
          <w:sz w:val="20"/>
          <w:szCs w:val="20"/>
        </w:rPr>
        <w:t xml:space="preserve">14. </w:t>
      </w:r>
      <w:proofErr w:type="spellStart"/>
      <w:r>
        <w:rPr>
          <w:sz w:val="20"/>
          <w:szCs w:val="20"/>
        </w:rPr>
        <w:t>Eysenbach</w:t>
      </w:r>
      <w:proofErr w:type="spellEnd"/>
      <w:r>
        <w:rPr>
          <w:sz w:val="20"/>
          <w:szCs w:val="20"/>
        </w:rPr>
        <w:t xml:space="preserve"> G, Warner E, </w:t>
      </w:r>
      <w:proofErr w:type="spellStart"/>
      <w:r>
        <w:rPr>
          <w:sz w:val="20"/>
          <w:szCs w:val="20"/>
        </w:rPr>
        <w:t>Siembida</w:t>
      </w:r>
      <w:proofErr w:type="spellEnd"/>
      <w:r>
        <w:rPr>
          <w:sz w:val="20"/>
          <w:szCs w:val="20"/>
        </w:rPr>
        <w:t xml:space="preserve"> E, </w:t>
      </w:r>
      <w:proofErr w:type="spellStart"/>
      <w:r>
        <w:rPr>
          <w:sz w:val="20"/>
          <w:szCs w:val="20"/>
        </w:rPr>
        <w:t>Bhatlekar</w:t>
      </w:r>
      <w:proofErr w:type="spellEnd"/>
      <w:r>
        <w:rPr>
          <w:sz w:val="20"/>
          <w:szCs w:val="20"/>
        </w:rPr>
        <w:t xml:space="preserve"> S, Donovan E, Martin SR, et al. A Mobile-Based Mindfulness and Social Support Program for Adolescents and Young Adults With Sarcoma: Development and Pilot Testing. JMIR </w:t>
      </w:r>
      <w:proofErr w:type="spellStart"/>
      <w:r>
        <w:rPr>
          <w:sz w:val="20"/>
          <w:szCs w:val="20"/>
        </w:rPr>
        <w:t>Mhealth</w:t>
      </w:r>
      <w:proofErr w:type="spellEnd"/>
      <w:r>
        <w:rPr>
          <w:sz w:val="20"/>
          <w:szCs w:val="20"/>
        </w:rPr>
        <w:t xml:space="preserve"> </w:t>
      </w:r>
      <w:proofErr w:type="spellStart"/>
      <w:r>
        <w:rPr>
          <w:sz w:val="20"/>
          <w:szCs w:val="20"/>
        </w:rPr>
        <w:t>Uhealth</w:t>
      </w:r>
      <w:proofErr w:type="spellEnd"/>
      <w:r>
        <w:rPr>
          <w:sz w:val="20"/>
          <w:szCs w:val="20"/>
        </w:rPr>
        <w:t xml:space="preserve">. 2019;7(3). </w:t>
      </w:r>
    </w:p>
    <w:p w14:paraId="41379D6C" w14:textId="77777777" w:rsidR="002A3839" w:rsidRDefault="002A3839" w:rsidP="002A3839">
      <w:pPr>
        <w:pStyle w:val="Default"/>
        <w:rPr>
          <w:sz w:val="20"/>
          <w:szCs w:val="20"/>
        </w:rPr>
      </w:pPr>
      <w:r>
        <w:rPr>
          <w:sz w:val="20"/>
          <w:szCs w:val="20"/>
        </w:rPr>
        <w:t xml:space="preserve">15. Sheeja Perumbil Pathrose PP, Jane Ussher, Bronwyn Everett, Yenna Salamonson, Fiona McDonald, Gina </w:t>
      </w:r>
    </w:p>
    <w:p w14:paraId="0D9F214A" w14:textId="77777777" w:rsidR="002A3839" w:rsidRDefault="002A3839" w:rsidP="002A3839">
      <w:pPr>
        <w:pStyle w:val="Default"/>
        <w:rPr>
          <w:sz w:val="20"/>
          <w:szCs w:val="20"/>
        </w:rPr>
      </w:pPr>
      <w:r>
        <w:rPr>
          <w:sz w:val="20"/>
          <w:szCs w:val="20"/>
        </w:rPr>
        <w:t>M. Biegel, Steven He, and Lucie Ramjan. Feasibility, Acceptability, and Psychosocial Outcomes of a Mindfulness-Based Interactive e-Book for Young People with Cancer. Journal of Adolescent and Young Adult Oncology. 2021;0(0)</w:t>
      </w:r>
    </w:p>
    <w:p w14:paraId="2CCCD153" w14:textId="77777777" w:rsidR="002A3839" w:rsidRDefault="002A3839" w:rsidP="002A3839"/>
    <w:p w14:paraId="0332FD8C" w14:textId="77777777" w:rsidR="00A21B5F" w:rsidRPr="00D42E18" w:rsidRDefault="00A21B5F" w:rsidP="002A3839">
      <w:pPr>
        <w:tabs>
          <w:tab w:val="left" w:pos="993"/>
          <w:tab w:val="center" w:pos="4320"/>
          <w:tab w:val="right" w:pos="8640"/>
        </w:tabs>
        <w:rPr>
          <w:b/>
          <w:color w:val="582C83"/>
        </w:rPr>
      </w:pPr>
    </w:p>
    <w:p w14:paraId="5635935D" w14:textId="77777777" w:rsidR="00A21B5F" w:rsidRPr="00D42E18" w:rsidRDefault="00A21B5F" w:rsidP="00A21B5F">
      <w:pPr>
        <w:tabs>
          <w:tab w:val="left" w:pos="993"/>
          <w:tab w:val="center" w:pos="4320"/>
          <w:tab w:val="right" w:pos="8640"/>
        </w:tabs>
        <w:jc w:val="center"/>
        <w:rPr>
          <w:b/>
          <w:color w:val="582C83"/>
        </w:rPr>
      </w:pPr>
    </w:p>
    <w:p w14:paraId="606336C5" w14:textId="77777777" w:rsidR="00A21B5F" w:rsidRPr="00D42E18" w:rsidRDefault="00A21B5F" w:rsidP="00A21B5F">
      <w:pPr>
        <w:tabs>
          <w:tab w:val="left" w:pos="993"/>
          <w:tab w:val="center" w:pos="4320"/>
          <w:tab w:val="right" w:pos="8640"/>
        </w:tabs>
        <w:jc w:val="center"/>
        <w:rPr>
          <w:b/>
          <w:color w:val="582C83"/>
        </w:rPr>
      </w:pPr>
    </w:p>
    <w:p w14:paraId="59390832" w14:textId="77777777" w:rsidR="00A21B5F" w:rsidRPr="00D42E18" w:rsidRDefault="00A21B5F" w:rsidP="00A21B5F">
      <w:pPr>
        <w:tabs>
          <w:tab w:val="left" w:pos="993"/>
          <w:tab w:val="center" w:pos="4320"/>
          <w:tab w:val="right" w:pos="8640"/>
        </w:tabs>
        <w:jc w:val="center"/>
        <w:rPr>
          <w:b/>
          <w:color w:val="582C83"/>
        </w:rPr>
      </w:pPr>
    </w:p>
    <w:p w14:paraId="7BFC3DD4" w14:textId="77777777" w:rsidR="00A21B5F" w:rsidRPr="00D42E18" w:rsidRDefault="00A21B5F" w:rsidP="00A21B5F">
      <w:pPr>
        <w:tabs>
          <w:tab w:val="left" w:pos="993"/>
          <w:tab w:val="center" w:pos="4320"/>
          <w:tab w:val="right" w:pos="8640"/>
        </w:tabs>
        <w:jc w:val="center"/>
        <w:rPr>
          <w:b/>
          <w:color w:val="582C83"/>
        </w:rPr>
      </w:pPr>
    </w:p>
    <w:p w14:paraId="16DCDBCA" w14:textId="77777777" w:rsidR="00BA1285" w:rsidRPr="00D42E18" w:rsidRDefault="00BA1285"/>
    <w:sectPr w:rsidR="00BA1285" w:rsidRPr="00D42E18" w:rsidSect="008226BF">
      <w:headerReference w:type="default" r:id="rId21"/>
      <w:footerReference w:type="default" r:id="rId22"/>
      <w:headerReference w:type="first" r:id="rId23"/>
      <w:footerReference w:type="first" r:id="rId24"/>
      <w:pgSz w:w="11907" w:h="16839" w:code="9"/>
      <w:pgMar w:top="993" w:right="720"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11E9" w14:textId="77777777" w:rsidR="00050FE8" w:rsidRDefault="00050FE8" w:rsidP="00A21B5F">
      <w:r>
        <w:separator/>
      </w:r>
    </w:p>
  </w:endnote>
  <w:endnote w:type="continuationSeparator" w:id="0">
    <w:p w14:paraId="736DD05F" w14:textId="77777777" w:rsidR="00050FE8" w:rsidRDefault="00050FE8" w:rsidP="00A2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02035"/>
      <w:docPartObj>
        <w:docPartGallery w:val="Page Numbers (Bottom of Page)"/>
        <w:docPartUnique/>
      </w:docPartObj>
    </w:sdtPr>
    <w:sdtEndPr>
      <w:rPr>
        <w:noProof/>
        <w:sz w:val="20"/>
        <w:szCs w:val="20"/>
      </w:rPr>
    </w:sdtEndPr>
    <w:sdtContent>
      <w:p w14:paraId="21479215" w14:textId="5D8C3B4D" w:rsidR="00892FC0" w:rsidRPr="002B3769" w:rsidRDefault="00334149" w:rsidP="002B3769">
        <w:pPr>
          <w:pStyle w:val="Footer"/>
          <w:rPr>
            <w:sz w:val="20"/>
            <w:szCs w:val="20"/>
          </w:rPr>
        </w:pPr>
        <w:r w:rsidRPr="00334149">
          <w:rPr>
            <w:rFonts w:asciiTheme="minorHAnsi" w:hAnsiTheme="minorHAnsi" w:cstheme="minorHAnsi"/>
            <w:color w:val="A6A6A6" w:themeColor="background1" w:themeShade="A6"/>
            <w:sz w:val="16"/>
            <w:szCs w:val="16"/>
          </w:rPr>
          <w:t xml:space="preserve">FORM: </w:t>
        </w:r>
        <w:r w:rsidR="00892FC0" w:rsidRPr="00334149">
          <w:rPr>
            <w:rFonts w:asciiTheme="minorHAnsi" w:hAnsiTheme="minorHAnsi" w:cstheme="minorHAnsi"/>
            <w:color w:val="A6A6A6" w:themeColor="background1" w:themeShade="A6"/>
            <w:sz w:val="16"/>
            <w:szCs w:val="16"/>
          </w:rPr>
          <w:t>Project Description V</w:t>
        </w:r>
        <w:r w:rsidRPr="00334149">
          <w:rPr>
            <w:rFonts w:asciiTheme="minorHAnsi" w:hAnsiTheme="minorHAnsi" w:cstheme="minorHAnsi"/>
            <w:color w:val="A6A6A6" w:themeColor="background1" w:themeShade="A6"/>
            <w:sz w:val="16"/>
            <w:szCs w:val="16"/>
          </w:rPr>
          <w:t>1</w:t>
        </w:r>
        <w:r w:rsidR="007258C4">
          <w:rPr>
            <w:rFonts w:asciiTheme="minorHAnsi" w:hAnsiTheme="minorHAnsi" w:cstheme="minorHAnsi"/>
            <w:color w:val="A6A6A6" w:themeColor="background1" w:themeShade="A6"/>
            <w:sz w:val="16"/>
            <w:szCs w:val="16"/>
          </w:rPr>
          <w:t>1 March 2022</w:t>
        </w:r>
        <w:r w:rsidR="00892FC0">
          <w:tab/>
        </w:r>
        <w:r w:rsidR="00892FC0" w:rsidRPr="002B3769">
          <w:rPr>
            <w:sz w:val="20"/>
            <w:szCs w:val="20"/>
          </w:rPr>
          <w:fldChar w:fldCharType="begin"/>
        </w:r>
        <w:r w:rsidR="00892FC0" w:rsidRPr="002B3769">
          <w:rPr>
            <w:sz w:val="20"/>
            <w:szCs w:val="20"/>
          </w:rPr>
          <w:instrText xml:space="preserve"> PAGE   \* MERGEFORMAT </w:instrText>
        </w:r>
        <w:r w:rsidR="00892FC0" w:rsidRPr="002B3769">
          <w:rPr>
            <w:sz w:val="20"/>
            <w:szCs w:val="20"/>
          </w:rPr>
          <w:fldChar w:fldCharType="separate"/>
        </w:r>
        <w:r w:rsidR="00774F2B">
          <w:rPr>
            <w:noProof/>
            <w:sz w:val="20"/>
            <w:szCs w:val="20"/>
          </w:rPr>
          <w:t>3</w:t>
        </w:r>
        <w:r w:rsidR="00892FC0" w:rsidRPr="002B3769">
          <w:rPr>
            <w:noProof/>
            <w:sz w:val="20"/>
            <w:szCs w:val="20"/>
          </w:rPr>
          <w:fldChar w:fldCharType="end"/>
        </w:r>
      </w:p>
    </w:sdtContent>
  </w:sdt>
  <w:p w14:paraId="51BBF28A" w14:textId="77777777" w:rsidR="00FC277B" w:rsidRPr="00C80034" w:rsidRDefault="00050FE8" w:rsidP="00C80034">
    <w:pPr>
      <w:pStyle w:val="Footer"/>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E2E7" w14:textId="77777777" w:rsidR="00521128" w:rsidRPr="0061506B" w:rsidRDefault="00404F51" w:rsidP="00521128">
    <w:pPr>
      <w:pStyle w:val="Footer"/>
      <w:jc w:val="right"/>
      <w:rPr>
        <w:rFonts w:ascii="Georgia" w:hAnsi="Georgia" w:cs="Arial"/>
        <w:sz w:val="20"/>
        <w:szCs w:val="20"/>
      </w:rPr>
    </w:pPr>
    <w:r w:rsidRPr="0061506B">
      <w:rPr>
        <w:rFonts w:ascii="Georgia" w:hAnsi="Georgia" w:cs="Arial"/>
        <w:sz w:val="20"/>
        <w:szCs w:val="20"/>
      </w:rPr>
      <w:fldChar w:fldCharType="begin"/>
    </w:r>
    <w:r w:rsidRPr="0061506B">
      <w:rPr>
        <w:rFonts w:ascii="Georgia" w:hAnsi="Georgia" w:cs="Arial"/>
        <w:sz w:val="20"/>
        <w:szCs w:val="20"/>
      </w:rPr>
      <w:instrText xml:space="preserve"> PAGE  \* Arabic  \* MERGEFORMAT </w:instrText>
    </w:r>
    <w:r w:rsidRPr="0061506B">
      <w:rPr>
        <w:rFonts w:ascii="Georgia" w:hAnsi="Georgia" w:cs="Arial"/>
        <w:sz w:val="20"/>
        <w:szCs w:val="20"/>
      </w:rPr>
      <w:fldChar w:fldCharType="separate"/>
    </w:r>
    <w:r>
      <w:rPr>
        <w:rFonts w:ascii="Georgia" w:hAnsi="Georgia" w:cs="Arial"/>
        <w:noProof/>
        <w:sz w:val="20"/>
        <w:szCs w:val="20"/>
      </w:rPr>
      <w:t>1</w:t>
    </w:r>
    <w:r w:rsidRPr="0061506B">
      <w:rPr>
        <w:rFonts w:ascii="Georgia" w:hAnsi="Georgia" w:cs="Arial"/>
        <w:sz w:val="20"/>
        <w:szCs w:val="20"/>
      </w:rPr>
      <w:fldChar w:fldCharType="end"/>
    </w:r>
  </w:p>
  <w:p w14:paraId="7CBE9F77" w14:textId="77777777" w:rsidR="00521128" w:rsidRPr="0061506B" w:rsidRDefault="00404F51" w:rsidP="00521128">
    <w:pPr>
      <w:pStyle w:val="Footer"/>
      <w:rPr>
        <w:rFonts w:ascii="Georgia" w:hAnsi="Georgia" w:cs="Arial"/>
        <w:sz w:val="20"/>
        <w:szCs w:val="20"/>
      </w:rPr>
    </w:pPr>
    <w:r w:rsidRPr="0061506B">
      <w:rPr>
        <w:rFonts w:ascii="Georgia" w:hAnsi="Georgia" w:cs="Arial"/>
        <w:sz w:val="20"/>
        <w:szCs w:val="20"/>
      </w:rPr>
      <w:t xml:space="preserve">Research Engagement, Development and Innovation (REDI)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9C4C" w14:textId="77777777" w:rsidR="00050FE8" w:rsidRDefault="00050FE8" w:rsidP="00A21B5F">
      <w:r>
        <w:separator/>
      </w:r>
    </w:p>
  </w:footnote>
  <w:footnote w:type="continuationSeparator" w:id="0">
    <w:p w14:paraId="2EAAAA3B" w14:textId="77777777" w:rsidR="00050FE8" w:rsidRDefault="00050FE8" w:rsidP="00A21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E150" w14:textId="77777777" w:rsidR="00235F39" w:rsidRPr="00235F39" w:rsidRDefault="00050FE8" w:rsidP="00A64EAB">
    <w:pPr>
      <w:jc w:val="center"/>
      <w:rPr>
        <w:rFonts w:ascii="Arial" w:hAnsi="Arial" w:cs="Arial"/>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018C" w14:textId="77777777" w:rsidR="00FC277B" w:rsidRDefault="00050FE8" w:rsidP="009C6C2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887"/>
    <w:multiLevelType w:val="multilevel"/>
    <w:tmpl w:val="61B01D76"/>
    <w:lvl w:ilvl="0">
      <w:start w:val="5"/>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83D88"/>
    <w:multiLevelType w:val="hybridMultilevel"/>
    <w:tmpl w:val="EE3C1448"/>
    <w:lvl w:ilvl="0" w:tplc="C8A4BEA8">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7422356"/>
    <w:multiLevelType w:val="multilevel"/>
    <w:tmpl w:val="600AFE7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F217DB"/>
    <w:multiLevelType w:val="hybridMultilevel"/>
    <w:tmpl w:val="DDC42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311774"/>
    <w:multiLevelType w:val="hybridMultilevel"/>
    <w:tmpl w:val="5AD87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354934"/>
    <w:multiLevelType w:val="hybridMultilevel"/>
    <w:tmpl w:val="3FF2A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A925F7"/>
    <w:multiLevelType w:val="hybridMultilevel"/>
    <w:tmpl w:val="45762FFC"/>
    <w:lvl w:ilvl="0" w:tplc="0C090001">
      <w:start w:val="1"/>
      <w:numFmt w:val="bullet"/>
      <w:lvlText w:val=""/>
      <w:lvlJc w:val="left"/>
      <w:pPr>
        <w:ind w:left="1444" w:hanging="360"/>
      </w:pPr>
      <w:rPr>
        <w:rFonts w:ascii="Symbol" w:hAnsi="Symbol" w:hint="default"/>
      </w:rPr>
    </w:lvl>
    <w:lvl w:ilvl="1" w:tplc="0C090003">
      <w:start w:val="1"/>
      <w:numFmt w:val="bullet"/>
      <w:lvlText w:val="o"/>
      <w:lvlJc w:val="left"/>
      <w:pPr>
        <w:ind w:left="2164" w:hanging="360"/>
      </w:pPr>
      <w:rPr>
        <w:rFonts w:ascii="Courier New" w:hAnsi="Courier New" w:cs="Courier New" w:hint="default"/>
      </w:rPr>
    </w:lvl>
    <w:lvl w:ilvl="2" w:tplc="0C090005" w:tentative="1">
      <w:start w:val="1"/>
      <w:numFmt w:val="bullet"/>
      <w:lvlText w:val=""/>
      <w:lvlJc w:val="left"/>
      <w:pPr>
        <w:ind w:left="2884" w:hanging="360"/>
      </w:pPr>
      <w:rPr>
        <w:rFonts w:ascii="Wingdings" w:hAnsi="Wingdings" w:hint="default"/>
      </w:rPr>
    </w:lvl>
    <w:lvl w:ilvl="3" w:tplc="0C090001" w:tentative="1">
      <w:start w:val="1"/>
      <w:numFmt w:val="bullet"/>
      <w:lvlText w:val=""/>
      <w:lvlJc w:val="left"/>
      <w:pPr>
        <w:ind w:left="3604" w:hanging="360"/>
      </w:pPr>
      <w:rPr>
        <w:rFonts w:ascii="Symbol" w:hAnsi="Symbol" w:hint="default"/>
      </w:rPr>
    </w:lvl>
    <w:lvl w:ilvl="4" w:tplc="0C090003" w:tentative="1">
      <w:start w:val="1"/>
      <w:numFmt w:val="bullet"/>
      <w:lvlText w:val="o"/>
      <w:lvlJc w:val="left"/>
      <w:pPr>
        <w:ind w:left="4324" w:hanging="360"/>
      </w:pPr>
      <w:rPr>
        <w:rFonts w:ascii="Courier New" w:hAnsi="Courier New" w:cs="Courier New" w:hint="default"/>
      </w:rPr>
    </w:lvl>
    <w:lvl w:ilvl="5" w:tplc="0C090005" w:tentative="1">
      <w:start w:val="1"/>
      <w:numFmt w:val="bullet"/>
      <w:lvlText w:val=""/>
      <w:lvlJc w:val="left"/>
      <w:pPr>
        <w:ind w:left="5044" w:hanging="360"/>
      </w:pPr>
      <w:rPr>
        <w:rFonts w:ascii="Wingdings" w:hAnsi="Wingdings" w:hint="default"/>
      </w:rPr>
    </w:lvl>
    <w:lvl w:ilvl="6" w:tplc="0C090001" w:tentative="1">
      <w:start w:val="1"/>
      <w:numFmt w:val="bullet"/>
      <w:lvlText w:val=""/>
      <w:lvlJc w:val="left"/>
      <w:pPr>
        <w:ind w:left="5764" w:hanging="360"/>
      </w:pPr>
      <w:rPr>
        <w:rFonts w:ascii="Symbol" w:hAnsi="Symbol" w:hint="default"/>
      </w:rPr>
    </w:lvl>
    <w:lvl w:ilvl="7" w:tplc="0C090003" w:tentative="1">
      <w:start w:val="1"/>
      <w:numFmt w:val="bullet"/>
      <w:lvlText w:val="o"/>
      <w:lvlJc w:val="left"/>
      <w:pPr>
        <w:ind w:left="6484" w:hanging="360"/>
      </w:pPr>
      <w:rPr>
        <w:rFonts w:ascii="Courier New" w:hAnsi="Courier New" w:cs="Courier New" w:hint="default"/>
      </w:rPr>
    </w:lvl>
    <w:lvl w:ilvl="8" w:tplc="0C090005" w:tentative="1">
      <w:start w:val="1"/>
      <w:numFmt w:val="bullet"/>
      <w:lvlText w:val=""/>
      <w:lvlJc w:val="left"/>
      <w:pPr>
        <w:ind w:left="7204" w:hanging="360"/>
      </w:pPr>
      <w:rPr>
        <w:rFonts w:ascii="Wingdings" w:hAnsi="Wingdings" w:hint="default"/>
      </w:rPr>
    </w:lvl>
  </w:abstractNum>
  <w:abstractNum w:abstractNumId="7" w15:restartNumberingAfterBreak="0">
    <w:nsid w:val="56DE597F"/>
    <w:multiLevelType w:val="hybridMultilevel"/>
    <w:tmpl w:val="A74C96AA"/>
    <w:lvl w:ilvl="0" w:tplc="B74EAAEC">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74590E"/>
    <w:multiLevelType w:val="multilevel"/>
    <w:tmpl w:val="7A1C28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2A0AF2"/>
    <w:multiLevelType w:val="multilevel"/>
    <w:tmpl w:val="7AD4AA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D74201"/>
    <w:multiLevelType w:val="hybridMultilevel"/>
    <w:tmpl w:val="D132E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E1F64C8"/>
    <w:multiLevelType w:val="hybridMultilevel"/>
    <w:tmpl w:val="1944C9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28123848">
    <w:abstractNumId w:val="2"/>
  </w:num>
  <w:num w:numId="2" w16cid:durableId="746419488">
    <w:abstractNumId w:val="8"/>
  </w:num>
  <w:num w:numId="3" w16cid:durableId="808936871">
    <w:abstractNumId w:val="9"/>
  </w:num>
  <w:num w:numId="4" w16cid:durableId="629480808">
    <w:abstractNumId w:val="10"/>
  </w:num>
  <w:num w:numId="5" w16cid:durableId="637344444">
    <w:abstractNumId w:val="0"/>
  </w:num>
  <w:num w:numId="6" w16cid:durableId="1788163426">
    <w:abstractNumId w:val="1"/>
  </w:num>
  <w:num w:numId="7" w16cid:durableId="1250384005">
    <w:abstractNumId w:val="7"/>
  </w:num>
  <w:num w:numId="8" w16cid:durableId="1417097952">
    <w:abstractNumId w:val="3"/>
  </w:num>
  <w:num w:numId="9" w16cid:durableId="616714426">
    <w:abstractNumId w:val="5"/>
  </w:num>
  <w:num w:numId="10" w16cid:durableId="90860463">
    <w:abstractNumId w:val="4"/>
  </w:num>
  <w:num w:numId="11" w16cid:durableId="1142311041">
    <w:abstractNumId w:val="6"/>
  </w:num>
  <w:num w:numId="12" w16cid:durableId="11999024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5F"/>
    <w:rsid w:val="00036D32"/>
    <w:rsid w:val="00050816"/>
    <w:rsid w:val="00050FE8"/>
    <w:rsid w:val="00056DE2"/>
    <w:rsid w:val="000806DE"/>
    <w:rsid w:val="00083E98"/>
    <w:rsid w:val="00091A69"/>
    <w:rsid w:val="000952CF"/>
    <w:rsid w:val="000D6606"/>
    <w:rsid w:val="000F60C8"/>
    <w:rsid w:val="00117A4C"/>
    <w:rsid w:val="00120605"/>
    <w:rsid w:val="00121269"/>
    <w:rsid w:val="0013509D"/>
    <w:rsid w:val="00153852"/>
    <w:rsid w:val="00192637"/>
    <w:rsid w:val="001E106A"/>
    <w:rsid w:val="001E1973"/>
    <w:rsid w:val="001E1FCA"/>
    <w:rsid w:val="001E6BB8"/>
    <w:rsid w:val="001F679E"/>
    <w:rsid w:val="00220E98"/>
    <w:rsid w:val="0023578D"/>
    <w:rsid w:val="0025495C"/>
    <w:rsid w:val="002616A2"/>
    <w:rsid w:val="00264A7B"/>
    <w:rsid w:val="00275B97"/>
    <w:rsid w:val="002A3050"/>
    <w:rsid w:val="002A3839"/>
    <w:rsid w:val="002A72BD"/>
    <w:rsid w:val="002B3234"/>
    <w:rsid w:val="002B3769"/>
    <w:rsid w:val="003100CA"/>
    <w:rsid w:val="00314FDA"/>
    <w:rsid w:val="00334149"/>
    <w:rsid w:val="00351180"/>
    <w:rsid w:val="00360433"/>
    <w:rsid w:val="0036685D"/>
    <w:rsid w:val="003A1D4F"/>
    <w:rsid w:val="003A23D9"/>
    <w:rsid w:val="003A27C1"/>
    <w:rsid w:val="003A3A31"/>
    <w:rsid w:val="003B1DE9"/>
    <w:rsid w:val="003C77B9"/>
    <w:rsid w:val="00404F51"/>
    <w:rsid w:val="00413323"/>
    <w:rsid w:val="004201BD"/>
    <w:rsid w:val="004252D5"/>
    <w:rsid w:val="0043144B"/>
    <w:rsid w:val="0045743F"/>
    <w:rsid w:val="00487158"/>
    <w:rsid w:val="004918D4"/>
    <w:rsid w:val="004A1D51"/>
    <w:rsid w:val="004B48CB"/>
    <w:rsid w:val="004B5AB8"/>
    <w:rsid w:val="004C0BBF"/>
    <w:rsid w:val="004C5F52"/>
    <w:rsid w:val="004D75A3"/>
    <w:rsid w:val="005567E6"/>
    <w:rsid w:val="00556875"/>
    <w:rsid w:val="00583235"/>
    <w:rsid w:val="005D4120"/>
    <w:rsid w:val="00603B2D"/>
    <w:rsid w:val="00623460"/>
    <w:rsid w:val="006328DF"/>
    <w:rsid w:val="00643B80"/>
    <w:rsid w:val="006657FE"/>
    <w:rsid w:val="00686362"/>
    <w:rsid w:val="006C700F"/>
    <w:rsid w:val="006E0555"/>
    <w:rsid w:val="006E2713"/>
    <w:rsid w:val="006E465D"/>
    <w:rsid w:val="006F4051"/>
    <w:rsid w:val="0070369A"/>
    <w:rsid w:val="00711BC7"/>
    <w:rsid w:val="007165E0"/>
    <w:rsid w:val="00720C9E"/>
    <w:rsid w:val="007258C4"/>
    <w:rsid w:val="00772623"/>
    <w:rsid w:val="00774F2B"/>
    <w:rsid w:val="007805C7"/>
    <w:rsid w:val="0078684C"/>
    <w:rsid w:val="007A347A"/>
    <w:rsid w:val="007B0B1C"/>
    <w:rsid w:val="007C3B63"/>
    <w:rsid w:val="007E18D8"/>
    <w:rsid w:val="007E3103"/>
    <w:rsid w:val="007F3E8A"/>
    <w:rsid w:val="00830720"/>
    <w:rsid w:val="008469D0"/>
    <w:rsid w:val="008710EF"/>
    <w:rsid w:val="00875085"/>
    <w:rsid w:val="008910B8"/>
    <w:rsid w:val="00892FC0"/>
    <w:rsid w:val="008C4E9C"/>
    <w:rsid w:val="008D2730"/>
    <w:rsid w:val="008E463D"/>
    <w:rsid w:val="008E6069"/>
    <w:rsid w:val="008F2ADE"/>
    <w:rsid w:val="008F6FCF"/>
    <w:rsid w:val="00900AAC"/>
    <w:rsid w:val="00912EA0"/>
    <w:rsid w:val="009226DE"/>
    <w:rsid w:val="00926435"/>
    <w:rsid w:val="0094530C"/>
    <w:rsid w:val="00946D3C"/>
    <w:rsid w:val="009477E0"/>
    <w:rsid w:val="0096623F"/>
    <w:rsid w:val="009739A8"/>
    <w:rsid w:val="00980FEC"/>
    <w:rsid w:val="00A21B5F"/>
    <w:rsid w:val="00A36B97"/>
    <w:rsid w:val="00A61128"/>
    <w:rsid w:val="00A7020A"/>
    <w:rsid w:val="00A91A32"/>
    <w:rsid w:val="00A94FE9"/>
    <w:rsid w:val="00A9631E"/>
    <w:rsid w:val="00AA74F0"/>
    <w:rsid w:val="00AC21FD"/>
    <w:rsid w:val="00AD5FBD"/>
    <w:rsid w:val="00AF5C7A"/>
    <w:rsid w:val="00B30C40"/>
    <w:rsid w:val="00B31CEE"/>
    <w:rsid w:val="00B328E7"/>
    <w:rsid w:val="00B32F03"/>
    <w:rsid w:val="00B56CBC"/>
    <w:rsid w:val="00B90E15"/>
    <w:rsid w:val="00BA1285"/>
    <w:rsid w:val="00BB565A"/>
    <w:rsid w:val="00BB62FD"/>
    <w:rsid w:val="00BD63D2"/>
    <w:rsid w:val="00BE28AB"/>
    <w:rsid w:val="00BE6FC6"/>
    <w:rsid w:val="00C2586B"/>
    <w:rsid w:val="00C34A64"/>
    <w:rsid w:val="00C44AE2"/>
    <w:rsid w:val="00C706FC"/>
    <w:rsid w:val="00C71274"/>
    <w:rsid w:val="00C87EE7"/>
    <w:rsid w:val="00C95716"/>
    <w:rsid w:val="00CB0014"/>
    <w:rsid w:val="00CE6F29"/>
    <w:rsid w:val="00CF7C55"/>
    <w:rsid w:val="00D15E3D"/>
    <w:rsid w:val="00D41B8C"/>
    <w:rsid w:val="00D42E18"/>
    <w:rsid w:val="00D64385"/>
    <w:rsid w:val="00D67632"/>
    <w:rsid w:val="00D85C02"/>
    <w:rsid w:val="00D926AE"/>
    <w:rsid w:val="00DA1D3C"/>
    <w:rsid w:val="00DB6508"/>
    <w:rsid w:val="00DB71A4"/>
    <w:rsid w:val="00E25C94"/>
    <w:rsid w:val="00E35F4A"/>
    <w:rsid w:val="00E478E7"/>
    <w:rsid w:val="00E97E9A"/>
    <w:rsid w:val="00EA00B1"/>
    <w:rsid w:val="00EA0B3D"/>
    <w:rsid w:val="00EB57F8"/>
    <w:rsid w:val="00EC5F7C"/>
    <w:rsid w:val="00EC6BDD"/>
    <w:rsid w:val="00ED0AD9"/>
    <w:rsid w:val="00ED662F"/>
    <w:rsid w:val="00EE5421"/>
    <w:rsid w:val="00EE553F"/>
    <w:rsid w:val="00EF4E1A"/>
    <w:rsid w:val="00F01E2D"/>
    <w:rsid w:val="00F02AD6"/>
    <w:rsid w:val="00F35CE3"/>
    <w:rsid w:val="00F50669"/>
    <w:rsid w:val="00F559AF"/>
    <w:rsid w:val="00F6297D"/>
    <w:rsid w:val="00F76A78"/>
    <w:rsid w:val="00FB2235"/>
    <w:rsid w:val="00FF0A01"/>
    <w:rsid w:val="00FF5F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6306"/>
  <w15:docId w15:val="{8DC38BE1-1CBF-49A4-8656-A5BCF28F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21B5F"/>
    <w:pPr>
      <w:keepNext/>
      <w:outlineLvl w:val="0"/>
    </w:pPr>
    <w:rPr>
      <w:rFonts w:ascii="Arial" w:hAnsi="Arial" w:cs="Arial"/>
      <w:b/>
      <w:sz w:val="20"/>
    </w:rPr>
  </w:style>
  <w:style w:type="paragraph" w:styleId="Heading2">
    <w:name w:val="heading 2"/>
    <w:basedOn w:val="Normal"/>
    <w:next w:val="Normal"/>
    <w:link w:val="Heading2Char"/>
    <w:uiPriority w:val="9"/>
    <w:semiHidden/>
    <w:unhideWhenUsed/>
    <w:qFormat/>
    <w:rsid w:val="0077262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1B5F"/>
    <w:rPr>
      <w:rFonts w:ascii="Arial" w:eastAsia="Times New Roman" w:hAnsi="Arial" w:cs="Arial"/>
      <w:b/>
      <w:sz w:val="20"/>
      <w:szCs w:val="24"/>
      <w:lang w:val="en-US"/>
    </w:rPr>
  </w:style>
  <w:style w:type="paragraph" w:styleId="Header">
    <w:name w:val="header"/>
    <w:basedOn w:val="Normal"/>
    <w:link w:val="HeaderChar"/>
    <w:rsid w:val="00A21B5F"/>
    <w:pPr>
      <w:tabs>
        <w:tab w:val="center" w:pos="4320"/>
        <w:tab w:val="right" w:pos="8640"/>
      </w:tabs>
    </w:pPr>
  </w:style>
  <w:style w:type="character" w:customStyle="1" w:styleId="HeaderChar">
    <w:name w:val="Header Char"/>
    <w:basedOn w:val="DefaultParagraphFont"/>
    <w:link w:val="Header"/>
    <w:rsid w:val="00A21B5F"/>
    <w:rPr>
      <w:rFonts w:ascii="Times New Roman" w:eastAsia="Times New Roman" w:hAnsi="Times New Roman" w:cs="Times New Roman"/>
      <w:sz w:val="24"/>
      <w:szCs w:val="24"/>
      <w:lang w:val="en-US"/>
    </w:rPr>
  </w:style>
  <w:style w:type="paragraph" w:styleId="Footer">
    <w:name w:val="footer"/>
    <w:basedOn w:val="Normal"/>
    <w:link w:val="FooterChar"/>
    <w:uiPriority w:val="99"/>
    <w:rsid w:val="00A21B5F"/>
    <w:pPr>
      <w:tabs>
        <w:tab w:val="center" w:pos="4320"/>
        <w:tab w:val="right" w:pos="8640"/>
      </w:tabs>
    </w:pPr>
  </w:style>
  <w:style w:type="character" w:customStyle="1" w:styleId="FooterChar">
    <w:name w:val="Footer Char"/>
    <w:basedOn w:val="DefaultParagraphFont"/>
    <w:link w:val="Footer"/>
    <w:uiPriority w:val="99"/>
    <w:rsid w:val="00A21B5F"/>
    <w:rPr>
      <w:rFonts w:ascii="Times New Roman" w:eastAsia="Times New Roman" w:hAnsi="Times New Roman" w:cs="Times New Roman"/>
      <w:sz w:val="24"/>
      <w:szCs w:val="24"/>
      <w:lang w:val="en-US"/>
    </w:rPr>
  </w:style>
  <w:style w:type="character" w:styleId="Hyperlink">
    <w:name w:val="Hyperlink"/>
    <w:rsid w:val="00A21B5F"/>
    <w:rPr>
      <w:rFonts w:cs="Times New Roman"/>
      <w:color w:val="0000FF"/>
      <w:u w:val="single"/>
    </w:rPr>
  </w:style>
  <w:style w:type="paragraph" w:styleId="ListParagraph">
    <w:name w:val="List Paragraph"/>
    <w:basedOn w:val="Normal"/>
    <w:uiPriority w:val="34"/>
    <w:qFormat/>
    <w:rsid w:val="00A21B5F"/>
    <w:pPr>
      <w:widowControl w:val="0"/>
      <w:autoSpaceDE w:val="0"/>
      <w:autoSpaceDN w:val="0"/>
      <w:ind w:left="720"/>
      <w:contextualSpacing/>
    </w:pPr>
    <w:rPr>
      <w:rFonts w:ascii="Palatino" w:hAnsi="Palatino"/>
      <w:lang w:val="en-AU"/>
    </w:rPr>
  </w:style>
  <w:style w:type="paragraph" w:styleId="FootnoteText">
    <w:name w:val="footnote text"/>
    <w:basedOn w:val="Normal"/>
    <w:link w:val="FootnoteTextChar"/>
    <w:rsid w:val="00A21B5F"/>
    <w:rPr>
      <w:sz w:val="20"/>
      <w:szCs w:val="20"/>
    </w:rPr>
  </w:style>
  <w:style w:type="character" w:customStyle="1" w:styleId="FootnoteTextChar">
    <w:name w:val="Footnote Text Char"/>
    <w:basedOn w:val="DefaultParagraphFont"/>
    <w:link w:val="FootnoteText"/>
    <w:rsid w:val="00A21B5F"/>
    <w:rPr>
      <w:rFonts w:ascii="Times New Roman" w:eastAsia="Times New Roman" w:hAnsi="Times New Roman" w:cs="Times New Roman"/>
      <w:sz w:val="20"/>
      <w:szCs w:val="20"/>
      <w:lang w:val="en-US"/>
    </w:rPr>
  </w:style>
  <w:style w:type="character" w:styleId="FootnoteReference">
    <w:name w:val="footnote reference"/>
    <w:basedOn w:val="DefaultParagraphFont"/>
    <w:rsid w:val="00A21B5F"/>
    <w:rPr>
      <w:vertAlign w:val="superscript"/>
    </w:rPr>
  </w:style>
  <w:style w:type="table" w:styleId="TableGrid">
    <w:name w:val="Table Grid"/>
    <w:basedOn w:val="TableNormal"/>
    <w:uiPriority w:val="59"/>
    <w:rsid w:val="00A21B5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1B5F"/>
    <w:rPr>
      <w:sz w:val="16"/>
      <w:szCs w:val="16"/>
    </w:rPr>
  </w:style>
  <w:style w:type="paragraph" w:styleId="CommentText">
    <w:name w:val="annotation text"/>
    <w:basedOn w:val="Normal"/>
    <w:link w:val="CommentTextChar"/>
    <w:uiPriority w:val="99"/>
    <w:unhideWhenUsed/>
    <w:rsid w:val="00A21B5F"/>
    <w:rPr>
      <w:sz w:val="20"/>
      <w:szCs w:val="20"/>
    </w:rPr>
  </w:style>
  <w:style w:type="character" w:customStyle="1" w:styleId="CommentTextChar">
    <w:name w:val="Comment Text Char"/>
    <w:basedOn w:val="DefaultParagraphFont"/>
    <w:link w:val="CommentText"/>
    <w:uiPriority w:val="99"/>
    <w:rsid w:val="00A21B5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21B5F"/>
    <w:rPr>
      <w:b/>
      <w:bCs/>
    </w:rPr>
  </w:style>
  <w:style w:type="character" w:customStyle="1" w:styleId="CommentSubjectChar">
    <w:name w:val="Comment Subject Char"/>
    <w:basedOn w:val="CommentTextChar"/>
    <w:link w:val="CommentSubject"/>
    <w:uiPriority w:val="99"/>
    <w:semiHidden/>
    <w:rsid w:val="00A21B5F"/>
    <w:rPr>
      <w:rFonts w:ascii="Times New Roman" w:eastAsia="Times New Roman" w:hAnsi="Times New Roman" w:cs="Times New Roman"/>
      <w:b/>
      <w:bCs/>
      <w:sz w:val="20"/>
      <w:szCs w:val="20"/>
      <w:lang w:val="en-US"/>
    </w:rPr>
  </w:style>
  <w:style w:type="paragraph" w:styleId="BalloonText">
    <w:name w:val="Balloon Text"/>
    <w:basedOn w:val="Normal"/>
    <w:link w:val="BalloonTextChar"/>
    <w:unhideWhenUsed/>
    <w:rsid w:val="00A21B5F"/>
    <w:rPr>
      <w:rFonts w:ascii="Segoe UI" w:hAnsi="Segoe UI" w:cs="Segoe UI"/>
      <w:sz w:val="18"/>
      <w:szCs w:val="18"/>
    </w:rPr>
  </w:style>
  <w:style w:type="character" w:customStyle="1" w:styleId="BalloonTextChar">
    <w:name w:val="Balloon Text Char"/>
    <w:basedOn w:val="DefaultParagraphFont"/>
    <w:link w:val="BalloonText"/>
    <w:rsid w:val="00A21B5F"/>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7B0B1C"/>
    <w:rPr>
      <w:color w:val="954F72" w:themeColor="followedHyperlink"/>
      <w:u w:val="single"/>
    </w:rPr>
  </w:style>
  <w:style w:type="character" w:customStyle="1" w:styleId="Heading2Char">
    <w:name w:val="Heading 2 Char"/>
    <w:basedOn w:val="DefaultParagraphFont"/>
    <w:link w:val="Heading2"/>
    <w:uiPriority w:val="9"/>
    <w:semiHidden/>
    <w:rsid w:val="00772623"/>
    <w:rPr>
      <w:rFonts w:asciiTheme="majorHAnsi" w:eastAsiaTheme="majorEastAsia" w:hAnsiTheme="majorHAnsi" w:cstheme="majorBidi"/>
      <w:color w:val="2E74B5" w:themeColor="accent1" w:themeShade="BF"/>
      <w:sz w:val="26"/>
      <w:szCs w:val="26"/>
      <w:lang w:val="en-US"/>
    </w:rPr>
  </w:style>
  <w:style w:type="character" w:styleId="UnresolvedMention">
    <w:name w:val="Unresolved Mention"/>
    <w:basedOn w:val="DefaultParagraphFont"/>
    <w:uiPriority w:val="99"/>
    <w:semiHidden/>
    <w:unhideWhenUsed/>
    <w:rsid w:val="00772623"/>
    <w:rPr>
      <w:color w:val="605E5C"/>
      <w:shd w:val="clear" w:color="auto" w:fill="E1DFDD"/>
    </w:rPr>
  </w:style>
  <w:style w:type="paragraph" w:customStyle="1" w:styleId="Default">
    <w:name w:val="Default"/>
    <w:rsid w:val="002A383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B71A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sternsydney.edu.au/research/forms" TargetMode="External"/><Relationship Id="rId18" Type="http://schemas.openxmlformats.org/officeDocument/2006/relationships/hyperlink" Target="https://www.westernsydney.edu.au/research/form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rm.protecht.com.au/wsu/worms/client/app/anonymousWidget.html?widget=AnonymousRegisterEntry&amp;appId=1121&amp;tablename=table_137120" TargetMode="External"/><Relationship Id="rId17" Type="http://schemas.openxmlformats.org/officeDocument/2006/relationships/hyperlink" Target="https://www.westernsydney.edu.au/research/for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sternsydney.edu.au/research/forms" TargetMode="External"/><Relationship Id="rId20" Type="http://schemas.openxmlformats.org/officeDocument/2006/relationships/hyperlink" Target="file:///\\ad.uws.edu.au\dfshare\REDI\Ethics\Human%20Ethics%202019\Planning\Project%20description\humanethics@westernsydney.edu.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ternsydney.edu.au/research/research_ethics_and_integrity/human_ethics/useful_resource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researchdirect.westernsydney.edu.au/" TargetMode="External"/><Relationship Id="rId23"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hyperlink" Target="http://www.who.int/topics/clinical_trials/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rea.gov.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12DEFA5CF47E47B07AD3125713CE76" ma:contentTypeVersion="13" ma:contentTypeDescription="Create a new document." ma:contentTypeScope="" ma:versionID="5372ed0d186ff7d79927fe4ff4b4eade">
  <xsd:schema xmlns:xsd="http://www.w3.org/2001/XMLSchema" xmlns:xs="http://www.w3.org/2001/XMLSchema" xmlns:p="http://schemas.microsoft.com/office/2006/metadata/properties" xmlns:ns2="c30402a7-b065-4f87-97bd-cfbc6c666eb0" xmlns:ns3="5f4a319a-4028-4163-bd35-91a708cfdbf8" targetNamespace="http://schemas.microsoft.com/office/2006/metadata/properties" ma:root="true" ma:fieldsID="e465db20d3c6fc76778c32530f428504" ns2:_="" ns3:_="">
    <xsd:import namespace="c30402a7-b065-4f87-97bd-cfbc6c666eb0"/>
    <xsd:import namespace="5f4a319a-4028-4163-bd35-91a708cfdb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402a7-b065-4f87-97bd-cfbc6c666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4a319a-4028-4163-bd35-91a708cfdb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33AEB-E68E-4D35-8C4D-DDF8587AE675}">
  <ds:schemaRefs>
    <ds:schemaRef ds:uri="http://schemas.microsoft.com/sharepoint/v3/contenttype/forms"/>
  </ds:schemaRefs>
</ds:datastoreItem>
</file>

<file path=customXml/itemProps2.xml><?xml version="1.0" encoding="utf-8"?>
<ds:datastoreItem xmlns:ds="http://schemas.openxmlformats.org/officeDocument/2006/customXml" ds:itemID="{D7CECCA5-09F3-4602-8B9E-CB24AC8271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E0C5C3-B2A2-4AB7-833F-32DAE343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402a7-b065-4f87-97bd-cfbc6c666eb0"/>
    <ds:schemaRef ds:uri="5f4a319a-4028-4163-bd35-91a708cfd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9</Pages>
  <Words>4010</Words>
  <Characters>22859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SA90936831</dc:creator>
  <cp:lastModifiedBy>Sheeja Perumbil Pathrose</cp:lastModifiedBy>
  <cp:revision>9</cp:revision>
  <dcterms:created xsi:type="dcterms:W3CDTF">2022-05-06T07:41:00Z</dcterms:created>
  <dcterms:modified xsi:type="dcterms:W3CDTF">2022-06-28T23:43:00Z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0x010100A712DEFA5CF47E47B07AD3125713CE76</vt:lpwstr>
  </property>
</Properties>
</file>