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B1C9" w14:textId="159016F2" w:rsidR="006350F6" w:rsidRPr="00B026A2" w:rsidRDefault="00FF0021" w:rsidP="00E525C3">
      <w:pPr>
        <w:pStyle w:val="Heading1"/>
        <w:rPr>
          <w:lang w:val="en-GB"/>
        </w:rPr>
      </w:pPr>
      <w:r>
        <w:rPr>
          <w:noProof/>
          <w:lang w:val="en-GB"/>
        </w:rPr>
        <w:t>Al</w:t>
      </w:r>
      <w:r w:rsidR="001C1199">
        <w:rPr>
          <w:noProof/>
          <w:lang w:val="en-GB"/>
        </w:rPr>
        <w:t>t</w:t>
      </w:r>
      <w:r>
        <w:rPr>
          <w:noProof/>
          <w:lang w:val="en-GB"/>
        </w:rPr>
        <w:t>ernati</w:t>
      </w:r>
      <w:r w:rsidR="001C1199">
        <w:rPr>
          <w:noProof/>
          <w:lang w:val="en-GB"/>
        </w:rPr>
        <w:t>v</w:t>
      </w:r>
      <w:r>
        <w:rPr>
          <w:noProof/>
          <w:lang w:val="en-GB"/>
        </w:rPr>
        <w:t xml:space="preserve">e </w:t>
      </w:r>
      <w:r w:rsidR="00E525C3" w:rsidRPr="00B026A2">
        <w:rPr>
          <w:lang w:val="en-GB"/>
        </w:rPr>
        <w:t>and complementary medicine as a</w:t>
      </w:r>
      <w:r w:rsidR="00F5409E" w:rsidRPr="00B026A2">
        <w:rPr>
          <w:lang w:val="en-GB"/>
        </w:rPr>
        <w:t xml:space="preserve"> pathway to care for New Zealand military Veterans experiencing pain and distress.</w:t>
      </w:r>
    </w:p>
    <w:p w14:paraId="08827156" w14:textId="3572FC5F" w:rsidR="00E525C3" w:rsidRPr="00B026A2" w:rsidRDefault="00E525C3" w:rsidP="00E525C3">
      <w:pPr>
        <w:pStyle w:val="Heading2"/>
        <w:rPr>
          <w:lang w:val="en-GB"/>
        </w:rPr>
      </w:pPr>
      <w:r w:rsidRPr="00B026A2">
        <w:rPr>
          <w:lang w:val="en-GB" w:eastAsia="en-AU"/>
        </w:rPr>
        <w:t xml:space="preserve">Study </w:t>
      </w:r>
      <w:r w:rsidRPr="00B026A2">
        <w:rPr>
          <w:lang w:val="en-GB"/>
        </w:rPr>
        <w:t>investigators</w:t>
      </w:r>
    </w:p>
    <w:p w14:paraId="1748958A" w14:textId="628E8548" w:rsidR="00E525C3" w:rsidRPr="00B026A2" w:rsidRDefault="00E525C3" w:rsidP="00E525C3">
      <w:pPr>
        <w:rPr>
          <w:lang w:val="en-GB"/>
        </w:rPr>
      </w:pPr>
      <w:r w:rsidRPr="00B026A2">
        <w:rPr>
          <w:lang w:val="en-GB"/>
        </w:rPr>
        <w:t>Principal Investigator: Dr David I McBride</w:t>
      </w:r>
      <w:r w:rsidR="009245E9" w:rsidRPr="00B026A2">
        <w:rPr>
          <w:lang w:val="en-GB"/>
        </w:rPr>
        <w:t>,</w:t>
      </w:r>
      <w:r w:rsidR="009245E9" w:rsidRPr="00B026A2">
        <w:rPr>
          <w:vertAlign w:val="superscript"/>
          <w:lang w:val="en-GB"/>
        </w:rPr>
        <w:t xml:space="preserve">1 </w:t>
      </w:r>
      <w:r w:rsidR="009245E9" w:rsidRPr="00B026A2">
        <w:rPr>
          <w:lang w:val="en-GB"/>
        </w:rPr>
        <w:t>david.mcbride@otago.ac.nz</w:t>
      </w:r>
    </w:p>
    <w:p w14:paraId="6D5DF443" w14:textId="77777777" w:rsidR="00FF0021" w:rsidRPr="00B026A2" w:rsidRDefault="00FF0021" w:rsidP="00FF0021">
      <w:pPr>
        <w:spacing w:after="0"/>
        <w:rPr>
          <w:vertAlign w:val="superscript"/>
          <w:lang w:val="en-GB"/>
        </w:rPr>
      </w:pPr>
      <w:r w:rsidRPr="00B026A2">
        <w:rPr>
          <w:lang w:val="en-GB"/>
        </w:rPr>
        <w:t>Co-Investigator (A) Robin Turner</w:t>
      </w:r>
      <w:r w:rsidRPr="00B026A2">
        <w:rPr>
          <w:vertAlign w:val="superscript"/>
          <w:lang w:val="en-GB"/>
        </w:rPr>
        <w:t>2</w:t>
      </w:r>
    </w:p>
    <w:p w14:paraId="4870AF84" w14:textId="77777777" w:rsidR="00FF0021" w:rsidRPr="00B026A2" w:rsidRDefault="00FF0021" w:rsidP="00FF0021">
      <w:pPr>
        <w:spacing w:after="0"/>
        <w:rPr>
          <w:vertAlign w:val="superscript"/>
          <w:lang w:val="en-GB"/>
        </w:rPr>
      </w:pPr>
      <w:r w:rsidRPr="00B026A2">
        <w:rPr>
          <w:lang w:val="en-GB"/>
        </w:rPr>
        <w:t>Co-Investigator (B) David Baxter</w:t>
      </w:r>
      <w:r w:rsidRPr="00B026A2">
        <w:rPr>
          <w:vertAlign w:val="superscript"/>
          <w:lang w:val="en-GB"/>
        </w:rPr>
        <w:t>3</w:t>
      </w:r>
    </w:p>
    <w:p w14:paraId="260A3A7D" w14:textId="77777777" w:rsidR="00FF0021" w:rsidRPr="00B026A2" w:rsidRDefault="00FF0021" w:rsidP="00FF0021">
      <w:pPr>
        <w:spacing w:after="0"/>
        <w:rPr>
          <w:vertAlign w:val="superscript"/>
          <w:lang w:val="en-GB"/>
        </w:rPr>
      </w:pPr>
      <w:r w:rsidRPr="00B026A2">
        <w:rPr>
          <w:lang w:val="en-GB"/>
        </w:rPr>
        <w:t xml:space="preserve">Co-Investigator (C) </w:t>
      </w:r>
      <w:proofErr w:type="spellStart"/>
      <w:r w:rsidRPr="00B026A2">
        <w:rPr>
          <w:lang w:val="en-GB"/>
        </w:rPr>
        <w:t>Tepora</w:t>
      </w:r>
      <w:proofErr w:type="spellEnd"/>
      <w:r w:rsidRPr="00B026A2">
        <w:rPr>
          <w:lang w:val="en-GB"/>
        </w:rPr>
        <w:t xml:space="preserve"> Emery</w:t>
      </w:r>
      <w:r w:rsidRPr="00B026A2">
        <w:rPr>
          <w:vertAlign w:val="superscript"/>
          <w:lang w:val="en-GB"/>
        </w:rPr>
        <w:t>4</w:t>
      </w:r>
    </w:p>
    <w:p w14:paraId="71729796" w14:textId="77777777" w:rsidR="00FF0021" w:rsidRPr="00B026A2" w:rsidRDefault="00FF0021" w:rsidP="00FF0021">
      <w:pPr>
        <w:spacing w:after="0"/>
        <w:rPr>
          <w:vertAlign w:val="superscript"/>
          <w:lang w:val="en-GB"/>
        </w:rPr>
      </w:pPr>
      <w:r w:rsidRPr="00B026A2">
        <w:rPr>
          <w:lang w:val="en-GB"/>
        </w:rPr>
        <w:t>Co-Investigator (D) Yoram Barak</w:t>
      </w:r>
      <w:r w:rsidRPr="00B026A2">
        <w:rPr>
          <w:vertAlign w:val="superscript"/>
          <w:lang w:val="en-GB"/>
        </w:rPr>
        <w:t>5</w:t>
      </w:r>
    </w:p>
    <w:p w14:paraId="542E4EF3" w14:textId="77777777" w:rsidR="00FF0021" w:rsidRDefault="00FF0021" w:rsidP="00FF0021">
      <w:pPr>
        <w:spacing w:after="0"/>
        <w:rPr>
          <w:vertAlign w:val="superscript"/>
          <w:lang w:val="en-GB"/>
        </w:rPr>
      </w:pPr>
      <w:r w:rsidRPr="00B026A2">
        <w:rPr>
          <w:lang w:val="en-GB"/>
        </w:rPr>
        <w:t>Co-Investigator (E) Brandon DeGraaf</w:t>
      </w:r>
      <w:r w:rsidRPr="00B026A2">
        <w:rPr>
          <w:vertAlign w:val="superscript"/>
          <w:lang w:val="en-GB"/>
        </w:rPr>
        <w:t>1</w:t>
      </w:r>
    </w:p>
    <w:p w14:paraId="0F97AB0E" w14:textId="77777777" w:rsidR="00FF0021" w:rsidRDefault="00FF0021" w:rsidP="00FF0021">
      <w:pPr>
        <w:spacing w:after="0"/>
        <w:rPr>
          <w:vertAlign w:val="superscript"/>
          <w:lang w:val="en-GB"/>
        </w:rPr>
      </w:pPr>
      <w:r w:rsidRPr="00B026A2">
        <w:rPr>
          <w:lang w:val="en-GB"/>
        </w:rPr>
        <w:t>Co-Investigator (</w:t>
      </w:r>
      <w:r>
        <w:rPr>
          <w:lang w:val="en-GB"/>
        </w:rPr>
        <w:t>F</w:t>
      </w:r>
      <w:r w:rsidRPr="00B026A2">
        <w:rPr>
          <w:lang w:val="en-GB"/>
        </w:rPr>
        <w:t xml:space="preserve">) </w:t>
      </w:r>
      <w:r>
        <w:rPr>
          <w:lang w:val="en-GB"/>
        </w:rPr>
        <w:t>Robin Kerr</w:t>
      </w:r>
      <w:r>
        <w:rPr>
          <w:vertAlign w:val="superscript"/>
          <w:lang w:val="en-GB"/>
        </w:rPr>
        <w:t>6</w:t>
      </w:r>
    </w:p>
    <w:p w14:paraId="4889E558" w14:textId="77777777" w:rsidR="00FF0021" w:rsidRPr="007C0D6F" w:rsidRDefault="00FF0021" w:rsidP="00FF0021">
      <w:pPr>
        <w:spacing w:after="0"/>
        <w:rPr>
          <w:vertAlign w:val="superscript"/>
          <w:lang w:val="en-GB"/>
        </w:rPr>
      </w:pPr>
      <w:r>
        <w:rPr>
          <w:lang w:val="en-GB"/>
        </w:rPr>
        <w:t xml:space="preserve">Co-Investigator (G) </w:t>
      </w:r>
      <w:proofErr w:type="spellStart"/>
      <w:r>
        <w:rPr>
          <w:lang w:val="en-GB"/>
        </w:rPr>
        <w:t>Ruatau</w:t>
      </w:r>
      <w:proofErr w:type="spellEnd"/>
      <w:r>
        <w:rPr>
          <w:lang w:val="en-GB"/>
        </w:rPr>
        <w:t xml:space="preserve"> Perez</w:t>
      </w:r>
      <w:r>
        <w:rPr>
          <w:vertAlign w:val="superscript"/>
          <w:lang w:val="en-GB"/>
        </w:rPr>
        <w:t>7</w:t>
      </w:r>
    </w:p>
    <w:p w14:paraId="6D302FB7" w14:textId="77777777" w:rsidR="00FF0021" w:rsidRDefault="00FF0021" w:rsidP="00FF0021">
      <w:pPr>
        <w:spacing w:after="0"/>
        <w:rPr>
          <w:lang w:val="en-GB"/>
        </w:rPr>
      </w:pPr>
      <w:r>
        <w:rPr>
          <w:vertAlign w:val="superscript"/>
          <w:lang w:val="en-GB"/>
        </w:rPr>
        <w:t xml:space="preserve">1 </w:t>
      </w:r>
      <w:r>
        <w:rPr>
          <w:lang w:val="en-GB"/>
        </w:rPr>
        <w:t>Preventive and Social Medicine University of Otago</w:t>
      </w:r>
    </w:p>
    <w:p w14:paraId="6CA37C02" w14:textId="77777777" w:rsidR="00FF0021" w:rsidRDefault="00FF0021" w:rsidP="00FF0021">
      <w:pPr>
        <w:spacing w:after="0"/>
        <w:rPr>
          <w:lang w:val="en-GB"/>
        </w:rPr>
      </w:pPr>
      <w:r>
        <w:rPr>
          <w:vertAlign w:val="superscript"/>
          <w:lang w:val="en-GB"/>
        </w:rPr>
        <w:t>2</w:t>
      </w:r>
      <w:r>
        <w:rPr>
          <w:lang w:val="en-GB"/>
        </w:rPr>
        <w:t>Biostatistics Centre, University of Otago</w:t>
      </w:r>
    </w:p>
    <w:p w14:paraId="56D954BB" w14:textId="77777777" w:rsidR="00FF0021" w:rsidRDefault="00FF0021" w:rsidP="00FF0021">
      <w:pPr>
        <w:spacing w:after="0"/>
        <w:rPr>
          <w:lang w:val="en-GB"/>
        </w:rPr>
      </w:pPr>
      <w:r>
        <w:rPr>
          <w:vertAlign w:val="superscript"/>
          <w:lang w:val="en-GB"/>
        </w:rPr>
        <w:t>3</w:t>
      </w:r>
      <w:r>
        <w:rPr>
          <w:lang w:val="en-GB"/>
        </w:rPr>
        <w:t>School of Physiotherapy, University of Otago</w:t>
      </w:r>
    </w:p>
    <w:p w14:paraId="6A947B73" w14:textId="77777777" w:rsidR="00FF0021" w:rsidRDefault="00FF0021" w:rsidP="00FF0021">
      <w:pPr>
        <w:spacing w:after="0"/>
        <w:rPr>
          <w:lang w:val="en-GB"/>
        </w:rPr>
      </w:pPr>
      <w:r>
        <w:rPr>
          <w:vertAlign w:val="superscript"/>
          <w:lang w:val="en-GB"/>
        </w:rPr>
        <w:t>4</w:t>
      </w:r>
      <w:r>
        <w:rPr>
          <w:lang w:val="en-GB"/>
        </w:rPr>
        <w:t xml:space="preserve">Toi </w:t>
      </w:r>
      <w:proofErr w:type="spellStart"/>
      <w:r>
        <w:rPr>
          <w:lang w:val="en-GB"/>
        </w:rPr>
        <w:t>Ohomai</w:t>
      </w:r>
      <w:proofErr w:type="spellEnd"/>
      <w:r>
        <w:rPr>
          <w:lang w:val="en-GB"/>
        </w:rPr>
        <w:t xml:space="preserve"> Institute of Technology</w:t>
      </w:r>
    </w:p>
    <w:p w14:paraId="5D50CBBC" w14:textId="77777777" w:rsidR="00FF0021" w:rsidRDefault="00FF0021" w:rsidP="00FF0021">
      <w:pPr>
        <w:spacing w:after="0"/>
        <w:rPr>
          <w:lang w:val="en-GB"/>
        </w:rPr>
      </w:pPr>
      <w:r>
        <w:rPr>
          <w:vertAlign w:val="superscript"/>
          <w:lang w:val="en-GB"/>
        </w:rPr>
        <w:t>5</w:t>
      </w:r>
      <w:r>
        <w:rPr>
          <w:lang w:val="en-GB"/>
        </w:rPr>
        <w:t>Psychological Medicine, University of Otago</w:t>
      </w:r>
    </w:p>
    <w:p w14:paraId="7FA4C6C8" w14:textId="77777777" w:rsidR="00FF0021" w:rsidRDefault="00FF0021" w:rsidP="00FF0021">
      <w:pPr>
        <w:spacing w:after="0"/>
        <w:rPr>
          <w:lang w:val="en-GB"/>
        </w:rPr>
      </w:pPr>
      <w:r>
        <w:rPr>
          <w:vertAlign w:val="superscript"/>
          <w:lang w:val="en-GB"/>
        </w:rPr>
        <w:t>6</w:t>
      </w:r>
      <w:r>
        <w:rPr>
          <w:lang w:val="en-GB"/>
        </w:rPr>
        <w:t>Acupuncture New Zealand</w:t>
      </w:r>
    </w:p>
    <w:p w14:paraId="6F6ADE8A" w14:textId="77777777" w:rsidR="00FF0021" w:rsidRPr="007C0D6F" w:rsidRDefault="00FF0021" w:rsidP="00FF0021">
      <w:pPr>
        <w:spacing w:after="0"/>
        <w:rPr>
          <w:lang w:val="en-GB"/>
        </w:rPr>
      </w:pPr>
      <w:r>
        <w:rPr>
          <w:vertAlign w:val="superscript"/>
          <w:lang w:val="en-GB"/>
        </w:rPr>
        <w:t>7</w:t>
      </w:r>
      <w:r>
        <w:rPr>
          <w:lang w:val="en-GB"/>
        </w:rPr>
        <w:t>Te Whare Hauora</w:t>
      </w:r>
    </w:p>
    <w:p w14:paraId="16FDAAF5" w14:textId="25E6AB78" w:rsidR="00692ABA" w:rsidRPr="00B026A2" w:rsidRDefault="00067EC2" w:rsidP="00067EC2">
      <w:pPr>
        <w:pStyle w:val="Heading1"/>
        <w:rPr>
          <w:lang w:val="en-GB"/>
        </w:rPr>
      </w:pPr>
      <w:r w:rsidRPr="00B026A2">
        <w:rPr>
          <w:lang w:val="en-GB"/>
        </w:rPr>
        <w:t>Introduction</w:t>
      </w:r>
      <w:r w:rsidR="00692ABA" w:rsidRPr="00B026A2">
        <w:rPr>
          <w:lang w:val="en-GB"/>
        </w:rPr>
        <w:t>.</w:t>
      </w:r>
    </w:p>
    <w:p w14:paraId="7F19D939" w14:textId="7076E705" w:rsidR="00FD13F7" w:rsidRPr="00B026A2" w:rsidRDefault="000C444C" w:rsidP="006120A8">
      <w:pPr>
        <w:rPr>
          <w:lang w:val="en-GB"/>
        </w:rPr>
      </w:pPr>
      <w:r w:rsidRPr="00B026A2">
        <w:rPr>
          <w:lang w:val="en-GB"/>
        </w:rPr>
        <w:t xml:space="preserve">We have previously shown that distress is </w:t>
      </w:r>
      <w:r w:rsidR="002913B8" w:rsidRPr="00B026A2">
        <w:rPr>
          <w:lang w:val="en-GB"/>
        </w:rPr>
        <w:t xml:space="preserve">a problem </w:t>
      </w:r>
      <w:r w:rsidRPr="00B026A2">
        <w:rPr>
          <w:lang w:val="en-GB"/>
        </w:rPr>
        <w:t xml:space="preserve">in </w:t>
      </w:r>
      <w:r w:rsidR="002913B8" w:rsidRPr="00B026A2">
        <w:rPr>
          <w:lang w:val="en-GB"/>
        </w:rPr>
        <w:t xml:space="preserve">a significant minority of </w:t>
      </w:r>
      <w:r w:rsidRPr="00B026A2">
        <w:rPr>
          <w:lang w:val="en-GB"/>
        </w:rPr>
        <w:t>New Zealand military Veterans,</w:t>
      </w:r>
      <w:r w:rsidR="001432DF" w:rsidRPr="00B026A2">
        <w:rPr>
          <w:lang w:val="en-GB"/>
        </w:rPr>
        <w:t>[1]</w:t>
      </w:r>
      <w:r w:rsidRPr="00B026A2">
        <w:rPr>
          <w:lang w:val="en-GB"/>
        </w:rPr>
        <w:t xml:space="preserve"> also that mobility, carrying out usual </w:t>
      </w:r>
      <w:proofErr w:type="spellStart"/>
      <w:r w:rsidRPr="00B026A2">
        <w:rPr>
          <w:lang w:val="en-GB"/>
        </w:rPr>
        <w:t>activities</w:t>
      </w:r>
      <w:r w:rsidR="00EF5A0F">
        <w:rPr>
          <w:lang w:val="en-GB"/>
        </w:rPr>
        <w:t>n</w:t>
      </w:r>
      <w:r w:rsidRPr="00B026A2">
        <w:rPr>
          <w:lang w:val="en-GB"/>
        </w:rPr>
        <w:t>and</w:t>
      </w:r>
      <w:proofErr w:type="spellEnd"/>
      <w:r w:rsidRPr="00B026A2">
        <w:rPr>
          <w:lang w:val="en-GB"/>
        </w:rPr>
        <w:t xml:space="preserve"> pain or discomfort cause at least some problems</w:t>
      </w:r>
      <w:r w:rsidR="005C762B" w:rsidRPr="00B026A2">
        <w:rPr>
          <w:lang w:val="en-GB"/>
        </w:rPr>
        <w:t xml:space="preserve"> for a significant proportion of them</w:t>
      </w:r>
      <w:r w:rsidRPr="00B026A2">
        <w:rPr>
          <w:lang w:val="en-GB"/>
        </w:rPr>
        <w:t>.</w:t>
      </w:r>
      <w:r w:rsidR="001432DF" w:rsidRPr="00B026A2">
        <w:rPr>
          <w:lang w:val="en-GB"/>
        </w:rPr>
        <w:t>[2]</w:t>
      </w:r>
      <w:r w:rsidRPr="00B026A2">
        <w:rPr>
          <w:lang w:val="en-GB"/>
        </w:rPr>
        <w:t xml:space="preserve"> </w:t>
      </w:r>
      <w:r w:rsidR="005C762B" w:rsidRPr="00B026A2">
        <w:rPr>
          <w:lang w:val="en-GB"/>
        </w:rPr>
        <w:t>We believe that</w:t>
      </w:r>
      <w:r w:rsidR="00AC6338" w:rsidRPr="00B026A2">
        <w:rPr>
          <w:lang w:val="en-GB"/>
        </w:rPr>
        <w:t xml:space="preserve"> </w:t>
      </w:r>
      <w:r w:rsidR="005C762B" w:rsidRPr="00B026A2">
        <w:rPr>
          <w:lang w:val="en-GB"/>
        </w:rPr>
        <w:t xml:space="preserve">‘Battlefield Acupuncture,’ an auriculotherapy developed by the United States </w:t>
      </w:r>
      <w:r w:rsidR="00081678" w:rsidRPr="00B026A2">
        <w:rPr>
          <w:lang w:val="en-GB"/>
        </w:rPr>
        <w:t>m</w:t>
      </w:r>
      <w:r w:rsidR="005C762B" w:rsidRPr="00B026A2">
        <w:rPr>
          <w:lang w:val="en-GB"/>
        </w:rPr>
        <w:t xml:space="preserve">ilitary, </w:t>
      </w:r>
      <w:r w:rsidR="00AC6338" w:rsidRPr="00B026A2">
        <w:rPr>
          <w:lang w:val="en-GB"/>
        </w:rPr>
        <w:t>delivered in tandem w</w:t>
      </w:r>
      <w:r w:rsidR="001208D3">
        <w:rPr>
          <w:lang w:val="en-GB"/>
        </w:rPr>
        <w:t xml:space="preserve"> </w:t>
      </w:r>
      <w:proofErr w:type="spellStart"/>
      <w:r w:rsidR="00AC6338" w:rsidRPr="00B026A2">
        <w:rPr>
          <w:lang w:val="en-GB"/>
        </w:rPr>
        <w:t>ith</w:t>
      </w:r>
      <w:proofErr w:type="spellEnd"/>
      <w:r w:rsidR="00AC6338" w:rsidRPr="00B026A2">
        <w:rPr>
          <w:lang w:val="en-GB"/>
        </w:rPr>
        <w:t xml:space="preserve"> </w:t>
      </w:r>
      <w:r w:rsidR="002913B8" w:rsidRPr="00B026A2">
        <w:rPr>
          <w:lang w:val="en-GB"/>
        </w:rPr>
        <w:t>a particular form of ‘</w:t>
      </w:r>
      <w:r w:rsidR="00AC6338" w:rsidRPr="00B026A2">
        <w:rPr>
          <w:lang w:val="en-GB"/>
        </w:rPr>
        <w:t>talking therapy</w:t>
      </w:r>
      <w:r w:rsidR="002913B8" w:rsidRPr="00B026A2">
        <w:rPr>
          <w:lang w:val="en-GB"/>
        </w:rPr>
        <w:t>’</w:t>
      </w:r>
      <w:r w:rsidR="00AC6338" w:rsidRPr="00B026A2">
        <w:rPr>
          <w:lang w:val="en-GB"/>
        </w:rPr>
        <w:t>, Action and Commitment Therapy (ACT),</w:t>
      </w:r>
      <w:r w:rsidR="002913B8" w:rsidRPr="00B026A2">
        <w:rPr>
          <w:lang w:val="en-GB"/>
        </w:rPr>
        <w:t xml:space="preserve"> teaching that thoughts and feelings should be accepted and acted upon, </w:t>
      </w:r>
      <w:r w:rsidR="00AC6338" w:rsidRPr="00B026A2">
        <w:rPr>
          <w:lang w:val="en-GB"/>
        </w:rPr>
        <w:t xml:space="preserve">or for Māori, traditional Rongoa Māori healing, </w:t>
      </w:r>
      <w:r w:rsidR="005C762B" w:rsidRPr="00B026A2">
        <w:rPr>
          <w:lang w:val="en-GB"/>
        </w:rPr>
        <w:t>would b</w:t>
      </w:r>
      <w:r w:rsidR="00AC6338" w:rsidRPr="00B026A2">
        <w:rPr>
          <w:lang w:val="en-GB"/>
        </w:rPr>
        <w:t>oth</w:t>
      </w:r>
      <w:r w:rsidR="005C762B" w:rsidRPr="00B026A2">
        <w:rPr>
          <w:lang w:val="en-GB"/>
        </w:rPr>
        <w:t xml:space="preserve"> </w:t>
      </w:r>
      <w:r w:rsidR="00AC6338" w:rsidRPr="00B026A2">
        <w:rPr>
          <w:lang w:val="en-GB"/>
        </w:rPr>
        <w:t>be</w:t>
      </w:r>
      <w:r w:rsidR="005C762B" w:rsidRPr="00B026A2">
        <w:rPr>
          <w:lang w:val="en-GB"/>
        </w:rPr>
        <w:t xml:space="preserve"> acceptable form</w:t>
      </w:r>
      <w:r w:rsidR="00AC6338" w:rsidRPr="00B026A2">
        <w:rPr>
          <w:lang w:val="en-GB"/>
        </w:rPr>
        <w:t>s</w:t>
      </w:r>
      <w:r w:rsidR="005C762B" w:rsidRPr="00B026A2">
        <w:rPr>
          <w:lang w:val="en-GB"/>
        </w:rPr>
        <w:t xml:space="preserve"> of treatment, </w:t>
      </w:r>
      <w:r w:rsidR="00AC6338" w:rsidRPr="00B026A2">
        <w:rPr>
          <w:lang w:val="en-GB"/>
        </w:rPr>
        <w:t>and</w:t>
      </w:r>
      <w:r w:rsidR="005C762B" w:rsidRPr="00B026A2">
        <w:rPr>
          <w:lang w:val="en-GB"/>
        </w:rPr>
        <w:t xml:space="preserve"> </w:t>
      </w:r>
      <w:r w:rsidR="00A722CE" w:rsidRPr="00B026A2">
        <w:rPr>
          <w:lang w:val="en-GB"/>
        </w:rPr>
        <w:t xml:space="preserve">more effective </w:t>
      </w:r>
      <w:r w:rsidR="005C762B" w:rsidRPr="00B026A2">
        <w:rPr>
          <w:lang w:val="en-GB"/>
        </w:rPr>
        <w:t>in improving symptoms</w:t>
      </w:r>
      <w:r w:rsidR="00A722CE" w:rsidRPr="00B026A2">
        <w:rPr>
          <w:lang w:val="en-GB"/>
        </w:rPr>
        <w:t xml:space="preserve"> </w:t>
      </w:r>
      <w:r w:rsidR="00067EC2" w:rsidRPr="00B026A2">
        <w:rPr>
          <w:lang w:val="en-GB"/>
        </w:rPr>
        <w:t xml:space="preserve">of pain and distress </w:t>
      </w:r>
      <w:r w:rsidR="00A722CE" w:rsidRPr="00B026A2">
        <w:rPr>
          <w:lang w:val="en-GB"/>
        </w:rPr>
        <w:t xml:space="preserve">than </w:t>
      </w:r>
      <w:r w:rsidR="002913B8" w:rsidRPr="00B026A2">
        <w:rPr>
          <w:lang w:val="en-GB"/>
        </w:rPr>
        <w:t>their usual approaches</w:t>
      </w:r>
      <w:r w:rsidR="009B0947" w:rsidRPr="00B026A2">
        <w:rPr>
          <w:lang w:val="en-GB"/>
        </w:rPr>
        <w:t xml:space="preserve"> to </w:t>
      </w:r>
      <w:r w:rsidR="00081678" w:rsidRPr="00B026A2">
        <w:rPr>
          <w:lang w:val="en-GB"/>
        </w:rPr>
        <w:t>health management</w:t>
      </w:r>
      <w:r w:rsidR="005C762B" w:rsidRPr="00B026A2">
        <w:rPr>
          <w:lang w:val="en-GB"/>
        </w:rPr>
        <w:t xml:space="preserve">.  </w:t>
      </w:r>
    </w:p>
    <w:p w14:paraId="429CF296" w14:textId="56B3B1CB" w:rsidR="00244157" w:rsidRPr="00B026A2" w:rsidRDefault="00DE0DB0" w:rsidP="00692ABA">
      <w:pPr>
        <w:pStyle w:val="Heading1"/>
        <w:rPr>
          <w:lang w:val="en-GB"/>
        </w:rPr>
      </w:pPr>
      <w:r w:rsidRPr="00B026A2">
        <w:rPr>
          <w:lang w:val="en-GB"/>
        </w:rPr>
        <w:t>Background</w:t>
      </w:r>
    </w:p>
    <w:p w14:paraId="2A5292D9" w14:textId="6BD24DDD" w:rsidR="00244157" w:rsidRPr="00B026A2" w:rsidRDefault="00244157" w:rsidP="00244157">
      <w:pPr>
        <w:rPr>
          <w:lang w:val="en-GB"/>
        </w:rPr>
      </w:pPr>
      <w:r w:rsidRPr="00B026A2">
        <w:rPr>
          <w:lang w:val="en-GB"/>
        </w:rPr>
        <w:t>We have shown that mental health problems are prevalent in the New Zealand Veteran community, 10% of Veterans hav</w:t>
      </w:r>
      <w:r w:rsidR="005A2598" w:rsidRPr="00B026A2">
        <w:rPr>
          <w:lang w:val="en-GB"/>
        </w:rPr>
        <w:t>e</w:t>
      </w:r>
      <w:r w:rsidRPr="00B026A2">
        <w:rPr>
          <w:lang w:val="en-GB"/>
        </w:rPr>
        <w:t xml:space="preserve"> scores on Post-traumatic Stress Disorder Checklist Military (PCL-M) indicative of clinical PTS injury (PTSI) and 30% </w:t>
      </w:r>
      <w:r w:rsidR="00174981">
        <w:rPr>
          <w:lang w:val="en-GB"/>
        </w:rPr>
        <w:t>have</w:t>
      </w:r>
      <w:r w:rsidRPr="00B026A2">
        <w:rPr>
          <w:lang w:val="en-GB"/>
        </w:rPr>
        <w:t xml:space="preserve"> </w:t>
      </w:r>
      <w:r w:rsidR="00174981">
        <w:rPr>
          <w:lang w:val="en-GB"/>
        </w:rPr>
        <w:t xml:space="preserve">significant </w:t>
      </w:r>
      <w:r w:rsidRPr="00B026A2">
        <w:rPr>
          <w:lang w:val="en-GB"/>
        </w:rPr>
        <w:t>PTSI</w:t>
      </w:r>
      <w:r w:rsidR="00174981">
        <w:rPr>
          <w:lang w:val="en-GB"/>
        </w:rPr>
        <w:t xml:space="preserve"> symptoms</w:t>
      </w:r>
      <w:r w:rsidRPr="00B026A2">
        <w:rPr>
          <w:lang w:val="en-GB"/>
        </w:rPr>
        <w:t>.[</w:t>
      </w:r>
      <w:r w:rsidR="00381523" w:rsidRPr="00B026A2">
        <w:rPr>
          <w:lang w:val="en-GB"/>
        </w:rPr>
        <w:t>1</w:t>
      </w:r>
      <w:r w:rsidRPr="00B026A2">
        <w:rPr>
          <w:lang w:val="en-GB"/>
        </w:rPr>
        <w:t>]</w:t>
      </w:r>
    </w:p>
    <w:p w14:paraId="7B9D46EA" w14:textId="462B06D6" w:rsidR="005B2A11" w:rsidRPr="00B026A2" w:rsidRDefault="00244157" w:rsidP="00244157">
      <w:pPr>
        <w:rPr>
          <w:lang w:val="en-GB"/>
        </w:rPr>
      </w:pPr>
      <w:r w:rsidRPr="00B026A2">
        <w:rPr>
          <w:lang w:val="en-GB"/>
        </w:rPr>
        <w:t xml:space="preserve">Pain and discomfort are also a problem, our recent findings </w:t>
      </w:r>
      <w:r w:rsidR="005A2598" w:rsidRPr="00B026A2">
        <w:rPr>
          <w:lang w:val="en-GB"/>
        </w:rPr>
        <w:t xml:space="preserve">showing </w:t>
      </w:r>
      <w:r w:rsidRPr="00B026A2">
        <w:rPr>
          <w:lang w:val="en-GB"/>
        </w:rPr>
        <w:t>that, in comparison with the New Zealand population</w:t>
      </w:r>
      <w:r w:rsidR="005A2598" w:rsidRPr="00B026A2">
        <w:rPr>
          <w:lang w:val="en-GB"/>
        </w:rPr>
        <w:t>,</w:t>
      </w:r>
      <w:r w:rsidRPr="00B026A2">
        <w:rPr>
          <w:lang w:val="en-GB"/>
        </w:rPr>
        <w:t xml:space="preserve"> </w:t>
      </w:r>
      <w:r w:rsidR="005A2598" w:rsidRPr="00B026A2">
        <w:rPr>
          <w:lang w:val="en-GB"/>
        </w:rPr>
        <w:t xml:space="preserve">a greater proportion of </w:t>
      </w:r>
      <w:r w:rsidR="00783CA4" w:rsidRPr="00B026A2">
        <w:rPr>
          <w:lang w:val="en-GB"/>
        </w:rPr>
        <w:t>Veteran</w:t>
      </w:r>
      <w:r w:rsidR="005A2598" w:rsidRPr="00B026A2">
        <w:rPr>
          <w:lang w:val="en-GB"/>
        </w:rPr>
        <w:t xml:space="preserve">s </w:t>
      </w:r>
      <w:r w:rsidRPr="00B026A2">
        <w:rPr>
          <w:lang w:val="en-GB"/>
        </w:rPr>
        <w:t>reported problems with mobility, usual activities, and pain</w:t>
      </w:r>
      <w:r w:rsidR="00081678" w:rsidRPr="00B026A2">
        <w:rPr>
          <w:lang w:val="en-GB"/>
        </w:rPr>
        <w:t xml:space="preserve"> or </w:t>
      </w:r>
      <w:r w:rsidRPr="00B026A2">
        <w:rPr>
          <w:lang w:val="en-GB"/>
        </w:rPr>
        <w:t>discomfort. Psychological flexibility</w:t>
      </w:r>
      <w:r w:rsidR="0066702A">
        <w:rPr>
          <w:lang w:val="en-GB"/>
        </w:rPr>
        <w:t xml:space="preserve">, as measured by the Action and Acceptance </w:t>
      </w:r>
      <w:proofErr w:type="spellStart"/>
      <w:r w:rsidR="0066702A">
        <w:rPr>
          <w:lang w:val="en-GB"/>
        </w:rPr>
        <w:t>Questionnnaire</w:t>
      </w:r>
      <w:proofErr w:type="spellEnd"/>
      <w:r w:rsidR="0066702A">
        <w:rPr>
          <w:lang w:val="en-GB"/>
        </w:rPr>
        <w:t xml:space="preserve"> II,</w:t>
      </w:r>
      <w:r w:rsidRPr="00B026A2">
        <w:rPr>
          <w:lang w:val="en-GB"/>
        </w:rPr>
        <w:t xml:space="preserve"> and better sleep quality were associated with higher self-reported health, while distress, as measured by the GHQ-12, was associated with diminished health.[</w:t>
      </w:r>
      <w:r w:rsidR="00381523" w:rsidRPr="00B026A2">
        <w:rPr>
          <w:lang w:val="en-GB"/>
        </w:rPr>
        <w:t>2</w:t>
      </w:r>
      <w:r w:rsidRPr="00B026A2">
        <w:rPr>
          <w:lang w:val="en-GB"/>
        </w:rPr>
        <w:t xml:space="preserve">] </w:t>
      </w:r>
    </w:p>
    <w:p w14:paraId="168AD7AF" w14:textId="65FE5431" w:rsidR="005B2A11" w:rsidRPr="00B026A2" w:rsidRDefault="005B2A11" w:rsidP="00244157">
      <w:pPr>
        <w:rPr>
          <w:lang w:val="en-GB"/>
        </w:rPr>
      </w:pPr>
      <w:r w:rsidRPr="00B026A2">
        <w:rPr>
          <w:lang w:val="en-GB"/>
        </w:rPr>
        <w:lastRenderedPageBreak/>
        <w:t>We also know that Veterans have a peculiar pattern of symptom reporting, multi system illness, with a discernible pattern of symptom</w:t>
      </w:r>
      <w:r w:rsidR="00C47B11" w:rsidRPr="00B026A2">
        <w:rPr>
          <w:lang w:val="en-GB"/>
        </w:rPr>
        <w:t>s</w:t>
      </w:r>
      <w:r w:rsidRPr="00B026A2">
        <w:rPr>
          <w:lang w:val="en-GB"/>
        </w:rPr>
        <w:t xml:space="preserve"> report</w:t>
      </w:r>
      <w:r w:rsidR="00C47B11" w:rsidRPr="00B026A2">
        <w:rPr>
          <w:lang w:val="en-GB"/>
        </w:rPr>
        <w:t>ed</w:t>
      </w:r>
      <w:r w:rsidRPr="00B026A2">
        <w:rPr>
          <w:lang w:val="en-GB"/>
        </w:rPr>
        <w:t xml:space="preserve"> on factor analysis</w:t>
      </w:r>
      <w:r w:rsidR="005A2598" w:rsidRPr="00B026A2">
        <w:rPr>
          <w:lang w:val="en-GB"/>
        </w:rPr>
        <w:t xml:space="preserve">: </w:t>
      </w:r>
      <w:r w:rsidR="00B966FA" w:rsidRPr="00B026A2">
        <w:rPr>
          <w:lang w:val="en-GB"/>
        </w:rPr>
        <w:t>firstly arthro-neuromuscular distress, secondly cognitive distress, and thirdly psycho-physiological distress</w:t>
      </w:r>
      <w:r w:rsidR="00C47B11" w:rsidRPr="00B026A2">
        <w:rPr>
          <w:lang w:val="en-GB"/>
        </w:rPr>
        <w:t xml:space="preserve">, those with </w:t>
      </w:r>
      <w:r w:rsidR="00B966FA" w:rsidRPr="00B026A2">
        <w:rPr>
          <w:lang w:val="en-GB"/>
        </w:rPr>
        <w:t xml:space="preserve">PTSD </w:t>
      </w:r>
      <w:r w:rsidR="00C47B11" w:rsidRPr="00B026A2">
        <w:rPr>
          <w:lang w:val="en-GB"/>
        </w:rPr>
        <w:t>having a high symptom count</w:t>
      </w:r>
      <w:r w:rsidR="00B966FA" w:rsidRPr="00B026A2">
        <w:rPr>
          <w:lang w:val="en-GB"/>
        </w:rPr>
        <w:t>.</w:t>
      </w:r>
      <w:r w:rsidR="00A722CE" w:rsidRPr="00B026A2">
        <w:rPr>
          <w:lang w:val="en-GB"/>
        </w:rPr>
        <w:t>[</w:t>
      </w:r>
      <w:r w:rsidR="00381523" w:rsidRPr="00B026A2">
        <w:rPr>
          <w:lang w:val="en-GB"/>
        </w:rPr>
        <w:t>3</w:t>
      </w:r>
      <w:r w:rsidR="00A722CE" w:rsidRPr="00B026A2">
        <w:rPr>
          <w:lang w:val="en-GB"/>
        </w:rPr>
        <w:t>]</w:t>
      </w:r>
      <w:r w:rsidR="00B966FA" w:rsidRPr="00B026A2">
        <w:rPr>
          <w:lang w:val="en-GB"/>
        </w:rPr>
        <w:t xml:space="preserve"> </w:t>
      </w:r>
      <w:r w:rsidR="00C47B11" w:rsidRPr="00B026A2">
        <w:rPr>
          <w:lang w:val="en-GB"/>
        </w:rPr>
        <w:t xml:space="preserve">Worryingly, a small proportion of </w:t>
      </w:r>
      <w:r w:rsidR="00381523" w:rsidRPr="00B026A2">
        <w:rPr>
          <w:lang w:val="en-GB"/>
        </w:rPr>
        <w:t xml:space="preserve">Australian </w:t>
      </w:r>
      <w:r w:rsidR="005A2598" w:rsidRPr="00B026A2">
        <w:rPr>
          <w:lang w:val="en-GB"/>
        </w:rPr>
        <w:t>V</w:t>
      </w:r>
      <w:r w:rsidR="00C47B11" w:rsidRPr="00B026A2">
        <w:rPr>
          <w:lang w:val="en-GB"/>
        </w:rPr>
        <w:t>eterans with high symptom counts develop</w:t>
      </w:r>
      <w:r w:rsidR="00381523" w:rsidRPr="00B026A2">
        <w:rPr>
          <w:lang w:val="en-GB"/>
        </w:rPr>
        <w:t>ed</w:t>
      </w:r>
      <w:r w:rsidR="00C47B11" w:rsidRPr="00B026A2">
        <w:rPr>
          <w:lang w:val="en-GB"/>
        </w:rPr>
        <w:t xml:space="preserve"> chronic diseases including sleep apnoea, psychological disorders</w:t>
      </w:r>
      <w:r w:rsidR="005A2598" w:rsidRPr="00B026A2">
        <w:rPr>
          <w:lang w:val="en-GB"/>
        </w:rPr>
        <w:t>,</w:t>
      </w:r>
      <w:r w:rsidR="00C47B11" w:rsidRPr="00B026A2">
        <w:rPr>
          <w:lang w:val="en-GB"/>
        </w:rPr>
        <w:t xml:space="preserve"> and cardiovascular conditions.</w:t>
      </w:r>
      <w:r w:rsidR="00A722CE" w:rsidRPr="00B026A2">
        <w:rPr>
          <w:lang w:val="en-GB"/>
        </w:rPr>
        <w:t>[</w:t>
      </w:r>
      <w:r w:rsidR="00381523" w:rsidRPr="00B026A2">
        <w:rPr>
          <w:lang w:val="en-GB"/>
        </w:rPr>
        <w:t>4</w:t>
      </w:r>
      <w:r w:rsidR="00A722CE" w:rsidRPr="00B026A2">
        <w:rPr>
          <w:lang w:val="en-GB"/>
        </w:rPr>
        <w:t>]</w:t>
      </w:r>
      <w:r w:rsidR="00C47B11" w:rsidRPr="00B026A2">
        <w:rPr>
          <w:lang w:val="en-GB"/>
        </w:rPr>
        <w:t xml:space="preserve"> In keeping with this pattern, they also </w:t>
      </w:r>
      <w:r w:rsidR="005A2598" w:rsidRPr="00B026A2">
        <w:rPr>
          <w:lang w:val="en-GB"/>
        </w:rPr>
        <w:t xml:space="preserve">demonstrated a range of other </w:t>
      </w:r>
      <w:r w:rsidR="00C47B11" w:rsidRPr="00B026A2">
        <w:rPr>
          <w:lang w:val="en-GB"/>
        </w:rPr>
        <w:t xml:space="preserve">risk factors: </w:t>
      </w:r>
      <w:r w:rsidR="00381523" w:rsidRPr="00B026A2">
        <w:rPr>
          <w:lang w:val="en-GB"/>
        </w:rPr>
        <w:t xml:space="preserve">a </w:t>
      </w:r>
      <w:r w:rsidR="00C47B11" w:rsidRPr="00B026A2">
        <w:rPr>
          <w:lang w:val="en-GB"/>
        </w:rPr>
        <w:t>high prevalence of obesity, high waist circumference</w:t>
      </w:r>
      <w:r w:rsidR="005A2598" w:rsidRPr="00B026A2">
        <w:rPr>
          <w:lang w:val="en-GB"/>
        </w:rPr>
        <w:t>,</w:t>
      </w:r>
      <w:r w:rsidR="00C47B11" w:rsidRPr="00B026A2">
        <w:rPr>
          <w:lang w:val="en-GB"/>
        </w:rPr>
        <w:t xml:space="preserve"> and harmful alcohol use.  They also had poorer physical and mental health.[</w:t>
      </w:r>
      <w:r w:rsidR="00381523" w:rsidRPr="00B026A2">
        <w:rPr>
          <w:lang w:val="en-GB"/>
        </w:rPr>
        <w:t>4</w:t>
      </w:r>
      <w:r w:rsidR="00C47B11" w:rsidRPr="00B026A2">
        <w:rPr>
          <w:lang w:val="en-GB"/>
        </w:rPr>
        <w:t>]</w:t>
      </w:r>
    </w:p>
    <w:p w14:paraId="458705E0" w14:textId="53111FA2" w:rsidR="00244157" w:rsidRPr="00B026A2" w:rsidRDefault="00A722CE" w:rsidP="004A3CE0">
      <w:pPr>
        <w:rPr>
          <w:lang w:val="en-GB"/>
        </w:rPr>
      </w:pPr>
      <w:r w:rsidRPr="00B026A2">
        <w:rPr>
          <w:lang w:val="en-GB"/>
        </w:rPr>
        <w:t>Furthermore, there are</w:t>
      </w:r>
      <w:r w:rsidR="00244157" w:rsidRPr="00B026A2">
        <w:rPr>
          <w:lang w:val="en-GB"/>
        </w:rPr>
        <w:t xml:space="preserve"> </w:t>
      </w:r>
      <w:r w:rsidRPr="00B026A2">
        <w:rPr>
          <w:lang w:val="en-GB"/>
        </w:rPr>
        <w:t xml:space="preserve">significant </w:t>
      </w:r>
      <w:r w:rsidR="00244157" w:rsidRPr="00B026A2">
        <w:rPr>
          <w:lang w:val="en-GB"/>
        </w:rPr>
        <w:t>barriers to seeking care. In a cross-sectional survey, we found that 33% of Veterans were lonely,[</w:t>
      </w:r>
      <w:r w:rsidR="00381523" w:rsidRPr="00B026A2">
        <w:rPr>
          <w:lang w:val="en-GB"/>
        </w:rPr>
        <w:t>5</w:t>
      </w:r>
      <w:r w:rsidR="00244157" w:rsidRPr="00B026A2">
        <w:rPr>
          <w:lang w:val="en-GB"/>
        </w:rPr>
        <w:t>] loneliness being correlated with psychological distress, and 43% being uncomfortable in accessing supports. A follow up qualitative survey assessed</w:t>
      </w:r>
      <w:r w:rsidR="00B146EC" w:rsidRPr="00B026A2">
        <w:rPr>
          <w:lang w:val="en-GB"/>
        </w:rPr>
        <w:t xml:space="preserve"> how Veterans conceptualise loneliness.</w:t>
      </w:r>
      <w:r w:rsidR="00244157" w:rsidRPr="00B026A2">
        <w:rPr>
          <w:lang w:val="en-GB"/>
        </w:rPr>
        <w:t>[</w:t>
      </w:r>
      <w:r w:rsidR="00381523" w:rsidRPr="00B026A2">
        <w:rPr>
          <w:lang w:val="en-GB"/>
        </w:rPr>
        <w:t>6</w:t>
      </w:r>
      <w:r w:rsidR="00244157" w:rsidRPr="00B026A2">
        <w:rPr>
          <w:lang w:val="en-GB"/>
        </w:rPr>
        <w:t xml:space="preserve">] three themes emerged, </w:t>
      </w:r>
      <w:r w:rsidR="00783CA4" w:rsidRPr="00B026A2">
        <w:rPr>
          <w:lang w:val="en-GB"/>
        </w:rPr>
        <w:t>Veteran</w:t>
      </w:r>
      <w:r w:rsidR="00244157" w:rsidRPr="00B026A2">
        <w:rPr>
          <w:lang w:val="en-GB"/>
        </w:rPr>
        <w:t>-centric ‘driving’ factors, social connectedness, and barriers to accessing support</w:t>
      </w:r>
      <w:r w:rsidR="00B026A2" w:rsidRPr="00B026A2">
        <w:rPr>
          <w:lang w:val="en-GB"/>
        </w:rPr>
        <w:t>. Significant barriers to accessing health care were stoicism and the perception of ineffective services</w:t>
      </w:r>
      <w:r w:rsidR="00244157" w:rsidRPr="00B026A2">
        <w:rPr>
          <w:lang w:val="en-GB"/>
        </w:rPr>
        <w:t>. Social and geographic isolation were risk factors</w:t>
      </w:r>
      <w:r w:rsidR="00B146EC" w:rsidRPr="00B026A2">
        <w:rPr>
          <w:lang w:val="en-GB"/>
        </w:rPr>
        <w:t>, as were anxiety and depression</w:t>
      </w:r>
      <w:r w:rsidR="008A50D1" w:rsidRPr="00B026A2">
        <w:rPr>
          <w:lang w:val="en-GB"/>
        </w:rPr>
        <w:t>.</w:t>
      </w:r>
      <w:r w:rsidR="00244157" w:rsidRPr="00B026A2">
        <w:rPr>
          <w:lang w:val="en-GB"/>
        </w:rPr>
        <w:t xml:space="preserve"> </w:t>
      </w:r>
      <w:r w:rsidR="009B0947" w:rsidRPr="00B026A2">
        <w:rPr>
          <w:lang w:val="en-GB"/>
        </w:rPr>
        <w:t>Military culture, in particular s</w:t>
      </w:r>
      <w:r w:rsidR="00244157" w:rsidRPr="00B026A2">
        <w:rPr>
          <w:lang w:val="en-GB"/>
        </w:rPr>
        <w:t>toicism</w:t>
      </w:r>
      <w:r w:rsidR="009B0947" w:rsidRPr="00B026A2">
        <w:rPr>
          <w:lang w:val="en-GB"/>
        </w:rPr>
        <w:t>, the ability to ‘harden up’</w:t>
      </w:r>
      <w:r w:rsidR="005A3316" w:rsidRPr="00B026A2">
        <w:rPr>
          <w:lang w:val="en-GB"/>
        </w:rPr>
        <w:t xml:space="preserve"> </w:t>
      </w:r>
      <w:r w:rsidR="009B0947" w:rsidRPr="00B026A2">
        <w:rPr>
          <w:lang w:val="en-GB"/>
        </w:rPr>
        <w:t xml:space="preserve">in the face of adversity, </w:t>
      </w:r>
      <w:r w:rsidR="005A3316" w:rsidRPr="00B026A2">
        <w:rPr>
          <w:lang w:val="en-GB"/>
        </w:rPr>
        <w:t>was a significant barrier</w:t>
      </w:r>
      <w:r w:rsidR="00244157" w:rsidRPr="00B026A2">
        <w:rPr>
          <w:lang w:val="en-GB"/>
        </w:rPr>
        <w:t>, along with perceived problems of accessibility and effectiveness of services</w:t>
      </w:r>
      <w:r w:rsidR="008A50D1" w:rsidRPr="00B026A2">
        <w:rPr>
          <w:lang w:val="en-GB"/>
        </w:rPr>
        <w:t>,</w:t>
      </w:r>
      <w:r w:rsidR="00244157" w:rsidRPr="00B026A2">
        <w:rPr>
          <w:lang w:val="en-GB"/>
        </w:rPr>
        <w:t xml:space="preserve"> a particular problem </w:t>
      </w:r>
      <w:r w:rsidR="005A3316" w:rsidRPr="00B026A2">
        <w:rPr>
          <w:lang w:val="en-GB"/>
        </w:rPr>
        <w:t>being</w:t>
      </w:r>
      <w:r w:rsidR="00244157" w:rsidRPr="00B026A2">
        <w:rPr>
          <w:lang w:val="en-GB"/>
        </w:rPr>
        <w:t xml:space="preserve"> that therapists had a poor understanding of the Veteran experience and culture. </w:t>
      </w:r>
    </w:p>
    <w:p w14:paraId="2456ACED" w14:textId="77777777" w:rsidR="00CA5602" w:rsidRDefault="007C47F0" w:rsidP="00381523">
      <w:pPr>
        <w:spacing w:before="60"/>
        <w:rPr>
          <w:lang w:val="en-GB"/>
        </w:rPr>
      </w:pPr>
      <w:r w:rsidRPr="00B026A2">
        <w:rPr>
          <w:lang w:val="en-GB"/>
        </w:rPr>
        <w:t>The pain-relieving effects of acupuncture are recognised</w:t>
      </w:r>
      <w:r w:rsidR="0066702A">
        <w:rPr>
          <w:lang w:val="en-GB"/>
        </w:rPr>
        <w:t xml:space="preserve">, albeit with study design difficulties leading to </w:t>
      </w:r>
      <w:r w:rsidR="001535F6">
        <w:rPr>
          <w:lang w:val="en-GB"/>
        </w:rPr>
        <w:t>‘</w:t>
      </w:r>
      <w:r w:rsidR="0066702A">
        <w:rPr>
          <w:lang w:val="en-GB"/>
        </w:rPr>
        <w:t xml:space="preserve">low </w:t>
      </w:r>
      <w:r w:rsidR="001535F6">
        <w:rPr>
          <w:lang w:val="en-GB"/>
        </w:rPr>
        <w:t xml:space="preserve">to moderate </w:t>
      </w:r>
      <w:r w:rsidR="0066702A">
        <w:rPr>
          <w:lang w:val="en-GB"/>
        </w:rPr>
        <w:t>quality evidence</w:t>
      </w:r>
      <w:r w:rsidR="001535F6">
        <w:rPr>
          <w:lang w:val="en-GB"/>
        </w:rPr>
        <w:t>’</w:t>
      </w:r>
      <w:r w:rsidR="0066702A">
        <w:rPr>
          <w:lang w:val="en-GB"/>
        </w:rPr>
        <w:t>,</w:t>
      </w:r>
      <w:r w:rsidR="00C62348" w:rsidRPr="00B026A2">
        <w:rPr>
          <w:lang w:val="en-GB"/>
        </w:rPr>
        <w:t>[7]</w:t>
      </w:r>
      <w:r w:rsidRPr="00B026A2">
        <w:rPr>
          <w:lang w:val="en-GB"/>
        </w:rPr>
        <w:t xml:space="preserve"> </w:t>
      </w:r>
      <w:r w:rsidR="0066702A">
        <w:rPr>
          <w:lang w:val="en-GB"/>
        </w:rPr>
        <w:t>and a</w:t>
      </w:r>
      <w:r w:rsidRPr="00B026A2">
        <w:rPr>
          <w:lang w:val="en-GB"/>
        </w:rPr>
        <w:t xml:space="preserve">cupuncture treatment for pain management is supported by </w:t>
      </w:r>
      <w:r w:rsidR="00116795" w:rsidRPr="00B026A2">
        <w:rPr>
          <w:lang w:val="en-GB"/>
        </w:rPr>
        <w:t xml:space="preserve">the </w:t>
      </w:r>
      <w:r w:rsidRPr="00B026A2">
        <w:rPr>
          <w:lang w:val="en-GB"/>
        </w:rPr>
        <w:t xml:space="preserve">Accident Compensation Corporation. In </w:t>
      </w:r>
      <w:r w:rsidR="001535F6">
        <w:rPr>
          <w:lang w:val="en-GB"/>
        </w:rPr>
        <w:t>M</w:t>
      </w:r>
      <w:r w:rsidRPr="00B026A2">
        <w:rPr>
          <w:lang w:val="en-GB"/>
        </w:rPr>
        <w:t xml:space="preserve">ilitary </w:t>
      </w:r>
      <w:r w:rsidR="001535F6">
        <w:rPr>
          <w:lang w:val="en-GB"/>
        </w:rPr>
        <w:t>M</w:t>
      </w:r>
      <w:r w:rsidRPr="00B026A2">
        <w:rPr>
          <w:lang w:val="en-GB"/>
        </w:rPr>
        <w:t xml:space="preserve">edicine, </w:t>
      </w:r>
      <w:r w:rsidR="00081678" w:rsidRPr="00B026A2">
        <w:rPr>
          <w:lang w:val="en-GB"/>
        </w:rPr>
        <w:t>B</w:t>
      </w:r>
      <w:r w:rsidRPr="00B026A2">
        <w:rPr>
          <w:lang w:val="en-GB"/>
        </w:rPr>
        <w:t xml:space="preserve">attlefield </w:t>
      </w:r>
      <w:r w:rsidR="00081678" w:rsidRPr="00B026A2">
        <w:rPr>
          <w:lang w:val="en-GB"/>
        </w:rPr>
        <w:t>A</w:t>
      </w:r>
      <w:r w:rsidRPr="00B026A2">
        <w:rPr>
          <w:lang w:val="en-GB"/>
        </w:rPr>
        <w:t xml:space="preserve">cupuncture has been reported to reduce </w:t>
      </w:r>
      <w:r w:rsidR="00081678" w:rsidRPr="00B026A2">
        <w:rPr>
          <w:lang w:val="en-GB"/>
        </w:rPr>
        <w:t xml:space="preserve">acute </w:t>
      </w:r>
      <w:r w:rsidRPr="00B026A2">
        <w:rPr>
          <w:lang w:val="en-GB"/>
        </w:rPr>
        <w:t xml:space="preserve">pain, and has become widely adopted </w:t>
      </w:r>
      <w:r w:rsidR="00081678" w:rsidRPr="00B026A2">
        <w:rPr>
          <w:lang w:val="en-GB"/>
        </w:rPr>
        <w:t xml:space="preserve">for pain management </w:t>
      </w:r>
      <w:r w:rsidRPr="00B026A2">
        <w:rPr>
          <w:lang w:val="en-GB"/>
        </w:rPr>
        <w:t>by the United States</w:t>
      </w:r>
      <w:r w:rsidR="0025128E" w:rsidRPr="00B026A2">
        <w:rPr>
          <w:lang w:val="en-GB"/>
        </w:rPr>
        <w:t xml:space="preserve"> military</w:t>
      </w:r>
      <w:r w:rsidRPr="00B026A2">
        <w:rPr>
          <w:lang w:val="en-GB"/>
        </w:rPr>
        <w:t>.[</w:t>
      </w:r>
      <w:r w:rsidR="00C62348" w:rsidRPr="00B026A2">
        <w:rPr>
          <w:lang w:val="en-GB"/>
        </w:rPr>
        <w:t>8</w:t>
      </w:r>
      <w:r w:rsidRPr="00B026A2">
        <w:rPr>
          <w:lang w:val="en-GB"/>
        </w:rPr>
        <w:t xml:space="preserve">] </w:t>
      </w:r>
      <w:r w:rsidR="005A2598" w:rsidRPr="00B026A2">
        <w:rPr>
          <w:lang w:val="en-GB"/>
        </w:rPr>
        <w:t xml:space="preserve">For psychological symptoms, </w:t>
      </w:r>
      <w:r w:rsidRPr="00B026A2">
        <w:rPr>
          <w:lang w:val="en-GB"/>
        </w:rPr>
        <w:t>ACT has been shown as a relatively simple approach to reduce distress and to improve sleep</w:t>
      </w:r>
      <w:r w:rsidR="0066702A">
        <w:rPr>
          <w:lang w:val="en-GB"/>
        </w:rPr>
        <w:t xml:space="preserve"> through increasing psychological flexibility</w:t>
      </w:r>
      <w:r w:rsidR="009B0947" w:rsidRPr="00B026A2">
        <w:rPr>
          <w:lang w:val="en-GB"/>
        </w:rPr>
        <w:t>.</w:t>
      </w:r>
      <w:r w:rsidRPr="00B026A2">
        <w:rPr>
          <w:lang w:val="en-GB"/>
        </w:rPr>
        <w:t>[</w:t>
      </w:r>
      <w:r w:rsidR="00C62348" w:rsidRPr="00B026A2">
        <w:rPr>
          <w:lang w:val="en-GB"/>
        </w:rPr>
        <w:t>9</w:t>
      </w:r>
      <w:r w:rsidRPr="00B026A2">
        <w:rPr>
          <w:lang w:val="en-GB"/>
        </w:rPr>
        <w:t xml:space="preserve">] </w:t>
      </w:r>
      <w:r w:rsidR="009B0947" w:rsidRPr="00B026A2">
        <w:rPr>
          <w:lang w:val="en-GB"/>
        </w:rPr>
        <w:t>B</w:t>
      </w:r>
      <w:r w:rsidR="00C62348" w:rsidRPr="00B026A2">
        <w:rPr>
          <w:lang w:val="en-GB"/>
        </w:rPr>
        <w:t xml:space="preserve">oth </w:t>
      </w:r>
      <w:r w:rsidR="009B0947" w:rsidRPr="00B026A2">
        <w:rPr>
          <w:lang w:val="en-GB"/>
        </w:rPr>
        <w:t>have been found</w:t>
      </w:r>
      <w:r w:rsidR="00C62348" w:rsidRPr="00B026A2">
        <w:rPr>
          <w:lang w:val="en-GB"/>
        </w:rPr>
        <w:t xml:space="preserve"> effective, however acupuncture has been particularly useful for those who have an aversion to talk therapies.[10] </w:t>
      </w:r>
    </w:p>
    <w:p w14:paraId="71D7790A" w14:textId="3DD35C25" w:rsidR="004A3CE0" w:rsidRPr="00FC5A60" w:rsidRDefault="00CA5602" w:rsidP="00381523">
      <w:pPr>
        <w:spacing w:before="60"/>
        <w:rPr>
          <w:rFonts w:cstheme="minorHAnsi"/>
        </w:rPr>
      </w:pPr>
      <w:r w:rsidRPr="00CA5602">
        <w:rPr>
          <w:rFonts w:cstheme="minorHAnsi"/>
        </w:rPr>
        <w:t xml:space="preserve">Traditional </w:t>
      </w:r>
      <w:proofErr w:type="spellStart"/>
      <w:r w:rsidRPr="00CA5602">
        <w:rPr>
          <w:rFonts w:cstheme="minorHAnsi"/>
        </w:rPr>
        <w:t>Rongoā</w:t>
      </w:r>
      <w:proofErr w:type="spellEnd"/>
      <w:r w:rsidRPr="00CA5602">
        <w:rPr>
          <w:rFonts w:cstheme="minorHAnsi"/>
        </w:rPr>
        <w:t xml:space="preserve"> Māori Healing Techniques will </w:t>
      </w:r>
      <w:r>
        <w:rPr>
          <w:rFonts w:cstheme="minorHAnsi"/>
        </w:rPr>
        <w:t xml:space="preserve">also </w:t>
      </w:r>
      <w:r w:rsidRPr="00CA5602">
        <w:rPr>
          <w:rFonts w:cstheme="minorHAnsi"/>
        </w:rPr>
        <w:t xml:space="preserve">be </w:t>
      </w:r>
      <w:r>
        <w:rPr>
          <w:rFonts w:cstheme="minorHAnsi"/>
        </w:rPr>
        <w:t xml:space="preserve">offered to </w:t>
      </w:r>
      <w:proofErr w:type="spellStart"/>
      <w:r>
        <w:rPr>
          <w:rFonts w:cstheme="minorHAnsi"/>
        </w:rPr>
        <w:t>to</w:t>
      </w:r>
      <w:proofErr w:type="spellEnd"/>
      <w:r>
        <w:rPr>
          <w:rFonts w:cstheme="minorHAnsi"/>
        </w:rPr>
        <w:t xml:space="preserve"> those ran</w:t>
      </w:r>
      <w:r w:rsidR="00FC5A60">
        <w:rPr>
          <w:rFonts w:cstheme="minorHAnsi"/>
        </w:rPr>
        <w:t>d</w:t>
      </w:r>
      <w:r>
        <w:rPr>
          <w:rFonts w:cstheme="minorHAnsi"/>
        </w:rPr>
        <w:t xml:space="preserve">omised to the treatment arm if a practitioner is available in the local area. </w:t>
      </w:r>
    </w:p>
    <w:p w14:paraId="2AB13192" w14:textId="4F3714AF" w:rsidR="004A3CE0" w:rsidRPr="00B026A2" w:rsidRDefault="004A3CE0" w:rsidP="004A3CE0">
      <w:pPr>
        <w:pStyle w:val="Heading1"/>
        <w:rPr>
          <w:lang w:val="en-GB"/>
        </w:rPr>
      </w:pPr>
      <w:r w:rsidRPr="00B026A2">
        <w:rPr>
          <w:lang w:val="en-GB"/>
        </w:rPr>
        <w:t>Aims of Study.</w:t>
      </w:r>
    </w:p>
    <w:p w14:paraId="14B06DD6" w14:textId="4ED3BF11" w:rsidR="004A3CE0" w:rsidRPr="00B026A2" w:rsidRDefault="004A3CE0" w:rsidP="00BA594A">
      <w:pPr>
        <w:rPr>
          <w:lang w:val="en-GB"/>
        </w:rPr>
      </w:pPr>
      <w:r w:rsidRPr="00B026A2">
        <w:rPr>
          <w:lang w:val="en-GB"/>
        </w:rPr>
        <w:t xml:space="preserve">We aim to see if </w:t>
      </w:r>
      <w:r w:rsidR="00BA594A" w:rsidRPr="00B026A2">
        <w:rPr>
          <w:lang w:val="en-GB"/>
        </w:rPr>
        <w:t xml:space="preserve">either </w:t>
      </w:r>
      <w:r w:rsidR="00B026A2" w:rsidRPr="00B026A2">
        <w:rPr>
          <w:lang w:val="en-GB"/>
        </w:rPr>
        <w:t>Battlefield A</w:t>
      </w:r>
      <w:r w:rsidR="00BA594A" w:rsidRPr="00B026A2">
        <w:rPr>
          <w:lang w:val="en-GB"/>
        </w:rPr>
        <w:t>cupuncture and ACT</w:t>
      </w:r>
      <w:r w:rsidR="00B026A2" w:rsidRPr="00B026A2">
        <w:rPr>
          <w:lang w:val="en-GB"/>
        </w:rPr>
        <w:t>,</w:t>
      </w:r>
      <w:r w:rsidR="00BA594A" w:rsidRPr="00B026A2">
        <w:rPr>
          <w:lang w:val="en-GB"/>
        </w:rPr>
        <w:t xml:space="preserve"> or </w:t>
      </w:r>
      <w:r w:rsidR="00B026A2" w:rsidRPr="00B026A2">
        <w:rPr>
          <w:lang w:val="en-GB"/>
        </w:rPr>
        <w:t>Rongoa Māori,</w:t>
      </w:r>
      <w:r w:rsidR="00BA594A" w:rsidRPr="00B026A2">
        <w:rPr>
          <w:lang w:val="en-GB"/>
        </w:rPr>
        <w:t xml:space="preserve"> are more effective in reducing sym</w:t>
      </w:r>
      <w:r w:rsidR="00B026A2">
        <w:rPr>
          <w:lang w:val="en-GB"/>
        </w:rPr>
        <w:t>p</w:t>
      </w:r>
      <w:r w:rsidR="00BA594A" w:rsidRPr="00B026A2">
        <w:rPr>
          <w:lang w:val="en-GB"/>
        </w:rPr>
        <w:t xml:space="preserve">toms of pain and distress than ‘usual care,’ how veteran manage their own symptoms. </w:t>
      </w:r>
    </w:p>
    <w:p w14:paraId="504A6273" w14:textId="3931137F" w:rsidR="00244157" w:rsidRPr="00B026A2" w:rsidRDefault="00244157" w:rsidP="00692ABA">
      <w:pPr>
        <w:pStyle w:val="Heading1"/>
        <w:rPr>
          <w:lang w:val="en-GB"/>
        </w:rPr>
      </w:pPr>
      <w:r w:rsidRPr="00B026A2">
        <w:rPr>
          <w:lang w:val="en-GB"/>
        </w:rPr>
        <w:t>Research hypotheses</w:t>
      </w:r>
    </w:p>
    <w:p w14:paraId="7D77761F" w14:textId="77777777" w:rsidR="00CE6896" w:rsidRPr="00B026A2" w:rsidRDefault="00CE6896" w:rsidP="00CE6896">
      <w:pPr>
        <w:pStyle w:val="ListParagraph"/>
        <w:numPr>
          <w:ilvl w:val="0"/>
          <w:numId w:val="7"/>
        </w:numPr>
        <w:spacing w:before="60"/>
        <w:rPr>
          <w:rFonts w:cstheme="minorHAnsi"/>
          <w:lang w:val="en-GB"/>
        </w:rPr>
      </w:pPr>
      <w:r w:rsidRPr="00B026A2">
        <w:rPr>
          <w:rFonts w:cstheme="minorHAnsi"/>
          <w:lang w:val="en-GB"/>
        </w:rPr>
        <w:t xml:space="preserve">That the presenting Veterans will have complex pain problems characterized by </w:t>
      </w:r>
      <w:r w:rsidRPr="00B026A2">
        <w:rPr>
          <w:lang w:val="en-GB"/>
        </w:rPr>
        <w:t>arthro-neuromuscular distress, cognitive distress, and psycho-physiological distress.</w:t>
      </w:r>
    </w:p>
    <w:p w14:paraId="6AFB8CFA" w14:textId="3B308186" w:rsidR="00CE6896" w:rsidRPr="00B026A2" w:rsidRDefault="00CE6896" w:rsidP="00CE6896">
      <w:pPr>
        <w:pStyle w:val="ListParagraph"/>
        <w:numPr>
          <w:ilvl w:val="0"/>
          <w:numId w:val="7"/>
        </w:numPr>
        <w:spacing w:before="60"/>
        <w:rPr>
          <w:rFonts w:cstheme="minorHAnsi"/>
          <w:lang w:val="en-GB"/>
        </w:rPr>
      </w:pPr>
      <w:r w:rsidRPr="00B026A2">
        <w:rPr>
          <w:lang w:val="en-GB"/>
        </w:rPr>
        <w:t xml:space="preserve">That </w:t>
      </w:r>
      <w:r w:rsidR="00CA5CDF" w:rsidRPr="00B026A2">
        <w:rPr>
          <w:lang w:val="en-GB"/>
        </w:rPr>
        <w:t>V</w:t>
      </w:r>
      <w:r w:rsidRPr="00B026A2">
        <w:rPr>
          <w:lang w:val="en-GB"/>
        </w:rPr>
        <w:t>eteran</w:t>
      </w:r>
      <w:r w:rsidR="00CA5CDF" w:rsidRPr="00B026A2">
        <w:rPr>
          <w:lang w:val="en-GB"/>
        </w:rPr>
        <w:t>s</w:t>
      </w:r>
      <w:r w:rsidRPr="00B026A2">
        <w:rPr>
          <w:lang w:val="en-GB"/>
        </w:rPr>
        <w:t xml:space="preserve"> experiencing complex problems </w:t>
      </w:r>
      <w:r w:rsidR="00474E8B" w:rsidRPr="00B026A2">
        <w:rPr>
          <w:lang w:val="en-GB"/>
        </w:rPr>
        <w:t xml:space="preserve">have barriers to accessing health care, and ‘usual care’ </w:t>
      </w:r>
      <w:r w:rsidR="0066702A">
        <w:rPr>
          <w:lang w:val="en-GB"/>
        </w:rPr>
        <w:t>does not include health seeking behaviour.</w:t>
      </w:r>
    </w:p>
    <w:p w14:paraId="4F5C4DA1" w14:textId="7EE8B2FA" w:rsidR="00CE6896" w:rsidRPr="00B026A2" w:rsidRDefault="00CA5CDF" w:rsidP="00CE6896">
      <w:pPr>
        <w:pStyle w:val="ListParagraph"/>
        <w:numPr>
          <w:ilvl w:val="0"/>
          <w:numId w:val="7"/>
        </w:numPr>
        <w:spacing w:before="60"/>
        <w:rPr>
          <w:rFonts w:cstheme="minorHAnsi"/>
          <w:lang w:val="en-GB"/>
        </w:rPr>
      </w:pPr>
      <w:r w:rsidRPr="00B026A2">
        <w:rPr>
          <w:lang w:val="en-GB"/>
        </w:rPr>
        <w:t xml:space="preserve">That </w:t>
      </w:r>
      <w:r w:rsidR="00CE6896" w:rsidRPr="00B026A2">
        <w:rPr>
          <w:lang w:val="en-GB"/>
        </w:rPr>
        <w:t xml:space="preserve">the therapeutic practices of Acupuncture, ACT and Rongoa </w:t>
      </w:r>
      <w:r w:rsidR="001535F6">
        <w:rPr>
          <w:lang w:val="en-GB"/>
        </w:rPr>
        <w:t>Māori</w:t>
      </w:r>
      <w:r w:rsidR="00CE6896" w:rsidRPr="00B026A2">
        <w:rPr>
          <w:lang w:val="en-GB"/>
        </w:rPr>
        <w:t xml:space="preserve"> will </w:t>
      </w:r>
      <w:r w:rsidRPr="00B026A2">
        <w:rPr>
          <w:lang w:val="en-GB"/>
        </w:rPr>
        <w:t>assist</w:t>
      </w:r>
      <w:r w:rsidR="00CE6896" w:rsidRPr="00B026A2">
        <w:rPr>
          <w:lang w:val="en-GB"/>
        </w:rPr>
        <w:t xml:space="preserve"> Veterans </w:t>
      </w:r>
      <w:r w:rsidRPr="00B026A2">
        <w:rPr>
          <w:lang w:val="en-GB"/>
        </w:rPr>
        <w:t xml:space="preserve">in </w:t>
      </w:r>
      <w:r w:rsidR="00CE6896" w:rsidRPr="00B026A2">
        <w:rPr>
          <w:lang w:val="en-GB"/>
        </w:rPr>
        <w:t xml:space="preserve">taking an active role in </w:t>
      </w:r>
      <w:r w:rsidRPr="00B026A2">
        <w:rPr>
          <w:lang w:val="en-GB"/>
        </w:rPr>
        <w:t>their own management</w:t>
      </w:r>
      <w:r w:rsidR="00CE6896" w:rsidRPr="00B026A2">
        <w:rPr>
          <w:lang w:val="en-GB"/>
        </w:rPr>
        <w:t xml:space="preserve">. </w:t>
      </w:r>
    </w:p>
    <w:p w14:paraId="231AE83D" w14:textId="476C240C" w:rsidR="00CE6896" w:rsidRPr="00B026A2" w:rsidRDefault="00CE6896" w:rsidP="00CE6896">
      <w:pPr>
        <w:pStyle w:val="ListParagraph"/>
        <w:numPr>
          <w:ilvl w:val="0"/>
          <w:numId w:val="7"/>
        </w:numPr>
        <w:spacing w:before="60"/>
        <w:rPr>
          <w:rFonts w:cstheme="minorHAnsi"/>
          <w:lang w:val="en-GB"/>
        </w:rPr>
      </w:pPr>
      <w:r w:rsidRPr="00B026A2">
        <w:rPr>
          <w:lang w:val="en-GB"/>
        </w:rPr>
        <w:lastRenderedPageBreak/>
        <w:t>That these practices will have greater efficacy than usual care alone in reducing distress, the primary outcome measure.</w:t>
      </w:r>
    </w:p>
    <w:p w14:paraId="2AC5B32C" w14:textId="5BEB9712" w:rsidR="00CE6896" w:rsidRPr="00B026A2" w:rsidRDefault="00CE6896" w:rsidP="00244157">
      <w:pPr>
        <w:pStyle w:val="ListParagraph"/>
        <w:numPr>
          <w:ilvl w:val="0"/>
          <w:numId w:val="7"/>
        </w:numPr>
        <w:spacing w:before="60"/>
        <w:rPr>
          <w:rFonts w:cstheme="minorHAnsi"/>
          <w:lang w:val="en-GB"/>
        </w:rPr>
      </w:pPr>
      <w:r w:rsidRPr="00B026A2">
        <w:rPr>
          <w:lang w:val="en-GB"/>
        </w:rPr>
        <w:t>That the secondary outcome measures, pain, disability, sleep quality and symptoms of PTSI will be reduce</w:t>
      </w:r>
      <w:r w:rsidR="00CA5CDF" w:rsidRPr="00B026A2">
        <w:rPr>
          <w:lang w:val="en-GB"/>
        </w:rPr>
        <w:t>d, and t</w:t>
      </w:r>
      <w:r w:rsidRPr="00B026A2">
        <w:rPr>
          <w:lang w:val="en-GB"/>
        </w:rPr>
        <w:t xml:space="preserve">hat psychological flexibility will increase. </w:t>
      </w:r>
    </w:p>
    <w:p w14:paraId="440E13DA" w14:textId="623A431D" w:rsidR="00244157" w:rsidRPr="00B026A2" w:rsidRDefault="00BA594A" w:rsidP="00692ABA">
      <w:pPr>
        <w:pStyle w:val="Heading1"/>
        <w:rPr>
          <w:lang w:val="en-GB"/>
        </w:rPr>
      </w:pPr>
      <w:r w:rsidRPr="00B026A2">
        <w:rPr>
          <w:lang w:val="en-GB"/>
        </w:rPr>
        <w:t>Study design</w:t>
      </w:r>
    </w:p>
    <w:p w14:paraId="702D89AC" w14:textId="4EE5BDA8" w:rsidR="00BA594A" w:rsidRPr="00B026A2" w:rsidRDefault="00BA594A" w:rsidP="00BA594A">
      <w:pPr>
        <w:rPr>
          <w:lang w:val="en-GB"/>
        </w:rPr>
      </w:pPr>
      <w:r w:rsidRPr="00B026A2">
        <w:rPr>
          <w:lang w:val="en-GB"/>
        </w:rPr>
        <w:t xml:space="preserve">A randomised clinical trial comparing either </w:t>
      </w:r>
      <w:r w:rsidR="00B026A2">
        <w:rPr>
          <w:lang w:val="en-GB"/>
        </w:rPr>
        <w:t xml:space="preserve">Battlefield Acupuncture and </w:t>
      </w:r>
      <w:r w:rsidRPr="00B026A2">
        <w:rPr>
          <w:lang w:val="en-GB"/>
        </w:rPr>
        <w:t xml:space="preserve">ACT or </w:t>
      </w:r>
      <w:r w:rsidR="00B026A2">
        <w:rPr>
          <w:lang w:val="en-GB"/>
        </w:rPr>
        <w:t>Rongoa Māori</w:t>
      </w:r>
      <w:r w:rsidRPr="00B026A2">
        <w:rPr>
          <w:lang w:val="en-GB"/>
        </w:rPr>
        <w:t xml:space="preserve"> to ‘usual care.’</w:t>
      </w:r>
    </w:p>
    <w:p w14:paraId="2C8EF5C4" w14:textId="1320FDB7" w:rsidR="00BA594A" w:rsidRPr="00B026A2" w:rsidRDefault="00BA594A" w:rsidP="00BA594A">
      <w:pPr>
        <w:pStyle w:val="Heading2"/>
        <w:rPr>
          <w:lang w:val="en-GB"/>
        </w:rPr>
      </w:pPr>
      <w:r w:rsidRPr="00B026A2">
        <w:rPr>
          <w:lang w:val="en-GB"/>
        </w:rPr>
        <w:t>Study setting.</w:t>
      </w:r>
    </w:p>
    <w:p w14:paraId="73B21FA8" w14:textId="0C515E9B" w:rsidR="00BA594A" w:rsidRPr="00B026A2" w:rsidRDefault="00BA594A" w:rsidP="00BA594A">
      <w:pPr>
        <w:rPr>
          <w:lang w:val="en-GB"/>
        </w:rPr>
      </w:pPr>
      <w:r w:rsidRPr="00B026A2">
        <w:rPr>
          <w:lang w:val="en-GB"/>
        </w:rPr>
        <w:t>Multi centre nationwide.</w:t>
      </w:r>
    </w:p>
    <w:p w14:paraId="1F14DA4C" w14:textId="6D36968B" w:rsidR="00B31BEA" w:rsidRPr="00B026A2" w:rsidRDefault="00B31BEA" w:rsidP="00692ABA">
      <w:pPr>
        <w:pStyle w:val="Heading2"/>
        <w:rPr>
          <w:lang w:val="en-GB"/>
        </w:rPr>
      </w:pPr>
      <w:r w:rsidRPr="00B026A2">
        <w:rPr>
          <w:lang w:val="en-GB"/>
        </w:rPr>
        <w:t xml:space="preserve">Study </w:t>
      </w:r>
      <w:r w:rsidR="00BA594A" w:rsidRPr="00B026A2">
        <w:rPr>
          <w:lang w:val="en-GB"/>
        </w:rPr>
        <w:t>population</w:t>
      </w:r>
    </w:p>
    <w:p w14:paraId="457E8490" w14:textId="7082BF12" w:rsidR="00C02500" w:rsidRPr="00FC5A60" w:rsidRDefault="00BA594A" w:rsidP="00313AC7">
      <w:pPr>
        <w:rPr>
          <w:color w:val="FF0000"/>
          <w:lang w:val="en-GB"/>
        </w:rPr>
      </w:pPr>
      <w:r w:rsidRPr="00B026A2">
        <w:rPr>
          <w:lang w:val="en-GB"/>
        </w:rPr>
        <w:t>Eligible</w:t>
      </w:r>
      <w:r w:rsidR="00313AC7" w:rsidRPr="00B026A2">
        <w:rPr>
          <w:lang w:val="en-GB"/>
        </w:rPr>
        <w:t xml:space="preserve"> participants w</w:t>
      </w:r>
      <w:r w:rsidR="001D268A" w:rsidRPr="00B026A2">
        <w:rPr>
          <w:lang w:val="en-GB"/>
        </w:rPr>
        <w:t>ill</w:t>
      </w:r>
      <w:r w:rsidR="00313AC7" w:rsidRPr="00B026A2">
        <w:rPr>
          <w:lang w:val="en-GB"/>
        </w:rPr>
        <w:t xml:space="preserve"> be Veterans</w:t>
      </w:r>
      <w:r w:rsidR="001D268A" w:rsidRPr="00B026A2">
        <w:rPr>
          <w:lang w:val="en-GB"/>
        </w:rPr>
        <w:t>, defined as anyone who has served in the military,</w:t>
      </w:r>
      <w:r w:rsidR="00313AC7" w:rsidRPr="00B026A2">
        <w:rPr>
          <w:lang w:val="en-GB"/>
        </w:rPr>
        <w:t xml:space="preserve"> presenting </w:t>
      </w:r>
      <w:r w:rsidR="00081678" w:rsidRPr="00B026A2">
        <w:rPr>
          <w:lang w:val="en-GB"/>
        </w:rPr>
        <w:t xml:space="preserve">with multiple or </w:t>
      </w:r>
      <w:r w:rsidR="006513E8" w:rsidRPr="00B026A2">
        <w:rPr>
          <w:lang w:val="en-GB"/>
        </w:rPr>
        <w:t xml:space="preserve">complex </w:t>
      </w:r>
      <w:r w:rsidR="00313AC7" w:rsidRPr="00B026A2">
        <w:rPr>
          <w:lang w:val="en-GB"/>
        </w:rPr>
        <w:t>symptoms</w:t>
      </w:r>
      <w:r w:rsidR="00C02500" w:rsidRPr="00B026A2">
        <w:rPr>
          <w:lang w:val="en-GB"/>
        </w:rPr>
        <w:t xml:space="preserve"> with a pattern corresponding to that shown in table 1.</w:t>
      </w:r>
      <w:r w:rsidR="00FF5490" w:rsidRPr="00B026A2">
        <w:rPr>
          <w:lang w:val="en-GB"/>
        </w:rPr>
        <w:t xml:space="preserve"> At least one musculoskeletal symptom will be required</w:t>
      </w:r>
      <w:r w:rsidR="00CB6E5F" w:rsidRPr="00B026A2">
        <w:rPr>
          <w:lang w:val="en-GB"/>
        </w:rPr>
        <w:t>, and evidence from factor 2 that there is at least one psychological symptom.</w:t>
      </w:r>
    </w:p>
    <w:p w14:paraId="6F7D9F46" w14:textId="5D2F96D3" w:rsidR="00C02500" w:rsidRPr="00B026A2" w:rsidRDefault="00C02500" w:rsidP="00313AC7">
      <w:pPr>
        <w:rPr>
          <w:lang w:val="en-GB"/>
        </w:rPr>
      </w:pPr>
      <w:r w:rsidRPr="00B026A2">
        <w:rPr>
          <w:lang w:val="en-GB"/>
        </w:rPr>
        <w:t>Table 1, factor grouping of symptoms in M</w:t>
      </w:r>
      <w:r w:rsidR="00126C1E" w:rsidRPr="00B026A2">
        <w:rPr>
          <w:lang w:val="en-GB"/>
        </w:rPr>
        <w:t xml:space="preserve">ulti </w:t>
      </w:r>
      <w:r w:rsidRPr="00B026A2">
        <w:rPr>
          <w:lang w:val="en-GB"/>
        </w:rPr>
        <w:t>S</w:t>
      </w:r>
      <w:r w:rsidR="00126C1E" w:rsidRPr="00B026A2">
        <w:rPr>
          <w:lang w:val="en-GB"/>
        </w:rPr>
        <w:t xml:space="preserve">ystem </w:t>
      </w:r>
      <w:proofErr w:type="spellStart"/>
      <w:r w:rsidR="00126C1E" w:rsidRPr="00B026A2">
        <w:rPr>
          <w:lang w:val="en-GB"/>
        </w:rPr>
        <w:t>Ilness</w:t>
      </w:r>
      <w:proofErr w:type="spellEnd"/>
    </w:p>
    <w:tbl>
      <w:tblPr>
        <w:tblStyle w:val="PlainTable1"/>
        <w:tblW w:w="7797" w:type="dxa"/>
        <w:tblLook w:val="04A0" w:firstRow="1" w:lastRow="0" w:firstColumn="1" w:lastColumn="0" w:noHBand="0" w:noVBand="1"/>
      </w:tblPr>
      <w:tblGrid>
        <w:gridCol w:w="3544"/>
        <w:gridCol w:w="2356"/>
        <w:gridCol w:w="1897"/>
      </w:tblGrid>
      <w:tr w:rsidR="00C02500" w:rsidRPr="00B026A2" w14:paraId="4BDAC0B0" w14:textId="77777777" w:rsidTr="00C91EA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auto"/>
            </w:tcBorders>
            <w:noWrap/>
            <w:hideMark/>
          </w:tcPr>
          <w:p w14:paraId="64DA3400"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color w:val="000000"/>
                <w:lang w:val="en-GB"/>
              </w:rPr>
              <w:t>Factor 1</w:t>
            </w:r>
          </w:p>
        </w:tc>
        <w:tc>
          <w:tcPr>
            <w:tcW w:w="2356" w:type="dxa"/>
            <w:tcBorders>
              <w:bottom w:val="single" w:sz="4" w:space="0" w:color="auto"/>
            </w:tcBorders>
            <w:noWrap/>
            <w:hideMark/>
          </w:tcPr>
          <w:p w14:paraId="2209CC3A" w14:textId="77777777" w:rsidR="00C02500" w:rsidRPr="00B026A2" w:rsidRDefault="00C02500" w:rsidP="00C91EA1">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lang w:val="en-GB"/>
              </w:rPr>
            </w:pPr>
            <w:r w:rsidRPr="00B026A2">
              <w:rPr>
                <w:rFonts w:ascii="Calibri" w:hAnsi="Calibri" w:cs="Calibri"/>
                <w:color w:val="000000"/>
                <w:lang w:val="en-GB"/>
              </w:rPr>
              <w:t>Factor 2</w:t>
            </w:r>
          </w:p>
        </w:tc>
        <w:tc>
          <w:tcPr>
            <w:tcW w:w="1897" w:type="dxa"/>
            <w:tcBorders>
              <w:bottom w:val="single" w:sz="4" w:space="0" w:color="auto"/>
            </w:tcBorders>
            <w:noWrap/>
            <w:hideMark/>
          </w:tcPr>
          <w:p w14:paraId="6CEC99F2" w14:textId="77777777" w:rsidR="00C02500" w:rsidRPr="00B026A2" w:rsidRDefault="00C02500" w:rsidP="00C91EA1">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lang w:val="en-GB"/>
              </w:rPr>
            </w:pPr>
            <w:r w:rsidRPr="00B026A2">
              <w:rPr>
                <w:rFonts w:ascii="Calibri" w:hAnsi="Calibri" w:cs="Calibri"/>
                <w:color w:val="000000"/>
                <w:lang w:val="en-GB"/>
              </w:rPr>
              <w:t>Factor 3</w:t>
            </w:r>
          </w:p>
        </w:tc>
      </w:tr>
      <w:tr w:rsidR="00C02500" w:rsidRPr="00B026A2" w14:paraId="3094B01A" w14:textId="77777777" w:rsidTr="00C91EA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tcBorders>
            <w:noWrap/>
          </w:tcPr>
          <w:p w14:paraId="221F0FCF"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problems with sexual functioning</w:t>
            </w:r>
          </w:p>
        </w:tc>
        <w:tc>
          <w:tcPr>
            <w:tcW w:w="2356" w:type="dxa"/>
            <w:tcBorders>
              <w:top w:val="single" w:sz="4" w:space="0" w:color="auto"/>
            </w:tcBorders>
            <w:noWrap/>
          </w:tcPr>
          <w:p w14:paraId="1CAE32F2" w14:textId="77777777" w:rsidR="00C02500" w:rsidRPr="00B026A2" w:rsidRDefault="00C02500"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loss of concentration</w:t>
            </w:r>
          </w:p>
        </w:tc>
        <w:tc>
          <w:tcPr>
            <w:tcW w:w="1897" w:type="dxa"/>
            <w:tcBorders>
              <w:top w:val="single" w:sz="4" w:space="0" w:color="auto"/>
            </w:tcBorders>
            <w:noWrap/>
          </w:tcPr>
          <w:p w14:paraId="61E530F9" w14:textId="77777777" w:rsidR="00C02500" w:rsidRPr="00B026A2" w:rsidRDefault="00C02500"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diarrhoea</w:t>
            </w:r>
          </w:p>
        </w:tc>
      </w:tr>
      <w:tr w:rsidR="00C02500" w:rsidRPr="00B026A2" w14:paraId="2C0FAB20" w14:textId="77777777" w:rsidTr="00C91EA1">
        <w:trPr>
          <w:trHeight w:val="320"/>
        </w:trPr>
        <w:tc>
          <w:tcPr>
            <w:cnfStyle w:val="001000000000" w:firstRow="0" w:lastRow="0" w:firstColumn="1" w:lastColumn="0" w:oddVBand="0" w:evenVBand="0" w:oddHBand="0" w:evenHBand="0" w:firstRowFirstColumn="0" w:firstRowLastColumn="0" w:lastRowFirstColumn="0" w:lastRowLastColumn="0"/>
            <w:tcW w:w="3544" w:type="dxa"/>
            <w:noWrap/>
          </w:tcPr>
          <w:p w14:paraId="5334A1A6"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passing urine more often</w:t>
            </w:r>
          </w:p>
        </w:tc>
        <w:tc>
          <w:tcPr>
            <w:tcW w:w="2356" w:type="dxa"/>
            <w:noWrap/>
          </w:tcPr>
          <w:p w14:paraId="252A2CBB" w14:textId="77777777" w:rsidR="00C02500" w:rsidRPr="00B026A2" w:rsidRDefault="00C02500"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feeling distant</w:t>
            </w:r>
          </w:p>
        </w:tc>
        <w:tc>
          <w:tcPr>
            <w:tcW w:w="1897" w:type="dxa"/>
            <w:noWrap/>
          </w:tcPr>
          <w:p w14:paraId="5E02CA17" w14:textId="77777777" w:rsidR="00C02500" w:rsidRPr="00B026A2" w:rsidRDefault="00C02500"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stomach cramps</w:t>
            </w:r>
          </w:p>
        </w:tc>
      </w:tr>
      <w:tr w:rsidR="00C02500" w:rsidRPr="00B026A2" w14:paraId="67B52563" w14:textId="77777777" w:rsidTr="00C91EA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44" w:type="dxa"/>
            <w:noWrap/>
          </w:tcPr>
          <w:p w14:paraId="7024AB23"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loss of balance or coordination</w:t>
            </w:r>
          </w:p>
        </w:tc>
        <w:tc>
          <w:tcPr>
            <w:tcW w:w="2356" w:type="dxa"/>
            <w:noWrap/>
          </w:tcPr>
          <w:p w14:paraId="49C6469D" w14:textId="77777777" w:rsidR="00C02500" w:rsidRPr="00B026A2" w:rsidRDefault="00C02500"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unrefreshing sleep</w:t>
            </w:r>
          </w:p>
        </w:tc>
        <w:tc>
          <w:tcPr>
            <w:tcW w:w="1897" w:type="dxa"/>
            <w:noWrap/>
          </w:tcPr>
          <w:p w14:paraId="568FDA43" w14:textId="77777777" w:rsidR="00C02500" w:rsidRPr="00B026A2" w:rsidRDefault="00C02500"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nausea</w:t>
            </w:r>
          </w:p>
        </w:tc>
      </w:tr>
      <w:tr w:rsidR="00C02500" w:rsidRPr="00B026A2" w14:paraId="1562B429" w14:textId="77777777" w:rsidTr="00C91EA1">
        <w:trPr>
          <w:trHeight w:val="320"/>
        </w:trPr>
        <w:tc>
          <w:tcPr>
            <w:cnfStyle w:val="001000000000" w:firstRow="0" w:lastRow="0" w:firstColumn="1" w:lastColumn="0" w:oddVBand="0" w:evenVBand="0" w:oddHBand="0" w:evenHBand="0" w:firstRowFirstColumn="0" w:firstRowLastColumn="0" w:lastRowFirstColumn="0" w:lastRowLastColumn="0"/>
            <w:tcW w:w="3544" w:type="dxa"/>
            <w:noWrap/>
          </w:tcPr>
          <w:p w14:paraId="2B683A22"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Loss of sensation hands/feet</w:t>
            </w:r>
          </w:p>
        </w:tc>
        <w:tc>
          <w:tcPr>
            <w:tcW w:w="2356" w:type="dxa"/>
            <w:noWrap/>
          </w:tcPr>
          <w:p w14:paraId="588AE4CB" w14:textId="56058791" w:rsidR="00C02500" w:rsidRPr="00B026A2" w:rsidRDefault="00474E8B"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F</w:t>
            </w:r>
            <w:r w:rsidR="00C02500" w:rsidRPr="00B026A2">
              <w:rPr>
                <w:rFonts w:ascii="Calibri" w:hAnsi="Calibri" w:cs="Calibri"/>
                <w:color w:val="000000"/>
                <w:lang w:val="en-GB"/>
              </w:rPr>
              <w:t>orgetfulness</w:t>
            </w:r>
          </w:p>
        </w:tc>
        <w:tc>
          <w:tcPr>
            <w:tcW w:w="1897" w:type="dxa"/>
            <w:noWrap/>
          </w:tcPr>
          <w:p w14:paraId="637833A9" w14:textId="77777777" w:rsidR="00C02500" w:rsidRPr="00B026A2" w:rsidRDefault="00C02500"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feverish</w:t>
            </w:r>
          </w:p>
        </w:tc>
      </w:tr>
      <w:tr w:rsidR="00C02500" w:rsidRPr="00B026A2" w14:paraId="0B4CC051" w14:textId="77777777" w:rsidTr="00C91EA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44" w:type="dxa"/>
            <w:noWrap/>
          </w:tcPr>
          <w:p w14:paraId="06A6539A"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tingling or burning hands/feet</w:t>
            </w:r>
          </w:p>
        </w:tc>
        <w:tc>
          <w:tcPr>
            <w:tcW w:w="2356" w:type="dxa"/>
            <w:noWrap/>
          </w:tcPr>
          <w:p w14:paraId="35E1F218" w14:textId="77777777" w:rsidR="00C02500" w:rsidRPr="00B026A2" w:rsidRDefault="00C02500"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sleeping difficulties</w:t>
            </w:r>
          </w:p>
        </w:tc>
        <w:tc>
          <w:tcPr>
            <w:tcW w:w="1897" w:type="dxa"/>
            <w:noWrap/>
          </w:tcPr>
          <w:p w14:paraId="38115092" w14:textId="77777777" w:rsidR="00C02500" w:rsidRPr="00B026A2" w:rsidRDefault="00C02500"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sore throat</w:t>
            </w:r>
          </w:p>
        </w:tc>
      </w:tr>
      <w:tr w:rsidR="00C02500" w:rsidRPr="00B026A2" w14:paraId="7DAFD86F" w14:textId="77777777" w:rsidTr="00C91EA1">
        <w:trPr>
          <w:trHeight w:val="3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A7A9DA6"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joint pain</w:t>
            </w:r>
          </w:p>
        </w:tc>
        <w:tc>
          <w:tcPr>
            <w:tcW w:w="2356" w:type="dxa"/>
            <w:noWrap/>
            <w:hideMark/>
          </w:tcPr>
          <w:p w14:paraId="6CFEA1F3" w14:textId="458BC1B9" w:rsidR="00C02500" w:rsidRPr="00B026A2" w:rsidRDefault="00725997"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A</w:t>
            </w:r>
            <w:r w:rsidR="00C02500" w:rsidRPr="00B026A2">
              <w:rPr>
                <w:rFonts w:ascii="Calibri" w:hAnsi="Calibri" w:cs="Calibri"/>
                <w:color w:val="000000"/>
                <w:lang w:val="en-GB"/>
              </w:rPr>
              <w:t>voidance</w:t>
            </w:r>
          </w:p>
        </w:tc>
        <w:tc>
          <w:tcPr>
            <w:tcW w:w="1897" w:type="dxa"/>
            <w:noWrap/>
            <w:hideMark/>
          </w:tcPr>
          <w:p w14:paraId="7F97CD67" w14:textId="77777777" w:rsidR="00C02500" w:rsidRPr="00B026A2" w:rsidRDefault="00C02500"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tender glands</w:t>
            </w:r>
          </w:p>
        </w:tc>
      </w:tr>
      <w:tr w:rsidR="00C02500" w:rsidRPr="00B026A2" w14:paraId="28C633E7" w14:textId="77777777" w:rsidTr="00C91EA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E0F0971"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joint stiffness</w:t>
            </w:r>
          </w:p>
        </w:tc>
        <w:tc>
          <w:tcPr>
            <w:tcW w:w="2356" w:type="dxa"/>
            <w:noWrap/>
            <w:hideMark/>
          </w:tcPr>
          <w:p w14:paraId="01EA1C48" w14:textId="23674CE7" w:rsidR="00C02500" w:rsidRPr="00B026A2" w:rsidRDefault="00725997"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F</w:t>
            </w:r>
            <w:r w:rsidR="00C02500" w:rsidRPr="00B026A2">
              <w:rPr>
                <w:rFonts w:ascii="Calibri" w:hAnsi="Calibri" w:cs="Calibri"/>
                <w:color w:val="000000"/>
                <w:lang w:val="en-GB"/>
              </w:rPr>
              <w:t>atigue</w:t>
            </w:r>
          </w:p>
        </w:tc>
        <w:tc>
          <w:tcPr>
            <w:tcW w:w="1897" w:type="dxa"/>
            <w:noWrap/>
            <w:hideMark/>
          </w:tcPr>
          <w:p w14:paraId="0D4B9CAC" w14:textId="77777777" w:rsidR="00C02500" w:rsidRPr="00B026A2" w:rsidRDefault="00C02500"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p>
        </w:tc>
      </w:tr>
      <w:tr w:rsidR="00C02500" w:rsidRPr="00B026A2" w14:paraId="6FE0A28F" w14:textId="77777777" w:rsidTr="00C91EA1">
        <w:trPr>
          <w:trHeight w:val="3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56C1DEFA"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muscle aches/pains</w:t>
            </w:r>
          </w:p>
        </w:tc>
        <w:tc>
          <w:tcPr>
            <w:tcW w:w="2356" w:type="dxa"/>
            <w:noWrap/>
            <w:hideMark/>
          </w:tcPr>
          <w:p w14:paraId="66940502" w14:textId="77777777" w:rsidR="00C02500" w:rsidRPr="00B026A2" w:rsidRDefault="00C02500"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distressing dreams</w:t>
            </w:r>
          </w:p>
        </w:tc>
        <w:tc>
          <w:tcPr>
            <w:tcW w:w="1897" w:type="dxa"/>
            <w:noWrap/>
            <w:hideMark/>
          </w:tcPr>
          <w:p w14:paraId="5790FA56" w14:textId="77777777" w:rsidR="00C02500" w:rsidRPr="00B026A2" w:rsidRDefault="00C02500"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p>
        </w:tc>
      </w:tr>
      <w:tr w:rsidR="00C02500" w:rsidRPr="00B026A2" w14:paraId="4D422190" w14:textId="77777777" w:rsidTr="00C91EA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17C948AE" w14:textId="77777777"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Wheezing</w:t>
            </w:r>
          </w:p>
        </w:tc>
        <w:tc>
          <w:tcPr>
            <w:tcW w:w="2356" w:type="dxa"/>
            <w:noWrap/>
          </w:tcPr>
          <w:p w14:paraId="1FF5F116" w14:textId="49F8BE67" w:rsidR="00C02500" w:rsidRPr="00B026A2" w:rsidRDefault="00725997"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S</w:t>
            </w:r>
            <w:r w:rsidR="00C02500" w:rsidRPr="00B026A2">
              <w:rPr>
                <w:rFonts w:ascii="Calibri" w:hAnsi="Calibri" w:cs="Calibri"/>
                <w:color w:val="000000"/>
                <w:lang w:val="en-GB"/>
              </w:rPr>
              <w:t>tartle</w:t>
            </w:r>
          </w:p>
        </w:tc>
        <w:tc>
          <w:tcPr>
            <w:tcW w:w="1897" w:type="dxa"/>
            <w:noWrap/>
            <w:hideMark/>
          </w:tcPr>
          <w:p w14:paraId="392EA379" w14:textId="77777777" w:rsidR="00C02500" w:rsidRPr="00B026A2" w:rsidRDefault="00C02500" w:rsidP="00C91EA1">
            <w:pPr>
              <w:jc w:val="lef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GB"/>
              </w:rPr>
            </w:pPr>
          </w:p>
        </w:tc>
      </w:tr>
      <w:tr w:rsidR="00C02500" w:rsidRPr="00B026A2" w14:paraId="40D13C3F" w14:textId="77777777" w:rsidTr="00C91EA1">
        <w:trPr>
          <w:trHeight w:val="320"/>
        </w:trPr>
        <w:tc>
          <w:tcPr>
            <w:cnfStyle w:val="001000000000" w:firstRow="0" w:lastRow="0" w:firstColumn="1" w:lastColumn="0" w:oddVBand="0" w:evenVBand="0" w:oddHBand="0" w:evenHBand="0" w:firstRowFirstColumn="0" w:firstRowLastColumn="0" w:lastRowFirstColumn="0" w:lastRowLastColumn="0"/>
            <w:tcW w:w="3544" w:type="dxa"/>
            <w:noWrap/>
            <w:hideMark/>
          </w:tcPr>
          <w:p w14:paraId="7D0E6B86" w14:textId="60551E5B" w:rsidR="00C02500" w:rsidRPr="00B026A2" w:rsidRDefault="00C02500" w:rsidP="00C91EA1">
            <w:pPr>
              <w:jc w:val="left"/>
              <w:rPr>
                <w:rFonts w:ascii="Calibri" w:hAnsi="Calibri" w:cs="Calibri"/>
                <w:b w:val="0"/>
                <w:bCs w:val="0"/>
                <w:color w:val="000000"/>
                <w:lang w:val="en-GB"/>
              </w:rPr>
            </w:pPr>
            <w:r w:rsidRPr="00B026A2">
              <w:rPr>
                <w:rFonts w:ascii="Calibri" w:hAnsi="Calibri" w:cs="Calibri"/>
                <w:b w:val="0"/>
                <w:bCs w:val="0"/>
                <w:color w:val="000000"/>
                <w:lang w:val="en-GB"/>
              </w:rPr>
              <w:t>S</w:t>
            </w:r>
            <w:r w:rsidR="00126C1E" w:rsidRPr="00B026A2">
              <w:rPr>
                <w:rFonts w:ascii="Calibri" w:hAnsi="Calibri" w:cs="Calibri"/>
                <w:b w:val="0"/>
                <w:bCs w:val="0"/>
                <w:color w:val="000000"/>
                <w:lang w:val="en-GB"/>
              </w:rPr>
              <w:t xml:space="preserve">hortness </w:t>
            </w:r>
            <w:r w:rsidRPr="00B026A2">
              <w:rPr>
                <w:rFonts w:ascii="Calibri" w:hAnsi="Calibri" w:cs="Calibri"/>
                <w:b w:val="0"/>
                <w:bCs w:val="0"/>
                <w:color w:val="000000"/>
                <w:lang w:val="en-GB"/>
              </w:rPr>
              <w:t>O</w:t>
            </w:r>
            <w:r w:rsidR="00126C1E" w:rsidRPr="00B026A2">
              <w:rPr>
                <w:rFonts w:ascii="Calibri" w:hAnsi="Calibri" w:cs="Calibri"/>
                <w:b w:val="0"/>
                <w:bCs w:val="0"/>
                <w:color w:val="000000"/>
                <w:lang w:val="en-GB"/>
              </w:rPr>
              <w:t xml:space="preserve">f </w:t>
            </w:r>
            <w:r w:rsidRPr="00B026A2">
              <w:rPr>
                <w:rFonts w:ascii="Calibri" w:hAnsi="Calibri" w:cs="Calibri"/>
                <w:b w:val="0"/>
                <w:bCs w:val="0"/>
                <w:color w:val="000000"/>
                <w:lang w:val="en-GB"/>
              </w:rPr>
              <w:t>B</w:t>
            </w:r>
            <w:r w:rsidR="00126C1E" w:rsidRPr="00B026A2">
              <w:rPr>
                <w:rFonts w:ascii="Calibri" w:hAnsi="Calibri" w:cs="Calibri"/>
                <w:b w:val="0"/>
                <w:bCs w:val="0"/>
                <w:color w:val="000000"/>
                <w:lang w:val="en-GB"/>
              </w:rPr>
              <w:t>reath</w:t>
            </w:r>
          </w:p>
        </w:tc>
        <w:tc>
          <w:tcPr>
            <w:tcW w:w="2356" w:type="dxa"/>
            <w:noWrap/>
          </w:tcPr>
          <w:p w14:paraId="2D3FE832" w14:textId="77777777" w:rsidR="00C02500" w:rsidRPr="00B026A2" w:rsidRDefault="00C02500"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sidRPr="00B026A2">
              <w:rPr>
                <w:rFonts w:ascii="Calibri" w:hAnsi="Calibri" w:cs="Calibri"/>
                <w:color w:val="000000"/>
                <w:lang w:val="en-GB"/>
              </w:rPr>
              <w:t>difficulty speaking</w:t>
            </w:r>
          </w:p>
        </w:tc>
        <w:tc>
          <w:tcPr>
            <w:tcW w:w="1897" w:type="dxa"/>
            <w:noWrap/>
            <w:hideMark/>
          </w:tcPr>
          <w:p w14:paraId="07BB8B07" w14:textId="77777777" w:rsidR="00C02500" w:rsidRPr="00B026A2" w:rsidRDefault="00C02500" w:rsidP="00C91EA1">
            <w:pPr>
              <w:jc w:val="lef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p>
        </w:tc>
      </w:tr>
    </w:tbl>
    <w:p w14:paraId="12B8B0E4" w14:textId="5013069B" w:rsidR="00244157" w:rsidRPr="00B026A2" w:rsidRDefault="00313AC7" w:rsidP="00942E31">
      <w:pPr>
        <w:rPr>
          <w:lang w:val="en-GB"/>
        </w:rPr>
      </w:pPr>
      <w:r w:rsidRPr="00B026A2">
        <w:rPr>
          <w:lang w:val="en-GB"/>
        </w:rPr>
        <w:t>The</w:t>
      </w:r>
      <w:r w:rsidR="00351FC0" w:rsidRPr="00B026A2">
        <w:rPr>
          <w:lang w:val="en-GB"/>
        </w:rPr>
        <w:t xml:space="preserve"> main</w:t>
      </w:r>
      <w:r w:rsidRPr="00B026A2">
        <w:rPr>
          <w:lang w:val="en-GB"/>
        </w:rPr>
        <w:t xml:space="preserve"> pathway </w:t>
      </w:r>
      <w:r w:rsidR="00725997" w:rsidRPr="00B026A2">
        <w:rPr>
          <w:lang w:val="en-GB"/>
        </w:rPr>
        <w:t xml:space="preserve">used by </w:t>
      </w:r>
      <w:r w:rsidR="002A5964" w:rsidRPr="00B026A2">
        <w:rPr>
          <w:lang w:val="en-GB"/>
        </w:rPr>
        <w:t xml:space="preserve">Veterans </w:t>
      </w:r>
      <w:r w:rsidRPr="00B026A2">
        <w:rPr>
          <w:lang w:val="en-GB"/>
        </w:rPr>
        <w:t>to access</w:t>
      </w:r>
      <w:r w:rsidR="002A5964" w:rsidRPr="00B026A2">
        <w:rPr>
          <w:lang w:val="en-GB"/>
        </w:rPr>
        <w:t xml:space="preserve"> health care support</w:t>
      </w:r>
      <w:r w:rsidRPr="00B026A2">
        <w:rPr>
          <w:lang w:val="en-GB"/>
        </w:rPr>
        <w:t xml:space="preserve"> </w:t>
      </w:r>
      <w:r w:rsidR="00351FC0" w:rsidRPr="00B026A2">
        <w:rPr>
          <w:lang w:val="en-GB"/>
        </w:rPr>
        <w:t>will be</w:t>
      </w:r>
      <w:r w:rsidR="00CD6031" w:rsidRPr="00B026A2">
        <w:rPr>
          <w:lang w:val="en-GB"/>
        </w:rPr>
        <w:t xml:space="preserve"> </w:t>
      </w:r>
      <w:r w:rsidRPr="00B026A2">
        <w:rPr>
          <w:lang w:val="en-GB"/>
        </w:rPr>
        <w:t xml:space="preserve">through </w:t>
      </w:r>
      <w:r w:rsidR="00CD6031" w:rsidRPr="00B026A2">
        <w:rPr>
          <w:lang w:val="en-GB"/>
        </w:rPr>
        <w:t xml:space="preserve">their </w:t>
      </w:r>
      <w:r w:rsidR="000B1505" w:rsidRPr="00B026A2">
        <w:rPr>
          <w:lang w:val="en-GB"/>
        </w:rPr>
        <w:t>G</w:t>
      </w:r>
      <w:r w:rsidRPr="00B026A2">
        <w:rPr>
          <w:lang w:val="en-GB"/>
        </w:rPr>
        <w:t xml:space="preserve">eneral </w:t>
      </w:r>
      <w:r w:rsidR="000B1505" w:rsidRPr="00B026A2">
        <w:rPr>
          <w:lang w:val="en-GB"/>
        </w:rPr>
        <w:t>P</w:t>
      </w:r>
      <w:r w:rsidRPr="00B026A2">
        <w:rPr>
          <w:lang w:val="en-GB"/>
        </w:rPr>
        <w:t>ractitioners</w:t>
      </w:r>
      <w:r w:rsidR="00351FC0" w:rsidRPr="00B026A2">
        <w:rPr>
          <w:lang w:val="en-GB"/>
        </w:rPr>
        <w:t xml:space="preserve">, but they may seek initial advice from New Zealand Veterans Affairs or the RSA District Support Advisers. </w:t>
      </w:r>
      <w:r w:rsidR="000B1505" w:rsidRPr="00B026A2">
        <w:rPr>
          <w:lang w:val="en-GB"/>
        </w:rPr>
        <w:t xml:space="preserve">Each </w:t>
      </w:r>
      <w:r w:rsidR="00725997" w:rsidRPr="00B026A2">
        <w:rPr>
          <w:lang w:val="en-GB"/>
        </w:rPr>
        <w:t xml:space="preserve">of these </w:t>
      </w:r>
      <w:r w:rsidR="004208CD" w:rsidRPr="00B026A2">
        <w:rPr>
          <w:lang w:val="en-GB"/>
        </w:rPr>
        <w:t xml:space="preserve">referring </w:t>
      </w:r>
      <w:r w:rsidR="000B1505" w:rsidRPr="00B026A2">
        <w:rPr>
          <w:lang w:val="en-GB"/>
        </w:rPr>
        <w:t>group</w:t>
      </w:r>
      <w:r w:rsidR="00725997" w:rsidRPr="00B026A2">
        <w:rPr>
          <w:lang w:val="en-GB"/>
        </w:rPr>
        <w:t>s</w:t>
      </w:r>
      <w:r w:rsidR="000B1505" w:rsidRPr="00B026A2">
        <w:rPr>
          <w:lang w:val="en-GB"/>
        </w:rPr>
        <w:t xml:space="preserve"> will be given information about the </w:t>
      </w:r>
      <w:r w:rsidR="002A5964" w:rsidRPr="00B026A2">
        <w:rPr>
          <w:lang w:val="en-GB"/>
        </w:rPr>
        <w:t xml:space="preserve">symptom profile of </w:t>
      </w:r>
      <w:r w:rsidR="000B1505" w:rsidRPr="00B026A2">
        <w:rPr>
          <w:lang w:val="en-GB"/>
        </w:rPr>
        <w:t>patients</w:t>
      </w:r>
      <w:r w:rsidR="00CA5CDF" w:rsidRPr="00B026A2">
        <w:rPr>
          <w:lang w:val="en-GB"/>
        </w:rPr>
        <w:t xml:space="preserve">, </w:t>
      </w:r>
      <w:r w:rsidR="000B1505" w:rsidRPr="00B026A2">
        <w:rPr>
          <w:lang w:val="en-GB"/>
        </w:rPr>
        <w:t>or clients</w:t>
      </w:r>
      <w:r w:rsidR="00CA5CDF" w:rsidRPr="00B026A2">
        <w:rPr>
          <w:lang w:val="en-GB"/>
        </w:rPr>
        <w:t>,</w:t>
      </w:r>
      <w:r w:rsidR="000B1505" w:rsidRPr="00B026A2">
        <w:rPr>
          <w:lang w:val="en-GB"/>
        </w:rPr>
        <w:t xml:space="preserve"> that may be helped by this therapy</w:t>
      </w:r>
      <w:r w:rsidR="00020908" w:rsidRPr="00B026A2">
        <w:rPr>
          <w:lang w:val="en-GB"/>
        </w:rPr>
        <w:t xml:space="preserve">: we </w:t>
      </w:r>
      <w:r w:rsidR="00474E8B" w:rsidRPr="00B026A2">
        <w:rPr>
          <w:lang w:val="en-GB"/>
        </w:rPr>
        <w:t xml:space="preserve">will ask </w:t>
      </w:r>
      <w:r w:rsidR="00020908" w:rsidRPr="00B026A2">
        <w:rPr>
          <w:lang w:val="en-GB"/>
        </w:rPr>
        <w:t xml:space="preserve">the Royal New Zealand College of General Practitioners </w:t>
      </w:r>
      <w:r w:rsidR="00474E8B" w:rsidRPr="00B026A2">
        <w:rPr>
          <w:lang w:val="en-GB"/>
        </w:rPr>
        <w:t>t</w:t>
      </w:r>
      <w:r w:rsidR="00020908" w:rsidRPr="00B026A2">
        <w:rPr>
          <w:lang w:val="en-GB"/>
        </w:rPr>
        <w:t xml:space="preserve">o </w:t>
      </w:r>
      <w:r w:rsidR="001535F6">
        <w:rPr>
          <w:lang w:val="en-GB"/>
        </w:rPr>
        <w:t xml:space="preserve">advertise </w:t>
      </w:r>
      <w:r w:rsidR="00020908" w:rsidRPr="00B026A2">
        <w:rPr>
          <w:lang w:val="en-GB"/>
        </w:rPr>
        <w:t xml:space="preserve">the study in their newsletter </w:t>
      </w:r>
      <w:proofErr w:type="spellStart"/>
      <w:r w:rsidR="00020908" w:rsidRPr="00B026A2">
        <w:rPr>
          <w:i/>
          <w:iCs/>
          <w:lang w:val="en-GB"/>
        </w:rPr>
        <w:t>ePulse</w:t>
      </w:r>
      <w:proofErr w:type="spellEnd"/>
      <w:r w:rsidR="00CD6031" w:rsidRPr="00B026A2">
        <w:rPr>
          <w:lang w:val="en-GB"/>
        </w:rPr>
        <w:t>. The GPs</w:t>
      </w:r>
      <w:r w:rsidR="000B1505" w:rsidRPr="00B026A2">
        <w:rPr>
          <w:lang w:val="en-GB"/>
        </w:rPr>
        <w:t xml:space="preserve"> </w:t>
      </w:r>
      <w:r w:rsidR="00887EA4" w:rsidRPr="00B026A2">
        <w:rPr>
          <w:lang w:val="en-GB"/>
        </w:rPr>
        <w:t xml:space="preserve">will refer the patient or client </w:t>
      </w:r>
      <w:r w:rsidR="00457A6E" w:rsidRPr="00B026A2">
        <w:rPr>
          <w:lang w:val="en-GB"/>
        </w:rPr>
        <w:t xml:space="preserve">to the nearest participating Acupuncturist and to the study web-site for registration </w:t>
      </w:r>
      <w:r w:rsidR="00887EA4" w:rsidRPr="00B026A2">
        <w:rPr>
          <w:lang w:val="en-GB"/>
        </w:rPr>
        <w:t>as a potential participant</w:t>
      </w:r>
      <w:r w:rsidR="000B1505" w:rsidRPr="00B026A2">
        <w:rPr>
          <w:lang w:val="en-GB"/>
        </w:rPr>
        <w:t xml:space="preserve">. For funding purposes, General Practitioners can make an ACC claim to cover the costs </w:t>
      </w:r>
      <w:r w:rsidR="00942E31" w:rsidRPr="00B026A2">
        <w:rPr>
          <w:lang w:val="en-GB"/>
        </w:rPr>
        <w:t xml:space="preserve">of </w:t>
      </w:r>
      <w:r w:rsidR="000B1505" w:rsidRPr="00B026A2">
        <w:rPr>
          <w:lang w:val="en-GB"/>
        </w:rPr>
        <w:t>treatment</w:t>
      </w:r>
      <w:r w:rsidR="00FC5A60">
        <w:rPr>
          <w:lang w:val="en-GB"/>
        </w:rPr>
        <w:t xml:space="preserve"> (Acupuncture and Rongoa Māori </w:t>
      </w:r>
      <w:proofErr w:type="spellStart"/>
      <w:r w:rsidR="00FC5A60">
        <w:rPr>
          <w:lang w:val="en-GB"/>
        </w:rPr>
        <w:t>practioners</w:t>
      </w:r>
      <w:proofErr w:type="spellEnd"/>
      <w:r w:rsidR="00FC5A60">
        <w:rPr>
          <w:lang w:val="en-GB"/>
        </w:rPr>
        <w:t xml:space="preserve"> are ACC registered)</w:t>
      </w:r>
      <w:r w:rsidR="000B1505" w:rsidRPr="00B026A2">
        <w:rPr>
          <w:lang w:val="en-GB"/>
        </w:rPr>
        <w:t>,</w:t>
      </w:r>
      <w:r w:rsidR="00942E31" w:rsidRPr="00B026A2">
        <w:rPr>
          <w:lang w:val="en-GB"/>
        </w:rPr>
        <w:t xml:space="preserve"> NZVA Case Managers can authori</w:t>
      </w:r>
      <w:r w:rsidR="006513E8" w:rsidRPr="00B026A2">
        <w:rPr>
          <w:lang w:val="en-GB"/>
        </w:rPr>
        <w:t>s</w:t>
      </w:r>
      <w:r w:rsidR="00942E31" w:rsidRPr="00B026A2">
        <w:rPr>
          <w:lang w:val="en-GB"/>
        </w:rPr>
        <w:t>e treatment</w:t>
      </w:r>
      <w:r w:rsidR="00CA5CDF" w:rsidRPr="00B026A2">
        <w:rPr>
          <w:lang w:val="en-GB"/>
        </w:rPr>
        <w:t xml:space="preserve"> for eligible </w:t>
      </w:r>
      <w:r w:rsidR="00CA5CDF" w:rsidRPr="00B026A2">
        <w:rPr>
          <w:lang w:val="en-GB"/>
        </w:rPr>
        <w:lastRenderedPageBreak/>
        <w:t>Veterans</w:t>
      </w:r>
      <w:r w:rsidR="00942E31" w:rsidRPr="00B026A2">
        <w:rPr>
          <w:lang w:val="en-GB"/>
        </w:rPr>
        <w:t>,</w:t>
      </w:r>
      <w:r w:rsidR="00B94902" w:rsidRPr="00B026A2">
        <w:rPr>
          <w:lang w:val="en-GB"/>
        </w:rPr>
        <w:t xml:space="preserve"> </w:t>
      </w:r>
      <w:r w:rsidR="00942E31" w:rsidRPr="00B026A2">
        <w:rPr>
          <w:lang w:val="en-GB"/>
        </w:rPr>
        <w:t>RSA District Support Advisers can authori</w:t>
      </w:r>
      <w:r w:rsidR="00CA5CDF" w:rsidRPr="00B026A2">
        <w:rPr>
          <w:lang w:val="en-GB"/>
        </w:rPr>
        <w:t>s</w:t>
      </w:r>
      <w:r w:rsidR="00942E31" w:rsidRPr="00B026A2">
        <w:rPr>
          <w:lang w:val="en-GB"/>
        </w:rPr>
        <w:t>e access to regional welfare funds</w:t>
      </w:r>
      <w:r w:rsidR="00B94902" w:rsidRPr="00B026A2">
        <w:rPr>
          <w:lang w:val="en-GB"/>
        </w:rPr>
        <w:t>, and study funding is available for those who do not have other means</w:t>
      </w:r>
      <w:r w:rsidR="00942E31" w:rsidRPr="00B026A2">
        <w:rPr>
          <w:lang w:val="en-GB"/>
        </w:rPr>
        <w:t>.</w:t>
      </w:r>
      <w:r w:rsidR="002A5964" w:rsidRPr="00B026A2">
        <w:rPr>
          <w:lang w:val="en-GB"/>
        </w:rPr>
        <w:t xml:space="preserve"> </w:t>
      </w:r>
    </w:p>
    <w:p w14:paraId="6DD37D7F" w14:textId="7B73AA34" w:rsidR="00DE0DB0" w:rsidRPr="00B026A2" w:rsidRDefault="00DE0DB0" w:rsidP="00692ABA">
      <w:pPr>
        <w:pStyle w:val="Heading2"/>
        <w:rPr>
          <w:lang w:val="en-GB"/>
        </w:rPr>
      </w:pPr>
      <w:r w:rsidRPr="00B026A2">
        <w:rPr>
          <w:lang w:val="en-GB"/>
        </w:rPr>
        <w:t>Acupunctur</w:t>
      </w:r>
      <w:r w:rsidR="00C46985" w:rsidRPr="00B026A2">
        <w:rPr>
          <w:lang w:val="en-GB"/>
        </w:rPr>
        <w:t>e</w:t>
      </w:r>
    </w:p>
    <w:p w14:paraId="17DD5428" w14:textId="20A40D7A" w:rsidR="004662D4" w:rsidRPr="00B026A2" w:rsidRDefault="00596ABB" w:rsidP="00DE0DB0">
      <w:pPr>
        <w:rPr>
          <w:lang w:val="en-GB"/>
        </w:rPr>
      </w:pPr>
      <w:r w:rsidRPr="00B026A2">
        <w:rPr>
          <w:lang w:val="en-GB"/>
        </w:rPr>
        <w:t xml:space="preserve">The Chair of Acupuncture New Zealand </w:t>
      </w:r>
      <w:r w:rsidR="004E18D4" w:rsidRPr="00B026A2">
        <w:rPr>
          <w:lang w:val="en-GB"/>
        </w:rPr>
        <w:t>(</w:t>
      </w:r>
      <w:proofErr w:type="spellStart"/>
      <w:r w:rsidR="004E18D4" w:rsidRPr="00B026A2">
        <w:rPr>
          <w:lang w:val="en-GB"/>
        </w:rPr>
        <w:t>AcNZ</w:t>
      </w:r>
      <w:proofErr w:type="spellEnd"/>
      <w:r w:rsidRPr="00B026A2">
        <w:rPr>
          <w:lang w:val="en-GB"/>
        </w:rPr>
        <w:t>) is a member of the study team</w:t>
      </w:r>
      <w:r w:rsidR="00142720" w:rsidRPr="00B026A2">
        <w:rPr>
          <w:lang w:val="en-GB"/>
        </w:rPr>
        <w:t xml:space="preserve"> (RT)</w:t>
      </w:r>
      <w:r w:rsidRPr="00B026A2">
        <w:rPr>
          <w:lang w:val="en-GB"/>
        </w:rPr>
        <w:t xml:space="preserve">, and has sent details of the study to </w:t>
      </w:r>
      <w:r w:rsidR="00B94902" w:rsidRPr="00B026A2">
        <w:rPr>
          <w:lang w:val="en-GB"/>
        </w:rPr>
        <w:t>the</w:t>
      </w:r>
      <w:r w:rsidRPr="00B026A2">
        <w:rPr>
          <w:lang w:val="en-GB"/>
        </w:rPr>
        <w:t xml:space="preserve"> 760 members in bo</w:t>
      </w:r>
      <w:r w:rsidR="004E18D4" w:rsidRPr="00B026A2">
        <w:rPr>
          <w:lang w:val="en-GB"/>
        </w:rPr>
        <w:t xml:space="preserve">th </w:t>
      </w:r>
      <w:r w:rsidRPr="00B026A2">
        <w:rPr>
          <w:lang w:val="en-GB"/>
        </w:rPr>
        <w:t xml:space="preserve">the North and South Islands. Should gaps be detected, </w:t>
      </w:r>
      <w:r w:rsidR="00687302" w:rsidRPr="00B026A2">
        <w:rPr>
          <w:lang w:val="en-GB"/>
        </w:rPr>
        <w:t>direct contact with practitioners should help fill these.</w:t>
      </w:r>
      <w:r w:rsidR="004662D4" w:rsidRPr="00B026A2">
        <w:rPr>
          <w:lang w:val="en-GB"/>
        </w:rPr>
        <w:t xml:space="preserve"> </w:t>
      </w:r>
      <w:proofErr w:type="spellStart"/>
      <w:r w:rsidR="004662D4" w:rsidRPr="00B026A2">
        <w:rPr>
          <w:lang w:val="en-GB"/>
        </w:rPr>
        <w:t>AcNZ</w:t>
      </w:r>
      <w:proofErr w:type="spellEnd"/>
      <w:r w:rsidR="004662D4" w:rsidRPr="00B026A2">
        <w:rPr>
          <w:lang w:val="en-GB"/>
        </w:rPr>
        <w:t xml:space="preserve"> </w:t>
      </w:r>
      <w:r w:rsidR="001432DF" w:rsidRPr="00B026A2">
        <w:rPr>
          <w:lang w:val="en-GB"/>
        </w:rPr>
        <w:t xml:space="preserve">also </w:t>
      </w:r>
      <w:r w:rsidR="004662D4" w:rsidRPr="00B026A2">
        <w:rPr>
          <w:lang w:val="en-GB"/>
        </w:rPr>
        <w:t xml:space="preserve">has a practitioner search engine on their website which is </w:t>
      </w:r>
      <w:r w:rsidR="00B94902" w:rsidRPr="00B026A2">
        <w:rPr>
          <w:lang w:val="en-GB"/>
        </w:rPr>
        <w:t>shortly</w:t>
      </w:r>
      <w:r w:rsidR="004662D4" w:rsidRPr="00B026A2">
        <w:rPr>
          <w:lang w:val="en-GB"/>
        </w:rPr>
        <w:t xml:space="preserve"> being updated to allow a search for ‘Veteran</w:t>
      </w:r>
      <w:r w:rsidR="00391AE2" w:rsidRPr="00B026A2">
        <w:rPr>
          <w:lang w:val="en-GB"/>
        </w:rPr>
        <w:t>.</w:t>
      </w:r>
      <w:proofErr w:type="gramStart"/>
      <w:r w:rsidR="004662D4" w:rsidRPr="00B026A2">
        <w:rPr>
          <w:lang w:val="en-GB"/>
        </w:rPr>
        <w:t>’</w:t>
      </w:r>
      <w:r w:rsidR="001432DF" w:rsidRPr="00B026A2">
        <w:rPr>
          <w:lang w:val="en-GB"/>
        </w:rPr>
        <w:t>[</w:t>
      </w:r>
      <w:proofErr w:type="gramEnd"/>
      <w:r w:rsidR="001432DF" w:rsidRPr="00B026A2">
        <w:rPr>
          <w:lang w:val="en-GB"/>
        </w:rPr>
        <w:t>1</w:t>
      </w:r>
      <w:r w:rsidR="001535F6">
        <w:rPr>
          <w:lang w:val="en-GB"/>
        </w:rPr>
        <w:t>1</w:t>
      </w:r>
      <w:r w:rsidR="001432DF" w:rsidRPr="00B026A2">
        <w:rPr>
          <w:lang w:val="en-GB"/>
        </w:rPr>
        <w:t>]</w:t>
      </w:r>
      <w:r w:rsidR="004662D4" w:rsidRPr="00B026A2">
        <w:rPr>
          <w:lang w:val="en-GB"/>
        </w:rPr>
        <w:t xml:space="preserve"> </w:t>
      </w:r>
    </w:p>
    <w:p w14:paraId="0E6F4B87" w14:textId="03BEDDA0" w:rsidR="004E18D4" w:rsidRPr="00B026A2" w:rsidRDefault="00C46985" w:rsidP="00DE0DB0">
      <w:pPr>
        <w:rPr>
          <w:lang w:val="en-GB"/>
        </w:rPr>
      </w:pPr>
      <w:r w:rsidRPr="00B026A2">
        <w:rPr>
          <w:lang w:val="en-GB"/>
        </w:rPr>
        <w:t xml:space="preserve">Battlefield acupuncture is a form of auriculotherapy where a sequence of </w:t>
      </w:r>
      <w:r w:rsidR="0066702A">
        <w:rPr>
          <w:lang w:val="en-GB"/>
        </w:rPr>
        <w:t xml:space="preserve">small </w:t>
      </w:r>
      <w:proofErr w:type="gramStart"/>
      <w:r w:rsidR="0066702A">
        <w:rPr>
          <w:lang w:val="en-GB"/>
        </w:rPr>
        <w:t>gold plated</w:t>
      </w:r>
      <w:proofErr w:type="gramEnd"/>
      <w:r w:rsidR="0066702A">
        <w:rPr>
          <w:lang w:val="en-GB"/>
        </w:rPr>
        <w:t xml:space="preserve"> </w:t>
      </w:r>
      <w:r w:rsidRPr="00B026A2">
        <w:rPr>
          <w:lang w:val="en-GB"/>
        </w:rPr>
        <w:t xml:space="preserve">needles is placed in the ear, typically </w:t>
      </w:r>
      <w:r w:rsidR="0066702A">
        <w:rPr>
          <w:lang w:val="en-GB"/>
        </w:rPr>
        <w:t xml:space="preserve">remaining for three days, when the patient is told to remove them. </w:t>
      </w:r>
      <w:r w:rsidRPr="00B026A2">
        <w:rPr>
          <w:lang w:val="en-GB"/>
        </w:rPr>
        <w:t>Th</w:t>
      </w:r>
      <w:r w:rsidR="00B94902" w:rsidRPr="00B026A2">
        <w:rPr>
          <w:lang w:val="en-GB"/>
        </w:rPr>
        <w:t>eir most likely mode of action is through the release of endorphins</w:t>
      </w:r>
      <w:r w:rsidR="00FF5490" w:rsidRPr="00B026A2">
        <w:rPr>
          <w:lang w:val="en-GB"/>
        </w:rPr>
        <w:t xml:space="preserve">. </w:t>
      </w:r>
      <w:r w:rsidR="00DE0DB0" w:rsidRPr="00B026A2">
        <w:rPr>
          <w:lang w:val="en-GB"/>
        </w:rPr>
        <w:t xml:space="preserve">Registered </w:t>
      </w:r>
      <w:r w:rsidR="00116795" w:rsidRPr="00B026A2">
        <w:rPr>
          <w:lang w:val="en-GB"/>
        </w:rPr>
        <w:t>A</w:t>
      </w:r>
      <w:r w:rsidR="00DE0DB0" w:rsidRPr="00B026A2">
        <w:rPr>
          <w:lang w:val="en-GB"/>
        </w:rPr>
        <w:t>cupuncturist</w:t>
      </w:r>
      <w:r w:rsidR="00116795" w:rsidRPr="00B026A2">
        <w:rPr>
          <w:lang w:val="en-GB"/>
        </w:rPr>
        <w:t>s</w:t>
      </w:r>
      <w:r w:rsidR="00725997" w:rsidRPr="00B026A2">
        <w:rPr>
          <w:lang w:val="en-GB"/>
        </w:rPr>
        <w:t xml:space="preserve"> are already qualified to offer this treatment modality</w:t>
      </w:r>
      <w:r w:rsidR="004E18D4" w:rsidRPr="00B026A2">
        <w:rPr>
          <w:lang w:val="en-GB"/>
        </w:rPr>
        <w:t xml:space="preserve"> and for most </w:t>
      </w:r>
      <w:r w:rsidR="00B94902" w:rsidRPr="00B026A2">
        <w:rPr>
          <w:lang w:val="en-GB"/>
        </w:rPr>
        <w:t xml:space="preserve">practitioners </w:t>
      </w:r>
      <w:r w:rsidR="004E18D4" w:rsidRPr="00B026A2">
        <w:rPr>
          <w:lang w:val="en-GB"/>
        </w:rPr>
        <w:t>it would be a refresher</w:t>
      </w:r>
      <w:r w:rsidR="00B94902" w:rsidRPr="00B026A2">
        <w:rPr>
          <w:lang w:val="en-GB"/>
        </w:rPr>
        <w:t xml:space="preserve"> course for this technique</w:t>
      </w:r>
      <w:r w:rsidR="004E18D4" w:rsidRPr="00B026A2">
        <w:rPr>
          <w:lang w:val="en-GB"/>
        </w:rPr>
        <w:t xml:space="preserve">. Council members and members of local </w:t>
      </w:r>
      <w:r w:rsidR="00B94902" w:rsidRPr="00B026A2">
        <w:rPr>
          <w:lang w:val="en-GB"/>
        </w:rPr>
        <w:t>convenors continuing professional development</w:t>
      </w:r>
      <w:r w:rsidR="004E18D4" w:rsidRPr="00B026A2">
        <w:rPr>
          <w:lang w:val="en-GB"/>
        </w:rPr>
        <w:t xml:space="preserve"> </w:t>
      </w:r>
      <w:r w:rsidR="00B94902" w:rsidRPr="00B026A2">
        <w:rPr>
          <w:lang w:val="en-GB"/>
        </w:rPr>
        <w:t xml:space="preserve">(CPD) </w:t>
      </w:r>
      <w:r w:rsidR="004E18D4" w:rsidRPr="00B026A2">
        <w:rPr>
          <w:lang w:val="en-GB"/>
        </w:rPr>
        <w:t xml:space="preserve">groups </w:t>
      </w:r>
      <w:r w:rsidR="00DE0DB0" w:rsidRPr="00B026A2">
        <w:rPr>
          <w:lang w:val="en-GB"/>
        </w:rPr>
        <w:t>will be trained through a specific course: “Battlefield acupuncture</w:t>
      </w:r>
      <w:r w:rsidR="00725997" w:rsidRPr="00B026A2">
        <w:rPr>
          <w:lang w:val="en-GB"/>
        </w:rPr>
        <w:t xml:space="preserve"> and working with trauma</w:t>
      </w:r>
      <w:r w:rsidR="00FF5490" w:rsidRPr="00B026A2">
        <w:rPr>
          <w:lang w:val="en-GB"/>
        </w:rPr>
        <w:t>,</w:t>
      </w:r>
      <w:r w:rsidR="00DE0DB0" w:rsidRPr="00B026A2">
        <w:rPr>
          <w:lang w:val="en-GB"/>
        </w:rPr>
        <w:t>”</w:t>
      </w:r>
      <w:r w:rsidR="00FF5490" w:rsidRPr="00B026A2">
        <w:rPr>
          <w:lang w:val="en-GB"/>
        </w:rPr>
        <w:t xml:space="preserve"> in which practitioners are taught the indications for the technique, and how to pair, cluster and insert the needles.</w:t>
      </w:r>
      <w:r w:rsidR="00081678" w:rsidRPr="00B026A2">
        <w:rPr>
          <w:lang w:val="en-GB"/>
        </w:rPr>
        <w:t>[1</w:t>
      </w:r>
      <w:r w:rsidR="001535F6">
        <w:rPr>
          <w:lang w:val="en-GB"/>
        </w:rPr>
        <w:t>2</w:t>
      </w:r>
      <w:r w:rsidR="00081678" w:rsidRPr="00B026A2">
        <w:rPr>
          <w:lang w:val="en-GB"/>
        </w:rPr>
        <w:t>]</w:t>
      </w:r>
      <w:r w:rsidR="00DE0DB0" w:rsidRPr="00B026A2">
        <w:rPr>
          <w:lang w:val="en-GB"/>
        </w:rPr>
        <w:t xml:space="preserve"> </w:t>
      </w:r>
      <w:r w:rsidR="004E18D4" w:rsidRPr="00B026A2">
        <w:rPr>
          <w:lang w:val="en-GB"/>
        </w:rPr>
        <w:t xml:space="preserve">COVID contingencies mean that </w:t>
      </w:r>
      <w:r w:rsidR="00B94902" w:rsidRPr="00B026A2">
        <w:rPr>
          <w:lang w:val="en-GB"/>
        </w:rPr>
        <w:t>this</w:t>
      </w:r>
      <w:r w:rsidR="004E18D4" w:rsidRPr="00B026A2">
        <w:rPr>
          <w:lang w:val="en-GB"/>
        </w:rPr>
        <w:t xml:space="preserve"> would be delivered by webinar or </w:t>
      </w:r>
      <w:r w:rsidR="00B94902" w:rsidRPr="00B026A2">
        <w:rPr>
          <w:lang w:val="en-GB"/>
        </w:rPr>
        <w:t xml:space="preserve">through </w:t>
      </w:r>
      <w:r w:rsidR="004E18D4" w:rsidRPr="00B026A2">
        <w:rPr>
          <w:lang w:val="en-GB"/>
        </w:rPr>
        <w:t>CPD ‘small group’</w:t>
      </w:r>
      <w:r w:rsidR="00B94902" w:rsidRPr="00B026A2">
        <w:rPr>
          <w:lang w:val="en-GB"/>
        </w:rPr>
        <w:t xml:space="preserve"> teaching.</w:t>
      </w:r>
      <w:r w:rsidR="004E18D4" w:rsidRPr="00B026A2">
        <w:rPr>
          <w:lang w:val="en-GB"/>
        </w:rPr>
        <w:t xml:space="preserve"> </w:t>
      </w:r>
    </w:p>
    <w:p w14:paraId="6DC1C064" w14:textId="359AA7F4" w:rsidR="00FC5A60" w:rsidRPr="00FC5A60" w:rsidRDefault="00783CA4" w:rsidP="00FC5A60">
      <w:pPr>
        <w:rPr>
          <w:lang w:val="en-GB"/>
        </w:rPr>
      </w:pPr>
      <w:r w:rsidRPr="00B026A2">
        <w:rPr>
          <w:lang w:val="en-GB"/>
        </w:rPr>
        <w:t xml:space="preserve">Acupuncturists </w:t>
      </w:r>
      <w:r w:rsidR="00116795" w:rsidRPr="00B026A2">
        <w:rPr>
          <w:lang w:val="en-GB"/>
        </w:rPr>
        <w:t xml:space="preserve">routinely </w:t>
      </w:r>
      <w:r w:rsidR="004E18D4" w:rsidRPr="00B026A2">
        <w:rPr>
          <w:lang w:val="en-GB"/>
        </w:rPr>
        <w:t xml:space="preserve">identify patterns of lifestyle, sleep patterns, </w:t>
      </w:r>
      <w:r w:rsidR="00330472" w:rsidRPr="00B026A2">
        <w:rPr>
          <w:lang w:val="en-GB"/>
        </w:rPr>
        <w:t>movements, thought patterns and emotions. W</w:t>
      </w:r>
      <w:r w:rsidRPr="00B026A2">
        <w:rPr>
          <w:lang w:val="en-GB"/>
        </w:rPr>
        <w:t xml:space="preserve">e will </w:t>
      </w:r>
      <w:r w:rsidR="00E05F17" w:rsidRPr="00B026A2">
        <w:rPr>
          <w:lang w:val="en-GB"/>
        </w:rPr>
        <w:t>adopt the training manual developed by Dr Robyn Walser, a psychologist with the US Dep</w:t>
      </w:r>
      <w:r w:rsidR="00687302" w:rsidRPr="00B026A2">
        <w:rPr>
          <w:lang w:val="en-GB"/>
        </w:rPr>
        <w:t>a</w:t>
      </w:r>
      <w:r w:rsidR="00E05F17" w:rsidRPr="00B026A2">
        <w:rPr>
          <w:lang w:val="en-GB"/>
        </w:rPr>
        <w:t>rtment of Veteran’s Affairs, for the Lang et al. study [9] She has confirmed that this can be adapted to train acupuncturists in the ACT technique</w:t>
      </w:r>
      <w:r w:rsidR="00330472" w:rsidRPr="00B026A2">
        <w:rPr>
          <w:lang w:val="en-GB"/>
        </w:rPr>
        <w:t>s</w:t>
      </w:r>
      <w:r w:rsidR="00E05F17" w:rsidRPr="00B026A2">
        <w:rPr>
          <w:lang w:val="en-GB"/>
        </w:rPr>
        <w:t xml:space="preserve">. </w:t>
      </w:r>
      <w:r w:rsidR="00474E8B" w:rsidRPr="00B026A2">
        <w:rPr>
          <w:lang w:val="en-GB"/>
        </w:rPr>
        <w:t xml:space="preserve"> Each weekly session will include a mindfulness exercise and homework (Appendix). </w:t>
      </w:r>
    </w:p>
    <w:p w14:paraId="2CBA5631" w14:textId="6D6C0773" w:rsidR="00FC5A60" w:rsidRDefault="00FC5A60" w:rsidP="00FC5A60">
      <w:pPr>
        <w:pStyle w:val="Heading2"/>
        <w:rPr>
          <w:lang w:val="en-GB"/>
        </w:rPr>
      </w:pPr>
      <w:r>
        <w:rPr>
          <w:lang w:val="en-GB"/>
        </w:rPr>
        <w:t>Rongoa Māori</w:t>
      </w:r>
    </w:p>
    <w:p w14:paraId="77D52ADB" w14:textId="74CB3782" w:rsidR="00FC5A60" w:rsidRPr="00095A13" w:rsidRDefault="00FC5A60" w:rsidP="00095A13">
      <w:pPr>
        <w:spacing w:after="0"/>
        <w:rPr>
          <w:lang w:val="en-GB"/>
        </w:rPr>
      </w:pPr>
      <w:proofErr w:type="spellStart"/>
      <w:r>
        <w:rPr>
          <w:lang w:val="en-GB"/>
        </w:rPr>
        <w:t>Ruatau</w:t>
      </w:r>
      <w:proofErr w:type="spellEnd"/>
      <w:r>
        <w:rPr>
          <w:lang w:val="en-GB"/>
        </w:rPr>
        <w:t xml:space="preserve"> Perez, a skilled practitioner in Rongoa Māori, is also a member of the study team, and he and his Practitioners will use the techniques as follows:</w:t>
      </w:r>
      <w:r w:rsidR="00095A13">
        <w:rPr>
          <w:lang w:val="en-GB"/>
        </w:rPr>
        <w:t xml:space="preserve"> </w:t>
      </w:r>
      <w:proofErr w:type="spellStart"/>
      <w:r w:rsidRPr="00CA5602">
        <w:rPr>
          <w:rFonts w:cstheme="minorHAnsi"/>
        </w:rPr>
        <w:t>Romiromi</w:t>
      </w:r>
      <w:proofErr w:type="spellEnd"/>
      <w:r w:rsidRPr="00CA5602">
        <w:rPr>
          <w:rFonts w:cstheme="minorHAnsi"/>
        </w:rPr>
        <w:t xml:space="preserve"> </w:t>
      </w:r>
      <w:proofErr w:type="gramStart"/>
      <w:r w:rsidRPr="00CA5602">
        <w:rPr>
          <w:rFonts w:cstheme="minorHAnsi"/>
        </w:rPr>
        <w:t>-  The</w:t>
      </w:r>
      <w:proofErr w:type="gramEnd"/>
      <w:r w:rsidRPr="00CA5602">
        <w:rPr>
          <w:rFonts w:cstheme="minorHAnsi"/>
        </w:rPr>
        <w:t xml:space="preserve"> physical bodywork that uses </w:t>
      </w:r>
      <w:proofErr w:type="spellStart"/>
      <w:r w:rsidRPr="00CA5602">
        <w:rPr>
          <w:rFonts w:cstheme="minorHAnsi"/>
        </w:rPr>
        <w:t>Haemata</w:t>
      </w:r>
      <w:proofErr w:type="spellEnd"/>
      <w:r w:rsidRPr="00CA5602">
        <w:rPr>
          <w:rFonts w:cstheme="minorHAnsi"/>
        </w:rPr>
        <w:t xml:space="preserve"> and </w:t>
      </w:r>
      <w:proofErr w:type="spellStart"/>
      <w:r w:rsidRPr="00CA5602">
        <w:rPr>
          <w:rFonts w:cstheme="minorHAnsi"/>
        </w:rPr>
        <w:t>Haematua</w:t>
      </w:r>
      <w:proofErr w:type="spellEnd"/>
      <w:r w:rsidRPr="00CA5602">
        <w:rPr>
          <w:rFonts w:cstheme="minorHAnsi"/>
        </w:rPr>
        <w:t xml:space="preserve"> (acupressure points) to release trapped energy in the body that is causing ailments or illness.</w:t>
      </w:r>
    </w:p>
    <w:p w14:paraId="47DA102A" w14:textId="77777777" w:rsidR="00FC5A60" w:rsidRPr="00CA5602" w:rsidRDefault="00FC5A60" w:rsidP="00095A13">
      <w:pPr>
        <w:spacing w:after="0"/>
        <w:rPr>
          <w:rFonts w:cstheme="minorHAnsi"/>
        </w:rPr>
      </w:pPr>
      <w:r w:rsidRPr="00CA5602">
        <w:rPr>
          <w:rFonts w:cstheme="minorHAnsi"/>
        </w:rPr>
        <w:t xml:space="preserve">Mirimiri - Includes Korero (discussions), </w:t>
      </w:r>
      <w:proofErr w:type="spellStart"/>
      <w:r w:rsidRPr="00CA5602">
        <w:rPr>
          <w:rFonts w:cstheme="minorHAnsi"/>
        </w:rPr>
        <w:t>Takutaku</w:t>
      </w:r>
      <w:proofErr w:type="spellEnd"/>
      <w:r w:rsidRPr="00CA5602">
        <w:rPr>
          <w:rFonts w:cstheme="minorHAnsi"/>
        </w:rPr>
        <w:t xml:space="preserve"> (incantations), </w:t>
      </w:r>
      <w:proofErr w:type="spellStart"/>
      <w:r w:rsidRPr="00CA5602">
        <w:rPr>
          <w:rFonts w:cstheme="minorHAnsi"/>
        </w:rPr>
        <w:t>Waiata</w:t>
      </w:r>
      <w:proofErr w:type="spellEnd"/>
      <w:r w:rsidRPr="00CA5602">
        <w:rPr>
          <w:rFonts w:cstheme="minorHAnsi"/>
        </w:rPr>
        <w:t xml:space="preserve"> (song) and </w:t>
      </w:r>
      <w:proofErr w:type="spellStart"/>
      <w:r w:rsidRPr="00CA5602">
        <w:rPr>
          <w:rFonts w:cstheme="minorHAnsi"/>
        </w:rPr>
        <w:t>Whatumanawa</w:t>
      </w:r>
      <w:proofErr w:type="spellEnd"/>
      <w:r w:rsidRPr="00CA5602">
        <w:rPr>
          <w:rFonts w:cstheme="minorHAnsi"/>
        </w:rPr>
        <w:t xml:space="preserve"> accessing Taha Wairua (metaphysical or spiritual elements) associated with the injury or illness.</w:t>
      </w:r>
    </w:p>
    <w:p w14:paraId="13AAF7CC" w14:textId="77777777" w:rsidR="00FC5A60" w:rsidRPr="00CA5602" w:rsidRDefault="00FC5A60" w:rsidP="00095A13">
      <w:pPr>
        <w:spacing w:after="0"/>
        <w:rPr>
          <w:rFonts w:cstheme="minorHAnsi"/>
        </w:rPr>
      </w:pPr>
      <w:proofErr w:type="spellStart"/>
      <w:r w:rsidRPr="00CA5602">
        <w:rPr>
          <w:rFonts w:cstheme="minorHAnsi"/>
        </w:rPr>
        <w:t>Rongoā</w:t>
      </w:r>
      <w:proofErr w:type="spellEnd"/>
      <w:r w:rsidRPr="00CA5602">
        <w:rPr>
          <w:rFonts w:cstheme="minorHAnsi"/>
        </w:rPr>
        <w:t xml:space="preserve"> </w:t>
      </w:r>
      <w:proofErr w:type="spellStart"/>
      <w:r w:rsidRPr="00CA5602">
        <w:rPr>
          <w:rFonts w:cstheme="minorHAnsi"/>
        </w:rPr>
        <w:t>Wairaku</w:t>
      </w:r>
      <w:proofErr w:type="spellEnd"/>
      <w:r w:rsidRPr="00CA5602">
        <w:rPr>
          <w:rFonts w:cstheme="minorHAnsi"/>
        </w:rPr>
        <w:t xml:space="preserve"> - plant medicines applied either topically or ingested to support healing.</w:t>
      </w:r>
    </w:p>
    <w:p w14:paraId="20F10D1A" w14:textId="77777777" w:rsidR="00FC5A60" w:rsidRPr="00CA5602" w:rsidRDefault="00FC5A60" w:rsidP="00095A13">
      <w:pPr>
        <w:spacing w:after="0"/>
        <w:rPr>
          <w:rFonts w:cstheme="minorHAnsi"/>
        </w:rPr>
      </w:pPr>
      <w:r w:rsidRPr="00CA5602">
        <w:rPr>
          <w:rFonts w:cstheme="minorHAnsi"/>
        </w:rPr>
        <w:t>Due to the individual nature of patients, each practitioner will determine which or encompass all aspects under the modality of Rongoa Maori to assist with the Veteran</w:t>
      </w:r>
      <w:r>
        <w:rPr>
          <w:rFonts w:cstheme="minorHAnsi"/>
        </w:rPr>
        <w:t>’</w:t>
      </w:r>
      <w:r w:rsidRPr="00CA5602">
        <w:rPr>
          <w:rFonts w:cstheme="minorHAnsi"/>
        </w:rPr>
        <w:t>s health and state of being.</w:t>
      </w:r>
    </w:p>
    <w:p w14:paraId="6F0A43BA" w14:textId="79565ED0" w:rsidR="00FC5A60" w:rsidRPr="00FC5A60" w:rsidRDefault="00FC5A60" w:rsidP="00FC5A60">
      <w:pPr>
        <w:spacing w:before="60"/>
        <w:rPr>
          <w:rFonts w:cstheme="minorHAnsi"/>
        </w:rPr>
      </w:pPr>
      <w:r w:rsidRPr="00CA5602">
        <w:rPr>
          <w:rFonts w:cstheme="minorHAnsi"/>
        </w:rPr>
        <w:t xml:space="preserve">All </w:t>
      </w:r>
      <w:proofErr w:type="spellStart"/>
      <w:r w:rsidRPr="00CA5602">
        <w:rPr>
          <w:rFonts w:cstheme="minorHAnsi"/>
        </w:rPr>
        <w:t>Rongoā</w:t>
      </w:r>
      <w:proofErr w:type="spellEnd"/>
      <w:r w:rsidRPr="00CA5602">
        <w:rPr>
          <w:rFonts w:cstheme="minorHAnsi"/>
        </w:rPr>
        <w:t xml:space="preserve"> Māori practitioners will receive </w:t>
      </w:r>
      <w:r>
        <w:rPr>
          <w:rFonts w:cstheme="minorHAnsi"/>
        </w:rPr>
        <w:t>further</w:t>
      </w:r>
      <w:r w:rsidRPr="00CA5602">
        <w:rPr>
          <w:rFonts w:cstheme="minorHAnsi"/>
        </w:rPr>
        <w:t xml:space="preserve"> training online or in small groups from </w:t>
      </w:r>
      <w:proofErr w:type="spellStart"/>
      <w:r w:rsidRPr="00CA5602">
        <w:rPr>
          <w:rFonts w:cstheme="minorHAnsi"/>
        </w:rPr>
        <w:t>Ruatau</w:t>
      </w:r>
      <w:proofErr w:type="spellEnd"/>
      <w:r w:rsidRPr="00CA5602">
        <w:rPr>
          <w:rFonts w:cstheme="minorHAnsi"/>
        </w:rPr>
        <w:t xml:space="preserve"> Perez</w:t>
      </w:r>
      <w:r>
        <w:rPr>
          <w:rFonts w:cstheme="minorHAnsi"/>
        </w:rPr>
        <w:t>, a skilled practitioner and teacher,</w:t>
      </w:r>
      <w:r w:rsidRPr="00CA5602">
        <w:rPr>
          <w:rFonts w:cstheme="minorHAnsi"/>
        </w:rPr>
        <w:t xml:space="preserve"> </w:t>
      </w:r>
      <w:r>
        <w:rPr>
          <w:rFonts w:cstheme="minorHAnsi"/>
        </w:rPr>
        <w:t>to f</w:t>
      </w:r>
      <w:r w:rsidRPr="00CA5602">
        <w:rPr>
          <w:rFonts w:cstheme="minorHAnsi"/>
        </w:rPr>
        <w:t xml:space="preserve">urther understanding of </w:t>
      </w:r>
      <w:r>
        <w:rPr>
          <w:rFonts w:cstheme="minorHAnsi"/>
        </w:rPr>
        <w:t xml:space="preserve">the </w:t>
      </w:r>
      <w:r w:rsidRPr="00CA5602">
        <w:rPr>
          <w:rFonts w:cstheme="minorHAnsi"/>
        </w:rPr>
        <w:t xml:space="preserve">techniques specific to PTSD and other symptoms experienced by </w:t>
      </w:r>
      <w:r>
        <w:rPr>
          <w:rFonts w:cstheme="minorHAnsi"/>
        </w:rPr>
        <w:t>V</w:t>
      </w:r>
      <w:r w:rsidRPr="00CA5602">
        <w:rPr>
          <w:rFonts w:cstheme="minorHAnsi"/>
        </w:rPr>
        <w:t>eterans. Ongoing support throughout the program will also be offered for practitioners across the country. </w:t>
      </w:r>
    </w:p>
    <w:p w14:paraId="3190E50E" w14:textId="77777777" w:rsidR="00174981" w:rsidRDefault="00174981" w:rsidP="00692ABA">
      <w:pPr>
        <w:pStyle w:val="Heading2"/>
        <w:rPr>
          <w:lang w:val="en-GB"/>
        </w:rPr>
      </w:pPr>
    </w:p>
    <w:p w14:paraId="640927AB" w14:textId="77777777" w:rsidR="00174981" w:rsidRDefault="00174981" w:rsidP="00692ABA">
      <w:pPr>
        <w:pStyle w:val="Heading2"/>
        <w:rPr>
          <w:lang w:val="en-GB"/>
        </w:rPr>
      </w:pPr>
    </w:p>
    <w:p w14:paraId="54D34FED" w14:textId="1EB01458" w:rsidR="00DE0DB0" w:rsidRPr="00B026A2" w:rsidRDefault="00DE0DB0" w:rsidP="00692ABA">
      <w:pPr>
        <w:pStyle w:val="Heading2"/>
        <w:rPr>
          <w:lang w:val="en-GB"/>
        </w:rPr>
      </w:pPr>
      <w:r w:rsidRPr="00B026A2">
        <w:rPr>
          <w:lang w:val="en-GB"/>
        </w:rPr>
        <w:lastRenderedPageBreak/>
        <w:t>Practitioner ‘Veteran competency’ training.</w:t>
      </w:r>
    </w:p>
    <w:p w14:paraId="7C8D0761" w14:textId="306C395E" w:rsidR="00866D5D" w:rsidRDefault="00DE0DB0" w:rsidP="00A8012A">
      <w:pPr>
        <w:rPr>
          <w:lang w:val="en-GB"/>
        </w:rPr>
      </w:pPr>
      <w:r w:rsidRPr="00B026A2">
        <w:rPr>
          <w:lang w:val="en-GB"/>
        </w:rPr>
        <w:t xml:space="preserve">Specific </w:t>
      </w:r>
      <w:r w:rsidR="00BB76B5" w:rsidRPr="00B026A2">
        <w:rPr>
          <w:lang w:val="en-GB"/>
        </w:rPr>
        <w:t xml:space="preserve">on-line </w:t>
      </w:r>
      <w:r w:rsidRPr="00B026A2">
        <w:rPr>
          <w:lang w:val="en-GB"/>
        </w:rPr>
        <w:t xml:space="preserve">training modules </w:t>
      </w:r>
      <w:r w:rsidR="00BB76B5" w:rsidRPr="00B026A2">
        <w:rPr>
          <w:lang w:val="en-GB"/>
        </w:rPr>
        <w:t xml:space="preserve">have been identified by the RSA </w:t>
      </w:r>
      <w:r w:rsidRPr="00B026A2">
        <w:rPr>
          <w:lang w:val="en-GB"/>
        </w:rPr>
        <w:t>to ensure that practitioners are ‘culturally competent</w:t>
      </w:r>
      <w:r w:rsidR="00BB5CEB" w:rsidRPr="00B026A2">
        <w:rPr>
          <w:lang w:val="en-GB"/>
        </w:rPr>
        <w:t>’</w:t>
      </w:r>
      <w:r w:rsidRPr="00B026A2">
        <w:rPr>
          <w:lang w:val="en-GB"/>
        </w:rPr>
        <w:t>,</w:t>
      </w:r>
      <w:r w:rsidR="00BB5CEB" w:rsidRPr="00B026A2" w:rsidDel="00BB5CEB">
        <w:rPr>
          <w:lang w:val="en-GB"/>
        </w:rPr>
        <w:t xml:space="preserve"> </w:t>
      </w:r>
      <w:r w:rsidRPr="00B026A2">
        <w:rPr>
          <w:lang w:val="en-GB"/>
        </w:rPr>
        <w:t>and are prepared for the issues that may be raised.[1</w:t>
      </w:r>
      <w:r w:rsidR="001535F6">
        <w:rPr>
          <w:lang w:val="en-GB"/>
        </w:rPr>
        <w:t>3</w:t>
      </w:r>
      <w:r w:rsidRPr="00B026A2">
        <w:rPr>
          <w:lang w:val="en-GB"/>
        </w:rPr>
        <w:t>]</w:t>
      </w:r>
      <w:r w:rsidR="00A11D3E" w:rsidRPr="00B026A2">
        <w:rPr>
          <w:lang w:val="en-GB"/>
        </w:rPr>
        <w:t xml:space="preserve"> </w:t>
      </w:r>
      <w:r w:rsidR="00BB76B5" w:rsidRPr="00B026A2">
        <w:rPr>
          <w:lang w:val="en-GB"/>
        </w:rPr>
        <w:t>These are available on line</w:t>
      </w:r>
      <w:r w:rsidR="00BB5CEB" w:rsidRPr="00B026A2">
        <w:rPr>
          <w:lang w:val="en-GB"/>
        </w:rPr>
        <w:t xml:space="preserve"> </w:t>
      </w:r>
      <w:r w:rsidR="00BB76B5" w:rsidRPr="00B026A2">
        <w:rPr>
          <w:lang w:val="en-GB"/>
        </w:rPr>
        <w:t xml:space="preserve">from </w:t>
      </w:r>
      <w:proofErr w:type="spellStart"/>
      <w:r w:rsidR="00BB76B5" w:rsidRPr="00B026A2">
        <w:rPr>
          <w:lang w:val="en-GB"/>
        </w:rPr>
        <w:t>PsychArmour</w:t>
      </w:r>
      <w:proofErr w:type="spellEnd"/>
      <w:r w:rsidR="00BB5CEB" w:rsidRPr="00B026A2">
        <w:rPr>
          <w:lang w:val="en-GB"/>
        </w:rPr>
        <w:t>,</w:t>
      </w:r>
      <w:r w:rsidR="00142720" w:rsidRPr="00B026A2">
        <w:rPr>
          <w:lang w:val="en-GB"/>
        </w:rPr>
        <w:t>[1</w:t>
      </w:r>
      <w:r w:rsidR="001535F6">
        <w:rPr>
          <w:lang w:val="en-GB"/>
        </w:rPr>
        <w:t>4</w:t>
      </w:r>
      <w:r w:rsidR="00142720" w:rsidRPr="00B026A2">
        <w:rPr>
          <w:lang w:val="en-GB"/>
        </w:rPr>
        <w:t>]</w:t>
      </w:r>
      <w:r w:rsidR="00BB5CEB" w:rsidRPr="00B026A2">
        <w:rPr>
          <w:lang w:val="en-GB"/>
        </w:rPr>
        <w:t xml:space="preserve"> </w:t>
      </w:r>
      <w:r w:rsidR="00142720" w:rsidRPr="00B026A2">
        <w:rPr>
          <w:lang w:val="en-GB"/>
        </w:rPr>
        <w:t>which includes</w:t>
      </w:r>
      <w:r w:rsidR="00BB5CEB" w:rsidRPr="00B026A2">
        <w:rPr>
          <w:lang w:val="en-GB"/>
        </w:rPr>
        <w:t xml:space="preserve"> a certification process recognised for </w:t>
      </w:r>
      <w:proofErr w:type="spellStart"/>
      <w:r w:rsidR="00BB5CEB" w:rsidRPr="00B026A2">
        <w:rPr>
          <w:lang w:val="en-GB"/>
        </w:rPr>
        <w:t>AcNZ</w:t>
      </w:r>
      <w:proofErr w:type="spellEnd"/>
      <w:r w:rsidR="00BB5CEB" w:rsidRPr="00B026A2">
        <w:rPr>
          <w:lang w:val="en-GB"/>
        </w:rPr>
        <w:t xml:space="preserve"> </w:t>
      </w:r>
      <w:r w:rsidR="00142720" w:rsidRPr="00B026A2">
        <w:rPr>
          <w:lang w:val="en-GB"/>
        </w:rPr>
        <w:t>CPD</w:t>
      </w:r>
      <w:r w:rsidR="00BB5CEB" w:rsidRPr="00B026A2">
        <w:rPr>
          <w:lang w:val="en-GB"/>
        </w:rPr>
        <w:t xml:space="preserve"> points. </w:t>
      </w:r>
    </w:p>
    <w:p w14:paraId="4DBA6FDC" w14:textId="7B2CB0F1" w:rsidR="00244157" w:rsidRPr="00B026A2" w:rsidRDefault="00C36E01" w:rsidP="00692ABA">
      <w:pPr>
        <w:pStyle w:val="Heading2"/>
        <w:rPr>
          <w:lang w:val="en-GB"/>
        </w:rPr>
      </w:pPr>
      <w:r w:rsidRPr="00B026A2">
        <w:rPr>
          <w:lang w:val="en-GB"/>
        </w:rPr>
        <w:t>Recruitment procedures.</w:t>
      </w:r>
    </w:p>
    <w:p w14:paraId="017290CF" w14:textId="77777777" w:rsidR="00725997" w:rsidRPr="00B026A2" w:rsidRDefault="00116795" w:rsidP="00A27D9A">
      <w:pPr>
        <w:rPr>
          <w:lang w:val="en-GB"/>
        </w:rPr>
      </w:pPr>
      <w:r w:rsidRPr="00B026A2">
        <w:rPr>
          <w:lang w:val="en-GB"/>
        </w:rPr>
        <w:t>Study a</w:t>
      </w:r>
      <w:r w:rsidR="002944B5" w:rsidRPr="00B026A2">
        <w:rPr>
          <w:lang w:val="en-GB"/>
        </w:rPr>
        <w:t xml:space="preserve">dministration will be carried out on-line using </w:t>
      </w:r>
      <w:proofErr w:type="spellStart"/>
      <w:r w:rsidR="002944B5" w:rsidRPr="00B026A2">
        <w:rPr>
          <w:lang w:val="en-GB"/>
        </w:rPr>
        <w:t>REDCap</w:t>
      </w:r>
      <w:proofErr w:type="spellEnd"/>
      <w:r w:rsidR="002944B5" w:rsidRPr="00B026A2">
        <w:rPr>
          <w:lang w:val="en-GB"/>
        </w:rPr>
        <w:t>. a secure web-based application for building and managing online surveys and databases</w:t>
      </w:r>
      <w:r w:rsidRPr="00B026A2">
        <w:rPr>
          <w:lang w:val="en-GB"/>
        </w:rPr>
        <w:t xml:space="preserve">, which we have used successfully in </w:t>
      </w:r>
      <w:r w:rsidR="006E4BC8" w:rsidRPr="00B026A2">
        <w:rPr>
          <w:lang w:val="en-GB"/>
        </w:rPr>
        <w:t>several</w:t>
      </w:r>
      <w:r w:rsidRPr="00B026A2">
        <w:rPr>
          <w:lang w:val="en-GB"/>
        </w:rPr>
        <w:t xml:space="preserve"> Veteran projects</w:t>
      </w:r>
      <w:r w:rsidR="002944B5" w:rsidRPr="00B026A2">
        <w:rPr>
          <w:lang w:val="en-GB"/>
        </w:rPr>
        <w:t xml:space="preserve">. </w:t>
      </w:r>
      <w:r w:rsidR="00F72D82" w:rsidRPr="00B026A2">
        <w:rPr>
          <w:lang w:val="en-GB"/>
        </w:rPr>
        <w:t xml:space="preserve">Each potential participant will </w:t>
      </w:r>
      <w:r w:rsidRPr="00B026A2">
        <w:rPr>
          <w:lang w:val="en-GB"/>
        </w:rPr>
        <w:t>be registered</w:t>
      </w:r>
      <w:r w:rsidR="006513E8" w:rsidRPr="00B026A2">
        <w:rPr>
          <w:lang w:val="en-GB"/>
        </w:rPr>
        <w:t xml:space="preserve"> </w:t>
      </w:r>
      <w:r w:rsidRPr="00B026A2">
        <w:rPr>
          <w:lang w:val="en-GB"/>
        </w:rPr>
        <w:t xml:space="preserve">and </w:t>
      </w:r>
      <w:r w:rsidR="00F72D82" w:rsidRPr="00B026A2">
        <w:rPr>
          <w:lang w:val="en-GB"/>
        </w:rPr>
        <w:t>receive a</w:t>
      </w:r>
      <w:r w:rsidRPr="00B026A2">
        <w:rPr>
          <w:lang w:val="en-GB"/>
        </w:rPr>
        <w:t>n email with a</w:t>
      </w:r>
      <w:r w:rsidR="00F72D82" w:rsidRPr="00B026A2">
        <w:rPr>
          <w:lang w:val="en-GB"/>
        </w:rPr>
        <w:t xml:space="preserve"> link to the study site. </w:t>
      </w:r>
    </w:p>
    <w:p w14:paraId="7B85B243" w14:textId="77777777" w:rsidR="00CD6031" w:rsidRPr="00B026A2" w:rsidRDefault="00D8718F" w:rsidP="00A27D9A">
      <w:pPr>
        <w:rPr>
          <w:lang w:val="en-GB"/>
        </w:rPr>
      </w:pPr>
      <w:r w:rsidRPr="00B026A2">
        <w:rPr>
          <w:lang w:val="en-GB"/>
        </w:rPr>
        <w:t>On accessing the link</w:t>
      </w:r>
      <w:r w:rsidR="002944B5" w:rsidRPr="00B026A2">
        <w:rPr>
          <w:lang w:val="en-GB"/>
        </w:rPr>
        <w:t xml:space="preserve">, the purpose of the study will be explained through a patient information sheet, and informed consent sought at this time </w:t>
      </w:r>
      <w:r w:rsidR="006E4BC8" w:rsidRPr="00B026A2">
        <w:rPr>
          <w:lang w:val="en-GB"/>
        </w:rPr>
        <w:t>by</w:t>
      </w:r>
      <w:r w:rsidR="002944B5" w:rsidRPr="00B026A2">
        <w:rPr>
          <w:lang w:val="en-GB"/>
        </w:rPr>
        <w:t xml:space="preserve"> clicking a link on the consent form. </w:t>
      </w:r>
    </w:p>
    <w:p w14:paraId="5E13F695" w14:textId="026692F6" w:rsidR="00CD6031" w:rsidRPr="00B026A2" w:rsidRDefault="00CD6031" w:rsidP="00A27D9A">
      <w:pPr>
        <w:rPr>
          <w:b/>
          <w:bCs/>
          <w:lang w:val="en-GB"/>
        </w:rPr>
      </w:pPr>
      <w:r w:rsidRPr="00B026A2">
        <w:rPr>
          <w:b/>
          <w:bCs/>
          <w:lang w:val="en-GB"/>
        </w:rPr>
        <w:t>Participa</w:t>
      </w:r>
      <w:r w:rsidR="00020908" w:rsidRPr="00B026A2">
        <w:rPr>
          <w:b/>
          <w:bCs/>
          <w:lang w:val="en-GB"/>
        </w:rPr>
        <w:t>n</w:t>
      </w:r>
      <w:r w:rsidRPr="00B026A2">
        <w:rPr>
          <w:b/>
          <w:bCs/>
          <w:lang w:val="en-GB"/>
        </w:rPr>
        <w:t>t Safety</w:t>
      </w:r>
    </w:p>
    <w:p w14:paraId="74515340" w14:textId="6C7F4964" w:rsidR="002944B5" w:rsidRPr="00B026A2" w:rsidRDefault="00CD6031" w:rsidP="00A27D9A">
      <w:pPr>
        <w:rPr>
          <w:lang w:val="en-GB"/>
        </w:rPr>
      </w:pPr>
      <w:r w:rsidRPr="00B026A2">
        <w:rPr>
          <w:lang w:val="en-GB"/>
        </w:rPr>
        <w:t>The GP will be asked screen p</w:t>
      </w:r>
      <w:r w:rsidR="005D1C7B" w:rsidRPr="00B026A2">
        <w:rPr>
          <w:lang w:val="en-GB"/>
        </w:rPr>
        <w:t xml:space="preserve">otential participants </w:t>
      </w:r>
      <w:r w:rsidRPr="00B026A2">
        <w:rPr>
          <w:lang w:val="en-GB"/>
        </w:rPr>
        <w:t>using the Mini International Neuropsychiatric Interview (MINI)</w:t>
      </w:r>
      <w:r w:rsidR="00095A13">
        <w:rPr>
          <w:lang w:val="en-GB"/>
        </w:rPr>
        <w:t xml:space="preserve"> where indicated</w:t>
      </w:r>
      <w:r w:rsidRPr="00B026A2">
        <w:rPr>
          <w:lang w:val="en-GB"/>
        </w:rPr>
        <w:t xml:space="preserve">, </w:t>
      </w:r>
      <w:r w:rsidR="00095A13">
        <w:rPr>
          <w:lang w:val="en-GB"/>
        </w:rPr>
        <w:t>and carrying out appropriate referral.</w:t>
      </w:r>
      <w:r w:rsidRPr="00B026A2">
        <w:rPr>
          <w:lang w:val="en-GB"/>
        </w:rPr>
        <w:t xml:space="preserve"> </w:t>
      </w:r>
      <w:r w:rsidR="00B026A2">
        <w:rPr>
          <w:lang w:val="en-GB"/>
        </w:rPr>
        <w:t xml:space="preserve"> </w:t>
      </w:r>
      <w:r w:rsidRPr="00B026A2">
        <w:rPr>
          <w:lang w:val="en-GB"/>
        </w:rPr>
        <w:t xml:space="preserve">Screening </w:t>
      </w:r>
      <w:r w:rsidR="00147967" w:rsidRPr="00B026A2">
        <w:rPr>
          <w:lang w:val="en-GB"/>
        </w:rPr>
        <w:t xml:space="preserve">of potential participants </w:t>
      </w:r>
      <w:r w:rsidR="005D1C7B" w:rsidRPr="00B026A2">
        <w:rPr>
          <w:lang w:val="en-GB"/>
        </w:rPr>
        <w:t xml:space="preserve">will </w:t>
      </w:r>
      <w:r w:rsidRPr="00B026A2">
        <w:rPr>
          <w:lang w:val="en-GB"/>
        </w:rPr>
        <w:t xml:space="preserve">also be carried out </w:t>
      </w:r>
      <w:r w:rsidR="002A5964" w:rsidRPr="00B026A2">
        <w:rPr>
          <w:lang w:val="en-GB"/>
        </w:rPr>
        <w:t xml:space="preserve">on-line using the </w:t>
      </w:r>
      <w:r w:rsidR="002944B5" w:rsidRPr="00B026A2">
        <w:rPr>
          <w:lang w:val="en-GB"/>
        </w:rPr>
        <w:t xml:space="preserve">GHQ-12, and if exceeding the cut-off score, will be </w:t>
      </w:r>
      <w:r w:rsidR="00953003" w:rsidRPr="00B026A2">
        <w:rPr>
          <w:lang w:val="en-GB"/>
        </w:rPr>
        <w:t>stopped at that point and asked to contact the PI (Dr (LtCol) Dave McBride by text, phone or email</w:t>
      </w:r>
      <w:r w:rsidRPr="00B026A2">
        <w:rPr>
          <w:lang w:val="en-GB"/>
        </w:rPr>
        <w:t xml:space="preserve">, who will carry out a telephone consultation and refer if indicated. </w:t>
      </w:r>
    </w:p>
    <w:p w14:paraId="555435F6" w14:textId="2F274E25" w:rsidR="00DE0DB0" w:rsidRPr="00B026A2" w:rsidRDefault="00DE0DB0" w:rsidP="005D1C7B">
      <w:pPr>
        <w:rPr>
          <w:b/>
          <w:bCs/>
          <w:lang w:val="en-GB"/>
        </w:rPr>
      </w:pPr>
      <w:r w:rsidRPr="00B026A2">
        <w:rPr>
          <w:b/>
          <w:bCs/>
          <w:lang w:val="en-GB"/>
        </w:rPr>
        <w:t>Study procedures</w:t>
      </w:r>
    </w:p>
    <w:p w14:paraId="0AD5D38E" w14:textId="6A057834" w:rsidR="005D70C9" w:rsidRPr="00B026A2" w:rsidRDefault="006F2633" w:rsidP="00BF09A7">
      <w:pPr>
        <w:rPr>
          <w:lang w:val="en-GB"/>
        </w:rPr>
      </w:pPr>
      <w:r w:rsidRPr="00B026A2">
        <w:rPr>
          <w:lang w:val="en-GB"/>
        </w:rPr>
        <w:t>R</w:t>
      </w:r>
      <w:r w:rsidR="005D1C7B" w:rsidRPr="00B026A2">
        <w:rPr>
          <w:lang w:val="en-GB"/>
        </w:rPr>
        <w:t xml:space="preserve">andomisation </w:t>
      </w:r>
      <w:r w:rsidRPr="00B026A2">
        <w:rPr>
          <w:lang w:val="en-GB"/>
        </w:rPr>
        <w:t xml:space="preserve">will be </w:t>
      </w:r>
      <w:r w:rsidR="005D1C7B" w:rsidRPr="00B026A2">
        <w:rPr>
          <w:lang w:val="en-GB"/>
        </w:rPr>
        <w:t xml:space="preserve">carried out on-line using </w:t>
      </w:r>
      <w:r w:rsidR="006E4BC8" w:rsidRPr="00B026A2">
        <w:rPr>
          <w:lang w:val="en-GB"/>
        </w:rPr>
        <w:t xml:space="preserve">the </w:t>
      </w:r>
      <w:proofErr w:type="spellStart"/>
      <w:r w:rsidR="005D1C7B" w:rsidRPr="00B026A2">
        <w:rPr>
          <w:lang w:val="en-GB"/>
        </w:rPr>
        <w:t>REDCap</w:t>
      </w:r>
      <w:proofErr w:type="spellEnd"/>
      <w:r w:rsidR="006E4BC8" w:rsidRPr="00B026A2">
        <w:rPr>
          <w:lang w:val="en-GB"/>
        </w:rPr>
        <w:t xml:space="preserve"> randomisation module</w:t>
      </w:r>
      <w:r w:rsidR="005D1C7B" w:rsidRPr="00B026A2">
        <w:rPr>
          <w:lang w:val="en-GB"/>
        </w:rPr>
        <w:t>,</w:t>
      </w:r>
      <w:r w:rsidR="00DF48CB" w:rsidRPr="00B026A2">
        <w:rPr>
          <w:lang w:val="en-GB"/>
        </w:rPr>
        <w:t xml:space="preserve"> a study number allocated </w:t>
      </w:r>
      <w:r w:rsidR="005D1C7B" w:rsidRPr="00B026A2">
        <w:rPr>
          <w:lang w:val="en-GB"/>
        </w:rPr>
        <w:t>and the local therapist informed of the allocation</w:t>
      </w:r>
      <w:r w:rsidR="00F72D82" w:rsidRPr="00B026A2">
        <w:rPr>
          <w:lang w:val="en-GB"/>
        </w:rPr>
        <w:t xml:space="preserve"> by email</w:t>
      </w:r>
      <w:r w:rsidR="006641A4" w:rsidRPr="00B026A2">
        <w:rPr>
          <w:lang w:val="en-GB"/>
        </w:rPr>
        <w:t>:</w:t>
      </w:r>
      <w:r w:rsidR="005D1C7B" w:rsidRPr="00B026A2">
        <w:rPr>
          <w:lang w:val="en-GB"/>
        </w:rPr>
        <w:t xml:space="preserve"> </w:t>
      </w:r>
      <w:r w:rsidR="00951502" w:rsidRPr="00B026A2">
        <w:rPr>
          <w:lang w:val="en-GB"/>
        </w:rPr>
        <w:t xml:space="preserve">for those entering the treatment arm either </w:t>
      </w:r>
      <w:r w:rsidR="007634B9" w:rsidRPr="00B026A2">
        <w:rPr>
          <w:lang w:val="en-GB"/>
        </w:rPr>
        <w:t>a</w:t>
      </w:r>
      <w:r w:rsidR="005D1C7B" w:rsidRPr="00B026A2">
        <w:rPr>
          <w:lang w:val="en-GB"/>
        </w:rPr>
        <w:t xml:space="preserve">cupuncture and </w:t>
      </w:r>
      <w:r w:rsidR="00DE0DB0" w:rsidRPr="00B026A2">
        <w:rPr>
          <w:lang w:val="en-GB"/>
        </w:rPr>
        <w:t>ACT</w:t>
      </w:r>
      <w:r w:rsidR="00951502" w:rsidRPr="00B026A2">
        <w:rPr>
          <w:lang w:val="en-GB"/>
        </w:rPr>
        <w:t xml:space="preserve"> or </w:t>
      </w:r>
      <w:proofErr w:type="spellStart"/>
      <w:r w:rsidR="00951502" w:rsidRPr="00B026A2">
        <w:rPr>
          <w:lang w:val="en-GB"/>
        </w:rPr>
        <w:t>Rongoā</w:t>
      </w:r>
      <w:proofErr w:type="spellEnd"/>
      <w:r w:rsidR="00951502" w:rsidRPr="00B026A2">
        <w:rPr>
          <w:lang w:val="en-GB"/>
        </w:rPr>
        <w:t xml:space="preserve"> Māori, the latter as </w:t>
      </w:r>
      <w:proofErr w:type="spellStart"/>
      <w:r w:rsidR="00951502" w:rsidRPr="00B026A2">
        <w:rPr>
          <w:lang w:val="en-GB"/>
        </w:rPr>
        <w:t>as</w:t>
      </w:r>
      <w:proofErr w:type="spellEnd"/>
      <w:r w:rsidR="00951502" w:rsidRPr="00B026A2">
        <w:rPr>
          <w:lang w:val="en-GB"/>
        </w:rPr>
        <w:t xml:space="preserve"> an option if </w:t>
      </w:r>
      <w:r w:rsidR="00CA5602">
        <w:rPr>
          <w:lang w:val="en-GB"/>
        </w:rPr>
        <w:t xml:space="preserve">a practitioner is </w:t>
      </w:r>
      <w:r w:rsidR="00147967" w:rsidRPr="00B026A2">
        <w:rPr>
          <w:lang w:val="en-GB"/>
        </w:rPr>
        <w:t>available</w:t>
      </w:r>
      <w:r w:rsidR="00CA5602">
        <w:rPr>
          <w:lang w:val="en-GB"/>
        </w:rPr>
        <w:t xml:space="preserve"> locally</w:t>
      </w:r>
      <w:r w:rsidR="00951502" w:rsidRPr="00B026A2">
        <w:rPr>
          <w:lang w:val="en-GB"/>
        </w:rPr>
        <w:t>. These modalities of treatment will be compared w</w:t>
      </w:r>
      <w:r w:rsidR="00953003" w:rsidRPr="00B026A2">
        <w:rPr>
          <w:lang w:val="en-GB"/>
        </w:rPr>
        <w:t>i</w:t>
      </w:r>
      <w:r w:rsidR="00951502" w:rsidRPr="00B026A2">
        <w:rPr>
          <w:lang w:val="en-GB"/>
        </w:rPr>
        <w:t xml:space="preserve">th </w:t>
      </w:r>
      <w:r w:rsidR="007B7BEA" w:rsidRPr="00B026A2">
        <w:rPr>
          <w:lang w:val="en-GB"/>
        </w:rPr>
        <w:t>‘</w:t>
      </w:r>
      <w:r w:rsidR="00381523" w:rsidRPr="00B026A2">
        <w:rPr>
          <w:lang w:val="en-GB"/>
        </w:rPr>
        <w:t>usual care</w:t>
      </w:r>
      <w:r w:rsidR="00596ABB" w:rsidRPr="00B026A2">
        <w:rPr>
          <w:lang w:val="en-GB"/>
        </w:rPr>
        <w:t>,</w:t>
      </w:r>
      <w:r w:rsidR="007B7BEA" w:rsidRPr="00B026A2">
        <w:rPr>
          <w:lang w:val="en-GB"/>
        </w:rPr>
        <w:t>’</w:t>
      </w:r>
      <w:r w:rsidR="00596ABB" w:rsidRPr="00B026A2">
        <w:rPr>
          <w:lang w:val="en-GB"/>
        </w:rPr>
        <w:t xml:space="preserve"> how the Veteran usually manages </w:t>
      </w:r>
      <w:r w:rsidR="004F4366">
        <w:rPr>
          <w:lang w:val="en-GB"/>
        </w:rPr>
        <w:t xml:space="preserve">their health condition </w:t>
      </w:r>
      <w:r w:rsidR="00596ABB" w:rsidRPr="00B026A2">
        <w:rPr>
          <w:lang w:val="en-GB"/>
        </w:rPr>
        <w:t>(see the following section).</w:t>
      </w:r>
      <w:r w:rsidR="00381523" w:rsidRPr="00B026A2">
        <w:rPr>
          <w:lang w:val="en-GB"/>
        </w:rPr>
        <w:t xml:space="preserve"> </w:t>
      </w:r>
      <w:r w:rsidR="005D70C9" w:rsidRPr="00B026A2">
        <w:rPr>
          <w:lang w:val="en-GB"/>
        </w:rPr>
        <w:t xml:space="preserve">At </w:t>
      </w:r>
      <w:r w:rsidR="005D70C9">
        <w:rPr>
          <w:lang w:val="en-GB"/>
        </w:rPr>
        <w:t>the initial visit</w:t>
      </w:r>
      <w:r w:rsidR="005D70C9" w:rsidRPr="00B026A2">
        <w:rPr>
          <w:lang w:val="en-GB"/>
        </w:rPr>
        <w:t xml:space="preserve">, the practitioner will </w:t>
      </w:r>
      <w:r w:rsidR="005D70C9">
        <w:rPr>
          <w:lang w:val="en-GB"/>
        </w:rPr>
        <w:t xml:space="preserve">obtain informed consent for treatment, carry out their usual physical evaluation, use the </w:t>
      </w:r>
      <w:r w:rsidR="00174981">
        <w:rPr>
          <w:lang w:val="en-GB"/>
        </w:rPr>
        <w:t>auricular a</w:t>
      </w:r>
      <w:r w:rsidR="005D70C9">
        <w:rPr>
          <w:lang w:val="en-GB"/>
        </w:rPr>
        <w:t xml:space="preserve">cupuncture technique and record clinical information according to their usual practice. They will then follow the </w:t>
      </w:r>
      <w:proofErr w:type="gramStart"/>
      <w:r w:rsidR="005D70C9">
        <w:rPr>
          <w:lang w:val="en-GB"/>
        </w:rPr>
        <w:t>12 week</w:t>
      </w:r>
      <w:proofErr w:type="gramEnd"/>
      <w:r w:rsidR="005D70C9">
        <w:rPr>
          <w:lang w:val="en-GB"/>
        </w:rPr>
        <w:t xml:space="preserve"> ACT programme (see the Appendix).</w:t>
      </w:r>
    </w:p>
    <w:p w14:paraId="1089FF63" w14:textId="5D49C738" w:rsidR="00A27D9A" w:rsidRPr="00B026A2" w:rsidRDefault="00A27D9A" w:rsidP="00942E31">
      <w:pPr>
        <w:rPr>
          <w:b/>
          <w:bCs/>
          <w:lang w:val="en-GB"/>
        </w:rPr>
      </w:pPr>
      <w:r w:rsidRPr="00B026A2">
        <w:rPr>
          <w:b/>
          <w:bCs/>
          <w:lang w:val="en-GB"/>
        </w:rPr>
        <w:t>Data Collection</w:t>
      </w:r>
    </w:p>
    <w:p w14:paraId="19BAAF42" w14:textId="21FAEFF2" w:rsidR="005D70C9" w:rsidRDefault="005D70C9" w:rsidP="005D70C9">
      <w:pPr>
        <w:rPr>
          <w:lang w:val="en-GB"/>
        </w:rPr>
      </w:pPr>
      <w:r>
        <w:rPr>
          <w:lang w:val="en-GB"/>
        </w:rPr>
        <w:t>T</w:t>
      </w:r>
      <w:r w:rsidRPr="00B026A2">
        <w:rPr>
          <w:lang w:val="en-GB"/>
        </w:rPr>
        <w:t>he survey instruments will be delivered on-line</w:t>
      </w:r>
      <w:r>
        <w:rPr>
          <w:lang w:val="en-GB"/>
        </w:rPr>
        <w:t xml:space="preserve"> at base-line</w:t>
      </w:r>
      <w:r w:rsidRPr="00B026A2">
        <w:rPr>
          <w:lang w:val="en-GB"/>
        </w:rPr>
        <w:t xml:space="preserve">, or by post if requested. </w:t>
      </w:r>
      <w:r>
        <w:rPr>
          <w:lang w:val="en-GB"/>
        </w:rPr>
        <w:t xml:space="preserve"> Participants will be asked about any healthcare advice (and where sought) in the previous 2 months</w:t>
      </w:r>
      <w:r w:rsidR="00CA5602">
        <w:rPr>
          <w:lang w:val="en-GB"/>
        </w:rPr>
        <w:t xml:space="preserve"> and</w:t>
      </w:r>
      <w:r>
        <w:rPr>
          <w:lang w:val="en-GB"/>
        </w:rPr>
        <w:t xml:space="preserve"> use of alcohol and analgesia</w:t>
      </w:r>
      <w:r w:rsidR="00CA5602">
        <w:rPr>
          <w:lang w:val="en-GB"/>
        </w:rPr>
        <w:t xml:space="preserve">. </w:t>
      </w:r>
      <w:r w:rsidR="002B1BE5">
        <w:rPr>
          <w:lang w:val="en-GB"/>
        </w:rPr>
        <w:t>The schedule is shown in table 2.</w:t>
      </w:r>
    </w:p>
    <w:p w14:paraId="1080B1EA" w14:textId="77777777" w:rsidR="009E7D77" w:rsidRDefault="009E7D77">
      <w:pPr>
        <w:spacing w:after="0"/>
        <w:jc w:val="left"/>
        <w:rPr>
          <w:lang w:val="en-GB"/>
        </w:rPr>
      </w:pPr>
      <w:r>
        <w:rPr>
          <w:lang w:val="en-GB"/>
        </w:rPr>
        <w:br w:type="page"/>
      </w:r>
    </w:p>
    <w:p w14:paraId="32D3D568" w14:textId="0F141545" w:rsidR="009E7D77" w:rsidRDefault="009E7D77" w:rsidP="005D70C9">
      <w:pPr>
        <w:rPr>
          <w:lang w:val="en-GB"/>
        </w:rPr>
      </w:pPr>
      <w:r>
        <w:rPr>
          <w:lang w:val="en-GB"/>
        </w:rPr>
        <w:lastRenderedPageBreak/>
        <w:t>Table 2, schedule of questionnaires.</w:t>
      </w:r>
    </w:p>
    <w:tbl>
      <w:tblPr>
        <w:tblStyle w:val="TableGrid"/>
        <w:tblW w:w="0" w:type="auto"/>
        <w:tblLook w:val="04A0" w:firstRow="1" w:lastRow="0" w:firstColumn="1" w:lastColumn="0" w:noHBand="0" w:noVBand="1"/>
      </w:tblPr>
      <w:tblGrid>
        <w:gridCol w:w="4675"/>
        <w:gridCol w:w="4675"/>
      </w:tblGrid>
      <w:tr w:rsidR="009E7D77" w:rsidRPr="009E7D77" w14:paraId="2D9364A8" w14:textId="77777777" w:rsidTr="009E7D77">
        <w:tc>
          <w:tcPr>
            <w:tcW w:w="4675" w:type="dxa"/>
          </w:tcPr>
          <w:p w14:paraId="139B05EB" w14:textId="77777777" w:rsidR="009E7D77" w:rsidRPr="009E7D77" w:rsidRDefault="009E7D77" w:rsidP="00844B44">
            <w:pPr>
              <w:rPr>
                <w:b/>
                <w:bCs/>
                <w:lang w:val="en-GB"/>
              </w:rPr>
            </w:pPr>
            <w:r w:rsidRPr="009E7D77">
              <w:rPr>
                <w:b/>
                <w:bCs/>
                <w:lang w:val="en-GB"/>
              </w:rPr>
              <w:t>Time point</w:t>
            </w:r>
          </w:p>
        </w:tc>
        <w:tc>
          <w:tcPr>
            <w:tcW w:w="4675" w:type="dxa"/>
          </w:tcPr>
          <w:p w14:paraId="3D3ECEE1" w14:textId="58CAF0D9" w:rsidR="009E7D77" w:rsidRPr="009E7D77" w:rsidRDefault="009E7D77" w:rsidP="00844B44">
            <w:pPr>
              <w:rPr>
                <w:b/>
                <w:bCs/>
                <w:lang w:val="en-GB"/>
              </w:rPr>
            </w:pPr>
            <w:r w:rsidRPr="009E7D77">
              <w:rPr>
                <w:b/>
                <w:bCs/>
                <w:lang w:val="en-GB"/>
              </w:rPr>
              <w:t>Instrument</w:t>
            </w:r>
          </w:p>
        </w:tc>
      </w:tr>
      <w:tr w:rsidR="009E7D77" w:rsidRPr="009E7D77" w14:paraId="41E757AB" w14:textId="77777777" w:rsidTr="009E7D77">
        <w:tc>
          <w:tcPr>
            <w:tcW w:w="4675" w:type="dxa"/>
          </w:tcPr>
          <w:p w14:paraId="3155A996" w14:textId="25626797" w:rsidR="009E7D77" w:rsidRPr="009E7D77" w:rsidRDefault="009E7D77" w:rsidP="00844B44">
            <w:pPr>
              <w:rPr>
                <w:lang w:val="en-GB"/>
              </w:rPr>
            </w:pPr>
            <w:r>
              <w:rPr>
                <w:lang w:val="en-GB"/>
              </w:rPr>
              <w:t>Baseline</w:t>
            </w:r>
          </w:p>
        </w:tc>
        <w:tc>
          <w:tcPr>
            <w:tcW w:w="4675" w:type="dxa"/>
          </w:tcPr>
          <w:p w14:paraId="3E579B23" w14:textId="6E3006C5" w:rsidR="009E7D77" w:rsidRPr="009E7D77" w:rsidRDefault="009E7D77" w:rsidP="00844B44">
            <w:pPr>
              <w:rPr>
                <w:lang w:val="en-GB"/>
              </w:rPr>
            </w:pPr>
            <w:r>
              <w:rPr>
                <w:lang w:val="en-GB"/>
              </w:rPr>
              <w:t xml:space="preserve">Pain, </w:t>
            </w:r>
            <w:r w:rsidR="005B56BB">
              <w:rPr>
                <w:lang w:val="en-GB"/>
              </w:rPr>
              <w:t xml:space="preserve">distress, </w:t>
            </w:r>
            <w:r>
              <w:rPr>
                <w:lang w:val="en-GB"/>
              </w:rPr>
              <w:t xml:space="preserve">disability, sleep quality, </w:t>
            </w:r>
            <w:proofErr w:type="spellStart"/>
            <w:r>
              <w:rPr>
                <w:lang w:val="en-GB"/>
              </w:rPr>
              <w:t>post traumatic</w:t>
            </w:r>
            <w:proofErr w:type="spellEnd"/>
            <w:r>
              <w:rPr>
                <w:lang w:val="en-GB"/>
              </w:rPr>
              <w:t xml:space="preserve"> stress, psychological flexibility</w:t>
            </w:r>
          </w:p>
        </w:tc>
      </w:tr>
      <w:tr w:rsidR="009E7D77" w:rsidRPr="009E7D77" w14:paraId="063C8A53" w14:textId="77777777" w:rsidTr="009E7D77">
        <w:tc>
          <w:tcPr>
            <w:tcW w:w="4675" w:type="dxa"/>
          </w:tcPr>
          <w:p w14:paraId="38FC47BC" w14:textId="7FD41CB8" w:rsidR="009E7D77" w:rsidRDefault="009E7D77" w:rsidP="00844B44">
            <w:pPr>
              <w:rPr>
                <w:lang w:val="en-GB"/>
              </w:rPr>
            </w:pPr>
            <w:r>
              <w:rPr>
                <w:lang w:val="en-GB"/>
              </w:rPr>
              <w:t>12 weeks</w:t>
            </w:r>
          </w:p>
        </w:tc>
        <w:tc>
          <w:tcPr>
            <w:tcW w:w="4675" w:type="dxa"/>
          </w:tcPr>
          <w:p w14:paraId="4158C9A5" w14:textId="0C4DB466" w:rsidR="009E7D77" w:rsidRDefault="009E7D77" w:rsidP="00844B44">
            <w:pPr>
              <w:rPr>
                <w:lang w:val="en-GB"/>
              </w:rPr>
            </w:pPr>
            <w:r>
              <w:rPr>
                <w:lang w:val="en-GB"/>
              </w:rPr>
              <w:t>Distress, pain and disability</w:t>
            </w:r>
          </w:p>
        </w:tc>
      </w:tr>
      <w:tr w:rsidR="009E7D77" w:rsidRPr="009E7D77" w14:paraId="71EAA6EB" w14:textId="77777777" w:rsidTr="009E7D77">
        <w:tc>
          <w:tcPr>
            <w:tcW w:w="4675" w:type="dxa"/>
          </w:tcPr>
          <w:p w14:paraId="45D77181" w14:textId="389D1212" w:rsidR="009E7D77" w:rsidRDefault="009E7D77" w:rsidP="00844B44">
            <w:pPr>
              <w:rPr>
                <w:lang w:val="en-GB"/>
              </w:rPr>
            </w:pPr>
            <w:r>
              <w:rPr>
                <w:lang w:val="en-GB"/>
              </w:rPr>
              <w:t>24 weeks</w:t>
            </w:r>
          </w:p>
        </w:tc>
        <w:tc>
          <w:tcPr>
            <w:tcW w:w="4675" w:type="dxa"/>
          </w:tcPr>
          <w:p w14:paraId="752A46CA" w14:textId="1C0E73DD" w:rsidR="009E7D77" w:rsidRDefault="009E7D77" w:rsidP="00844B44">
            <w:pPr>
              <w:rPr>
                <w:lang w:val="en-GB"/>
              </w:rPr>
            </w:pPr>
            <w:r>
              <w:rPr>
                <w:lang w:val="en-GB"/>
              </w:rPr>
              <w:t>Distress, pain and disability</w:t>
            </w:r>
          </w:p>
        </w:tc>
      </w:tr>
      <w:tr w:rsidR="009E7D77" w:rsidRPr="009E7D77" w14:paraId="6F550AA9" w14:textId="77777777" w:rsidTr="009E7D77">
        <w:tc>
          <w:tcPr>
            <w:tcW w:w="4675" w:type="dxa"/>
          </w:tcPr>
          <w:p w14:paraId="60E032A5" w14:textId="14BF4330" w:rsidR="009E7D77" w:rsidRDefault="009E7D77" w:rsidP="00844B44">
            <w:pPr>
              <w:rPr>
                <w:lang w:val="en-GB"/>
              </w:rPr>
            </w:pPr>
            <w:r>
              <w:rPr>
                <w:lang w:val="en-GB"/>
              </w:rPr>
              <w:t>36 weeks</w:t>
            </w:r>
          </w:p>
        </w:tc>
        <w:tc>
          <w:tcPr>
            <w:tcW w:w="4675" w:type="dxa"/>
          </w:tcPr>
          <w:p w14:paraId="1403C2CE" w14:textId="510ABD46" w:rsidR="009E7D77" w:rsidRDefault="005B56BB" w:rsidP="00844B44">
            <w:pPr>
              <w:rPr>
                <w:lang w:val="en-GB"/>
              </w:rPr>
            </w:pPr>
            <w:r>
              <w:rPr>
                <w:lang w:val="en-GB"/>
              </w:rPr>
              <w:t>Distress p</w:t>
            </w:r>
            <w:r w:rsidR="009E7D77">
              <w:rPr>
                <w:lang w:val="en-GB"/>
              </w:rPr>
              <w:t>ain,</w:t>
            </w:r>
            <w:r>
              <w:rPr>
                <w:lang w:val="en-GB"/>
              </w:rPr>
              <w:t xml:space="preserve"> </w:t>
            </w:r>
            <w:r w:rsidR="009E7D77">
              <w:rPr>
                <w:lang w:val="en-GB"/>
              </w:rPr>
              <w:t xml:space="preserve">disability, sleep quality, </w:t>
            </w:r>
            <w:proofErr w:type="spellStart"/>
            <w:r w:rsidR="009E7D77">
              <w:rPr>
                <w:lang w:val="en-GB"/>
              </w:rPr>
              <w:t>post traumatic</w:t>
            </w:r>
            <w:proofErr w:type="spellEnd"/>
            <w:r w:rsidR="009E7D77">
              <w:rPr>
                <w:lang w:val="en-GB"/>
              </w:rPr>
              <w:t xml:space="preserve"> stress, psychological flexibility</w:t>
            </w:r>
          </w:p>
        </w:tc>
      </w:tr>
    </w:tbl>
    <w:p w14:paraId="0ADF0C4E" w14:textId="75E9DCE8" w:rsidR="005D70C9" w:rsidRPr="00B026A2" w:rsidRDefault="005D70C9" w:rsidP="005D70C9">
      <w:pPr>
        <w:spacing w:before="60"/>
        <w:rPr>
          <w:lang w:val="en-GB"/>
        </w:rPr>
      </w:pPr>
      <w:r w:rsidRPr="00B026A2">
        <w:rPr>
          <w:lang w:val="en-GB"/>
        </w:rPr>
        <w:t xml:space="preserve">All outcomes will be measured at baseline; </w:t>
      </w:r>
      <w:r w:rsidR="00CA5602">
        <w:rPr>
          <w:lang w:val="en-GB"/>
        </w:rPr>
        <w:t>d</w:t>
      </w:r>
      <w:r w:rsidRPr="00B026A2">
        <w:rPr>
          <w:lang w:val="en-GB"/>
        </w:rPr>
        <w:t>istress, pain and disability measured at 12 weeks</w:t>
      </w:r>
      <w:r w:rsidR="00217F76">
        <w:rPr>
          <w:lang w:val="en-GB"/>
        </w:rPr>
        <w:t xml:space="preserve"> and </w:t>
      </w:r>
      <w:r w:rsidRPr="00B026A2">
        <w:rPr>
          <w:lang w:val="en-GB"/>
        </w:rPr>
        <w:t xml:space="preserve">24 weeks and </w:t>
      </w:r>
      <w:r w:rsidR="00217F76">
        <w:rPr>
          <w:lang w:val="en-GB"/>
        </w:rPr>
        <w:t xml:space="preserve">all measures will be repeated </w:t>
      </w:r>
      <w:r w:rsidRPr="00B026A2">
        <w:rPr>
          <w:lang w:val="en-GB"/>
        </w:rPr>
        <w:t>at 36 weeks.</w:t>
      </w:r>
    </w:p>
    <w:p w14:paraId="4CD86FBA" w14:textId="2E813DA9" w:rsidR="007634B9" w:rsidRPr="00B026A2" w:rsidRDefault="00A66894" w:rsidP="00942E31">
      <w:pPr>
        <w:rPr>
          <w:b/>
          <w:bCs/>
          <w:lang w:val="en-GB"/>
        </w:rPr>
      </w:pPr>
      <w:r w:rsidRPr="00B026A2">
        <w:rPr>
          <w:lang w:val="en-GB"/>
        </w:rPr>
        <w:t xml:space="preserve">For the </w:t>
      </w:r>
      <w:proofErr w:type="gramStart"/>
      <w:r w:rsidRPr="00B026A2">
        <w:rPr>
          <w:lang w:val="en-GB"/>
        </w:rPr>
        <w:t>24 and 36 week</w:t>
      </w:r>
      <w:proofErr w:type="gramEnd"/>
      <w:r w:rsidRPr="00B026A2">
        <w:rPr>
          <w:lang w:val="en-GB"/>
        </w:rPr>
        <w:t xml:space="preserve"> questionnaires, </w:t>
      </w:r>
      <w:r w:rsidR="006C5199" w:rsidRPr="00B026A2">
        <w:rPr>
          <w:lang w:val="en-GB"/>
        </w:rPr>
        <w:t>a</w:t>
      </w:r>
      <w:r w:rsidR="00F72D82" w:rsidRPr="00B026A2">
        <w:rPr>
          <w:lang w:val="en-GB"/>
        </w:rPr>
        <w:t xml:space="preserve"> link </w:t>
      </w:r>
      <w:r w:rsidR="00081678" w:rsidRPr="00B026A2">
        <w:rPr>
          <w:lang w:val="en-GB"/>
        </w:rPr>
        <w:t xml:space="preserve">to the survey </w:t>
      </w:r>
      <w:r w:rsidR="00F72D82" w:rsidRPr="00B026A2">
        <w:rPr>
          <w:lang w:val="en-GB"/>
        </w:rPr>
        <w:t xml:space="preserve">will be emailed to </w:t>
      </w:r>
      <w:r w:rsidR="007634B9" w:rsidRPr="00B026A2">
        <w:rPr>
          <w:lang w:val="en-GB"/>
        </w:rPr>
        <w:t>all</w:t>
      </w:r>
      <w:r w:rsidR="00F72D82" w:rsidRPr="00B026A2">
        <w:rPr>
          <w:lang w:val="en-GB"/>
        </w:rPr>
        <w:t xml:space="preserve"> participant</w:t>
      </w:r>
      <w:r w:rsidR="007634B9" w:rsidRPr="00B026A2">
        <w:rPr>
          <w:lang w:val="en-GB"/>
        </w:rPr>
        <w:t>s</w:t>
      </w:r>
      <w:r w:rsidR="00F72D82" w:rsidRPr="00B026A2">
        <w:rPr>
          <w:lang w:val="en-GB"/>
        </w:rPr>
        <w:t xml:space="preserve"> at the appropriate time</w:t>
      </w:r>
      <w:r w:rsidR="006E4BC8" w:rsidRPr="00B026A2">
        <w:rPr>
          <w:lang w:val="en-GB"/>
        </w:rPr>
        <w:t xml:space="preserve">, </w:t>
      </w:r>
      <w:r w:rsidR="00081678" w:rsidRPr="00B026A2">
        <w:rPr>
          <w:lang w:val="en-GB"/>
        </w:rPr>
        <w:t xml:space="preserve">or </w:t>
      </w:r>
      <w:r w:rsidR="006C5199" w:rsidRPr="00B026A2">
        <w:rPr>
          <w:lang w:val="en-GB"/>
        </w:rPr>
        <w:t xml:space="preserve">the appropriate </w:t>
      </w:r>
      <w:r w:rsidR="00081678" w:rsidRPr="00B026A2">
        <w:rPr>
          <w:lang w:val="en-GB"/>
        </w:rPr>
        <w:t>paper questionnaire mailed</w:t>
      </w:r>
      <w:r w:rsidR="007634B9" w:rsidRPr="00B026A2">
        <w:rPr>
          <w:lang w:val="en-GB"/>
        </w:rPr>
        <w:t xml:space="preserve"> on </w:t>
      </w:r>
      <w:r w:rsidR="00E525C3" w:rsidRPr="00B026A2">
        <w:rPr>
          <w:lang w:val="en-GB"/>
        </w:rPr>
        <w:t>request</w:t>
      </w:r>
      <w:r w:rsidR="00081678" w:rsidRPr="00B026A2">
        <w:rPr>
          <w:lang w:val="en-GB"/>
        </w:rPr>
        <w:t xml:space="preserve">, </w:t>
      </w:r>
      <w:r w:rsidR="006E4BC8" w:rsidRPr="00B026A2">
        <w:rPr>
          <w:lang w:val="en-GB"/>
        </w:rPr>
        <w:t>and two reminders sent</w:t>
      </w:r>
      <w:r w:rsidR="00961205" w:rsidRPr="00B026A2">
        <w:rPr>
          <w:lang w:val="en-GB"/>
        </w:rPr>
        <w:t xml:space="preserve"> in case of non-response</w:t>
      </w:r>
      <w:r w:rsidR="006E4BC8" w:rsidRPr="00B026A2">
        <w:rPr>
          <w:lang w:val="en-GB"/>
        </w:rPr>
        <w:t>.</w:t>
      </w:r>
      <w:r w:rsidR="00F72D82" w:rsidRPr="00B026A2">
        <w:rPr>
          <w:lang w:val="en-GB"/>
        </w:rPr>
        <w:t xml:space="preserve"> </w:t>
      </w:r>
    </w:p>
    <w:p w14:paraId="7C92F4DF" w14:textId="79987350" w:rsidR="00A66894" w:rsidRPr="00B026A2" w:rsidRDefault="00A66894" w:rsidP="00A66894">
      <w:pPr>
        <w:pStyle w:val="Heading2"/>
        <w:rPr>
          <w:lang w:val="en-GB"/>
        </w:rPr>
      </w:pPr>
      <w:r w:rsidRPr="00B026A2">
        <w:rPr>
          <w:lang w:val="en-GB"/>
        </w:rPr>
        <w:t>Outcome measures.</w:t>
      </w:r>
    </w:p>
    <w:p w14:paraId="2AFAF1DD" w14:textId="6370E1CA" w:rsidR="00942E31" w:rsidRPr="00B026A2" w:rsidRDefault="00942E31" w:rsidP="00942E31">
      <w:pPr>
        <w:rPr>
          <w:b/>
          <w:bCs/>
          <w:i/>
          <w:iCs/>
          <w:lang w:val="en-GB"/>
        </w:rPr>
      </w:pPr>
      <w:r w:rsidRPr="00B026A2">
        <w:rPr>
          <w:b/>
          <w:bCs/>
          <w:i/>
          <w:iCs/>
          <w:lang w:val="en-GB"/>
        </w:rPr>
        <w:t>Primary</w:t>
      </w:r>
    </w:p>
    <w:p w14:paraId="6737A337" w14:textId="42492B12" w:rsidR="007B7BEA" w:rsidRPr="00B026A2" w:rsidRDefault="00942E31" w:rsidP="00942E31">
      <w:pPr>
        <w:rPr>
          <w:lang w:val="en-GB"/>
        </w:rPr>
      </w:pPr>
      <w:r w:rsidRPr="00B026A2">
        <w:rPr>
          <w:lang w:val="en-GB"/>
        </w:rPr>
        <w:t xml:space="preserve">The primary outcome instrument will be distress, assessed using the 12 item General Health Questionnaire (GHQ-12), scored using a </w:t>
      </w:r>
      <w:proofErr w:type="gramStart"/>
      <w:r w:rsidRPr="00B026A2">
        <w:rPr>
          <w:lang w:val="en-GB"/>
        </w:rPr>
        <w:t>four point</w:t>
      </w:r>
      <w:proofErr w:type="gramEnd"/>
      <w:r w:rsidRPr="00B026A2">
        <w:rPr>
          <w:lang w:val="en-GB"/>
        </w:rPr>
        <w:t xml:space="preserve"> scale (0-3) and summing the 12 items to give a total score, with higher scores indicating elevated distress.</w:t>
      </w:r>
      <w:r w:rsidR="00FA1DAB" w:rsidRPr="00B026A2">
        <w:rPr>
          <w:lang w:val="en-GB"/>
        </w:rPr>
        <w:t>[</w:t>
      </w:r>
      <w:r w:rsidR="00BC1016" w:rsidRPr="00B026A2">
        <w:rPr>
          <w:lang w:val="en-GB"/>
        </w:rPr>
        <w:t>1</w:t>
      </w:r>
      <w:r w:rsidR="001535F6">
        <w:rPr>
          <w:lang w:val="en-GB"/>
        </w:rPr>
        <w:t>5</w:t>
      </w:r>
      <w:r w:rsidR="00FA1DAB" w:rsidRPr="00B026A2">
        <w:rPr>
          <w:lang w:val="en-GB"/>
        </w:rPr>
        <w:t>]</w:t>
      </w:r>
    </w:p>
    <w:p w14:paraId="1F975927" w14:textId="0B1CB425" w:rsidR="00942E31" w:rsidRPr="00B026A2" w:rsidRDefault="00942E31" w:rsidP="00942E31">
      <w:pPr>
        <w:rPr>
          <w:b/>
          <w:bCs/>
          <w:lang w:val="en-GB"/>
        </w:rPr>
      </w:pPr>
      <w:r w:rsidRPr="00B026A2">
        <w:rPr>
          <w:b/>
          <w:bCs/>
          <w:i/>
          <w:iCs/>
          <w:lang w:val="en-GB"/>
        </w:rPr>
        <w:t xml:space="preserve">Secondary </w:t>
      </w:r>
    </w:p>
    <w:p w14:paraId="48D0BE2E" w14:textId="3A4FA92D" w:rsidR="007B7BEA" w:rsidRPr="00B026A2" w:rsidRDefault="00942E31" w:rsidP="00942E31">
      <w:pPr>
        <w:rPr>
          <w:lang w:val="en-GB"/>
        </w:rPr>
      </w:pPr>
      <w:r w:rsidRPr="00B026A2">
        <w:rPr>
          <w:lang w:val="en-GB"/>
        </w:rPr>
        <w:t>The secondary outcomes will include:</w:t>
      </w:r>
    </w:p>
    <w:p w14:paraId="758E4BFE" w14:textId="77777777" w:rsidR="00A66894" w:rsidRPr="00B026A2" w:rsidRDefault="00942E31" w:rsidP="00942E31">
      <w:pPr>
        <w:rPr>
          <w:lang w:val="en-GB"/>
        </w:rPr>
      </w:pPr>
      <w:r w:rsidRPr="00B026A2">
        <w:rPr>
          <w:lang w:val="en-GB"/>
        </w:rPr>
        <w:t xml:space="preserve">1. Pain. </w:t>
      </w:r>
    </w:p>
    <w:p w14:paraId="68DEA8BD" w14:textId="3054FF07" w:rsidR="00CA5602" w:rsidRDefault="00F72D82" w:rsidP="00942E31">
      <w:pPr>
        <w:rPr>
          <w:lang w:val="en-GB"/>
        </w:rPr>
      </w:pPr>
      <w:r w:rsidRPr="00B026A2">
        <w:rPr>
          <w:lang w:val="en-GB"/>
        </w:rPr>
        <w:t>A</w:t>
      </w:r>
      <w:r w:rsidR="00942E31" w:rsidRPr="00B026A2">
        <w:rPr>
          <w:lang w:val="en-GB"/>
        </w:rPr>
        <w:t>ssessed by</w:t>
      </w:r>
      <w:r w:rsidR="00942E31" w:rsidRPr="00B026A2">
        <w:rPr>
          <w:i/>
          <w:iCs/>
          <w:lang w:val="en-GB"/>
        </w:rPr>
        <w:t xml:space="preserve"> The Dallas Pain Questionnaire</w:t>
      </w:r>
      <w:r w:rsidR="00942E31" w:rsidRPr="00B026A2">
        <w:rPr>
          <w:lang w:val="en-GB"/>
        </w:rPr>
        <w:t xml:space="preserve"> (DPQ),[1</w:t>
      </w:r>
      <w:r w:rsidR="001535F6">
        <w:rPr>
          <w:lang w:val="en-GB"/>
        </w:rPr>
        <w:t>6</w:t>
      </w:r>
      <w:r w:rsidR="00942E31" w:rsidRPr="00B026A2">
        <w:rPr>
          <w:lang w:val="en-GB"/>
        </w:rPr>
        <w:t>] a 16-item visual analogue tool for the purpose of evaluating a subject’s cognitions about the effect (%) of chronic pain on four aspects of their lives: 1) daily activities including pain and intensity, personal care, lifting, walking, sitting, standing, and sleeping; 2) work and leisure activities including social life, travelling, and vocational; 3) anxiety-depression; and 4) social interest that includes interpersonal relationship, social support, and punishing responses.</w:t>
      </w:r>
    </w:p>
    <w:p w14:paraId="02969D9C" w14:textId="56A1A0F2" w:rsidR="00942E31" w:rsidRPr="00B026A2" w:rsidRDefault="00942E31" w:rsidP="00942E31">
      <w:pPr>
        <w:rPr>
          <w:lang w:val="en-GB"/>
        </w:rPr>
      </w:pPr>
      <w:r w:rsidRPr="00B026A2">
        <w:rPr>
          <w:lang w:val="en-GB"/>
        </w:rPr>
        <w:t xml:space="preserve">2. Disability </w:t>
      </w:r>
    </w:p>
    <w:p w14:paraId="0A01CB3D" w14:textId="588B6643" w:rsidR="007B7BEA" w:rsidRPr="00B026A2" w:rsidRDefault="00942E31" w:rsidP="00942E31">
      <w:pPr>
        <w:rPr>
          <w:lang w:val="en-GB"/>
        </w:rPr>
      </w:pPr>
      <w:r w:rsidRPr="00B026A2">
        <w:rPr>
          <w:lang w:val="en-GB"/>
        </w:rPr>
        <w:t xml:space="preserve">Measured using the </w:t>
      </w:r>
      <w:r w:rsidRPr="00B026A2">
        <w:rPr>
          <w:i/>
          <w:iCs/>
          <w:lang w:val="en-GB"/>
        </w:rPr>
        <w:t>Sheehan Disability Scale</w:t>
      </w:r>
      <w:r w:rsidRPr="00B026A2">
        <w:rPr>
          <w:lang w:val="en-GB"/>
        </w:rPr>
        <w:t>,</w:t>
      </w:r>
      <w:r w:rsidR="00821E87" w:rsidRPr="00B026A2">
        <w:rPr>
          <w:lang w:val="en-GB"/>
        </w:rPr>
        <w:t>[1</w:t>
      </w:r>
      <w:r w:rsidR="001535F6">
        <w:rPr>
          <w:lang w:val="en-GB"/>
        </w:rPr>
        <w:t>7</w:t>
      </w:r>
      <w:r w:rsidR="00821E87" w:rsidRPr="00B026A2">
        <w:rPr>
          <w:lang w:val="en-GB"/>
        </w:rPr>
        <w:t>]</w:t>
      </w:r>
      <w:r w:rsidRPr="00B026A2">
        <w:rPr>
          <w:lang w:val="en-GB"/>
        </w:rPr>
        <w:t xml:space="preserve"> with three items rated on an 11-point scale ranging from 0 (not at all) to 10 (extremely). This measures impairment in work, social, and family settings, and is sensitive to symptom change and differences between active and control treatments.</w:t>
      </w:r>
    </w:p>
    <w:p w14:paraId="730EB71D" w14:textId="77777777" w:rsidR="00A66894" w:rsidRPr="00B026A2" w:rsidRDefault="00942E31" w:rsidP="00942E31">
      <w:pPr>
        <w:rPr>
          <w:lang w:val="en-GB"/>
        </w:rPr>
      </w:pPr>
      <w:r w:rsidRPr="00B026A2">
        <w:rPr>
          <w:lang w:val="en-GB"/>
        </w:rPr>
        <w:t xml:space="preserve">3. Sleep quality </w:t>
      </w:r>
    </w:p>
    <w:p w14:paraId="55DADF24" w14:textId="66253088" w:rsidR="007B7BEA" w:rsidRPr="00B026A2" w:rsidRDefault="00A66894" w:rsidP="00942E31">
      <w:pPr>
        <w:rPr>
          <w:lang w:val="en-GB"/>
        </w:rPr>
      </w:pPr>
      <w:r w:rsidRPr="00B026A2">
        <w:rPr>
          <w:lang w:val="en-GB"/>
        </w:rPr>
        <w:t>T</w:t>
      </w:r>
      <w:r w:rsidR="00F72D82" w:rsidRPr="00B026A2">
        <w:rPr>
          <w:lang w:val="en-GB"/>
        </w:rPr>
        <w:t>o be a</w:t>
      </w:r>
      <w:r w:rsidR="00942E31" w:rsidRPr="00B026A2">
        <w:rPr>
          <w:lang w:val="en-GB"/>
        </w:rPr>
        <w:t xml:space="preserve">ssessed with the </w:t>
      </w:r>
      <w:r w:rsidR="00942E31" w:rsidRPr="00B026A2">
        <w:rPr>
          <w:i/>
          <w:iCs/>
          <w:lang w:val="en-GB"/>
        </w:rPr>
        <w:t>Sleep Condition Indicator</w:t>
      </w:r>
      <w:r w:rsidR="00942E31" w:rsidRPr="00B026A2">
        <w:rPr>
          <w:lang w:val="en-GB"/>
        </w:rPr>
        <w:t xml:space="preserve"> (SCI).[1</w:t>
      </w:r>
      <w:r w:rsidR="001535F6">
        <w:rPr>
          <w:lang w:val="en-GB"/>
        </w:rPr>
        <w:t>8</w:t>
      </w:r>
      <w:r w:rsidR="00942E31" w:rsidRPr="00B026A2">
        <w:rPr>
          <w:lang w:val="en-GB"/>
        </w:rPr>
        <w:t xml:space="preserve">] This assesses insomnia as described in the Diagnostic and Statistical Manual of Mental Disorders version 5 (DSM-V). The SCI consists </w:t>
      </w:r>
      <w:r w:rsidR="00942E31" w:rsidRPr="00B026A2">
        <w:rPr>
          <w:lang w:val="en-GB"/>
        </w:rPr>
        <w:lastRenderedPageBreak/>
        <w:t xml:space="preserve">of eight items rated from 0-4, the total scores being scaled to a range of 0 to 10, where higher scores represent better sleep. </w:t>
      </w:r>
    </w:p>
    <w:p w14:paraId="0EFC1954" w14:textId="01DEA7E0" w:rsidR="00942E31" w:rsidRPr="00B026A2" w:rsidRDefault="00942E31" w:rsidP="00942E31">
      <w:pPr>
        <w:rPr>
          <w:lang w:val="en-GB"/>
        </w:rPr>
      </w:pPr>
      <w:r w:rsidRPr="00B026A2">
        <w:rPr>
          <w:lang w:val="en-GB"/>
        </w:rPr>
        <w:t xml:space="preserve">4. </w:t>
      </w:r>
      <w:proofErr w:type="spellStart"/>
      <w:r w:rsidRPr="00B026A2">
        <w:rPr>
          <w:lang w:val="en-GB"/>
        </w:rPr>
        <w:t>Post Traumatic</w:t>
      </w:r>
      <w:proofErr w:type="spellEnd"/>
      <w:r w:rsidRPr="00B026A2">
        <w:rPr>
          <w:lang w:val="en-GB"/>
        </w:rPr>
        <w:t xml:space="preserve"> Stress.</w:t>
      </w:r>
    </w:p>
    <w:p w14:paraId="7864722B" w14:textId="17635469" w:rsidR="00942E31" w:rsidRPr="00B026A2" w:rsidRDefault="00942E31" w:rsidP="00942E31">
      <w:pPr>
        <w:rPr>
          <w:lang w:val="en-GB"/>
        </w:rPr>
      </w:pPr>
      <w:r w:rsidRPr="00B026A2">
        <w:rPr>
          <w:lang w:val="en-GB"/>
        </w:rPr>
        <w:t>Symptoms of Post</w:t>
      </w:r>
      <w:r w:rsidR="00BA594A" w:rsidRPr="00B026A2">
        <w:rPr>
          <w:lang w:val="en-GB"/>
        </w:rPr>
        <w:t>-</w:t>
      </w:r>
      <w:r w:rsidRPr="00B026A2">
        <w:rPr>
          <w:lang w:val="en-GB"/>
        </w:rPr>
        <w:t>Traum</w:t>
      </w:r>
      <w:r w:rsidR="006120A8" w:rsidRPr="00B026A2">
        <w:rPr>
          <w:lang w:val="en-GB"/>
        </w:rPr>
        <w:t>a</w:t>
      </w:r>
      <w:r w:rsidRPr="00B026A2">
        <w:rPr>
          <w:lang w:val="en-GB"/>
        </w:rPr>
        <w:t xml:space="preserve">tic Stress will be assessed using the </w:t>
      </w:r>
      <w:r w:rsidRPr="00B026A2">
        <w:rPr>
          <w:i/>
          <w:iCs/>
          <w:lang w:val="en-GB"/>
        </w:rPr>
        <w:t>post-traumatic stress disorder</w:t>
      </w:r>
      <w:r w:rsidRPr="00B026A2">
        <w:rPr>
          <w:lang w:val="en-GB"/>
        </w:rPr>
        <w:t xml:space="preserve"> (PTSD) </w:t>
      </w:r>
      <w:r w:rsidRPr="00B026A2">
        <w:rPr>
          <w:i/>
          <w:iCs/>
          <w:lang w:val="en-GB"/>
        </w:rPr>
        <w:t>checklist for DSM 5</w:t>
      </w:r>
      <w:r w:rsidR="00F72D82" w:rsidRPr="00B026A2">
        <w:rPr>
          <w:i/>
          <w:iCs/>
          <w:lang w:val="en-GB"/>
        </w:rPr>
        <w:t xml:space="preserve">, the </w:t>
      </w:r>
      <w:r w:rsidRPr="00B026A2">
        <w:rPr>
          <w:lang w:val="en-GB"/>
        </w:rPr>
        <w:t>PCL-5.[1</w:t>
      </w:r>
      <w:r w:rsidR="001535F6">
        <w:rPr>
          <w:lang w:val="en-GB"/>
        </w:rPr>
        <w:t>9</w:t>
      </w:r>
      <w:r w:rsidRPr="00B026A2">
        <w:rPr>
          <w:lang w:val="en-GB"/>
        </w:rPr>
        <w:t>] The PCL-5 includes 20 items that ask about DSM-5 symptoms of PTS, with response options ranging from 1 ‘Not at all’ to 5 ‘Extremely’.</w:t>
      </w:r>
    </w:p>
    <w:p w14:paraId="407CE6D7" w14:textId="77777777" w:rsidR="00942E31" w:rsidRPr="00B026A2" w:rsidRDefault="00942E31" w:rsidP="00942E31">
      <w:pPr>
        <w:rPr>
          <w:lang w:val="en-GB"/>
        </w:rPr>
      </w:pPr>
      <w:r w:rsidRPr="00B026A2">
        <w:rPr>
          <w:lang w:val="en-GB"/>
        </w:rPr>
        <w:t xml:space="preserve">5. Psychological flexibility </w:t>
      </w:r>
    </w:p>
    <w:p w14:paraId="25315C14" w14:textId="7A255382" w:rsidR="006C5199" w:rsidRPr="00B026A2" w:rsidRDefault="00942E31" w:rsidP="00A66894">
      <w:pPr>
        <w:rPr>
          <w:lang w:val="en-GB"/>
        </w:rPr>
      </w:pPr>
      <w:r w:rsidRPr="00B026A2">
        <w:rPr>
          <w:lang w:val="en-GB"/>
        </w:rPr>
        <w:t xml:space="preserve">Measured with the 10-item </w:t>
      </w:r>
      <w:r w:rsidRPr="00B026A2">
        <w:rPr>
          <w:i/>
          <w:iCs/>
          <w:lang w:val="en-GB"/>
        </w:rPr>
        <w:t>AAQ-II</w:t>
      </w:r>
      <w:r w:rsidRPr="00B026A2">
        <w:rPr>
          <w:lang w:val="en-GB"/>
        </w:rPr>
        <w:t>.[</w:t>
      </w:r>
      <w:r w:rsidR="001535F6">
        <w:rPr>
          <w:lang w:val="en-GB"/>
        </w:rPr>
        <w:t>20</w:t>
      </w:r>
      <w:r w:rsidRPr="00B026A2">
        <w:rPr>
          <w:lang w:val="en-GB"/>
        </w:rPr>
        <w:t>] Items are answered on a 7-point scale, with options ranging from ‘never true’ to ‘always true’. The items are summed to obtain a total score (possible range 10 to 70), with higher scores indicative of greater psychological flexibility.</w:t>
      </w:r>
    </w:p>
    <w:p w14:paraId="4FA12027" w14:textId="4C9903BE" w:rsidR="00C514D9" w:rsidRPr="00B026A2" w:rsidRDefault="00C514D9" w:rsidP="00942E31">
      <w:pPr>
        <w:spacing w:before="60"/>
        <w:rPr>
          <w:b/>
          <w:bCs/>
          <w:lang w:val="en-GB"/>
        </w:rPr>
      </w:pPr>
      <w:r w:rsidRPr="00B026A2">
        <w:rPr>
          <w:b/>
          <w:bCs/>
          <w:lang w:val="en-GB"/>
        </w:rPr>
        <w:t>Analysis plan</w:t>
      </w:r>
    </w:p>
    <w:p w14:paraId="6E4C4186" w14:textId="77777777" w:rsidR="00A66894" w:rsidRPr="00B026A2" w:rsidRDefault="00942E31" w:rsidP="00BB5CEB">
      <w:pPr>
        <w:spacing w:before="60"/>
        <w:rPr>
          <w:lang w:val="en-GB"/>
        </w:rPr>
      </w:pPr>
      <w:r w:rsidRPr="00B026A2">
        <w:rPr>
          <w:lang w:val="en-GB"/>
        </w:rPr>
        <w:t xml:space="preserve">The primary end point is at 12 weeks when treatment ends. </w:t>
      </w:r>
    </w:p>
    <w:p w14:paraId="11DA981D" w14:textId="37F07107" w:rsidR="00C514D9" w:rsidRPr="00B026A2" w:rsidRDefault="00C514D9" w:rsidP="00BB5CEB">
      <w:pPr>
        <w:rPr>
          <w:lang w:val="en-GB"/>
        </w:rPr>
      </w:pPr>
      <w:r w:rsidRPr="00B026A2">
        <w:rPr>
          <w:lang w:val="en-GB"/>
        </w:rPr>
        <w:t xml:space="preserve">The primary analysis will be a t-test comparing GHQ12 scores between the two arms. Regression analysis will be used to adjust for any baseline imbalances and for the secondary analyses looking at change over time (allowing for repeated measures) for all outcomes. </w:t>
      </w:r>
    </w:p>
    <w:p w14:paraId="0A0A4510" w14:textId="7C385B51" w:rsidR="00C514D9" w:rsidRPr="00B026A2" w:rsidRDefault="00C514D9" w:rsidP="00BB5CEB">
      <w:pPr>
        <w:rPr>
          <w:lang w:val="en-GB"/>
        </w:rPr>
      </w:pPr>
      <w:r w:rsidRPr="00B026A2">
        <w:rPr>
          <w:lang w:val="en-GB"/>
        </w:rPr>
        <w:t>A sample size of 64 in each group will ensure there is at least 80% power to detect a 10</w:t>
      </w:r>
      <w:r w:rsidR="00A27D9A" w:rsidRPr="00B026A2">
        <w:rPr>
          <w:lang w:val="en-GB"/>
        </w:rPr>
        <w:t>-</w:t>
      </w:r>
      <w:r w:rsidRPr="00B026A2">
        <w:rPr>
          <w:lang w:val="en-GB"/>
        </w:rPr>
        <w:t>point change in GHQ 12 scores assuming that the standard deviation is 20 and with a 5% significance level.</w:t>
      </w:r>
    </w:p>
    <w:p w14:paraId="1D28C1D0" w14:textId="2A1330D3" w:rsidR="006F6777" w:rsidRPr="00B026A2" w:rsidRDefault="006F6777" w:rsidP="00402585">
      <w:pPr>
        <w:spacing w:before="60"/>
        <w:rPr>
          <w:rFonts w:cstheme="minorHAnsi"/>
          <w:b/>
          <w:bCs/>
          <w:color w:val="000000" w:themeColor="text1"/>
          <w:lang w:val="en-GB"/>
        </w:rPr>
      </w:pPr>
      <w:r w:rsidRPr="00B026A2">
        <w:rPr>
          <w:rFonts w:cstheme="minorHAnsi"/>
          <w:b/>
          <w:bCs/>
          <w:color w:val="000000" w:themeColor="text1"/>
          <w:lang w:val="en-GB"/>
        </w:rPr>
        <w:t>Ethical considerations.</w:t>
      </w:r>
    </w:p>
    <w:p w14:paraId="5FA82C54" w14:textId="052FBF2E" w:rsidR="00DF48CB" w:rsidRPr="00B026A2" w:rsidRDefault="00DF48CB" w:rsidP="006C5199">
      <w:pPr>
        <w:rPr>
          <w:rFonts w:cstheme="minorHAnsi"/>
          <w:i/>
          <w:iCs/>
          <w:color w:val="000000" w:themeColor="text1"/>
          <w:lang w:val="en-GB"/>
        </w:rPr>
      </w:pPr>
      <w:r w:rsidRPr="00B026A2">
        <w:rPr>
          <w:rFonts w:cstheme="minorHAnsi"/>
          <w:i/>
          <w:iCs/>
          <w:color w:val="000000" w:themeColor="text1"/>
          <w:lang w:val="en-GB"/>
        </w:rPr>
        <w:t>Risks to participants</w:t>
      </w:r>
    </w:p>
    <w:p w14:paraId="3F096D9F" w14:textId="5FA4255D" w:rsidR="006C5199" w:rsidRPr="00B026A2" w:rsidRDefault="0018201A" w:rsidP="006C5199">
      <w:pPr>
        <w:rPr>
          <w:lang w:val="en-GB"/>
        </w:rPr>
      </w:pPr>
      <w:r w:rsidRPr="00B026A2">
        <w:rPr>
          <w:rFonts w:cstheme="minorHAnsi"/>
          <w:color w:val="000000" w:themeColor="text1"/>
          <w:lang w:val="en-GB"/>
        </w:rPr>
        <w:t xml:space="preserve">Using the </w:t>
      </w:r>
      <w:r w:rsidR="00DF48CB" w:rsidRPr="00B026A2">
        <w:rPr>
          <w:rFonts w:cstheme="minorHAnsi"/>
          <w:color w:val="000000" w:themeColor="text1"/>
          <w:lang w:val="en-GB"/>
        </w:rPr>
        <w:t xml:space="preserve">referral </w:t>
      </w:r>
      <w:r w:rsidRPr="00B026A2">
        <w:rPr>
          <w:rFonts w:cstheme="minorHAnsi"/>
          <w:color w:val="000000" w:themeColor="text1"/>
          <w:lang w:val="en-GB"/>
        </w:rPr>
        <w:t>pathways</w:t>
      </w:r>
      <w:r w:rsidR="003A0421" w:rsidRPr="00B026A2">
        <w:rPr>
          <w:rFonts w:cstheme="minorHAnsi"/>
          <w:color w:val="000000" w:themeColor="text1"/>
          <w:lang w:val="en-GB"/>
        </w:rPr>
        <w:t xml:space="preserve"> </w:t>
      </w:r>
      <w:proofErr w:type="gramStart"/>
      <w:r w:rsidR="003A0421" w:rsidRPr="00B026A2">
        <w:rPr>
          <w:rFonts w:cstheme="minorHAnsi"/>
          <w:color w:val="000000" w:themeColor="text1"/>
          <w:lang w:val="en-GB"/>
        </w:rPr>
        <w:t>i.e.</w:t>
      </w:r>
      <w:proofErr w:type="gramEnd"/>
      <w:r w:rsidR="003A0421" w:rsidRPr="00B026A2">
        <w:rPr>
          <w:rFonts w:cstheme="minorHAnsi"/>
          <w:color w:val="000000" w:themeColor="text1"/>
          <w:lang w:val="en-GB"/>
        </w:rPr>
        <w:t xml:space="preserve"> via GPs, the </w:t>
      </w:r>
      <w:r w:rsidR="00DF48CB" w:rsidRPr="00B026A2">
        <w:rPr>
          <w:rFonts w:cstheme="minorHAnsi"/>
          <w:color w:val="000000" w:themeColor="text1"/>
          <w:lang w:val="en-GB"/>
        </w:rPr>
        <w:t>NZVA</w:t>
      </w:r>
      <w:r w:rsidR="003A0421" w:rsidRPr="00B026A2">
        <w:rPr>
          <w:rFonts w:cstheme="minorHAnsi"/>
          <w:color w:val="000000" w:themeColor="text1"/>
          <w:lang w:val="en-GB"/>
        </w:rPr>
        <w:t xml:space="preserve"> and RSA, </w:t>
      </w:r>
      <w:r w:rsidRPr="00B026A2">
        <w:rPr>
          <w:rFonts w:cstheme="minorHAnsi"/>
          <w:color w:val="000000" w:themeColor="text1"/>
          <w:lang w:val="en-GB"/>
        </w:rPr>
        <w:t xml:space="preserve">means that most Veterans will have been </w:t>
      </w:r>
      <w:r w:rsidR="00A8012A" w:rsidRPr="00B026A2">
        <w:rPr>
          <w:rFonts w:cstheme="minorHAnsi"/>
          <w:color w:val="000000" w:themeColor="text1"/>
          <w:lang w:val="en-GB"/>
        </w:rPr>
        <w:t xml:space="preserve">clinically </w:t>
      </w:r>
      <w:r w:rsidRPr="00B026A2">
        <w:rPr>
          <w:rFonts w:cstheme="minorHAnsi"/>
          <w:color w:val="000000" w:themeColor="text1"/>
          <w:lang w:val="en-GB"/>
        </w:rPr>
        <w:t xml:space="preserve">assessed prior to recruitment. </w:t>
      </w:r>
      <w:r w:rsidR="006C5199" w:rsidRPr="00B026A2">
        <w:rPr>
          <w:lang w:val="en-GB"/>
        </w:rPr>
        <w:t xml:space="preserve">At entry, potential participants will be screened by completing the GHQ-12, and if exceeding the cut-off score, will be screened using the Mini International Neuropsychiatric Interview (MINI) administered by the PI, and referred to a mental health professional if indicated. </w:t>
      </w:r>
    </w:p>
    <w:p w14:paraId="569B308D" w14:textId="4280F9F2" w:rsidR="0004140B" w:rsidRDefault="00821E87" w:rsidP="00A66894">
      <w:pPr>
        <w:rPr>
          <w:lang w:val="en-GB"/>
        </w:rPr>
      </w:pPr>
      <w:r w:rsidRPr="00B026A2">
        <w:rPr>
          <w:lang w:val="en-GB"/>
        </w:rPr>
        <w:t xml:space="preserve">There is a small chance that treatment, either physical or the ACT intervention, may elicit unwelcome memories. </w:t>
      </w:r>
      <w:r w:rsidR="006C5199" w:rsidRPr="00B026A2">
        <w:rPr>
          <w:lang w:val="en-GB"/>
        </w:rPr>
        <w:t>The</w:t>
      </w:r>
      <w:r w:rsidRPr="00B026A2">
        <w:rPr>
          <w:lang w:val="en-GB"/>
        </w:rPr>
        <w:t xml:space="preserve"> </w:t>
      </w:r>
      <w:r w:rsidR="00A8012A" w:rsidRPr="00B026A2">
        <w:rPr>
          <w:lang w:val="en-GB"/>
        </w:rPr>
        <w:t>participant information sheet (P</w:t>
      </w:r>
      <w:r w:rsidR="006C5199" w:rsidRPr="00B026A2">
        <w:rPr>
          <w:lang w:val="en-GB"/>
        </w:rPr>
        <w:t>IS</w:t>
      </w:r>
      <w:r w:rsidR="00A8012A" w:rsidRPr="00B026A2">
        <w:rPr>
          <w:lang w:val="en-GB"/>
        </w:rPr>
        <w:t>)</w:t>
      </w:r>
      <w:r w:rsidR="006C5199" w:rsidRPr="00B026A2">
        <w:rPr>
          <w:lang w:val="en-GB"/>
        </w:rPr>
        <w:t xml:space="preserve"> will list the contact details, including </w:t>
      </w:r>
      <w:r w:rsidR="00A8012A" w:rsidRPr="00B026A2">
        <w:rPr>
          <w:lang w:val="en-GB"/>
        </w:rPr>
        <w:t xml:space="preserve">the </w:t>
      </w:r>
      <w:r w:rsidR="006C5199" w:rsidRPr="00B026A2">
        <w:rPr>
          <w:lang w:val="en-GB"/>
        </w:rPr>
        <w:t xml:space="preserve">mobile number, of the PI, along with details of the New Zealand Defence Force </w:t>
      </w:r>
      <w:r w:rsidR="0004140B" w:rsidRPr="00B026A2">
        <w:rPr>
          <w:lang w:val="en-GB"/>
        </w:rPr>
        <w:t xml:space="preserve">24/7 </w:t>
      </w:r>
      <w:r w:rsidR="006C5199" w:rsidRPr="00B026A2">
        <w:rPr>
          <w:lang w:val="en-GB"/>
        </w:rPr>
        <w:t>helpline,</w:t>
      </w:r>
      <w:r w:rsidR="0004140B" w:rsidRPr="00B026A2">
        <w:rPr>
          <w:lang w:val="en-GB"/>
        </w:rPr>
        <w:t xml:space="preserve"> NZVA, a link to the RSA District Support Advisors page and the contact </w:t>
      </w:r>
      <w:proofErr w:type="gramStart"/>
      <w:r w:rsidR="0004140B" w:rsidRPr="00B026A2">
        <w:rPr>
          <w:lang w:val="en-GB"/>
        </w:rPr>
        <w:t xml:space="preserve">details </w:t>
      </w:r>
      <w:r w:rsidR="006C5199" w:rsidRPr="00B026A2">
        <w:rPr>
          <w:lang w:val="en-GB"/>
        </w:rPr>
        <w:t xml:space="preserve"> </w:t>
      </w:r>
      <w:r w:rsidR="0004140B" w:rsidRPr="00B026A2">
        <w:rPr>
          <w:lang w:val="en-GB"/>
        </w:rPr>
        <w:t>for</w:t>
      </w:r>
      <w:proofErr w:type="gramEnd"/>
      <w:r w:rsidR="0004140B" w:rsidRPr="00B026A2">
        <w:rPr>
          <w:lang w:val="en-GB"/>
        </w:rPr>
        <w:t xml:space="preserve"> N</w:t>
      </w:r>
      <w:r w:rsidR="00CA5602">
        <w:rPr>
          <w:lang w:val="en-GB"/>
        </w:rPr>
        <w:t xml:space="preserve">o </w:t>
      </w:r>
      <w:r w:rsidR="0004140B" w:rsidRPr="00B026A2">
        <w:rPr>
          <w:lang w:val="en-GB"/>
        </w:rPr>
        <w:t>D</w:t>
      </w:r>
      <w:r w:rsidR="00CA5602">
        <w:rPr>
          <w:lang w:val="en-GB"/>
        </w:rPr>
        <w:t>uff</w:t>
      </w:r>
      <w:r w:rsidR="0004140B" w:rsidRPr="00B026A2">
        <w:rPr>
          <w:lang w:val="en-GB"/>
        </w:rPr>
        <w:t>, an extensive network of volunteers across NZ, the majority of whom are operationally experienced, serving and former members of the NZDF</w:t>
      </w:r>
      <w:r w:rsidR="00FE47FD" w:rsidRPr="00B026A2">
        <w:rPr>
          <w:lang w:val="en-GB"/>
        </w:rPr>
        <w:t>. They</w:t>
      </w:r>
      <w:r w:rsidR="00A66894" w:rsidRPr="00B026A2">
        <w:rPr>
          <w:lang w:val="en-GB"/>
        </w:rPr>
        <w:t xml:space="preserve"> </w:t>
      </w:r>
      <w:r w:rsidR="0004140B" w:rsidRPr="00B026A2">
        <w:rPr>
          <w:lang w:val="en-GB"/>
        </w:rPr>
        <w:t>are skilled at crisis management.</w:t>
      </w:r>
    </w:p>
    <w:p w14:paraId="1AE6B38D" w14:textId="7BA45093" w:rsidR="0066702A" w:rsidRDefault="0066702A" w:rsidP="00A66894">
      <w:r>
        <w:rPr>
          <w:lang w:val="en-GB"/>
        </w:rPr>
        <w:t xml:space="preserve">Adverse effects of acupuncture have been reported to include haematoma, bleeding and skin </w:t>
      </w:r>
      <w:proofErr w:type="gramStart"/>
      <w:r>
        <w:rPr>
          <w:lang w:val="en-GB"/>
        </w:rPr>
        <w:t>bru</w:t>
      </w:r>
      <w:r w:rsidR="00CA5602">
        <w:rPr>
          <w:lang w:val="en-GB"/>
        </w:rPr>
        <w:t>i</w:t>
      </w:r>
      <w:r>
        <w:rPr>
          <w:lang w:val="en-GB"/>
        </w:rPr>
        <w:t>sing,</w:t>
      </w:r>
      <w:proofErr w:type="gramEnd"/>
      <w:r>
        <w:rPr>
          <w:lang w:val="en-GB"/>
        </w:rPr>
        <w:t xml:space="preserve"> however Battlefield Acupuncture is less invasive. In a study of 11,046 Veterans, common reasons for stopping were recorded as “</w:t>
      </w:r>
      <w:r w:rsidRPr="0066702A">
        <w:t>the patient asked you to stop, the patient felt dizzy/lightheaded, or the patient fainted.</w:t>
      </w:r>
      <w:r>
        <w:t>” Of one clinic systematically recording information in this trial, of 1946 patients, 12 (0.6%) were noted as having a complication from the procedure, primarily being asked to stop for reasons of dizziness or discomfort.[21]</w:t>
      </w:r>
      <w:r w:rsidR="004E4D34">
        <w:t xml:space="preserve"> </w:t>
      </w:r>
    </w:p>
    <w:p w14:paraId="5E77C5FE" w14:textId="328B14BB" w:rsidR="004E4D34" w:rsidRPr="004E4D34" w:rsidRDefault="004E4D34" w:rsidP="00A66894">
      <w:r>
        <w:lastRenderedPageBreak/>
        <w:t xml:space="preserve">Clinicians will be asked to report adverse events to the PI, and follow up questionnaires will have a free text field for </w:t>
      </w:r>
      <w:proofErr w:type="spellStart"/>
      <w:r>
        <w:t>partcipants</w:t>
      </w:r>
      <w:proofErr w:type="spellEnd"/>
      <w:r>
        <w:t xml:space="preserve"> to record such events. These will be reviewed by an internal safety committee</w:t>
      </w:r>
    </w:p>
    <w:p w14:paraId="24CAB303" w14:textId="23988CF5" w:rsidR="00DF48CB" w:rsidRPr="00B026A2" w:rsidRDefault="00DF48CB" w:rsidP="0004140B">
      <w:pPr>
        <w:rPr>
          <w:i/>
          <w:iCs/>
          <w:lang w:val="en-GB"/>
        </w:rPr>
      </w:pPr>
      <w:r w:rsidRPr="00B026A2">
        <w:rPr>
          <w:i/>
          <w:iCs/>
          <w:lang w:val="en-GB"/>
        </w:rPr>
        <w:t>Data security</w:t>
      </w:r>
    </w:p>
    <w:p w14:paraId="0C2FB479" w14:textId="0B6CA701" w:rsidR="00A8012A" w:rsidRPr="0066702A" w:rsidRDefault="0004140B" w:rsidP="0004140B">
      <w:pPr>
        <w:rPr>
          <w:lang w:val="en-GB"/>
        </w:rPr>
      </w:pPr>
      <w:r w:rsidRPr="00B026A2">
        <w:rPr>
          <w:lang w:val="en-GB"/>
        </w:rPr>
        <w:t>Clinical information will be held by practitioners in accordance with the Health Information Privacy Code</w:t>
      </w:r>
      <w:r w:rsidR="00CA5602">
        <w:rPr>
          <w:lang w:val="en-GB"/>
        </w:rPr>
        <w:t xml:space="preserve"> and the s</w:t>
      </w:r>
      <w:r w:rsidR="00217F76">
        <w:rPr>
          <w:lang w:val="en-GB"/>
        </w:rPr>
        <w:t>t</w:t>
      </w:r>
      <w:r w:rsidR="00CA5602">
        <w:rPr>
          <w:lang w:val="en-GB"/>
        </w:rPr>
        <w:t>udy data management plan</w:t>
      </w:r>
      <w:r w:rsidRPr="00B026A2">
        <w:rPr>
          <w:lang w:val="en-GB"/>
        </w:rPr>
        <w:t xml:space="preserve">. </w:t>
      </w:r>
      <w:r w:rsidR="00DF48CB" w:rsidRPr="00B026A2">
        <w:rPr>
          <w:lang w:val="en-GB"/>
        </w:rPr>
        <w:t xml:space="preserve">The questionnaire data will be held securely on the </w:t>
      </w:r>
      <w:proofErr w:type="spellStart"/>
      <w:r w:rsidR="00DF48CB" w:rsidRPr="00B026A2">
        <w:rPr>
          <w:lang w:val="en-GB"/>
        </w:rPr>
        <w:t>RedCap</w:t>
      </w:r>
      <w:proofErr w:type="spellEnd"/>
      <w:r w:rsidR="00DF48CB" w:rsidRPr="00B026A2">
        <w:rPr>
          <w:lang w:val="en-GB"/>
        </w:rPr>
        <w:t xml:space="preserve"> system, and participants will identifiable during the data collection phase</w:t>
      </w:r>
      <w:r w:rsidR="00CA5602">
        <w:rPr>
          <w:lang w:val="en-GB"/>
        </w:rPr>
        <w:t xml:space="preserve"> at which time o</w:t>
      </w:r>
      <w:r w:rsidR="00DF48CB" w:rsidRPr="00B026A2">
        <w:rPr>
          <w:lang w:val="en-GB"/>
        </w:rPr>
        <w:t xml:space="preserve">nly the PI and the data manager will have access. </w:t>
      </w:r>
      <w:r w:rsidR="00FE47FD" w:rsidRPr="00B026A2">
        <w:rPr>
          <w:lang w:val="en-GB"/>
        </w:rPr>
        <w:t>Th</w:t>
      </w:r>
      <w:r w:rsidR="00DF48CB" w:rsidRPr="00B026A2">
        <w:rPr>
          <w:lang w:val="en-GB"/>
        </w:rPr>
        <w:t>e data will then be de-identified, but the contact details will be retained on a separate file</w:t>
      </w:r>
      <w:r w:rsidR="00A8012A" w:rsidRPr="00B026A2">
        <w:rPr>
          <w:lang w:val="en-GB"/>
        </w:rPr>
        <w:t xml:space="preserve">, with access restricted to the PI and data manager. </w:t>
      </w:r>
      <w:r w:rsidR="003A0421" w:rsidRPr="00B026A2">
        <w:rPr>
          <w:lang w:val="en-GB"/>
        </w:rPr>
        <w:t>The data will then be retained on the secure University system for at least five years.</w:t>
      </w:r>
    </w:p>
    <w:p w14:paraId="40AFEF96" w14:textId="09228407" w:rsidR="00DF48CB" w:rsidRPr="00B026A2" w:rsidRDefault="00DF48CB" w:rsidP="0004140B">
      <w:pPr>
        <w:rPr>
          <w:i/>
          <w:iCs/>
          <w:lang w:val="en-GB"/>
        </w:rPr>
      </w:pPr>
      <w:r w:rsidRPr="00B026A2">
        <w:rPr>
          <w:i/>
          <w:iCs/>
          <w:lang w:val="en-GB"/>
        </w:rPr>
        <w:t>Withdrawal from the study</w:t>
      </w:r>
    </w:p>
    <w:p w14:paraId="1EC11DCB" w14:textId="005EBAE2" w:rsidR="006F6777" w:rsidRPr="00B026A2" w:rsidRDefault="00DF48CB" w:rsidP="00DD1081">
      <w:pPr>
        <w:rPr>
          <w:lang w:val="en-GB"/>
        </w:rPr>
      </w:pPr>
      <w:r w:rsidRPr="00B026A2">
        <w:rPr>
          <w:lang w:val="en-GB"/>
        </w:rPr>
        <w:t>Participants are informed that they are free to withdraw from the study at any time</w:t>
      </w:r>
      <w:r w:rsidR="00457A6E" w:rsidRPr="00B026A2">
        <w:rPr>
          <w:lang w:val="en-GB"/>
        </w:rPr>
        <w:t xml:space="preserve"> without </w:t>
      </w:r>
      <w:proofErr w:type="spellStart"/>
      <w:r w:rsidR="00CA5602">
        <w:rPr>
          <w:lang w:val="en-GB"/>
        </w:rPr>
        <w:t>without</w:t>
      </w:r>
      <w:proofErr w:type="spellEnd"/>
      <w:r w:rsidR="00CA5602">
        <w:rPr>
          <w:lang w:val="en-GB"/>
        </w:rPr>
        <w:t xml:space="preserve"> giving a reason and without </w:t>
      </w:r>
      <w:r w:rsidR="00457A6E" w:rsidRPr="00B026A2">
        <w:rPr>
          <w:lang w:val="en-GB"/>
        </w:rPr>
        <w:t>detriment to themselves</w:t>
      </w:r>
      <w:r w:rsidR="00CA5602">
        <w:rPr>
          <w:lang w:val="en-GB"/>
        </w:rPr>
        <w:t>.</w:t>
      </w:r>
      <w:r w:rsidRPr="00B026A2">
        <w:rPr>
          <w:lang w:val="en-GB"/>
        </w:rPr>
        <w:t xml:space="preserve"> </w:t>
      </w:r>
      <w:r w:rsidR="00CA5602">
        <w:rPr>
          <w:lang w:val="en-GB"/>
        </w:rPr>
        <w:t>T</w:t>
      </w:r>
      <w:r w:rsidR="00457A6E" w:rsidRPr="00B026A2">
        <w:rPr>
          <w:lang w:val="en-GB"/>
        </w:rPr>
        <w:t xml:space="preserve">his may include </w:t>
      </w:r>
      <w:r w:rsidR="00CA5602">
        <w:rPr>
          <w:lang w:val="en-GB"/>
        </w:rPr>
        <w:t xml:space="preserve">either </w:t>
      </w:r>
      <w:r w:rsidR="00457A6E" w:rsidRPr="00B026A2">
        <w:rPr>
          <w:lang w:val="en-GB"/>
        </w:rPr>
        <w:t>withdrawal from treatment only</w:t>
      </w:r>
      <w:r w:rsidR="00CA5602">
        <w:rPr>
          <w:lang w:val="en-GB"/>
        </w:rPr>
        <w:t>,</w:t>
      </w:r>
      <w:r w:rsidR="00457A6E" w:rsidRPr="00B026A2">
        <w:rPr>
          <w:lang w:val="en-GB"/>
        </w:rPr>
        <w:t xml:space="preserve"> or </w:t>
      </w:r>
      <w:r w:rsidR="00CA5602">
        <w:rPr>
          <w:lang w:val="en-GB"/>
        </w:rPr>
        <w:t>withdrawal from data collection alone, however</w:t>
      </w:r>
      <w:r w:rsidRPr="00B026A2">
        <w:rPr>
          <w:lang w:val="en-GB"/>
        </w:rPr>
        <w:t xml:space="preserve"> we would prefer to process the data up to the time of withdrawal.  </w:t>
      </w:r>
    </w:p>
    <w:p w14:paraId="61856080" w14:textId="4873CA68" w:rsidR="00FD13F7" w:rsidRPr="00B026A2" w:rsidRDefault="00FD13F7" w:rsidP="00402585">
      <w:pPr>
        <w:spacing w:before="60"/>
        <w:rPr>
          <w:rFonts w:cstheme="minorHAnsi"/>
          <w:b/>
          <w:bCs/>
          <w:color w:val="000000" w:themeColor="text1"/>
          <w:lang w:val="en-GB"/>
        </w:rPr>
      </w:pPr>
      <w:r w:rsidRPr="00B026A2">
        <w:rPr>
          <w:rFonts w:cstheme="minorHAnsi"/>
          <w:b/>
          <w:bCs/>
          <w:color w:val="000000" w:themeColor="text1"/>
          <w:lang w:val="en-GB"/>
        </w:rPr>
        <w:t xml:space="preserve">Significance. </w:t>
      </w:r>
    </w:p>
    <w:p w14:paraId="7D2E4E13" w14:textId="56923E32" w:rsidR="00821E87" w:rsidRPr="00B026A2" w:rsidRDefault="005B2A11" w:rsidP="00402585">
      <w:pPr>
        <w:spacing w:before="60"/>
        <w:rPr>
          <w:lang w:val="en-GB"/>
        </w:rPr>
      </w:pPr>
      <w:r w:rsidRPr="00B026A2">
        <w:rPr>
          <w:i/>
          <w:iCs/>
          <w:lang w:val="en-GB"/>
        </w:rPr>
        <w:t xml:space="preserve">He Ara </w:t>
      </w:r>
      <w:proofErr w:type="spellStart"/>
      <w:r w:rsidRPr="00B026A2">
        <w:rPr>
          <w:i/>
          <w:iCs/>
          <w:lang w:val="en-GB"/>
        </w:rPr>
        <w:t>Oranga</w:t>
      </w:r>
      <w:proofErr w:type="spellEnd"/>
      <w:r w:rsidRPr="00B026A2">
        <w:rPr>
          <w:lang w:val="en-GB"/>
        </w:rPr>
        <w:t xml:space="preserve">, the Report of the Government Inquiry into Mental Health and Addiction, highlighted the </w:t>
      </w:r>
      <w:r w:rsidR="00E10985" w:rsidRPr="00B026A2">
        <w:rPr>
          <w:lang w:val="en-GB"/>
        </w:rPr>
        <w:t>increasing demand</w:t>
      </w:r>
      <w:r w:rsidRPr="00B026A2">
        <w:rPr>
          <w:lang w:val="en-GB"/>
        </w:rPr>
        <w:t xml:space="preserve"> for mental health services, the </w:t>
      </w:r>
      <w:r w:rsidR="00E10985" w:rsidRPr="00B026A2">
        <w:rPr>
          <w:lang w:val="en-GB"/>
        </w:rPr>
        <w:t>rising</w:t>
      </w:r>
      <w:r w:rsidRPr="00B026A2">
        <w:rPr>
          <w:lang w:val="en-GB"/>
        </w:rPr>
        <w:t xml:space="preserve"> use of pharmacological treatment, and inequities in access to psychological services. Using ‘talking therapies’ is seen as a viable way forward, but faces the barrier of the limited number of psychologists available to treat the more seriously affected patients.</w:t>
      </w:r>
      <w:r w:rsidR="00E10985" w:rsidRPr="00B026A2">
        <w:rPr>
          <w:lang w:val="en-GB"/>
        </w:rPr>
        <w:t>[</w:t>
      </w:r>
      <w:r w:rsidR="003E1FF9" w:rsidRPr="00B026A2">
        <w:rPr>
          <w:lang w:val="en-GB"/>
        </w:rPr>
        <w:t>2</w:t>
      </w:r>
      <w:r w:rsidR="00457A6E" w:rsidRPr="00B026A2">
        <w:rPr>
          <w:lang w:val="en-GB"/>
        </w:rPr>
        <w:t>2</w:t>
      </w:r>
      <w:r w:rsidR="00E10985" w:rsidRPr="00B026A2">
        <w:rPr>
          <w:lang w:val="en-GB"/>
        </w:rPr>
        <w:t>]</w:t>
      </w:r>
      <w:r w:rsidRPr="00B026A2">
        <w:rPr>
          <w:lang w:val="en-GB"/>
        </w:rPr>
        <w:t xml:space="preserve"> The alternative suggestion was to involve counsellors and social workers in treatment at ‘the milder end of the spectrum.’[</w:t>
      </w:r>
      <w:r w:rsidR="00E10985" w:rsidRPr="00B026A2">
        <w:rPr>
          <w:lang w:val="en-GB"/>
        </w:rPr>
        <w:t>2</w:t>
      </w:r>
      <w:r w:rsidR="00457A6E" w:rsidRPr="00B026A2">
        <w:rPr>
          <w:lang w:val="en-GB"/>
        </w:rPr>
        <w:t>3</w:t>
      </w:r>
      <w:r w:rsidR="006120A8" w:rsidRPr="00B026A2">
        <w:rPr>
          <w:lang w:val="en-GB"/>
        </w:rPr>
        <w:t>]</w:t>
      </w:r>
      <w:r w:rsidRPr="00B026A2">
        <w:rPr>
          <w:lang w:val="en-GB"/>
        </w:rPr>
        <w:t xml:space="preserve"> </w:t>
      </w:r>
      <w:r w:rsidR="00B31BEA" w:rsidRPr="00B026A2">
        <w:rPr>
          <w:lang w:val="en-GB"/>
        </w:rPr>
        <w:t>Acupuncturists and Rongoa Māori practi</w:t>
      </w:r>
      <w:r w:rsidR="00313AC7" w:rsidRPr="00B026A2">
        <w:rPr>
          <w:lang w:val="en-GB"/>
        </w:rPr>
        <w:t>ti</w:t>
      </w:r>
      <w:r w:rsidR="00B31BEA" w:rsidRPr="00B026A2">
        <w:rPr>
          <w:lang w:val="en-GB"/>
        </w:rPr>
        <w:t xml:space="preserve">oners are </w:t>
      </w:r>
      <w:r w:rsidR="00313AC7" w:rsidRPr="00B026A2">
        <w:rPr>
          <w:lang w:val="en-GB"/>
        </w:rPr>
        <w:t>skilled in ‘talking through’ problems, so t</w:t>
      </w:r>
      <w:r w:rsidRPr="00B026A2">
        <w:rPr>
          <w:lang w:val="en-GB"/>
        </w:rPr>
        <w:t>his proposal addresses a pathway to care</w:t>
      </w:r>
      <w:r w:rsidR="0025128E" w:rsidRPr="00B026A2">
        <w:rPr>
          <w:lang w:val="en-GB"/>
        </w:rPr>
        <w:t xml:space="preserve"> </w:t>
      </w:r>
      <w:r w:rsidRPr="00B026A2">
        <w:rPr>
          <w:lang w:val="en-GB"/>
        </w:rPr>
        <w:t>for Military Veterans with pain and distress,</w:t>
      </w:r>
      <w:r w:rsidR="006641A4" w:rsidRPr="00B026A2">
        <w:rPr>
          <w:lang w:val="en-GB"/>
        </w:rPr>
        <w:t xml:space="preserve"> </w:t>
      </w:r>
      <w:r w:rsidR="006E4BC8" w:rsidRPr="00B026A2">
        <w:rPr>
          <w:lang w:val="en-GB"/>
        </w:rPr>
        <w:t>integ</w:t>
      </w:r>
      <w:r w:rsidRPr="00B026A2">
        <w:rPr>
          <w:lang w:val="en-GB"/>
        </w:rPr>
        <w:t xml:space="preserve">rating a </w:t>
      </w:r>
      <w:r w:rsidR="006E4BC8" w:rsidRPr="00B026A2">
        <w:rPr>
          <w:lang w:val="en-GB"/>
        </w:rPr>
        <w:t xml:space="preserve">‘Veteran acceptable’ </w:t>
      </w:r>
      <w:r w:rsidRPr="00B026A2">
        <w:rPr>
          <w:lang w:val="en-GB"/>
        </w:rPr>
        <w:t>complementary and alternative medicine (CAM) approach to address their needs.</w:t>
      </w:r>
      <w:r w:rsidR="00313AC7" w:rsidRPr="00B026A2">
        <w:rPr>
          <w:lang w:val="en-GB"/>
        </w:rPr>
        <w:t xml:space="preserve"> There is no reason why the approach should not be successful </w:t>
      </w:r>
      <w:r w:rsidR="006641A4" w:rsidRPr="00B026A2">
        <w:rPr>
          <w:lang w:val="en-GB"/>
        </w:rPr>
        <w:t xml:space="preserve">in </w:t>
      </w:r>
      <w:r w:rsidR="00313AC7" w:rsidRPr="00B026A2">
        <w:rPr>
          <w:lang w:val="en-GB"/>
        </w:rPr>
        <w:t>similar groups</w:t>
      </w:r>
      <w:r w:rsidR="006641A4" w:rsidRPr="00B026A2">
        <w:rPr>
          <w:lang w:val="en-GB"/>
        </w:rPr>
        <w:t>:</w:t>
      </w:r>
      <w:r w:rsidR="00313AC7" w:rsidRPr="00B026A2">
        <w:rPr>
          <w:lang w:val="en-GB"/>
        </w:rPr>
        <w:t xml:space="preserve"> First Responders and Public Safety Personnel, or indeed the general public. </w:t>
      </w:r>
    </w:p>
    <w:p w14:paraId="1374465E" w14:textId="77777777" w:rsidR="001535F6" w:rsidRDefault="001535F6">
      <w:pPr>
        <w:spacing w:after="0"/>
        <w:jc w:val="left"/>
        <w:rPr>
          <w:rFonts w:cstheme="minorHAnsi"/>
          <w:b/>
          <w:lang w:val="en-GB"/>
        </w:rPr>
      </w:pPr>
      <w:r>
        <w:rPr>
          <w:rFonts w:cstheme="minorHAnsi"/>
          <w:b/>
          <w:lang w:val="en-GB"/>
        </w:rPr>
        <w:br w:type="page"/>
      </w:r>
    </w:p>
    <w:p w14:paraId="71DDB473" w14:textId="707A008E" w:rsidR="00821E87" w:rsidRPr="00B026A2" w:rsidRDefault="00821E87" w:rsidP="00821E87">
      <w:pPr>
        <w:rPr>
          <w:rFonts w:cstheme="minorHAnsi"/>
          <w:b/>
          <w:lang w:val="en-GB"/>
        </w:rPr>
      </w:pPr>
      <w:r w:rsidRPr="00B026A2">
        <w:rPr>
          <w:rFonts w:cstheme="minorHAnsi"/>
          <w:b/>
          <w:lang w:val="en-GB"/>
        </w:rPr>
        <w:lastRenderedPageBreak/>
        <w:t>Main Activities</w:t>
      </w:r>
    </w:p>
    <w:tbl>
      <w:tblPr>
        <w:tblStyle w:val="TableGrid"/>
        <w:tblW w:w="0" w:type="auto"/>
        <w:tblLook w:val="04A0" w:firstRow="1" w:lastRow="0" w:firstColumn="1" w:lastColumn="0" w:noHBand="0" w:noVBand="1"/>
      </w:tblPr>
      <w:tblGrid>
        <w:gridCol w:w="937"/>
        <w:gridCol w:w="5822"/>
        <w:gridCol w:w="2591"/>
      </w:tblGrid>
      <w:tr w:rsidR="00821E87" w:rsidRPr="00B026A2" w14:paraId="00E568C1" w14:textId="77777777" w:rsidTr="00E108FF">
        <w:tc>
          <w:tcPr>
            <w:tcW w:w="937" w:type="dxa"/>
          </w:tcPr>
          <w:p w14:paraId="6160A42D" w14:textId="77777777" w:rsidR="00821E87" w:rsidRPr="00B026A2" w:rsidRDefault="00821E87" w:rsidP="00E108FF">
            <w:pPr>
              <w:rPr>
                <w:rFonts w:cstheme="minorHAnsi"/>
                <w:lang w:val="en-GB"/>
              </w:rPr>
            </w:pPr>
          </w:p>
        </w:tc>
        <w:tc>
          <w:tcPr>
            <w:tcW w:w="5822" w:type="dxa"/>
          </w:tcPr>
          <w:p w14:paraId="53872AB0" w14:textId="77777777" w:rsidR="00821E87" w:rsidRPr="00B026A2" w:rsidRDefault="00821E87" w:rsidP="00E108FF">
            <w:pPr>
              <w:rPr>
                <w:rFonts w:cstheme="minorHAnsi"/>
                <w:b/>
                <w:lang w:val="en-GB"/>
              </w:rPr>
            </w:pPr>
            <w:r w:rsidRPr="00B026A2">
              <w:rPr>
                <w:rFonts w:cstheme="minorHAnsi"/>
                <w:b/>
                <w:lang w:val="en-GB"/>
              </w:rPr>
              <w:t>Activity - Description</w:t>
            </w:r>
          </w:p>
        </w:tc>
        <w:tc>
          <w:tcPr>
            <w:tcW w:w="2591" w:type="dxa"/>
          </w:tcPr>
          <w:p w14:paraId="037D81B3" w14:textId="77777777" w:rsidR="00821E87" w:rsidRPr="00B026A2" w:rsidRDefault="00821E87" w:rsidP="00E108FF">
            <w:pPr>
              <w:rPr>
                <w:rFonts w:cstheme="minorHAnsi"/>
                <w:b/>
                <w:lang w:val="en-GB"/>
              </w:rPr>
            </w:pPr>
            <w:r w:rsidRPr="00B026A2">
              <w:rPr>
                <w:rFonts w:cstheme="minorHAnsi"/>
                <w:b/>
                <w:lang w:val="en-GB"/>
              </w:rPr>
              <w:t>Who is responsible for activity?</w:t>
            </w:r>
          </w:p>
        </w:tc>
      </w:tr>
      <w:tr w:rsidR="00821E87" w:rsidRPr="00B026A2" w14:paraId="40FBE1CC" w14:textId="77777777" w:rsidTr="00E108FF">
        <w:tc>
          <w:tcPr>
            <w:tcW w:w="937" w:type="dxa"/>
          </w:tcPr>
          <w:p w14:paraId="7BF0547B" w14:textId="77777777" w:rsidR="00821E87" w:rsidRPr="00B026A2" w:rsidRDefault="00821E87" w:rsidP="00E108FF">
            <w:pPr>
              <w:rPr>
                <w:rFonts w:cstheme="minorHAnsi"/>
                <w:b/>
                <w:lang w:val="en-GB"/>
              </w:rPr>
            </w:pPr>
            <w:r w:rsidRPr="00B026A2">
              <w:rPr>
                <w:rFonts w:cstheme="minorHAnsi"/>
                <w:b/>
                <w:lang w:val="en-GB"/>
              </w:rPr>
              <w:t>1</w:t>
            </w:r>
          </w:p>
        </w:tc>
        <w:tc>
          <w:tcPr>
            <w:tcW w:w="5822" w:type="dxa"/>
          </w:tcPr>
          <w:p w14:paraId="4DE5DE82" w14:textId="77777777" w:rsidR="00821E87" w:rsidRPr="00B026A2" w:rsidRDefault="00821E87" w:rsidP="00E108FF">
            <w:pPr>
              <w:rPr>
                <w:rFonts w:cstheme="minorHAnsi"/>
                <w:lang w:val="en-GB"/>
              </w:rPr>
            </w:pPr>
            <w:r w:rsidRPr="00B026A2">
              <w:rPr>
                <w:rFonts w:cstheme="minorHAnsi"/>
                <w:lang w:val="en-GB"/>
              </w:rPr>
              <w:t>Writing and disseminating survey information</w:t>
            </w:r>
          </w:p>
        </w:tc>
        <w:tc>
          <w:tcPr>
            <w:tcW w:w="2591" w:type="dxa"/>
          </w:tcPr>
          <w:p w14:paraId="0695EEEE" w14:textId="77777777" w:rsidR="00821E87" w:rsidRPr="00B026A2" w:rsidRDefault="00821E87" w:rsidP="00E108FF">
            <w:pPr>
              <w:rPr>
                <w:rFonts w:cstheme="minorHAnsi"/>
                <w:lang w:val="en-GB"/>
              </w:rPr>
            </w:pPr>
            <w:r w:rsidRPr="00B026A2">
              <w:rPr>
                <w:rFonts w:cstheme="minorHAnsi"/>
                <w:lang w:val="en-GB"/>
              </w:rPr>
              <w:t>DMcB, DB, YB</w:t>
            </w:r>
          </w:p>
        </w:tc>
      </w:tr>
      <w:tr w:rsidR="00821E87" w:rsidRPr="00B026A2" w14:paraId="406D88E6" w14:textId="77777777" w:rsidTr="00E108FF">
        <w:tc>
          <w:tcPr>
            <w:tcW w:w="937" w:type="dxa"/>
          </w:tcPr>
          <w:p w14:paraId="1A1237F0" w14:textId="77777777" w:rsidR="00821E87" w:rsidRPr="00B026A2" w:rsidRDefault="00821E87" w:rsidP="00E108FF">
            <w:pPr>
              <w:rPr>
                <w:rFonts w:cstheme="minorHAnsi"/>
                <w:b/>
                <w:lang w:val="en-GB"/>
              </w:rPr>
            </w:pPr>
            <w:r w:rsidRPr="00B026A2">
              <w:rPr>
                <w:rFonts w:cstheme="minorHAnsi"/>
                <w:b/>
                <w:lang w:val="en-GB"/>
              </w:rPr>
              <w:t>2</w:t>
            </w:r>
          </w:p>
        </w:tc>
        <w:tc>
          <w:tcPr>
            <w:tcW w:w="5822" w:type="dxa"/>
          </w:tcPr>
          <w:p w14:paraId="47F8AA15" w14:textId="77777777" w:rsidR="00821E87" w:rsidRPr="00B026A2" w:rsidRDefault="00821E87" w:rsidP="00E108FF">
            <w:pPr>
              <w:rPr>
                <w:rFonts w:cstheme="minorHAnsi"/>
                <w:lang w:val="en-GB"/>
              </w:rPr>
            </w:pPr>
            <w:r w:rsidRPr="00B026A2">
              <w:rPr>
                <w:rFonts w:cstheme="minorHAnsi"/>
                <w:lang w:val="en-GB"/>
              </w:rPr>
              <w:t xml:space="preserve">Initialising the </w:t>
            </w:r>
            <w:proofErr w:type="spellStart"/>
            <w:r w:rsidRPr="00B026A2">
              <w:rPr>
                <w:rFonts w:cstheme="minorHAnsi"/>
                <w:lang w:val="en-GB"/>
              </w:rPr>
              <w:t>REDCap</w:t>
            </w:r>
            <w:proofErr w:type="spellEnd"/>
            <w:r w:rsidRPr="00B026A2">
              <w:rPr>
                <w:rFonts w:cstheme="minorHAnsi"/>
                <w:lang w:val="en-GB"/>
              </w:rPr>
              <w:t xml:space="preserve"> survey database, timelines, reminders and data extraction</w:t>
            </w:r>
          </w:p>
        </w:tc>
        <w:tc>
          <w:tcPr>
            <w:tcW w:w="2591" w:type="dxa"/>
          </w:tcPr>
          <w:p w14:paraId="29A1D4CD" w14:textId="77777777" w:rsidR="00821E87" w:rsidRPr="00B026A2" w:rsidRDefault="00821E87" w:rsidP="00E108FF">
            <w:pPr>
              <w:rPr>
                <w:rFonts w:cstheme="minorHAnsi"/>
                <w:lang w:val="en-GB"/>
              </w:rPr>
            </w:pPr>
            <w:proofErr w:type="spellStart"/>
            <w:r w:rsidRPr="00B026A2">
              <w:rPr>
                <w:rFonts w:cstheme="minorHAnsi"/>
                <w:lang w:val="en-GB"/>
              </w:rPr>
              <w:t>BDeG</w:t>
            </w:r>
            <w:proofErr w:type="spellEnd"/>
            <w:r w:rsidRPr="00B026A2">
              <w:rPr>
                <w:rFonts w:cstheme="minorHAnsi"/>
                <w:lang w:val="en-GB"/>
              </w:rPr>
              <w:t xml:space="preserve"> </w:t>
            </w:r>
          </w:p>
        </w:tc>
      </w:tr>
      <w:tr w:rsidR="00821E87" w:rsidRPr="00B026A2" w14:paraId="20CF9F0A" w14:textId="77777777" w:rsidTr="00E108FF">
        <w:tc>
          <w:tcPr>
            <w:tcW w:w="937" w:type="dxa"/>
          </w:tcPr>
          <w:p w14:paraId="4529C3E2" w14:textId="77777777" w:rsidR="00821E87" w:rsidRPr="00B026A2" w:rsidRDefault="00821E87" w:rsidP="00E108FF">
            <w:pPr>
              <w:rPr>
                <w:rFonts w:cstheme="minorHAnsi"/>
                <w:b/>
                <w:lang w:val="en-GB"/>
              </w:rPr>
            </w:pPr>
            <w:r w:rsidRPr="00B026A2">
              <w:rPr>
                <w:rFonts w:cstheme="minorHAnsi"/>
                <w:b/>
                <w:lang w:val="en-GB"/>
              </w:rPr>
              <w:t>3</w:t>
            </w:r>
          </w:p>
        </w:tc>
        <w:tc>
          <w:tcPr>
            <w:tcW w:w="5822" w:type="dxa"/>
          </w:tcPr>
          <w:p w14:paraId="6E4C9741" w14:textId="77777777" w:rsidR="00821E87" w:rsidRPr="00B026A2" w:rsidRDefault="00821E87" w:rsidP="00E108FF">
            <w:pPr>
              <w:rPr>
                <w:rFonts w:cstheme="minorHAnsi"/>
                <w:lang w:val="en-GB"/>
              </w:rPr>
            </w:pPr>
            <w:r w:rsidRPr="00B026A2">
              <w:rPr>
                <w:rFonts w:cstheme="minorHAnsi"/>
                <w:lang w:val="en-GB"/>
              </w:rPr>
              <w:t xml:space="preserve">Descriptive analysis at baseline, and analysis at 12 weeks. Follow up at 12, 24 and 36 weeks. </w:t>
            </w:r>
          </w:p>
        </w:tc>
        <w:tc>
          <w:tcPr>
            <w:tcW w:w="2591" w:type="dxa"/>
          </w:tcPr>
          <w:p w14:paraId="0B5396DF" w14:textId="77777777" w:rsidR="00821E87" w:rsidRPr="00B026A2" w:rsidRDefault="00821E87" w:rsidP="00E108FF">
            <w:pPr>
              <w:rPr>
                <w:rFonts w:cstheme="minorHAnsi"/>
                <w:lang w:val="en-GB"/>
              </w:rPr>
            </w:pPr>
            <w:r w:rsidRPr="00B026A2">
              <w:rPr>
                <w:rFonts w:cstheme="minorHAnsi"/>
                <w:lang w:val="en-GB"/>
              </w:rPr>
              <w:t>RT</w:t>
            </w:r>
          </w:p>
        </w:tc>
      </w:tr>
      <w:tr w:rsidR="00821E87" w:rsidRPr="00B026A2" w14:paraId="5945F64B" w14:textId="77777777" w:rsidTr="00E108FF">
        <w:tc>
          <w:tcPr>
            <w:tcW w:w="937" w:type="dxa"/>
          </w:tcPr>
          <w:p w14:paraId="5814F4AF" w14:textId="77777777" w:rsidR="00821E87" w:rsidRPr="00B026A2" w:rsidRDefault="00821E87" w:rsidP="00E108FF">
            <w:pPr>
              <w:rPr>
                <w:rFonts w:cstheme="minorHAnsi"/>
                <w:b/>
                <w:lang w:val="en-GB"/>
              </w:rPr>
            </w:pPr>
            <w:r w:rsidRPr="00B026A2">
              <w:rPr>
                <w:rFonts w:cstheme="minorHAnsi"/>
                <w:b/>
                <w:lang w:val="en-GB"/>
              </w:rPr>
              <w:t>4</w:t>
            </w:r>
          </w:p>
        </w:tc>
        <w:tc>
          <w:tcPr>
            <w:tcW w:w="5822" w:type="dxa"/>
          </w:tcPr>
          <w:p w14:paraId="36FBC44D" w14:textId="77777777" w:rsidR="00821E87" w:rsidRPr="00B026A2" w:rsidRDefault="00821E87" w:rsidP="00E108FF">
            <w:pPr>
              <w:rPr>
                <w:rFonts w:cstheme="minorHAnsi"/>
                <w:lang w:val="en-GB"/>
              </w:rPr>
            </w:pPr>
            <w:r w:rsidRPr="00B026A2">
              <w:rPr>
                <w:rFonts w:cstheme="minorHAnsi"/>
                <w:lang w:val="en-GB"/>
              </w:rPr>
              <w:t>Write up and dissemination</w:t>
            </w:r>
          </w:p>
        </w:tc>
        <w:tc>
          <w:tcPr>
            <w:tcW w:w="2591" w:type="dxa"/>
          </w:tcPr>
          <w:p w14:paraId="73A698EF" w14:textId="77777777" w:rsidR="00821E87" w:rsidRPr="00B026A2" w:rsidRDefault="00821E87" w:rsidP="00E108FF">
            <w:pPr>
              <w:rPr>
                <w:rFonts w:cstheme="minorHAnsi"/>
                <w:lang w:val="en-GB"/>
              </w:rPr>
            </w:pPr>
            <w:r w:rsidRPr="00B026A2">
              <w:rPr>
                <w:rFonts w:cstheme="minorHAnsi"/>
                <w:lang w:val="en-GB"/>
              </w:rPr>
              <w:t>All</w:t>
            </w:r>
          </w:p>
        </w:tc>
      </w:tr>
    </w:tbl>
    <w:p w14:paraId="745C7ED7" w14:textId="77777777" w:rsidR="001535F6" w:rsidRDefault="001535F6" w:rsidP="00821E87">
      <w:pPr>
        <w:rPr>
          <w:rFonts w:cstheme="minorHAnsi"/>
          <w:b/>
          <w:lang w:val="en-GB"/>
        </w:rPr>
      </w:pPr>
    </w:p>
    <w:p w14:paraId="2E58F53F" w14:textId="17C81F11" w:rsidR="00821E87" w:rsidRPr="00B026A2" w:rsidRDefault="00821E87" w:rsidP="00821E87">
      <w:pPr>
        <w:rPr>
          <w:rFonts w:cstheme="minorHAnsi"/>
          <w:lang w:val="en-GB"/>
        </w:rPr>
      </w:pPr>
      <w:r w:rsidRPr="00B026A2">
        <w:rPr>
          <w:rFonts w:cstheme="minorHAnsi"/>
          <w:b/>
          <w:lang w:val="en-GB"/>
        </w:rPr>
        <w:t>Time</w:t>
      </w:r>
      <w:r w:rsidR="001535F6">
        <w:rPr>
          <w:rFonts w:cstheme="minorHAnsi"/>
          <w:b/>
          <w:lang w:val="en-GB"/>
        </w:rPr>
        <w:t xml:space="preserve"> line</w:t>
      </w:r>
    </w:p>
    <w:tbl>
      <w:tblPr>
        <w:tblStyle w:val="TableGrid"/>
        <w:tblW w:w="9776" w:type="dxa"/>
        <w:tblLayout w:type="fixed"/>
        <w:tblLook w:val="04A0" w:firstRow="1" w:lastRow="0" w:firstColumn="1" w:lastColumn="0" w:noHBand="0" w:noVBand="1"/>
      </w:tblPr>
      <w:tblGrid>
        <w:gridCol w:w="1271"/>
        <w:gridCol w:w="851"/>
        <w:gridCol w:w="992"/>
        <w:gridCol w:w="1134"/>
        <w:gridCol w:w="466"/>
        <w:gridCol w:w="498"/>
        <w:gridCol w:w="1020"/>
        <w:gridCol w:w="738"/>
        <w:gridCol w:w="875"/>
        <w:gridCol w:w="1081"/>
        <w:gridCol w:w="850"/>
      </w:tblGrid>
      <w:tr w:rsidR="00821E87" w:rsidRPr="00B026A2" w14:paraId="3CFD2115" w14:textId="77777777" w:rsidTr="00E108FF">
        <w:tc>
          <w:tcPr>
            <w:tcW w:w="1271" w:type="dxa"/>
          </w:tcPr>
          <w:p w14:paraId="25C53639" w14:textId="77777777" w:rsidR="00821E87" w:rsidRPr="00B026A2" w:rsidRDefault="00821E87" w:rsidP="00E108FF">
            <w:pPr>
              <w:rPr>
                <w:rFonts w:cstheme="minorHAnsi"/>
                <w:lang w:val="en-GB"/>
              </w:rPr>
            </w:pPr>
          </w:p>
        </w:tc>
        <w:tc>
          <w:tcPr>
            <w:tcW w:w="3443" w:type="dxa"/>
            <w:gridSpan w:val="4"/>
          </w:tcPr>
          <w:p w14:paraId="19BDF55D" w14:textId="76AB78F9" w:rsidR="00821E87" w:rsidRPr="00B026A2" w:rsidRDefault="00821E87" w:rsidP="00E108FF">
            <w:pPr>
              <w:rPr>
                <w:rFonts w:cstheme="minorHAnsi"/>
                <w:b/>
                <w:lang w:val="en-GB"/>
              </w:rPr>
            </w:pPr>
            <w:r w:rsidRPr="00B026A2">
              <w:rPr>
                <w:rFonts w:cstheme="minorHAnsi"/>
                <w:b/>
                <w:lang w:val="en-GB"/>
              </w:rPr>
              <w:t>Year 1 – 01/0</w:t>
            </w:r>
            <w:r w:rsidR="001432DF" w:rsidRPr="00B026A2">
              <w:rPr>
                <w:rFonts w:cstheme="minorHAnsi"/>
                <w:b/>
                <w:lang w:val="en-GB"/>
              </w:rPr>
              <w:t>4</w:t>
            </w:r>
            <w:r w:rsidRPr="00B026A2">
              <w:rPr>
                <w:rFonts w:cstheme="minorHAnsi"/>
                <w:b/>
                <w:lang w:val="en-GB"/>
              </w:rPr>
              <w:t>/2022 to 31/</w:t>
            </w:r>
            <w:r w:rsidR="00E41A55" w:rsidRPr="00B026A2">
              <w:rPr>
                <w:rFonts w:cstheme="minorHAnsi"/>
                <w:b/>
                <w:lang w:val="en-GB"/>
              </w:rPr>
              <w:t>12</w:t>
            </w:r>
            <w:r w:rsidRPr="00B026A2">
              <w:rPr>
                <w:rFonts w:cstheme="minorHAnsi"/>
                <w:b/>
                <w:lang w:val="en-GB"/>
              </w:rPr>
              <w:t>/202</w:t>
            </w:r>
            <w:r w:rsidR="00E41A55" w:rsidRPr="00B026A2">
              <w:rPr>
                <w:rFonts w:cstheme="minorHAnsi"/>
                <w:b/>
                <w:lang w:val="en-GB"/>
              </w:rPr>
              <w:t>2</w:t>
            </w:r>
          </w:p>
        </w:tc>
        <w:tc>
          <w:tcPr>
            <w:tcW w:w="498" w:type="dxa"/>
            <w:vMerge w:val="restart"/>
            <w:shd w:val="clear" w:color="auto" w:fill="000000" w:themeFill="text1"/>
            <w:textDirection w:val="btLr"/>
          </w:tcPr>
          <w:p w14:paraId="277A9D4B" w14:textId="77777777" w:rsidR="00821E87" w:rsidRPr="00B026A2" w:rsidRDefault="00821E87" w:rsidP="00E108FF">
            <w:pPr>
              <w:ind w:right="113"/>
              <w:rPr>
                <w:rFonts w:cstheme="minorHAnsi"/>
                <w:b/>
                <w:lang w:val="en-GB"/>
              </w:rPr>
            </w:pPr>
            <w:r w:rsidRPr="00B026A2">
              <w:rPr>
                <w:rFonts w:cstheme="minorHAnsi"/>
                <w:b/>
                <w:lang w:val="en-GB"/>
              </w:rPr>
              <w:t>Interim report</w:t>
            </w:r>
          </w:p>
        </w:tc>
        <w:tc>
          <w:tcPr>
            <w:tcW w:w="3714" w:type="dxa"/>
            <w:gridSpan w:val="4"/>
          </w:tcPr>
          <w:p w14:paraId="25F11C0A" w14:textId="77777777" w:rsidR="00821E87" w:rsidRPr="00B026A2" w:rsidRDefault="00821E87" w:rsidP="00E108FF">
            <w:pPr>
              <w:rPr>
                <w:rFonts w:cstheme="minorHAnsi"/>
                <w:b/>
                <w:lang w:val="en-GB"/>
              </w:rPr>
            </w:pPr>
            <w:r w:rsidRPr="00B026A2">
              <w:rPr>
                <w:rFonts w:cstheme="minorHAnsi"/>
                <w:b/>
                <w:lang w:val="en-GB"/>
              </w:rPr>
              <w:t>Year 2 -– 01/01/2023 to 31/01/2023</w:t>
            </w:r>
          </w:p>
        </w:tc>
        <w:tc>
          <w:tcPr>
            <w:tcW w:w="850" w:type="dxa"/>
            <w:vMerge w:val="restart"/>
            <w:shd w:val="clear" w:color="auto" w:fill="000000" w:themeFill="text1"/>
            <w:textDirection w:val="btLr"/>
          </w:tcPr>
          <w:p w14:paraId="2DCD84A6" w14:textId="77777777" w:rsidR="00821E87" w:rsidRPr="00B026A2" w:rsidRDefault="00821E87" w:rsidP="00E108FF">
            <w:pPr>
              <w:ind w:right="113"/>
              <w:rPr>
                <w:rFonts w:cstheme="minorHAnsi"/>
                <w:b/>
                <w:lang w:val="en-GB"/>
              </w:rPr>
            </w:pPr>
            <w:r w:rsidRPr="00B026A2">
              <w:rPr>
                <w:rFonts w:cstheme="minorHAnsi"/>
                <w:b/>
                <w:lang w:val="en-GB"/>
              </w:rPr>
              <w:t xml:space="preserve">Final report &amp; </w:t>
            </w:r>
          </w:p>
          <w:p w14:paraId="4066A60D" w14:textId="77777777" w:rsidR="00821E87" w:rsidRPr="00B026A2" w:rsidRDefault="00821E87" w:rsidP="00E108FF">
            <w:pPr>
              <w:ind w:right="113"/>
              <w:rPr>
                <w:rFonts w:cstheme="minorHAnsi"/>
                <w:b/>
                <w:lang w:val="en-GB"/>
              </w:rPr>
            </w:pPr>
            <w:r w:rsidRPr="00B026A2">
              <w:rPr>
                <w:rFonts w:cstheme="minorHAnsi"/>
                <w:b/>
                <w:lang w:val="en-GB"/>
              </w:rPr>
              <w:t>financial reconciliation</w:t>
            </w:r>
          </w:p>
        </w:tc>
      </w:tr>
      <w:tr w:rsidR="00821E87" w:rsidRPr="00B026A2" w14:paraId="59158411" w14:textId="77777777" w:rsidTr="00E108FF">
        <w:tc>
          <w:tcPr>
            <w:tcW w:w="1271" w:type="dxa"/>
          </w:tcPr>
          <w:p w14:paraId="55EAECBB" w14:textId="77777777" w:rsidR="00821E87" w:rsidRPr="00B026A2" w:rsidRDefault="00821E87" w:rsidP="00E108FF">
            <w:pPr>
              <w:rPr>
                <w:rFonts w:cstheme="minorHAnsi"/>
                <w:b/>
                <w:lang w:val="en-GB"/>
              </w:rPr>
            </w:pPr>
            <w:r w:rsidRPr="00B026A2">
              <w:rPr>
                <w:rFonts w:cstheme="minorHAnsi"/>
                <w:b/>
                <w:lang w:val="en-GB"/>
              </w:rPr>
              <w:t>Activity</w:t>
            </w:r>
          </w:p>
        </w:tc>
        <w:tc>
          <w:tcPr>
            <w:tcW w:w="851" w:type="dxa"/>
            <w:tcBorders>
              <w:bottom w:val="single" w:sz="4" w:space="0" w:color="auto"/>
            </w:tcBorders>
          </w:tcPr>
          <w:p w14:paraId="3088B46D" w14:textId="277702F1" w:rsidR="00821E87" w:rsidRPr="00B026A2" w:rsidRDefault="00821E87" w:rsidP="00E108FF">
            <w:pPr>
              <w:rPr>
                <w:rFonts w:cstheme="minorHAnsi"/>
                <w:lang w:val="en-GB"/>
              </w:rPr>
            </w:pPr>
            <w:r w:rsidRPr="00B026A2">
              <w:rPr>
                <w:rFonts w:cstheme="minorHAnsi"/>
                <w:lang w:val="en-GB"/>
              </w:rPr>
              <w:t>01/0</w:t>
            </w:r>
            <w:r w:rsidR="00E41A55" w:rsidRPr="00B026A2">
              <w:rPr>
                <w:rFonts w:cstheme="minorHAnsi"/>
                <w:lang w:val="en-GB"/>
              </w:rPr>
              <w:t>4</w:t>
            </w:r>
            <w:r w:rsidRPr="00B026A2">
              <w:rPr>
                <w:rFonts w:cstheme="minorHAnsi"/>
                <w:lang w:val="en-GB"/>
              </w:rPr>
              <w:t>31/0</w:t>
            </w:r>
            <w:r w:rsidR="00E41A55" w:rsidRPr="00B026A2">
              <w:rPr>
                <w:rFonts w:cstheme="minorHAnsi"/>
                <w:lang w:val="en-GB"/>
              </w:rPr>
              <w:t>5</w:t>
            </w:r>
          </w:p>
        </w:tc>
        <w:tc>
          <w:tcPr>
            <w:tcW w:w="992" w:type="dxa"/>
            <w:tcBorders>
              <w:bottom w:val="single" w:sz="4" w:space="0" w:color="auto"/>
            </w:tcBorders>
          </w:tcPr>
          <w:p w14:paraId="1F0BA59A" w14:textId="1BB8B284" w:rsidR="00E41A55" w:rsidRPr="00B026A2" w:rsidRDefault="00E41A55" w:rsidP="00E108FF">
            <w:pPr>
              <w:rPr>
                <w:rFonts w:cstheme="minorHAnsi"/>
                <w:lang w:val="en-GB"/>
              </w:rPr>
            </w:pPr>
            <w:r w:rsidRPr="00B026A2">
              <w:rPr>
                <w:rFonts w:cstheme="minorHAnsi"/>
                <w:lang w:val="en-GB"/>
              </w:rPr>
              <w:t>0</w:t>
            </w:r>
            <w:r w:rsidR="00821E87" w:rsidRPr="00B026A2">
              <w:rPr>
                <w:rFonts w:cstheme="minorHAnsi"/>
                <w:lang w:val="en-GB"/>
              </w:rPr>
              <w:t>1/0</w:t>
            </w:r>
            <w:r w:rsidRPr="00B026A2">
              <w:rPr>
                <w:rFonts w:cstheme="minorHAnsi"/>
                <w:lang w:val="en-GB"/>
              </w:rPr>
              <w:t>6</w:t>
            </w:r>
            <w:r w:rsidR="00821E87" w:rsidRPr="00B026A2">
              <w:rPr>
                <w:rFonts w:cstheme="minorHAnsi"/>
                <w:lang w:val="en-GB"/>
              </w:rPr>
              <w:t>-</w:t>
            </w:r>
          </w:p>
          <w:p w14:paraId="077E820F" w14:textId="17A53910" w:rsidR="00821E87" w:rsidRPr="00B026A2" w:rsidRDefault="00821E87" w:rsidP="00E41A55">
            <w:pPr>
              <w:rPr>
                <w:rFonts w:cstheme="minorHAnsi"/>
                <w:lang w:val="en-GB"/>
              </w:rPr>
            </w:pPr>
            <w:r w:rsidRPr="00B026A2">
              <w:rPr>
                <w:rFonts w:cstheme="minorHAnsi"/>
                <w:lang w:val="en-GB"/>
              </w:rPr>
              <w:t>31/0</w:t>
            </w:r>
            <w:r w:rsidR="00E41A55" w:rsidRPr="00B026A2">
              <w:rPr>
                <w:rFonts w:cstheme="minorHAnsi"/>
                <w:lang w:val="en-GB"/>
              </w:rPr>
              <w:t>9</w:t>
            </w:r>
          </w:p>
        </w:tc>
        <w:tc>
          <w:tcPr>
            <w:tcW w:w="1134" w:type="dxa"/>
            <w:tcBorders>
              <w:bottom w:val="single" w:sz="4" w:space="0" w:color="auto"/>
            </w:tcBorders>
          </w:tcPr>
          <w:p w14:paraId="1B501F5E" w14:textId="42438598" w:rsidR="00821E87" w:rsidRPr="00B026A2" w:rsidRDefault="00821E87" w:rsidP="00E108FF">
            <w:pPr>
              <w:rPr>
                <w:rFonts w:cstheme="minorHAnsi"/>
                <w:lang w:val="en-GB"/>
              </w:rPr>
            </w:pPr>
            <w:r w:rsidRPr="00B026A2">
              <w:rPr>
                <w:rFonts w:cstheme="minorHAnsi"/>
                <w:lang w:val="en-GB"/>
              </w:rPr>
              <w:t>01/</w:t>
            </w:r>
            <w:r w:rsidR="00E41A55" w:rsidRPr="00B026A2">
              <w:rPr>
                <w:rFonts w:cstheme="minorHAnsi"/>
                <w:lang w:val="en-GB"/>
              </w:rPr>
              <w:t>10</w:t>
            </w:r>
            <w:r w:rsidRPr="00B026A2">
              <w:rPr>
                <w:rFonts w:cstheme="minorHAnsi"/>
                <w:lang w:val="en-GB"/>
              </w:rPr>
              <w:t>-31/</w:t>
            </w:r>
            <w:r w:rsidR="00E41A55" w:rsidRPr="00B026A2">
              <w:rPr>
                <w:rFonts w:cstheme="minorHAnsi"/>
                <w:lang w:val="en-GB"/>
              </w:rPr>
              <w:t>12</w:t>
            </w:r>
          </w:p>
        </w:tc>
        <w:tc>
          <w:tcPr>
            <w:tcW w:w="466" w:type="dxa"/>
            <w:tcBorders>
              <w:bottom w:val="single" w:sz="4" w:space="0" w:color="auto"/>
            </w:tcBorders>
          </w:tcPr>
          <w:p w14:paraId="6BD0092D" w14:textId="77777777" w:rsidR="00821E87" w:rsidRPr="00B026A2" w:rsidRDefault="00821E87" w:rsidP="00E108FF">
            <w:pPr>
              <w:rPr>
                <w:rFonts w:cstheme="minorHAnsi"/>
                <w:lang w:val="en-GB"/>
              </w:rPr>
            </w:pPr>
          </w:p>
        </w:tc>
        <w:tc>
          <w:tcPr>
            <w:tcW w:w="498" w:type="dxa"/>
            <w:vMerge/>
            <w:tcBorders>
              <w:bottom w:val="single" w:sz="4" w:space="0" w:color="auto"/>
            </w:tcBorders>
            <w:shd w:val="clear" w:color="auto" w:fill="000000" w:themeFill="text1"/>
          </w:tcPr>
          <w:p w14:paraId="26FCEDBF" w14:textId="77777777" w:rsidR="00821E87" w:rsidRPr="00B026A2" w:rsidRDefault="00821E87" w:rsidP="00E108FF">
            <w:pPr>
              <w:rPr>
                <w:rFonts w:cstheme="minorHAnsi"/>
                <w:lang w:val="en-GB"/>
              </w:rPr>
            </w:pPr>
          </w:p>
        </w:tc>
        <w:tc>
          <w:tcPr>
            <w:tcW w:w="1020" w:type="dxa"/>
            <w:tcBorders>
              <w:bottom w:val="single" w:sz="4" w:space="0" w:color="auto"/>
            </w:tcBorders>
          </w:tcPr>
          <w:p w14:paraId="50398F87" w14:textId="4B560D0C" w:rsidR="00821E87" w:rsidRPr="00B026A2" w:rsidRDefault="00E41A55" w:rsidP="00E108FF">
            <w:pPr>
              <w:rPr>
                <w:rFonts w:cstheme="minorHAnsi"/>
                <w:lang w:val="en-GB"/>
              </w:rPr>
            </w:pPr>
            <w:r w:rsidRPr="00B026A2">
              <w:rPr>
                <w:rFonts w:cstheme="minorHAnsi"/>
                <w:lang w:val="en-GB"/>
              </w:rPr>
              <w:t>01/01-30/04</w:t>
            </w:r>
          </w:p>
        </w:tc>
        <w:tc>
          <w:tcPr>
            <w:tcW w:w="738" w:type="dxa"/>
            <w:tcBorders>
              <w:bottom w:val="single" w:sz="4" w:space="0" w:color="auto"/>
            </w:tcBorders>
          </w:tcPr>
          <w:p w14:paraId="4B441166" w14:textId="77777777" w:rsidR="00821E87" w:rsidRPr="00B026A2" w:rsidRDefault="00821E87" w:rsidP="00E108FF">
            <w:pPr>
              <w:rPr>
                <w:rFonts w:cstheme="minorHAnsi"/>
                <w:lang w:val="en-GB"/>
              </w:rPr>
            </w:pPr>
          </w:p>
        </w:tc>
        <w:tc>
          <w:tcPr>
            <w:tcW w:w="875" w:type="dxa"/>
            <w:tcBorders>
              <w:bottom w:val="single" w:sz="4" w:space="0" w:color="auto"/>
            </w:tcBorders>
          </w:tcPr>
          <w:p w14:paraId="0D5C4A5A" w14:textId="77777777" w:rsidR="00821E87" w:rsidRPr="00B026A2" w:rsidRDefault="00821E87" w:rsidP="00E108FF">
            <w:pPr>
              <w:rPr>
                <w:rFonts w:cstheme="minorHAnsi"/>
                <w:lang w:val="en-GB"/>
              </w:rPr>
            </w:pPr>
          </w:p>
        </w:tc>
        <w:tc>
          <w:tcPr>
            <w:tcW w:w="1081" w:type="dxa"/>
            <w:tcBorders>
              <w:bottom w:val="single" w:sz="4" w:space="0" w:color="auto"/>
            </w:tcBorders>
          </w:tcPr>
          <w:p w14:paraId="289D1F6F" w14:textId="77777777" w:rsidR="00821E87" w:rsidRPr="00B026A2" w:rsidRDefault="00821E87" w:rsidP="00E108FF">
            <w:pPr>
              <w:rPr>
                <w:rFonts w:cstheme="minorHAnsi"/>
                <w:lang w:val="en-GB"/>
              </w:rPr>
            </w:pPr>
          </w:p>
        </w:tc>
        <w:tc>
          <w:tcPr>
            <w:tcW w:w="850" w:type="dxa"/>
            <w:vMerge/>
            <w:shd w:val="clear" w:color="auto" w:fill="000000" w:themeFill="text1"/>
          </w:tcPr>
          <w:p w14:paraId="2ECBBCC4" w14:textId="77777777" w:rsidR="00821E87" w:rsidRPr="00B026A2" w:rsidRDefault="00821E87" w:rsidP="00E108FF">
            <w:pPr>
              <w:rPr>
                <w:rFonts w:cstheme="minorHAnsi"/>
                <w:lang w:val="en-GB"/>
              </w:rPr>
            </w:pPr>
          </w:p>
        </w:tc>
      </w:tr>
      <w:tr w:rsidR="00821E87" w:rsidRPr="00B026A2" w14:paraId="0D914C3F" w14:textId="77777777" w:rsidTr="00E108FF">
        <w:tc>
          <w:tcPr>
            <w:tcW w:w="1271" w:type="dxa"/>
          </w:tcPr>
          <w:p w14:paraId="29786A5A" w14:textId="77777777" w:rsidR="00821E87" w:rsidRPr="00B026A2" w:rsidRDefault="00821E87" w:rsidP="00E108FF">
            <w:pPr>
              <w:rPr>
                <w:rFonts w:cstheme="minorHAnsi"/>
                <w:bCs/>
                <w:lang w:val="en-GB"/>
              </w:rPr>
            </w:pPr>
            <w:r w:rsidRPr="00B026A2">
              <w:rPr>
                <w:rFonts w:cstheme="minorHAnsi"/>
                <w:b/>
                <w:lang w:val="en-GB"/>
              </w:rPr>
              <w:t xml:space="preserve">1 </w:t>
            </w:r>
            <w:r w:rsidRPr="00B026A2">
              <w:rPr>
                <w:rFonts w:cstheme="minorHAnsi"/>
                <w:bCs/>
                <w:lang w:val="en-GB"/>
              </w:rPr>
              <w:t xml:space="preserve">Train </w:t>
            </w:r>
          </w:p>
        </w:tc>
        <w:tc>
          <w:tcPr>
            <w:tcW w:w="851" w:type="dxa"/>
            <w:shd w:val="clear" w:color="auto" w:fill="FFFF00"/>
          </w:tcPr>
          <w:p w14:paraId="0B94C0EF" w14:textId="77777777" w:rsidR="00821E87" w:rsidRPr="00B026A2" w:rsidRDefault="00821E87" w:rsidP="00E108FF">
            <w:pPr>
              <w:rPr>
                <w:rFonts w:cstheme="minorHAnsi"/>
                <w:lang w:val="en-GB"/>
              </w:rPr>
            </w:pPr>
          </w:p>
        </w:tc>
        <w:tc>
          <w:tcPr>
            <w:tcW w:w="992" w:type="dxa"/>
            <w:tcBorders>
              <w:bottom w:val="single" w:sz="4" w:space="0" w:color="auto"/>
            </w:tcBorders>
            <w:shd w:val="clear" w:color="auto" w:fill="auto"/>
          </w:tcPr>
          <w:p w14:paraId="64BA5A2D" w14:textId="77777777" w:rsidR="00821E87" w:rsidRPr="00B026A2" w:rsidRDefault="00821E87" w:rsidP="00E108FF">
            <w:pPr>
              <w:rPr>
                <w:rFonts w:cstheme="minorHAnsi"/>
                <w:lang w:val="en-GB"/>
              </w:rPr>
            </w:pPr>
          </w:p>
        </w:tc>
        <w:tc>
          <w:tcPr>
            <w:tcW w:w="1134" w:type="dxa"/>
            <w:tcBorders>
              <w:bottom w:val="single" w:sz="4" w:space="0" w:color="auto"/>
            </w:tcBorders>
          </w:tcPr>
          <w:p w14:paraId="5C2269E1" w14:textId="77777777" w:rsidR="00821E87" w:rsidRPr="00B026A2" w:rsidRDefault="00821E87" w:rsidP="00E108FF">
            <w:pPr>
              <w:rPr>
                <w:rFonts w:cstheme="minorHAnsi"/>
                <w:lang w:val="en-GB"/>
              </w:rPr>
            </w:pPr>
          </w:p>
        </w:tc>
        <w:tc>
          <w:tcPr>
            <w:tcW w:w="466" w:type="dxa"/>
          </w:tcPr>
          <w:p w14:paraId="2F44CE68" w14:textId="77777777" w:rsidR="00821E87" w:rsidRPr="00B026A2" w:rsidRDefault="00821E87" w:rsidP="00E108FF">
            <w:pPr>
              <w:rPr>
                <w:rFonts w:cstheme="minorHAnsi"/>
                <w:lang w:val="en-GB"/>
              </w:rPr>
            </w:pPr>
          </w:p>
        </w:tc>
        <w:tc>
          <w:tcPr>
            <w:tcW w:w="498" w:type="dxa"/>
            <w:vMerge/>
            <w:shd w:val="clear" w:color="auto" w:fill="000000" w:themeFill="text1"/>
          </w:tcPr>
          <w:p w14:paraId="7DAF344F" w14:textId="77777777" w:rsidR="00821E87" w:rsidRPr="00B026A2" w:rsidRDefault="00821E87" w:rsidP="00E108FF">
            <w:pPr>
              <w:rPr>
                <w:rFonts w:cstheme="minorHAnsi"/>
                <w:lang w:val="en-GB"/>
              </w:rPr>
            </w:pPr>
          </w:p>
        </w:tc>
        <w:tc>
          <w:tcPr>
            <w:tcW w:w="1020" w:type="dxa"/>
          </w:tcPr>
          <w:p w14:paraId="4576B44F" w14:textId="77777777" w:rsidR="00821E87" w:rsidRPr="00B026A2" w:rsidRDefault="00821E87" w:rsidP="00E108FF">
            <w:pPr>
              <w:rPr>
                <w:rFonts w:cstheme="minorHAnsi"/>
                <w:lang w:val="en-GB"/>
              </w:rPr>
            </w:pPr>
          </w:p>
        </w:tc>
        <w:tc>
          <w:tcPr>
            <w:tcW w:w="738" w:type="dxa"/>
          </w:tcPr>
          <w:p w14:paraId="75F00D0B" w14:textId="77777777" w:rsidR="00821E87" w:rsidRPr="00B026A2" w:rsidRDefault="00821E87" w:rsidP="00E108FF">
            <w:pPr>
              <w:rPr>
                <w:rFonts w:cstheme="minorHAnsi"/>
                <w:lang w:val="en-GB"/>
              </w:rPr>
            </w:pPr>
          </w:p>
        </w:tc>
        <w:tc>
          <w:tcPr>
            <w:tcW w:w="875" w:type="dxa"/>
          </w:tcPr>
          <w:p w14:paraId="153150BD" w14:textId="77777777" w:rsidR="00821E87" w:rsidRPr="00B026A2" w:rsidRDefault="00821E87" w:rsidP="00E108FF">
            <w:pPr>
              <w:rPr>
                <w:rFonts w:cstheme="minorHAnsi"/>
                <w:lang w:val="en-GB"/>
              </w:rPr>
            </w:pPr>
          </w:p>
        </w:tc>
        <w:tc>
          <w:tcPr>
            <w:tcW w:w="1081" w:type="dxa"/>
          </w:tcPr>
          <w:p w14:paraId="1FF33250" w14:textId="77777777" w:rsidR="00821E87" w:rsidRPr="00B026A2" w:rsidRDefault="00821E87" w:rsidP="00E108FF">
            <w:pPr>
              <w:rPr>
                <w:rFonts w:cstheme="minorHAnsi"/>
                <w:lang w:val="en-GB"/>
              </w:rPr>
            </w:pPr>
          </w:p>
        </w:tc>
        <w:tc>
          <w:tcPr>
            <w:tcW w:w="850" w:type="dxa"/>
            <w:vMerge/>
            <w:shd w:val="clear" w:color="auto" w:fill="000000" w:themeFill="text1"/>
          </w:tcPr>
          <w:p w14:paraId="4FDDDDC2" w14:textId="77777777" w:rsidR="00821E87" w:rsidRPr="00B026A2" w:rsidRDefault="00821E87" w:rsidP="00E108FF">
            <w:pPr>
              <w:rPr>
                <w:rFonts w:cstheme="minorHAnsi"/>
                <w:lang w:val="en-GB"/>
              </w:rPr>
            </w:pPr>
          </w:p>
        </w:tc>
      </w:tr>
      <w:tr w:rsidR="00821E87" w:rsidRPr="00B026A2" w14:paraId="199400C2" w14:textId="77777777" w:rsidTr="00E108FF">
        <w:tc>
          <w:tcPr>
            <w:tcW w:w="1271" w:type="dxa"/>
          </w:tcPr>
          <w:p w14:paraId="1A26CE87" w14:textId="77777777" w:rsidR="00821E87" w:rsidRPr="00B026A2" w:rsidRDefault="00821E87" w:rsidP="00E108FF">
            <w:pPr>
              <w:rPr>
                <w:rFonts w:cstheme="minorHAnsi"/>
                <w:b/>
                <w:lang w:val="en-GB"/>
              </w:rPr>
            </w:pPr>
            <w:r w:rsidRPr="00B026A2">
              <w:rPr>
                <w:rFonts w:cstheme="minorHAnsi"/>
                <w:b/>
                <w:lang w:val="en-GB"/>
              </w:rPr>
              <w:t xml:space="preserve">2 </w:t>
            </w:r>
            <w:r w:rsidRPr="00B026A2">
              <w:rPr>
                <w:rFonts w:cstheme="minorHAnsi"/>
                <w:bCs/>
                <w:lang w:val="en-GB"/>
              </w:rPr>
              <w:t>Baseline and Treat</w:t>
            </w:r>
          </w:p>
        </w:tc>
        <w:tc>
          <w:tcPr>
            <w:tcW w:w="851" w:type="dxa"/>
          </w:tcPr>
          <w:p w14:paraId="5DCDC903" w14:textId="77777777" w:rsidR="00821E87" w:rsidRPr="00B026A2" w:rsidRDefault="00821E87" w:rsidP="00E108FF">
            <w:pPr>
              <w:rPr>
                <w:rFonts w:cstheme="minorHAnsi"/>
                <w:lang w:val="en-GB"/>
              </w:rPr>
            </w:pPr>
          </w:p>
        </w:tc>
        <w:tc>
          <w:tcPr>
            <w:tcW w:w="992" w:type="dxa"/>
            <w:shd w:val="clear" w:color="auto" w:fill="FFFF00"/>
          </w:tcPr>
          <w:p w14:paraId="3AA56C3B" w14:textId="77777777" w:rsidR="00821E87" w:rsidRPr="00B026A2" w:rsidRDefault="00821E87" w:rsidP="00E108FF">
            <w:pPr>
              <w:rPr>
                <w:rFonts w:cstheme="minorHAnsi"/>
                <w:lang w:val="en-GB"/>
              </w:rPr>
            </w:pPr>
          </w:p>
        </w:tc>
        <w:tc>
          <w:tcPr>
            <w:tcW w:w="1134" w:type="dxa"/>
            <w:shd w:val="clear" w:color="auto" w:fill="auto"/>
          </w:tcPr>
          <w:p w14:paraId="7735DBBD" w14:textId="77777777" w:rsidR="00821E87" w:rsidRPr="00B026A2" w:rsidRDefault="00821E87" w:rsidP="00E108FF">
            <w:pPr>
              <w:rPr>
                <w:rFonts w:cstheme="minorHAnsi"/>
                <w:lang w:val="en-GB"/>
              </w:rPr>
            </w:pPr>
          </w:p>
        </w:tc>
        <w:tc>
          <w:tcPr>
            <w:tcW w:w="466" w:type="dxa"/>
            <w:tcBorders>
              <w:bottom w:val="single" w:sz="4" w:space="0" w:color="auto"/>
            </w:tcBorders>
          </w:tcPr>
          <w:p w14:paraId="683BC65D" w14:textId="77777777" w:rsidR="00821E87" w:rsidRPr="00B026A2" w:rsidRDefault="00821E87" w:rsidP="00E108FF">
            <w:pPr>
              <w:rPr>
                <w:rFonts w:cstheme="minorHAnsi"/>
                <w:lang w:val="en-GB"/>
              </w:rPr>
            </w:pPr>
          </w:p>
        </w:tc>
        <w:tc>
          <w:tcPr>
            <w:tcW w:w="498" w:type="dxa"/>
            <w:vMerge/>
            <w:tcBorders>
              <w:bottom w:val="single" w:sz="4" w:space="0" w:color="auto"/>
            </w:tcBorders>
            <w:shd w:val="clear" w:color="auto" w:fill="000000" w:themeFill="text1"/>
          </w:tcPr>
          <w:p w14:paraId="5835BC6B" w14:textId="77777777" w:rsidR="00821E87" w:rsidRPr="00B026A2" w:rsidRDefault="00821E87" w:rsidP="00E108FF">
            <w:pPr>
              <w:rPr>
                <w:rFonts w:cstheme="minorHAnsi"/>
                <w:lang w:val="en-GB"/>
              </w:rPr>
            </w:pPr>
          </w:p>
        </w:tc>
        <w:tc>
          <w:tcPr>
            <w:tcW w:w="1020" w:type="dxa"/>
            <w:tcBorders>
              <w:bottom w:val="single" w:sz="4" w:space="0" w:color="auto"/>
            </w:tcBorders>
          </w:tcPr>
          <w:p w14:paraId="208A3E86" w14:textId="77777777" w:rsidR="00821E87" w:rsidRPr="00B026A2" w:rsidRDefault="00821E87" w:rsidP="00E108FF">
            <w:pPr>
              <w:rPr>
                <w:rFonts w:cstheme="minorHAnsi"/>
                <w:lang w:val="en-GB"/>
              </w:rPr>
            </w:pPr>
          </w:p>
        </w:tc>
        <w:tc>
          <w:tcPr>
            <w:tcW w:w="738" w:type="dxa"/>
          </w:tcPr>
          <w:p w14:paraId="728D5280" w14:textId="77777777" w:rsidR="00821E87" w:rsidRPr="00B026A2" w:rsidRDefault="00821E87" w:rsidP="00E108FF">
            <w:pPr>
              <w:rPr>
                <w:rFonts w:cstheme="minorHAnsi"/>
                <w:lang w:val="en-GB"/>
              </w:rPr>
            </w:pPr>
          </w:p>
        </w:tc>
        <w:tc>
          <w:tcPr>
            <w:tcW w:w="875" w:type="dxa"/>
          </w:tcPr>
          <w:p w14:paraId="32A2DEB4" w14:textId="77777777" w:rsidR="00821E87" w:rsidRPr="00B026A2" w:rsidRDefault="00821E87" w:rsidP="00E108FF">
            <w:pPr>
              <w:rPr>
                <w:rFonts w:cstheme="minorHAnsi"/>
                <w:lang w:val="en-GB"/>
              </w:rPr>
            </w:pPr>
          </w:p>
        </w:tc>
        <w:tc>
          <w:tcPr>
            <w:tcW w:w="1081" w:type="dxa"/>
          </w:tcPr>
          <w:p w14:paraId="2D466FF1" w14:textId="77777777" w:rsidR="00821E87" w:rsidRPr="00B026A2" w:rsidRDefault="00821E87" w:rsidP="00E108FF">
            <w:pPr>
              <w:rPr>
                <w:rFonts w:cstheme="minorHAnsi"/>
                <w:lang w:val="en-GB"/>
              </w:rPr>
            </w:pPr>
          </w:p>
        </w:tc>
        <w:tc>
          <w:tcPr>
            <w:tcW w:w="850" w:type="dxa"/>
            <w:vMerge/>
            <w:shd w:val="clear" w:color="auto" w:fill="000000" w:themeFill="text1"/>
          </w:tcPr>
          <w:p w14:paraId="02412E25" w14:textId="77777777" w:rsidR="00821E87" w:rsidRPr="00B026A2" w:rsidRDefault="00821E87" w:rsidP="00E108FF">
            <w:pPr>
              <w:rPr>
                <w:rFonts w:cstheme="minorHAnsi"/>
                <w:lang w:val="en-GB"/>
              </w:rPr>
            </w:pPr>
          </w:p>
        </w:tc>
      </w:tr>
      <w:tr w:rsidR="00821E87" w:rsidRPr="00B026A2" w14:paraId="51636390" w14:textId="77777777" w:rsidTr="00E108FF">
        <w:tc>
          <w:tcPr>
            <w:tcW w:w="1271" w:type="dxa"/>
          </w:tcPr>
          <w:p w14:paraId="5DEDD89C" w14:textId="77777777" w:rsidR="00821E87" w:rsidRPr="00B026A2" w:rsidRDefault="00821E87" w:rsidP="00E108FF">
            <w:pPr>
              <w:rPr>
                <w:rFonts w:cstheme="minorHAnsi"/>
                <w:b/>
                <w:lang w:val="en-GB"/>
              </w:rPr>
            </w:pPr>
            <w:r w:rsidRPr="00B026A2">
              <w:rPr>
                <w:rFonts w:cstheme="minorHAnsi"/>
                <w:b/>
                <w:lang w:val="en-GB"/>
              </w:rPr>
              <w:t xml:space="preserve">3 </w:t>
            </w:r>
            <w:proofErr w:type="gramStart"/>
            <w:r w:rsidRPr="00B026A2">
              <w:rPr>
                <w:rFonts w:cstheme="minorHAnsi"/>
                <w:bCs/>
                <w:lang w:val="en-GB"/>
              </w:rPr>
              <w:t>12 week</w:t>
            </w:r>
            <w:proofErr w:type="gramEnd"/>
            <w:r w:rsidRPr="00B026A2">
              <w:rPr>
                <w:rFonts w:cstheme="minorHAnsi"/>
                <w:bCs/>
                <w:lang w:val="en-GB"/>
              </w:rPr>
              <w:t xml:space="preserve"> report</w:t>
            </w:r>
          </w:p>
        </w:tc>
        <w:tc>
          <w:tcPr>
            <w:tcW w:w="851" w:type="dxa"/>
            <w:tcBorders>
              <w:bottom w:val="single" w:sz="4" w:space="0" w:color="auto"/>
            </w:tcBorders>
          </w:tcPr>
          <w:p w14:paraId="089BCA1E" w14:textId="77777777" w:rsidR="00821E87" w:rsidRPr="00B026A2" w:rsidRDefault="00821E87" w:rsidP="00E108FF">
            <w:pPr>
              <w:rPr>
                <w:rFonts w:cstheme="minorHAnsi"/>
                <w:lang w:val="en-GB"/>
              </w:rPr>
            </w:pPr>
          </w:p>
        </w:tc>
        <w:tc>
          <w:tcPr>
            <w:tcW w:w="992" w:type="dxa"/>
          </w:tcPr>
          <w:p w14:paraId="5BA59486" w14:textId="77777777" w:rsidR="00821E87" w:rsidRPr="00B026A2" w:rsidRDefault="00821E87" w:rsidP="00E108FF">
            <w:pPr>
              <w:rPr>
                <w:rFonts w:cstheme="minorHAnsi"/>
                <w:lang w:val="en-GB"/>
              </w:rPr>
            </w:pPr>
          </w:p>
        </w:tc>
        <w:tc>
          <w:tcPr>
            <w:tcW w:w="1134" w:type="dxa"/>
            <w:shd w:val="clear" w:color="auto" w:fill="FFFF00"/>
          </w:tcPr>
          <w:p w14:paraId="7A3FB849" w14:textId="77777777" w:rsidR="00821E87" w:rsidRPr="00B026A2" w:rsidRDefault="00821E87" w:rsidP="00E108FF">
            <w:pPr>
              <w:rPr>
                <w:rFonts w:cstheme="minorHAnsi"/>
                <w:lang w:val="en-GB"/>
              </w:rPr>
            </w:pPr>
          </w:p>
        </w:tc>
        <w:tc>
          <w:tcPr>
            <w:tcW w:w="466" w:type="dxa"/>
            <w:shd w:val="clear" w:color="auto" w:fill="auto"/>
          </w:tcPr>
          <w:p w14:paraId="798DC007" w14:textId="77777777" w:rsidR="00821E87" w:rsidRPr="00B026A2" w:rsidRDefault="00821E87" w:rsidP="00E108FF">
            <w:pPr>
              <w:rPr>
                <w:rFonts w:cstheme="minorHAnsi"/>
                <w:lang w:val="en-GB"/>
              </w:rPr>
            </w:pPr>
          </w:p>
        </w:tc>
        <w:tc>
          <w:tcPr>
            <w:tcW w:w="498" w:type="dxa"/>
            <w:vMerge/>
            <w:shd w:val="clear" w:color="auto" w:fill="auto"/>
          </w:tcPr>
          <w:p w14:paraId="4E0CC1F4" w14:textId="77777777" w:rsidR="00821E87" w:rsidRPr="00B026A2" w:rsidRDefault="00821E87" w:rsidP="00E108FF">
            <w:pPr>
              <w:rPr>
                <w:rFonts w:cstheme="minorHAnsi"/>
                <w:lang w:val="en-GB"/>
              </w:rPr>
            </w:pPr>
          </w:p>
        </w:tc>
        <w:tc>
          <w:tcPr>
            <w:tcW w:w="1020" w:type="dxa"/>
            <w:shd w:val="clear" w:color="auto" w:fill="auto"/>
          </w:tcPr>
          <w:p w14:paraId="5A799FC1" w14:textId="77777777" w:rsidR="00821E87" w:rsidRPr="00B026A2" w:rsidRDefault="00821E87" w:rsidP="00E108FF">
            <w:pPr>
              <w:rPr>
                <w:rFonts w:cstheme="minorHAnsi"/>
                <w:lang w:val="en-GB"/>
              </w:rPr>
            </w:pPr>
          </w:p>
        </w:tc>
        <w:tc>
          <w:tcPr>
            <w:tcW w:w="738" w:type="dxa"/>
          </w:tcPr>
          <w:p w14:paraId="06F2A175" w14:textId="77777777" w:rsidR="00821E87" w:rsidRPr="00B026A2" w:rsidRDefault="00821E87" w:rsidP="00E108FF">
            <w:pPr>
              <w:rPr>
                <w:rFonts w:cstheme="minorHAnsi"/>
                <w:lang w:val="en-GB"/>
              </w:rPr>
            </w:pPr>
          </w:p>
        </w:tc>
        <w:tc>
          <w:tcPr>
            <w:tcW w:w="875" w:type="dxa"/>
          </w:tcPr>
          <w:p w14:paraId="2528C006" w14:textId="77777777" w:rsidR="00821E87" w:rsidRPr="00B026A2" w:rsidRDefault="00821E87" w:rsidP="00E108FF">
            <w:pPr>
              <w:rPr>
                <w:rFonts w:cstheme="minorHAnsi"/>
                <w:lang w:val="en-GB"/>
              </w:rPr>
            </w:pPr>
          </w:p>
        </w:tc>
        <w:tc>
          <w:tcPr>
            <w:tcW w:w="1081" w:type="dxa"/>
          </w:tcPr>
          <w:p w14:paraId="275B7AB3" w14:textId="77777777" w:rsidR="00821E87" w:rsidRPr="00B026A2" w:rsidRDefault="00821E87" w:rsidP="00E108FF">
            <w:pPr>
              <w:rPr>
                <w:rFonts w:cstheme="minorHAnsi"/>
                <w:lang w:val="en-GB"/>
              </w:rPr>
            </w:pPr>
          </w:p>
        </w:tc>
        <w:tc>
          <w:tcPr>
            <w:tcW w:w="850" w:type="dxa"/>
            <w:vMerge/>
            <w:shd w:val="clear" w:color="auto" w:fill="000000" w:themeFill="text1"/>
          </w:tcPr>
          <w:p w14:paraId="7B7EFAAB" w14:textId="77777777" w:rsidR="00821E87" w:rsidRPr="00B026A2" w:rsidRDefault="00821E87" w:rsidP="00E108FF">
            <w:pPr>
              <w:rPr>
                <w:rFonts w:cstheme="minorHAnsi"/>
                <w:lang w:val="en-GB"/>
              </w:rPr>
            </w:pPr>
          </w:p>
        </w:tc>
      </w:tr>
      <w:tr w:rsidR="00821E87" w:rsidRPr="00B026A2" w14:paraId="2D28659D" w14:textId="77777777" w:rsidTr="00E108FF">
        <w:tc>
          <w:tcPr>
            <w:tcW w:w="1271" w:type="dxa"/>
          </w:tcPr>
          <w:p w14:paraId="6CEF6573" w14:textId="77777777" w:rsidR="00821E87" w:rsidRPr="00B026A2" w:rsidRDefault="00821E87" w:rsidP="00E108FF">
            <w:pPr>
              <w:rPr>
                <w:rFonts w:cstheme="minorHAnsi"/>
                <w:b/>
                <w:lang w:val="en-GB"/>
              </w:rPr>
            </w:pPr>
            <w:r w:rsidRPr="00B026A2">
              <w:rPr>
                <w:rFonts w:cstheme="minorHAnsi"/>
                <w:b/>
                <w:lang w:val="en-GB"/>
              </w:rPr>
              <w:t xml:space="preserve">4 </w:t>
            </w:r>
            <w:proofErr w:type="gramStart"/>
            <w:r w:rsidRPr="00B026A2">
              <w:rPr>
                <w:rFonts w:cstheme="minorHAnsi"/>
                <w:bCs/>
                <w:lang w:val="en-GB"/>
              </w:rPr>
              <w:t>24 week</w:t>
            </w:r>
            <w:proofErr w:type="gramEnd"/>
            <w:r w:rsidRPr="00B026A2">
              <w:rPr>
                <w:rFonts w:cstheme="minorHAnsi"/>
                <w:bCs/>
                <w:lang w:val="en-GB"/>
              </w:rPr>
              <w:t xml:space="preserve"> report</w:t>
            </w:r>
          </w:p>
        </w:tc>
        <w:tc>
          <w:tcPr>
            <w:tcW w:w="851" w:type="dxa"/>
            <w:shd w:val="clear" w:color="auto" w:fill="auto"/>
          </w:tcPr>
          <w:p w14:paraId="3713DA53" w14:textId="77777777" w:rsidR="00821E87" w:rsidRPr="00B026A2" w:rsidRDefault="00821E87" w:rsidP="00E108FF">
            <w:pPr>
              <w:rPr>
                <w:rFonts w:cstheme="minorHAnsi"/>
                <w:lang w:val="en-GB"/>
              </w:rPr>
            </w:pPr>
          </w:p>
        </w:tc>
        <w:tc>
          <w:tcPr>
            <w:tcW w:w="992" w:type="dxa"/>
          </w:tcPr>
          <w:p w14:paraId="0FAB6B36" w14:textId="77777777" w:rsidR="00821E87" w:rsidRPr="00B026A2" w:rsidRDefault="00821E87" w:rsidP="00E108FF">
            <w:pPr>
              <w:rPr>
                <w:rFonts w:cstheme="minorHAnsi"/>
                <w:lang w:val="en-GB"/>
              </w:rPr>
            </w:pPr>
          </w:p>
        </w:tc>
        <w:tc>
          <w:tcPr>
            <w:tcW w:w="1134" w:type="dxa"/>
            <w:tcBorders>
              <w:bottom w:val="single" w:sz="4" w:space="0" w:color="auto"/>
            </w:tcBorders>
          </w:tcPr>
          <w:p w14:paraId="3E3CADEA" w14:textId="77777777" w:rsidR="00821E87" w:rsidRPr="00B026A2" w:rsidRDefault="00821E87" w:rsidP="00E108FF">
            <w:pPr>
              <w:rPr>
                <w:rFonts w:cstheme="minorHAnsi"/>
                <w:lang w:val="en-GB"/>
              </w:rPr>
            </w:pPr>
          </w:p>
        </w:tc>
        <w:tc>
          <w:tcPr>
            <w:tcW w:w="466" w:type="dxa"/>
            <w:tcBorders>
              <w:bottom w:val="single" w:sz="4" w:space="0" w:color="auto"/>
            </w:tcBorders>
            <w:shd w:val="clear" w:color="auto" w:fill="FFFF00"/>
          </w:tcPr>
          <w:p w14:paraId="38E8C5CC" w14:textId="77777777" w:rsidR="00821E87" w:rsidRPr="00B026A2" w:rsidRDefault="00821E87" w:rsidP="00E108FF">
            <w:pPr>
              <w:rPr>
                <w:rFonts w:cstheme="minorHAnsi"/>
                <w:lang w:val="en-GB"/>
              </w:rPr>
            </w:pPr>
          </w:p>
        </w:tc>
        <w:tc>
          <w:tcPr>
            <w:tcW w:w="498" w:type="dxa"/>
            <w:vMerge/>
            <w:shd w:val="clear" w:color="auto" w:fill="000000" w:themeFill="text1"/>
          </w:tcPr>
          <w:p w14:paraId="54F8EA24" w14:textId="77777777" w:rsidR="00821E87" w:rsidRPr="00B026A2" w:rsidRDefault="00821E87" w:rsidP="00E108FF">
            <w:pPr>
              <w:rPr>
                <w:rFonts w:cstheme="minorHAnsi"/>
                <w:lang w:val="en-GB"/>
              </w:rPr>
            </w:pPr>
          </w:p>
        </w:tc>
        <w:tc>
          <w:tcPr>
            <w:tcW w:w="1020" w:type="dxa"/>
          </w:tcPr>
          <w:p w14:paraId="6C3B4868" w14:textId="77777777" w:rsidR="00821E87" w:rsidRPr="00B026A2" w:rsidRDefault="00821E87" w:rsidP="00E108FF">
            <w:pPr>
              <w:rPr>
                <w:rFonts w:cstheme="minorHAnsi"/>
                <w:lang w:val="en-GB"/>
              </w:rPr>
            </w:pPr>
          </w:p>
        </w:tc>
        <w:tc>
          <w:tcPr>
            <w:tcW w:w="738" w:type="dxa"/>
          </w:tcPr>
          <w:p w14:paraId="3955BC1C" w14:textId="77777777" w:rsidR="00821E87" w:rsidRPr="00B026A2" w:rsidRDefault="00821E87" w:rsidP="00E108FF">
            <w:pPr>
              <w:rPr>
                <w:rFonts w:cstheme="minorHAnsi"/>
                <w:lang w:val="en-GB"/>
              </w:rPr>
            </w:pPr>
          </w:p>
        </w:tc>
        <w:tc>
          <w:tcPr>
            <w:tcW w:w="875" w:type="dxa"/>
          </w:tcPr>
          <w:p w14:paraId="291E619A" w14:textId="77777777" w:rsidR="00821E87" w:rsidRPr="00B026A2" w:rsidRDefault="00821E87" w:rsidP="00E108FF">
            <w:pPr>
              <w:rPr>
                <w:rFonts w:cstheme="minorHAnsi"/>
                <w:lang w:val="en-GB"/>
              </w:rPr>
            </w:pPr>
          </w:p>
        </w:tc>
        <w:tc>
          <w:tcPr>
            <w:tcW w:w="1081" w:type="dxa"/>
          </w:tcPr>
          <w:p w14:paraId="0D932C36" w14:textId="77777777" w:rsidR="00821E87" w:rsidRPr="00B026A2" w:rsidRDefault="00821E87" w:rsidP="00E108FF">
            <w:pPr>
              <w:rPr>
                <w:rFonts w:cstheme="minorHAnsi"/>
                <w:lang w:val="en-GB"/>
              </w:rPr>
            </w:pPr>
          </w:p>
        </w:tc>
        <w:tc>
          <w:tcPr>
            <w:tcW w:w="850" w:type="dxa"/>
            <w:vMerge/>
            <w:shd w:val="clear" w:color="auto" w:fill="000000" w:themeFill="text1"/>
          </w:tcPr>
          <w:p w14:paraId="6213D03C" w14:textId="77777777" w:rsidR="00821E87" w:rsidRPr="00B026A2" w:rsidRDefault="00821E87" w:rsidP="00E108FF">
            <w:pPr>
              <w:rPr>
                <w:rFonts w:cstheme="minorHAnsi"/>
                <w:lang w:val="en-GB"/>
              </w:rPr>
            </w:pPr>
          </w:p>
        </w:tc>
      </w:tr>
      <w:tr w:rsidR="00821E87" w:rsidRPr="00B026A2" w14:paraId="1BE73A8C" w14:textId="77777777" w:rsidTr="00E108FF">
        <w:tc>
          <w:tcPr>
            <w:tcW w:w="1271" w:type="dxa"/>
          </w:tcPr>
          <w:p w14:paraId="01CF0D62" w14:textId="77777777" w:rsidR="00821E87" w:rsidRPr="00B026A2" w:rsidRDefault="00821E87" w:rsidP="00E108FF">
            <w:pPr>
              <w:rPr>
                <w:rFonts w:cstheme="minorHAnsi"/>
                <w:b/>
                <w:lang w:val="en-GB"/>
              </w:rPr>
            </w:pPr>
            <w:r w:rsidRPr="00B026A2">
              <w:rPr>
                <w:rFonts w:cstheme="minorHAnsi"/>
                <w:b/>
                <w:lang w:val="en-GB"/>
              </w:rPr>
              <w:t xml:space="preserve">5 </w:t>
            </w:r>
            <w:proofErr w:type="gramStart"/>
            <w:r w:rsidRPr="00B026A2">
              <w:rPr>
                <w:rFonts w:cstheme="minorHAnsi"/>
                <w:bCs/>
                <w:lang w:val="en-GB"/>
              </w:rPr>
              <w:t>30 week</w:t>
            </w:r>
            <w:proofErr w:type="gramEnd"/>
            <w:r w:rsidRPr="00B026A2">
              <w:rPr>
                <w:rFonts w:cstheme="minorHAnsi"/>
                <w:bCs/>
                <w:lang w:val="en-GB"/>
              </w:rPr>
              <w:t xml:space="preserve"> report (final)</w:t>
            </w:r>
          </w:p>
        </w:tc>
        <w:tc>
          <w:tcPr>
            <w:tcW w:w="851" w:type="dxa"/>
          </w:tcPr>
          <w:p w14:paraId="7F4117CE" w14:textId="77777777" w:rsidR="00821E87" w:rsidRPr="00B026A2" w:rsidRDefault="00821E87" w:rsidP="00E108FF">
            <w:pPr>
              <w:rPr>
                <w:rFonts w:cstheme="minorHAnsi"/>
                <w:lang w:val="en-GB"/>
              </w:rPr>
            </w:pPr>
          </w:p>
        </w:tc>
        <w:tc>
          <w:tcPr>
            <w:tcW w:w="992" w:type="dxa"/>
          </w:tcPr>
          <w:p w14:paraId="7F3B244F" w14:textId="77777777" w:rsidR="00821E87" w:rsidRPr="00B026A2" w:rsidRDefault="00821E87" w:rsidP="00E108FF">
            <w:pPr>
              <w:rPr>
                <w:rFonts w:cstheme="minorHAnsi"/>
                <w:lang w:val="en-GB"/>
              </w:rPr>
            </w:pPr>
          </w:p>
        </w:tc>
        <w:tc>
          <w:tcPr>
            <w:tcW w:w="1134" w:type="dxa"/>
            <w:shd w:val="clear" w:color="auto" w:fill="auto"/>
          </w:tcPr>
          <w:p w14:paraId="1AECDFD1" w14:textId="77777777" w:rsidR="00821E87" w:rsidRPr="00B026A2" w:rsidRDefault="00821E87" w:rsidP="00E108FF">
            <w:pPr>
              <w:rPr>
                <w:rFonts w:cstheme="minorHAnsi"/>
                <w:lang w:val="en-GB"/>
              </w:rPr>
            </w:pPr>
          </w:p>
        </w:tc>
        <w:tc>
          <w:tcPr>
            <w:tcW w:w="466" w:type="dxa"/>
            <w:shd w:val="clear" w:color="auto" w:fill="auto"/>
          </w:tcPr>
          <w:p w14:paraId="0C5304CF" w14:textId="77777777" w:rsidR="00821E87" w:rsidRPr="00B026A2" w:rsidRDefault="00821E87" w:rsidP="00E108FF">
            <w:pPr>
              <w:rPr>
                <w:rFonts w:cstheme="minorHAnsi"/>
                <w:lang w:val="en-GB"/>
              </w:rPr>
            </w:pPr>
          </w:p>
        </w:tc>
        <w:tc>
          <w:tcPr>
            <w:tcW w:w="498" w:type="dxa"/>
            <w:vMerge/>
            <w:shd w:val="clear" w:color="auto" w:fill="000000" w:themeFill="text1"/>
          </w:tcPr>
          <w:p w14:paraId="67EC2F4C" w14:textId="77777777" w:rsidR="00821E87" w:rsidRPr="00B026A2" w:rsidRDefault="00821E87" w:rsidP="00E108FF">
            <w:pPr>
              <w:rPr>
                <w:rFonts w:cstheme="minorHAnsi"/>
                <w:lang w:val="en-GB"/>
              </w:rPr>
            </w:pPr>
          </w:p>
        </w:tc>
        <w:tc>
          <w:tcPr>
            <w:tcW w:w="1020" w:type="dxa"/>
            <w:tcBorders>
              <w:bottom w:val="single" w:sz="4" w:space="0" w:color="auto"/>
            </w:tcBorders>
            <w:shd w:val="clear" w:color="auto" w:fill="FFFF00"/>
          </w:tcPr>
          <w:p w14:paraId="6ADF55FE" w14:textId="77777777" w:rsidR="00821E87" w:rsidRPr="00B026A2" w:rsidRDefault="00821E87" w:rsidP="00E108FF">
            <w:pPr>
              <w:rPr>
                <w:rFonts w:cstheme="minorHAnsi"/>
                <w:lang w:val="en-GB"/>
              </w:rPr>
            </w:pPr>
          </w:p>
        </w:tc>
        <w:tc>
          <w:tcPr>
            <w:tcW w:w="738" w:type="dxa"/>
            <w:tcBorders>
              <w:bottom w:val="single" w:sz="4" w:space="0" w:color="auto"/>
            </w:tcBorders>
          </w:tcPr>
          <w:p w14:paraId="14F2D3E2" w14:textId="77777777" w:rsidR="00821E87" w:rsidRPr="00B026A2" w:rsidRDefault="00821E87" w:rsidP="00E108FF">
            <w:pPr>
              <w:rPr>
                <w:rFonts w:cstheme="minorHAnsi"/>
                <w:lang w:val="en-GB"/>
              </w:rPr>
            </w:pPr>
          </w:p>
        </w:tc>
        <w:tc>
          <w:tcPr>
            <w:tcW w:w="875" w:type="dxa"/>
            <w:tcBorders>
              <w:bottom w:val="single" w:sz="4" w:space="0" w:color="auto"/>
            </w:tcBorders>
          </w:tcPr>
          <w:p w14:paraId="42B73A13" w14:textId="77777777" w:rsidR="00821E87" w:rsidRPr="00B026A2" w:rsidRDefault="00821E87" w:rsidP="00E108FF">
            <w:pPr>
              <w:rPr>
                <w:rFonts w:cstheme="minorHAnsi"/>
                <w:lang w:val="en-GB"/>
              </w:rPr>
            </w:pPr>
          </w:p>
        </w:tc>
        <w:tc>
          <w:tcPr>
            <w:tcW w:w="1081" w:type="dxa"/>
            <w:tcBorders>
              <w:bottom w:val="single" w:sz="4" w:space="0" w:color="auto"/>
            </w:tcBorders>
          </w:tcPr>
          <w:p w14:paraId="0A3BD4DB" w14:textId="77777777" w:rsidR="00821E87" w:rsidRPr="00B026A2" w:rsidRDefault="00821E87" w:rsidP="00E108FF">
            <w:pPr>
              <w:rPr>
                <w:rFonts w:cstheme="minorHAnsi"/>
                <w:lang w:val="en-GB"/>
              </w:rPr>
            </w:pPr>
          </w:p>
        </w:tc>
        <w:tc>
          <w:tcPr>
            <w:tcW w:w="850" w:type="dxa"/>
            <w:vMerge/>
            <w:shd w:val="clear" w:color="auto" w:fill="000000" w:themeFill="text1"/>
          </w:tcPr>
          <w:p w14:paraId="346182E4" w14:textId="77777777" w:rsidR="00821E87" w:rsidRPr="00B026A2" w:rsidRDefault="00821E87" w:rsidP="00E108FF">
            <w:pPr>
              <w:rPr>
                <w:rFonts w:cstheme="minorHAnsi"/>
                <w:lang w:val="en-GB"/>
              </w:rPr>
            </w:pPr>
          </w:p>
        </w:tc>
      </w:tr>
      <w:tr w:rsidR="00821E87" w:rsidRPr="00B026A2" w14:paraId="0570EA2A" w14:textId="77777777" w:rsidTr="00E108FF">
        <w:trPr>
          <w:trHeight w:val="358"/>
        </w:trPr>
        <w:tc>
          <w:tcPr>
            <w:tcW w:w="1271" w:type="dxa"/>
          </w:tcPr>
          <w:p w14:paraId="10BDDEE9" w14:textId="77777777" w:rsidR="00821E87" w:rsidRPr="00B026A2" w:rsidRDefault="00821E87" w:rsidP="00E108FF">
            <w:pPr>
              <w:rPr>
                <w:rFonts w:cstheme="minorHAnsi"/>
                <w:b/>
                <w:lang w:val="en-GB"/>
              </w:rPr>
            </w:pPr>
          </w:p>
        </w:tc>
        <w:tc>
          <w:tcPr>
            <w:tcW w:w="851" w:type="dxa"/>
          </w:tcPr>
          <w:p w14:paraId="5F1D4026" w14:textId="77777777" w:rsidR="00821E87" w:rsidRPr="00B026A2" w:rsidRDefault="00821E87" w:rsidP="00E108FF">
            <w:pPr>
              <w:rPr>
                <w:rFonts w:cstheme="minorHAnsi"/>
                <w:lang w:val="en-GB"/>
              </w:rPr>
            </w:pPr>
          </w:p>
        </w:tc>
        <w:tc>
          <w:tcPr>
            <w:tcW w:w="992" w:type="dxa"/>
          </w:tcPr>
          <w:p w14:paraId="0032D1CB" w14:textId="77777777" w:rsidR="00821E87" w:rsidRPr="00B026A2" w:rsidRDefault="00821E87" w:rsidP="00E108FF">
            <w:pPr>
              <w:rPr>
                <w:rFonts w:cstheme="minorHAnsi"/>
                <w:lang w:val="en-GB"/>
              </w:rPr>
            </w:pPr>
          </w:p>
        </w:tc>
        <w:tc>
          <w:tcPr>
            <w:tcW w:w="1134" w:type="dxa"/>
          </w:tcPr>
          <w:p w14:paraId="38A70002" w14:textId="77777777" w:rsidR="00821E87" w:rsidRPr="00B026A2" w:rsidRDefault="00821E87" w:rsidP="00E108FF">
            <w:pPr>
              <w:rPr>
                <w:rFonts w:cstheme="minorHAnsi"/>
                <w:lang w:val="en-GB"/>
              </w:rPr>
            </w:pPr>
          </w:p>
        </w:tc>
        <w:tc>
          <w:tcPr>
            <w:tcW w:w="466" w:type="dxa"/>
          </w:tcPr>
          <w:p w14:paraId="79B82D75" w14:textId="77777777" w:rsidR="00821E87" w:rsidRPr="00B026A2" w:rsidRDefault="00821E87" w:rsidP="00E108FF">
            <w:pPr>
              <w:rPr>
                <w:rFonts w:cstheme="minorHAnsi"/>
                <w:lang w:val="en-GB"/>
              </w:rPr>
            </w:pPr>
          </w:p>
        </w:tc>
        <w:tc>
          <w:tcPr>
            <w:tcW w:w="498" w:type="dxa"/>
            <w:vMerge/>
            <w:shd w:val="clear" w:color="auto" w:fill="000000" w:themeFill="text1"/>
          </w:tcPr>
          <w:p w14:paraId="29B4DCD6" w14:textId="77777777" w:rsidR="00821E87" w:rsidRPr="00B026A2" w:rsidRDefault="00821E87" w:rsidP="00E108FF">
            <w:pPr>
              <w:rPr>
                <w:rFonts w:cstheme="minorHAnsi"/>
                <w:lang w:val="en-GB"/>
              </w:rPr>
            </w:pPr>
          </w:p>
        </w:tc>
        <w:tc>
          <w:tcPr>
            <w:tcW w:w="1020" w:type="dxa"/>
            <w:shd w:val="clear" w:color="auto" w:fill="auto"/>
          </w:tcPr>
          <w:p w14:paraId="1A88D6FC" w14:textId="77777777" w:rsidR="00821E87" w:rsidRPr="00B026A2" w:rsidRDefault="00821E87" w:rsidP="00E108FF">
            <w:pPr>
              <w:rPr>
                <w:rFonts w:cstheme="minorHAnsi"/>
                <w:lang w:val="en-GB"/>
              </w:rPr>
            </w:pPr>
          </w:p>
        </w:tc>
        <w:tc>
          <w:tcPr>
            <w:tcW w:w="738" w:type="dxa"/>
            <w:shd w:val="clear" w:color="auto" w:fill="auto"/>
          </w:tcPr>
          <w:p w14:paraId="0EAC41D7" w14:textId="77777777" w:rsidR="00821E87" w:rsidRPr="00B026A2" w:rsidRDefault="00821E87" w:rsidP="00E108FF">
            <w:pPr>
              <w:rPr>
                <w:rFonts w:cstheme="minorHAnsi"/>
                <w:lang w:val="en-GB"/>
              </w:rPr>
            </w:pPr>
          </w:p>
        </w:tc>
        <w:tc>
          <w:tcPr>
            <w:tcW w:w="875" w:type="dxa"/>
            <w:shd w:val="clear" w:color="auto" w:fill="auto"/>
          </w:tcPr>
          <w:p w14:paraId="016682BE" w14:textId="77777777" w:rsidR="00821E87" w:rsidRPr="00B026A2" w:rsidRDefault="00821E87" w:rsidP="00E108FF">
            <w:pPr>
              <w:rPr>
                <w:rFonts w:cstheme="minorHAnsi"/>
                <w:lang w:val="en-GB"/>
              </w:rPr>
            </w:pPr>
          </w:p>
        </w:tc>
        <w:tc>
          <w:tcPr>
            <w:tcW w:w="1081" w:type="dxa"/>
            <w:shd w:val="clear" w:color="auto" w:fill="auto"/>
          </w:tcPr>
          <w:p w14:paraId="54B257E3" w14:textId="77777777" w:rsidR="00821E87" w:rsidRPr="00B026A2" w:rsidRDefault="00821E87" w:rsidP="00E108FF">
            <w:pPr>
              <w:rPr>
                <w:rFonts w:cstheme="minorHAnsi"/>
                <w:lang w:val="en-GB"/>
              </w:rPr>
            </w:pPr>
          </w:p>
        </w:tc>
        <w:tc>
          <w:tcPr>
            <w:tcW w:w="850" w:type="dxa"/>
            <w:vMerge/>
            <w:shd w:val="clear" w:color="auto" w:fill="000000" w:themeFill="text1"/>
          </w:tcPr>
          <w:p w14:paraId="58E28764" w14:textId="77777777" w:rsidR="00821E87" w:rsidRPr="00B026A2" w:rsidRDefault="00821E87" w:rsidP="00E108FF">
            <w:pPr>
              <w:rPr>
                <w:rFonts w:cstheme="minorHAnsi"/>
                <w:lang w:val="en-GB"/>
              </w:rPr>
            </w:pPr>
          </w:p>
        </w:tc>
      </w:tr>
    </w:tbl>
    <w:p w14:paraId="78C8B983" w14:textId="77777777" w:rsidR="00821E87" w:rsidRPr="00B026A2" w:rsidRDefault="00821E87" w:rsidP="00821E87">
      <w:pPr>
        <w:rPr>
          <w:rFonts w:cstheme="minorHAnsi"/>
          <w:lang w:val="en-GB"/>
        </w:rPr>
      </w:pPr>
    </w:p>
    <w:p w14:paraId="4781D1C6" w14:textId="77777777" w:rsidR="00821E87" w:rsidRPr="00B026A2" w:rsidRDefault="00821E87" w:rsidP="00821E87">
      <w:pPr>
        <w:rPr>
          <w:rFonts w:cstheme="minorHAnsi"/>
          <w:b/>
          <w:lang w:val="en-GB"/>
        </w:rPr>
      </w:pPr>
      <w:r w:rsidRPr="00B026A2">
        <w:rPr>
          <w:rFonts w:cstheme="minorHAnsi"/>
          <w:b/>
          <w:lang w:val="en-GB"/>
        </w:rPr>
        <w:t>Project Management</w:t>
      </w:r>
    </w:p>
    <w:p w14:paraId="5A596415" w14:textId="00836036" w:rsidR="00821E87" w:rsidRPr="00B026A2" w:rsidRDefault="00821E87" w:rsidP="00821E87">
      <w:pPr>
        <w:rPr>
          <w:lang w:val="en-GB"/>
        </w:rPr>
      </w:pPr>
      <w:r w:rsidRPr="00B026A2">
        <w:rPr>
          <w:lang w:val="en-GB"/>
        </w:rPr>
        <w:t xml:space="preserve">We have a team with in-depth experience of project management, including major Health Research Council funded studies. We are therefore experienced in managing projects which require on-line surveys, have allowed sufficient time for recruitment and entry of data and will ensure that milestones are achieved. </w:t>
      </w:r>
    </w:p>
    <w:p w14:paraId="462E4857" w14:textId="735C820D" w:rsidR="00E10985" w:rsidRDefault="00E10985" w:rsidP="00607920">
      <w:pPr>
        <w:spacing w:before="60"/>
        <w:rPr>
          <w:b/>
          <w:bCs/>
          <w:lang w:val="en-GB"/>
        </w:rPr>
      </w:pPr>
    </w:p>
    <w:p w14:paraId="3EF61360" w14:textId="77777777" w:rsidR="001535F6" w:rsidRPr="00B026A2" w:rsidRDefault="001535F6" w:rsidP="00607920">
      <w:pPr>
        <w:spacing w:before="60"/>
        <w:rPr>
          <w:b/>
          <w:bCs/>
          <w:lang w:val="en-GB"/>
        </w:rPr>
      </w:pPr>
    </w:p>
    <w:p w14:paraId="6158C38A" w14:textId="2F5E5667" w:rsidR="00890E5F" w:rsidRPr="00B026A2" w:rsidRDefault="00FD13F7" w:rsidP="006E4BC8">
      <w:pPr>
        <w:rPr>
          <w:b/>
          <w:bCs/>
          <w:lang w:val="en-GB"/>
        </w:rPr>
      </w:pPr>
      <w:r w:rsidRPr="00B026A2">
        <w:rPr>
          <w:b/>
          <w:bCs/>
          <w:lang w:val="en-GB"/>
        </w:rPr>
        <w:lastRenderedPageBreak/>
        <w:t xml:space="preserve">References. </w:t>
      </w:r>
      <w:r w:rsidR="00890E5F" w:rsidRPr="00B026A2">
        <w:rPr>
          <w:b/>
          <w:bCs/>
          <w:lang w:val="en-GB"/>
        </w:rPr>
        <w:t xml:space="preserve"> </w:t>
      </w:r>
    </w:p>
    <w:p w14:paraId="2DC5DDB6" w14:textId="140905E6" w:rsidR="0023032D" w:rsidRPr="00B026A2" w:rsidRDefault="00A722CE" w:rsidP="0023032D">
      <w:pPr>
        <w:pStyle w:val="ListParagraph"/>
        <w:numPr>
          <w:ilvl w:val="0"/>
          <w:numId w:val="8"/>
        </w:numPr>
        <w:rPr>
          <w:rFonts w:ascii="Calibri" w:hAnsi="Calibri" w:cs="Calibri"/>
          <w:lang w:val="en-GB"/>
        </w:rPr>
      </w:pPr>
      <w:r w:rsidRPr="00B026A2">
        <w:rPr>
          <w:rFonts w:ascii="Calibri" w:hAnsi="Calibri" w:cs="Calibri"/>
          <w:lang w:val="en-GB"/>
        </w:rPr>
        <w:t xml:space="preserve">Richardson A, Gurung G, </w:t>
      </w:r>
      <w:proofErr w:type="spellStart"/>
      <w:r w:rsidRPr="00B026A2">
        <w:rPr>
          <w:rFonts w:ascii="Calibri" w:hAnsi="Calibri" w:cs="Calibri"/>
          <w:lang w:val="en-GB"/>
        </w:rPr>
        <w:t>Samaranayaka</w:t>
      </w:r>
      <w:proofErr w:type="spellEnd"/>
      <w:r w:rsidRPr="00B026A2">
        <w:rPr>
          <w:rFonts w:ascii="Calibri" w:hAnsi="Calibri" w:cs="Calibri"/>
          <w:lang w:val="en-GB"/>
        </w:rPr>
        <w:t xml:space="preserve"> A, et al. Risk and protective factors for post-traumatic stress among New Zealand military personnel: A cross sectional study. </w:t>
      </w:r>
      <w:proofErr w:type="spellStart"/>
      <w:r w:rsidRPr="00B026A2">
        <w:rPr>
          <w:rFonts w:ascii="Calibri" w:hAnsi="Calibri" w:cs="Calibri"/>
          <w:lang w:val="en-GB"/>
        </w:rPr>
        <w:t>PLoS</w:t>
      </w:r>
      <w:proofErr w:type="spellEnd"/>
      <w:r w:rsidRPr="00B026A2">
        <w:rPr>
          <w:rFonts w:ascii="Calibri" w:hAnsi="Calibri" w:cs="Calibri"/>
          <w:lang w:val="en-GB"/>
        </w:rPr>
        <w:t xml:space="preserve"> One 2020;</w:t>
      </w:r>
      <w:r w:rsidRPr="00B026A2">
        <w:rPr>
          <w:rFonts w:ascii="Calibri" w:hAnsi="Calibri" w:cs="Calibri"/>
          <w:b/>
          <w:bCs/>
          <w:lang w:val="en-GB"/>
        </w:rPr>
        <w:t>15</w:t>
      </w:r>
      <w:r w:rsidRPr="00B026A2">
        <w:rPr>
          <w:rFonts w:ascii="Calibri" w:hAnsi="Calibri" w:cs="Calibri"/>
          <w:lang w:val="en-GB"/>
        </w:rPr>
        <w:t>(4).</w:t>
      </w:r>
      <w:r w:rsidR="0025128E" w:rsidRPr="00B026A2">
        <w:rPr>
          <w:rFonts w:ascii="Calibri" w:hAnsi="Calibri" w:cs="Calibri"/>
          <w:lang w:val="en-GB"/>
        </w:rPr>
        <w:t xml:space="preserve"> Available from: </w:t>
      </w:r>
      <w:hyperlink r:id="rId8" w:history="1">
        <w:r w:rsidR="0023032D" w:rsidRPr="00B026A2">
          <w:rPr>
            <w:rStyle w:val="Hyperlink"/>
            <w:rFonts w:ascii="Calibri" w:hAnsi="Calibri" w:cs="Calibri"/>
            <w:lang w:val="en-GB"/>
          </w:rPr>
          <w:t>https://journals.plos.org/plosone/article?id=10.1371/journal.pone.0231460</w:t>
        </w:r>
      </w:hyperlink>
    </w:p>
    <w:p w14:paraId="1033FEEE" w14:textId="603539EF" w:rsidR="0025128E" w:rsidRPr="00B026A2" w:rsidRDefault="00A722CE" w:rsidP="0023032D">
      <w:pPr>
        <w:pStyle w:val="ListParagraph"/>
        <w:numPr>
          <w:ilvl w:val="0"/>
          <w:numId w:val="8"/>
        </w:numPr>
        <w:rPr>
          <w:rFonts w:ascii="Calibri" w:hAnsi="Calibri" w:cs="Calibri"/>
          <w:lang w:val="en-GB"/>
        </w:rPr>
      </w:pPr>
      <w:r w:rsidRPr="00B026A2">
        <w:rPr>
          <w:rFonts w:ascii="Calibri" w:hAnsi="Calibri" w:cs="Calibri"/>
          <w:lang w:val="en-GB"/>
        </w:rPr>
        <w:t xml:space="preserve">McBride D, Richardson A, </w:t>
      </w:r>
      <w:proofErr w:type="spellStart"/>
      <w:r w:rsidRPr="00B026A2">
        <w:rPr>
          <w:rFonts w:ascii="Calibri" w:hAnsi="Calibri" w:cs="Calibri"/>
          <w:lang w:val="en-GB"/>
        </w:rPr>
        <w:t>Samaranayaka</w:t>
      </w:r>
      <w:proofErr w:type="spellEnd"/>
      <w:r w:rsidRPr="00B026A2">
        <w:rPr>
          <w:rFonts w:ascii="Calibri" w:hAnsi="Calibri" w:cs="Calibri"/>
          <w:lang w:val="en-GB"/>
        </w:rPr>
        <w:t xml:space="preserve"> A, et al. Factors associated with self-reported health among New Zealand military Veterans, a cross sectional study. </w:t>
      </w:r>
      <w:r w:rsidR="0025128E" w:rsidRPr="00B026A2">
        <w:rPr>
          <w:rFonts w:ascii="Calibri" w:hAnsi="Calibri" w:cs="Calibri"/>
          <w:lang w:val="en-GB"/>
        </w:rPr>
        <w:t xml:space="preserve">Forthcoming 2021. Available from: </w:t>
      </w:r>
      <w:hyperlink r:id="rId9" w:history="1">
        <w:r w:rsidR="0025128E" w:rsidRPr="00B026A2">
          <w:rPr>
            <w:rStyle w:val="Hyperlink"/>
            <w:rFonts w:ascii="Calibri" w:hAnsi="Calibri" w:cs="Calibri"/>
            <w:lang w:val="en-GB"/>
          </w:rPr>
          <w:t>https://medrxiv.org/content/10.1101/2021.08.22.21262319v1</w:t>
        </w:r>
      </w:hyperlink>
      <w:r w:rsidR="0025128E" w:rsidRPr="00B026A2">
        <w:rPr>
          <w:rFonts w:ascii="Calibri" w:hAnsi="Calibri" w:cs="Calibri"/>
          <w:lang w:val="en-GB"/>
        </w:rPr>
        <w:t>.</w:t>
      </w:r>
    </w:p>
    <w:p w14:paraId="4E6DD692" w14:textId="017413B4" w:rsidR="0023032D" w:rsidRPr="00B026A2" w:rsidRDefault="00FA1DAB" w:rsidP="0023032D">
      <w:pPr>
        <w:pStyle w:val="ListParagraph"/>
        <w:numPr>
          <w:ilvl w:val="0"/>
          <w:numId w:val="8"/>
        </w:numPr>
        <w:rPr>
          <w:rFonts w:ascii="Calibri" w:hAnsi="Calibri" w:cs="Calibri"/>
          <w:bCs/>
          <w:lang w:val="en-GB"/>
        </w:rPr>
      </w:pPr>
      <w:r w:rsidRPr="00B026A2">
        <w:rPr>
          <w:rFonts w:ascii="Calibri" w:hAnsi="Calibri" w:cs="Calibri"/>
          <w:lang w:val="en-GB"/>
        </w:rPr>
        <w:t xml:space="preserve">McBride DI, Gardner D, Wyeth E, Cameron C, Shepherd D, </w:t>
      </w:r>
      <w:proofErr w:type="spellStart"/>
      <w:r w:rsidRPr="00B026A2">
        <w:rPr>
          <w:rFonts w:ascii="Calibri" w:hAnsi="Calibri" w:cs="Calibri"/>
          <w:lang w:val="en-GB"/>
        </w:rPr>
        <w:t>Derrett</w:t>
      </w:r>
      <w:proofErr w:type="spellEnd"/>
      <w:r w:rsidRPr="00B026A2">
        <w:rPr>
          <w:rFonts w:ascii="Calibri" w:hAnsi="Calibri" w:cs="Calibri"/>
          <w:lang w:val="en-GB"/>
        </w:rPr>
        <w:t xml:space="preserve"> S. </w:t>
      </w:r>
      <w:r w:rsidR="0023032D" w:rsidRPr="00B026A2">
        <w:rPr>
          <w:rFonts w:ascii="Calibri" w:hAnsi="Calibri" w:cs="Calibri"/>
          <w:bCs/>
          <w:lang w:val="en-GB"/>
        </w:rPr>
        <w:t>The health and wellbeing of New Zealand contemporary Veterans (Project Report) [Cited 2021 August 26</w:t>
      </w:r>
      <w:r w:rsidR="0023032D" w:rsidRPr="00B026A2">
        <w:rPr>
          <w:rFonts w:ascii="Calibri" w:hAnsi="Calibri" w:cs="Calibri"/>
          <w:bCs/>
          <w:vertAlign w:val="superscript"/>
          <w:lang w:val="en-GB"/>
        </w:rPr>
        <w:t>th</w:t>
      </w:r>
      <w:r w:rsidR="0023032D" w:rsidRPr="00B026A2">
        <w:rPr>
          <w:rFonts w:ascii="Calibri" w:hAnsi="Calibri" w:cs="Calibri"/>
          <w:bCs/>
          <w:lang w:val="en-GB"/>
        </w:rPr>
        <w:t xml:space="preserve">] Available from: </w:t>
      </w:r>
      <w:hyperlink r:id="rId10" w:history="1">
        <w:r w:rsidR="0023032D" w:rsidRPr="00B026A2">
          <w:rPr>
            <w:rStyle w:val="Hyperlink"/>
            <w:rFonts w:ascii="Calibri" w:hAnsi="Calibri" w:cs="Calibri"/>
            <w:bCs/>
            <w:lang w:val="en-GB"/>
          </w:rPr>
          <w:t>http://hdl.handle.net/10523/12228</w:t>
        </w:r>
      </w:hyperlink>
      <w:r w:rsidR="0023032D" w:rsidRPr="00B026A2">
        <w:rPr>
          <w:rFonts w:ascii="Calibri" w:hAnsi="Calibri" w:cs="Calibri"/>
          <w:bCs/>
          <w:lang w:val="en-GB"/>
        </w:rPr>
        <w:t>.</w:t>
      </w:r>
    </w:p>
    <w:p w14:paraId="1673A3F4" w14:textId="5AF0669A" w:rsidR="00A722CE" w:rsidRPr="00B026A2" w:rsidRDefault="00A722CE" w:rsidP="00FA1DAB">
      <w:pPr>
        <w:pStyle w:val="ListParagraph"/>
        <w:numPr>
          <w:ilvl w:val="0"/>
          <w:numId w:val="8"/>
        </w:numPr>
        <w:rPr>
          <w:lang w:val="en-GB"/>
        </w:rPr>
      </w:pPr>
      <w:proofErr w:type="spellStart"/>
      <w:r w:rsidRPr="00B026A2">
        <w:rPr>
          <w:lang w:val="en-GB"/>
        </w:rPr>
        <w:t>Gwini</w:t>
      </w:r>
      <w:proofErr w:type="spellEnd"/>
      <w:r w:rsidRPr="00B026A2">
        <w:rPr>
          <w:lang w:val="en-GB"/>
        </w:rPr>
        <w:t xml:space="preserve"> SM, Forbes AB, Kelsall HL, </w:t>
      </w:r>
      <w:proofErr w:type="spellStart"/>
      <w:r w:rsidRPr="00B026A2">
        <w:rPr>
          <w:lang w:val="en-GB"/>
        </w:rPr>
        <w:t>Ikin</w:t>
      </w:r>
      <w:proofErr w:type="spellEnd"/>
      <w:r w:rsidRPr="00B026A2">
        <w:rPr>
          <w:lang w:val="en-GB"/>
        </w:rPr>
        <w:t xml:space="preserve"> JF, Sim MR. Increased symptom reporting persists in 1990-1991 Gulf War veterans 20 years post deployment. </w:t>
      </w:r>
      <w:r w:rsidRPr="00B026A2">
        <w:rPr>
          <w:i/>
          <w:iCs/>
          <w:lang w:val="en-GB"/>
        </w:rPr>
        <w:t>Am J Ind Med</w:t>
      </w:r>
      <w:r w:rsidRPr="00B026A2">
        <w:rPr>
          <w:lang w:val="en-GB"/>
        </w:rPr>
        <w:t>. 2015;58(12):1246-54.</w:t>
      </w:r>
    </w:p>
    <w:p w14:paraId="2220B3B4" w14:textId="36230DF1" w:rsidR="00312412" w:rsidRPr="00B026A2" w:rsidRDefault="00312412" w:rsidP="00312412">
      <w:pPr>
        <w:pStyle w:val="ListParagraph"/>
        <w:numPr>
          <w:ilvl w:val="0"/>
          <w:numId w:val="8"/>
        </w:numPr>
        <w:rPr>
          <w:lang w:val="en-GB"/>
        </w:rPr>
      </w:pPr>
      <w:r w:rsidRPr="00B026A2">
        <w:rPr>
          <w:lang w:val="en-GB"/>
        </w:rPr>
        <w:t xml:space="preserve">Khan A, Malcolm G, Andrews-Smith L, Hamer N, Cane R, Tisch J, … McBride D. (2019). Loneliness and wellbeing amongst New Zealand Veterans (Trainee Intern healthcare evaluation project). Retrieved from </w:t>
      </w:r>
      <w:hyperlink r:id="rId11" w:history="1">
        <w:r w:rsidRPr="00B026A2">
          <w:rPr>
            <w:rStyle w:val="Hyperlink"/>
            <w:lang w:val="en-GB"/>
          </w:rPr>
          <w:t>http://hdl.handle.net/10523/12229</w:t>
        </w:r>
      </w:hyperlink>
      <w:r w:rsidRPr="00B026A2">
        <w:rPr>
          <w:lang w:val="en-GB"/>
        </w:rPr>
        <w:t>.</w:t>
      </w:r>
    </w:p>
    <w:p w14:paraId="05FEA1C7" w14:textId="2F29E020" w:rsidR="00FA1DAB" w:rsidRPr="00B026A2" w:rsidRDefault="00FA1DAB" w:rsidP="00FA1DAB">
      <w:pPr>
        <w:pStyle w:val="ListParagraph"/>
        <w:numPr>
          <w:ilvl w:val="0"/>
          <w:numId w:val="8"/>
        </w:numPr>
        <w:rPr>
          <w:rFonts w:ascii="Calibri" w:hAnsi="Calibri" w:cs="Calibri"/>
          <w:lang w:val="en-GB"/>
        </w:rPr>
      </w:pPr>
      <w:r w:rsidRPr="00B026A2">
        <w:rPr>
          <w:rFonts w:ascii="Calibri" w:hAnsi="Calibri" w:cs="Calibri"/>
          <w:lang w:val="en-GB"/>
        </w:rPr>
        <w:t xml:space="preserve">Austin G, Calvert Toby, </w:t>
      </w:r>
      <w:proofErr w:type="spellStart"/>
      <w:r w:rsidRPr="00B026A2">
        <w:rPr>
          <w:rFonts w:ascii="Calibri" w:hAnsi="Calibri" w:cs="Calibri"/>
          <w:lang w:val="en-GB"/>
        </w:rPr>
        <w:t>Fasi</w:t>
      </w:r>
      <w:proofErr w:type="spellEnd"/>
      <w:r w:rsidRPr="00B026A2">
        <w:rPr>
          <w:rFonts w:ascii="Calibri" w:hAnsi="Calibri" w:cs="Calibri"/>
          <w:lang w:val="en-GB"/>
        </w:rPr>
        <w:t xml:space="preserve"> N, et al. Soldiering on only goes so far: How a qualitative study on Veteran loneliness in New Zealand influenced that support during COVID-19 lockdown. Journal of Military, Veteran and Family Health 2020;</w:t>
      </w:r>
      <w:r w:rsidRPr="00B026A2">
        <w:rPr>
          <w:rFonts w:ascii="Calibri" w:hAnsi="Calibri" w:cs="Calibri"/>
          <w:b/>
          <w:bCs/>
          <w:lang w:val="en-GB"/>
        </w:rPr>
        <w:t>6</w:t>
      </w:r>
      <w:r w:rsidRPr="00B026A2">
        <w:rPr>
          <w:rFonts w:ascii="Calibri" w:hAnsi="Calibri" w:cs="Calibri"/>
          <w:lang w:val="en-GB"/>
        </w:rPr>
        <w:t>(S2):60-69.</w:t>
      </w:r>
    </w:p>
    <w:p w14:paraId="11142CC0" w14:textId="4FE4339F" w:rsidR="0025128E" w:rsidRPr="00B026A2" w:rsidRDefault="00C62348" w:rsidP="0025128E">
      <w:pPr>
        <w:pStyle w:val="ListParagraph"/>
        <w:numPr>
          <w:ilvl w:val="0"/>
          <w:numId w:val="8"/>
        </w:numPr>
        <w:rPr>
          <w:rFonts w:ascii="Calibri" w:hAnsi="Calibri" w:cs="Calibri"/>
          <w:lang w:val="en-GB"/>
        </w:rPr>
      </w:pPr>
      <w:r w:rsidRPr="00B026A2">
        <w:rPr>
          <w:rFonts w:ascii="Calibri" w:hAnsi="Calibri" w:cs="Calibri"/>
          <w:lang w:val="en-GB"/>
        </w:rPr>
        <w:t xml:space="preserve">The National Guideline Centre. Chronic pain: assessment and management. Evidence </w:t>
      </w:r>
      <w:proofErr w:type="gramStart"/>
      <w:r w:rsidRPr="00B026A2">
        <w:rPr>
          <w:rFonts w:ascii="Calibri" w:hAnsi="Calibri" w:cs="Calibri"/>
          <w:lang w:val="en-GB"/>
        </w:rPr>
        <w:t>review</w:t>
      </w:r>
      <w:proofErr w:type="gramEnd"/>
      <w:r w:rsidRPr="00B026A2">
        <w:rPr>
          <w:rFonts w:ascii="Calibri" w:hAnsi="Calibri" w:cs="Calibri"/>
          <w:lang w:val="en-GB"/>
        </w:rPr>
        <w:t xml:space="preserve"> for acupuncture. [Internet] 2020 [cited 2021 Aug 25].  Available from: </w:t>
      </w:r>
      <w:hyperlink r:id="rId12" w:history="1">
        <w:r w:rsidR="0025128E" w:rsidRPr="00B026A2">
          <w:rPr>
            <w:rStyle w:val="Hyperlink"/>
            <w:rFonts w:ascii="Calibri" w:hAnsi="Calibri" w:cs="Calibri"/>
            <w:lang w:val="en-GB"/>
          </w:rPr>
          <w:t>https://www.nice.org.uk/guidance/ng193/documents/evidence-review-7</w:t>
        </w:r>
      </w:hyperlink>
    </w:p>
    <w:p w14:paraId="46F99A26" w14:textId="77777777" w:rsidR="00FA1DAB" w:rsidRPr="00B026A2" w:rsidRDefault="00FA1DAB" w:rsidP="00FA1DAB">
      <w:pPr>
        <w:pStyle w:val="ListParagraph"/>
        <w:numPr>
          <w:ilvl w:val="0"/>
          <w:numId w:val="8"/>
        </w:numPr>
        <w:rPr>
          <w:rFonts w:ascii="Calibri" w:hAnsi="Calibri" w:cs="Calibri"/>
          <w:lang w:val="en-GB"/>
        </w:rPr>
      </w:pPr>
      <w:r w:rsidRPr="00B026A2">
        <w:rPr>
          <w:rFonts w:ascii="Calibri" w:hAnsi="Calibri" w:cs="Calibri"/>
          <w:color w:val="000000"/>
          <w:shd w:val="clear" w:color="auto" w:fill="FFFFFF"/>
          <w:lang w:val="en-GB"/>
        </w:rPr>
        <w:t xml:space="preserve">Levy, Charles E. MD; </w:t>
      </w:r>
      <w:proofErr w:type="spellStart"/>
      <w:r w:rsidRPr="00B026A2">
        <w:rPr>
          <w:rFonts w:ascii="Calibri" w:hAnsi="Calibri" w:cs="Calibri"/>
          <w:color w:val="000000"/>
          <w:shd w:val="clear" w:color="auto" w:fill="FFFFFF"/>
          <w:lang w:val="en-GB"/>
        </w:rPr>
        <w:t>Casler</w:t>
      </w:r>
      <w:proofErr w:type="spellEnd"/>
      <w:r w:rsidRPr="00B026A2">
        <w:rPr>
          <w:rFonts w:ascii="Calibri" w:hAnsi="Calibri" w:cs="Calibri"/>
          <w:color w:val="000000"/>
          <w:shd w:val="clear" w:color="auto" w:fill="FFFFFF"/>
          <w:lang w:val="en-GB"/>
        </w:rPr>
        <w:t xml:space="preserve">, Nicholas BS; FitzGerald, David B. MD Battlefield Acupuncture: An Emerging Method for Easing Pain.  Am J </w:t>
      </w:r>
      <w:proofErr w:type="spellStart"/>
      <w:r w:rsidRPr="00B026A2">
        <w:rPr>
          <w:rFonts w:ascii="Calibri" w:hAnsi="Calibri" w:cs="Calibri"/>
          <w:color w:val="000000"/>
          <w:shd w:val="clear" w:color="auto" w:fill="FFFFFF"/>
          <w:lang w:val="en-GB"/>
        </w:rPr>
        <w:t>Phy</w:t>
      </w:r>
      <w:proofErr w:type="spellEnd"/>
      <w:r w:rsidRPr="00B026A2">
        <w:rPr>
          <w:rFonts w:ascii="Calibri" w:hAnsi="Calibri" w:cs="Calibri"/>
          <w:color w:val="000000"/>
          <w:shd w:val="clear" w:color="auto" w:fill="FFFFFF"/>
          <w:lang w:val="en-GB"/>
        </w:rPr>
        <w:t xml:space="preserve"> Med &amp; Rehab. 2018; 97(3)e18-e19. </w:t>
      </w:r>
      <w:proofErr w:type="spellStart"/>
      <w:r w:rsidRPr="00B026A2">
        <w:rPr>
          <w:rFonts w:ascii="Calibri" w:hAnsi="Calibri" w:cs="Calibri"/>
          <w:color w:val="000000"/>
          <w:shd w:val="clear" w:color="auto" w:fill="FFFFFF"/>
          <w:lang w:val="en-GB"/>
        </w:rPr>
        <w:t>doi</w:t>
      </w:r>
      <w:proofErr w:type="spellEnd"/>
      <w:r w:rsidRPr="00B026A2">
        <w:rPr>
          <w:rFonts w:ascii="Calibri" w:hAnsi="Calibri" w:cs="Calibri"/>
          <w:color w:val="000000"/>
          <w:shd w:val="clear" w:color="auto" w:fill="FFFFFF"/>
          <w:lang w:val="en-GB"/>
        </w:rPr>
        <w:t>: 10.1097/PHM.0000000000000766.</w:t>
      </w:r>
    </w:p>
    <w:p w14:paraId="41EBD0B8" w14:textId="767C4222" w:rsidR="00FA1DAB" w:rsidRPr="00B026A2" w:rsidRDefault="00FA1DAB" w:rsidP="00FA1DAB">
      <w:pPr>
        <w:pStyle w:val="ListParagraph"/>
        <w:numPr>
          <w:ilvl w:val="0"/>
          <w:numId w:val="8"/>
        </w:numPr>
        <w:rPr>
          <w:rFonts w:ascii="Calibri" w:hAnsi="Calibri" w:cs="Calibri"/>
          <w:lang w:val="en-GB"/>
        </w:rPr>
      </w:pPr>
      <w:r w:rsidRPr="00B026A2">
        <w:rPr>
          <w:rFonts w:ascii="Calibri" w:hAnsi="Calibri" w:cs="Calibri"/>
          <w:lang w:val="en-GB"/>
        </w:rPr>
        <w:t xml:space="preserve">Lang AJ, </w:t>
      </w:r>
      <w:proofErr w:type="spellStart"/>
      <w:r w:rsidRPr="00B026A2">
        <w:rPr>
          <w:rFonts w:ascii="Calibri" w:hAnsi="Calibri" w:cs="Calibri"/>
          <w:lang w:val="en-GB"/>
        </w:rPr>
        <w:t>Schnurr</w:t>
      </w:r>
      <w:proofErr w:type="spellEnd"/>
      <w:r w:rsidRPr="00B026A2">
        <w:rPr>
          <w:rFonts w:ascii="Calibri" w:hAnsi="Calibri" w:cs="Calibri"/>
          <w:lang w:val="en-GB"/>
        </w:rPr>
        <w:t xml:space="preserve"> PP, Jain S, et al. Randomized controlled trial of acceptance and commitment therapy for distress and impairment in OEF/OIF/OND veterans. </w:t>
      </w:r>
      <w:proofErr w:type="spellStart"/>
      <w:r w:rsidRPr="00B026A2">
        <w:rPr>
          <w:rFonts w:ascii="Calibri" w:hAnsi="Calibri" w:cs="Calibri"/>
          <w:lang w:val="en-GB"/>
        </w:rPr>
        <w:t>Psychol</w:t>
      </w:r>
      <w:proofErr w:type="spellEnd"/>
      <w:r w:rsidRPr="00B026A2">
        <w:rPr>
          <w:rFonts w:ascii="Calibri" w:hAnsi="Calibri" w:cs="Calibri"/>
          <w:lang w:val="en-GB"/>
        </w:rPr>
        <w:t xml:space="preserve"> Trauma 2017;</w:t>
      </w:r>
      <w:r w:rsidRPr="00B026A2">
        <w:rPr>
          <w:rFonts w:ascii="Calibri" w:hAnsi="Calibri" w:cs="Calibri"/>
          <w:b/>
          <w:bCs/>
          <w:lang w:val="en-GB"/>
        </w:rPr>
        <w:t>9</w:t>
      </w:r>
      <w:r w:rsidRPr="00B026A2">
        <w:rPr>
          <w:rFonts w:ascii="Calibri" w:hAnsi="Calibri" w:cs="Calibri"/>
          <w:lang w:val="en-GB"/>
        </w:rPr>
        <w:t>(</w:t>
      </w:r>
      <w:proofErr w:type="spellStart"/>
      <w:r w:rsidRPr="00B026A2">
        <w:rPr>
          <w:rFonts w:ascii="Calibri" w:hAnsi="Calibri" w:cs="Calibri"/>
          <w:lang w:val="en-GB"/>
        </w:rPr>
        <w:t>Suppl</w:t>
      </w:r>
      <w:proofErr w:type="spellEnd"/>
      <w:r w:rsidRPr="00B026A2">
        <w:rPr>
          <w:rFonts w:ascii="Calibri" w:hAnsi="Calibri" w:cs="Calibri"/>
          <w:lang w:val="en-GB"/>
        </w:rPr>
        <w:t xml:space="preserve"> 1):74-84</w:t>
      </w:r>
      <w:r w:rsidR="00BC1016" w:rsidRPr="00B026A2">
        <w:rPr>
          <w:rFonts w:ascii="Calibri" w:hAnsi="Calibri" w:cs="Calibri"/>
          <w:lang w:val="en-GB"/>
        </w:rPr>
        <w:t>.</w:t>
      </w:r>
    </w:p>
    <w:p w14:paraId="35AD7476" w14:textId="165FE173" w:rsidR="00381523" w:rsidRPr="001535F6" w:rsidRDefault="00C62348" w:rsidP="001535F6">
      <w:pPr>
        <w:pStyle w:val="ListParagraph"/>
        <w:numPr>
          <w:ilvl w:val="0"/>
          <w:numId w:val="8"/>
        </w:numPr>
        <w:rPr>
          <w:rFonts w:ascii="Calibri" w:hAnsi="Calibri" w:cs="Calibri"/>
          <w:lang w:val="en-GB"/>
        </w:rPr>
      </w:pPr>
      <w:r w:rsidRPr="00B026A2">
        <w:rPr>
          <w:rFonts w:ascii="Calibri" w:hAnsi="Calibri" w:cs="Calibri"/>
          <w:lang w:val="en-GB"/>
        </w:rPr>
        <w:t>Hopton A, Eldred J, MacPherson H. Patients’ experiences of acupuncture and counselling for depression and comorbid pain: a qualitative study nested within a randomised controlled trial. BMJ Open</w:t>
      </w:r>
      <w:r w:rsidR="00144CA6" w:rsidRPr="00B026A2">
        <w:rPr>
          <w:rFonts w:ascii="Calibri" w:hAnsi="Calibri" w:cs="Calibri"/>
          <w:lang w:val="en-GB"/>
        </w:rPr>
        <w:t xml:space="preserve"> </w:t>
      </w:r>
      <w:r w:rsidRPr="00B026A2">
        <w:rPr>
          <w:rFonts w:ascii="Calibri" w:hAnsi="Calibri" w:cs="Calibri"/>
          <w:lang w:val="en-GB"/>
        </w:rPr>
        <w:t>2014;</w:t>
      </w:r>
      <w:proofErr w:type="gramStart"/>
      <w:r w:rsidRPr="00B026A2">
        <w:rPr>
          <w:rFonts w:ascii="Calibri" w:hAnsi="Calibri" w:cs="Calibri"/>
          <w:lang w:val="en-GB"/>
        </w:rPr>
        <w:t>4:e</w:t>
      </w:r>
      <w:proofErr w:type="gramEnd"/>
      <w:r w:rsidRPr="00B026A2">
        <w:rPr>
          <w:rFonts w:ascii="Calibri" w:hAnsi="Calibri" w:cs="Calibri"/>
          <w:lang w:val="en-GB"/>
        </w:rPr>
        <w:t>005144.</w:t>
      </w:r>
      <w:r w:rsidR="00381523" w:rsidRPr="001535F6">
        <w:rPr>
          <w:rFonts w:ascii="Calibri" w:hAnsi="Calibri" w:cs="Calibri"/>
          <w:lang w:val="en-GB"/>
        </w:rPr>
        <w:t>.</w:t>
      </w:r>
    </w:p>
    <w:p w14:paraId="012D0874" w14:textId="28839FA9" w:rsidR="00142720" w:rsidRPr="00B026A2" w:rsidRDefault="00142720" w:rsidP="00142720">
      <w:pPr>
        <w:pStyle w:val="ListParagraph"/>
        <w:numPr>
          <w:ilvl w:val="0"/>
          <w:numId w:val="8"/>
        </w:numPr>
        <w:rPr>
          <w:rFonts w:ascii="Calibri" w:hAnsi="Calibri" w:cs="Calibri"/>
          <w:lang w:val="en-GB"/>
        </w:rPr>
      </w:pPr>
      <w:r w:rsidRPr="00B026A2">
        <w:rPr>
          <w:rFonts w:ascii="Calibri" w:hAnsi="Calibri" w:cs="Calibri"/>
          <w:lang w:val="en-GB"/>
        </w:rPr>
        <w:t>Acupuncture New Zealand. [Internet]. [cited 2022 Feb 14] Available from https://www.acupuncture.org.nz/.</w:t>
      </w:r>
    </w:p>
    <w:p w14:paraId="7B4465D4" w14:textId="31C0F85B" w:rsidR="00142720" w:rsidRPr="00B026A2" w:rsidRDefault="00081678" w:rsidP="00BC1016">
      <w:pPr>
        <w:pStyle w:val="ListParagraph"/>
        <w:numPr>
          <w:ilvl w:val="0"/>
          <w:numId w:val="8"/>
        </w:numPr>
        <w:rPr>
          <w:rFonts w:ascii="Calibri" w:hAnsi="Calibri" w:cs="Calibri"/>
          <w:lang w:val="en-GB"/>
        </w:rPr>
      </w:pPr>
      <w:r w:rsidRPr="00B026A2">
        <w:rPr>
          <w:rFonts w:ascii="Calibri" w:hAnsi="Calibri" w:cs="Calibri"/>
          <w:lang w:val="en-GB"/>
        </w:rPr>
        <w:t xml:space="preserve">Acupuncture without borders [Internet] </w:t>
      </w:r>
      <w:r w:rsidR="001432DF" w:rsidRPr="00B026A2">
        <w:rPr>
          <w:rFonts w:ascii="Calibri" w:hAnsi="Calibri" w:cs="Calibri"/>
          <w:lang w:val="en-GB"/>
        </w:rPr>
        <w:t>[cited 2022 Feb 14</w:t>
      </w:r>
      <w:proofErr w:type="gramStart"/>
      <w:r w:rsidR="001432DF" w:rsidRPr="00B026A2">
        <w:rPr>
          <w:rFonts w:ascii="Calibri" w:hAnsi="Calibri" w:cs="Calibri"/>
          <w:lang w:val="en-GB"/>
        </w:rPr>
        <w:t xml:space="preserve">] </w:t>
      </w:r>
      <w:r w:rsidRPr="00B026A2">
        <w:rPr>
          <w:rFonts w:ascii="Calibri" w:hAnsi="Calibri" w:cs="Calibri"/>
          <w:lang w:val="en-GB"/>
        </w:rPr>
        <w:t xml:space="preserve"> Available</w:t>
      </w:r>
      <w:proofErr w:type="gramEnd"/>
      <w:r w:rsidRPr="00B026A2">
        <w:rPr>
          <w:rFonts w:ascii="Calibri" w:hAnsi="Calibri" w:cs="Calibri"/>
          <w:lang w:val="en-GB"/>
        </w:rPr>
        <w:t xml:space="preserve"> from: </w:t>
      </w:r>
      <w:hyperlink r:id="rId13" w:history="1">
        <w:r w:rsidR="0025128E" w:rsidRPr="00B026A2">
          <w:rPr>
            <w:rStyle w:val="Hyperlink"/>
            <w:rFonts w:ascii="Calibri" w:hAnsi="Calibri" w:cs="Calibri"/>
            <w:lang w:val="en-GB"/>
          </w:rPr>
          <w:t>https://acuwithoutborders.org/our-work/</w:t>
        </w:r>
      </w:hyperlink>
    </w:p>
    <w:p w14:paraId="70586541" w14:textId="77777777" w:rsidR="00142720" w:rsidRPr="00B026A2" w:rsidRDefault="00BC1016" w:rsidP="00142720">
      <w:pPr>
        <w:pStyle w:val="ListParagraph"/>
        <w:numPr>
          <w:ilvl w:val="0"/>
          <w:numId w:val="8"/>
        </w:numPr>
        <w:rPr>
          <w:rFonts w:ascii="Calibri" w:hAnsi="Calibri" w:cs="Calibri"/>
          <w:lang w:val="en-GB"/>
        </w:rPr>
      </w:pPr>
      <w:r w:rsidRPr="00B026A2">
        <w:rPr>
          <w:rFonts w:ascii="Calibri" w:hAnsi="Calibri" w:cs="Calibri"/>
          <w:lang w:val="en-GB"/>
        </w:rPr>
        <w:t xml:space="preserve">Ritchie EC. Cultural Competency and Treatment of Veteran and Military Patients </w:t>
      </w:r>
      <w:proofErr w:type="gramStart"/>
      <w:r w:rsidRPr="00B026A2">
        <w:rPr>
          <w:rFonts w:ascii="Calibri" w:hAnsi="Calibri" w:cs="Calibri"/>
          <w:lang w:val="en-GB"/>
        </w:rPr>
        <w:t>With</w:t>
      </w:r>
      <w:proofErr w:type="gramEnd"/>
      <w:r w:rsidRPr="00B026A2">
        <w:rPr>
          <w:rFonts w:ascii="Calibri" w:hAnsi="Calibri" w:cs="Calibri"/>
          <w:lang w:val="en-GB"/>
        </w:rPr>
        <w:t xml:space="preserve"> Mental Health Disorders. Fed </w:t>
      </w:r>
      <w:proofErr w:type="spellStart"/>
      <w:r w:rsidRPr="00B026A2">
        <w:rPr>
          <w:rFonts w:ascii="Calibri" w:hAnsi="Calibri" w:cs="Calibri"/>
          <w:lang w:val="en-GB"/>
        </w:rPr>
        <w:t>Pract</w:t>
      </w:r>
      <w:proofErr w:type="spellEnd"/>
      <w:r w:rsidRPr="00B026A2">
        <w:rPr>
          <w:rFonts w:ascii="Calibri" w:hAnsi="Calibri" w:cs="Calibri"/>
          <w:lang w:val="en-GB"/>
        </w:rPr>
        <w:t>. 2015;32(</w:t>
      </w:r>
      <w:proofErr w:type="spellStart"/>
      <w:r w:rsidRPr="00B026A2">
        <w:rPr>
          <w:rFonts w:ascii="Calibri" w:hAnsi="Calibri" w:cs="Calibri"/>
          <w:lang w:val="en-GB"/>
        </w:rPr>
        <w:t>Suppl</w:t>
      </w:r>
      <w:proofErr w:type="spellEnd"/>
      <w:r w:rsidRPr="00B026A2">
        <w:rPr>
          <w:rFonts w:ascii="Calibri" w:hAnsi="Calibri" w:cs="Calibri"/>
          <w:lang w:val="en-GB"/>
        </w:rPr>
        <w:t xml:space="preserve"> 3):12S-1</w:t>
      </w:r>
      <w:r w:rsidR="00116795" w:rsidRPr="00B026A2">
        <w:rPr>
          <w:rFonts w:ascii="Calibri" w:hAnsi="Calibri" w:cs="Calibri"/>
          <w:lang w:val="en-GB"/>
        </w:rPr>
        <w:t>.</w:t>
      </w:r>
      <w:r w:rsidR="00142720" w:rsidRPr="00B026A2">
        <w:rPr>
          <w:rFonts w:ascii="Calibri" w:hAnsi="Calibri" w:cs="Calibri"/>
          <w:lang w:val="en-GB"/>
        </w:rPr>
        <w:t xml:space="preserve"> </w:t>
      </w:r>
    </w:p>
    <w:p w14:paraId="60B4CDB7" w14:textId="2DD8C3D3" w:rsidR="00BC1016" w:rsidRPr="00B026A2" w:rsidRDefault="00142720" w:rsidP="00142720">
      <w:pPr>
        <w:pStyle w:val="ListParagraph"/>
        <w:numPr>
          <w:ilvl w:val="0"/>
          <w:numId w:val="8"/>
        </w:numPr>
        <w:rPr>
          <w:rFonts w:ascii="Calibri" w:hAnsi="Calibri" w:cs="Calibri"/>
          <w:lang w:val="en-GB"/>
        </w:rPr>
      </w:pPr>
      <w:proofErr w:type="spellStart"/>
      <w:r w:rsidRPr="00B026A2">
        <w:rPr>
          <w:rFonts w:ascii="Calibri" w:hAnsi="Calibri" w:cs="Calibri"/>
          <w:lang w:val="en-GB"/>
        </w:rPr>
        <w:t>PsychArmour</w:t>
      </w:r>
      <w:proofErr w:type="spellEnd"/>
      <w:r w:rsidRPr="00B026A2">
        <w:rPr>
          <w:rFonts w:ascii="Calibri" w:hAnsi="Calibri" w:cs="Calibri"/>
          <w:lang w:val="en-GB"/>
        </w:rPr>
        <w:t>. [Internet] [Internet] [cited 2022 Feb 14</w:t>
      </w:r>
      <w:proofErr w:type="gramStart"/>
      <w:r w:rsidRPr="00B026A2">
        <w:rPr>
          <w:rFonts w:ascii="Calibri" w:hAnsi="Calibri" w:cs="Calibri"/>
          <w:lang w:val="en-GB"/>
        </w:rPr>
        <w:t>]  Available</w:t>
      </w:r>
      <w:proofErr w:type="gramEnd"/>
      <w:r w:rsidRPr="00B026A2">
        <w:rPr>
          <w:rFonts w:ascii="Calibri" w:hAnsi="Calibri" w:cs="Calibri"/>
          <w:lang w:val="en-GB"/>
        </w:rPr>
        <w:t xml:space="preserve"> from: https://psycharmor.org/.</w:t>
      </w:r>
    </w:p>
    <w:p w14:paraId="0C236153" w14:textId="12A930AC" w:rsidR="00BC1016" w:rsidRPr="00B026A2" w:rsidRDefault="00BC1016" w:rsidP="00BC1016">
      <w:pPr>
        <w:pStyle w:val="ListParagraph"/>
        <w:numPr>
          <w:ilvl w:val="0"/>
          <w:numId w:val="8"/>
        </w:numPr>
        <w:rPr>
          <w:rFonts w:ascii="Calibri" w:hAnsi="Calibri" w:cs="Calibri"/>
          <w:lang w:val="en-GB"/>
        </w:rPr>
      </w:pPr>
      <w:r w:rsidRPr="00B026A2">
        <w:rPr>
          <w:lang w:val="en-GB"/>
        </w:rPr>
        <w:t>Goldberg D.P. The Detection of Psychiatric Illness by Questionnaire. Maudsley Monograph No. 21. London: Oxford University Press; 1972.</w:t>
      </w:r>
    </w:p>
    <w:p w14:paraId="6585CF69" w14:textId="327A0F43" w:rsidR="006120A8" w:rsidRPr="00B026A2" w:rsidRDefault="006120A8" w:rsidP="006120A8">
      <w:pPr>
        <w:pStyle w:val="ListParagraph"/>
        <w:numPr>
          <w:ilvl w:val="0"/>
          <w:numId w:val="8"/>
        </w:numPr>
        <w:rPr>
          <w:rFonts w:ascii="Calibri" w:hAnsi="Calibri" w:cs="Calibri"/>
          <w:lang w:val="en-GB"/>
        </w:rPr>
      </w:pPr>
      <w:r w:rsidRPr="00B026A2">
        <w:rPr>
          <w:rFonts w:ascii="Calibri" w:hAnsi="Calibri" w:cs="Calibri"/>
          <w:lang w:val="en-GB"/>
        </w:rPr>
        <w:lastRenderedPageBreak/>
        <w:t xml:space="preserve">Lawlis GF, </w:t>
      </w:r>
      <w:proofErr w:type="spellStart"/>
      <w:r w:rsidRPr="00B026A2">
        <w:rPr>
          <w:rFonts w:ascii="Calibri" w:hAnsi="Calibri" w:cs="Calibri"/>
          <w:lang w:val="en-GB"/>
        </w:rPr>
        <w:t>Cuencas</w:t>
      </w:r>
      <w:proofErr w:type="spellEnd"/>
      <w:r w:rsidRPr="00B026A2">
        <w:rPr>
          <w:rFonts w:ascii="Calibri" w:hAnsi="Calibri" w:cs="Calibri"/>
          <w:lang w:val="en-GB"/>
        </w:rPr>
        <w:t xml:space="preserve"> R, Selby D, et al. The development of the Dallas Pain Questionnaire. An assessment of the impact of spinal pain on </w:t>
      </w:r>
      <w:proofErr w:type="spellStart"/>
      <w:r w:rsidRPr="00B026A2">
        <w:rPr>
          <w:rFonts w:ascii="Calibri" w:hAnsi="Calibri" w:cs="Calibri"/>
          <w:lang w:val="en-GB"/>
        </w:rPr>
        <w:t>behavior</w:t>
      </w:r>
      <w:proofErr w:type="spellEnd"/>
      <w:r w:rsidRPr="00B026A2">
        <w:rPr>
          <w:rFonts w:ascii="Calibri" w:hAnsi="Calibri" w:cs="Calibri"/>
          <w:lang w:val="en-GB"/>
        </w:rPr>
        <w:t>. Spine (Phila Pa 1976) 1989;</w:t>
      </w:r>
      <w:r w:rsidRPr="00B026A2">
        <w:rPr>
          <w:rFonts w:ascii="Calibri" w:hAnsi="Calibri" w:cs="Calibri"/>
          <w:b/>
          <w:bCs/>
          <w:lang w:val="en-GB"/>
        </w:rPr>
        <w:t>14</w:t>
      </w:r>
      <w:r w:rsidRPr="00B026A2">
        <w:rPr>
          <w:rFonts w:ascii="Calibri" w:hAnsi="Calibri" w:cs="Calibri"/>
          <w:lang w:val="en-GB"/>
        </w:rPr>
        <w:t>(5):511-6</w:t>
      </w:r>
      <w:r w:rsidR="00116795" w:rsidRPr="00B026A2">
        <w:rPr>
          <w:rFonts w:ascii="Calibri" w:hAnsi="Calibri" w:cs="Calibri"/>
          <w:lang w:val="en-GB"/>
        </w:rPr>
        <w:t>.</w:t>
      </w:r>
    </w:p>
    <w:p w14:paraId="5FABEA91" w14:textId="6B0B2DA2" w:rsidR="006120A8" w:rsidRPr="00B026A2" w:rsidRDefault="006120A8" w:rsidP="006120A8">
      <w:pPr>
        <w:pStyle w:val="ListParagraph"/>
        <w:numPr>
          <w:ilvl w:val="0"/>
          <w:numId w:val="8"/>
        </w:numPr>
        <w:rPr>
          <w:rFonts w:ascii="Calibri" w:hAnsi="Calibri" w:cs="Calibri"/>
          <w:lang w:val="en-GB"/>
        </w:rPr>
      </w:pPr>
      <w:r w:rsidRPr="00B026A2">
        <w:rPr>
          <w:rFonts w:ascii="Calibri" w:hAnsi="Calibri" w:cs="Calibri"/>
          <w:lang w:val="en-GB"/>
        </w:rPr>
        <w:t xml:space="preserve">Sheehan DV, </w:t>
      </w:r>
      <w:proofErr w:type="spellStart"/>
      <w:r w:rsidRPr="00B026A2">
        <w:rPr>
          <w:rFonts w:ascii="Calibri" w:hAnsi="Calibri" w:cs="Calibri"/>
          <w:lang w:val="en-GB"/>
        </w:rPr>
        <w:t>Harnett</w:t>
      </w:r>
      <w:proofErr w:type="spellEnd"/>
      <w:r w:rsidRPr="00B026A2">
        <w:rPr>
          <w:rFonts w:ascii="Calibri" w:hAnsi="Calibri" w:cs="Calibri"/>
          <w:lang w:val="en-GB"/>
        </w:rPr>
        <w:t xml:space="preserve">-Sheehan K, Raj BA. The measurement of disability. Int Clin </w:t>
      </w:r>
      <w:proofErr w:type="spellStart"/>
      <w:r w:rsidRPr="00B026A2">
        <w:rPr>
          <w:rFonts w:ascii="Calibri" w:hAnsi="Calibri" w:cs="Calibri"/>
          <w:lang w:val="en-GB"/>
        </w:rPr>
        <w:t>Psychopharmacol</w:t>
      </w:r>
      <w:proofErr w:type="spellEnd"/>
      <w:r w:rsidRPr="00B026A2">
        <w:rPr>
          <w:rFonts w:ascii="Calibri" w:hAnsi="Calibri" w:cs="Calibri"/>
          <w:lang w:val="en-GB"/>
        </w:rPr>
        <w:t xml:space="preserve"> 1996;(11 </w:t>
      </w:r>
      <w:proofErr w:type="spellStart"/>
      <w:r w:rsidRPr="00B026A2">
        <w:rPr>
          <w:rFonts w:ascii="Calibri" w:hAnsi="Calibri" w:cs="Calibri"/>
          <w:lang w:val="en-GB"/>
        </w:rPr>
        <w:t>Suppl</w:t>
      </w:r>
      <w:proofErr w:type="spellEnd"/>
      <w:r w:rsidRPr="00B026A2">
        <w:rPr>
          <w:rFonts w:ascii="Calibri" w:hAnsi="Calibri" w:cs="Calibri"/>
          <w:lang w:val="en-GB"/>
        </w:rPr>
        <w:t xml:space="preserve"> 3):89-95.</w:t>
      </w:r>
    </w:p>
    <w:p w14:paraId="0ED38C3D" w14:textId="0FA85E86" w:rsidR="006120A8" w:rsidRPr="00B026A2" w:rsidRDefault="006120A8" w:rsidP="006120A8">
      <w:pPr>
        <w:pStyle w:val="ListParagraph"/>
        <w:numPr>
          <w:ilvl w:val="0"/>
          <w:numId w:val="8"/>
        </w:numPr>
        <w:rPr>
          <w:rFonts w:ascii="Calibri" w:hAnsi="Calibri" w:cs="Calibri"/>
          <w:lang w:val="en-GB"/>
        </w:rPr>
      </w:pPr>
      <w:proofErr w:type="spellStart"/>
      <w:r w:rsidRPr="00B026A2">
        <w:rPr>
          <w:rFonts w:ascii="Calibri" w:hAnsi="Calibri" w:cs="Calibri"/>
          <w:lang w:val="en-GB"/>
        </w:rPr>
        <w:t>Espie</w:t>
      </w:r>
      <w:proofErr w:type="spellEnd"/>
      <w:r w:rsidRPr="00B026A2">
        <w:rPr>
          <w:rFonts w:ascii="Calibri" w:hAnsi="Calibri" w:cs="Calibri"/>
          <w:lang w:val="en-GB"/>
        </w:rPr>
        <w:t xml:space="preserve"> CA, Kyle SD, Hames P, et al. The Sleep Condition Indicator: a clinical screening tool to evaluate insomnia disorder. BMJ Open 2014;</w:t>
      </w:r>
      <w:r w:rsidRPr="00B026A2">
        <w:rPr>
          <w:rFonts w:ascii="Calibri" w:hAnsi="Calibri" w:cs="Calibri"/>
          <w:b/>
          <w:bCs/>
          <w:lang w:val="en-GB"/>
        </w:rPr>
        <w:t>4</w:t>
      </w:r>
      <w:r w:rsidRPr="00B026A2">
        <w:rPr>
          <w:rFonts w:ascii="Calibri" w:hAnsi="Calibri" w:cs="Calibri"/>
          <w:lang w:val="en-GB"/>
        </w:rPr>
        <w:t>(3</w:t>
      </w:r>
      <w:proofErr w:type="gramStart"/>
      <w:r w:rsidRPr="00B026A2">
        <w:rPr>
          <w:rFonts w:ascii="Calibri" w:hAnsi="Calibri" w:cs="Calibri"/>
          <w:lang w:val="en-GB"/>
        </w:rPr>
        <w:t>):e</w:t>
      </w:r>
      <w:proofErr w:type="gramEnd"/>
      <w:r w:rsidRPr="00B026A2">
        <w:rPr>
          <w:rFonts w:ascii="Calibri" w:hAnsi="Calibri" w:cs="Calibri"/>
          <w:lang w:val="en-GB"/>
        </w:rPr>
        <w:t>004183</w:t>
      </w:r>
      <w:r w:rsidR="00116795" w:rsidRPr="00B026A2">
        <w:rPr>
          <w:rFonts w:ascii="Calibri" w:hAnsi="Calibri" w:cs="Calibri"/>
          <w:lang w:val="en-GB"/>
        </w:rPr>
        <w:t>.</w:t>
      </w:r>
    </w:p>
    <w:p w14:paraId="10ACA4FA" w14:textId="3187A53C" w:rsidR="001535F6" w:rsidRPr="001535F6" w:rsidRDefault="001535F6" w:rsidP="001535F6">
      <w:pPr>
        <w:pStyle w:val="ListParagraph"/>
        <w:numPr>
          <w:ilvl w:val="0"/>
          <w:numId w:val="8"/>
        </w:numPr>
        <w:rPr>
          <w:rFonts w:ascii="Calibri" w:hAnsi="Calibri" w:cs="Calibri"/>
          <w:lang w:val="en-GB"/>
        </w:rPr>
      </w:pPr>
      <w:r w:rsidRPr="00B026A2">
        <w:rPr>
          <w:rFonts w:ascii="Calibri" w:hAnsi="Calibri" w:cs="Calibri"/>
          <w:lang w:val="en-GB"/>
        </w:rPr>
        <w:t>Blevins CA, Weathers FW, Davis MT, et al. The Posttraumatic Stress Disorder Checklist for DSM-5 (PCL-5): Development and Initial Psychometric Evaluation. J Trauma Stress 2015;</w:t>
      </w:r>
      <w:r w:rsidRPr="00B026A2">
        <w:rPr>
          <w:rFonts w:ascii="Calibri" w:hAnsi="Calibri" w:cs="Calibri"/>
          <w:b/>
          <w:bCs/>
          <w:lang w:val="en-GB"/>
        </w:rPr>
        <w:t>28</w:t>
      </w:r>
      <w:r w:rsidRPr="00B026A2">
        <w:rPr>
          <w:rFonts w:ascii="Calibri" w:hAnsi="Calibri" w:cs="Calibri"/>
          <w:lang w:val="en-GB"/>
        </w:rPr>
        <w:t>(6):489-98.</w:t>
      </w:r>
    </w:p>
    <w:p w14:paraId="64FDB8B1" w14:textId="5B1622D7" w:rsidR="001535F6" w:rsidRPr="001535F6" w:rsidRDefault="001535F6" w:rsidP="001535F6">
      <w:pPr>
        <w:pStyle w:val="ListParagraph"/>
        <w:numPr>
          <w:ilvl w:val="0"/>
          <w:numId w:val="8"/>
        </w:numPr>
        <w:spacing w:before="60"/>
        <w:rPr>
          <w:rFonts w:cstheme="minorHAnsi"/>
          <w:color w:val="000000" w:themeColor="text1"/>
          <w:lang w:val="en-GB"/>
        </w:rPr>
      </w:pPr>
      <w:r w:rsidRPr="00B026A2">
        <w:rPr>
          <w:rFonts w:ascii="Calibri" w:hAnsi="Calibri" w:cs="Calibri"/>
          <w:lang w:val="en-GB"/>
        </w:rPr>
        <w:t xml:space="preserve">Bond FW, Hayes SC, Baer RA, et al. Preliminary psychometric properties of the Acceptance and Action Questionnaire-II: a revised measure of psychological inflexibility and experiential avoidance. </w:t>
      </w:r>
      <w:proofErr w:type="spellStart"/>
      <w:r w:rsidRPr="00B026A2">
        <w:rPr>
          <w:rFonts w:ascii="Calibri" w:hAnsi="Calibri" w:cs="Calibri"/>
          <w:lang w:val="en-GB"/>
        </w:rPr>
        <w:t>Behav</w:t>
      </w:r>
      <w:proofErr w:type="spellEnd"/>
      <w:r w:rsidRPr="00B026A2">
        <w:rPr>
          <w:rFonts w:ascii="Calibri" w:hAnsi="Calibri" w:cs="Calibri"/>
          <w:lang w:val="en-GB"/>
        </w:rPr>
        <w:t xml:space="preserve"> </w:t>
      </w:r>
      <w:proofErr w:type="spellStart"/>
      <w:r w:rsidRPr="00B026A2">
        <w:rPr>
          <w:rFonts w:ascii="Calibri" w:hAnsi="Calibri" w:cs="Calibri"/>
          <w:lang w:val="en-GB"/>
        </w:rPr>
        <w:t>Ther</w:t>
      </w:r>
      <w:proofErr w:type="spellEnd"/>
      <w:r w:rsidRPr="00B026A2">
        <w:rPr>
          <w:rFonts w:ascii="Calibri" w:hAnsi="Calibri" w:cs="Calibri"/>
          <w:lang w:val="en-GB"/>
        </w:rPr>
        <w:t xml:space="preserve"> 2011;42(4):676-88.</w:t>
      </w:r>
    </w:p>
    <w:p w14:paraId="2960A218" w14:textId="08599A1D" w:rsidR="0066702A" w:rsidRPr="001535F6" w:rsidRDefault="0066702A" w:rsidP="001535F6">
      <w:pPr>
        <w:pStyle w:val="ListParagraph"/>
        <w:numPr>
          <w:ilvl w:val="0"/>
          <w:numId w:val="8"/>
        </w:numPr>
        <w:rPr>
          <w:rFonts w:ascii="Calibri" w:hAnsi="Calibri" w:cs="Calibri"/>
          <w:lang w:val="en-GB"/>
        </w:rPr>
      </w:pPr>
      <w:proofErr w:type="spellStart"/>
      <w:r w:rsidRPr="0066702A">
        <w:rPr>
          <w:rFonts w:ascii="Calibri" w:hAnsi="Calibri" w:cs="Calibri"/>
          <w:lang w:val="en-GB"/>
        </w:rPr>
        <w:t>Zeliadt</w:t>
      </w:r>
      <w:proofErr w:type="spellEnd"/>
      <w:r w:rsidRPr="0066702A">
        <w:rPr>
          <w:rFonts w:ascii="Calibri" w:hAnsi="Calibri" w:cs="Calibri"/>
          <w:lang w:val="en-GB"/>
        </w:rPr>
        <w:t xml:space="preserve"> SB, Thomas ER, Olson J, Coggeshall S, </w:t>
      </w:r>
      <w:proofErr w:type="spellStart"/>
      <w:r w:rsidRPr="0066702A">
        <w:rPr>
          <w:rFonts w:ascii="Calibri" w:hAnsi="Calibri" w:cs="Calibri"/>
          <w:lang w:val="en-GB"/>
        </w:rPr>
        <w:t>Giannitrapani</w:t>
      </w:r>
      <w:proofErr w:type="spellEnd"/>
      <w:r w:rsidRPr="0066702A">
        <w:rPr>
          <w:rFonts w:ascii="Calibri" w:hAnsi="Calibri" w:cs="Calibri"/>
          <w:lang w:val="en-GB"/>
        </w:rPr>
        <w:t xml:space="preserve"> K, </w:t>
      </w:r>
      <w:proofErr w:type="spellStart"/>
      <w:r w:rsidRPr="0066702A">
        <w:rPr>
          <w:rFonts w:ascii="Calibri" w:hAnsi="Calibri" w:cs="Calibri"/>
          <w:lang w:val="en-GB"/>
        </w:rPr>
        <w:t>Ackland</w:t>
      </w:r>
      <w:proofErr w:type="spellEnd"/>
      <w:r w:rsidRPr="0066702A">
        <w:rPr>
          <w:rFonts w:ascii="Calibri" w:hAnsi="Calibri" w:cs="Calibri"/>
          <w:lang w:val="en-GB"/>
        </w:rPr>
        <w:t xml:space="preserve"> PE, et al. Patient Feedback on the Effectiveness of Auricular Acupuncture on Pain in Routine Clinical Care: The Experience of 11,406 Veterans. Med Care. 2020;58 </w:t>
      </w:r>
      <w:proofErr w:type="spellStart"/>
      <w:r w:rsidRPr="0066702A">
        <w:rPr>
          <w:rFonts w:ascii="Calibri" w:hAnsi="Calibri" w:cs="Calibri"/>
          <w:lang w:val="en-GB"/>
        </w:rPr>
        <w:t>Suppl</w:t>
      </w:r>
      <w:proofErr w:type="spellEnd"/>
      <w:r w:rsidRPr="0066702A">
        <w:rPr>
          <w:rFonts w:ascii="Calibri" w:hAnsi="Calibri" w:cs="Calibri"/>
          <w:lang w:val="en-GB"/>
        </w:rPr>
        <w:t xml:space="preserve"> 2 9S:S101-S7.</w:t>
      </w:r>
    </w:p>
    <w:p w14:paraId="23A1BC31" w14:textId="3DF9A988" w:rsidR="0023032D" w:rsidRPr="00B026A2" w:rsidRDefault="006120A8" w:rsidP="0023032D">
      <w:pPr>
        <w:pStyle w:val="ListParagraph"/>
        <w:numPr>
          <w:ilvl w:val="0"/>
          <w:numId w:val="8"/>
        </w:numPr>
        <w:rPr>
          <w:rFonts w:ascii="Calibri" w:hAnsi="Calibri" w:cs="Calibri"/>
          <w:lang w:val="en-GB"/>
        </w:rPr>
      </w:pPr>
      <w:r w:rsidRPr="00B026A2">
        <w:rPr>
          <w:rFonts w:ascii="Calibri" w:hAnsi="Calibri" w:cs="Calibri"/>
          <w:lang w:val="en-GB"/>
        </w:rPr>
        <w:t xml:space="preserve">Paterson R, Durie M, </w:t>
      </w:r>
      <w:proofErr w:type="spellStart"/>
      <w:r w:rsidRPr="00B026A2">
        <w:rPr>
          <w:rFonts w:ascii="Calibri" w:hAnsi="Calibri" w:cs="Calibri"/>
          <w:lang w:val="en-GB"/>
        </w:rPr>
        <w:t>Disley</w:t>
      </w:r>
      <w:proofErr w:type="spellEnd"/>
      <w:r w:rsidRPr="00B026A2">
        <w:rPr>
          <w:rFonts w:ascii="Calibri" w:hAnsi="Calibri" w:cs="Calibri"/>
          <w:lang w:val="en-GB"/>
        </w:rPr>
        <w:t xml:space="preserve"> B, et al. He </w:t>
      </w:r>
      <w:proofErr w:type="spellStart"/>
      <w:r w:rsidRPr="00B026A2">
        <w:rPr>
          <w:rFonts w:ascii="Calibri" w:hAnsi="Calibri" w:cs="Calibri"/>
          <w:lang w:val="en-GB"/>
        </w:rPr>
        <w:t>ara</w:t>
      </w:r>
      <w:proofErr w:type="spellEnd"/>
      <w:r w:rsidRPr="00B026A2">
        <w:rPr>
          <w:rFonts w:ascii="Calibri" w:hAnsi="Calibri" w:cs="Calibri"/>
          <w:lang w:val="en-GB"/>
        </w:rPr>
        <w:t xml:space="preserve"> </w:t>
      </w:r>
      <w:proofErr w:type="spellStart"/>
      <w:r w:rsidRPr="00B026A2">
        <w:rPr>
          <w:rFonts w:ascii="Calibri" w:hAnsi="Calibri" w:cs="Calibri"/>
          <w:lang w:val="en-GB"/>
        </w:rPr>
        <w:t>oranga</w:t>
      </w:r>
      <w:proofErr w:type="spellEnd"/>
      <w:r w:rsidRPr="00B026A2">
        <w:rPr>
          <w:rFonts w:ascii="Calibri" w:hAnsi="Calibri" w:cs="Calibri"/>
          <w:lang w:val="en-GB"/>
        </w:rPr>
        <w:t xml:space="preserve">. Wellington. 2018. </w:t>
      </w:r>
      <w:r w:rsidR="0023032D" w:rsidRPr="00B026A2">
        <w:rPr>
          <w:rFonts w:ascii="Calibri" w:hAnsi="Calibri" w:cs="Calibri"/>
          <w:lang w:val="en-GB"/>
        </w:rPr>
        <w:t xml:space="preserve">[cited 2021 August 26] </w:t>
      </w:r>
      <w:r w:rsidRPr="00B026A2">
        <w:rPr>
          <w:rFonts w:ascii="Calibri" w:hAnsi="Calibri" w:cs="Calibri"/>
          <w:lang w:val="en-GB"/>
        </w:rPr>
        <w:t xml:space="preserve">Available: </w:t>
      </w:r>
      <w:hyperlink r:id="rId14" w:history="1">
        <w:r w:rsidR="0023032D" w:rsidRPr="00B026A2">
          <w:rPr>
            <w:rStyle w:val="Hyperlink"/>
            <w:rFonts w:ascii="Calibri" w:hAnsi="Calibri" w:cs="Calibri"/>
            <w:lang w:val="en-GB"/>
          </w:rPr>
          <w:t>https://mentalhealth.inquiry.govt.nz/assets/Summary-reports/He-Ara-Oranga.pdf</w:t>
        </w:r>
      </w:hyperlink>
      <w:r w:rsidR="00116795" w:rsidRPr="00B026A2">
        <w:rPr>
          <w:rFonts w:ascii="Calibri" w:hAnsi="Calibri" w:cs="Calibri"/>
          <w:lang w:val="en-GB"/>
        </w:rPr>
        <w:t>.</w:t>
      </w:r>
    </w:p>
    <w:p w14:paraId="2E116C9D" w14:textId="556F1C4C" w:rsidR="00413438" w:rsidRPr="00B026A2" w:rsidRDefault="00413438" w:rsidP="00413438">
      <w:pPr>
        <w:pStyle w:val="ListParagraph"/>
        <w:numPr>
          <w:ilvl w:val="0"/>
          <w:numId w:val="8"/>
        </w:numPr>
        <w:rPr>
          <w:rFonts w:cstheme="minorHAnsi"/>
          <w:bCs/>
          <w:lang w:val="en-GB"/>
        </w:rPr>
      </w:pPr>
      <w:proofErr w:type="spellStart"/>
      <w:r w:rsidRPr="00B026A2">
        <w:rPr>
          <w:rFonts w:cstheme="minorHAnsi"/>
          <w:bCs/>
          <w:lang w:val="en-GB"/>
        </w:rPr>
        <w:t>Rucklidge</w:t>
      </w:r>
      <w:proofErr w:type="spellEnd"/>
      <w:r w:rsidRPr="00B026A2">
        <w:rPr>
          <w:rFonts w:cstheme="minorHAnsi"/>
          <w:bCs/>
          <w:lang w:val="en-GB"/>
        </w:rPr>
        <w:t xml:space="preserve"> JJ, Darling KA, Mulder RT. Addressing the treatment gap in New Zealand with more therapists-is it practical and will it work? N Z Med J. 2018 Dec 14;131(1487):8-11. </w:t>
      </w:r>
    </w:p>
    <w:sectPr w:rsidR="00413438" w:rsidRPr="00B026A2">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B185" w14:textId="77777777" w:rsidR="005E2921" w:rsidRDefault="005E2921" w:rsidP="0013612A">
      <w:r>
        <w:separator/>
      </w:r>
    </w:p>
  </w:endnote>
  <w:endnote w:type="continuationSeparator" w:id="0">
    <w:p w14:paraId="1DDD5F90" w14:textId="77777777" w:rsidR="005E2921" w:rsidRDefault="005E2921" w:rsidP="0013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908171"/>
      <w:docPartObj>
        <w:docPartGallery w:val="Page Numbers (Bottom of Page)"/>
        <w:docPartUnique/>
      </w:docPartObj>
    </w:sdtPr>
    <w:sdtEndPr>
      <w:rPr>
        <w:rStyle w:val="PageNumber"/>
      </w:rPr>
    </w:sdtEndPr>
    <w:sdtContent>
      <w:p w14:paraId="70A621FE" w14:textId="475A8458" w:rsidR="006E4BC8" w:rsidRDefault="006E4BC8" w:rsidP="00BD3B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5FFE0" w14:textId="77777777" w:rsidR="006E4BC8" w:rsidRDefault="006E4BC8" w:rsidP="006E4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7770763"/>
      <w:docPartObj>
        <w:docPartGallery w:val="Page Numbers (Bottom of Page)"/>
        <w:docPartUnique/>
      </w:docPartObj>
    </w:sdtPr>
    <w:sdtEndPr>
      <w:rPr>
        <w:rStyle w:val="PageNumber"/>
      </w:rPr>
    </w:sdtEndPr>
    <w:sdtContent>
      <w:p w14:paraId="7D2B48DC" w14:textId="39369696" w:rsidR="006E4BC8" w:rsidRDefault="006E4BC8" w:rsidP="00BD3B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EEE747" w14:textId="77777777" w:rsidR="006E4BC8" w:rsidRDefault="006E4BC8" w:rsidP="006E4B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D6EF" w14:textId="77777777" w:rsidR="005E2921" w:rsidRDefault="005E2921" w:rsidP="0013612A">
      <w:r>
        <w:separator/>
      </w:r>
    </w:p>
  </w:footnote>
  <w:footnote w:type="continuationSeparator" w:id="0">
    <w:p w14:paraId="4A6CBE4F" w14:textId="77777777" w:rsidR="005E2921" w:rsidRDefault="005E2921" w:rsidP="0013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321F" w14:textId="0185AAE9" w:rsidR="0013612A" w:rsidRDefault="0013612A" w:rsidP="0013612A">
    <w:pPr>
      <w:pStyle w:val="Header"/>
      <w:jc w:val="right"/>
    </w:pPr>
    <w:r>
      <w:t>R-LHR-20</w:t>
    </w:r>
    <w:r w:rsidR="00871522">
      <w:t>2</w:t>
    </w:r>
    <w:r w:rsidR="00CB106C">
      <w:t>2</w:t>
    </w:r>
    <w:r>
      <w:t>-</w:t>
    </w:r>
    <w:r w:rsidR="000920E4" w:rsidRPr="000920E4">
      <w:t>185287</w:t>
    </w:r>
    <w:r>
      <w:t xml:space="preserve">  </w:t>
    </w:r>
  </w:p>
  <w:p w14:paraId="23127939" w14:textId="4F969B6F" w:rsidR="0013612A" w:rsidRDefault="0013612A" w:rsidP="0013612A">
    <w:pPr>
      <w:pStyle w:val="Header"/>
      <w:jc w:val="right"/>
    </w:pPr>
    <w:r>
      <w:t xml:space="preserve">Surname: </w:t>
    </w:r>
    <w:r w:rsidR="000920E4">
      <w:t>McBride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AE8"/>
    <w:multiLevelType w:val="hybridMultilevel"/>
    <w:tmpl w:val="E49E3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66A64"/>
    <w:multiLevelType w:val="hybridMultilevel"/>
    <w:tmpl w:val="9A0C6782"/>
    <w:lvl w:ilvl="0" w:tplc="FA46F8D2">
      <w:start w:val="1"/>
      <w:numFmt w:val="bullet"/>
      <w:lvlText w:val=""/>
      <w:lvlJc w:val="left"/>
      <w:pPr>
        <w:tabs>
          <w:tab w:val="num" w:pos="284"/>
        </w:tabs>
        <w:ind w:left="284"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3E49CD"/>
    <w:multiLevelType w:val="hybridMultilevel"/>
    <w:tmpl w:val="B8F29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7471C"/>
    <w:multiLevelType w:val="hybridMultilevel"/>
    <w:tmpl w:val="5156C39A"/>
    <w:lvl w:ilvl="0" w:tplc="A53A36EC">
      <w:start w:val="1"/>
      <w:numFmt w:val="decimal"/>
      <w:lvlText w:val="%1."/>
      <w:lvlJc w:val="left"/>
      <w:pPr>
        <w:ind w:left="720" w:hanging="360"/>
      </w:pPr>
      <w:rPr>
        <w:rFonts w:ascii="Calibri" w:eastAsia="Times New Roman" w:hAnsi="Calibri" w:cs="Calibri"/>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97990"/>
    <w:multiLevelType w:val="hybridMultilevel"/>
    <w:tmpl w:val="F6746110"/>
    <w:lvl w:ilvl="0" w:tplc="FA46F8D2">
      <w:start w:val="1"/>
      <w:numFmt w:val="bullet"/>
      <w:lvlText w:val=""/>
      <w:lvlJc w:val="left"/>
      <w:pPr>
        <w:tabs>
          <w:tab w:val="num" w:pos="284"/>
        </w:tabs>
        <w:ind w:left="284" w:hanging="227"/>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82038E"/>
    <w:multiLevelType w:val="hybridMultilevel"/>
    <w:tmpl w:val="39BC54E2"/>
    <w:lvl w:ilvl="0" w:tplc="FA46F8D2">
      <w:start w:val="1"/>
      <w:numFmt w:val="bullet"/>
      <w:lvlText w:val=""/>
      <w:lvlJc w:val="left"/>
      <w:pPr>
        <w:tabs>
          <w:tab w:val="num" w:pos="284"/>
        </w:tabs>
        <w:ind w:left="284" w:hanging="22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053EA"/>
    <w:multiLevelType w:val="hybridMultilevel"/>
    <w:tmpl w:val="5156C39A"/>
    <w:lvl w:ilvl="0" w:tplc="A53A36EC">
      <w:start w:val="1"/>
      <w:numFmt w:val="decimal"/>
      <w:lvlText w:val="%1."/>
      <w:lvlJc w:val="left"/>
      <w:pPr>
        <w:ind w:left="720" w:hanging="360"/>
      </w:pPr>
      <w:rPr>
        <w:rFonts w:ascii="Calibri" w:eastAsia="Times New Roman" w:hAnsi="Calibri" w:cs="Calibri"/>
        <w:color w:val="0000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897E9F"/>
    <w:multiLevelType w:val="hybridMultilevel"/>
    <w:tmpl w:val="F4E4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E4587"/>
    <w:multiLevelType w:val="hybridMultilevel"/>
    <w:tmpl w:val="52CCE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32A67"/>
    <w:multiLevelType w:val="hybridMultilevel"/>
    <w:tmpl w:val="DBEECF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9"/>
  </w:num>
  <w:num w:numId="6">
    <w:abstractNumId w:val="8"/>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57"/>
    <w:rsid w:val="00011BF0"/>
    <w:rsid w:val="00020908"/>
    <w:rsid w:val="000341BD"/>
    <w:rsid w:val="0004140B"/>
    <w:rsid w:val="00067EC2"/>
    <w:rsid w:val="0007019B"/>
    <w:rsid w:val="00080A94"/>
    <w:rsid w:val="00081678"/>
    <w:rsid w:val="000920E4"/>
    <w:rsid w:val="00095A13"/>
    <w:rsid w:val="000A34FF"/>
    <w:rsid w:val="000B1505"/>
    <w:rsid w:val="000B52B8"/>
    <w:rsid w:val="000C0D0D"/>
    <w:rsid w:val="000C444C"/>
    <w:rsid w:val="000D3EF1"/>
    <w:rsid w:val="000D5BB9"/>
    <w:rsid w:val="000E2115"/>
    <w:rsid w:val="00116795"/>
    <w:rsid w:val="001208D3"/>
    <w:rsid w:val="00126C1E"/>
    <w:rsid w:val="0013612A"/>
    <w:rsid w:val="00142720"/>
    <w:rsid w:val="001432DF"/>
    <w:rsid w:val="00144CA6"/>
    <w:rsid w:val="00147967"/>
    <w:rsid w:val="001535F6"/>
    <w:rsid w:val="001623C6"/>
    <w:rsid w:val="00174981"/>
    <w:rsid w:val="0018201A"/>
    <w:rsid w:val="001822E6"/>
    <w:rsid w:val="00183FC8"/>
    <w:rsid w:val="001C1199"/>
    <w:rsid w:val="001C7BFA"/>
    <w:rsid w:val="001D268A"/>
    <w:rsid w:val="001E113C"/>
    <w:rsid w:val="001E1F5E"/>
    <w:rsid w:val="001E3D95"/>
    <w:rsid w:val="00207EF4"/>
    <w:rsid w:val="00216C61"/>
    <w:rsid w:val="00217F76"/>
    <w:rsid w:val="0023032D"/>
    <w:rsid w:val="00244157"/>
    <w:rsid w:val="0025128E"/>
    <w:rsid w:val="002913B8"/>
    <w:rsid w:val="002944B5"/>
    <w:rsid w:val="002A5964"/>
    <w:rsid w:val="002B1BE5"/>
    <w:rsid w:val="002C6F61"/>
    <w:rsid w:val="002E1334"/>
    <w:rsid w:val="002E506E"/>
    <w:rsid w:val="002E65B0"/>
    <w:rsid w:val="00300310"/>
    <w:rsid w:val="00312412"/>
    <w:rsid w:val="00313AC7"/>
    <w:rsid w:val="00330472"/>
    <w:rsid w:val="00351FC0"/>
    <w:rsid w:val="00353664"/>
    <w:rsid w:val="00381523"/>
    <w:rsid w:val="003832F0"/>
    <w:rsid w:val="00391AE2"/>
    <w:rsid w:val="003A0421"/>
    <w:rsid w:val="003B7ED0"/>
    <w:rsid w:val="003E1FF9"/>
    <w:rsid w:val="003E330E"/>
    <w:rsid w:val="00402585"/>
    <w:rsid w:val="00413438"/>
    <w:rsid w:val="004208CD"/>
    <w:rsid w:val="00431486"/>
    <w:rsid w:val="00457A6E"/>
    <w:rsid w:val="004662D4"/>
    <w:rsid w:val="00474E8B"/>
    <w:rsid w:val="004912F3"/>
    <w:rsid w:val="004A3CE0"/>
    <w:rsid w:val="004B0A53"/>
    <w:rsid w:val="004B4057"/>
    <w:rsid w:val="004D6976"/>
    <w:rsid w:val="004E18D4"/>
    <w:rsid w:val="004E4D34"/>
    <w:rsid w:val="004F4366"/>
    <w:rsid w:val="005022D0"/>
    <w:rsid w:val="00533BA4"/>
    <w:rsid w:val="00534FA6"/>
    <w:rsid w:val="00536430"/>
    <w:rsid w:val="00555CBC"/>
    <w:rsid w:val="00574723"/>
    <w:rsid w:val="00596ABB"/>
    <w:rsid w:val="005A2598"/>
    <w:rsid w:val="005A3316"/>
    <w:rsid w:val="005B2A11"/>
    <w:rsid w:val="005B56BB"/>
    <w:rsid w:val="005C762B"/>
    <w:rsid w:val="005C7D59"/>
    <w:rsid w:val="005D1C7B"/>
    <w:rsid w:val="005D70C9"/>
    <w:rsid w:val="005E2921"/>
    <w:rsid w:val="00607920"/>
    <w:rsid w:val="00610F97"/>
    <w:rsid w:val="006120A8"/>
    <w:rsid w:val="00625AD2"/>
    <w:rsid w:val="006350F6"/>
    <w:rsid w:val="00637618"/>
    <w:rsid w:val="006513E8"/>
    <w:rsid w:val="006641A4"/>
    <w:rsid w:val="0066702A"/>
    <w:rsid w:val="00687302"/>
    <w:rsid w:val="00692ABA"/>
    <w:rsid w:val="006B701A"/>
    <w:rsid w:val="006C5199"/>
    <w:rsid w:val="006E4BC8"/>
    <w:rsid w:val="006F08B0"/>
    <w:rsid w:val="006F2633"/>
    <w:rsid w:val="006F6777"/>
    <w:rsid w:val="0070747B"/>
    <w:rsid w:val="00725997"/>
    <w:rsid w:val="007550F9"/>
    <w:rsid w:val="00757944"/>
    <w:rsid w:val="007634B9"/>
    <w:rsid w:val="00783CA4"/>
    <w:rsid w:val="007B26F7"/>
    <w:rsid w:val="007B7BEA"/>
    <w:rsid w:val="007C47F0"/>
    <w:rsid w:val="007F1730"/>
    <w:rsid w:val="00821E87"/>
    <w:rsid w:val="00866D5D"/>
    <w:rsid w:val="00871522"/>
    <w:rsid w:val="00883071"/>
    <w:rsid w:val="00887EA4"/>
    <w:rsid w:val="00890E5F"/>
    <w:rsid w:val="008A50D1"/>
    <w:rsid w:val="009022AC"/>
    <w:rsid w:val="009120C8"/>
    <w:rsid w:val="009245E9"/>
    <w:rsid w:val="0093103C"/>
    <w:rsid w:val="0093516E"/>
    <w:rsid w:val="009400A1"/>
    <w:rsid w:val="00942E31"/>
    <w:rsid w:val="009444F2"/>
    <w:rsid w:val="00951502"/>
    <w:rsid w:val="00953003"/>
    <w:rsid w:val="00961205"/>
    <w:rsid w:val="00995EDF"/>
    <w:rsid w:val="009A511D"/>
    <w:rsid w:val="009B0947"/>
    <w:rsid w:val="009C360C"/>
    <w:rsid w:val="009C484D"/>
    <w:rsid w:val="009D4333"/>
    <w:rsid w:val="009E7D77"/>
    <w:rsid w:val="009F3EE2"/>
    <w:rsid w:val="00A01ECF"/>
    <w:rsid w:val="00A11D3E"/>
    <w:rsid w:val="00A27D9A"/>
    <w:rsid w:val="00A5210C"/>
    <w:rsid w:val="00A64919"/>
    <w:rsid w:val="00A66894"/>
    <w:rsid w:val="00A722CE"/>
    <w:rsid w:val="00A8012A"/>
    <w:rsid w:val="00A91B7F"/>
    <w:rsid w:val="00AC4FD2"/>
    <w:rsid w:val="00AC6338"/>
    <w:rsid w:val="00AF69EB"/>
    <w:rsid w:val="00B026A2"/>
    <w:rsid w:val="00B1324C"/>
    <w:rsid w:val="00B146EC"/>
    <w:rsid w:val="00B31BEA"/>
    <w:rsid w:val="00B81BB9"/>
    <w:rsid w:val="00B94902"/>
    <w:rsid w:val="00B966FA"/>
    <w:rsid w:val="00BA594A"/>
    <w:rsid w:val="00BB5A94"/>
    <w:rsid w:val="00BB5CEB"/>
    <w:rsid w:val="00BB76B5"/>
    <w:rsid w:val="00BC1016"/>
    <w:rsid w:val="00BC5FD1"/>
    <w:rsid w:val="00BD3B4D"/>
    <w:rsid w:val="00BF09A7"/>
    <w:rsid w:val="00C02500"/>
    <w:rsid w:val="00C36E01"/>
    <w:rsid w:val="00C37D58"/>
    <w:rsid w:val="00C455E2"/>
    <w:rsid w:val="00C46985"/>
    <w:rsid w:val="00C47B11"/>
    <w:rsid w:val="00C514D9"/>
    <w:rsid w:val="00C57E1C"/>
    <w:rsid w:val="00C62348"/>
    <w:rsid w:val="00CA5602"/>
    <w:rsid w:val="00CA5CDF"/>
    <w:rsid w:val="00CB106C"/>
    <w:rsid w:val="00CB1B07"/>
    <w:rsid w:val="00CB6E5F"/>
    <w:rsid w:val="00CD6031"/>
    <w:rsid w:val="00CE6896"/>
    <w:rsid w:val="00CF4AD8"/>
    <w:rsid w:val="00D031E0"/>
    <w:rsid w:val="00D06A6A"/>
    <w:rsid w:val="00D642FE"/>
    <w:rsid w:val="00D764AB"/>
    <w:rsid w:val="00D8718F"/>
    <w:rsid w:val="00D9496D"/>
    <w:rsid w:val="00DD1081"/>
    <w:rsid w:val="00DE0DB0"/>
    <w:rsid w:val="00DF48CB"/>
    <w:rsid w:val="00E05F17"/>
    <w:rsid w:val="00E10985"/>
    <w:rsid w:val="00E30C8F"/>
    <w:rsid w:val="00E31CC9"/>
    <w:rsid w:val="00E31D63"/>
    <w:rsid w:val="00E41A55"/>
    <w:rsid w:val="00E46D26"/>
    <w:rsid w:val="00E525C3"/>
    <w:rsid w:val="00E6761C"/>
    <w:rsid w:val="00E8022B"/>
    <w:rsid w:val="00E859F7"/>
    <w:rsid w:val="00E87EE1"/>
    <w:rsid w:val="00E91D13"/>
    <w:rsid w:val="00EF18F1"/>
    <w:rsid w:val="00EF3B7E"/>
    <w:rsid w:val="00EF5A0F"/>
    <w:rsid w:val="00F302AE"/>
    <w:rsid w:val="00F5409E"/>
    <w:rsid w:val="00F63A8E"/>
    <w:rsid w:val="00F72BDF"/>
    <w:rsid w:val="00F72D82"/>
    <w:rsid w:val="00F81512"/>
    <w:rsid w:val="00FA1DAB"/>
    <w:rsid w:val="00FC2B04"/>
    <w:rsid w:val="00FC5A60"/>
    <w:rsid w:val="00FD13F7"/>
    <w:rsid w:val="00FE47FD"/>
    <w:rsid w:val="00FF0021"/>
    <w:rsid w:val="00FF3C70"/>
    <w:rsid w:val="00FF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03E23"/>
  <w15:docId w15:val="{8EF44AE8-1D25-CD41-9076-1F47D64E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EB"/>
    <w:pPr>
      <w:spacing w:after="120"/>
      <w:jc w:val="both"/>
    </w:pPr>
    <w:rPr>
      <w:rFonts w:eastAsia="Times New Roman" w:cs="Times New Roman"/>
      <w:sz w:val="24"/>
      <w:szCs w:val="24"/>
      <w:lang w:val="en-NZ" w:eastAsia="en-GB"/>
    </w:rPr>
  </w:style>
  <w:style w:type="paragraph" w:styleId="Heading1">
    <w:name w:val="heading 1"/>
    <w:basedOn w:val="Normal"/>
    <w:next w:val="Normal"/>
    <w:link w:val="Heading1Char"/>
    <w:uiPriority w:val="9"/>
    <w:qFormat/>
    <w:rsid w:val="00E525C3"/>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E0DB0"/>
    <w:pPr>
      <w:spacing w:before="60"/>
      <w:outlineLvl w:val="1"/>
    </w:pPr>
    <w:rPr>
      <w:rFonts w:cstheme="minorHAnsi"/>
      <w:b/>
      <w:bCs/>
    </w:rPr>
  </w:style>
  <w:style w:type="paragraph" w:styleId="Heading3">
    <w:name w:val="heading 3"/>
    <w:basedOn w:val="Normal"/>
    <w:next w:val="Normal"/>
    <w:link w:val="Heading3Char"/>
    <w:qFormat/>
    <w:rsid w:val="006350F6"/>
    <w:pPr>
      <w:keepNext/>
      <w:spacing w:before="240" w:after="60"/>
      <w:outlineLvl w:val="2"/>
    </w:pPr>
    <w:rPr>
      <w:rFonts w:ascii="Arial" w:hAnsi="Arial" w:cs="Arial"/>
      <w:b/>
      <w:bCs/>
      <w:sz w:val="26"/>
      <w:szCs w:val="26"/>
      <w:lang w:val="en-AU" w:eastAsia="en-AU"/>
    </w:rPr>
  </w:style>
  <w:style w:type="paragraph" w:styleId="Heading4">
    <w:name w:val="heading 4"/>
    <w:basedOn w:val="Normal"/>
    <w:next w:val="Normal"/>
    <w:link w:val="Heading4Char"/>
    <w:uiPriority w:val="9"/>
    <w:semiHidden/>
    <w:unhideWhenUsed/>
    <w:qFormat/>
    <w:rsid w:val="005D1C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350F6"/>
    <w:rPr>
      <w:rFonts w:ascii="Arial" w:eastAsia="Times New Roman" w:hAnsi="Arial" w:cs="Arial"/>
      <w:b/>
      <w:bCs/>
      <w:sz w:val="26"/>
      <w:szCs w:val="26"/>
      <w:lang w:val="en-AU" w:eastAsia="en-AU"/>
    </w:rPr>
  </w:style>
  <w:style w:type="paragraph" w:styleId="ListParagraph">
    <w:name w:val="List Paragraph"/>
    <w:basedOn w:val="Normal"/>
    <w:uiPriority w:val="34"/>
    <w:qFormat/>
    <w:rsid w:val="00FD13F7"/>
    <w:pPr>
      <w:ind w:left="720"/>
      <w:contextualSpacing/>
    </w:pPr>
  </w:style>
  <w:style w:type="paragraph" w:styleId="BalloonText">
    <w:name w:val="Balloon Text"/>
    <w:basedOn w:val="Normal"/>
    <w:link w:val="BalloonTextChar"/>
    <w:uiPriority w:val="99"/>
    <w:semiHidden/>
    <w:unhideWhenUsed/>
    <w:rsid w:val="00B132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24C"/>
    <w:rPr>
      <w:rFonts w:ascii="Segoe UI" w:hAnsi="Segoe UI" w:cs="Segoe UI"/>
      <w:sz w:val="18"/>
      <w:szCs w:val="18"/>
    </w:rPr>
  </w:style>
  <w:style w:type="character" w:styleId="CommentReference">
    <w:name w:val="annotation reference"/>
    <w:basedOn w:val="DefaultParagraphFont"/>
    <w:uiPriority w:val="99"/>
    <w:semiHidden/>
    <w:unhideWhenUsed/>
    <w:rsid w:val="00B1324C"/>
    <w:rPr>
      <w:sz w:val="16"/>
      <w:szCs w:val="16"/>
    </w:rPr>
  </w:style>
  <w:style w:type="paragraph" w:styleId="CommentText">
    <w:name w:val="annotation text"/>
    <w:basedOn w:val="Normal"/>
    <w:link w:val="CommentTextChar"/>
    <w:uiPriority w:val="99"/>
    <w:semiHidden/>
    <w:unhideWhenUsed/>
    <w:rsid w:val="00B1324C"/>
    <w:rPr>
      <w:sz w:val="20"/>
      <w:szCs w:val="20"/>
    </w:rPr>
  </w:style>
  <w:style w:type="character" w:customStyle="1" w:styleId="CommentTextChar">
    <w:name w:val="Comment Text Char"/>
    <w:basedOn w:val="DefaultParagraphFont"/>
    <w:link w:val="CommentText"/>
    <w:uiPriority w:val="99"/>
    <w:semiHidden/>
    <w:rsid w:val="00B1324C"/>
    <w:rPr>
      <w:sz w:val="20"/>
      <w:szCs w:val="20"/>
    </w:rPr>
  </w:style>
  <w:style w:type="paragraph" w:styleId="CommentSubject">
    <w:name w:val="annotation subject"/>
    <w:basedOn w:val="CommentText"/>
    <w:next w:val="CommentText"/>
    <w:link w:val="CommentSubjectChar"/>
    <w:uiPriority w:val="99"/>
    <w:semiHidden/>
    <w:unhideWhenUsed/>
    <w:rsid w:val="00B1324C"/>
    <w:rPr>
      <w:b/>
      <w:bCs/>
    </w:rPr>
  </w:style>
  <w:style w:type="character" w:customStyle="1" w:styleId="CommentSubjectChar">
    <w:name w:val="Comment Subject Char"/>
    <w:basedOn w:val="CommentTextChar"/>
    <w:link w:val="CommentSubject"/>
    <w:uiPriority w:val="99"/>
    <w:semiHidden/>
    <w:rsid w:val="00B1324C"/>
    <w:rPr>
      <w:b/>
      <w:bCs/>
      <w:sz w:val="20"/>
      <w:szCs w:val="20"/>
    </w:rPr>
  </w:style>
  <w:style w:type="paragraph" w:styleId="Header">
    <w:name w:val="header"/>
    <w:basedOn w:val="Normal"/>
    <w:link w:val="HeaderChar"/>
    <w:uiPriority w:val="99"/>
    <w:unhideWhenUsed/>
    <w:rsid w:val="0013612A"/>
    <w:pPr>
      <w:tabs>
        <w:tab w:val="center" w:pos="4513"/>
        <w:tab w:val="right" w:pos="9026"/>
      </w:tabs>
    </w:pPr>
  </w:style>
  <w:style w:type="character" w:customStyle="1" w:styleId="HeaderChar">
    <w:name w:val="Header Char"/>
    <w:basedOn w:val="DefaultParagraphFont"/>
    <w:link w:val="Header"/>
    <w:uiPriority w:val="99"/>
    <w:rsid w:val="0013612A"/>
  </w:style>
  <w:style w:type="paragraph" w:styleId="Footer">
    <w:name w:val="footer"/>
    <w:basedOn w:val="Normal"/>
    <w:link w:val="FooterChar"/>
    <w:uiPriority w:val="99"/>
    <w:unhideWhenUsed/>
    <w:rsid w:val="0013612A"/>
    <w:pPr>
      <w:tabs>
        <w:tab w:val="center" w:pos="4513"/>
        <w:tab w:val="right" w:pos="9026"/>
      </w:tabs>
    </w:pPr>
  </w:style>
  <w:style w:type="character" w:customStyle="1" w:styleId="FooterChar">
    <w:name w:val="Footer Char"/>
    <w:basedOn w:val="DefaultParagraphFont"/>
    <w:link w:val="Footer"/>
    <w:uiPriority w:val="99"/>
    <w:rsid w:val="0013612A"/>
  </w:style>
  <w:style w:type="character" w:customStyle="1" w:styleId="Heading2Char">
    <w:name w:val="Heading 2 Char"/>
    <w:basedOn w:val="DefaultParagraphFont"/>
    <w:link w:val="Heading2"/>
    <w:uiPriority w:val="9"/>
    <w:rsid w:val="00DE0DB0"/>
    <w:rPr>
      <w:rFonts w:cstheme="minorHAnsi"/>
      <w:b/>
      <w:bCs/>
      <w:sz w:val="24"/>
      <w:szCs w:val="24"/>
    </w:rPr>
  </w:style>
  <w:style w:type="character" w:customStyle="1" w:styleId="Heading4Char">
    <w:name w:val="Heading 4 Char"/>
    <w:basedOn w:val="DefaultParagraphFont"/>
    <w:link w:val="Heading4"/>
    <w:uiPriority w:val="9"/>
    <w:semiHidden/>
    <w:rsid w:val="005D1C7B"/>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E525C3"/>
    <w:rPr>
      <w:rFonts w:eastAsiaTheme="majorEastAsia" w:cstheme="majorBidi"/>
      <w:b/>
      <w:sz w:val="28"/>
      <w:szCs w:val="32"/>
      <w:lang w:val="en-NZ" w:eastAsia="en-GB"/>
    </w:rPr>
  </w:style>
  <w:style w:type="character" w:styleId="Hyperlink">
    <w:name w:val="Hyperlink"/>
    <w:basedOn w:val="DefaultParagraphFont"/>
    <w:uiPriority w:val="99"/>
    <w:unhideWhenUsed/>
    <w:rsid w:val="00783CA4"/>
    <w:rPr>
      <w:color w:val="0000FF" w:themeColor="hyperlink"/>
      <w:u w:val="single"/>
    </w:rPr>
  </w:style>
  <w:style w:type="character" w:styleId="UnresolvedMention">
    <w:name w:val="Unresolved Mention"/>
    <w:basedOn w:val="DefaultParagraphFont"/>
    <w:uiPriority w:val="99"/>
    <w:semiHidden/>
    <w:unhideWhenUsed/>
    <w:rsid w:val="00783CA4"/>
    <w:rPr>
      <w:color w:val="605E5C"/>
      <w:shd w:val="clear" w:color="auto" w:fill="E1DFDD"/>
    </w:rPr>
  </w:style>
  <w:style w:type="character" w:styleId="PageNumber">
    <w:name w:val="page number"/>
    <w:basedOn w:val="DefaultParagraphFont"/>
    <w:uiPriority w:val="99"/>
    <w:semiHidden/>
    <w:unhideWhenUsed/>
    <w:rsid w:val="006E4BC8"/>
  </w:style>
  <w:style w:type="character" w:styleId="FollowedHyperlink">
    <w:name w:val="FollowedHyperlink"/>
    <w:basedOn w:val="DefaultParagraphFont"/>
    <w:uiPriority w:val="99"/>
    <w:semiHidden/>
    <w:unhideWhenUsed/>
    <w:rsid w:val="0025128E"/>
    <w:rPr>
      <w:color w:val="800080" w:themeColor="followedHyperlink"/>
      <w:u w:val="single"/>
    </w:rPr>
  </w:style>
  <w:style w:type="table" w:styleId="PlainTable1">
    <w:name w:val="Plain Table 1"/>
    <w:basedOn w:val="TableNormal"/>
    <w:uiPriority w:val="41"/>
    <w:rsid w:val="00C02500"/>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95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0284">
      <w:bodyDiv w:val="1"/>
      <w:marLeft w:val="0"/>
      <w:marRight w:val="0"/>
      <w:marTop w:val="0"/>
      <w:marBottom w:val="0"/>
      <w:divBdr>
        <w:top w:val="none" w:sz="0" w:space="0" w:color="auto"/>
        <w:left w:val="none" w:sz="0" w:space="0" w:color="auto"/>
        <w:bottom w:val="none" w:sz="0" w:space="0" w:color="auto"/>
        <w:right w:val="none" w:sz="0" w:space="0" w:color="auto"/>
      </w:divBdr>
    </w:div>
    <w:div w:id="392581909">
      <w:bodyDiv w:val="1"/>
      <w:marLeft w:val="0"/>
      <w:marRight w:val="0"/>
      <w:marTop w:val="0"/>
      <w:marBottom w:val="0"/>
      <w:divBdr>
        <w:top w:val="none" w:sz="0" w:space="0" w:color="auto"/>
        <w:left w:val="none" w:sz="0" w:space="0" w:color="auto"/>
        <w:bottom w:val="none" w:sz="0" w:space="0" w:color="auto"/>
        <w:right w:val="none" w:sz="0" w:space="0" w:color="auto"/>
      </w:divBdr>
    </w:div>
    <w:div w:id="737438139">
      <w:bodyDiv w:val="1"/>
      <w:marLeft w:val="0"/>
      <w:marRight w:val="0"/>
      <w:marTop w:val="0"/>
      <w:marBottom w:val="0"/>
      <w:divBdr>
        <w:top w:val="none" w:sz="0" w:space="0" w:color="auto"/>
        <w:left w:val="none" w:sz="0" w:space="0" w:color="auto"/>
        <w:bottom w:val="none" w:sz="0" w:space="0" w:color="auto"/>
        <w:right w:val="none" w:sz="0" w:space="0" w:color="auto"/>
      </w:divBdr>
    </w:div>
    <w:div w:id="814949030">
      <w:bodyDiv w:val="1"/>
      <w:marLeft w:val="0"/>
      <w:marRight w:val="0"/>
      <w:marTop w:val="0"/>
      <w:marBottom w:val="0"/>
      <w:divBdr>
        <w:top w:val="none" w:sz="0" w:space="0" w:color="auto"/>
        <w:left w:val="none" w:sz="0" w:space="0" w:color="auto"/>
        <w:bottom w:val="none" w:sz="0" w:space="0" w:color="auto"/>
        <w:right w:val="none" w:sz="0" w:space="0" w:color="auto"/>
      </w:divBdr>
    </w:div>
    <w:div w:id="948320546">
      <w:bodyDiv w:val="1"/>
      <w:marLeft w:val="0"/>
      <w:marRight w:val="0"/>
      <w:marTop w:val="0"/>
      <w:marBottom w:val="0"/>
      <w:divBdr>
        <w:top w:val="none" w:sz="0" w:space="0" w:color="auto"/>
        <w:left w:val="none" w:sz="0" w:space="0" w:color="auto"/>
        <w:bottom w:val="none" w:sz="0" w:space="0" w:color="auto"/>
        <w:right w:val="none" w:sz="0" w:space="0" w:color="auto"/>
      </w:divBdr>
    </w:div>
    <w:div w:id="1006785069">
      <w:bodyDiv w:val="1"/>
      <w:marLeft w:val="0"/>
      <w:marRight w:val="0"/>
      <w:marTop w:val="0"/>
      <w:marBottom w:val="0"/>
      <w:divBdr>
        <w:top w:val="none" w:sz="0" w:space="0" w:color="auto"/>
        <w:left w:val="none" w:sz="0" w:space="0" w:color="auto"/>
        <w:bottom w:val="none" w:sz="0" w:space="0" w:color="auto"/>
        <w:right w:val="none" w:sz="0" w:space="0" w:color="auto"/>
      </w:divBdr>
    </w:div>
    <w:div w:id="1138186104">
      <w:bodyDiv w:val="1"/>
      <w:marLeft w:val="0"/>
      <w:marRight w:val="0"/>
      <w:marTop w:val="0"/>
      <w:marBottom w:val="0"/>
      <w:divBdr>
        <w:top w:val="none" w:sz="0" w:space="0" w:color="auto"/>
        <w:left w:val="none" w:sz="0" w:space="0" w:color="auto"/>
        <w:bottom w:val="none" w:sz="0" w:space="0" w:color="auto"/>
        <w:right w:val="none" w:sz="0" w:space="0" w:color="auto"/>
      </w:divBdr>
    </w:div>
    <w:div w:id="1336304948">
      <w:bodyDiv w:val="1"/>
      <w:marLeft w:val="0"/>
      <w:marRight w:val="0"/>
      <w:marTop w:val="0"/>
      <w:marBottom w:val="0"/>
      <w:divBdr>
        <w:top w:val="none" w:sz="0" w:space="0" w:color="auto"/>
        <w:left w:val="none" w:sz="0" w:space="0" w:color="auto"/>
        <w:bottom w:val="none" w:sz="0" w:space="0" w:color="auto"/>
        <w:right w:val="none" w:sz="0" w:space="0" w:color="auto"/>
      </w:divBdr>
    </w:div>
    <w:div w:id="1453474329">
      <w:bodyDiv w:val="1"/>
      <w:marLeft w:val="0"/>
      <w:marRight w:val="0"/>
      <w:marTop w:val="0"/>
      <w:marBottom w:val="0"/>
      <w:divBdr>
        <w:top w:val="none" w:sz="0" w:space="0" w:color="auto"/>
        <w:left w:val="none" w:sz="0" w:space="0" w:color="auto"/>
        <w:bottom w:val="none" w:sz="0" w:space="0" w:color="auto"/>
        <w:right w:val="none" w:sz="0" w:space="0" w:color="auto"/>
      </w:divBdr>
    </w:div>
    <w:div w:id="1507404411">
      <w:bodyDiv w:val="1"/>
      <w:marLeft w:val="0"/>
      <w:marRight w:val="0"/>
      <w:marTop w:val="0"/>
      <w:marBottom w:val="0"/>
      <w:divBdr>
        <w:top w:val="none" w:sz="0" w:space="0" w:color="auto"/>
        <w:left w:val="none" w:sz="0" w:space="0" w:color="auto"/>
        <w:bottom w:val="none" w:sz="0" w:space="0" w:color="auto"/>
        <w:right w:val="none" w:sz="0" w:space="0" w:color="auto"/>
      </w:divBdr>
      <w:divsChild>
        <w:div w:id="930746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789629">
              <w:marLeft w:val="0"/>
              <w:marRight w:val="0"/>
              <w:marTop w:val="0"/>
              <w:marBottom w:val="0"/>
              <w:divBdr>
                <w:top w:val="none" w:sz="0" w:space="0" w:color="auto"/>
                <w:left w:val="none" w:sz="0" w:space="0" w:color="auto"/>
                <w:bottom w:val="none" w:sz="0" w:space="0" w:color="auto"/>
                <w:right w:val="none" w:sz="0" w:space="0" w:color="auto"/>
              </w:divBdr>
              <w:divsChild>
                <w:div w:id="1035740387">
                  <w:marLeft w:val="0"/>
                  <w:marRight w:val="0"/>
                  <w:marTop w:val="0"/>
                  <w:marBottom w:val="0"/>
                  <w:divBdr>
                    <w:top w:val="none" w:sz="0" w:space="0" w:color="auto"/>
                    <w:left w:val="none" w:sz="0" w:space="0" w:color="auto"/>
                    <w:bottom w:val="none" w:sz="0" w:space="0" w:color="auto"/>
                    <w:right w:val="none" w:sz="0" w:space="0" w:color="auto"/>
                  </w:divBdr>
                  <w:divsChild>
                    <w:div w:id="1695615300">
                      <w:marLeft w:val="0"/>
                      <w:marRight w:val="0"/>
                      <w:marTop w:val="0"/>
                      <w:marBottom w:val="0"/>
                      <w:divBdr>
                        <w:top w:val="none" w:sz="0" w:space="0" w:color="auto"/>
                        <w:left w:val="none" w:sz="0" w:space="0" w:color="auto"/>
                        <w:bottom w:val="none" w:sz="0" w:space="0" w:color="auto"/>
                        <w:right w:val="none" w:sz="0" w:space="0" w:color="auto"/>
                      </w:divBdr>
                      <w:divsChild>
                        <w:div w:id="470247667">
                          <w:marLeft w:val="0"/>
                          <w:marRight w:val="0"/>
                          <w:marTop w:val="0"/>
                          <w:marBottom w:val="0"/>
                          <w:divBdr>
                            <w:top w:val="none" w:sz="0" w:space="0" w:color="auto"/>
                            <w:left w:val="none" w:sz="0" w:space="0" w:color="auto"/>
                            <w:bottom w:val="none" w:sz="0" w:space="0" w:color="auto"/>
                            <w:right w:val="none" w:sz="0" w:space="0" w:color="auto"/>
                          </w:divBdr>
                        </w:div>
                      </w:divsChild>
                    </w:div>
                    <w:div w:id="230389355">
                      <w:marLeft w:val="0"/>
                      <w:marRight w:val="0"/>
                      <w:marTop w:val="0"/>
                      <w:marBottom w:val="0"/>
                      <w:divBdr>
                        <w:top w:val="none" w:sz="0" w:space="0" w:color="auto"/>
                        <w:left w:val="none" w:sz="0" w:space="0" w:color="auto"/>
                        <w:bottom w:val="none" w:sz="0" w:space="0" w:color="auto"/>
                        <w:right w:val="none" w:sz="0" w:space="0" w:color="auto"/>
                      </w:divBdr>
                      <w:divsChild>
                        <w:div w:id="221907449">
                          <w:marLeft w:val="0"/>
                          <w:marRight w:val="0"/>
                          <w:marTop w:val="0"/>
                          <w:marBottom w:val="0"/>
                          <w:divBdr>
                            <w:top w:val="none" w:sz="0" w:space="0" w:color="auto"/>
                            <w:left w:val="none" w:sz="0" w:space="0" w:color="auto"/>
                            <w:bottom w:val="none" w:sz="0" w:space="0" w:color="auto"/>
                            <w:right w:val="none" w:sz="0" w:space="0" w:color="auto"/>
                          </w:divBdr>
                        </w:div>
                      </w:divsChild>
                    </w:div>
                    <w:div w:id="759376186">
                      <w:marLeft w:val="0"/>
                      <w:marRight w:val="0"/>
                      <w:marTop w:val="0"/>
                      <w:marBottom w:val="0"/>
                      <w:divBdr>
                        <w:top w:val="none" w:sz="0" w:space="0" w:color="auto"/>
                        <w:left w:val="none" w:sz="0" w:space="0" w:color="auto"/>
                        <w:bottom w:val="none" w:sz="0" w:space="0" w:color="auto"/>
                        <w:right w:val="none" w:sz="0" w:space="0" w:color="auto"/>
                      </w:divBdr>
                      <w:divsChild>
                        <w:div w:id="511574477">
                          <w:marLeft w:val="0"/>
                          <w:marRight w:val="0"/>
                          <w:marTop w:val="0"/>
                          <w:marBottom w:val="0"/>
                          <w:divBdr>
                            <w:top w:val="none" w:sz="0" w:space="0" w:color="auto"/>
                            <w:left w:val="none" w:sz="0" w:space="0" w:color="auto"/>
                            <w:bottom w:val="none" w:sz="0" w:space="0" w:color="auto"/>
                            <w:right w:val="none" w:sz="0" w:space="0" w:color="auto"/>
                          </w:divBdr>
                        </w:div>
                      </w:divsChild>
                    </w:div>
                    <w:div w:id="241260758">
                      <w:marLeft w:val="0"/>
                      <w:marRight w:val="0"/>
                      <w:marTop w:val="0"/>
                      <w:marBottom w:val="0"/>
                      <w:divBdr>
                        <w:top w:val="none" w:sz="0" w:space="0" w:color="auto"/>
                        <w:left w:val="none" w:sz="0" w:space="0" w:color="auto"/>
                        <w:bottom w:val="none" w:sz="0" w:space="0" w:color="auto"/>
                        <w:right w:val="none" w:sz="0" w:space="0" w:color="auto"/>
                      </w:divBdr>
                      <w:divsChild>
                        <w:div w:id="834877998">
                          <w:marLeft w:val="0"/>
                          <w:marRight w:val="0"/>
                          <w:marTop w:val="0"/>
                          <w:marBottom w:val="0"/>
                          <w:divBdr>
                            <w:top w:val="none" w:sz="0" w:space="0" w:color="auto"/>
                            <w:left w:val="none" w:sz="0" w:space="0" w:color="auto"/>
                            <w:bottom w:val="none" w:sz="0" w:space="0" w:color="auto"/>
                            <w:right w:val="none" w:sz="0" w:space="0" w:color="auto"/>
                          </w:divBdr>
                        </w:div>
                      </w:divsChild>
                    </w:div>
                    <w:div w:id="393507877">
                      <w:marLeft w:val="0"/>
                      <w:marRight w:val="0"/>
                      <w:marTop w:val="0"/>
                      <w:marBottom w:val="0"/>
                      <w:divBdr>
                        <w:top w:val="none" w:sz="0" w:space="0" w:color="auto"/>
                        <w:left w:val="none" w:sz="0" w:space="0" w:color="auto"/>
                        <w:bottom w:val="none" w:sz="0" w:space="0" w:color="auto"/>
                        <w:right w:val="none" w:sz="0" w:space="0" w:color="auto"/>
                      </w:divBdr>
                      <w:divsChild>
                        <w:div w:id="746268332">
                          <w:marLeft w:val="0"/>
                          <w:marRight w:val="0"/>
                          <w:marTop w:val="0"/>
                          <w:marBottom w:val="0"/>
                          <w:divBdr>
                            <w:top w:val="none" w:sz="0" w:space="0" w:color="auto"/>
                            <w:left w:val="none" w:sz="0" w:space="0" w:color="auto"/>
                            <w:bottom w:val="none" w:sz="0" w:space="0" w:color="auto"/>
                            <w:right w:val="none" w:sz="0" w:space="0" w:color="auto"/>
                          </w:divBdr>
                        </w:div>
                      </w:divsChild>
                    </w:div>
                    <w:div w:id="1432160690">
                      <w:marLeft w:val="0"/>
                      <w:marRight w:val="0"/>
                      <w:marTop w:val="0"/>
                      <w:marBottom w:val="0"/>
                      <w:divBdr>
                        <w:top w:val="none" w:sz="0" w:space="0" w:color="auto"/>
                        <w:left w:val="none" w:sz="0" w:space="0" w:color="auto"/>
                        <w:bottom w:val="none" w:sz="0" w:space="0" w:color="auto"/>
                        <w:right w:val="none" w:sz="0" w:space="0" w:color="auto"/>
                      </w:divBdr>
                      <w:divsChild>
                        <w:div w:id="1807236513">
                          <w:marLeft w:val="0"/>
                          <w:marRight w:val="0"/>
                          <w:marTop w:val="0"/>
                          <w:marBottom w:val="0"/>
                          <w:divBdr>
                            <w:top w:val="none" w:sz="0" w:space="0" w:color="auto"/>
                            <w:left w:val="none" w:sz="0" w:space="0" w:color="auto"/>
                            <w:bottom w:val="none" w:sz="0" w:space="0" w:color="auto"/>
                            <w:right w:val="none" w:sz="0" w:space="0" w:color="auto"/>
                          </w:divBdr>
                        </w:div>
                      </w:divsChild>
                    </w:div>
                    <w:div w:id="663053707">
                      <w:marLeft w:val="0"/>
                      <w:marRight w:val="0"/>
                      <w:marTop w:val="0"/>
                      <w:marBottom w:val="0"/>
                      <w:divBdr>
                        <w:top w:val="none" w:sz="0" w:space="0" w:color="auto"/>
                        <w:left w:val="none" w:sz="0" w:space="0" w:color="auto"/>
                        <w:bottom w:val="none" w:sz="0" w:space="0" w:color="auto"/>
                        <w:right w:val="none" w:sz="0" w:space="0" w:color="auto"/>
                      </w:divBdr>
                      <w:divsChild>
                        <w:div w:id="18853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4708">
      <w:bodyDiv w:val="1"/>
      <w:marLeft w:val="0"/>
      <w:marRight w:val="0"/>
      <w:marTop w:val="0"/>
      <w:marBottom w:val="0"/>
      <w:divBdr>
        <w:top w:val="none" w:sz="0" w:space="0" w:color="auto"/>
        <w:left w:val="none" w:sz="0" w:space="0" w:color="auto"/>
        <w:bottom w:val="none" w:sz="0" w:space="0" w:color="auto"/>
        <w:right w:val="none" w:sz="0" w:space="0" w:color="auto"/>
      </w:divBdr>
    </w:div>
    <w:div w:id="20396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one/article?id=10.1371/journal.pone.0231460" TargetMode="External"/><Relationship Id="rId13" Type="http://schemas.openxmlformats.org/officeDocument/2006/relationships/hyperlink" Target="https://acuwithoutborders.org/our-wor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ng193/documents/evidence-review-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10523/1222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dl.handle.net/10523/122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rxiv.org/content/10.1101/2021.08.22.21262319v1" TargetMode="External"/><Relationship Id="rId14" Type="http://schemas.openxmlformats.org/officeDocument/2006/relationships/hyperlink" Target="https://mentalhealth.inquiry.govt.nz/assets/Summary-reports/He-Ara-Orang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115D-B740-E043-BFAD-DB420D0B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David McBride</cp:lastModifiedBy>
  <cp:revision>3</cp:revision>
  <cp:lastPrinted>2022-03-31T19:41:00Z</cp:lastPrinted>
  <dcterms:created xsi:type="dcterms:W3CDTF">2022-04-03T22:41:00Z</dcterms:created>
  <dcterms:modified xsi:type="dcterms:W3CDTF">2022-04-05T00:14:00Z</dcterms:modified>
</cp:coreProperties>
</file>