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5A694" w14:textId="77777777" w:rsidR="002356C3" w:rsidRPr="00E71C18" w:rsidRDefault="00AE586A" w:rsidP="003E5412">
      <w:pPr>
        <w:spacing w:after="0" w:line="360" w:lineRule="auto"/>
        <w:jc w:val="both"/>
        <w:rPr>
          <w:rFonts w:eastAsia="Calibri" w:cs="Times New Roman"/>
          <w:b/>
          <w:sz w:val="24"/>
          <w:szCs w:val="24"/>
        </w:rPr>
      </w:pPr>
      <w:r>
        <w:rPr>
          <w:rFonts w:eastAsia="Calibri" w:cs="Cambria"/>
          <w:b/>
          <w:noProof/>
          <w:color w:val="000000"/>
          <w:sz w:val="24"/>
          <w:szCs w:val="24"/>
          <w:lang w:val="de-DE" w:eastAsia="de-DE"/>
        </w:rPr>
        <w:drawing>
          <wp:anchor distT="0" distB="0" distL="114300" distR="114300" simplePos="0" relativeHeight="251658240" behindDoc="0" locked="0" layoutInCell="1" allowOverlap="1" wp14:anchorId="165206E9" wp14:editId="63DFCBBE">
            <wp:simplePos x="0" y="0"/>
            <wp:positionH relativeFrom="margin">
              <wp:align>left</wp:align>
            </wp:positionH>
            <wp:positionV relativeFrom="margin">
              <wp:posOffset>-401320</wp:posOffset>
            </wp:positionV>
            <wp:extent cx="4107815" cy="6159500"/>
            <wp:effectExtent l="2858"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han-dumlao-SlUoDl_SBMs-unsplash.jpg"/>
                    <pic:cNvPicPr/>
                  </pic:nvPicPr>
                  <pic:blipFill>
                    <a:blip r:embed="rId12"/>
                    <a:stretch>
                      <a:fillRect/>
                    </a:stretch>
                  </pic:blipFill>
                  <pic:spPr>
                    <a:xfrm rot="16200000">
                      <a:off x="0" y="0"/>
                      <a:ext cx="4107815" cy="6159500"/>
                    </a:xfrm>
                    <a:prstGeom prst="roundRect">
                      <a:avLst/>
                    </a:prstGeom>
                  </pic:spPr>
                </pic:pic>
              </a:graphicData>
            </a:graphic>
            <wp14:sizeRelH relativeFrom="margin">
              <wp14:pctWidth>0</wp14:pctWidth>
            </wp14:sizeRelH>
            <wp14:sizeRelV relativeFrom="margin">
              <wp14:pctHeight>0</wp14:pctHeight>
            </wp14:sizeRelV>
          </wp:anchor>
        </w:drawing>
      </w:r>
    </w:p>
    <w:p w14:paraId="74E4638A" w14:textId="77777777" w:rsidR="00402EBD" w:rsidRDefault="00402EBD" w:rsidP="003E5412">
      <w:pPr>
        <w:autoSpaceDE w:val="0"/>
        <w:autoSpaceDN w:val="0"/>
        <w:adjustRightInd w:val="0"/>
        <w:spacing w:after="0" w:line="360" w:lineRule="auto"/>
        <w:jc w:val="both"/>
        <w:rPr>
          <w:rFonts w:eastAsia="Calibri" w:cs="Cambria"/>
          <w:b/>
          <w:color w:val="000000"/>
          <w:sz w:val="24"/>
          <w:szCs w:val="24"/>
        </w:rPr>
      </w:pPr>
    </w:p>
    <w:p w14:paraId="78CB94EC" w14:textId="77777777" w:rsidR="00A40270" w:rsidRDefault="00A40270" w:rsidP="00A40270">
      <w:pPr>
        <w:tabs>
          <w:tab w:val="left" w:pos="8775"/>
        </w:tabs>
        <w:autoSpaceDE w:val="0"/>
        <w:autoSpaceDN w:val="0"/>
        <w:adjustRightInd w:val="0"/>
        <w:spacing w:after="0" w:line="360" w:lineRule="auto"/>
        <w:jc w:val="both"/>
        <w:rPr>
          <w:rFonts w:eastAsia="Calibri" w:cs="Cambria"/>
          <w:b/>
          <w:color w:val="000000"/>
          <w:sz w:val="24"/>
          <w:szCs w:val="24"/>
        </w:rPr>
      </w:pPr>
      <w:r>
        <w:rPr>
          <w:rFonts w:eastAsia="Calibri" w:cs="Cambria"/>
          <w:b/>
          <w:color w:val="000000"/>
          <w:sz w:val="24"/>
          <w:szCs w:val="24"/>
        </w:rPr>
        <w:tab/>
      </w:r>
    </w:p>
    <w:p w14:paraId="351D223D" w14:textId="77777777" w:rsidR="00A40270" w:rsidRDefault="00A40270" w:rsidP="003E5412">
      <w:pPr>
        <w:autoSpaceDE w:val="0"/>
        <w:autoSpaceDN w:val="0"/>
        <w:adjustRightInd w:val="0"/>
        <w:spacing w:after="0" w:line="360" w:lineRule="auto"/>
        <w:jc w:val="both"/>
        <w:rPr>
          <w:rFonts w:eastAsia="Calibri" w:cs="Cambria"/>
          <w:b/>
          <w:color w:val="000000"/>
          <w:sz w:val="24"/>
          <w:szCs w:val="24"/>
        </w:rPr>
      </w:pPr>
    </w:p>
    <w:p w14:paraId="39B7456B" w14:textId="77777777" w:rsidR="00A40270" w:rsidRDefault="00A40270" w:rsidP="003E5412">
      <w:pPr>
        <w:autoSpaceDE w:val="0"/>
        <w:autoSpaceDN w:val="0"/>
        <w:adjustRightInd w:val="0"/>
        <w:spacing w:after="0" w:line="360" w:lineRule="auto"/>
        <w:jc w:val="both"/>
        <w:rPr>
          <w:rFonts w:eastAsia="Calibri" w:cs="Cambria"/>
          <w:b/>
          <w:color w:val="000000"/>
        </w:rPr>
      </w:pPr>
    </w:p>
    <w:p w14:paraId="46EEE9BF" w14:textId="77777777" w:rsidR="002356C3" w:rsidRPr="009A7619" w:rsidRDefault="002356C3" w:rsidP="003E5412">
      <w:pPr>
        <w:autoSpaceDE w:val="0"/>
        <w:autoSpaceDN w:val="0"/>
        <w:adjustRightInd w:val="0"/>
        <w:spacing w:after="0" w:line="360" w:lineRule="auto"/>
        <w:jc w:val="both"/>
        <w:rPr>
          <w:rFonts w:eastAsia="Calibri" w:cs="Cambria"/>
          <w:color w:val="000000"/>
        </w:rPr>
      </w:pPr>
      <w:r w:rsidRPr="009A7619">
        <w:rPr>
          <w:rFonts w:eastAsia="Calibri" w:cs="Cambria"/>
          <w:b/>
          <w:color w:val="000000"/>
        </w:rPr>
        <w:t>Principal</w:t>
      </w:r>
      <w:r w:rsidR="001B014F" w:rsidRPr="009A7619">
        <w:rPr>
          <w:rFonts w:eastAsia="Calibri" w:cs="Cambria"/>
          <w:b/>
          <w:bCs/>
          <w:color w:val="000000"/>
        </w:rPr>
        <w:t xml:space="preserve"> Investigator</w:t>
      </w:r>
      <w:r w:rsidR="003D4314" w:rsidRPr="009A7619">
        <w:rPr>
          <w:rFonts w:eastAsia="Calibri" w:cs="Cambria"/>
          <w:b/>
          <w:bCs/>
          <w:color w:val="000000"/>
        </w:rPr>
        <w:t>s</w:t>
      </w:r>
      <w:r w:rsidR="001B014F" w:rsidRPr="009A7619">
        <w:rPr>
          <w:rFonts w:eastAsia="Calibri" w:cs="Cambria"/>
          <w:b/>
          <w:bCs/>
          <w:color w:val="000000"/>
        </w:rPr>
        <w:t>: Nurina Maria Katta</w:t>
      </w:r>
      <w:r w:rsidR="0066379D" w:rsidRPr="009A7619">
        <w:rPr>
          <w:rFonts w:eastAsia="Calibri" w:cs="Cambria"/>
          <w:b/>
          <w:bCs/>
          <w:color w:val="000000"/>
        </w:rPr>
        <w:t>/Prof</w:t>
      </w:r>
      <w:r w:rsidR="0005191F" w:rsidRPr="009A7619">
        <w:rPr>
          <w:rFonts w:eastAsia="Calibri" w:cs="Cambria"/>
          <w:b/>
          <w:bCs/>
          <w:color w:val="000000"/>
        </w:rPr>
        <w:t>.</w:t>
      </w:r>
      <w:r w:rsidR="0066379D" w:rsidRPr="009A7619">
        <w:rPr>
          <w:rFonts w:eastAsia="Calibri" w:cs="Cambria"/>
          <w:b/>
          <w:bCs/>
          <w:color w:val="000000"/>
        </w:rPr>
        <w:t xml:space="preserve"> Julia Rucklidge</w:t>
      </w:r>
    </w:p>
    <w:p w14:paraId="568A0FFD" w14:textId="77777777" w:rsidR="002356C3" w:rsidRPr="009A7619" w:rsidRDefault="001B014F" w:rsidP="003E5412">
      <w:pPr>
        <w:autoSpaceDE w:val="0"/>
        <w:autoSpaceDN w:val="0"/>
        <w:adjustRightInd w:val="0"/>
        <w:spacing w:after="0" w:line="360" w:lineRule="auto"/>
        <w:jc w:val="both"/>
        <w:rPr>
          <w:rFonts w:eastAsia="Calibri" w:cs="Cambria"/>
          <w:color w:val="000000"/>
        </w:rPr>
      </w:pPr>
      <w:r w:rsidRPr="009A7619">
        <w:rPr>
          <w:rFonts w:eastAsia="Calibri" w:cs="Cambria"/>
          <w:color w:val="000000"/>
        </w:rPr>
        <w:t xml:space="preserve">Te Puna Toiora: </w:t>
      </w:r>
      <w:r w:rsidR="002356C3" w:rsidRPr="009A7619">
        <w:rPr>
          <w:rFonts w:eastAsia="Calibri" w:cs="Cambria"/>
          <w:color w:val="000000"/>
        </w:rPr>
        <w:t xml:space="preserve">Mental Health and Nutrition Research </w:t>
      </w:r>
      <w:r w:rsidR="00FA62ED">
        <w:rPr>
          <w:rFonts w:eastAsia="Calibri" w:cs="Cambria"/>
          <w:color w:val="000000"/>
        </w:rPr>
        <w:t>Lab</w:t>
      </w:r>
    </w:p>
    <w:p w14:paraId="09944151" w14:textId="77777777" w:rsidR="002356C3" w:rsidRPr="009A7619" w:rsidRDefault="002356C3" w:rsidP="003E5412">
      <w:pPr>
        <w:autoSpaceDE w:val="0"/>
        <w:autoSpaceDN w:val="0"/>
        <w:adjustRightInd w:val="0"/>
        <w:spacing w:after="0" w:line="360" w:lineRule="auto"/>
        <w:jc w:val="both"/>
        <w:rPr>
          <w:rFonts w:eastAsia="Calibri" w:cs="Cambria"/>
          <w:color w:val="000000"/>
        </w:rPr>
      </w:pPr>
      <w:r w:rsidRPr="009A7619">
        <w:rPr>
          <w:rFonts w:eastAsia="Calibri" w:cs="Cambria"/>
          <w:color w:val="000000"/>
        </w:rPr>
        <w:t>University of Canterbury</w:t>
      </w:r>
    </w:p>
    <w:p w14:paraId="179A8331" w14:textId="77777777" w:rsidR="002356C3" w:rsidRPr="009A7619" w:rsidRDefault="002356C3" w:rsidP="003E5412">
      <w:pPr>
        <w:autoSpaceDE w:val="0"/>
        <w:autoSpaceDN w:val="0"/>
        <w:adjustRightInd w:val="0"/>
        <w:spacing w:after="0" w:line="360" w:lineRule="auto"/>
        <w:jc w:val="both"/>
        <w:rPr>
          <w:rFonts w:eastAsia="Calibri" w:cs="Cambria"/>
          <w:color w:val="000000"/>
        </w:rPr>
      </w:pPr>
      <w:r w:rsidRPr="009A7619">
        <w:rPr>
          <w:rFonts w:eastAsia="Calibri" w:cs="Cambria"/>
          <w:color w:val="000000"/>
        </w:rPr>
        <w:t>Private Bag 4800,</w:t>
      </w:r>
    </w:p>
    <w:p w14:paraId="1DA79C36" w14:textId="77777777" w:rsidR="002356C3" w:rsidRPr="009A7619" w:rsidRDefault="002356C3" w:rsidP="003E5412">
      <w:pPr>
        <w:autoSpaceDE w:val="0"/>
        <w:autoSpaceDN w:val="0"/>
        <w:adjustRightInd w:val="0"/>
        <w:spacing w:after="0" w:line="360" w:lineRule="auto"/>
        <w:jc w:val="both"/>
        <w:rPr>
          <w:rFonts w:eastAsia="Calibri" w:cs="Cambria"/>
          <w:color w:val="000000"/>
        </w:rPr>
      </w:pPr>
      <w:r w:rsidRPr="009A7619">
        <w:rPr>
          <w:rFonts w:eastAsia="Calibri" w:cs="Cambria"/>
          <w:color w:val="000000"/>
        </w:rPr>
        <w:t>Christchurch 8140, NZ.</w:t>
      </w:r>
    </w:p>
    <w:p w14:paraId="422079F1" w14:textId="77777777" w:rsidR="002356C3" w:rsidRPr="009A7619" w:rsidRDefault="002356C3" w:rsidP="003E5412">
      <w:pPr>
        <w:autoSpaceDE w:val="0"/>
        <w:autoSpaceDN w:val="0"/>
        <w:adjustRightInd w:val="0"/>
        <w:spacing w:after="0" w:line="360" w:lineRule="auto"/>
        <w:jc w:val="both"/>
        <w:rPr>
          <w:rFonts w:eastAsia="Calibri" w:cs="Cambria"/>
          <w:color w:val="000000"/>
        </w:rPr>
      </w:pPr>
      <w:r w:rsidRPr="009A7619">
        <w:rPr>
          <w:rFonts w:eastAsia="Calibri" w:cs="Cambria"/>
          <w:color w:val="000000"/>
        </w:rPr>
        <w:t xml:space="preserve">Email: </w:t>
      </w:r>
      <w:hyperlink r:id="rId13" w:history="1">
        <w:r w:rsidR="00A2067C" w:rsidRPr="009A7619">
          <w:rPr>
            <w:rStyle w:val="Hyperlink"/>
            <w:rFonts w:eastAsia="Calibri" w:cs="Cambria"/>
          </w:rPr>
          <w:t>nurina.katta@pg.canterbury.ac.nz</w:t>
        </w:r>
      </w:hyperlink>
      <w:r w:rsidR="00A95274" w:rsidRPr="009A7619">
        <w:rPr>
          <w:rFonts w:eastAsia="Calibri" w:cs="Cambria"/>
          <w:color w:val="000000"/>
        </w:rPr>
        <w:t xml:space="preserve"> </w:t>
      </w:r>
    </w:p>
    <w:p w14:paraId="72F2E079" w14:textId="77777777" w:rsidR="00114157" w:rsidRPr="009A7619" w:rsidRDefault="009F497D" w:rsidP="00010B44">
      <w:pPr>
        <w:spacing w:after="0" w:line="360" w:lineRule="auto"/>
        <w:jc w:val="both"/>
      </w:pPr>
      <w:r w:rsidRPr="009A7619">
        <w:rPr>
          <w:rFonts w:eastAsia="Calibri" w:cs="Times New Roman"/>
        </w:rPr>
        <w:t>Pho</w:t>
      </w:r>
      <w:r w:rsidR="001B014F" w:rsidRPr="009A7619">
        <w:rPr>
          <w:rFonts w:eastAsia="Calibri" w:cs="Times New Roman"/>
        </w:rPr>
        <w:t>n</w:t>
      </w:r>
      <w:r w:rsidRPr="009A7619">
        <w:rPr>
          <w:rFonts w:eastAsia="Calibri" w:cs="Times New Roman"/>
        </w:rPr>
        <w:t xml:space="preserve">e: </w:t>
      </w:r>
      <w:r w:rsidR="001B014F" w:rsidRPr="009A7619">
        <w:t>022 010 5522</w:t>
      </w:r>
    </w:p>
    <w:p w14:paraId="6A9A7E8F" w14:textId="77777777" w:rsidR="00114157" w:rsidRDefault="00114157" w:rsidP="003E5412">
      <w:pPr>
        <w:spacing w:after="0" w:line="360" w:lineRule="auto"/>
        <w:jc w:val="both"/>
        <w:rPr>
          <w:rFonts w:eastAsia="Calibri" w:cs="Times New Roman"/>
          <w:b/>
          <w:sz w:val="24"/>
          <w:szCs w:val="24"/>
        </w:rPr>
      </w:pPr>
    </w:p>
    <w:p w14:paraId="43F636D9" w14:textId="77777777" w:rsidR="00F410C0" w:rsidRDefault="00F410C0" w:rsidP="005B674C">
      <w:pPr>
        <w:tabs>
          <w:tab w:val="left" w:pos="5850"/>
        </w:tabs>
        <w:spacing w:after="0" w:line="360" w:lineRule="auto"/>
        <w:rPr>
          <w:rFonts w:eastAsia="Calibri" w:cs="Times New Roman"/>
          <w:b/>
          <w:sz w:val="24"/>
          <w:szCs w:val="24"/>
        </w:rPr>
      </w:pPr>
    </w:p>
    <w:p w14:paraId="57A3092F" w14:textId="77777777" w:rsidR="00AE586A" w:rsidRDefault="00AE586A" w:rsidP="005B674C">
      <w:pPr>
        <w:tabs>
          <w:tab w:val="left" w:pos="5850"/>
        </w:tabs>
        <w:spacing w:after="0" w:line="360" w:lineRule="auto"/>
        <w:rPr>
          <w:rFonts w:eastAsia="Calibri" w:cs="Times New Roman"/>
          <w:b/>
          <w:sz w:val="24"/>
          <w:szCs w:val="24"/>
        </w:rPr>
      </w:pPr>
    </w:p>
    <w:p w14:paraId="24A42E90" w14:textId="77777777" w:rsidR="00AE586A" w:rsidRPr="00E71C18" w:rsidRDefault="00AE586A" w:rsidP="005B674C">
      <w:pPr>
        <w:tabs>
          <w:tab w:val="left" w:pos="5850"/>
        </w:tabs>
        <w:spacing w:after="0" w:line="360" w:lineRule="auto"/>
        <w:rPr>
          <w:rFonts w:eastAsia="Calibri" w:cs="Times New Roman"/>
          <w:b/>
          <w:sz w:val="24"/>
          <w:szCs w:val="24"/>
        </w:rPr>
      </w:pPr>
    </w:p>
    <w:sdt>
      <w:sdtPr>
        <w:rPr>
          <w:rFonts w:asciiTheme="minorHAnsi" w:eastAsiaTheme="minorHAnsi" w:hAnsiTheme="minorHAnsi" w:cstheme="minorBidi"/>
          <w:b w:val="0"/>
          <w:bCs w:val="0"/>
          <w:color w:val="auto"/>
          <w:sz w:val="22"/>
          <w:szCs w:val="22"/>
          <w:lang w:val="en-NZ" w:eastAsia="en-US"/>
        </w:rPr>
        <w:id w:val="-1214113450"/>
        <w:docPartObj>
          <w:docPartGallery w:val="Table of Contents"/>
          <w:docPartUnique/>
        </w:docPartObj>
      </w:sdtPr>
      <w:sdtEndPr>
        <w:rPr>
          <w:noProof/>
        </w:rPr>
      </w:sdtEndPr>
      <w:sdtContent>
        <w:p w14:paraId="499AFFA9" w14:textId="77777777" w:rsidR="00DD7324" w:rsidRPr="00A40270" w:rsidRDefault="001B014F" w:rsidP="003E5412">
          <w:pPr>
            <w:pStyle w:val="TOCHeading"/>
            <w:jc w:val="both"/>
            <w:rPr>
              <w:rFonts w:asciiTheme="minorHAnsi" w:eastAsiaTheme="minorHAnsi" w:hAnsiTheme="minorHAnsi" w:cstheme="minorBidi"/>
              <w:b w:val="0"/>
              <w:bCs w:val="0"/>
              <w:color w:val="auto"/>
              <w:sz w:val="22"/>
              <w:szCs w:val="22"/>
              <w:lang w:val="en-NZ" w:eastAsia="en-US"/>
            </w:rPr>
          </w:pPr>
          <w:r>
            <w:rPr>
              <w:rFonts w:asciiTheme="minorHAnsi" w:hAnsiTheme="minorHAnsi"/>
            </w:rPr>
            <w:t>Contents</w:t>
          </w:r>
        </w:p>
        <w:p w14:paraId="5A4EDCD2" w14:textId="77777777" w:rsidR="009D2C19" w:rsidRPr="009D2C19" w:rsidRDefault="00342995" w:rsidP="009D2C19">
          <w:pPr>
            <w:pStyle w:val="TOC1"/>
            <w:rPr>
              <w:rFonts w:eastAsiaTheme="minorEastAsia"/>
              <w:lang w:val="en-AU" w:eastAsia="en-AU"/>
            </w:rPr>
          </w:pPr>
          <w:hyperlink w:anchor="_Toc17724173" w:history="1">
            <w:r w:rsidR="009D2C19" w:rsidRPr="009D2C19">
              <w:rPr>
                <w:rStyle w:val="Hyperlink"/>
                <w:color w:val="auto"/>
                <w:u w:val="none"/>
              </w:rPr>
              <w:t>Background</w:t>
            </w:r>
            <w:r w:rsidR="009D2C19" w:rsidRPr="009D2C19">
              <w:rPr>
                <w:webHidden/>
              </w:rPr>
              <w:tab/>
            </w:r>
          </w:hyperlink>
          <w:r w:rsidR="009D2C19">
            <w:t>3</w:t>
          </w:r>
        </w:p>
        <w:p w14:paraId="1E7A49BF" w14:textId="77777777" w:rsidR="0000334E" w:rsidRPr="009A7619" w:rsidRDefault="00B05B17" w:rsidP="009D2C19">
          <w:pPr>
            <w:pStyle w:val="TOC1"/>
            <w:rPr>
              <w:rFonts w:eastAsiaTheme="minorEastAsia"/>
              <w:lang w:val="en-AU" w:eastAsia="en-AU"/>
            </w:rPr>
          </w:pPr>
          <w:r w:rsidRPr="00081EC1">
            <w:rPr>
              <w:sz w:val="24"/>
            </w:rPr>
            <w:fldChar w:fldCharType="begin"/>
          </w:r>
          <w:r w:rsidR="00DD7324" w:rsidRPr="00081EC1">
            <w:rPr>
              <w:sz w:val="24"/>
            </w:rPr>
            <w:instrText xml:space="preserve"> TOC \o "1-3" \h \z \u </w:instrText>
          </w:r>
          <w:r w:rsidRPr="00081EC1">
            <w:rPr>
              <w:sz w:val="24"/>
            </w:rPr>
            <w:fldChar w:fldCharType="separate"/>
          </w:r>
          <w:hyperlink w:anchor="_Toc17724172" w:history="1"/>
          <w:hyperlink w:anchor="_Toc17724173" w:history="1">
            <w:r w:rsidR="0000334E" w:rsidRPr="009A7619">
              <w:rPr>
                <w:rStyle w:val="Hyperlink"/>
              </w:rPr>
              <w:t>Aims and Objectives</w:t>
            </w:r>
            <w:r w:rsidR="0000334E" w:rsidRPr="009A7619">
              <w:rPr>
                <w:webHidden/>
              </w:rPr>
              <w:tab/>
            </w:r>
          </w:hyperlink>
          <w:r w:rsidR="009D2C19">
            <w:t>9</w:t>
          </w:r>
        </w:p>
        <w:p w14:paraId="546BD59D" w14:textId="77777777" w:rsidR="0000334E" w:rsidRPr="009A7619" w:rsidRDefault="00342995" w:rsidP="009D2C19">
          <w:pPr>
            <w:pStyle w:val="TOC1"/>
            <w:rPr>
              <w:rFonts w:eastAsiaTheme="minorEastAsia"/>
              <w:lang w:val="en-AU" w:eastAsia="en-AU"/>
            </w:rPr>
          </w:pPr>
          <w:hyperlink w:anchor="_Toc17724174" w:history="1">
            <w:r w:rsidR="0000334E" w:rsidRPr="009A7619">
              <w:rPr>
                <w:rStyle w:val="Hyperlink"/>
                <w:b/>
              </w:rPr>
              <w:t>Method</w:t>
            </w:r>
            <w:r w:rsidR="0000334E" w:rsidRPr="009A7619">
              <w:rPr>
                <w:webHidden/>
              </w:rPr>
              <w:tab/>
            </w:r>
          </w:hyperlink>
          <w:r w:rsidR="009D2C19">
            <w:t>10</w:t>
          </w:r>
        </w:p>
        <w:p w14:paraId="47EECED6" w14:textId="77777777" w:rsidR="0000334E" w:rsidRPr="009A7619" w:rsidRDefault="00342995" w:rsidP="007C5DD5">
          <w:pPr>
            <w:pStyle w:val="TOC2"/>
            <w:rPr>
              <w:rFonts w:eastAsiaTheme="minorEastAsia"/>
              <w:noProof/>
              <w:lang w:val="en-AU" w:eastAsia="en-AU"/>
            </w:rPr>
          </w:pPr>
          <w:hyperlink w:anchor="_Toc17724175" w:history="1">
            <w:r w:rsidR="0000334E" w:rsidRPr="009A7619">
              <w:rPr>
                <w:rStyle w:val="Hyperlink"/>
                <w:noProof/>
              </w:rPr>
              <w:t>Study design</w:t>
            </w:r>
            <w:r w:rsidR="0000334E" w:rsidRPr="009A7619">
              <w:rPr>
                <w:noProof/>
                <w:webHidden/>
              </w:rPr>
              <w:tab/>
            </w:r>
          </w:hyperlink>
          <w:r w:rsidR="009D2C19">
            <w:rPr>
              <w:noProof/>
            </w:rPr>
            <w:t>10</w:t>
          </w:r>
        </w:p>
        <w:p w14:paraId="2F81C9AD" w14:textId="09B29D77" w:rsidR="0000334E" w:rsidRPr="009A7619" w:rsidRDefault="00342995" w:rsidP="003513AD">
          <w:pPr>
            <w:pStyle w:val="TOC3"/>
            <w:rPr>
              <w:rFonts w:eastAsiaTheme="minorEastAsia"/>
              <w:noProof/>
              <w:lang w:val="en-AU" w:eastAsia="en-AU"/>
            </w:rPr>
          </w:pPr>
          <w:hyperlink w:anchor="_Toc17724176" w:history="1">
            <w:r w:rsidR="0000334E" w:rsidRPr="009A7619">
              <w:rPr>
                <w:rStyle w:val="Hyperlink"/>
                <w:rFonts w:cs="Arial"/>
                <w:noProof/>
              </w:rPr>
              <w:t>Assessment Tools</w:t>
            </w:r>
            <w:r w:rsidR="0000334E" w:rsidRPr="009A7619">
              <w:rPr>
                <w:noProof/>
                <w:webHidden/>
              </w:rPr>
              <w:tab/>
            </w:r>
          </w:hyperlink>
          <w:r w:rsidR="006D7395">
            <w:rPr>
              <w:noProof/>
            </w:rPr>
            <w:t>13</w:t>
          </w:r>
        </w:p>
        <w:p w14:paraId="2122B4D6" w14:textId="376C0AC1" w:rsidR="0000334E" w:rsidRPr="009A7619" w:rsidRDefault="00342995" w:rsidP="007C5DD5">
          <w:pPr>
            <w:pStyle w:val="TOC2"/>
            <w:rPr>
              <w:rFonts w:eastAsiaTheme="minorEastAsia"/>
              <w:noProof/>
              <w:lang w:val="en-AU" w:eastAsia="en-AU"/>
            </w:rPr>
          </w:pPr>
          <w:hyperlink w:anchor="_Toc17724177" w:history="1">
            <w:r w:rsidR="0000334E" w:rsidRPr="009A7619">
              <w:rPr>
                <w:rStyle w:val="Hyperlink"/>
                <w:noProof/>
              </w:rPr>
              <w:t>Statistical Analysis</w:t>
            </w:r>
            <w:r w:rsidR="0000334E" w:rsidRPr="009A7619">
              <w:rPr>
                <w:noProof/>
                <w:webHidden/>
              </w:rPr>
              <w:tab/>
            </w:r>
          </w:hyperlink>
          <w:r w:rsidR="006D7395">
            <w:rPr>
              <w:noProof/>
            </w:rPr>
            <w:t>17</w:t>
          </w:r>
        </w:p>
        <w:p w14:paraId="4B80380E" w14:textId="77777777" w:rsidR="0000334E" w:rsidRPr="009A7619" w:rsidRDefault="00342995" w:rsidP="007C5DD5">
          <w:pPr>
            <w:pStyle w:val="TOC2"/>
            <w:rPr>
              <w:rFonts w:eastAsiaTheme="minorEastAsia"/>
              <w:noProof/>
              <w:lang w:val="en-AU" w:eastAsia="en-AU"/>
            </w:rPr>
          </w:pPr>
          <w:hyperlink w:anchor="_Toc17724178" w:history="1">
            <w:r w:rsidR="0000334E" w:rsidRPr="009A7619">
              <w:rPr>
                <w:rStyle w:val="Hyperlink"/>
                <w:noProof/>
              </w:rPr>
              <w:t>Anticipated costs</w:t>
            </w:r>
            <w:r w:rsidR="0000334E" w:rsidRPr="009A7619">
              <w:rPr>
                <w:noProof/>
                <w:webHidden/>
              </w:rPr>
              <w:tab/>
            </w:r>
          </w:hyperlink>
          <w:r w:rsidR="009D2C19">
            <w:rPr>
              <w:noProof/>
            </w:rPr>
            <w:t>18</w:t>
          </w:r>
        </w:p>
        <w:p w14:paraId="10F3416A" w14:textId="77777777" w:rsidR="0000334E" w:rsidRPr="009A7619" w:rsidRDefault="00342995" w:rsidP="007C5DD5">
          <w:pPr>
            <w:pStyle w:val="TOC2"/>
            <w:rPr>
              <w:rFonts w:eastAsiaTheme="minorEastAsia"/>
              <w:noProof/>
              <w:lang w:val="en-AU" w:eastAsia="en-AU"/>
            </w:rPr>
          </w:pPr>
          <w:hyperlink w:anchor="_Toc17724179" w:history="1">
            <w:r w:rsidR="0000334E" w:rsidRPr="009A7619">
              <w:rPr>
                <w:rStyle w:val="Hyperlink"/>
                <w:noProof/>
              </w:rPr>
              <w:t>Resources</w:t>
            </w:r>
            <w:r w:rsidR="0000334E" w:rsidRPr="009A7619">
              <w:rPr>
                <w:noProof/>
                <w:webHidden/>
              </w:rPr>
              <w:tab/>
            </w:r>
          </w:hyperlink>
          <w:r w:rsidR="009D2C19">
            <w:rPr>
              <w:noProof/>
            </w:rPr>
            <w:t>18</w:t>
          </w:r>
        </w:p>
        <w:p w14:paraId="5F212831" w14:textId="2A7B7FFD" w:rsidR="0000334E" w:rsidRPr="009A7619" w:rsidRDefault="00342995" w:rsidP="007C5DD5">
          <w:pPr>
            <w:pStyle w:val="TOC2"/>
            <w:rPr>
              <w:rFonts w:eastAsiaTheme="minorEastAsia"/>
              <w:noProof/>
              <w:lang w:val="en-AU" w:eastAsia="en-AU"/>
            </w:rPr>
          </w:pPr>
          <w:hyperlink w:anchor="_Toc17724180" w:history="1">
            <w:r w:rsidR="0000334E" w:rsidRPr="009A7619">
              <w:rPr>
                <w:rStyle w:val="Hyperlink"/>
                <w:noProof/>
              </w:rPr>
              <w:t>Timetable</w:t>
            </w:r>
            <w:r w:rsidR="0000334E" w:rsidRPr="009A7619">
              <w:rPr>
                <w:noProof/>
                <w:webHidden/>
              </w:rPr>
              <w:tab/>
            </w:r>
          </w:hyperlink>
          <w:r w:rsidR="00A630C5">
            <w:rPr>
              <w:noProof/>
            </w:rPr>
            <w:t>19</w:t>
          </w:r>
        </w:p>
        <w:p w14:paraId="160FD1D8" w14:textId="70125827" w:rsidR="0000334E" w:rsidRPr="009A7619" w:rsidRDefault="00342995" w:rsidP="007C5DD5">
          <w:pPr>
            <w:pStyle w:val="TOC2"/>
            <w:rPr>
              <w:rFonts w:eastAsiaTheme="minorEastAsia"/>
              <w:noProof/>
              <w:lang w:val="en-AU" w:eastAsia="en-AU"/>
            </w:rPr>
          </w:pPr>
          <w:hyperlink w:anchor="_Toc17724181" w:history="1">
            <w:r w:rsidR="0000334E" w:rsidRPr="009A7619">
              <w:rPr>
                <w:rStyle w:val="Hyperlink"/>
                <w:noProof/>
              </w:rPr>
              <w:t>Ethics</w:t>
            </w:r>
            <w:r w:rsidR="0000334E" w:rsidRPr="009A7619">
              <w:rPr>
                <w:noProof/>
                <w:webHidden/>
              </w:rPr>
              <w:tab/>
            </w:r>
          </w:hyperlink>
          <w:r w:rsidR="00A630C5">
            <w:rPr>
              <w:noProof/>
            </w:rPr>
            <w:t>19</w:t>
          </w:r>
        </w:p>
        <w:p w14:paraId="77F2107A" w14:textId="265E32E8" w:rsidR="0000334E" w:rsidRPr="009A7619" w:rsidRDefault="00342995" w:rsidP="007C5DD5">
          <w:pPr>
            <w:pStyle w:val="TOC2"/>
            <w:rPr>
              <w:rFonts w:eastAsiaTheme="minorEastAsia"/>
              <w:noProof/>
              <w:lang w:val="en-AU" w:eastAsia="en-AU"/>
            </w:rPr>
          </w:pPr>
          <w:hyperlink w:anchor="_Toc17724182" w:history="1">
            <w:r w:rsidR="0000334E" w:rsidRPr="009A7619">
              <w:rPr>
                <w:rStyle w:val="Hyperlink"/>
                <w:noProof/>
              </w:rPr>
              <w:t xml:space="preserve">Safety protocol related </w:t>
            </w:r>
            <w:r w:rsidR="005D222A" w:rsidRPr="009A7619">
              <w:rPr>
                <w:rStyle w:val="Hyperlink"/>
                <w:noProof/>
              </w:rPr>
              <w:t>to visits at the University Lab</w:t>
            </w:r>
            <w:r w:rsidR="0000334E" w:rsidRPr="009A7619">
              <w:rPr>
                <w:noProof/>
                <w:webHidden/>
              </w:rPr>
              <w:tab/>
            </w:r>
          </w:hyperlink>
          <w:r w:rsidR="00A630C5">
            <w:rPr>
              <w:noProof/>
            </w:rPr>
            <w:t>19</w:t>
          </w:r>
        </w:p>
        <w:p w14:paraId="1C6EFD53" w14:textId="6AAFCDBF" w:rsidR="007471E5" w:rsidRPr="009A7619" w:rsidRDefault="00342995" w:rsidP="007471E5">
          <w:pPr>
            <w:pStyle w:val="TOC2"/>
            <w:rPr>
              <w:rFonts w:eastAsiaTheme="minorEastAsia"/>
              <w:noProof/>
              <w:lang w:val="en-AU" w:eastAsia="en-AU"/>
            </w:rPr>
          </w:pPr>
          <w:hyperlink w:anchor="_Toc17724183" w:history="1">
            <w:r w:rsidR="007471E5">
              <w:rPr>
                <w:rStyle w:val="Hyperlink"/>
                <w:noProof/>
              </w:rPr>
              <w:t>Cultural sensitivity</w:t>
            </w:r>
            <w:r w:rsidR="007471E5" w:rsidRPr="009A7619">
              <w:rPr>
                <w:noProof/>
                <w:webHidden/>
              </w:rPr>
              <w:tab/>
            </w:r>
          </w:hyperlink>
          <w:r w:rsidR="009D2C19">
            <w:rPr>
              <w:noProof/>
            </w:rPr>
            <w:t>2</w:t>
          </w:r>
          <w:r w:rsidR="004A7851">
            <w:rPr>
              <w:noProof/>
            </w:rPr>
            <w:t>1</w:t>
          </w:r>
        </w:p>
        <w:p w14:paraId="68F92D4B" w14:textId="77777777" w:rsidR="007471E5" w:rsidRPr="009A7619" w:rsidRDefault="00342995" w:rsidP="007471E5">
          <w:pPr>
            <w:pStyle w:val="TOC2"/>
            <w:rPr>
              <w:rFonts w:eastAsiaTheme="minorEastAsia"/>
              <w:noProof/>
              <w:lang w:val="en-AU" w:eastAsia="en-AU"/>
            </w:rPr>
          </w:pPr>
          <w:hyperlink w:anchor="_Toc17724183" w:history="1">
            <w:r w:rsidR="007471E5" w:rsidRPr="009A7619">
              <w:rPr>
                <w:rStyle w:val="Hyperlink"/>
                <w:noProof/>
              </w:rPr>
              <w:t>Research site</w:t>
            </w:r>
            <w:r w:rsidR="007471E5" w:rsidRPr="009A7619">
              <w:rPr>
                <w:noProof/>
                <w:webHidden/>
              </w:rPr>
              <w:tab/>
            </w:r>
          </w:hyperlink>
          <w:r w:rsidR="009D2C19">
            <w:rPr>
              <w:noProof/>
            </w:rPr>
            <w:t>21</w:t>
          </w:r>
        </w:p>
        <w:p w14:paraId="3A4B95C6" w14:textId="2748D586" w:rsidR="0000334E" w:rsidRPr="009A7619" w:rsidRDefault="00342995" w:rsidP="007C5DD5">
          <w:pPr>
            <w:pStyle w:val="TOC2"/>
            <w:rPr>
              <w:rFonts w:eastAsiaTheme="minorEastAsia"/>
              <w:noProof/>
              <w:lang w:val="en-AU" w:eastAsia="en-AU"/>
            </w:rPr>
          </w:pPr>
          <w:hyperlink w:anchor="_Toc17724184" w:history="1">
            <w:r w:rsidR="0000334E" w:rsidRPr="009A7619">
              <w:rPr>
                <w:rStyle w:val="Hyperlink"/>
                <w:noProof/>
              </w:rPr>
              <w:t>Investigators</w:t>
            </w:r>
            <w:r w:rsidR="0000334E" w:rsidRPr="009A7619">
              <w:rPr>
                <w:noProof/>
                <w:webHidden/>
              </w:rPr>
              <w:tab/>
            </w:r>
          </w:hyperlink>
          <w:r w:rsidR="009D2C19">
            <w:rPr>
              <w:noProof/>
            </w:rPr>
            <w:t>2</w:t>
          </w:r>
          <w:r w:rsidR="004A7851">
            <w:rPr>
              <w:noProof/>
            </w:rPr>
            <w:t>2</w:t>
          </w:r>
        </w:p>
        <w:p w14:paraId="00BDAC9E" w14:textId="5CCDED2F" w:rsidR="0000334E" w:rsidRPr="009A7619" w:rsidRDefault="00342995" w:rsidP="007C5DD5">
          <w:pPr>
            <w:pStyle w:val="TOC2"/>
            <w:rPr>
              <w:rFonts w:eastAsiaTheme="minorEastAsia"/>
              <w:noProof/>
              <w:lang w:val="en-AU" w:eastAsia="en-AU"/>
            </w:rPr>
          </w:pPr>
          <w:hyperlink w:anchor="_Toc17724185" w:history="1">
            <w:r w:rsidR="0000334E" w:rsidRPr="009A7619">
              <w:rPr>
                <w:rStyle w:val="Hyperlink"/>
                <w:noProof/>
              </w:rPr>
              <w:t>Risk Management</w:t>
            </w:r>
            <w:r w:rsidR="0000334E" w:rsidRPr="009A7619">
              <w:rPr>
                <w:noProof/>
                <w:webHidden/>
              </w:rPr>
              <w:tab/>
            </w:r>
          </w:hyperlink>
          <w:r w:rsidR="009D2C19">
            <w:rPr>
              <w:noProof/>
            </w:rPr>
            <w:t>2</w:t>
          </w:r>
          <w:r w:rsidR="004A7851">
            <w:rPr>
              <w:noProof/>
            </w:rPr>
            <w:t>2</w:t>
          </w:r>
        </w:p>
        <w:p w14:paraId="0793DB28" w14:textId="1FCCB5F5" w:rsidR="0000334E" w:rsidRPr="009A7619" w:rsidRDefault="00342995" w:rsidP="007C5DD5">
          <w:pPr>
            <w:pStyle w:val="TOC2"/>
            <w:rPr>
              <w:rFonts w:eastAsiaTheme="minorEastAsia"/>
              <w:noProof/>
              <w:lang w:val="en-AU" w:eastAsia="en-AU"/>
            </w:rPr>
          </w:pPr>
          <w:hyperlink w:anchor="_Toc17724186" w:history="1">
            <w:r w:rsidR="0000334E" w:rsidRPr="009A7619">
              <w:rPr>
                <w:rStyle w:val="Hyperlink"/>
                <w:noProof/>
              </w:rPr>
              <w:t>Data ownership</w:t>
            </w:r>
            <w:r w:rsidR="0000334E" w:rsidRPr="009A7619">
              <w:rPr>
                <w:noProof/>
                <w:webHidden/>
              </w:rPr>
              <w:tab/>
            </w:r>
          </w:hyperlink>
          <w:r w:rsidR="009D2C19">
            <w:rPr>
              <w:noProof/>
            </w:rPr>
            <w:t>2</w:t>
          </w:r>
          <w:r w:rsidR="004A7851">
            <w:rPr>
              <w:noProof/>
            </w:rPr>
            <w:t>2</w:t>
          </w:r>
        </w:p>
        <w:p w14:paraId="4E4B3206" w14:textId="498FC902" w:rsidR="0000334E" w:rsidRPr="009A7619" w:rsidRDefault="00342995" w:rsidP="007C5DD5">
          <w:pPr>
            <w:pStyle w:val="TOC2"/>
            <w:rPr>
              <w:rFonts w:eastAsiaTheme="minorEastAsia"/>
              <w:noProof/>
              <w:lang w:val="en-AU" w:eastAsia="en-AU"/>
            </w:rPr>
          </w:pPr>
          <w:hyperlink w:anchor="_Toc17724187" w:history="1">
            <w:r w:rsidR="0000334E" w:rsidRPr="009A7619">
              <w:rPr>
                <w:rStyle w:val="Hyperlink"/>
                <w:noProof/>
              </w:rPr>
              <w:t>Conflicts of interest</w:t>
            </w:r>
            <w:r w:rsidR="0000334E" w:rsidRPr="009A7619">
              <w:rPr>
                <w:noProof/>
                <w:webHidden/>
              </w:rPr>
              <w:tab/>
            </w:r>
          </w:hyperlink>
          <w:r w:rsidR="009D2C19">
            <w:rPr>
              <w:noProof/>
            </w:rPr>
            <w:t>2</w:t>
          </w:r>
          <w:r w:rsidR="00E10460">
            <w:rPr>
              <w:noProof/>
            </w:rPr>
            <w:t>2</w:t>
          </w:r>
        </w:p>
        <w:p w14:paraId="35CAE0C4" w14:textId="4F6FC5F8" w:rsidR="0000334E" w:rsidRPr="009A7619" w:rsidRDefault="00342995" w:rsidP="009D2C19">
          <w:pPr>
            <w:pStyle w:val="TOC1"/>
            <w:rPr>
              <w:rFonts w:eastAsiaTheme="minorEastAsia"/>
              <w:lang w:val="en-AU" w:eastAsia="en-AU"/>
            </w:rPr>
          </w:pPr>
          <w:hyperlink w:anchor="_Toc17724188" w:history="1">
            <w:r w:rsidR="0000334E" w:rsidRPr="009A7619">
              <w:rPr>
                <w:rStyle w:val="Hyperlink"/>
                <w:b/>
              </w:rPr>
              <w:t>References</w:t>
            </w:r>
            <w:r w:rsidR="0000334E" w:rsidRPr="009A7619">
              <w:rPr>
                <w:webHidden/>
              </w:rPr>
              <w:tab/>
            </w:r>
          </w:hyperlink>
          <w:r w:rsidR="009D2C19">
            <w:t>2</w:t>
          </w:r>
          <w:r w:rsidR="00E10460">
            <w:t>3</w:t>
          </w:r>
        </w:p>
        <w:p w14:paraId="431D936C" w14:textId="76BD812D" w:rsidR="0000334E" w:rsidRPr="009A7619" w:rsidRDefault="00342995" w:rsidP="009D2C19">
          <w:pPr>
            <w:pStyle w:val="TOC1"/>
            <w:rPr>
              <w:rFonts w:eastAsiaTheme="minorEastAsia"/>
              <w:lang w:val="en-AU" w:eastAsia="en-AU"/>
            </w:rPr>
          </w:pPr>
          <w:hyperlink w:anchor="_Toc17724189" w:history="1">
            <w:r w:rsidR="0000334E" w:rsidRPr="009A7619">
              <w:rPr>
                <w:rStyle w:val="Hyperlink"/>
                <w:b/>
              </w:rPr>
              <w:t>Appendices</w:t>
            </w:r>
            <w:r w:rsidR="0000334E" w:rsidRPr="009A7619">
              <w:rPr>
                <w:webHidden/>
              </w:rPr>
              <w:tab/>
            </w:r>
          </w:hyperlink>
          <w:r w:rsidR="009D2C19">
            <w:t>3</w:t>
          </w:r>
          <w:r w:rsidR="004A7851">
            <w:t>0</w:t>
          </w:r>
        </w:p>
        <w:p w14:paraId="60AD765E" w14:textId="22E0D0D7" w:rsidR="005D222A" w:rsidRPr="007471E5" w:rsidRDefault="00342995" w:rsidP="007471E5">
          <w:pPr>
            <w:pStyle w:val="TOC2"/>
            <w:rPr>
              <w:rFonts w:eastAsiaTheme="minorEastAsia"/>
              <w:noProof/>
              <w:lang w:val="en-AU" w:eastAsia="en-AU"/>
            </w:rPr>
          </w:pPr>
          <w:hyperlink w:anchor="_Toc17724190" w:history="1">
            <w:r w:rsidR="00C54B69" w:rsidRPr="009A7619">
              <w:rPr>
                <w:rStyle w:val="Hyperlink"/>
                <w:noProof/>
              </w:rPr>
              <w:t>Appendix A: Lightnin</w:t>
            </w:r>
            <w:r w:rsidR="005D222A" w:rsidRPr="009A7619">
              <w:rPr>
                <w:rStyle w:val="Hyperlink"/>
                <w:noProof/>
              </w:rPr>
              <w:t xml:space="preserve">g Stiks active intervention </w:t>
            </w:r>
            <w:r w:rsidR="0000334E" w:rsidRPr="009A7619">
              <w:rPr>
                <w:rStyle w:val="Hyperlink"/>
                <w:noProof/>
              </w:rPr>
              <w:t>ingredient list</w:t>
            </w:r>
            <w:r w:rsidR="0000334E" w:rsidRPr="009A7619">
              <w:rPr>
                <w:noProof/>
                <w:webHidden/>
              </w:rPr>
              <w:tab/>
            </w:r>
          </w:hyperlink>
          <w:r w:rsidR="009D2C19">
            <w:rPr>
              <w:noProof/>
            </w:rPr>
            <w:t>3</w:t>
          </w:r>
          <w:r w:rsidR="004A7851">
            <w:rPr>
              <w:noProof/>
            </w:rPr>
            <w:t>0</w:t>
          </w:r>
        </w:p>
        <w:p w14:paraId="79A2CFB5" w14:textId="359444D2" w:rsidR="0000334E" w:rsidRPr="00081EC1" w:rsidRDefault="00342995" w:rsidP="007C5DD5">
          <w:pPr>
            <w:pStyle w:val="TOC2"/>
            <w:rPr>
              <w:rFonts w:eastAsiaTheme="minorEastAsia"/>
              <w:noProof/>
              <w:sz w:val="24"/>
              <w:lang w:val="en-AU" w:eastAsia="en-AU"/>
            </w:rPr>
          </w:pPr>
          <w:hyperlink w:anchor="_Toc17724191" w:history="1">
            <w:r w:rsidR="0000334E" w:rsidRPr="009A7619">
              <w:rPr>
                <w:rStyle w:val="Hyperlink"/>
                <w:noProof/>
              </w:rPr>
              <w:t xml:space="preserve">Appendix </w:t>
            </w:r>
            <w:r w:rsidR="007471E5">
              <w:rPr>
                <w:rStyle w:val="Hyperlink"/>
                <w:noProof/>
              </w:rPr>
              <w:t>B</w:t>
            </w:r>
            <w:r w:rsidR="0000334E" w:rsidRPr="009A7619">
              <w:rPr>
                <w:rStyle w:val="Hyperlink"/>
                <w:noProof/>
              </w:rPr>
              <w:t>: Schedule of Events</w:t>
            </w:r>
            <w:r w:rsidR="0000334E" w:rsidRPr="009A7619">
              <w:rPr>
                <w:noProof/>
                <w:webHidden/>
              </w:rPr>
              <w:tab/>
            </w:r>
          </w:hyperlink>
          <w:r w:rsidR="009D2C19">
            <w:rPr>
              <w:noProof/>
            </w:rPr>
            <w:t>3</w:t>
          </w:r>
          <w:r w:rsidR="004A7851">
            <w:rPr>
              <w:noProof/>
            </w:rPr>
            <w:t>1</w:t>
          </w:r>
        </w:p>
        <w:p w14:paraId="7607519B" w14:textId="77777777" w:rsidR="00DD7324" w:rsidRPr="00E71C18" w:rsidRDefault="00B05B17" w:rsidP="007C5DD5">
          <w:pPr>
            <w:pStyle w:val="TOC2"/>
            <w:rPr>
              <w:noProof/>
            </w:rPr>
          </w:pPr>
          <w:r w:rsidRPr="00081EC1">
            <w:rPr>
              <w:noProof/>
              <w:sz w:val="24"/>
            </w:rPr>
            <w:fldChar w:fldCharType="end"/>
          </w:r>
        </w:p>
      </w:sdtContent>
    </w:sdt>
    <w:p w14:paraId="11D29515" w14:textId="77777777" w:rsidR="004F76BC" w:rsidRPr="00E71C18" w:rsidRDefault="004F76BC">
      <w:pPr>
        <w:rPr>
          <w:rFonts w:asciiTheme="majorHAnsi" w:eastAsia="Calibri" w:hAnsiTheme="majorHAnsi" w:cs="Times New Roman"/>
          <w:b/>
          <w:bCs/>
          <w:color w:val="2E74B5" w:themeColor="accent1" w:themeShade="BF"/>
          <w:sz w:val="24"/>
          <w:szCs w:val="24"/>
        </w:rPr>
      </w:pPr>
      <w:r w:rsidRPr="00E71C18">
        <w:rPr>
          <w:rFonts w:eastAsia="Calibri" w:cs="Times New Roman"/>
          <w:sz w:val="24"/>
          <w:szCs w:val="24"/>
        </w:rPr>
        <w:br w:type="page"/>
      </w:r>
    </w:p>
    <w:p w14:paraId="56ADFE26" w14:textId="77777777" w:rsidR="009A2810" w:rsidRPr="00D54FB2" w:rsidRDefault="00247D27" w:rsidP="00F410C0">
      <w:pPr>
        <w:pStyle w:val="Heading1"/>
        <w:spacing w:line="360" w:lineRule="auto"/>
        <w:jc w:val="both"/>
        <w:rPr>
          <w:rFonts w:asciiTheme="minorHAnsi" w:hAnsiTheme="minorHAnsi" w:cstheme="minorHAnsi"/>
          <w:sz w:val="26"/>
          <w:szCs w:val="26"/>
        </w:rPr>
      </w:pPr>
      <w:bookmarkStart w:id="0" w:name="_Toc17724172"/>
      <w:r w:rsidRPr="00D54FB2">
        <w:rPr>
          <w:rFonts w:asciiTheme="minorHAnsi" w:hAnsiTheme="minorHAnsi" w:cstheme="minorHAnsi"/>
          <w:sz w:val="26"/>
          <w:szCs w:val="26"/>
        </w:rPr>
        <w:lastRenderedPageBreak/>
        <w:t>B</w:t>
      </w:r>
      <w:r w:rsidR="002356C3" w:rsidRPr="00D54FB2">
        <w:rPr>
          <w:rFonts w:asciiTheme="minorHAnsi" w:hAnsiTheme="minorHAnsi" w:cstheme="minorHAnsi"/>
          <w:sz w:val="26"/>
          <w:szCs w:val="26"/>
        </w:rPr>
        <w:t>ackground</w:t>
      </w:r>
      <w:bookmarkEnd w:id="0"/>
    </w:p>
    <w:p w14:paraId="6BFBE87F" w14:textId="77777777" w:rsidR="00D57C6A" w:rsidRPr="005C391B" w:rsidRDefault="00D57C6A" w:rsidP="00F410C0">
      <w:pPr>
        <w:spacing w:line="360" w:lineRule="auto"/>
        <w:jc w:val="both"/>
        <w:rPr>
          <w:rFonts w:cstheme="minorHAnsi"/>
          <w:lang w:val="en-US"/>
        </w:rPr>
      </w:pPr>
      <w:bookmarkStart w:id="1" w:name="_Hlk68183894"/>
      <w:bookmarkStart w:id="2" w:name="_Toc17724174"/>
      <w:r w:rsidRPr="005C391B">
        <w:rPr>
          <w:rFonts w:cstheme="minorHAnsi"/>
          <w:lang w:val="en-US"/>
        </w:rPr>
        <w:t>Emotion dysregulation among children can frequently be observed in different contexts, interfering with various important aspects of life, including general development, social skills, and family dynamic in the home. The following paragraphs introduce the concept of emotion regulation, and explore the link of emotion dysregulation to other issues such as irritability, stress, inattention, and hyperactivity/impulsivity. Further, the increasing role of vitamins and minerals as an intervention for emotion dysregulation and irritability is discussed by means of research from the past decade, illustrating the relevance of nutritional research as a treatment option. Lastly, the aims and objectives of the proposed study are presented.</w:t>
      </w:r>
    </w:p>
    <w:p w14:paraId="3A13312B" w14:textId="62396252" w:rsidR="00D57C6A" w:rsidRPr="005C391B" w:rsidRDefault="00D57C6A" w:rsidP="00F410C0">
      <w:pPr>
        <w:spacing w:line="360" w:lineRule="auto"/>
        <w:jc w:val="both"/>
        <w:rPr>
          <w:rFonts w:cstheme="minorHAnsi"/>
        </w:rPr>
      </w:pPr>
      <w:r w:rsidRPr="005C391B">
        <w:rPr>
          <w:rFonts w:cstheme="minorHAnsi"/>
          <w:lang w:val="en-US"/>
        </w:rPr>
        <w:t xml:space="preserve">Competent emotion regulation is defined as the “extrinsic and intrinsic processes that serve to monitor, evaluate, and modify emotional reactions” (Thompson, 1994, p. 27-28), referring to the effective management of </w:t>
      </w:r>
      <w:proofErr w:type="spellStart"/>
      <w:r w:rsidRPr="005C391B">
        <w:rPr>
          <w:rFonts w:cstheme="minorHAnsi"/>
          <w:lang w:val="en-US"/>
        </w:rPr>
        <w:t>behaviours</w:t>
      </w:r>
      <w:proofErr w:type="spellEnd"/>
      <w:r w:rsidRPr="005C391B">
        <w:rPr>
          <w:rFonts w:cstheme="minorHAnsi"/>
          <w:lang w:val="en-US"/>
        </w:rPr>
        <w:t xml:space="preserve"> following experiences in the environment that trigger emotions. Competent emotion regulation does not only foster empathy but also enables one to know the difference between internal emotional experiences and the external expression of emotions, behave socially appropriate (Thompson, 2019), and </w:t>
      </w:r>
      <w:r w:rsidRPr="005C391B">
        <w:rPr>
          <w:rFonts w:cstheme="minorHAnsi"/>
        </w:rPr>
        <w:t xml:space="preserve">adapt to external stressors by identifying, understanding, and integrating emotional information </w:t>
      </w:r>
      <w:r w:rsidR="009B62D7">
        <w:rPr>
          <w:rFonts w:cstheme="minorHAnsi"/>
        </w:rPr>
        <w:t>(Garnefski et al., 2007; Saarni, 1984; Terwogt &amp; Stegge, 1995; Thompson, 1994)</w:t>
      </w:r>
      <w:r w:rsidRPr="005C391B">
        <w:rPr>
          <w:rFonts w:cstheme="minorHAnsi"/>
        </w:rPr>
        <w:t xml:space="preserve">. It is a complex concept that depends on multiple aspects, including the person’s developmental status, subjective perceptions, cultural norms and values, and past experiences </w:t>
      </w:r>
      <w:r w:rsidRPr="005C391B">
        <w:rPr>
          <w:rFonts w:cstheme="minorHAnsi"/>
        </w:rPr>
        <w:fldChar w:fldCharType="begin"/>
      </w:r>
      <w:r w:rsidRPr="005C391B">
        <w:rPr>
          <w:rFonts w:cstheme="minorHAnsi"/>
        </w:rPr>
        <w:instrText xml:space="preserve"> ADDIN EN.CITE &lt;EndNote&gt;&lt;Cite&gt;&lt;Author&gt;Kopp&lt;/Author&gt;&lt;Year&gt;1982&lt;/Year&gt;&lt;RecNum&gt;229&lt;/RecNum&gt;&lt;DisplayText&gt;(Kopp, 1982; Saarni, Campos, Camras, &amp;amp; Witherington, 2007)&lt;/DisplayText&gt;&lt;record&gt;&lt;rec-number&gt;229&lt;/rec-number&gt;&lt;foreign-keys&gt;&lt;key app="EN" db-id="drevp2w2uz2zr0esepxpep0h9z9w09zd9v9t" timestamp="1617240713"&gt;229&lt;/key&gt;&lt;/foreign-keys&gt;&lt;ref-type name="Journal Article"&gt;17&lt;/ref-type&gt;&lt;contributors&gt;&lt;authors&gt;&lt;author&gt;Kopp, Claire B&lt;/author&gt;&lt;/authors&gt;&lt;/contributors&gt;&lt;titles&gt;&lt;title&gt;Antecedents of self-regulation: a developmental perspective&lt;/title&gt;&lt;secondary-title&gt;Developmental psychology&lt;/secondary-title&gt;&lt;/titles&gt;&lt;periodical&gt;&lt;full-title&gt;Developmental psychology&lt;/full-title&gt;&lt;/periodical&gt;&lt;pages&gt;199&lt;/pages&gt;&lt;volume&gt;18&lt;/volume&gt;&lt;number&gt;2&lt;/number&gt;&lt;dates&gt;&lt;year&gt;1982&lt;/year&gt;&lt;/dates&gt;&lt;isbn&gt;1939-0599&lt;/isbn&gt;&lt;urls&gt;&lt;/urls&gt;&lt;/record&gt;&lt;/Cite&gt;&lt;Cite&gt;&lt;Author&gt;Saarni&lt;/Author&gt;&lt;Year&gt;2007&lt;/Year&gt;&lt;RecNum&gt;230&lt;/RecNum&gt;&lt;record&gt;&lt;rec-number&gt;230&lt;/rec-number&gt;&lt;foreign-keys&gt;&lt;key app="EN" db-id="drevp2w2uz2zr0esepxpep0h9z9w09zd9v9t" timestamp="1617240748"&gt;230&lt;/key&gt;&lt;/foreign-keys&gt;&lt;ref-type name="Journal Article"&gt;17&lt;/ref-type&gt;&lt;contributors&gt;&lt;authors&gt;&lt;author&gt;Saarni, Carolyn&lt;/author&gt;&lt;author&gt;Campos, Joseph J&lt;/author&gt;&lt;author&gt;Camras, Linda A&lt;/author&gt;&lt;author&gt;Witherington, David&lt;/author&gt;&lt;/authors&gt;&lt;/contributors&gt;&lt;titles&gt;&lt;title&gt;Emotional development: Action, communication, and understanding&lt;/title&gt;&lt;secondary-title&gt;Handbook of child psychology&lt;/secondary-title&gt;&lt;/titles&gt;&lt;periodical&gt;&lt;full-title&gt;Handbook of child psychology&lt;/full-title&gt;&lt;/periodical&gt;&lt;volume&gt;3&lt;/volume&gt;&lt;dates&gt;&lt;year&gt;2007&lt;/year&gt;&lt;/dates&gt;&lt;urls&gt;&lt;/urls&gt;&lt;/record&gt;&lt;/Cite&gt;&lt;/EndNote&gt;</w:instrText>
      </w:r>
      <w:r w:rsidRPr="005C391B">
        <w:rPr>
          <w:rFonts w:cstheme="minorHAnsi"/>
        </w:rPr>
        <w:fldChar w:fldCharType="separate"/>
      </w:r>
      <w:r w:rsidRPr="005C391B">
        <w:rPr>
          <w:rFonts w:cstheme="minorHAnsi"/>
          <w:noProof/>
        </w:rPr>
        <w:t>(Kopp, 1982; Saarni, Campos, Camras, &amp; Witherington, 2007)</w:t>
      </w:r>
      <w:r w:rsidRPr="005C391B">
        <w:rPr>
          <w:rFonts w:cstheme="minorHAnsi"/>
        </w:rPr>
        <w:fldChar w:fldCharType="end"/>
      </w:r>
      <w:r w:rsidRPr="005C391B">
        <w:rPr>
          <w:rFonts w:cstheme="minorHAnsi"/>
        </w:rPr>
        <w:t xml:space="preserve">. When children are five, they are usually competent to appropriately regulate their emotions and behaviour </w:t>
      </w:r>
      <w:r w:rsidRPr="005C391B">
        <w:rPr>
          <w:rFonts w:cstheme="minorHAnsi"/>
        </w:rPr>
        <w:fldChar w:fldCharType="begin"/>
      </w:r>
      <w:r w:rsidRPr="005C391B">
        <w:rPr>
          <w:rFonts w:cstheme="minorHAnsi"/>
        </w:rPr>
        <w:instrText xml:space="preserve"> ADDIN EN.CITE &lt;EndNote&gt;&lt;Cite&gt;&lt;Author&gt;Carlson&lt;/Author&gt;&lt;Year&gt;2007&lt;/Year&gt;&lt;RecNum&gt;235&lt;/RecNum&gt;&lt;DisplayText&gt;(Carlson &amp;amp; Wang, 2007)&lt;/DisplayText&gt;&lt;record&gt;&lt;rec-number&gt;235&lt;/rec-number&gt;&lt;foreign-keys&gt;&lt;key app="EN" db-id="drevp2w2uz2zr0esepxpep0h9z9w09zd9v9t" timestamp="1617243281"&gt;235&lt;/key&gt;&lt;/foreign-keys&gt;&lt;ref-type name="Journal Article"&gt;17&lt;/ref-type&gt;&lt;contributors&gt;&lt;authors&gt;&lt;author&gt;Carlson, Stephanie M&lt;/author&gt;&lt;author&gt;Wang, Tiffany S&lt;/author&gt;&lt;/authors&gt;&lt;/contributors&gt;&lt;titles&gt;&lt;title&gt;Inhibitory control and emotion regulation in preschool children&lt;/title&gt;&lt;secondary-title&gt;Cognitive Development&lt;/secondary-title&gt;&lt;/titles&gt;&lt;periodical&gt;&lt;full-title&gt;Cognitive Development&lt;/full-title&gt;&lt;/periodical&gt;&lt;pages&gt;489-510&lt;/pages&gt;&lt;volume&gt;22&lt;/volume&gt;&lt;number&gt;4&lt;/number&gt;&lt;dates&gt;&lt;year&gt;2007&lt;/year&gt;&lt;/dates&gt;&lt;isbn&gt;0885-2014&lt;/isbn&gt;&lt;urls&gt;&lt;/urls&gt;&lt;/record&gt;&lt;/Cite&gt;&lt;/EndNote&gt;</w:instrText>
      </w:r>
      <w:r w:rsidRPr="005C391B">
        <w:rPr>
          <w:rFonts w:cstheme="minorHAnsi"/>
        </w:rPr>
        <w:fldChar w:fldCharType="separate"/>
      </w:r>
      <w:r w:rsidRPr="005C391B">
        <w:rPr>
          <w:rFonts w:cstheme="minorHAnsi"/>
          <w:noProof/>
        </w:rPr>
        <w:t>(Carlson &amp; Wang, 2007)</w:t>
      </w:r>
      <w:r w:rsidRPr="005C391B">
        <w:rPr>
          <w:rFonts w:cstheme="minorHAnsi"/>
        </w:rPr>
        <w:fldChar w:fldCharType="end"/>
      </w:r>
      <w:r w:rsidRPr="005C391B">
        <w:rPr>
          <w:rFonts w:cstheme="minorHAnsi"/>
        </w:rPr>
        <w:t xml:space="preserve">, and this has a positive impact on various developmental factors such as social skills, language, and cognitive abilities </w:t>
      </w:r>
      <w:r w:rsidRPr="005C391B">
        <w:rPr>
          <w:rFonts w:cstheme="minorHAnsi"/>
        </w:rPr>
        <w:fldChar w:fldCharType="begin"/>
      </w:r>
      <w:r w:rsidRPr="005C391B">
        <w:rPr>
          <w:rFonts w:cstheme="minorHAnsi"/>
        </w:rPr>
        <w:instrText xml:space="preserve"> ADDIN EN.CITE &lt;EndNote&gt;&lt;Cite&gt;&lt;Author&gt;Kamphaus&lt;/Author&gt;&lt;Year&gt;1987&lt;/Year&gt;&lt;RecNum&gt;234&lt;/RecNum&gt;&lt;DisplayText&gt;(Kamphaus, 1987)&lt;/DisplayText&gt;&lt;record&gt;&lt;rec-number&gt;234&lt;/rec-number&gt;&lt;foreign-keys&gt;&lt;key app="EN" db-id="drevp2w2uz2zr0esepxpep0h9z9w09zd9v9t" timestamp="1617241698"&gt;234&lt;/key&gt;&lt;/foreign-keys&gt;&lt;ref-type name="Journal Article"&gt;17&lt;/ref-type&gt;&lt;contributors&gt;&lt;authors&gt;&lt;author&gt;Kamphaus, Randy W&lt;/author&gt;&lt;/authors&gt;&lt;/contributors&gt;&lt;titles&gt;&lt;title&gt;Conceptual and psychometric issues in the assessment of adaptive behavior&lt;/title&gt;&lt;secondary-title&gt;The Journal of Special Education&lt;/secondary-title&gt;&lt;/titles&gt;&lt;periodical&gt;&lt;full-title&gt;The Journal of Special Education&lt;/full-title&gt;&lt;/periodical&gt;&lt;pages&gt;27-35&lt;/pages&gt;&lt;volume&gt;21&lt;/volume&gt;&lt;number&gt;1&lt;/number&gt;&lt;dates&gt;&lt;year&gt;1987&lt;/year&gt;&lt;/dates&gt;&lt;isbn&gt;0022-4669&lt;/isbn&gt;&lt;urls&gt;&lt;/urls&gt;&lt;/record&gt;&lt;/Cite&gt;&lt;/EndNote&gt;</w:instrText>
      </w:r>
      <w:r w:rsidRPr="005C391B">
        <w:rPr>
          <w:rFonts w:cstheme="minorHAnsi"/>
        </w:rPr>
        <w:fldChar w:fldCharType="separate"/>
      </w:r>
      <w:r w:rsidRPr="005C391B">
        <w:rPr>
          <w:rFonts w:cstheme="minorHAnsi"/>
          <w:noProof/>
        </w:rPr>
        <w:t>(Kamphaus, 1987)</w:t>
      </w:r>
      <w:r w:rsidRPr="005C391B">
        <w:rPr>
          <w:rFonts w:cstheme="minorHAnsi"/>
        </w:rPr>
        <w:fldChar w:fldCharType="end"/>
      </w:r>
      <w:r w:rsidRPr="005C391B">
        <w:rPr>
          <w:rFonts w:cstheme="minorHAnsi"/>
        </w:rPr>
        <w:t xml:space="preserve">. For example, in preschool children, competent emotion regulation has been associated with superior social behaviour, social competence, and abilities to adjust to the environment, as well as being liked by peers and teachers </w:t>
      </w:r>
      <w:r w:rsidRPr="005C391B">
        <w:rPr>
          <w:rFonts w:cstheme="minorHAnsi"/>
        </w:rPr>
        <w:fldChar w:fldCharType="begin"/>
      </w:r>
      <w:r w:rsidRPr="005C391B">
        <w:rPr>
          <w:rFonts w:cstheme="minorHAnsi"/>
        </w:rPr>
        <w:instrText xml:space="preserve"> ADDIN EN.CITE &lt;EndNote&gt;&lt;Cite&gt;&lt;Author&gt;Denham&lt;/Author&gt;&lt;Year&gt;2003&lt;/Year&gt;&lt;RecNum&gt;260&lt;/RecNum&gt;&lt;DisplayText&gt;(Denham et al., 2003)&lt;/DisplayText&gt;&lt;record&gt;&lt;rec-number&gt;260&lt;/rec-number&gt;&lt;foreign-keys&gt;&lt;key app="EN" db-id="drevp2w2uz2zr0esepxpep0h9z9w09zd9v9t" timestamp="1617925877"&gt;260&lt;/key&gt;&lt;/foreign-keys&gt;&lt;ref-type name="Journal Article"&gt;17&lt;/ref-type&gt;&lt;contributors&gt;&lt;authors&gt;&lt;author&gt;Denham, Susanne A&lt;/author&gt;&lt;author&gt;Blair, Kimberly A&lt;/author&gt;&lt;author&gt;DeMulder, Elizabeth&lt;/author&gt;&lt;author&gt;Levitas, Jennifer&lt;/author&gt;&lt;author&gt;Sawyer, Katherine&lt;/author&gt;&lt;author&gt;Auerbach–Major, Sharon&lt;/author&gt;&lt;author&gt;Queenan, Patrick&lt;/author&gt;&lt;/authors&gt;&lt;/contributors&gt;&lt;titles&gt;&lt;title&gt;Preschool emotional competence: Pathway to social competence?&lt;/title&gt;&lt;secondary-title&gt;Child development&lt;/secondary-title&gt;&lt;/titles&gt;&lt;periodical&gt;&lt;full-title&gt;Child development&lt;/full-title&gt;&lt;/periodical&gt;&lt;pages&gt;238-256&lt;/pages&gt;&lt;volume&gt;74&lt;/volume&gt;&lt;number&gt;1&lt;/number&gt;&lt;dates&gt;&lt;year&gt;2003&lt;/year&gt;&lt;/dates&gt;&lt;isbn&gt;0009-3920&lt;/isbn&gt;&lt;urls&gt;&lt;/urls&gt;&lt;/record&gt;&lt;/Cite&gt;&lt;/EndNote&gt;</w:instrText>
      </w:r>
      <w:r w:rsidRPr="005C391B">
        <w:rPr>
          <w:rFonts w:cstheme="minorHAnsi"/>
        </w:rPr>
        <w:fldChar w:fldCharType="separate"/>
      </w:r>
      <w:r w:rsidRPr="005C391B">
        <w:rPr>
          <w:rFonts w:cstheme="minorHAnsi"/>
          <w:noProof/>
        </w:rPr>
        <w:t>(Denham et al., 2003)</w:t>
      </w:r>
      <w:r w:rsidRPr="005C391B">
        <w:rPr>
          <w:rFonts w:cstheme="minorHAnsi"/>
        </w:rPr>
        <w:fldChar w:fldCharType="end"/>
      </w:r>
      <w:r w:rsidRPr="005C391B">
        <w:rPr>
          <w:rFonts w:cstheme="minorHAnsi"/>
        </w:rPr>
        <w:t xml:space="preserve">. </w:t>
      </w:r>
    </w:p>
    <w:p w14:paraId="0D522128" w14:textId="477CA1A8" w:rsidR="00D57C6A" w:rsidRPr="005C391B" w:rsidRDefault="00D57C6A" w:rsidP="00F410C0">
      <w:pPr>
        <w:spacing w:line="360" w:lineRule="auto"/>
        <w:jc w:val="both"/>
        <w:rPr>
          <w:rFonts w:cstheme="minorHAnsi"/>
          <w:lang w:val="en-US"/>
        </w:rPr>
      </w:pPr>
      <w:r w:rsidRPr="005C391B">
        <w:rPr>
          <w:rFonts w:cstheme="minorHAnsi"/>
          <w:lang w:val="en-US"/>
        </w:rPr>
        <w:t>Because competent emotion regulation helps us to effectively face challenges, adequate emotion regulation skills are required for successful coping with stressful situations or life events</w:t>
      </w:r>
      <w:r w:rsidR="008016EE">
        <w:rPr>
          <w:rFonts w:cstheme="minorHAnsi"/>
          <w:lang w:val="en-US"/>
        </w:rPr>
        <w:t xml:space="preserve"> (</w:t>
      </w:r>
      <w:proofErr w:type="spellStart"/>
      <w:r w:rsidR="008016EE">
        <w:rPr>
          <w:rFonts w:cstheme="minorHAnsi"/>
          <w:lang w:val="en-US"/>
        </w:rPr>
        <w:t>Saarni</w:t>
      </w:r>
      <w:proofErr w:type="spellEnd"/>
      <w:r w:rsidR="008016EE">
        <w:rPr>
          <w:rFonts w:cstheme="minorHAnsi"/>
          <w:lang w:val="en-US"/>
        </w:rPr>
        <w:t xml:space="preserve"> et al., 2007; Wong et al., 2006)</w:t>
      </w:r>
      <w:r w:rsidRPr="005C391B">
        <w:rPr>
          <w:rFonts w:cstheme="minorHAnsi"/>
          <w:lang w:val="en-US"/>
        </w:rPr>
        <w:t xml:space="preserve">, which might be a reason why </w:t>
      </w:r>
      <w:r w:rsidRPr="005C391B">
        <w:rPr>
          <w:rFonts w:cstheme="minorHAnsi"/>
        </w:rPr>
        <w:t xml:space="preserve">emotion regulation </w:t>
      </w:r>
      <w:r w:rsidRPr="005C391B">
        <w:rPr>
          <w:rFonts w:cstheme="minorHAnsi"/>
          <w:lang w:val="en-US"/>
        </w:rPr>
        <w:t xml:space="preserve">is frequently associated with stress. The overlap between emotion regulation and stress might also be explained by common physiological mechanisms, as they both involve activation of the </w:t>
      </w:r>
      <w:r w:rsidRPr="005C391B">
        <w:rPr>
          <w:rFonts w:cstheme="minorHAnsi"/>
        </w:rPr>
        <w:t>hypothalamic–pituitary–adrenal (</w:t>
      </w:r>
      <w:r w:rsidRPr="005C391B">
        <w:rPr>
          <w:rFonts w:cstheme="minorHAnsi"/>
          <w:lang w:val="en-US"/>
        </w:rPr>
        <w:t xml:space="preserve">HPA) axis </w:t>
      </w:r>
      <w:r w:rsidRPr="005C391B">
        <w:rPr>
          <w:rFonts w:cstheme="minorHAnsi"/>
          <w:lang w:val="en-US"/>
        </w:rPr>
        <w:fldChar w:fldCharType="begin"/>
      </w:r>
      <w:r w:rsidRPr="005C391B">
        <w:rPr>
          <w:rFonts w:cstheme="minorHAnsi"/>
          <w:lang w:val="en-US"/>
        </w:rPr>
        <w:instrText xml:space="preserve"> ADDIN EN.CITE &lt;EndNote&gt;&lt;Cite&gt;&lt;Author&gt;Wang&lt;/Author&gt;&lt;Year&gt;2011&lt;/Year&gt;&lt;RecNum&gt;200&lt;/RecNum&gt;&lt;DisplayText&gt;(Wang &amp;amp; Saudino, 2011)&lt;/DisplayText&gt;&lt;record&gt;&lt;rec-number&gt;200&lt;/rec-number&gt;&lt;foreign-keys&gt;&lt;key app="EN" db-id="drevp2w2uz2zr0esepxpep0h9z9w09zd9v9t" timestamp="1611796811"&gt;200&lt;/key&gt;&lt;/foreign-keys&gt;&lt;ref-type name="Journal Article"&gt;17&lt;/ref-type&gt;&lt;contributors&gt;&lt;authors&gt;&lt;author&gt;Wang, Manjie&lt;/author&gt;&lt;author&gt;Saudino, Kimberly J&lt;/author&gt;&lt;/authors&gt;&lt;/contributors&gt;&lt;titles&gt;&lt;title&gt;Emotion regulation and stress&lt;/title&gt;&lt;secondary-title&gt;Journal of Adult Development&lt;/secondary-title&gt;&lt;/titles&gt;&lt;periodical&gt;&lt;full-title&gt;Journal of Adult Development&lt;/full-title&gt;&lt;/periodical&gt;&lt;pages&gt;95-103&lt;/pages&gt;&lt;volume&gt;18&lt;/volume&gt;&lt;number&gt;2&lt;/number&gt;&lt;dates&gt;&lt;year&gt;2011&lt;/year&gt;&lt;/dates&gt;&lt;isbn&gt;1068-0667&lt;/isbn&gt;&lt;urls&gt;&lt;/urls&gt;&lt;/record&gt;&lt;/Cite&gt;&lt;/EndNote&gt;</w:instrText>
      </w:r>
      <w:r w:rsidRPr="005C391B">
        <w:rPr>
          <w:rFonts w:cstheme="minorHAnsi"/>
          <w:lang w:val="en-US"/>
        </w:rPr>
        <w:fldChar w:fldCharType="separate"/>
      </w:r>
      <w:r w:rsidRPr="005C391B">
        <w:rPr>
          <w:rFonts w:cstheme="minorHAnsi"/>
          <w:noProof/>
          <w:lang w:val="en-US"/>
        </w:rPr>
        <w:t>(Wang &amp; Saudino, 2011)</w:t>
      </w:r>
      <w:r w:rsidRPr="005C391B">
        <w:rPr>
          <w:rFonts w:cstheme="minorHAnsi"/>
          <w:lang w:val="en-US"/>
        </w:rPr>
        <w:fldChar w:fldCharType="end"/>
      </w:r>
      <w:r w:rsidRPr="005C391B">
        <w:rPr>
          <w:rFonts w:cstheme="minorHAnsi"/>
          <w:lang w:val="en-US"/>
        </w:rPr>
        <w:t xml:space="preserve">. Specifically, </w:t>
      </w:r>
      <w:r w:rsidRPr="005C391B">
        <w:rPr>
          <w:rFonts w:cstheme="minorHAnsi"/>
          <w:lang w:val="en-US"/>
        </w:rPr>
        <w:fldChar w:fldCharType="begin"/>
      </w:r>
      <w:r w:rsidRPr="005C391B">
        <w:rPr>
          <w:rFonts w:cstheme="minorHAnsi"/>
          <w:lang w:val="en-US"/>
        </w:rPr>
        <w:instrText xml:space="preserve"> ADDIN EN.CITE &lt;EndNote&gt;&lt;Cite AuthorYear="1"&gt;&lt;Author&gt;Zimmermann&lt;/Author&gt;&lt;Year&gt;2004&lt;/Year&gt;&lt;RecNum&gt;205&lt;/RecNum&gt;&lt;DisplayText&gt;Zimmermann and Stansbury (2004)&lt;/DisplayText&gt;&lt;record&gt;&lt;rec-number&gt;205&lt;/rec-number&gt;&lt;foreign-keys&gt;&lt;key app="EN" db-id="drevp2w2uz2zr0esepxpep0h9z9w09zd9v9t" timestamp="1611879716"&gt;205&lt;/key&gt;&lt;/foreign-keys&gt;&lt;ref-type name="Journal Article"&gt;17&lt;/ref-type&gt;&lt;contributors&gt;&lt;authors&gt;&lt;author&gt;Zimmermann, Laura K&lt;/author&gt;&lt;author&gt;Stansbury, Kathy&lt;/author&gt;&lt;/authors&gt;&lt;/contributors&gt;&lt;titles&gt;&lt;title&gt;The influence of emotion regulation, level of shyness, and habituation on the neuroendocrine response of three-year-old children&lt;/title&gt;&lt;secondary-title&gt;Psychoneuroendocrinology&lt;/secondary-title&gt;&lt;/titles&gt;&lt;periodical&gt;&lt;full-title&gt;Psychoneuroendocrinology&lt;/full-title&gt;&lt;/periodical&gt;&lt;pages&gt;973-982&lt;/pages&gt;&lt;volume&gt;29&lt;/volume&gt;&lt;number&gt;8&lt;/number&gt;&lt;dates&gt;&lt;year&gt;2004&lt;/year&gt;&lt;/dates&gt;&lt;isbn&gt;0306-4530&lt;/isbn&gt;&lt;urls&gt;&lt;/urls&gt;&lt;/record&gt;&lt;/Cite&gt;&lt;/EndNote&gt;</w:instrText>
      </w:r>
      <w:r w:rsidRPr="005C391B">
        <w:rPr>
          <w:rFonts w:cstheme="minorHAnsi"/>
          <w:lang w:val="en-US"/>
        </w:rPr>
        <w:fldChar w:fldCharType="separate"/>
      </w:r>
      <w:r w:rsidRPr="005C391B">
        <w:rPr>
          <w:rFonts w:cstheme="minorHAnsi"/>
          <w:noProof/>
          <w:lang w:val="en-US"/>
        </w:rPr>
        <w:t>Zimmermann and Stansbury (2004)</w:t>
      </w:r>
      <w:r w:rsidRPr="005C391B">
        <w:rPr>
          <w:rFonts w:cstheme="minorHAnsi"/>
          <w:lang w:val="en-US"/>
        </w:rPr>
        <w:fldChar w:fldCharType="end"/>
      </w:r>
      <w:r w:rsidRPr="005C391B">
        <w:rPr>
          <w:rFonts w:cstheme="minorHAnsi"/>
          <w:lang w:val="en-US"/>
        </w:rPr>
        <w:t xml:space="preserve"> showed that competent emotion regulation acts as a predictor for lower levels of cortisol, a stress hormone, which is initiated by triggering the HPA axis. In addition, evidence suggests that the prefrontal cortex is activated both during stress and emotion regulation processing </w:t>
      </w:r>
      <w:r w:rsidRPr="005C391B">
        <w:rPr>
          <w:rFonts w:cstheme="minorHAnsi"/>
          <w:lang w:val="en-US"/>
        </w:rPr>
        <w:fldChar w:fldCharType="begin"/>
      </w:r>
      <w:r w:rsidRPr="005C391B">
        <w:rPr>
          <w:rFonts w:cstheme="minorHAnsi"/>
          <w:lang w:val="en-US"/>
        </w:rPr>
        <w:instrText xml:space="preserve"> ADDIN EN.CITE &lt;EndNote&gt;&lt;Cite&gt;&lt;Author&gt;Beauregard&lt;/Author&gt;&lt;Year&gt;2001&lt;/Year&gt;&lt;RecNum&gt;206&lt;/RecNum&gt;&lt;DisplayText&gt;(Beauregard, Lévesque, &amp;amp; Bourgouin, 2001; Ochsner, Bunge, Gross, &amp;amp; Gabrieli, 2002)&lt;/DisplayText&gt;&lt;record&gt;&lt;rec-number&gt;206&lt;/rec-number&gt;&lt;foreign-keys&gt;&lt;key app="EN" db-id="drevp2w2uz2zr0esepxpep0h9z9w09zd9v9t" timestamp="1612140566"&gt;206&lt;/key&gt;&lt;/foreign-keys&gt;&lt;ref-type name="Journal Article"&gt;17&lt;/ref-type&gt;&lt;contributors&gt;&lt;authors&gt;&lt;author&gt;Beauregard, Mario&lt;/author&gt;&lt;author&gt;Lévesque, Johanne&lt;/author&gt;&lt;author&gt;Bourgouin, Pierre&lt;/author&gt;&lt;/authors&gt;&lt;/contributors&gt;&lt;titles&gt;&lt;title&gt;Neural correlates of conscious self-regulation of emotion&lt;/title&gt;&lt;secondary-title&gt;Journal of Neuroscience&lt;/secondary-title&gt;&lt;/titles&gt;&lt;periodical&gt;&lt;full-title&gt;Journal of Neuroscience&lt;/full-title&gt;&lt;/periodical&gt;&lt;pages&gt;RC165-RC165&lt;/pages&gt;&lt;volume&gt;21&lt;/volume&gt;&lt;number&gt;18&lt;/number&gt;&lt;dates&gt;&lt;year&gt;2001&lt;/year&gt;&lt;/dates&gt;&lt;isbn&gt;0270-6474&lt;/isbn&gt;&lt;urls&gt;&lt;/urls&gt;&lt;/record&gt;&lt;/Cite&gt;&lt;Cite&gt;&lt;Author&gt;Ochsner&lt;/Author&gt;&lt;Year&gt;2002&lt;/Year&gt;&lt;RecNum&gt;208&lt;/RecNum&gt;&lt;record&gt;&lt;rec-number&gt;208&lt;/rec-number&gt;&lt;foreign-keys&gt;&lt;key app="EN" db-id="drevp2w2uz2zr0esepxpep0h9z9w09zd9v9t" timestamp="1612140729"&gt;208&lt;/key&gt;&lt;/foreign-keys&gt;&lt;ref-type name="Journal Article"&gt;17&lt;/ref-type&gt;&lt;contributors&gt;&lt;authors&gt;&lt;author&gt;Ochsner, Kevin N&lt;/author&gt;&lt;author&gt;Bunge, Silvia A&lt;/author&gt;&lt;author&gt;Gross, James J&lt;/author&gt;&lt;author&gt;Gabrieli, John DE&lt;/author&gt;&lt;/authors&gt;&lt;/contributors&gt;&lt;titles&gt;&lt;title&gt;Rethinking feelings: an FMRI study of the cognitive regulation of emotion&lt;/title&gt;&lt;secondary-title&gt;Journal of cognitive neuroscience&lt;/secondary-title&gt;&lt;/titles&gt;&lt;periodical&gt;&lt;full-title&gt;Journal of cognitive neuroscience&lt;/full-title&gt;&lt;/periodical&gt;&lt;pages&gt;1215-1229&lt;/pages&gt;&lt;volume&gt;14&lt;/volume&gt;&lt;number&gt;8&lt;/number&gt;&lt;dates&gt;&lt;year&gt;2002&lt;/year&gt;&lt;/dates&gt;&lt;isbn&gt;0898-929X&lt;/isbn&gt;&lt;urls&gt;&lt;/urls&gt;&lt;/record&gt;&lt;/Cite&gt;&lt;/EndNote&gt;</w:instrText>
      </w:r>
      <w:r w:rsidRPr="005C391B">
        <w:rPr>
          <w:rFonts w:cstheme="minorHAnsi"/>
          <w:lang w:val="en-US"/>
        </w:rPr>
        <w:fldChar w:fldCharType="separate"/>
      </w:r>
      <w:r w:rsidRPr="005C391B">
        <w:rPr>
          <w:rFonts w:cstheme="minorHAnsi"/>
          <w:noProof/>
          <w:lang w:val="en-US"/>
        </w:rPr>
        <w:t>(Beauregard, Lévesque, &amp; Bourgouin, 2001; Ochsner, Bunge, Gross, &amp; Gabrieli, 2002)</w:t>
      </w:r>
      <w:r w:rsidRPr="005C391B">
        <w:rPr>
          <w:rFonts w:cstheme="minorHAnsi"/>
          <w:lang w:val="en-US"/>
        </w:rPr>
        <w:fldChar w:fldCharType="end"/>
      </w:r>
      <w:r w:rsidRPr="005C391B">
        <w:rPr>
          <w:rFonts w:cstheme="minorHAnsi"/>
          <w:lang w:val="en-US"/>
        </w:rPr>
        <w:t xml:space="preserve">, indicating that there is a neuroanatomical overlap in the brain areas linked to both states. </w:t>
      </w:r>
    </w:p>
    <w:p w14:paraId="22CEA98A" w14:textId="77777777" w:rsidR="00D57C6A" w:rsidRPr="005C391B" w:rsidRDefault="00D57C6A" w:rsidP="00F410C0">
      <w:pPr>
        <w:spacing w:line="360" w:lineRule="auto"/>
        <w:jc w:val="both"/>
        <w:rPr>
          <w:rFonts w:cstheme="minorHAnsi"/>
        </w:rPr>
      </w:pPr>
      <w:r w:rsidRPr="005C391B">
        <w:rPr>
          <w:rFonts w:cstheme="minorHAnsi"/>
        </w:rPr>
        <w:lastRenderedPageBreak/>
        <w:t xml:space="preserve">Whereas competent emotion regulation has many beneficial outcomes, </w:t>
      </w:r>
      <w:r w:rsidRPr="005C391B">
        <w:rPr>
          <w:rFonts w:cstheme="minorHAnsi"/>
          <w:lang w:val="en-US"/>
        </w:rPr>
        <w:t xml:space="preserve">emotion dysregulation is associated with a series of adverse effects, including psychosocial issues, anxiety, poor academic achievement, and </w:t>
      </w:r>
      <w:proofErr w:type="spellStart"/>
      <w:r w:rsidRPr="005C391B">
        <w:rPr>
          <w:rFonts w:cstheme="minorHAnsi"/>
          <w:lang w:val="en-US"/>
        </w:rPr>
        <w:t>behavioural</w:t>
      </w:r>
      <w:proofErr w:type="spellEnd"/>
      <w:r w:rsidRPr="005C391B">
        <w:rPr>
          <w:rFonts w:cstheme="minorHAnsi"/>
          <w:lang w:val="en-US"/>
        </w:rPr>
        <w:t xml:space="preserve"> escalations in the home </w:t>
      </w:r>
      <w:r w:rsidRPr="005C391B">
        <w:rPr>
          <w:rFonts w:cstheme="minorHAnsi"/>
          <w:lang w:val="en-US"/>
        </w:rPr>
        <w:fldChar w:fldCharType="begin"/>
      </w:r>
      <w:r w:rsidRPr="005C391B">
        <w:rPr>
          <w:rFonts w:cstheme="minorHAnsi"/>
          <w:lang w:val="en-US"/>
        </w:rPr>
        <w:instrText xml:space="preserve"> ADDIN EN.CITE &lt;EndNote&gt;&lt;Cite&gt;&lt;Author&gt;Zeman&lt;/Author&gt;&lt;Year&gt;2006&lt;/Year&gt;&lt;RecNum&gt;225&lt;/RecNum&gt;&lt;DisplayText&gt;(Zeman, Cassano, Perry-Parrish, &amp;amp; Stegall, 2006)&lt;/DisplayText&gt;&lt;record&gt;&lt;rec-number&gt;225&lt;/rec-number&gt;&lt;foreign-keys&gt;&lt;key app="EN" db-id="drevp2w2uz2zr0esepxpep0h9z9w09zd9v9t" timestamp="1617237071"&gt;225&lt;/key&gt;&lt;/foreign-keys&gt;&lt;ref-type name="Journal Article"&gt;17&lt;/ref-type&gt;&lt;contributors&gt;&lt;authors&gt;&lt;author&gt;Zeman, Janice&lt;/author&gt;&lt;author&gt;Cassano, Michael&lt;/author&gt;&lt;author&gt;Perry-Parrish, Carisa&lt;/author&gt;&lt;author&gt;Stegall, Sheri&lt;/author&gt;&lt;/authors&gt;&lt;/contributors&gt;&lt;titles&gt;&lt;title&gt;Emotion regulation in children and adolescents&lt;/title&gt;&lt;secondary-title&gt;Journal of Developmental &amp;amp; Behavioral Pediatrics&lt;/secondary-title&gt;&lt;/titles&gt;&lt;periodical&gt;&lt;full-title&gt;Journal of Developmental &amp;amp; Behavioral Pediatrics&lt;/full-title&gt;&lt;/periodical&gt;&lt;pages&gt;155-168&lt;/pages&gt;&lt;volume&gt;27&lt;/volume&gt;&lt;number&gt;2&lt;/number&gt;&lt;dates&gt;&lt;year&gt;2006&lt;/year&gt;&lt;/dates&gt;&lt;isbn&gt;0196-206X&lt;/isbn&gt;&lt;urls&gt;&lt;/urls&gt;&lt;/record&gt;&lt;/Cite&gt;&lt;/EndNote&gt;</w:instrText>
      </w:r>
      <w:r w:rsidRPr="005C391B">
        <w:rPr>
          <w:rFonts w:cstheme="minorHAnsi"/>
          <w:lang w:val="en-US"/>
        </w:rPr>
        <w:fldChar w:fldCharType="separate"/>
      </w:r>
      <w:r w:rsidRPr="005C391B">
        <w:rPr>
          <w:rFonts w:cstheme="minorHAnsi"/>
          <w:noProof/>
          <w:lang w:val="en-US"/>
        </w:rPr>
        <w:t>(Zeman, Cassano, Perry-Parrish, &amp; Stegall, 2006)</w:t>
      </w:r>
      <w:r w:rsidRPr="005C391B">
        <w:rPr>
          <w:rFonts w:cstheme="minorHAnsi"/>
          <w:lang w:val="en-US"/>
        </w:rPr>
        <w:fldChar w:fldCharType="end"/>
      </w:r>
      <w:r w:rsidRPr="005C391B">
        <w:rPr>
          <w:rFonts w:cstheme="minorHAnsi"/>
          <w:lang w:val="en-US"/>
        </w:rPr>
        <w:t>.</w:t>
      </w:r>
      <w:r w:rsidRPr="005C391B">
        <w:rPr>
          <w:rFonts w:cstheme="minorHAnsi"/>
        </w:rPr>
        <w:t xml:space="preserve"> Emotion dysregulation is operationally defined as “a pattern of emotional experience and/or expression that interferes with appropriate goal-directed behaviour” (Beauchaine, 2015, p. 876), with goal directed behaviour referring to competent emotion regulation and its associated functions as described above (Thompson, 2019). In contrast to competent emotion regulation, it is the maladaptive management of emotional responses, and</w:t>
      </w:r>
      <w:r w:rsidRPr="005C391B">
        <w:rPr>
          <w:rFonts w:cstheme="minorHAnsi"/>
          <w:lang w:val="en-US"/>
        </w:rPr>
        <w:t xml:space="preserve"> has been shown to damage social relationships and can possibly lead to isolation and psychosocial stress </w:t>
      </w:r>
      <w:r w:rsidRPr="005C391B">
        <w:rPr>
          <w:rFonts w:cstheme="minorHAnsi"/>
          <w:lang w:val="en-US"/>
        </w:rPr>
        <w:fldChar w:fldCharType="begin"/>
      </w:r>
      <w:r w:rsidRPr="005C391B">
        <w:rPr>
          <w:rFonts w:cstheme="minorHAnsi"/>
          <w:lang w:val="en-US"/>
        </w:rPr>
        <w:instrText xml:space="preserve"> ADDIN EN.CITE &lt;EndNote&gt;&lt;Cite&gt;&lt;Author&gt;Eisenberg&lt;/Author&gt;&lt;Year&gt;1993&lt;/Year&gt;&lt;RecNum&gt;213&lt;/RecNum&gt;&lt;DisplayText&gt;(Eisenberg et al., 1993; Stansbury &amp;amp; Gunnar, 1994)&lt;/DisplayText&gt;&lt;record&gt;&lt;rec-number&gt;213&lt;/rec-number&gt;&lt;foreign-keys&gt;&lt;key app="EN" db-id="drevp2w2uz2zr0esepxpep0h9z9w09zd9v9t" timestamp="1612144497"&gt;213&lt;/key&gt;&lt;/foreign-keys&gt;&lt;ref-type name="Journal Article"&gt;17&lt;/ref-type&gt;&lt;contributors&gt;&lt;authors&gt;&lt;author&gt;Eisenberg, Nancy&lt;/author&gt;&lt;author&gt;Fabes, Richard A&lt;/author&gt;&lt;author&gt;Bernzweig, Jane&lt;/author&gt;&lt;author&gt;Karbon, Mariss&lt;/author&gt;&lt;author&gt;Poulin, Rick&lt;/author&gt;&lt;author&gt;Hanish, Laura&lt;/author&gt;&lt;/authors&gt;&lt;/contributors&gt;&lt;titles&gt;&lt;title&gt;The relations of emotionality and regulation to preschoolers&amp;apos; social skills and sociometric status&lt;/title&gt;&lt;secondary-title&gt;Child development&lt;/secondary-title&gt;&lt;/titles&gt;&lt;periodical&gt;&lt;full-title&gt;Child development&lt;/full-title&gt;&lt;/periodical&gt;&lt;pages&gt;1418-1438&lt;/pages&gt;&lt;volume&gt;64&lt;/volume&gt;&lt;number&gt;5&lt;/number&gt;&lt;dates&gt;&lt;year&gt;1993&lt;/year&gt;&lt;/dates&gt;&lt;isbn&gt;0009-3920&lt;/isbn&gt;&lt;urls&gt;&lt;/urls&gt;&lt;/record&gt;&lt;/Cite&gt;&lt;Cite&gt;&lt;Author&gt;Stansbury&lt;/Author&gt;&lt;Year&gt;1994&lt;/Year&gt;&lt;RecNum&gt;204&lt;/RecNum&gt;&lt;record&gt;&lt;rec-number&gt;204&lt;/rec-number&gt;&lt;foreign-keys&gt;&lt;key app="EN" db-id="drevp2w2uz2zr0esepxpep0h9z9w09zd9v9t" timestamp="1611879550"&gt;204&lt;/key&gt;&lt;/foreign-keys&gt;&lt;ref-type name="Journal Article"&gt;17&lt;/ref-type&gt;&lt;contributors&gt;&lt;authors&gt;&lt;author&gt;Stansbury, Kathy&lt;/author&gt;&lt;author&gt;Gunnar, Megan R&lt;/author&gt;&lt;/authors&gt;&lt;/contributors&gt;&lt;titles&gt;&lt;title&gt;Adrenocortical activity and emotion regulation&lt;/title&gt;&lt;secondary-title&gt;Monographs of the Society for Research in Child Development&lt;/secondary-title&gt;&lt;/titles&gt;&lt;periodical&gt;&lt;full-title&gt;Monographs of the society for research in child development&lt;/full-title&gt;&lt;/periodical&gt;&lt;pages&gt;108-134&lt;/pages&gt;&lt;volume&gt;59&lt;/volume&gt;&lt;number&gt;2-3&lt;/number&gt;&lt;dates&gt;&lt;year&gt;1994&lt;/year&gt;&lt;/dates&gt;&lt;isbn&gt;0037-976X&lt;/isbn&gt;&lt;urls&gt;&lt;/urls&gt;&lt;/record&gt;&lt;/Cite&gt;&lt;/EndNote&gt;</w:instrText>
      </w:r>
      <w:r w:rsidRPr="005C391B">
        <w:rPr>
          <w:rFonts w:cstheme="minorHAnsi"/>
          <w:lang w:val="en-US"/>
        </w:rPr>
        <w:fldChar w:fldCharType="separate"/>
      </w:r>
      <w:r w:rsidRPr="005C391B">
        <w:rPr>
          <w:rFonts w:cstheme="minorHAnsi"/>
          <w:noProof/>
          <w:lang w:val="en-US"/>
        </w:rPr>
        <w:t>(Eisenberg et al., 1993; Stansbury &amp; Gunnar, 1994)</w:t>
      </w:r>
      <w:r w:rsidRPr="005C391B">
        <w:rPr>
          <w:rFonts w:cstheme="minorHAnsi"/>
          <w:lang w:val="en-US"/>
        </w:rPr>
        <w:fldChar w:fldCharType="end"/>
      </w:r>
      <w:r w:rsidRPr="005C391B">
        <w:rPr>
          <w:rFonts w:cstheme="minorHAnsi"/>
          <w:lang w:val="en-US"/>
        </w:rPr>
        <w:t xml:space="preserve">. These negative outcomes are highlighted by the </w:t>
      </w:r>
      <w:r w:rsidRPr="005C391B">
        <w:rPr>
          <w:rFonts w:cstheme="minorHAnsi"/>
        </w:rPr>
        <w:t xml:space="preserve">longitudinal Dunedin cohort study, which revealed that children with uncontrolled temperament at age 3 were twice as likely to develop a gambling disorder at age 21 and 32 relative to children classified as having a well-adjusted temperament (Slutske et al., 2021). The same study showed that better self-control skills in children predicted improved physical health, reduced substance use disorders, and less criminal offending in later life (Moffitt et al., 2014). </w:t>
      </w:r>
    </w:p>
    <w:p w14:paraId="6D4ADAD6" w14:textId="77777777" w:rsidR="00D57C6A" w:rsidRPr="005C391B" w:rsidRDefault="00D57C6A" w:rsidP="00F410C0">
      <w:pPr>
        <w:spacing w:line="360" w:lineRule="auto"/>
        <w:jc w:val="both"/>
        <w:rPr>
          <w:rFonts w:cstheme="minorHAnsi"/>
          <w:lang w:val="en-US"/>
        </w:rPr>
      </w:pPr>
      <w:r w:rsidRPr="005C391B">
        <w:rPr>
          <w:rFonts w:cstheme="minorHAnsi"/>
          <w:lang w:val="en-US"/>
        </w:rPr>
        <w:t>Emotion dysregulation is a highly prevalent phenomenon, particularly in children and young people, and frequently linked to psychiatric disorders (</w:t>
      </w:r>
      <w:proofErr w:type="spellStart"/>
      <w:r w:rsidRPr="005C391B">
        <w:rPr>
          <w:rFonts w:cstheme="minorHAnsi"/>
          <w:lang w:val="en-US"/>
        </w:rPr>
        <w:t>Pylypow</w:t>
      </w:r>
      <w:proofErr w:type="spellEnd"/>
      <w:r w:rsidRPr="005C391B">
        <w:rPr>
          <w:rFonts w:cstheme="minorHAnsi"/>
          <w:lang w:val="en-US"/>
        </w:rPr>
        <w:t xml:space="preserve"> et al., 2020). In healthy youth, prevalence rates range from 3% to 20% (Brotman et al., 2006), which increase up to 33% in individuals with psychiatric conditions (Stringaris, 2011). Further, it is increasingly acknowledged as a prominent feature of Attention-Deficit/Hyperactivity Disorder (ADHD) </w:t>
      </w:r>
      <w:r w:rsidRPr="005C391B">
        <w:rPr>
          <w:rFonts w:cstheme="minorHAnsi"/>
          <w:lang w:val="en-US"/>
        </w:rPr>
        <w:fldChar w:fldCharType="begin"/>
      </w:r>
      <w:r w:rsidRPr="005C391B">
        <w:rPr>
          <w:rFonts w:cstheme="minorHAnsi"/>
          <w:lang w:val="en-US"/>
        </w:rPr>
        <w:instrText xml:space="preserve"> ADDIN EN.CITE &lt;EndNote&gt;&lt;Cite&gt;&lt;Author&gt;Retz&lt;/Author&gt;&lt;Year&gt;2012&lt;/Year&gt;&lt;RecNum&gt;246&lt;/RecNum&gt;&lt;DisplayText&gt;(Retz, Stieglitz, Corbisiero, Retz-Junginger, &amp;amp; Rösler, 2012)&lt;/DisplayText&gt;&lt;record&gt;&lt;rec-number&gt;246&lt;/rec-number&gt;&lt;foreign-keys&gt;&lt;key app="EN" db-id="drevp2w2uz2zr0esepxpep0h9z9w09zd9v9t" timestamp="1617849851"&gt;246&lt;/key&gt;&lt;/foreign-keys&gt;&lt;ref-type name="Journal Article"&gt;17&lt;/ref-type&gt;&lt;contributors&gt;&lt;authors&gt;&lt;author&gt;Retz, Wolfgang&lt;/author&gt;&lt;author&gt;Stieglitz, Rolf-Dieter&lt;/author&gt;&lt;author&gt;Corbisiero, Salvatore&lt;/author&gt;&lt;author&gt;Retz-Junginger, Petra&lt;/author&gt;&lt;author&gt;Rösler, Michael&lt;/author&gt;&lt;/authors&gt;&lt;/contributors&gt;&lt;titles&gt;&lt;title&gt;Emotional dysregulation in adult ADHD: what is the empirical evidence?&lt;/title&gt;&lt;secondary-title&gt;Expert review of neurotherapeutics&lt;/secondary-title&gt;&lt;/titles&gt;&lt;periodical&gt;&lt;full-title&gt;Expert review of neurotherapeutics&lt;/full-title&gt;&lt;/periodical&gt;&lt;pages&gt;1241-1251&lt;/pages&gt;&lt;volume&gt;12&lt;/volume&gt;&lt;number&gt;10&lt;/number&gt;&lt;dates&gt;&lt;year&gt;2012&lt;/year&gt;&lt;/dates&gt;&lt;isbn&gt;1473-7175&lt;/isbn&gt;&lt;urls&gt;&lt;/urls&gt;&lt;/record&gt;&lt;/Cite&gt;&lt;/EndNote&gt;</w:instrText>
      </w:r>
      <w:r w:rsidRPr="005C391B">
        <w:rPr>
          <w:rFonts w:cstheme="minorHAnsi"/>
          <w:lang w:val="en-US"/>
        </w:rPr>
        <w:fldChar w:fldCharType="separate"/>
      </w:r>
      <w:r w:rsidRPr="005C391B">
        <w:rPr>
          <w:rFonts w:cstheme="minorHAnsi"/>
          <w:noProof/>
          <w:lang w:val="en-US"/>
        </w:rPr>
        <w:t>(Retz, Stieglitz, Corbisiero, Retz-Junginger, &amp; Rösler, 2012)</w:t>
      </w:r>
      <w:r w:rsidRPr="005C391B">
        <w:rPr>
          <w:rFonts w:cstheme="minorHAnsi"/>
          <w:lang w:val="en-US"/>
        </w:rPr>
        <w:fldChar w:fldCharType="end"/>
      </w:r>
      <w:r w:rsidRPr="005C391B">
        <w:rPr>
          <w:rFonts w:cstheme="minorHAnsi"/>
          <w:lang w:val="en-US"/>
        </w:rPr>
        <w:t xml:space="preserve">, a common psychiatric disorder </w:t>
      </w:r>
      <w:r w:rsidRPr="005C391B">
        <w:rPr>
          <w:rFonts w:cstheme="minorHAnsi"/>
        </w:rPr>
        <w:t xml:space="preserve">characterized by problems with </w:t>
      </w:r>
      <w:r w:rsidRPr="005C391B">
        <w:rPr>
          <w:rFonts w:cstheme="minorHAnsi"/>
          <w:lang w:val="en-US"/>
        </w:rPr>
        <w:t>hyperactivity/impulsivity and inattention (American Psychiatric Association, 2013)</w:t>
      </w:r>
      <w:r w:rsidRPr="005C391B">
        <w:rPr>
          <w:rFonts w:cstheme="minorHAnsi"/>
        </w:rPr>
        <w:t xml:space="preserve">. </w:t>
      </w:r>
      <w:r w:rsidRPr="005C391B">
        <w:rPr>
          <w:rFonts w:cstheme="minorHAnsi"/>
          <w:lang w:val="en-US"/>
        </w:rPr>
        <w:t xml:space="preserve">Depending on comorbid diagnoses, up to 90% of children with ADHD also struggle with emotion dysregulation (Mick, 2005). Similar to emotion dysregulation, ADHD is linked to adverse long-term consequences, such as poor academic performance, impaired social relationships, and increased substance abuse </w:t>
      </w:r>
      <w:r w:rsidRPr="005C391B">
        <w:rPr>
          <w:rFonts w:cstheme="minorHAnsi"/>
          <w:lang w:val="en-US"/>
        </w:rPr>
        <w:fldChar w:fldCharType="begin"/>
      </w:r>
      <w:r w:rsidRPr="005C391B">
        <w:rPr>
          <w:rFonts w:cstheme="minorHAnsi"/>
          <w:lang w:val="en-US"/>
        </w:rPr>
        <w:instrText xml:space="preserve"> ADDIN EN.CITE &lt;EndNote&gt;&lt;Cite&gt;&lt;Author&gt;Barkley&lt;/Author&gt;&lt;Year&gt;2006&lt;/Year&gt;&lt;RecNum&gt;247&lt;/RecNum&gt;&lt;DisplayText&gt;(Barkley, 2006)&lt;/DisplayText&gt;&lt;record&gt;&lt;rec-number&gt;247&lt;/rec-number&gt;&lt;foreign-keys&gt;&lt;key app="EN" db-id="drevp2w2uz2zr0esepxpep0h9z9w09zd9v9t" timestamp="1617850030"&gt;247&lt;/key&gt;&lt;/foreign-keys&gt;&lt;ref-type name="Book"&gt;6&lt;/ref-type&gt;&lt;contributors&gt;&lt;authors&gt;&lt;author&gt;Barkley, Russell A&lt;/author&gt;&lt;/authors&gt;&lt;/contributors&gt;&lt;titles&gt;&lt;title&gt;Attention-Deficit/Hyperactivity Disorder&lt;/title&gt;&lt;/titles&gt;&lt;dates&gt;&lt;year&gt;2006&lt;/year&gt;&lt;/dates&gt;&lt;publisher&gt;Guilford Publications&lt;/publisher&gt;&lt;isbn&gt;1593852258&lt;/isbn&gt;&lt;urls&gt;&lt;/urls&gt;&lt;/record&gt;&lt;/Cite&gt;&lt;/EndNote&gt;</w:instrText>
      </w:r>
      <w:r w:rsidRPr="005C391B">
        <w:rPr>
          <w:rFonts w:cstheme="minorHAnsi"/>
          <w:lang w:val="en-US"/>
        </w:rPr>
        <w:fldChar w:fldCharType="separate"/>
      </w:r>
      <w:r w:rsidRPr="005C391B">
        <w:rPr>
          <w:rFonts w:cstheme="minorHAnsi"/>
          <w:noProof/>
          <w:lang w:val="en-US"/>
        </w:rPr>
        <w:t>(Barkley, 2006)</w:t>
      </w:r>
      <w:r w:rsidRPr="005C391B">
        <w:rPr>
          <w:rFonts w:cstheme="minorHAnsi"/>
          <w:lang w:val="en-US"/>
        </w:rPr>
        <w:fldChar w:fldCharType="end"/>
      </w:r>
      <w:r w:rsidRPr="005C391B">
        <w:rPr>
          <w:rFonts w:cstheme="minorHAnsi"/>
          <w:lang w:val="en-US"/>
        </w:rPr>
        <w:t xml:space="preserve">. </w:t>
      </w:r>
    </w:p>
    <w:p w14:paraId="6BBA3D6C" w14:textId="1A6BA6AF" w:rsidR="00D57C6A" w:rsidRPr="005C391B" w:rsidRDefault="00D57C6A" w:rsidP="00F410C0">
      <w:pPr>
        <w:spacing w:line="360" w:lineRule="auto"/>
        <w:jc w:val="both"/>
        <w:rPr>
          <w:rFonts w:cstheme="minorHAnsi"/>
          <w:lang w:val="en-US"/>
        </w:rPr>
      </w:pPr>
      <w:r w:rsidRPr="005C391B">
        <w:rPr>
          <w:rFonts w:cstheme="minorHAnsi"/>
          <w:lang w:val="en-US"/>
        </w:rPr>
        <w:t xml:space="preserve">Although emotion dysregulation is common, it is frequently examined within various psychiatric disorders rather than as an independent construct, possibly impacting the establishment of treatment strategies (Brotman et al., 2017). So far, treatment for emotion regulation has included </w:t>
      </w:r>
      <w:r w:rsidR="00824422" w:rsidRPr="005C391B">
        <w:rPr>
          <w:rFonts w:cstheme="minorHAnsi"/>
          <w:lang w:val="en-US"/>
        </w:rPr>
        <w:t>psychopharmacologic</w:t>
      </w:r>
      <w:r w:rsidRPr="005C391B">
        <w:rPr>
          <w:rFonts w:cstheme="minorHAnsi"/>
          <w:lang w:val="en-US"/>
        </w:rPr>
        <w:t xml:space="preserve"> medication; particularly, in one placebo-controlled RCT, the selective serotonin reuptake inhibitor (SSRI) fluoxetine improved aggression and irritability in adults relative to a placebo (</w:t>
      </w:r>
      <w:proofErr w:type="spellStart"/>
      <w:r w:rsidRPr="005C391B">
        <w:rPr>
          <w:rFonts w:cstheme="minorHAnsi"/>
          <w:lang w:val="en-US"/>
        </w:rPr>
        <w:t>Coccaro</w:t>
      </w:r>
      <w:proofErr w:type="spellEnd"/>
      <w:r w:rsidRPr="005C391B">
        <w:rPr>
          <w:rFonts w:cstheme="minorHAnsi"/>
          <w:lang w:val="en-US"/>
        </w:rPr>
        <w:t xml:space="preserve"> et al., 2009). In another placebo-controlled RCT with youth with severe and chronic irritability, a higher response-to-treatment-rate was seen in the participants who received an SS</w:t>
      </w:r>
      <w:r w:rsidRPr="005C391B">
        <w:rPr>
          <w:rFonts w:cstheme="minorHAnsi"/>
        </w:rPr>
        <w:t xml:space="preserve">RI in combination with a stimulant </w:t>
      </w:r>
      <w:r w:rsidRPr="005C391B">
        <w:rPr>
          <w:rFonts w:cstheme="minorHAnsi"/>
          <w:lang w:val="en-US"/>
        </w:rPr>
        <w:t>(citalopram and methylphenidate) compared to a placebo combined with a stimulant only (methylphenidate) (</w:t>
      </w:r>
      <w:proofErr w:type="spellStart"/>
      <w:r w:rsidRPr="005C391B">
        <w:rPr>
          <w:rFonts w:cstheme="minorHAnsi"/>
          <w:lang w:val="en-US"/>
        </w:rPr>
        <w:t>Towbin</w:t>
      </w:r>
      <w:proofErr w:type="spellEnd"/>
      <w:r w:rsidRPr="005C391B">
        <w:rPr>
          <w:rFonts w:cstheme="minorHAnsi"/>
          <w:lang w:val="en-US"/>
        </w:rPr>
        <w:t xml:space="preserve"> et al., 2020); however, the overall response rates were modest (35% and 6% respectively). </w:t>
      </w:r>
    </w:p>
    <w:p w14:paraId="62D357D6" w14:textId="284858B3" w:rsidR="00D57C6A" w:rsidRPr="005C391B" w:rsidRDefault="00D57C6A" w:rsidP="00F410C0">
      <w:pPr>
        <w:spacing w:line="360" w:lineRule="auto"/>
        <w:jc w:val="both"/>
        <w:rPr>
          <w:rFonts w:cstheme="minorHAnsi"/>
        </w:rPr>
      </w:pPr>
      <w:r w:rsidRPr="005C391B">
        <w:rPr>
          <w:rFonts w:cstheme="minorHAnsi"/>
          <w:lang w:val="en-US"/>
        </w:rPr>
        <w:lastRenderedPageBreak/>
        <w:t xml:space="preserve">Psychiatric medication in the form of stimulants are often prescribed as the main form of treatment for individuals with ADHD, who frequently have problems with emotion dysregulation </w:t>
      </w:r>
      <w:r w:rsidRPr="005C391B">
        <w:rPr>
          <w:rFonts w:cstheme="minorHAnsi"/>
          <w:lang w:val="en-US"/>
        </w:rPr>
        <w:fldChar w:fldCharType="begin"/>
      </w:r>
      <w:r w:rsidRPr="005C391B">
        <w:rPr>
          <w:rFonts w:cstheme="minorHAnsi"/>
          <w:lang w:val="en-US"/>
        </w:rPr>
        <w:instrText xml:space="preserve"> ADDIN EN.CITE &lt;EndNote&gt;&lt;Cite&gt;&lt;Author&gt;Barbaresi&lt;/Author&gt;&lt;Year&gt;2014&lt;/Year&gt;&lt;RecNum&gt;259&lt;/RecNum&gt;&lt;DisplayText&gt;(Barbaresi et al., 2014)&lt;/DisplayText&gt;&lt;record&gt;&lt;rec-number&gt;259&lt;/rec-number&gt;&lt;foreign-keys&gt;&lt;key app="EN" db-id="drevp2w2uz2zr0esepxpep0h9z9w09zd9v9t" timestamp="1617925519"&gt;259&lt;/key&gt;&lt;/foreign-keys&gt;&lt;ref-type name="Journal Article"&gt;17&lt;/ref-type&gt;&lt;contributors&gt;&lt;authors&gt;&lt;author&gt;Barbaresi, William J&lt;/author&gt;&lt;author&gt;Katusic, Slavica K&lt;/author&gt;&lt;author&gt;Colligan, Robert C&lt;/author&gt;&lt;author&gt;Weaver, Amy L&lt;/author&gt;&lt;author&gt;Leibson, Cynthia L&lt;/author&gt;&lt;author&gt;Jacobsen, Steven J&lt;/author&gt;&lt;/authors&gt;&lt;/contributors&gt;&lt;titles&gt;&lt;title&gt;Long-term stimulant medication treatment of attention-deficit/hyperactivity disorder: results from a population-based study&lt;/title&gt;&lt;secondary-title&gt;Journal of Developmental &amp;amp; Behavioral Pediatrics&lt;/secondary-title&gt;&lt;/titles&gt;&lt;periodical&gt;&lt;full-title&gt;Journal of Developmental &amp;amp; Behavioral Pediatrics&lt;/full-title&gt;&lt;/periodical&gt;&lt;pages&gt;448-457&lt;/pages&gt;&lt;volume&gt;35&lt;/volume&gt;&lt;number&gt;7&lt;/number&gt;&lt;dates&gt;&lt;year&gt;2014&lt;/year&gt;&lt;/dates&gt;&lt;isbn&gt;0196-206X&lt;/isbn&gt;&lt;urls&gt;&lt;/urls&gt;&lt;/record&gt;&lt;/Cite&gt;&lt;/EndNote&gt;</w:instrText>
      </w:r>
      <w:r w:rsidRPr="005C391B">
        <w:rPr>
          <w:rFonts w:cstheme="minorHAnsi"/>
          <w:lang w:val="en-US"/>
        </w:rPr>
        <w:fldChar w:fldCharType="separate"/>
      </w:r>
      <w:r w:rsidRPr="005C391B">
        <w:rPr>
          <w:rFonts w:cstheme="minorHAnsi"/>
          <w:noProof/>
          <w:lang w:val="en-US"/>
        </w:rPr>
        <w:t>(Barbaresi et al., 2014)</w:t>
      </w:r>
      <w:r w:rsidRPr="005C391B">
        <w:rPr>
          <w:rFonts w:cstheme="minorHAnsi"/>
          <w:lang w:val="en-US"/>
        </w:rPr>
        <w:fldChar w:fldCharType="end"/>
      </w:r>
      <w:r w:rsidRPr="005C391B">
        <w:rPr>
          <w:rFonts w:cstheme="minorHAnsi"/>
          <w:lang w:val="en-US"/>
        </w:rPr>
        <w:t>. However, although research has shown that stimulant medications are an effective intervention in the short term</w:t>
      </w:r>
      <w:r w:rsidR="00824422">
        <w:rPr>
          <w:rFonts w:cstheme="minorHAnsi"/>
          <w:lang w:val="en-US"/>
        </w:rPr>
        <w:t xml:space="preserve"> (Biederman et al., 2004)</w:t>
      </w:r>
      <w:r w:rsidRPr="005C391B">
        <w:rPr>
          <w:rFonts w:cstheme="minorHAnsi"/>
          <w:lang w:val="en-US"/>
        </w:rPr>
        <w:t xml:space="preserve">, issues have been raised regarding their long-term benefits </w:t>
      </w:r>
      <w:r w:rsidR="00824422">
        <w:rPr>
          <w:rFonts w:cstheme="minorHAnsi"/>
          <w:lang w:val="en-US"/>
        </w:rPr>
        <w:t>(</w:t>
      </w:r>
      <w:proofErr w:type="spellStart"/>
      <w:r w:rsidR="00824422">
        <w:rPr>
          <w:rFonts w:cstheme="minorHAnsi"/>
          <w:lang w:val="en-US"/>
        </w:rPr>
        <w:t>Advokat</w:t>
      </w:r>
      <w:proofErr w:type="spellEnd"/>
      <w:r w:rsidR="00824422">
        <w:rPr>
          <w:rFonts w:cstheme="minorHAnsi"/>
          <w:lang w:val="en-US"/>
        </w:rPr>
        <w:t>, 2010, Currie et al., 2014; Molina et al., 2009)</w:t>
      </w:r>
      <w:r w:rsidRPr="005C391B">
        <w:rPr>
          <w:rFonts w:cstheme="minorHAnsi"/>
          <w:lang w:val="en-US"/>
        </w:rPr>
        <w:t>. Additionally, the literature shows that while stimulant medication may benefit some ADHD-related symptoms, it frequently fails to improve emotion dysregulation (Shaw et al., 2014; Posner et al., 2014), particularly in younger people (Posner et al., 2014), indicating that emotion dysregulation might be a separate construct to ADHD. In addition, several concerning side effects have been observed with stimulant medication including weight reduction and suppression of growth</w:t>
      </w:r>
      <w:r w:rsidR="00824422">
        <w:rPr>
          <w:rFonts w:cstheme="minorHAnsi"/>
          <w:lang w:val="en-US"/>
        </w:rPr>
        <w:t xml:space="preserve"> (Thomas et al., 2013), </w:t>
      </w:r>
      <w:r w:rsidRPr="005C391B">
        <w:rPr>
          <w:rFonts w:cstheme="minorHAnsi"/>
          <w:lang w:val="en-US"/>
        </w:rPr>
        <w:t xml:space="preserve">effects on brain development depending on the age when the stimulants are used </w:t>
      </w:r>
      <w:r w:rsidRPr="005C391B">
        <w:rPr>
          <w:rFonts w:cstheme="minorHAnsi"/>
          <w:lang w:val="en-US"/>
        </w:rPr>
        <w:fldChar w:fldCharType="begin"/>
      </w:r>
      <w:r w:rsidRPr="005C391B">
        <w:rPr>
          <w:rFonts w:cstheme="minorHAnsi"/>
          <w:lang w:val="en-US"/>
        </w:rPr>
        <w:instrText xml:space="preserve"> ADDIN EN.CITE &lt;EndNote&gt;&lt;Cite&gt;&lt;Author&gt;Andersen&lt;/Author&gt;&lt;Year&gt;2005&lt;/Year&gt;&lt;RecNum&gt;253&lt;/RecNum&gt;&lt;DisplayText&gt;(Andersen, 2005)&lt;/DisplayText&gt;&lt;record&gt;&lt;rec-number&gt;253&lt;/rec-number&gt;&lt;foreign-keys&gt;&lt;key app="EN" db-id="drevp2w2uz2zr0esepxpep0h9z9w09zd9v9t" timestamp="1617850774"&gt;253&lt;/key&gt;&lt;/foreign-keys&gt;&lt;ref-type name="Journal Article"&gt;17&lt;/ref-type&gt;&lt;contributors&gt;&lt;authors&gt;&lt;author&gt;Andersen, Susan L&lt;/author&gt;&lt;/authors&gt;&lt;/contributors&gt;&lt;titles&gt;&lt;title&gt;Stimulants and the developing brain&lt;/title&gt;&lt;secondary-title&gt;Trends in pharmacological sciences&lt;/secondary-title&gt;&lt;/titles&gt;&lt;periodical&gt;&lt;full-title&gt;Trends in pharmacological sciences&lt;/full-title&gt;&lt;/periodical&gt;&lt;pages&gt;237-243&lt;/pages&gt;&lt;volume&gt;26&lt;/volume&gt;&lt;number&gt;5&lt;/number&gt;&lt;dates&gt;&lt;year&gt;2005&lt;/year&gt;&lt;/dates&gt;&lt;isbn&gt;0165-6147&lt;/isbn&gt;&lt;urls&gt;&lt;/urls&gt;&lt;/record&gt;&lt;/Cite&gt;&lt;/EndNote&gt;</w:instrText>
      </w:r>
      <w:r w:rsidRPr="005C391B">
        <w:rPr>
          <w:rFonts w:cstheme="minorHAnsi"/>
          <w:lang w:val="en-US"/>
        </w:rPr>
        <w:fldChar w:fldCharType="separate"/>
      </w:r>
      <w:r w:rsidRPr="005C391B">
        <w:rPr>
          <w:rFonts w:cstheme="minorHAnsi"/>
          <w:noProof/>
          <w:lang w:val="en-US"/>
        </w:rPr>
        <w:t>(Andersen, 2005)</w:t>
      </w:r>
      <w:r w:rsidRPr="005C391B">
        <w:rPr>
          <w:rFonts w:cstheme="minorHAnsi"/>
          <w:lang w:val="en-US"/>
        </w:rPr>
        <w:fldChar w:fldCharType="end"/>
      </w:r>
      <w:r w:rsidRPr="005C391B">
        <w:rPr>
          <w:rFonts w:cstheme="minorHAnsi"/>
          <w:lang w:val="en-US"/>
        </w:rPr>
        <w:t xml:space="preserve">, nausea, cardiovascular issues, insomnia, and agitated </w:t>
      </w:r>
      <w:proofErr w:type="spellStart"/>
      <w:r w:rsidRPr="005C391B">
        <w:rPr>
          <w:rFonts w:cstheme="minorHAnsi"/>
          <w:lang w:val="en-US"/>
        </w:rPr>
        <w:t>behaviours</w:t>
      </w:r>
      <w:proofErr w:type="spellEnd"/>
      <w:r w:rsidRPr="005C391B">
        <w:rPr>
          <w:rFonts w:cstheme="minorHAnsi"/>
          <w:lang w:val="en-US"/>
        </w:rPr>
        <w:t xml:space="preserve"> </w:t>
      </w:r>
      <w:r w:rsidRPr="005C391B">
        <w:rPr>
          <w:rFonts w:cstheme="minorHAnsi"/>
          <w:lang w:val="en-US"/>
        </w:rPr>
        <w:fldChar w:fldCharType="begin"/>
      </w:r>
      <w:r w:rsidRPr="005C391B">
        <w:rPr>
          <w:rFonts w:cstheme="minorHAnsi"/>
          <w:lang w:val="en-US"/>
        </w:rPr>
        <w:instrText xml:space="preserve"> ADDIN EN.CITE &lt;EndNote&gt;&lt;Cite&gt;&lt;Author&gt;Baumgaertel&lt;/Author&gt;&lt;Year&gt;1999&lt;/Year&gt;&lt;RecNum&gt;257&lt;/RecNum&gt;&lt;DisplayText&gt;(Baumgaertel, 1999)&lt;/DisplayText&gt;&lt;record&gt;&lt;rec-number&gt;257&lt;/rec-number&gt;&lt;foreign-keys&gt;&lt;key app="EN" db-id="drevp2w2uz2zr0esepxpep0h9z9w09zd9v9t" timestamp="1617922074"&gt;257&lt;/key&gt;&lt;/foreign-keys&gt;&lt;ref-type name="Journal Article"&gt;17&lt;/ref-type&gt;&lt;contributors&gt;&lt;authors&gt;&lt;author&gt;Baumgaertel, Anna&lt;/author&gt;&lt;/authors&gt;&lt;/contributors&gt;&lt;titles&gt;&lt;title&gt;Alternative and controversial treatments for attention-deficit/hyperactivity disorder&lt;/title&gt;&lt;secondary-title&gt;Pediatric Clinics of North America&lt;/secondary-title&gt;&lt;/titles&gt;&lt;periodical&gt;&lt;full-title&gt;Pediatric Clinics of North America&lt;/full-title&gt;&lt;/periodical&gt;&lt;pages&gt;977-992&lt;/pages&gt;&lt;volume&gt;46&lt;/volume&gt;&lt;number&gt;5&lt;/number&gt;&lt;dates&gt;&lt;year&gt;1999&lt;/year&gt;&lt;/dates&gt;&lt;isbn&gt;0031-3955&lt;/isbn&gt;&lt;urls&gt;&lt;/urls&gt;&lt;/record&gt;&lt;/Cite&gt;&lt;/EndNote&gt;</w:instrText>
      </w:r>
      <w:r w:rsidRPr="005C391B">
        <w:rPr>
          <w:rFonts w:cstheme="minorHAnsi"/>
          <w:lang w:val="en-US"/>
        </w:rPr>
        <w:fldChar w:fldCharType="separate"/>
      </w:r>
      <w:r w:rsidRPr="005C391B">
        <w:rPr>
          <w:rFonts w:cstheme="minorHAnsi"/>
          <w:noProof/>
          <w:lang w:val="en-US"/>
        </w:rPr>
        <w:t>(Baumgaertel, 1999)</w:t>
      </w:r>
      <w:r w:rsidRPr="005C391B">
        <w:rPr>
          <w:rFonts w:cstheme="minorHAnsi"/>
          <w:lang w:val="en-US"/>
        </w:rPr>
        <w:fldChar w:fldCharType="end"/>
      </w:r>
      <w:r w:rsidRPr="005C391B">
        <w:rPr>
          <w:rFonts w:cstheme="minorHAnsi"/>
          <w:lang w:val="en-US"/>
        </w:rPr>
        <w:t>. Overall, the current evidence on psychiatric medication as a treatment for emotion regulation in youth is sparse and suggests limited benefits, posing a need to future research in this area (</w:t>
      </w:r>
      <w:proofErr w:type="spellStart"/>
      <w:r w:rsidRPr="005C391B">
        <w:rPr>
          <w:rFonts w:cstheme="minorHAnsi"/>
          <w:lang w:val="en-US"/>
        </w:rPr>
        <w:t>Towbin</w:t>
      </w:r>
      <w:proofErr w:type="spellEnd"/>
      <w:r w:rsidRPr="005C391B">
        <w:rPr>
          <w:rFonts w:cstheme="minorHAnsi"/>
          <w:lang w:val="en-US"/>
        </w:rPr>
        <w:t xml:space="preserve"> et al., 2020; Brotman et al., 2017).</w:t>
      </w:r>
    </w:p>
    <w:p w14:paraId="60DD9378" w14:textId="77777777" w:rsidR="00D57C6A" w:rsidRPr="005C391B" w:rsidRDefault="00D57C6A" w:rsidP="00F410C0">
      <w:pPr>
        <w:spacing w:line="360" w:lineRule="auto"/>
        <w:jc w:val="both"/>
        <w:rPr>
          <w:rFonts w:cstheme="minorHAnsi"/>
          <w:lang w:val="en-US"/>
        </w:rPr>
      </w:pPr>
      <w:r w:rsidRPr="005C391B">
        <w:rPr>
          <w:rFonts w:cstheme="minorHAnsi"/>
          <w:lang w:val="en-US"/>
        </w:rPr>
        <w:t xml:space="preserve">Alternatively, </w:t>
      </w:r>
      <w:proofErr w:type="spellStart"/>
      <w:r w:rsidRPr="005C391B">
        <w:rPr>
          <w:rFonts w:cstheme="minorHAnsi"/>
          <w:lang w:val="en-US"/>
        </w:rPr>
        <w:t>behavioural</w:t>
      </w:r>
      <w:proofErr w:type="spellEnd"/>
      <w:r w:rsidRPr="005C391B">
        <w:rPr>
          <w:rFonts w:cstheme="minorHAnsi"/>
          <w:lang w:val="en-US"/>
        </w:rPr>
        <w:t xml:space="preserve"> interventions, particularly Cognitive </w:t>
      </w:r>
      <w:proofErr w:type="spellStart"/>
      <w:r w:rsidRPr="005C391B">
        <w:rPr>
          <w:rFonts w:cstheme="minorHAnsi"/>
          <w:lang w:val="en-US"/>
        </w:rPr>
        <w:t>Behavioural</w:t>
      </w:r>
      <w:proofErr w:type="spellEnd"/>
      <w:r w:rsidRPr="005C391B">
        <w:rPr>
          <w:rFonts w:cstheme="minorHAnsi"/>
          <w:lang w:val="en-US"/>
        </w:rPr>
        <w:t xml:space="preserve"> Therapy (CBT), have shown to be an effective intervention for young individuals who have issues with anger and aggression (Brotman et al., 2017). CBT helps such children learn how to minimize maladaptive </w:t>
      </w:r>
      <w:proofErr w:type="spellStart"/>
      <w:r w:rsidRPr="005C391B">
        <w:rPr>
          <w:rFonts w:cstheme="minorHAnsi"/>
          <w:lang w:val="en-US"/>
        </w:rPr>
        <w:t>behavio</w:t>
      </w:r>
      <w:r w:rsidR="00831C57">
        <w:rPr>
          <w:rFonts w:cstheme="minorHAnsi"/>
          <w:lang w:val="en-US"/>
        </w:rPr>
        <w:t>u</w:t>
      </w:r>
      <w:r w:rsidRPr="005C391B">
        <w:rPr>
          <w:rFonts w:cstheme="minorHAnsi"/>
          <w:lang w:val="en-US"/>
        </w:rPr>
        <w:t>r</w:t>
      </w:r>
      <w:proofErr w:type="spellEnd"/>
      <w:r w:rsidRPr="005C391B">
        <w:rPr>
          <w:rFonts w:cstheme="minorHAnsi"/>
          <w:lang w:val="en-US"/>
        </w:rPr>
        <w:t xml:space="preserve"> by considering alternative and adaptive ways to think about and react to triggering situations (Kazdin, 2010). However, although </w:t>
      </w:r>
      <w:proofErr w:type="spellStart"/>
      <w:r w:rsidRPr="005C391B">
        <w:rPr>
          <w:rFonts w:cstheme="minorHAnsi"/>
          <w:lang w:val="en-US"/>
        </w:rPr>
        <w:t>behavioural</w:t>
      </w:r>
      <w:proofErr w:type="spellEnd"/>
      <w:r w:rsidRPr="005C391B">
        <w:rPr>
          <w:rFonts w:cstheme="minorHAnsi"/>
          <w:lang w:val="en-US"/>
        </w:rPr>
        <w:t xml:space="preserve"> therapies for young people are frequently suggested, there is a lack of guidelines on how to apply evidence-based treatment strategies (Daley et al., 2018) and a shortage of trained clinicians and specialist services (Miller et al., 2014), which can interfere with effective treatment delivery.</w:t>
      </w:r>
    </w:p>
    <w:p w14:paraId="2F6F3D8F" w14:textId="77777777" w:rsidR="00D57C6A" w:rsidRPr="005C391B" w:rsidRDefault="00D57C6A" w:rsidP="00F410C0">
      <w:pPr>
        <w:spacing w:line="360" w:lineRule="auto"/>
        <w:jc w:val="both"/>
        <w:rPr>
          <w:rFonts w:cstheme="minorHAnsi"/>
          <w:lang w:val="en-US"/>
        </w:rPr>
      </w:pPr>
      <w:r w:rsidRPr="005C391B">
        <w:rPr>
          <w:rFonts w:cstheme="minorHAnsi"/>
          <w:lang w:val="en-US"/>
        </w:rPr>
        <w:t xml:space="preserve">Due to some of the downsides of the current treatment options as well as the fact that dysregulation of emotions is difficult to treat and does not appear to respond as well to some of the current treatment options, other treatments have been investigated. In particular, there has been an increase in investigations of the role of nutrition in mental health, and evidence has established that the intake of healthy food, such as fruit, vegetables, legumes, and healthy fats, is linked to improved mental wellbeing (Jacka et al., 2017; </w:t>
      </w:r>
      <w:proofErr w:type="spellStart"/>
      <w:r w:rsidRPr="005C391B">
        <w:rPr>
          <w:rFonts w:cstheme="minorHAnsi"/>
          <w:lang w:val="en-US"/>
        </w:rPr>
        <w:t>Parletta</w:t>
      </w:r>
      <w:proofErr w:type="spellEnd"/>
      <w:r w:rsidRPr="005C391B">
        <w:rPr>
          <w:rFonts w:cstheme="minorHAnsi"/>
          <w:lang w:val="en-US"/>
        </w:rPr>
        <w:t xml:space="preserve"> et al., 2018). However, given the research that has uncovered that the nutrient density of our foods and our soils has been progressively decreasing (Rucklidge &amp; Kaplan, 2021)</w:t>
      </w:r>
      <w:r w:rsidRPr="005C391B">
        <w:rPr>
          <w:rStyle w:val="CommentReference"/>
          <w:rFonts w:cstheme="minorHAnsi"/>
          <w:sz w:val="22"/>
          <w:szCs w:val="22"/>
        </w:rPr>
        <w:t>, an</w:t>
      </w:r>
      <w:r w:rsidRPr="005C391B">
        <w:rPr>
          <w:rFonts w:cstheme="minorHAnsi"/>
          <w:lang w:val="en-US"/>
        </w:rPr>
        <w:t xml:space="preserve">d may become more so, as a consequence of climate change (FAO, 2017), eating foods that are considered nutritionally dense might no longer have the desired beneficial effects on our mental health, making it important to seek alternative ways of increasing nutrient availability in our brain. Supplementing food consumption with nutrients might be one way to do so, and over the past decades, there has been an increasing number of studies investigating the role of consuming additional nutrients in the form of nutritional supplements on mental wellbeing. </w:t>
      </w:r>
    </w:p>
    <w:p w14:paraId="59995E0E" w14:textId="4829BD5D" w:rsidR="00D57C6A" w:rsidRPr="005C391B" w:rsidRDefault="00D57C6A" w:rsidP="00F410C0">
      <w:pPr>
        <w:spacing w:line="360" w:lineRule="auto"/>
        <w:jc w:val="both"/>
        <w:rPr>
          <w:rFonts w:cstheme="minorHAnsi"/>
          <w:lang w:val="en-US"/>
        </w:rPr>
      </w:pPr>
      <w:r w:rsidRPr="005C391B">
        <w:rPr>
          <w:rFonts w:cstheme="minorHAnsi"/>
          <w:lang w:val="en-US"/>
        </w:rPr>
        <w:t xml:space="preserve">Initially, researchers investigated single rather than </w:t>
      </w:r>
      <w:proofErr w:type="spellStart"/>
      <w:r w:rsidRPr="005C391B">
        <w:rPr>
          <w:rFonts w:cstheme="minorHAnsi"/>
          <w:lang w:val="en-US"/>
        </w:rPr>
        <w:t>multinutrient</w:t>
      </w:r>
      <w:proofErr w:type="spellEnd"/>
      <w:r w:rsidRPr="005C391B">
        <w:rPr>
          <w:rFonts w:cstheme="minorHAnsi"/>
          <w:lang w:val="en-US"/>
        </w:rPr>
        <w:t xml:space="preserve"> interventions in the context of mental health issues; however, due to overall disappointing results, the focus is increasingly on combined nutrient </w:t>
      </w:r>
      <w:r w:rsidRPr="005C391B">
        <w:rPr>
          <w:rFonts w:cstheme="minorHAnsi"/>
          <w:lang w:val="en-US"/>
        </w:rPr>
        <w:lastRenderedPageBreak/>
        <w:t xml:space="preserve">treatments, including broad-spectrum </w:t>
      </w:r>
      <w:proofErr w:type="spellStart"/>
      <w:r w:rsidRPr="005C391B">
        <w:rPr>
          <w:rFonts w:cstheme="minorHAnsi"/>
          <w:lang w:val="en-US"/>
        </w:rPr>
        <w:t>multinutrient</w:t>
      </w:r>
      <w:proofErr w:type="spellEnd"/>
      <w:r w:rsidRPr="005C391B">
        <w:rPr>
          <w:rFonts w:cstheme="minorHAnsi"/>
          <w:lang w:val="en-US"/>
        </w:rPr>
        <w:t xml:space="preserve"> supplements that contain the full array of essential vitamins, minerals, and amino acids. Reasons for this shift include the fact that people tend to have multiple nutrient deficiencies rather than just one, and the evidence shows that multiple nutrient deficiencies are highly prevalent across the globe, with approximately two billion people experiencing some form of deficiency</w:t>
      </w:r>
      <w:r w:rsidR="00824422">
        <w:rPr>
          <w:rFonts w:cstheme="minorHAnsi"/>
          <w:lang w:val="en-US"/>
        </w:rPr>
        <w:t xml:space="preserve"> (Bailey et al., 2015).</w:t>
      </w:r>
      <w:r w:rsidRPr="005C391B">
        <w:rPr>
          <w:rFonts w:cstheme="minorHAnsi"/>
          <w:lang w:val="en-US"/>
        </w:rPr>
        <w:t xml:space="preserve"> In fact, treating deficiencies with a single supplement can have adverse effects, as it can lead to imbalances in other nutrients </w:t>
      </w:r>
      <w:r w:rsidRPr="005C391B">
        <w:rPr>
          <w:rFonts w:cstheme="minorHAnsi"/>
          <w:lang w:val="en-US"/>
        </w:rPr>
        <w:fldChar w:fldCharType="begin"/>
      </w:r>
      <w:r w:rsidRPr="005C391B">
        <w:rPr>
          <w:rFonts w:cstheme="minorHAnsi"/>
          <w:lang w:val="en-US"/>
        </w:rPr>
        <w:instrText xml:space="preserve"> ADDIN EN.CITE &lt;EndNote&gt;&lt;Cite&gt;&lt;Author&gt;Mertz&lt;/Author&gt;&lt;Year&gt;1994&lt;/Year&gt;&lt;RecNum&gt;177&lt;/RecNum&gt;&lt;DisplayText&gt;(Mertz, 1994)&lt;/DisplayText&gt;&lt;record&gt;&lt;rec-number&gt;177&lt;/rec-number&gt;&lt;foreign-keys&gt;&lt;key app="EN" db-id="drevp2w2uz2zr0esepxpep0h9z9w09zd9v9t" timestamp="1604716961"&gt;177&lt;/key&gt;&lt;/foreign-keys&gt;&lt;ref-type name="Journal Article"&gt;17&lt;/ref-type&gt;&lt;contributors&gt;&lt;authors&gt;&lt;author&gt;Mertz, Walter&lt;/author&gt;&lt;/authors&gt;&lt;/contributors&gt;&lt;titles&gt;&lt;title&gt;A balanced approach to nutrition for health: The need for biologically essential minerals and vitamins&lt;/title&gt;&lt;secondary-title&gt;Journal of the American Dietetic Association&lt;/secondary-title&gt;&lt;/titles&gt;&lt;periodical&gt;&lt;full-title&gt;Journal of the American Dietetic Association&lt;/full-title&gt;&lt;/periodical&gt;&lt;pages&gt;1259-1262&lt;/pages&gt;&lt;volume&gt;94&lt;/volume&gt;&lt;number&gt;11&lt;/number&gt;&lt;dates&gt;&lt;year&gt;1994&lt;/year&gt;&lt;/dates&gt;&lt;isbn&gt;0002-8223&lt;/isbn&gt;&lt;urls&gt;&lt;/urls&gt;&lt;/record&gt;&lt;/Cite&gt;&lt;/EndNote&gt;</w:instrText>
      </w:r>
      <w:r w:rsidRPr="005C391B">
        <w:rPr>
          <w:rFonts w:cstheme="minorHAnsi"/>
          <w:lang w:val="en-US"/>
        </w:rPr>
        <w:fldChar w:fldCharType="separate"/>
      </w:r>
      <w:r w:rsidRPr="005C391B">
        <w:rPr>
          <w:rFonts w:cstheme="minorHAnsi"/>
          <w:noProof/>
          <w:lang w:val="en-US"/>
        </w:rPr>
        <w:t>(Mertz, 1994)</w:t>
      </w:r>
      <w:r w:rsidRPr="005C391B">
        <w:rPr>
          <w:rFonts w:cstheme="minorHAnsi"/>
          <w:lang w:val="en-US"/>
        </w:rPr>
        <w:fldChar w:fldCharType="end"/>
      </w:r>
      <w:r w:rsidRPr="005C391B">
        <w:rPr>
          <w:rFonts w:cstheme="minorHAnsi"/>
          <w:lang w:val="en-US"/>
        </w:rPr>
        <w:t xml:space="preserve">. Further, vitamins and minerals do not exert their effects on the brain separately but work together with other vitamins, minerals, and amino acids, challenging the initial ‘one disease-one nutrient’ approach </w:t>
      </w:r>
      <w:r w:rsidRPr="005C391B">
        <w:rPr>
          <w:rFonts w:cstheme="minorHAnsi"/>
          <w:lang w:val="en-US"/>
        </w:rPr>
        <w:fldChar w:fldCharType="begin"/>
      </w:r>
      <w:r w:rsidRPr="005C391B">
        <w:rPr>
          <w:rFonts w:cstheme="minorHAnsi"/>
          <w:lang w:val="en-US"/>
        </w:rPr>
        <w:instrText xml:space="preserve"> ADDIN EN.CITE &lt;EndNote&gt;&lt;Cite&gt;&lt;Author&gt;Mertz&lt;/Author&gt;&lt;Year&gt;1994&lt;/Year&gt;&lt;RecNum&gt;177&lt;/RecNum&gt;&lt;DisplayText&gt;(Mertz, 1994)&lt;/DisplayText&gt;&lt;record&gt;&lt;rec-number&gt;177&lt;/rec-number&gt;&lt;foreign-keys&gt;&lt;key app="EN" db-id="drevp2w2uz2zr0esepxpep0h9z9w09zd9v9t" timestamp="1604716961"&gt;177&lt;/key&gt;&lt;/foreign-keys&gt;&lt;ref-type name="Journal Article"&gt;17&lt;/ref-type&gt;&lt;contributors&gt;&lt;authors&gt;&lt;author&gt;Mertz, Walter&lt;/author&gt;&lt;/authors&gt;&lt;/contributors&gt;&lt;titles&gt;&lt;title&gt;A balanced approach to nutrition for health: The need for biologically essential minerals and vitamins&lt;/title&gt;&lt;secondary-title&gt;Journal of the American Dietetic Association&lt;/secondary-title&gt;&lt;/titles&gt;&lt;periodical&gt;&lt;full-title&gt;Journal of the American Dietetic Association&lt;/full-title&gt;&lt;/periodical&gt;&lt;pages&gt;1259-1262&lt;/pages&gt;&lt;volume&gt;94&lt;/volume&gt;&lt;number&gt;11&lt;/number&gt;&lt;dates&gt;&lt;year&gt;1994&lt;/year&gt;&lt;/dates&gt;&lt;isbn&gt;0002-8223&lt;/isbn&gt;&lt;urls&gt;&lt;/urls&gt;&lt;/record&gt;&lt;/Cite&gt;&lt;/EndNote&gt;</w:instrText>
      </w:r>
      <w:r w:rsidRPr="005C391B">
        <w:rPr>
          <w:rFonts w:cstheme="minorHAnsi"/>
          <w:lang w:val="en-US"/>
        </w:rPr>
        <w:fldChar w:fldCharType="separate"/>
      </w:r>
      <w:r w:rsidRPr="005C391B">
        <w:rPr>
          <w:rFonts w:cstheme="minorHAnsi"/>
          <w:noProof/>
          <w:lang w:val="en-US"/>
        </w:rPr>
        <w:t>(Mertz, 1994)</w:t>
      </w:r>
      <w:r w:rsidRPr="005C391B">
        <w:rPr>
          <w:rFonts w:cstheme="minorHAnsi"/>
          <w:lang w:val="en-US"/>
        </w:rPr>
        <w:fldChar w:fldCharType="end"/>
      </w:r>
      <w:r w:rsidRPr="005C391B">
        <w:rPr>
          <w:rFonts w:cstheme="minorHAnsi"/>
          <w:lang w:val="en-US"/>
        </w:rPr>
        <w:t xml:space="preserve">. </w:t>
      </w:r>
    </w:p>
    <w:p w14:paraId="6BBA2762" w14:textId="77777777" w:rsidR="00D57C6A" w:rsidRPr="005C391B" w:rsidRDefault="00D57C6A" w:rsidP="00F410C0">
      <w:pPr>
        <w:spacing w:line="360" w:lineRule="auto"/>
        <w:jc w:val="both"/>
        <w:rPr>
          <w:rFonts w:cstheme="minorHAnsi"/>
          <w:lang w:val="en-US"/>
        </w:rPr>
      </w:pPr>
      <w:r w:rsidRPr="005C391B">
        <w:rPr>
          <w:rFonts w:cstheme="minorHAnsi"/>
          <w:lang w:val="en-US"/>
        </w:rPr>
        <w:t>To date, various theories have been developed that aim to explain how m</w:t>
      </w:r>
      <w:r w:rsidR="00831C57">
        <w:rPr>
          <w:rFonts w:cstheme="minorHAnsi"/>
          <w:lang w:val="en-US"/>
        </w:rPr>
        <w:t>icro</w:t>
      </w:r>
      <w:r w:rsidRPr="005C391B">
        <w:rPr>
          <w:rFonts w:cstheme="minorHAnsi"/>
          <w:lang w:val="en-US"/>
        </w:rPr>
        <w:t>nutrients exert their positive effects on psychiatric symptoms. Firstly, m</w:t>
      </w:r>
      <w:r w:rsidR="00831C57">
        <w:rPr>
          <w:rFonts w:cstheme="minorHAnsi"/>
          <w:lang w:val="en-US"/>
        </w:rPr>
        <w:t>icro</w:t>
      </w:r>
      <w:r w:rsidRPr="005C391B">
        <w:rPr>
          <w:rFonts w:cstheme="minorHAnsi"/>
          <w:lang w:val="en-US"/>
        </w:rPr>
        <w:t>nutrients are an essential cornerstone of the synthesis of some of the neurotransmitters that are involved in mood, such as dopamine and serotonin, particularly, vitamin B9 (folate), B12, and B6, as well as the minerals iron, copper, and molybdenum (</w:t>
      </w:r>
      <w:proofErr w:type="spellStart"/>
      <w:r w:rsidRPr="005C391B">
        <w:rPr>
          <w:rFonts w:cstheme="minorHAnsi"/>
          <w:lang w:val="en-US"/>
        </w:rPr>
        <w:t>Stough</w:t>
      </w:r>
      <w:proofErr w:type="spellEnd"/>
      <w:r w:rsidRPr="005C391B">
        <w:rPr>
          <w:rFonts w:cstheme="minorHAnsi"/>
          <w:lang w:val="en-US"/>
        </w:rPr>
        <w:t xml:space="preserve"> et al., 2011). Specifically, creation of dopamine and serotonin involves multiple metabolic processes that utilize enzymes and co-enzymes that require various vitamins and minerals as cofactors. If vitamins and minerals are not available, enzymes and co-enzymes cannot function properly, impairing dopamine and serotonin production and potentially interfering with mental wellbeing (Rucklidge &amp; Kaplan, 2013). </w:t>
      </w:r>
    </w:p>
    <w:p w14:paraId="5F85D4CF" w14:textId="19129B7F" w:rsidR="00D57C6A" w:rsidRPr="005C391B" w:rsidRDefault="00D57C6A" w:rsidP="00F410C0">
      <w:pPr>
        <w:spacing w:line="360" w:lineRule="auto"/>
        <w:jc w:val="both"/>
        <w:rPr>
          <w:rFonts w:cstheme="minorHAnsi"/>
          <w:lang w:val="en-US"/>
        </w:rPr>
      </w:pPr>
      <w:r w:rsidRPr="005C391B">
        <w:rPr>
          <w:rFonts w:cstheme="minorHAnsi"/>
          <w:lang w:val="en-US"/>
        </w:rPr>
        <w:t>Further, m</w:t>
      </w:r>
      <w:r w:rsidR="00831C57">
        <w:rPr>
          <w:rFonts w:cstheme="minorHAnsi"/>
          <w:lang w:val="en-US"/>
        </w:rPr>
        <w:t>icro</w:t>
      </w:r>
      <w:r w:rsidRPr="005C391B">
        <w:rPr>
          <w:rFonts w:cstheme="minorHAnsi"/>
          <w:lang w:val="en-US"/>
        </w:rPr>
        <w:t>nutrients are essential for the functioning of the mitochondria, the power plants for neurons and glia, that are crucial for various physiological processes for brain functioning, including energy production, metabolic processes, and neuronal communication (</w:t>
      </w:r>
      <w:proofErr w:type="spellStart"/>
      <w:r w:rsidRPr="005C391B">
        <w:rPr>
          <w:rFonts w:cstheme="minorHAnsi"/>
          <w:lang w:val="en-US"/>
        </w:rPr>
        <w:t>Stough</w:t>
      </w:r>
      <w:proofErr w:type="spellEnd"/>
      <w:r w:rsidRPr="005C391B">
        <w:rPr>
          <w:rFonts w:cstheme="minorHAnsi"/>
          <w:lang w:val="en-US"/>
        </w:rPr>
        <w:t xml:space="preserve"> et al., 2011). Evidence suggests that impaired mitochondrial functioning might be involved in bipolar disorder, ADHD, and Autism Spectrum Disorder (Rossignol &amp; Frye, 2012; Russel et al., 2006; Young, 2007), and although it is not yet well established, vitamin A, C, and K might support mitochondrial functioning, supporting optimal brain functioning</w:t>
      </w:r>
      <w:r w:rsidR="00C41BFA">
        <w:rPr>
          <w:rFonts w:cstheme="minorHAnsi"/>
          <w:lang w:val="en-US"/>
        </w:rPr>
        <w:t xml:space="preserve"> (</w:t>
      </w:r>
      <w:proofErr w:type="spellStart"/>
      <w:r w:rsidR="00C41BFA">
        <w:rPr>
          <w:rFonts w:cstheme="minorHAnsi"/>
          <w:lang w:val="en-US"/>
        </w:rPr>
        <w:t>Rucklidge</w:t>
      </w:r>
      <w:proofErr w:type="spellEnd"/>
      <w:r w:rsidR="00C41BFA">
        <w:rPr>
          <w:rFonts w:cstheme="minorHAnsi"/>
          <w:lang w:val="en-US"/>
        </w:rPr>
        <w:t xml:space="preserve"> &amp; Kaplan, 2013).</w:t>
      </w:r>
      <w:r w:rsidRPr="005C391B">
        <w:rPr>
          <w:rFonts w:cstheme="minorHAnsi"/>
          <w:lang w:val="en-US"/>
        </w:rPr>
        <w:t xml:space="preserve"> </w:t>
      </w:r>
    </w:p>
    <w:p w14:paraId="2C41ECEE" w14:textId="767D5EC2" w:rsidR="00D57C6A" w:rsidRPr="005C391B" w:rsidRDefault="00D57C6A" w:rsidP="00F410C0">
      <w:pPr>
        <w:spacing w:line="360" w:lineRule="auto"/>
        <w:jc w:val="both"/>
        <w:rPr>
          <w:rFonts w:cstheme="minorHAnsi"/>
        </w:rPr>
      </w:pPr>
      <w:r w:rsidRPr="005C391B">
        <w:rPr>
          <w:rFonts w:cstheme="minorHAnsi"/>
          <w:lang w:val="en-US"/>
        </w:rPr>
        <w:t>These beneficial effects are underlined by recent evidence, illustrating</w:t>
      </w:r>
      <w:r w:rsidRPr="005C391B">
        <w:rPr>
          <w:rFonts w:cstheme="minorHAnsi"/>
          <w:b/>
          <w:lang w:val="en-US"/>
        </w:rPr>
        <w:t xml:space="preserve"> </w:t>
      </w:r>
      <w:r w:rsidRPr="005C391B">
        <w:rPr>
          <w:rFonts w:cstheme="minorHAnsi"/>
          <w:lang w:val="en-US"/>
        </w:rPr>
        <w:t>the positive effect of broad-spectrum m</w:t>
      </w:r>
      <w:r w:rsidR="00831C57">
        <w:rPr>
          <w:rFonts w:cstheme="minorHAnsi"/>
          <w:lang w:val="en-US"/>
        </w:rPr>
        <w:t>icro</w:t>
      </w:r>
      <w:r w:rsidRPr="005C391B">
        <w:rPr>
          <w:rFonts w:cstheme="minorHAnsi"/>
          <w:lang w:val="en-US"/>
        </w:rPr>
        <w:t>nutrients on a variety of mental conditions and psychological symptoms, including emotion dysregulation and irritability</w:t>
      </w:r>
      <w:r w:rsidR="00106801">
        <w:rPr>
          <w:rFonts w:cstheme="minorHAnsi"/>
          <w:lang w:val="en-US"/>
        </w:rPr>
        <w:t xml:space="preserve"> (</w:t>
      </w:r>
      <w:proofErr w:type="spellStart"/>
      <w:r w:rsidR="00106801">
        <w:rPr>
          <w:rFonts w:cstheme="minorHAnsi"/>
          <w:lang w:val="en-US"/>
        </w:rPr>
        <w:t>Rucklidge</w:t>
      </w:r>
      <w:proofErr w:type="spellEnd"/>
      <w:r w:rsidR="00106801">
        <w:rPr>
          <w:rFonts w:cstheme="minorHAnsi"/>
          <w:lang w:val="en-US"/>
        </w:rPr>
        <w:t xml:space="preserve"> et al., 2019; </w:t>
      </w:r>
      <w:proofErr w:type="spellStart"/>
      <w:r w:rsidR="00106801">
        <w:rPr>
          <w:rFonts w:cstheme="minorHAnsi"/>
          <w:lang w:val="en-US"/>
        </w:rPr>
        <w:t>Rucklidge</w:t>
      </w:r>
      <w:proofErr w:type="spellEnd"/>
      <w:r w:rsidR="00106801">
        <w:rPr>
          <w:rFonts w:cstheme="minorHAnsi"/>
          <w:lang w:val="en-US"/>
        </w:rPr>
        <w:t xml:space="preserve"> et al., 2014; Julia &amp; Kaplan, 2013). </w:t>
      </w:r>
      <w:r w:rsidRPr="005C391B">
        <w:rPr>
          <w:rFonts w:cstheme="minorHAnsi"/>
          <w:lang w:val="en-US"/>
        </w:rPr>
        <w:t xml:space="preserve"> </w:t>
      </w:r>
      <w:r w:rsidRPr="005C391B">
        <w:rPr>
          <w:rFonts w:cstheme="minorHAnsi"/>
        </w:rPr>
        <w:t xml:space="preserve">For instance, </w:t>
      </w:r>
      <w:r w:rsidR="00824422">
        <w:rPr>
          <w:rFonts w:cstheme="minorHAnsi"/>
        </w:rPr>
        <w:t xml:space="preserve">Rucklidge et al. (2018) </w:t>
      </w:r>
      <w:r w:rsidRPr="005C391B">
        <w:rPr>
          <w:rFonts w:cstheme="minorHAnsi"/>
        </w:rPr>
        <w:t>conducted a double-blinded RCT with 93 7-to-12-year-old children with ADHD, with some children having severe problems with emotional dysregulation and aggression. A clinician rating of global functioning (based on consideration of parent, teacher and child reports) showed that nearly double the number of children in the m</w:t>
      </w:r>
      <w:r w:rsidR="00CC370C">
        <w:rPr>
          <w:rFonts w:cstheme="minorHAnsi"/>
        </w:rPr>
        <w:t>icro</w:t>
      </w:r>
      <w:r w:rsidRPr="005C391B">
        <w:rPr>
          <w:rFonts w:cstheme="minorHAnsi"/>
        </w:rPr>
        <w:t>nutrient group were identified to be ‘much’ to ‘very much’ improved relative to the placebo group (47% versus 28%). In comparison with the placebo group, children who took the m</w:t>
      </w:r>
      <w:r w:rsidR="00CC370C">
        <w:rPr>
          <w:rFonts w:cstheme="minorHAnsi"/>
        </w:rPr>
        <w:t>icro</w:t>
      </w:r>
      <w:r w:rsidRPr="005C391B">
        <w:rPr>
          <w:rFonts w:cstheme="minorHAnsi"/>
        </w:rPr>
        <w:t>nutrients showed a greater improvement in aggression (</w:t>
      </w:r>
      <w:r w:rsidRPr="005C391B">
        <w:rPr>
          <w:rFonts w:cstheme="minorHAnsi"/>
          <w:i/>
        </w:rPr>
        <w:t>d</w:t>
      </w:r>
      <w:r w:rsidRPr="005C391B">
        <w:rPr>
          <w:rFonts w:cstheme="minorHAnsi"/>
        </w:rPr>
        <w:t xml:space="preserve"> = 0.52), emotionally dysregulated behaviour (</w:t>
      </w:r>
      <w:r w:rsidRPr="005C391B">
        <w:rPr>
          <w:rFonts w:cstheme="minorHAnsi"/>
          <w:i/>
        </w:rPr>
        <w:t xml:space="preserve">d </w:t>
      </w:r>
      <w:r w:rsidRPr="005C391B">
        <w:rPr>
          <w:rFonts w:cstheme="minorHAnsi"/>
        </w:rPr>
        <w:t>= 0.66), dysregulated mood (</w:t>
      </w:r>
      <w:r w:rsidRPr="005C391B">
        <w:rPr>
          <w:rFonts w:cstheme="minorHAnsi"/>
          <w:i/>
        </w:rPr>
        <w:t>d</w:t>
      </w:r>
      <w:r w:rsidRPr="005C391B">
        <w:rPr>
          <w:rFonts w:cstheme="minorHAnsi"/>
        </w:rPr>
        <w:t xml:space="preserve"> = 0.35), conduct problems (</w:t>
      </w:r>
      <w:r w:rsidRPr="005C391B">
        <w:rPr>
          <w:rFonts w:cstheme="minorHAnsi"/>
          <w:i/>
        </w:rPr>
        <w:t>d</w:t>
      </w:r>
      <w:r w:rsidRPr="005C391B">
        <w:rPr>
          <w:rFonts w:cstheme="minorHAnsi"/>
        </w:rPr>
        <w:t xml:space="preserve"> = 0.48), and problem behaviour </w:t>
      </w:r>
      <w:r w:rsidRPr="005C391B">
        <w:rPr>
          <w:rFonts w:cstheme="minorHAnsi"/>
        </w:rPr>
        <w:lastRenderedPageBreak/>
        <w:t>based on the parent- (</w:t>
      </w:r>
      <w:r w:rsidRPr="005C391B">
        <w:rPr>
          <w:rFonts w:cstheme="minorHAnsi"/>
          <w:i/>
        </w:rPr>
        <w:t>d</w:t>
      </w:r>
      <w:r w:rsidRPr="005C391B">
        <w:rPr>
          <w:rFonts w:cstheme="minorHAnsi"/>
        </w:rPr>
        <w:t xml:space="preserve"> = 0.41) and teacher-rated (</w:t>
      </w:r>
      <w:r w:rsidRPr="005C391B">
        <w:rPr>
          <w:rFonts w:cstheme="minorHAnsi"/>
          <w:i/>
        </w:rPr>
        <w:t>d</w:t>
      </w:r>
      <w:r w:rsidRPr="005C391B">
        <w:rPr>
          <w:rFonts w:cstheme="minorHAnsi"/>
        </w:rPr>
        <w:t xml:space="preserve"> = 0.45) questionnaires, although it is important to note that not all the group differences were statistically significant.</w:t>
      </w:r>
    </w:p>
    <w:p w14:paraId="782B373B" w14:textId="4D196DC4" w:rsidR="00D57C6A" w:rsidRPr="005C391B" w:rsidRDefault="00D57C6A" w:rsidP="00F410C0">
      <w:pPr>
        <w:spacing w:line="360" w:lineRule="auto"/>
        <w:jc w:val="both"/>
        <w:rPr>
          <w:rFonts w:cstheme="minorHAnsi"/>
        </w:rPr>
      </w:pPr>
      <w:r w:rsidRPr="005C391B">
        <w:rPr>
          <w:rFonts w:cstheme="minorHAnsi"/>
        </w:rPr>
        <w:t>Further, in an open label, on-off-on-off (reversal design) study, 14 children with a diagnosis of ADHD between 8 and 12 years old were assessed over a period of 6 months. In particular, children were given m</w:t>
      </w:r>
      <w:r w:rsidR="00CC370C">
        <w:rPr>
          <w:rFonts w:cstheme="minorHAnsi"/>
        </w:rPr>
        <w:t>icro</w:t>
      </w:r>
      <w:r w:rsidRPr="005C391B">
        <w:rPr>
          <w:rFonts w:cstheme="minorHAnsi"/>
        </w:rPr>
        <w:t xml:space="preserve">nutrients for 8 weeks, then the treatment was withdrawn for 4 weeks, then reintroduced for 8 weeks, and withdrawn again for 4 weeks </w:t>
      </w:r>
      <w:r w:rsidR="00E1314A">
        <w:rPr>
          <w:rFonts w:cstheme="minorHAnsi"/>
        </w:rPr>
        <w:t>(Gordon et al., 2015)</w:t>
      </w:r>
      <w:r w:rsidRPr="005C391B">
        <w:rPr>
          <w:rFonts w:cstheme="minorHAnsi"/>
        </w:rPr>
        <w:t>. In the treatment phases, participants showed a large and statistically significant improvement across a variety of symptoms, including issues with social behaviour and conduct problems, which are symptoms frequently related to emotion dysregulation. In addition, over two-thirds of the participants were identified as ‘much’ or ‘very much’ improved after the second treatment phase. This beneficial effect was reversed when the treatment was withdrawn, which illustrates the potential benefits of m</w:t>
      </w:r>
      <w:r w:rsidR="00CC370C">
        <w:rPr>
          <w:rFonts w:cstheme="minorHAnsi"/>
        </w:rPr>
        <w:t>icro</w:t>
      </w:r>
      <w:r w:rsidRPr="005C391B">
        <w:rPr>
          <w:rFonts w:cstheme="minorHAnsi"/>
        </w:rPr>
        <w:t>nutrients on behavioural regulation.</w:t>
      </w:r>
    </w:p>
    <w:p w14:paraId="2CF2CB4B" w14:textId="77777777" w:rsidR="00D57C6A" w:rsidRPr="005C391B" w:rsidRDefault="00D57C6A" w:rsidP="00F410C0">
      <w:pPr>
        <w:spacing w:line="360" w:lineRule="auto"/>
        <w:jc w:val="both"/>
        <w:rPr>
          <w:rFonts w:cstheme="minorHAnsi"/>
          <w:lang w:val="en-US"/>
        </w:rPr>
      </w:pPr>
      <w:r w:rsidRPr="005C391B">
        <w:rPr>
          <w:rFonts w:cstheme="minorHAnsi"/>
          <w:lang w:val="en-US"/>
        </w:rPr>
        <w:t>To illustrate the importance of nutrition in psychiatric symptoms not only in children but also adults, in an open-label pilot study, 14 adults between the age of 28 and 55 with diagnoses of both severe mood dysregulation and ADHD were given m</w:t>
      </w:r>
      <w:r w:rsidR="00CC370C">
        <w:rPr>
          <w:rFonts w:cstheme="minorHAnsi"/>
          <w:lang w:val="en-US"/>
        </w:rPr>
        <w:t>icro</w:t>
      </w:r>
      <w:r w:rsidRPr="005C391B">
        <w:rPr>
          <w:rFonts w:cstheme="minorHAnsi"/>
          <w:lang w:val="en-US"/>
        </w:rPr>
        <w:t xml:space="preserve">nutrients for 8 weeks </w:t>
      </w:r>
      <w:r w:rsidRPr="005C391B">
        <w:rPr>
          <w:rFonts w:cstheme="minorHAnsi"/>
          <w:lang w:val="en-US"/>
        </w:rPr>
        <w:fldChar w:fldCharType="begin"/>
      </w:r>
      <w:r w:rsidRPr="005C391B">
        <w:rPr>
          <w:rFonts w:cstheme="minorHAnsi"/>
          <w:lang w:val="en-US"/>
        </w:rPr>
        <w:instrText xml:space="preserve"> ADDIN EN.CITE &lt;EndNote&gt;&lt;Cite&gt;&lt;Author&gt;Rucklidge&lt;/Author&gt;&lt;Year&gt;2011&lt;/Year&gt;&lt;RecNum&gt;256&lt;/RecNum&gt;&lt;DisplayText&gt;(J. Rucklidge, Taylor, &amp;amp; Whitehead, 2011)&lt;/DisplayText&gt;&lt;record&gt;&lt;rec-number&gt;256&lt;/rec-number&gt;&lt;foreign-keys&gt;&lt;key app="EN" db-id="drevp2w2uz2zr0esepxpep0h9z9w09zd9v9t" timestamp="1617922010"&gt;256&lt;/key&gt;&lt;/foreign-keys&gt;&lt;ref-type name="Journal Article"&gt;17&lt;/ref-type&gt;&lt;contributors&gt;&lt;authors&gt;&lt;author&gt;Rucklidge, Julia&lt;/author&gt;&lt;author&gt;Taylor, Mairin&lt;/author&gt;&lt;author&gt;Whitehead, Kathryn&lt;/author&gt;&lt;/authors&gt;&lt;/contributors&gt;&lt;titles&gt;&lt;title&gt;Effect of micronutrients on behavior and mood in adults with ADHD: Evidence from an 8-week open label trial with natural extension&lt;/title&gt;&lt;secondary-title&gt;Journal of attention disorders&lt;/secondary-title&gt;&lt;/titles&gt;&lt;periodical&gt;&lt;full-title&gt;Journal of attention disorders&lt;/full-title&gt;&lt;/periodical&gt;&lt;pages&gt;79-91&lt;/pages&gt;&lt;volume&gt;15&lt;/volume&gt;&lt;number&gt;1&lt;/number&gt;&lt;dates&gt;&lt;year&gt;2011&lt;/year&gt;&lt;/dates&gt;&lt;isbn&gt;1087-0547&lt;/isbn&gt;&lt;urls&gt;&lt;/urls&gt;&lt;/record&gt;&lt;/Cite&gt;&lt;/EndNote&gt;</w:instrText>
      </w:r>
      <w:r w:rsidRPr="005C391B">
        <w:rPr>
          <w:rFonts w:cstheme="minorHAnsi"/>
          <w:lang w:val="en-US"/>
        </w:rPr>
        <w:fldChar w:fldCharType="separate"/>
      </w:r>
      <w:r w:rsidRPr="005C391B">
        <w:rPr>
          <w:rFonts w:cstheme="minorHAnsi"/>
          <w:noProof/>
          <w:lang w:val="en-US"/>
        </w:rPr>
        <w:t>(J. Rucklidge, Taylor, &amp; Whitehead, 2011)</w:t>
      </w:r>
      <w:r w:rsidRPr="005C391B">
        <w:rPr>
          <w:rFonts w:cstheme="minorHAnsi"/>
          <w:lang w:val="en-US"/>
        </w:rPr>
        <w:fldChar w:fldCharType="end"/>
      </w:r>
      <w:r w:rsidRPr="005C391B">
        <w:rPr>
          <w:rFonts w:cstheme="minorHAnsi"/>
          <w:lang w:val="en-US"/>
        </w:rPr>
        <w:t>. Data revealed that the participants experienced moderate to large statistically and clinically significant benefits across emotional symptoms, such as mood, mania, emotional lability, as well as hyperactivity/impulsivity and inattention (</w:t>
      </w:r>
      <w:r w:rsidRPr="005C391B">
        <w:rPr>
          <w:rFonts w:cstheme="minorHAnsi"/>
          <w:i/>
        </w:rPr>
        <w:t>d</w:t>
      </w:r>
      <w:r w:rsidRPr="005C391B">
        <w:rPr>
          <w:rFonts w:cstheme="minorHAnsi"/>
          <w:lang w:val="en-US"/>
        </w:rPr>
        <w:t xml:space="preserve"> = 0.66-1.96). These findings illustrate that m</w:t>
      </w:r>
      <w:r w:rsidR="00CC370C">
        <w:rPr>
          <w:rFonts w:cstheme="minorHAnsi"/>
          <w:lang w:val="en-US"/>
        </w:rPr>
        <w:t>icro</w:t>
      </w:r>
      <w:r w:rsidRPr="005C391B">
        <w:rPr>
          <w:rFonts w:cstheme="minorHAnsi"/>
          <w:lang w:val="en-US"/>
        </w:rPr>
        <w:t xml:space="preserve">nutrients </w:t>
      </w:r>
      <w:r w:rsidR="00FD0D8F">
        <w:rPr>
          <w:rFonts w:cstheme="minorHAnsi"/>
          <w:lang w:val="en-US"/>
        </w:rPr>
        <w:t xml:space="preserve">may </w:t>
      </w:r>
      <w:r w:rsidRPr="005C391B">
        <w:rPr>
          <w:rFonts w:cstheme="minorHAnsi"/>
          <w:lang w:val="en-US"/>
        </w:rPr>
        <w:t>represent an alternative treatment path for those who struggle with emotion dysregulation and irritability that needs to further be explored.</w:t>
      </w:r>
    </w:p>
    <w:p w14:paraId="796DD5A2" w14:textId="0959804E" w:rsidR="00D57C6A" w:rsidRPr="005C391B" w:rsidRDefault="00D57C6A" w:rsidP="00F410C0">
      <w:pPr>
        <w:spacing w:line="360" w:lineRule="auto"/>
        <w:jc w:val="both"/>
        <w:rPr>
          <w:rFonts w:cstheme="minorHAnsi"/>
        </w:rPr>
      </w:pPr>
      <w:r w:rsidRPr="005C391B">
        <w:rPr>
          <w:rFonts w:cstheme="minorHAnsi"/>
        </w:rPr>
        <w:t xml:space="preserve">As mentioned above, emotion regulation/emotion dysregulation is frequently associated with stress, and stress </w:t>
      </w:r>
      <w:r w:rsidRPr="005C391B">
        <w:rPr>
          <w:rFonts w:cstheme="minorHAnsi"/>
          <w:lang w:val="en-US"/>
        </w:rPr>
        <w:t xml:space="preserve">is linked to various adverse effects, including the development of cardiovascular disease, atherosclerosis, oxidative stress, and inflammatory reactivity </w:t>
      </w:r>
      <w:r w:rsidRPr="005C391B">
        <w:rPr>
          <w:rFonts w:cstheme="minorHAnsi"/>
          <w:lang w:val="en-US"/>
        </w:rPr>
        <w:fldChar w:fldCharType="begin"/>
      </w:r>
      <w:r w:rsidRPr="005C391B">
        <w:rPr>
          <w:rFonts w:cstheme="minorHAnsi"/>
          <w:lang w:val="en-US"/>
        </w:rPr>
        <w:instrText xml:space="preserve"> ADDIN EN.CITE &lt;EndNote&gt;&lt;Cite&gt;&lt;Author&gt;Huang&lt;/Author&gt;&lt;Year&gt;2013&lt;/Year&gt;&lt;RecNum&gt;13&lt;/RecNum&gt;&lt;DisplayText&gt;(Huang, Webb, Zourdos, &amp;amp; Acevedo, 2013)&lt;/DisplayText&gt;&lt;record&gt;&lt;rec-number&gt;13&lt;/rec-number&gt;&lt;foreign-keys&gt;&lt;key app="EN" db-id="drevp2w2uz2zr0esepxpep0h9z9w09zd9v9t" timestamp="1584066836"&gt;13&lt;/key&gt;&lt;/foreign-keys&gt;&lt;ref-type name="Journal Article"&gt;17&lt;/ref-type&gt;&lt;contributors&gt;&lt;authors&gt;&lt;author&gt;Huang, Chun-Jung&lt;/author&gt;&lt;author&gt;Webb, Heather E&lt;/author&gt;&lt;author&gt;Zourdos, Michael C&lt;/author&gt;&lt;author&gt;Acevedo, Edmund O&lt;/author&gt;&lt;/authors&gt;&lt;/contributors&gt;&lt;titles&gt;&lt;title&gt;Cardiovascular reactivity, stress, and physical activity&lt;/title&gt;&lt;secondary-title&gt;Frontiers in physiology&lt;/secondary-title&gt;&lt;/titles&gt;&lt;periodical&gt;&lt;full-title&gt;Frontiers in physiology&lt;/full-title&gt;&lt;/periodical&gt;&lt;pages&gt;314&lt;/pages&gt;&lt;volume&gt;4&lt;/volume&gt;&lt;dates&gt;&lt;year&gt;2013&lt;/year&gt;&lt;/dates&gt;&lt;isbn&gt;1664-042X&lt;/isbn&gt;&lt;urls&gt;&lt;/urls&gt;&lt;/record&gt;&lt;/Cite&gt;&lt;/EndNote&gt;</w:instrText>
      </w:r>
      <w:r w:rsidRPr="005C391B">
        <w:rPr>
          <w:rFonts w:cstheme="minorHAnsi"/>
          <w:lang w:val="en-US"/>
        </w:rPr>
        <w:fldChar w:fldCharType="separate"/>
      </w:r>
      <w:r w:rsidRPr="005C391B">
        <w:rPr>
          <w:rFonts w:cstheme="minorHAnsi"/>
          <w:noProof/>
          <w:lang w:val="en-US"/>
        </w:rPr>
        <w:t>(Huang, Webb, Zourdos, &amp; Acevedo, 2013)</w:t>
      </w:r>
      <w:r w:rsidRPr="005C391B">
        <w:rPr>
          <w:rFonts w:cstheme="minorHAnsi"/>
          <w:lang w:val="en-US"/>
        </w:rPr>
        <w:fldChar w:fldCharType="end"/>
      </w:r>
      <w:r w:rsidRPr="005C391B">
        <w:rPr>
          <w:rFonts w:cstheme="minorHAnsi"/>
          <w:lang w:val="en-US"/>
        </w:rPr>
        <w:t xml:space="preserve">, as well as poorer mental wellbeing, and academic underachievement </w:t>
      </w:r>
      <w:r w:rsidRPr="005C391B">
        <w:rPr>
          <w:rFonts w:cstheme="minorHAnsi"/>
          <w:lang w:val="en-US"/>
        </w:rPr>
        <w:fldChar w:fldCharType="begin"/>
      </w:r>
      <w:r w:rsidRPr="005C391B">
        <w:rPr>
          <w:rFonts w:cstheme="minorHAnsi"/>
          <w:lang w:val="en-US"/>
        </w:rPr>
        <w:instrText xml:space="preserve"> ADDIN EN.CITE &lt;EndNote&gt;&lt;Cite&gt;&lt;Author&gt;Myers&lt;/Author&gt;&lt;Year&gt;2012&lt;/Year&gt;&lt;RecNum&gt;16&lt;/RecNum&gt;&lt;DisplayText&gt;(Myers et al., 2012)&lt;/DisplayText&gt;&lt;record&gt;&lt;rec-number&gt;16&lt;/rec-number&gt;&lt;foreign-keys&gt;&lt;key app="EN" db-id="drevp2w2uz2zr0esepxpep0h9z9w09zd9v9t" timestamp="1584067913"&gt;16&lt;/key&gt;&lt;/foreign-keys&gt;&lt;ref-type name="Journal Article"&gt;17&lt;/ref-type&gt;&lt;contributors&gt;&lt;authors&gt;&lt;author&gt;Myers, Shannon B&lt;/author&gt;&lt;author&gt;Sweeney, Alison C&lt;/author&gt;&lt;author&gt;Popick, Victoria&lt;/author&gt;&lt;author&gt;Wesley, Kimberly&lt;/author&gt;&lt;author&gt;Bordfeld, Amanda&lt;/author&gt;&lt;author&gt;Fingerhut, Randy&lt;/author&gt;&lt;/authors&gt;&lt;/contributors&gt;&lt;titles&gt;&lt;title&gt;Self-care practices and perceived stress levels among psychology graduate students&lt;/title&gt;&lt;secondary-title&gt;Training and Education in Professional Psychology&lt;/secondary-title&gt;&lt;/titles&gt;&lt;periodical&gt;&lt;full-title&gt;Training and Education in Professional Psychology&lt;/full-title&gt;&lt;/periodical&gt;&lt;pages&gt;55&lt;/pages&gt;&lt;volume&gt;6&lt;/volume&gt;&lt;number&gt;1&lt;/number&gt;&lt;dates&gt;&lt;year&gt;2012&lt;/year&gt;&lt;/dates&gt;&lt;isbn&gt;1931-3926&lt;/isbn&gt;&lt;urls&gt;&lt;/urls&gt;&lt;/record&gt;&lt;/Cite&gt;&lt;/EndNote&gt;</w:instrText>
      </w:r>
      <w:r w:rsidRPr="005C391B">
        <w:rPr>
          <w:rFonts w:cstheme="minorHAnsi"/>
          <w:lang w:val="en-US"/>
        </w:rPr>
        <w:fldChar w:fldCharType="separate"/>
      </w:r>
      <w:r w:rsidRPr="005C391B">
        <w:rPr>
          <w:rFonts w:cstheme="minorHAnsi"/>
          <w:noProof/>
          <w:lang w:val="en-US"/>
        </w:rPr>
        <w:t>(Myers et al., 2012)</w:t>
      </w:r>
      <w:r w:rsidRPr="005C391B">
        <w:rPr>
          <w:rFonts w:cstheme="minorHAnsi"/>
          <w:lang w:val="en-US"/>
        </w:rPr>
        <w:fldChar w:fldCharType="end"/>
      </w:r>
      <w:r w:rsidRPr="005C391B">
        <w:rPr>
          <w:rFonts w:cstheme="minorHAnsi"/>
          <w:lang w:val="en-US"/>
        </w:rPr>
        <w:t>. As an attempt to reduce stress</w:t>
      </w:r>
      <w:r w:rsidR="00CC370C">
        <w:rPr>
          <w:rFonts w:cstheme="minorHAnsi"/>
          <w:lang w:val="en-US"/>
        </w:rPr>
        <w:t xml:space="preserve"> as well as trial a new delivery modality for the micronutrients</w:t>
      </w:r>
      <w:r w:rsidRPr="005C391B">
        <w:rPr>
          <w:rFonts w:cstheme="minorHAnsi"/>
          <w:lang w:val="en-US"/>
        </w:rPr>
        <w:t xml:space="preserve">, </w:t>
      </w:r>
      <w:r w:rsidR="00CC370C">
        <w:rPr>
          <w:rFonts w:cstheme="minorHAnsi"/>
          <w:lang w:val="en-US"/>
        </w:rPr>
        <w:t>an unpublished</w:t>
      </w:r>
      <w:r w:rsidRPr="005C391B">
        <w:rPr>
          <w:rFonts w:cstheme="minorHAnsi"/>
          <w:lang w:val="en-US"/>
        </w:rPr>
        <w:t xml:space="preserve"> randomized, double-blinded </w:t>
      </w:r>
      <w:r w:rsidR="00CC370C">
        <w:rPr>
          <w:rFonts w:cstheme="minorHAnsi"/>
          <w:lang w:val="en-US"/>
        </w:rPr>
        <w:t xml:space="preserve">trial conducted in </w:t>
      </w:r>
      <w:proofErr w:type="spellStart"/>
      <w:r w:rsidR="00CC370C">
        <w:rPr>
          <w:rFonts w:cstheme="minorHAnsi"/>
          <w:lang w:val="en-US"/>
        </w:rPr>
        <w:t>Te</w:t>
      </w:r>
      <w:proofErr w:type="spellEnd"/>
      <w:r w:rsidR="00CC370C">
        <w:rPr>
          <w:rFonts w:cstheme="minorHAnsi"/>
          <w:lang w:val="en-US"/>
        </w:rPr>
        <w:t xml:space="preserve"> Puna </w:t>
      </w:r>
      <w:proofErr w:type="spellStart"/>
      <w:r w:rsidR="00CC370C">
        <w:rPr>
          <w:rFonts w:cstheme="minorHAnsi"/>
          <w:lang w:val="en-US"/>
        </w:rPr>
        <w:t>Toiora</w:t>
      </w:r>
      <w:proofErr w:type="spellEnd"/>
      <w:r w:rsidRPr="005C391B">
        <w:rPr>
          <w:rFonts w:cstheme="minorHAnsi"/>
          <w:lang w:val="en-US"/>
        </w:rPr>
        <w:t xml:space="preserve"> investiga</w:t>
      </w:r>
      <w:r w:rsidR="00CC370C">
        <w:rPr>
          <w:rFonts w:cstheme="minorHAnsi"/>
          <w:lang w:val="en-US"/>
        </w:rPr>
        <w:t>ted</w:t>
      </w:r>
      <w:r w:rsidRPr="005C391B">
        <w:rPr>
          <w:rFonts w:cstheme="minorHAnsi"/>
          <w:lang w:val="en-US"/>
        </w:rPr>
        <w:t xml:space="preserve"> the effect of </w:t>
      </w:r>
      <w:r w:rsidR="00CC370C">
        <w:rPr>
          <w:rFonts w:cstheme="minorHAnsi"/>
          <w:lang w:val="en-US"/>
        </w:rPr>
        <w:t>this</w:t>
      </w:r>
      <w:r w:rsidRPr="005C391B">
        <w:rPr>
          <w:rFonts w:cstheme="minorHAnsi"/>
          <w:lang w:val="en-US"/>
        </w:rPr>
        <w:t xml:space="preserve"> delivery modality on stress and mental wellbeing in UC students. </w:t>
      </w:r>
      <w:r w:rsidRPr="005C391B">
        <w:rPr>
          <w:rFonts w:cstheme="minorHAnsi"/>
        </w:rPr>
        <w:t>The product tested was powdered multinutrient straws called EMPowerplus Lightning Stiks</w:t>
      </w:r>
      <w:r w:rsidRPr="005C391B">
        <w:rPr>
          <w:rFonts w:cstheme="minorHAnsi"/>
          <w:vertAlign w:val="superscript"/>
        </w:rPr>
        <w:t>TM</w:t>
      </w:r>
      <w:r w:rsidRPr="005C391B">
        <w:rPr>
          <w:rFonts w:cstheme="minorHAnsi"/>
        </w:rPr>
        <w:t>, which use Direct-to-Mouth technology in which the multinutrients are a</w:t>
      </w:r>
      <w:r w:rsidR="00CC370C">
        <w:rPr>
          <w:rFonts w:cstheme="minorHAnsi"/>
        </w:rPr>
        <w:t>b</w:t>
      </w:r>
      <w:r w:rsidRPr="005C391B">
        <w:rPr>
          <w:rFonts w:cstheme="minorHAnsi"/>
        </w:rPr>
        <w:t xml:space="preserve">sorbed through the tissues of the mouth. </w:t>
      </w:r>
      <w:r w:rsidR="00CC370C">
        <w:rPr>
          <w:rFonts w:cstheme="minorHAnsi"/>
        </w:rPr>
        <w:t>This different modality means tha</w:t>
      </w:r>
      <w:r w:rsidR="00FD0D8F">
        <w:rPr>
          <w:rFonts w:cstheme="minorHAnsi"/>
        </w:rPr>
        <w:t>t</w:t>
      </w:r>
      <w:r w:rsidR="00CC370C">
        <w:rPr>
          <w:rFonts w:cstheme="minorHAnsi"/>
        </w:rPr>
        <w:t xml:space="preserve"> the dose of the micronutirents is much </w:t>
      </w:r>
      <w:r w:rsidR="00FD0D8F">
        <w:rPr>
          <w:rFonts w:cstheme="minorHAnsi"/>
        </w:rPr>
        <w:t>lower</w:t>
      </w:r>
      <w:r w:rsidR="00CC370C">
        <w:rPr>
          <w:rFonts w:cstheme="minorHAnsi"/>
        </w:rPr>
        <w:t xml:space="preserve"> than has been previously used in other research on broad spectrum micronutrients. Indeed, all doses are well below the recommended Dietary Allowance (RDA) and none are given in a dose above the Upper Limit (UL). None of the doses are given </w:t>
      </w:r>
      <w:r w:rsidR="00FD0D8F">
        <w:rPr>
          <w:rFonts w:cstheme="minorHAnsi"/>
        </w:rPr>
        <w:t>at</w:t>
      </w:r>
      <w:r w:rsidR="00CC370C">
        <w:rPr>
          <w:rFonts w:cstheme="minorHAnsi"/>
        </w:rPr>
        <w:t xml:space="preserve"> a medicinal level. </w:t>
      </w:r>
      <w:r w:rsidRPr="005C391B">
        <w:rPr>
          <w:rFonts w:cstheme="minorHAnsi"/>
        </w:rPr>
        <w:t>The Lightning Stiks</w:t>
      </w:r>
      <w:r w:rsidRPr="005C391B">
        <w:rPr>
          <w:rFonts w:cstheme="minorHAnsi"/>
          <w:vertAlign w:val="superscript"/>
        </w:rPr>
        <w:t>TM</w:t>
      </w:r>
      <w:r w:rsidRPr="005C391B">
        <w:rPr>
          <w:rFonts w:cstheme="minorHAnsi"/>
        </w:rPr>
        <w:t xml:space="preserve"> consist of a blend of 36 ingredients, including vitamins, minerals and amino acids, called EMPowerplus, and </w:t>
      </w:r>
      <w:r w:rsidR="00447AA9">
        <w:rPr>
          <w:rFonts w:cstheme="minorHAnsi"/>
        </w:rPr>
        <w:t>previous research has shown</w:t>
      </w:r>
      <w:r w:rsidRPr="005C391B">
        <w:rPr>
          <w:rFonts w:cstheme="minorHAnsi"/>
        </w:rPr>
        <w:t xml:space="preserve"> that this formula (taken in capsules) </w:t>
      </w:r>
      <w:r w:rsidR="00447AA9">
        <w:rPr>
          <w:rFonts w:cstheme="minorHAnsi"/>
        </w:rPr>
        <w:t>can</w:t>
      </w:r>
      <w:r w:rsidRPr="005C391B">
        <w:rPr>
          <w:rFonts w:cstheme="minorHAnsi"/>
        </w:rPr>
        <w:t xml:space="preserve"> improve stress, anxiety, and mood in adults as well as in children </w:t>
      </w:r>
      <w:r w:rsidRPr="005C391B">
        <w:rPr>
          <w:rFonts w:cstheme="minorHAnsi"/>
        </w:rPr>
        <w:fldChar w:fldCharType="begin">
          <w:fldData xml:space="preserve">PEVuZE5vdGU+PENpdGU+PEF1dGhvcj5SdWNrbGlkZ2U8L0F1dGhvcj48WWVhcj4yMDEyPC9ZZWFy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</w:fldData>
        </w:fldChar>
      </w:r>
      <w:r w:rsidRPr="005C391B">
        <w:rPr>
          <w:rFonts w:cstheme="minorHAnsi"/>
        </w:rPr>
        <w:instrText xml:space="preserve"> ADDIN EN.CITE </w:instrText>
      </w:r>
      <w:r w:rsidRPr="005C391B">
        <w:rPr>
          <w:rFonts w:cstheme="minorHAnsi"/>
        </w:rPr>
        <w:fldChar w:fldCharType="begin">
          <w:fldData xml:space="preserve">PEVuZE5vdGU+PENpdGU+PEF1dGhvcj5SdWNrbGlkZ2U8L0F1dGhvcj48WWVhcj4yMDEyPC9ZZWFy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</w:fldData>
        </w:fldChar>
      </w:r>
      <w:r w:rsidRPr="005C391B">
        <w:rPr>
          <w:rFonts w:cstheme="minorHAnsi"/>
        </w:rPr>
        <w:instrText xml:space="preserve"> ADDIN EN.CITE.DATA </w:instrText>
      </w:r>
      <w:r w:rsidRPr="005C391B">
        <w:rPr>
          <w:rFonts w:cstheme="minorHAnsi"/>
        </w:rPr>
      </w:r>
      <w:r w:rsidRPr="005C391B">
        <w:rPr>
          <w:rFonts w:cstheme="minorHAnsi"/>
        </w:rPr>
        <w:fldChar w:fldCharType="end"/>
      </w:r>
      <w:r w:rsidRPr="005C391B">
        <w:rPr>
          <w:rFonts w:cstheme="minorHAnsi"/>
        </w:rPr>
      </w:r>
      <w:r w:rsidRPr="005C391B">
        <w:rPr>
          <w:rFonts w:cstheme="minorHAnsi"/>
        </w:rPr>
        <w:fldChar w:fldCharType="separate"/>
      </w:r>
      <w:r w:rsidRPr="005C391B">
        <w:rPr>
          <w:rFonts w:cstheme="minorHAnsi"/>
          <w:noProof/>
        </w:rPr>
        <w:t xml:space="preserve">(J. J. Rucklidge et al., 2012; J. J. Rucklidge &amp; Blampied, 2011; Sole, Rucklidge, &amp; Blampied, 2017; </w:t>
      </w:r>
      <w:r w:rsidRPr="005C391B">
        <w:rPr>
          <w:rFonts w:cstheme="minorHAnsi"/>
          <w:noProof/>
        </w:rPr>
        <w:lastRenderedPageBreak/>
        <w:t>Stough et al., 2011)</w:t>
      </w:r>
      <w:r w:rsidRPr="005C391B">
        <w:rPr>
          <w:rFonts w:cstheme="minorHAnsi"/>
        </w:rPr>
        <w:fldChar w:fldCharType="end"/>
      </w:r>
      <w:r w:rsidRPr="005C391B">
        <w:rPr>
          <w:rFonts w:cstheme="minorHAnsi"/>
        </w:rPr>
        <w:t>. Preliminary</w:t>
      </w:r>
      <w:r w:rsidRPr="005C391B">
        <w:rPr>
          <w:rFonts w:cstheme="minorHAnsi"/>
          <w:lang w:val="en-US"/>
        </w:rPr>
        <w:t xml:space="preserve"> data analysis</w:t>
      </w:r>
      <w:r w:rsidRPr="005C391B">
        <w:rPr>
          <w:rFonts w:cstheme="minorHAnsi"/>
        </w:rPr>
        <w:t xml:space="preserve"> of th</w:t>
      </w:r>
      <w:r w:rsidR="00447AA9">
        <w:rPr>
          <w:rFonts w:cstheme="minorHAnsi"/>
        </w:rPr>
        <w:t>is trial</w:t>
      </w:r>
      <w:r w:rsidRPr="005C391B">
        <w:rPr>
          <w:rFonts w:cstheme="minorHAnsi"/>
        </w:rPr>
        <w:t xml:space="preserve"> (</w:t>
      </w:r>
      <w:r w:rsidR="00447AA9">
        <w:rPr>
          <w:rFonts w:cstheme="minorHAnsi"/>
        </w:rPr>
        <w:t xml:space="preserve">STAR trial - </w:t>
      </w:r>
      <w:r w:rsidRPr="005C391B">
        <w:rPr>
          <w:rFonts w:cstheme="minorHAnsi"/>
        </w:rPr>
        <w:t xml:space="preserve">not </w:t>
      </w:r>
      <w:r w:rsidR="00FD0D8F">
        <w:rPr>
          <w:rFonts w:cstheme="minorHAnsi"/>
        </w:rPr>
        <w:t xml:space="preserve">yet </w:t>
      </w:r>
      <w:r w:rsidRPr="005C391B">
        <w:rPr>
          <w:rFonts w:cstheme="minorHAnsi"/>
        </w:rPr>
        <w:t>published) revealed that the Lightning Stiks</w:t>
      </w:r>
      <w:r w:rsidRPr="005C391B">
        <w:rPr>
          <w:rFonts w:cstheme="minorHAnsi"/>
          <w:vertAlign w:val="superscript"/>
        </w:rPr>
        <w:t>TM</w:t>
      </w:r>
      <w:r w:rsidRPr="005C391B">
        <w:rPr>
          <w:rFonts w:cstheme="minorHAnsi"/>
        </w:rPr>
        <w:t xml:space="preserve"> reduced stress in students more rapidly relative to the placebo group, although the group difference was not statistically significant (</w:t>
      </w:r>
      <w:r w:rsidRPr="005C391B">
        <w:rPr>
          <w:rFonts w:cstheme="minorHAnsi"/>
          <w:i/>
        </w:rPr>
        <w:t xml:space="preserve">d </w:t>
      </w:r>
      <w:r w:rsidRPr="005C391B">
        <w:rPr>
          <w:rFonts w:cstheme="minorHAnsi"/>
        </w:rPr>
        <w:t xml:space="preserve">= 0.39, </w:t>
      </w:r>
      <w:r w:rsidRPr="005C391B">
        <w:rPr>
          <w:rFonts w:cstheme="minorHAnsi"/>
          <w:i/>
        </w:rPr>
        <w:t xml:space="preserve">p </w:t>
      </w:r>
      <w:r w:rsidRPr="005C391B">
        <w:rPr>
          <w:rFonts w:cstheme="minorHAnsi"/>
        </w:rPr>
        <w:t>= .108). Additionally, the multinutrient group displayed a greater beneficial impact on emotion regulation and irritability compared to the placebo group (</w:t>
      </w:r>
      <w:r w:rsidRPr="005C391B">
        <w:rPr>
          <w:rFonts w:cstheme="minorHAnsi"/>
          <w:i/>
        </w:rPr>
        <w:t xml:space="preserve">d </w:t>
      </w:r>
      <w:r w:rsidRPr="005C391B">
        <w:rPr>
          <w:rFonts w:cstheme="minorHAnsi"/>
        </w:rPr>
        <w:t xml:space="preserve">= 0.54, </w:t>
      </w:r>
      <w:r w:rsidRPr="005C391B">
        <w:rPr>
          <w:rFonts w:cstheme="minorHAnsi"/>
          <w:i/>
        </w:rPr>
        <w:t xml:space="preserve">p </w:t>
      </w:r>
      <w:r w:rsidRPr="005C391B">
        <w:rPr>
          <w:rFonts w:cstheme="minorHAnsi"/>
        </w:rPr>
        <w:t>= .024), as well as reduced symptoms of anger (</w:t>
      </w:r>
      <w:r w:rsidRPr="005C391B">
        <w:rPr>
          <w:rFonts w:cstheme="minorHAnsi"/>
          <w:i/>
        </w:rPr>
        <w:t xml:space="preserve">d </w:t>
      </w:r>
      <w:r w:rsidRPr="005C391B">
        <w:rPr>
          <w:rFonts w:cstheme="minorHAnsi"/>
        </w:rPr>
        <w:t xml:space="preserve">= 0.62, </w:t>
      </w:r>
      <w:r w:rsidRPr="005C391B">
        <w:rPr>
          <w:rFonts w:cstheme="minorHAnsi"/>
          <w:i/>
        </w:rPr>
        <w:t xml:space="preserve">d </w:t>
      </w:r>
      <w:r w:rsidRPr="005C391B">
        <w:rPr>
          <w:rFonts w:cstheme="minorHAnsi"/>
        </w:rPr>
        <w:t xml:space="preserve">= .011).  </w:t>
      </w:r>
    </w:p>
    <w:p w14:paraId="05A99C72" w14:textId="77777777" w:rsidR="00D57C6A" w:rsidRPr="005C391B" w:rsidRDefault="00D57C6A" w:rsidP="00F410C0">
      <w:pPr>
        <w:spacing w:line="360" w:lineRule="auto"/>
        <w:jc w:val="both"/>
        <w:rPr>
          <w:rFonts w:cstheme="minorHAnsi"/>
          <w:lang w:val="en-US"/>
        </w:rPr>
      </w:pPr>
      <w:r w:rsidRPr="005C391B">
        <w:rPr>
          <w:rFonts w:cstheme="minorHAnsi"/>
        </w:rPr>
        <w:t xml:space="preserve">Irritable children who struggle with emotion dysregulation, anger management, and stress coping can be found across all ages and display </w:t>
      </w:r>
      <w:r w:rsidR="00FD0D8F">
        <w:rPr>
          <w:rFonts w:cstheme="minorHAnsi"/>
        </w:rPr>
        <w:t>issues</w:t>
      </w:r>
      <w:r w:rsidRPr="005C391B">
        <w:rPr>
          <w:rFonts w:cstheme="minorHAnsi"/>
        </w:rPr>
        <w:t xml:space="preserve"> well-known to mental health practitioners and psychologists; as such, addressing the problems displayed by these children is important in future research. </w:t>
      </w:r>
      <w:r w:rsidRPr="005C391B">
        <w:rPr>
          <w:rFonts w:cstheme="minorHAnsi"/>
          <w:lang w:val="en-US"/>
        </w:rPr>
        <w:t xml:space="preserve">Anecdotal reports suggest that the effects of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are similar to the capsule version, with many users reporting feeling calmer, happier, and more focused. Additionally, and aligning with the findings of the STAR trial, </w:t>
      </w:r>
      <w:r w:rsidRPr="005C391B">
        <w:rPr>
          <w:rFonts w:cstheme="minorHAnsi"/>
        </w:rPr>
        <w:t xml:space="preserve">anecdotal reports of children in the community who have taken them suggested that the nutrients were well tolerated with reports of improvement in emotion dysregulation in some of the children, showing that the Lightning Stiks might be a suitable treatment for emotion dysregulation in children. </w:t>
      </w:r>
    </w:p>
    <w:p w14:paraId="56E366CD" w14:textId="77777777" w:rsidR="00D57C6A" w:rsidRPr="005C391B" w:rsidRDefault="00D57C6A" w:rsidP="00F410C0">
      <w:pPr>
        <w:spacing w:line="360" w:lineRule="auto"/>
        <w:jc w:val="both"/>
        <w:rPr>
          <w:rFonts w:cstheme="minorHAnsi"/>
        </w:rPr>
      </w:pPr>
      <w:r w:rsidRPr="005C391B">
        <w:rPr>
          <w:rFonts w:cstheme="minorHAnsi"/>
        </w:rPr>
        <w:t>One recent study study within Te Puna Toiora researched the impact of m</w:t>
      </w:r>
      <w:r w:rsidR="00447AA9">
        <w:rPr>
          <w:rFonts w:cstheme="minorHAnsi"/>
        </w:rPr>
        <w:t>icro</w:t>
      </w:r>
      <w:r w:rsidRPr="005C391B">
        <w:rPr>
          <w:rFonts w:cstheme="minorHAnsi"/>
        </w:rPr>
        <w:t>nutrients on children with traumatic brain injury, and for these children, taking the m</w:t>
      </w:r>
      <w:r w:rsidR="00447AA9">
        <w:rPr>
          <w:rFonts w:cstheme="minorHAnsi"/>
        </w:rPr>
        <w:t>icro</w:t>
      </w:r>
      <w:r w:rsidRPr="005C391B">
        <w:rPr>
          <w:rFonts w:cstheme="minorHAnsi"/>
        </w:rPr>
        <w:t>nutrients (as capsules or powder) was a major struggle due to the unpleasant taste and smell. In addition, children frequently struggle with swallowing numerous capsules</w:t>
      </w:r>
      <w:r w:rsidR="00FD0D8F">
        <w:rPr>
          <w:rFonts w:cstheme="minorHAnsi"/>
        </w:rPr>
        <w:t>;</w:t>
      </w:r>
      <w:r w:rsidRPr="005C391B">
        <w:rPr>
          <w:rFonts w:cstheme="minorHAnsi"/>
        </w:rPr>
        <w:t xml:space="preserve"> a study in 2008 found that 30%-40% of parents had children (aged 0-26</w:t>
      </w:r>
      <w:r w:rsidR="00FD0D8F">
        <w:rPr>
          <w:rFonts w:cstheme="minorHAnsi"/>
        </w:rPr>
        <w:t xml:space="preserve"> years</w:t>
      </w:r>
      <w:r w:rsidRPr="005C391B">
        <w:rPr>
          <w:rFonts w:cstheme="minorHAnsi"/>
        </w:rPr>
        <w:t>) who had difficulties with swallowing a standard sized pill, and more than 50% were unable to swallow it at all (Polaha et al., 2008). These findings underline that the Lightning Stiks</w:t>
      </w:r>
      <w:r w:rsidRPr="005C391B">
        <w:rPr>
          <w:rFonts w:cstheme="minorHAnsi"/>
          <w:vertAlign w:val="superscript"/>
        </w:rPr>
        <w:t>TM</w:t>
      </w:r>
      <w:r w:rsidRPr="005C391B">
        <w:rPr>
          <w:rFonts w:cstheme="minorHAnsi"/>
        </w:rPr>
        <w:t xml:space="preserve"> might be a new, more convenient way for children to take m</w:t>
      </w:r>
      <w:r w:rsidR="00447AA9">
        <w:rPr>
          <w:rFonts w:cstheme="minorHAnsi"/>
        </w:rPr>
        <w:t>icro</w:t>
      </w:r>
      <w:r w:rsidRPr="005C391B">
        <w:rPr>
          <w:rFonts w:cstheme="minorHAnsi"/>
        </w:rPr>
        <w:t>nutrients.</w:t>
      </w:r>
    </w:p>
    <w:p w14:paraId="6CEBB8D0" w14:textId="77777777" w:rsidR="00D57C6A" w:rsidRPr="005C391B" w:rsidRDefault="00D57C6A" w:rsidP="00F410C0">
      <w:pPr>
        <w:spacing w:line="360" w:lineRule="auto"/>
        <w:jc w:val="both"/>
        <w:rPr>
          <w:rFonts w:cstheme="minorHAnsi"/>
          <w:lang w:val="en-US"/>
        </w:rPr>
      </w:pPr>
      <w:r w:rsidRPr="005C391B">
        <w:rPr>
          <w:rFonts w:cstheme="minorHAnsi"/>
        </w:rPr>
        <w:t xml:space="preserve">Further, </w:t>
      </w:r>
      <w:r w:rsidR="00447AA9">
        <w:rPr>
          <w:rFonts w:cstheme="minorHAnsi"/>
        </w:rPr>
        <w:t xml:space="preserve">as mentioned, </w:t>
      </w:r>
      <w:r w:rsidRPr="005C391B">
        <w:rPr>
          <w:rFonts w:cstheme="minorHAnsi"/>
        </w:rPr>
        <w:t xml:space="preserve">safety concerns associated with the </w:t>
      </w:r>
      <w:r w:rsidR="00447AA9">
        <w:rPr>
          <w:rFonts w:cstheme="minorHAnsi"/>
        </w:rPr>
        <w:t xml:space="preserve">doses of the </w:t>
      </w:r>
      <w:r w:rsidRPr="005C391B">
        <w:rPr>
          <w:rFonts w:cstheme="minorHAnsi"/>
          <w:lang w:val="en-US"/>
        </w:rPr>
        <w:t>m</w:t>
      </w:r>
      <w:r w:rsidR="00447AA9">
        <w:rPr>
          <w:rFonts w:cstheme="minorHAnsi"/>
          <w:lang w:val="en-US"/>
        </w:rPr>
        <w:t>icro</w:t>
      </w:r>
      <w:r w:rsidRPr="005C391B">
        <w:rPr>
          <w:rFonts w:cstheme="minorHAnsi"/>
          <w:lang w:val="en-US"/>
        </w:rPr>
        <w:t>nutrient</w:t>
      </w:r>
      <w:r w:rsidR="00447AA9">
        <w:rPr>
          <w:rFonts w:cstheme="minorHAnsi"/>
          <w:lang w:val="en-US"/>
        </w:rPr>
        <w:t>s</w:t>
      </w:r>
      <w:r w:rsidRPr="005C391B">
        <w:rPr>
          <w:rFonts w:cstheme="minorHAnsi"/>
          <w:lang w:val="en-US"/>
        </w:rPr>
        <w:t xml:space="preserve"> present in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w:t>
      </w:r>
      <w:r w:rsidR="00FD0D8F">
        <w:rPr>
          <w:rFonts w:cstheme="minorHAnsi"/>
          <w:lang w:val="en-US"/>
        </w:rPr>
        <w:t xml:space="preserve">are unlikely </w:t>
      </w:r>
      <w:r w:rsidRPr="005C391B">
        <w:rPr>
          <w:rFonts w:cstheme="minorHAnsi"/>
          <w:lang w:val="en-US"/>
        </w:rPr>
        <w:t xml:space="preserve">because the nutrient doses of each ingredient are below the RDA. This </w:t>
      </w:r>
      <w:r w:rsidR="00447AA9">
        <w:rPr>
          <w:rFonts w:cstheme="minorHAnsi"/>
          <w:lang w:val="en-US"/>
        </w:rPr>
        <w:t xml:space="preserve">low risk </w:t>
      </w:r>
      <w:r w:rsidRPr="005C391B">
        <w:rPr>
          <w:rFonts w:cstheme="minorHAnsi"/>
          <w:lang w:val="en-US"/>
        </w:rPr>
        <w:t xml:space="preserve">is supported by the findings of the STAR trial (not </w:t>
      </w:r>
      <w:r w:rsidR="00E2024A">
        <w:rPr>
          <w:rFonts w:cstheme="minorHAnsi"/>
          <w:lang w:val="en-US"/>
        </w:rPr>
        <w:t xml:space="preserve">yet </w:t>
      </w:r>
      <w:r w:rsidRPr="005C391B">
        <w:rPr>
          <w:rFonts w:cstheme="minorHAnsi"/>
          <w:lang w:val="en-US"/>
        </w:rPr>
        <w:t>published), showing that only a small number of side effects were present in the study (drowsiness and reduced appetite), and these were temporary and disappeared during the duration of the trial.</w:t>
      </w:r>
      <w:r w:rsidR="00FB5447" w:rsidRPr="005C391B">
        <w:rPr>
          <w:rFonts w:cstheme="minorHAnsi"/>
          <w:lang w:val="en-US"/>
        </w:rPr>
        <w:t xml:space="preserve"> </w:t>
      </w:r>
      <w:r w:rsidRPr="005C391B">
        <w:rPr>
          <w:rFonts w:cstheme="minorHAnsi"/>
          <w:lang w:val="en-US"/>
        </w:rPr>
        <w:t xml:space="preserve">Finally, by improving emotion regulation skills, stress coping mechanisms might be improved as well, </w:t>
      </w:r>
      <w:proofErr w:type="spellStart"/>
      <w:r w:rsidRPr="005C391B">
        <w:rPr>
          <w:rFonts w:cstheme="minorHAnsi"/>
          <w:lang w:val="en-US"/>
        </w:rPr>
        <w:t>minimising</w:t>
      </w:r>
      <w:proofErr w:type="spellEnd"/>
      <w:r w:rsidRPr="005C391B">
        <w:rPr>
          <w:rFonts w:cstheme="minorHAnsi"/>
          <w:lang w:val="en-US"/>
        </w:rPr>
        <w:t xml:space="preserve"> the negative impact of stress on the individual. </w:t>
      </w:r>
    </w:p>
    <w:p w14:paraId="2A1DE472" w14:textId="77777777" w:rsidR="00B670AF" w:rsidRPr="005C391B" w:rsidRDefault="00D57C6A" w:rsidP="00F410C0">
      <w:pPr>
        <w:spacing w:line="360" w:lineRule="auto"/>
        <w:jc w:val="both"/>
        <w:rPr>
          <w:rFonts w:cstheme="minorHAnsi"/>
        </w:rPr>
      </w:pPr>
      <w:r w:rsidRPr="005C391B">
        <w:rPr>
          <w:rFonts w:cstheme="minorHAnsi"/>
        </w:rPr>
        <w:t>Overall, evidence suggests that m</w:t>
      </w:r>
      <w:r w:rsidR="00447AA9">
        <w:rPr>
          <w:rFonts w:cstheme="minorHAnsi"/>
        </w:rPr>
        <w:t>icro</w:t>
      </w:r>
      <w:r w:rsidRPr="005C391B">
        <w:rPr>
          <w:rFonts w:cstheme="minorHAnsi"/>
        </w:rPr>
        <w:t xml:space="preserve">nutrients may have a beneficial effect on emotion dysregulation, irritability, and stress. Given that emotion dysregulation in children is a common phenomenon which does not only affect the child but also the family, teachers, and social relationships, it is an issue that needs to be addressed in future research. Current treatments for emotion dysregulation show limitations in efficacy and implementation, and as such, future research needs to establish feasible and easy-to-implement interventions that can be put in place. Nutritional interventions </w:t>
      </w:r>
      <w:r w:rsidR="00447AA9">
        <w:rPr>
          <w:rFonts w:cstheme="minorHAnsi"/>
        </w:rPr>
        <w:t xml:space="preserve">present as </w:t>
      </w:r>
      <w:r w:rsidRPr="005C391B">
        <w:rPr>
          <w:rFonts w:cstheme="minorHAnsi"/>
        </w:rPr>
        <w:t xml:space="preserve"> non-invasive and have a low incidence of side effects that are usually mild and temporary. Further, because the Lightning Stiks</w:t>
      </w:r>
      <w:r w:rsidRPr="005C391B">
        <w:rPr>
          <w:rFonts w:cstheme="minorHAnsi"/>
          <w:vertAlign w:val="superscript"/>
        </w:rPr>
        <w:t>TM</w:t>
      </w:r>
      <w:r w:rsidRPr="005C391B">
        <w:rPr>
          <w:rFonts w:cstheme="minorHAnsi"/>
        </w:rPr>
        <w:t xml:space="preserve"> are available in multiple flavours and do not have the usual unpleasant taste and smell that multinutrient pills </w:t>
      </w:r>
      <w:r w:rsidRPr="005C391B">
        <w:rPr>
          <w:rFonts w:cstheme="minorHAnsi"/>
        </w:rPr>
        <w:lastRenderedPageBreak/>
        <w:t>have, they might be a convenient alternative treatment for children, representing the foundation for the proposed study.</w:t>
      </w:r>
    </w:p>
    <w:p w14:paraId="57D1BE02" w14:textId="77777777" w:rsidR="007B3084" w:rsidRPr="00D54FB2" w:rsidRDefault="007B3084" w:rsidP="00F410C0">
      <w:pPr>
        <w:pStyle w:val="Heading2"/>
        <w:spacing w:line="360" w:lineRule="auto"/>
        <w:jc w:val="both"/>
        <w:rPr>
          <w:rFonts w:asciiTheme="minorHAnsi" w:hAnsiTheme="minorHAnsi" w:cstheme="minorHAnsi"/>
        </w:rPr>
      </w:pPr>
      <w:r w:rsidRPr="00D54FB2">
        <w:rPr>
          <w:rFonts w:asciiTheme="minorHAnsi" w:hAnsiTheme="minorHAnsi" w:cstheme="minorHAnsi"/>
        </w:rPr>
        <w:t>Aims and Objectives</w:t>
      </w:r>
    </w:p>
    <w:p w14:paraId="24732F57" w14:textId="77777777" w:rsidR="006A19BE" w:rsidRPr="000F07D6" w:rsidRDefault="00246C43" w:rsidP="00F410C0">
      <w:pPr>
        <w:spacing w:line="360" w:lineRule="auto"/>
        <w:jc w:val="both"/>
        <w:rPr>
          <w:rFonts w:cstheme="minorHAnsi"/>
        </w:rPr>
      </w:pPr>
      <w:r w:rsidRPr="005C391B">
        <w:rPr>
          <w:rFonts w:cstheme="minorHAnsi"/>
        </w:rPr>
        <w:t>The proposed study aims to investigate whether the Lightning Stiks</w:t>
      </w:r>
      <w:r w:rsidRPr="000F07D6">
        <w:rPr>
          <w:rFonts w:cstheme="minorHAnsi"/>
          <w:vertAlign w:val="superscript"/>
        </w:rPr>
        <w:t>TM</w:t>
      </w:r>
      <w:r w:rsidRPr="005C391B">
        <w:rPr>
          <w:rFonts w:cstheme="minorHAnsi"/>
        </w:rPr>
        <w:t xml:space="preserve"> are an effective short- and long-term treatment for children between 5 and 10 years of age who struggle with emotion dysregulation and irritability. It will be the first independent explorative study to investigate the feasibility and effectiveness of the Lightning Stiks</w:t>
      </w:r>
      <w:r w:rsidRPr="000F07D6">
        <w:rPr>
          <w:rFonts w:cstheme="minorHAnsi"/>
          <w:vertAlign w:val="superscript"/>
        </w:rPr>
        <w:t>TM</w:t>
      </w:r>
      <w:r w:rsidRPr="005C391B">
        <w:rPr>
          <w:rFonts w:cstheme="minorHAnsi"/>
        </w:rPr>
        <w:t xml:space="preserve"> as an intervention for children with </w:t>
      </w:r>
      <w:r w:rsidR="00447AA9">
        <w:rPr>
          <w:rFonts w:cstheme="minorHAnsi"/>
        </w:rPr>
        <w:t>emotion dysregulation</w:t>
      </w:r>
      <w:r w:rsidRPr="005C391B">
        <w:rPr>
          <w:rFonts w:cstheme="minorHAnsi"/>
        </w:rPr>
        <w:t>.</w:t>
      </w:r>
    </w:p>
    <w:p w14:paraId="71EBE38F" w14:textId="77777777" w:rsidR="00246C43" w:rsidRPr="005C391B" w:rsidRDefault="00246C43" w:rsidP="00F410C0">
      <w:pPr>
        <w:spacing w:line="360" w:lineRule="auto"/>
        <w:jc w:val="both"/>
        <w:rPr>
          <w:rFonts w:cstheme="minorHAnsi"/>
          <w:b/>
        </w:rPr>
      </w:pPr>
      <w:r w:rsidRPr="005C391B">
        <w:rPr>
          <w:rFonts w:cstheme="minorHAnsi"/>
          <w:b/>
        </w:rPr>
        <w:t>Hypotheses:</w:t>
      </w:r>
    </w:p>
    <w:p w14:paraId="0185E5AE" w14:textId="77777777" w:rsidR="00246C43" w:rsidRPr="005C391B" w:rsidRDefault="00246C43" w:rsidP="00F410C0">
      <w:pPr>
        <w:spacing w:line="360" w:lineRule="auto"/>
        <w:jc w:val="both"/>
        <w:rPr>
          <w:rFonts w:cstheme="minorHAnsi"/>
        </w:rPr>
      </w:pPr>
      <w:r w:rsidRPr="005C391B">
        <w:rPr>
          <w:rFonts w:cstheme="minorHAnsi"/>
        </w:rPr>
        <w:t>1. The Lighting Stiks</w:t>
      </w:r>
      <w:r w:rsidRPr="000F07D6">
        <w:rPr>
          <w:rFonts w:cstheme="minorHAnsi"/>
          <w:vertAlign w:val="superscript"/>
        </w:rPr>
        <w:t>TM</w:t>
      </w:r>
      <w:r w:rsidRPr="005C391B">
        <w:rPr>
          <w:rFonts w:cstheme="minorHAnsi"/>
        </w:rPr>
        <w:t xml:space="preserve"> will be found to be an acceptable and effective intervention to reduce irritability, behavioural- and emotional dysregulation in 5-10</w:t>
      </w:r>
      <w:r w:rsidR="00447AA9">
        <w:rPr>
          <w:rFonts w:cstheme="minorHAnsi"/>
        </w:rPr>
        <w:t xml:space="preserve"> </w:t>
      </w:r>
      <w:r w:rsidRPr="005C391B">
        <w:rPr>
          <w:rFonts w:cstheme="minorHAnsi"/>
        </w:rPr>
        <w:t>year-old children.</w:t>
      </w:r>
    </w:p>
    <w:p w14:paraId="08C8FA17" w14:textId="77777777" w:rsidR="00246C43" w:rsidRPr="005C391B" w:rsidRDefault="00246C43" w:rsidP="00F410C0">
      <w:pPr>
        <w:spacing w:line="360" w:lineRule="auto"/>
        <w:jc w:val="both"/>
        <w:rPr>
          <w:rFonts w:cstheme="minorHAnsi"/>
        </w:rPr>
      </w:pPr>
      <w:r w:rsidRPr="005C391B">
        <w:rPr>
          <w:rFonts w:cstheme="minorHAnsi"/>
        </w:rPr>
        <w:t>2. The beneficial effect of the m</w:t>
      </w:r>
      <w:r w:rsidR="00447AA9">
        <w:rPr>
          <w:rFonts w:cstheme="minorHAnsi"/>
        </w:rPr>
        <w:t>icro</w:t>
      </w:r>
      <w:r w:rsidRPr="005C391B">
        <w:rPr>
          <w:rFonts w:cstheme="minorHAnsi"/>
        </w:rPr>
        <w:t>nutrients will be present during the phases where participants take the m</w:t>
      </w:r>
      <w:r w:rsidR="00447AA9">
        <w:rPr>
          <w:rFonts w:cstheme="minorHAnsi"/>
        </w:rPr>
        <w:t>icro</w:t>
      </w:r>
      <w:r w:rsidRPr="005C391B">
        <w:rPr>
          <w:rFonts w:cstheme="minorHAnsi"/>
        </w:rPr>
        <w:t>nutrients, and diminish during phases where the treatment is withdrawn.</w:t>
      </w:r>
    </w:p>
    <w:p w14:paraId="212EE879" w14:textId="77777777" w:rsidR="00246C43" w:rsidRPr="005C391B" w:rsidRDefault="00246C43" w:rsidP="00F410C0">
      <w:pPr>
        <w:spacing w:line="360" w:lineRule="auto"/>
        <w:jc w:val="both"/>
        <w:rPr>
          <w:rFonts w:cstheme="minorHAnsi"/>
        </w:rPr>
      </w:pPr>
      <w:r w:rsidRPr="005C391B">
        <w:rPr>
          <w:rFonts w:cstheme="minorHAnsi"/>
        </w:rPr>
        <w:t>3. There will be differences in the first month between the two groups in emotion dysregulation when group 1 will be taking the nutrients and group 2 will not</w:t>
      </w:r>
      <w:r w:rsidR="00447AA9">
        <w:rPr>
          <w:rFonts w:cstheme="minorHAnsi"/>
        </w:rPr>
        <w:t xml:space="preserve"> (see design)</w:t>
      </w:r>
      <w:r w:rsidRPr="005C391B">
        <w:rPr>
          <w:rFonts w:cstheme="minorHAnsi"/>
        </w:rPr>
        <w:t>, with group 1 showing better emotion regulation than group 2.</w:t>
      </w:r>
    </w:p>
    <w:p w14:paraId="1F993E11" w14:textId="77777777" w:rsidR="00246C43" w:rsidRPr="005C391B" w:rsidRDefault="00246C43" w:rsidP="00F410C0">
      <w:pPr>
        <w:spacing w:line="360" w:lineRule="auto"/>
        <w:jc w:val="both"/>
        <w:rPr>
          <w:rFonts w:cstheme="minorHAnsi"/>
        </w:rPr>
      </w:pPr>
      <w:r w:rsidRPr="005C391B">
        <w:rPr>
          <w:rFonts w:cstheme="minorHAnsi"/>
        </w:rPr>
        <w:t>4. There will be differences in the second month between the two groups in emotion dysregulation when group 2 will be taking the m</w:t>
      </w:r>
      <w:r w:rsidR="00447AA9">
        <w:rPr>
          <w:rFonts w:cstheme="minorHAnsi"/>
        </w:rPr>
        <w:t>icro</w:t>
      </w:r>
      <w:r w:rsidRPr="005C391B">
        <w:rPr>
          <w:rFonts w:cstheme="minorHAnsi"/>
        </w:rPr>
        <w:t>nutrients and group 1 will not, with group 2 showing better emotion regulation than group 1.</w:t>
      </w:r>
    </w:p>
    <w:p w14:paraId="54EED4AC" w14:textId="77777777" w:rsidR="00246C43" w:rsidRPr="005C391B" w:rsidRDefault="00246C43" w:rsidP="00F410C0">
      <w:pPr>
        <w:spacing w:line="360" w:lineRule="auto"/>
        <w:jc w:val="both"/>
        <w:rPr>
          <w:rFonts w:cstheme="minorHAnsi"/>
        </w:rPr>
      </w:pPr>
      <w:r w:rsidRPr="005C391B">
        <w:rPr>
          <w:rFonts w:cstheme="minorHAnsi"/>
        </w:rPr>
        <w:t>5. There will be differences in the third month between the groups in emotion dysregulation when group 1 will be taking the m</w:t>
      </w:r>
      <w:r w:rsidR="00447AA9">
        <w:rPr>
          <w:rFonts w:cstheme="minorHAnsi"/>
        </w:rPr>
        <w:t>icro</w:t>
      </w:r>
      <w:r w:rsidRPr="005C391B">
        <w:rPr>
          <w:rFonts w:cstheme="minorHAnsi"/>
        </w:rPr>
        <w:t>nutrients and group 2 will not, with group 1 representing better emotion regulation than group 2.</w:t>
      </w:r>
    </w:p>
    <w:p w14:paraId="6961BF68" w14:textId="77777777" w:rsidR="00246C43" w:rsidRPr="005C391B" w:rsidRDefault="00246C43" w:rsidP="00F410C0">
      <w:pPr>
        <w:spacing w:line="360" w:lineRule="auto"/>
        <w:jc w:val="both"/>
        <w:rPr>
          <w:rFonts w:cstheme="minorHAnsi"/>
        </w:rPr>
      </w:pPr>
      <w:r w:rsidRPr="005C391B">
        <w:rPr>
          <w:rFonts w:cstheme="minorHAnsi"/>
        </w:rPr>
        <w:t>6. During the final eight weeks of the trial, when both groups will take the nutrients simultaneously, both groups will display similar competencies in emotion regulation.</w:t>
      </w:r>
    </w:p>
    <w:p w14:paraId="65F8F71C" w14:textId="77777777" w:rsidR="00246C43" w:rsidRPr="005C391B" w:rsidRDefault="00246C43" w:rsidP="00F410C0">
      <w:pPr>
        <w:spacing w:line="360" w:lineRule="auto"/>
        <w:jc w:val="both"/>
        <w:rPr>
          <w:rFonts w:cstheme="minorHAnsi"/>
        </w:rPr>
      </w:pPr>
      <w:r w:rsidRPr="005C391B">
        <w:rPr>
          <w:rFonts w:cstheme="minorHAnsi"/>
        </w:rPr>
        <w:t>7. It is expected that the improved behaviour in children will reduce the parents’ symptoms of stress, potentially having an additional beneficial effect on the children’s behaviour.</w:t>
      </w:r>
    </w:p>
    <w:p w14:paraId="1B2CD074" w14:textId="77777777" w:rsidR="00246C43" w:rsidRPr="005C391B" w:rsidRDefault="00246C43" w:rsidP="00F410C0">
      <w:pPr>
        <w:spacing w:line="360" w:lineRule="auto"/>
        <w:jc w:val="both"/>
        <w:rPr>
          <w:rFonts w:cstheme="minorHAnsi"/>
        </w:rPr>
      </w:pPr>
      <w:r w:rsidRPr="005C391B">
        <w:rPr>
          <w:rFonts w:cstheme="minorHAnsi"/>
        </w:rPr>
        <w:t>8. The Lightning Stiks</w:t>
      </w:r>
      <w:r w:rsidRPr="000F07D6">
        <w:rPr>
          <w:rFonts w:cstheme="minorHAnsi"/>
          <w:vertAlign w:val="superscript"/>
        </w:rPr>
        <w:t>TM</w:t>
      </w:r>
      <w:r w:rsidRPr="005C391B">
        <w:rPr>
          <w:rFonts w:cstheme="minorHAnsi"/>
        </w:rPr>
        <w:t xml:space="preserve"> will be found to be a safe intervention that has a low incidence of side effects which will be mild in severity and only last temporarily, and yields high consumer satisfaction in the participants.</w:t>
      </w:r>
    </w:p>
    <w:p w14:paraId="2145BF78" w14:textId="77777777" w:rsidR="00246C43" w:rsidRPr="005C391B" w:rsidRDefault="00246C43" w:rsidP="00F410C0">
      <w:pPr>
        <w:spacing w:line="360" w:lineRule="auto"/>
        <w:jc w:val="both"/>
        <w:rPr>
          <w:rFonts w:cstheme="minorHAnsi"/>
        </w:rPr>
      </w:pPr>
      <w:r w:rsidRPr="005C391B">
        <w:rPr>
          <w:rFonts w:cstheme="minorHAnsi"/>
        </w:rPr>
        <w:t>9. The longer the participants take the Lightning Stiks</w:t>
      </w:r>
      <w:r w:rsidRPr="000F07D6">
        <w:rPr>
          <w:rFonts w:cstheme="minorHAnsi"/>
          <w:vertAlign w:val="superscript"/>
        </w:rPr>
        <w:t>TM</w:t>
      </w:r>
      <w:r w:rsidRPr="005C391B">
        <w:rPr>
          <w:rFonts w:cstheme="minorHAnsi"/>
        </w:rPr>
        <w:t xml:space="preserve"> continuously at a time, the greater the beneficial effect on emotion dysregulation.</w:t>
      </w:r>
    </w:p>
    <w:bookmarkEnd w:id="1"/>
    <w:p w14:paraId="0BCF2375" w14:textId="77777777" w:rsidR="002356C3" w:rsidRPr="00D54FB2" w:rsidRDefault="002356C3" w:rsidP="00F410C0">
      <w:pPr>
        <w:pStyle w:val="Heading1"/>
        <w:spacing w:line="360" w:lineRule="auto"/>
        <w:jc w:val="both"/>
        <w:rPr>
          <w:rFonts w:asciiTheme="minorHAnsi" w:hAnsiTheme="minorHAnsi" w:cstheme="minorHAnsi"/>
          <w:sz w:val="26"/>
          <w:szCs w:val="26"/>
        </w:rPr>
      </w:pPr>
      <w:r w:rsidRPr="00D54FB2">
        <w:rPr>
          <w:rFonts w:asciiTheme="minorHAnsi" w:hAnsiTheme="minorHAnsi" w:cstheme="minorHAnsi"/>
          <w:sz w:val="26"/>
          <w:szCs w:val="26"/>
        </w:rPr>
        <w:lastRenderedPageBreak/>
        <w:t>Method</w:t>
      </w:r>
      <w:bookmarkEnd w:id="2"/>
    </w:p>
    <w:p w14:paraId="248FF036" w14:textId="77777777" w:rsidR="002356C3" w:rsidRPr="00D54FB2" w:rsidRDefault="002356C3" w:rsidP="00F410C0">
      <w:pPr>
        <w:pStyle w:val="Heading2"/>
        <w:spacing w:line="360" w:lineRule="auto"/>
        <w:jc w:val="both"/>
        <w:rPr>
          <w:rFonts w:asciiTheme="minorHAnsi" w:hAnsiTheme="minorHAnsi" w:cstheme="minorHAnsi"/>
        </w:rPr>
      </w:pPr>
      <w:bookmarkStart w:id="3" w:name="_Toc17724175"/>
      <w:r w:rsidRPr="00D54FB2">
        <w:rPr>
          <w:rFonts w:asciiTheme="minorHAnsi" w:hAnsiTheme="minorHAnsi" w:cstheme="minorHAnsi"/>
        </w:rPr>
        <w:t>Study design</w:t>
      </w:r>
      <w:bookmarkEnd w:id="3"/>
    </w:p>
    <w:p w14:paraId="40FEFDA4" w14:textId="77777777" w:rsidR="006F3E70" w:rsidRPr="005C391B" w:rsidRDefault="006F3E70" w:rsidP="00F410C0">
      <w:pPr>
        <w:spacing w:line="360" w:lineRule="auto"/>
        <w:jc w:val="both"/>
        <w:rPr>
          <w:rFonts w:cstheme="minorHAnsi"/>
          <w:highlight w:val="yellow"/>
          <w:lang w:val="en-US"/>
        </w:rPr>
      </w:pPr>
      <w:r w:rsidRPr="005C391B">
        <w:rPr>
          <w:rFonts w:cstheme="minorHAnsi"/>
          <w:lang w:val="en-US"/>
        </w:rPr>
        <w:t xml:space="preserve">The proposed study will use a two-arm withdrawal open-label design, following the advice of </w:t>
      </w:r>
      <w:proofErr w:type="spellStart"/>
      <w:r w:rsidRPr="005C391B">
        <w:rPr>
          <w:rFonts w:cstheme="minorHAnsi"/>
          <w:lang w:val="en-US"/>
        </w:rPr>
        <w:t>Hersen</w:t>
      </w:r>
      <w:proofErr w:type="spellEnd"/>
      <w:r w:rsidRPr="005C391B">
        <w:rPr>
          <w:rFonts w:cstheme="minorHAnsi"/>
          <w:lang w:val="en-US"/>
        </w:rPr>
        <w:t xml:space="preserve"> and Barlow (1976) on how to evaluate the effect of drug interventions on </w:t>
      </w:r>
      <w:proofErr w:type="spellStart"/>
      <w:r w:rsidRPr="005C391B">
        <w:rPr>
          <w:rFonts w:cstheme="minorHAnsi"/>
          <w:lang w:val="en-US"/>
        </w:rPr>
        <w:t>behaviour</w:t>
      </w:r>
      <w:proofErr w:type="spellEnd"/>
      <w:r w:rsidRPr="005C391B">
        <w:rPr>
          <w:rFonts w:cstheme="minorHAnsi"/>
          <w:lang w:val="en-US"/>
        </w:rPr>
        <w:t xml:space="preserve"> using a single-case approach. In particular, the study will have two groups, and participants will be randomized in equal numbers to either group 1 or group 2 by means of a randomized block procedure. </w:t>
      </w:r>
    </w:p>
    <w:p w14:paraId="115554FF" w14:textId="77777777" w:rsidR="006F3E70" w:rsidRPr="005C391B" w:rsidRDefault="006F3E70" w:rsidP="00F410C0">
      <w:pPr>
        <w:spacing w:line="360" w:lineRule="auto"/>
        <w:jc w:val="both"/>
        <w:rPr>
          <w:rFonts w:cstheme="minorHAnsi"/>
          <w:lang w:val="en-US"/>
        </w:rPr>
      </w:pPr>
      <w:r w:rsidRPr="005C391B">
        <w:rPr>
          <w:rFonts w:cstheme="minorHAnsi"/>
          <w:lang w:val="en-US"/>
        </w:rPr>
        <w:t>There will be five study phases:</w:t>
      </w:r>
    </w:p>
    <w:p w14:paraId="11AA7B01" w14:textId="77777777" w:rsidR="006F3E70" w:rsidRPr="005C391B" w:rsidRDefault="006F3E70" w:rsidP="00F410C0">
      <w:pPr>
        <w:numPr>
          <w:ilvl w:val="0"/>
          <w:numId w:val="13"/>
        </w:numPr>
        <w:spacing w:before="100" w:beforeAutospacing="1" w:after="0" w:line="360" w:lineRule="auto"/>
        <w:jc w:val="both"/>
        <w:rPr>
          <w:rFonts w:cstheme="minorHAnsi"/>
          <w:lang w:val="en-US"/>
        </w:rPr>
      </w:pPr>
      <w:r w:rsidRPr="005C391B">
        <w:rPr>
          <w:rFonts w:cstheme="minorHAnsi"/>
          <w:u w:val="single"/>
          <w:lang w:val="en-US"/>
        </w:rPr>
        <w:t>Study period 1: Online screening and baseline assessment</w:t>
      </w:r>
      <w:r w:rsidRPr="005C391B">
        <w:rPr>
          <w:rFonts w:cstheme="minorHAnsi"/>
          <w:lang w:val="en-US"/>
        </w:rPr>
        <w:t xml:space="preserve">: Participant children will be screened for eligibility (see below) by providing information regarding their demographics as well as </w:t>
      </w:r>
      <w:r w:rsidR="00566B2B">
        <w:rPr>
          <w:rFonts w:cstheme="minorHAnsi"/>
          <w:lang w:val="en-US"/>
        </w:rPr>
        <w:t>completing</w:t>
      </w:r>
      <w:r w:rsidR="00566B2B" w:rsidRPr="005C391B">
        <w:rPr>
          <w:rFonts w:cstheme="minorHAnsi"/>
          <w:lang w:val="en-US"/>
        </w:rPr>
        <w:t xml:space="preserve"> </w:t>
      </w:r>
      <w:r w:rsidRPr="005C391B">
        <w:rPr>
          <w:rFonts w:cstheme="minorHAnsi"/>
          <w:lang w:val="en-US"/>
        </w:rPr>
        <w:t xml:space="preserve">measures assessing emotion dysregulation and irritability. </w:t>
      </w:r>
      <w:r w:rsidR="00566B2B">
        <w:rPr>
          <w:rFonts w:cstheme="minorHAnsi"/>
          <w:lang w:val="en-US"/>
        </w:rPr>
        <w:t xml:space="preserve">If </w:t>
      </w:r>
      <w:r w:rsidRPr="005C391B">
        <w:rPr>
          <w:rFonts w:cstheme="minorHAnsi"/>
          <w:lang w:val="en-US"/>
        </w:rPr>
        <w:t xml:space="preserve">they are eligible, they and their parent(s) will meet with the study coordinator </w:t>
      </w:r>
      <w:proofErr w:type="spellStart"/>
      <w:r w:rsidRPr="005C391B">
        <w:rPr>
          <w:rFonts w:cstheme="minorHAnsi"/>
          <w:lang w:val="en-US"/>
        </w:rPr>
        <w:t>Nurina</w:t>
      </w:r>
      <w:proofErr w:type="spellEnd"/>
      <w:r w:rsidRPr="005C391B">
        <w:rPr>
          <w:rFonts w:cstheme="minorHAnsi"/>
          <w:lang w:val="en-US"/>
        </w:rPr>
        <w:t xml:space="preserve"> Katta at </w:t>
      </w:r>
      <w:proofErr w:type="spellStart"/>
      <w:r w:rsidRPr="005C391B">
        <w:rPr>
          <w:rFonts w:cstheme="minorHAnsi"/>
          <w:lang w:val="en-US"/>
        </w:rPr>
        <w:t>Te</w:t>
      </w:r>
      <w:proofErr w:type="spellEnd"/>
      <w:r w:rsidRPr="005C391B">
        <w:rPr>
          <w:rFonts w:cstheme="minorHAnsi"/>
          <w:lang w:val="en-US"/>
        </w:rPr>
        <w:t xml:space="preserve"> Puna </w:t>
      </w:r>
      <w:proofErr w:type="spellStart"/>
      <w:r w:rsidRPr="005C391B">
        <w:rPr>
          <w:rFonts w:cstheme="minorHAnsi"/>
          <w:lang w:val="en-US"/>
        </w:rPr>
        <w:t>Toiora</w:t>
      </w:r>
      <w:proofErr w:type="spellEnd"/>
      <w:r w:rsidRPr="005C391B">
        <w:rPr>
          <w:rFonts w:cstheme="minorHAnsi"/>
          <w:lang w:val="en-US"/>
        </w:rPr>
        <w:t xml:space="preserve"> during the week before the intervention period starts. During that meeting, eligibility will be checked, questions about the research answered, consent obtained, and the participant will complete a baseline assessment. In case the participants cannot be met in person (e.g., due to COVID-19 or because they live outside of Christchurch), meetings will be held and consent conducted over the phone or online (via Skype/Facetime/</w:t>
      </w:r>
      <w:proofErr w:type="spellStart"/>
      <w:r w:rsidRPr="005C391B">
        <w:rPr>
          <w:rFonts w:cstheme="minorHAnsi"/>
          <w:lang w:val="en-US"/>
        </w:rPr>
        <w:t>Whatsapp</w:t>
      </w:r>
      <w:proofErr w:type="spellEnd"/>
      <w:r w:rsidRPr="005C391B">
        <w:rPr>
          <w:rFonts w:cstheme="minorHAnsi"/>
          <w:lang w:val="en-US"/>
        </w:rPr>
        <w:t xml:space="preserve">/Zoom). Consent forms can be uploaded and emailed/mailed back to </w:t>
      </w:r>
      <w:proofErr w:type="spellStart"/>
      <w:r w:rsidRPr="005C391B">
        <w:rPr>
          <w:rFonts w:cstheme="minorHAnsi"/>
          <w:lang w:val="en-US"/>
        </w:rPr>
        <w:t>Te</w:t>
      </w:r>
      <w:proofErr w:type="spellEnd"/>
      <w:r w:rsidRPr="005C391B">
        <w:rPr>
          <w:rFonts w:cstheme="minorHAnsi"/>
          <w:lang w:val="en-US"/>
        </w:rPr>
        <w:t xml:space="preserve"> Puna </w:t>
      </w:r>
      <w:proofErr w:type="spellStart"/>
      <w:r w:rsidRPr="005C391B">
        <w:rPr>
          <w:rFonts w:cstheme="minorHAnsi"/>
          <w:lang w:val="en-US"/>
        </w:rPr>
        <w:t>Toiora</w:t>
      </w:r>
      <w:proofErr w:type="spellEnd"/>
      <w:r w:rsidRPr="005C391B">
        <w:rPr>
          <w:rFonts w:cstheme="minorHAnsi"/>
          <w:lang w:val="en-US"/>
        </w:rPr>
        <w:t xml:space="preserve">. Once consent is given, baseline data will be collected by means of an online survey (Qualtrics) including various psychometric measures (see below). Participants in group 1 will be given one month’s supply of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immediately after the baseline assessment. If participants cannot be seen face-to-face,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will be delivered by courier. Those </w:t>
      </w:r>
      <w:proofErr w:type="spellStart"/>
      <w:r w:rsidRPr="005C391B">
        <w:rPr>
          <w:rFonts w:cstheme="minorHAnsi"/>
          <w:lang w:val="en-US"/>
        </w:rPr>
        <w:t>randomised</w:t>
      </w:r>
      <w:proofErr w:type="spellEnd"/>
      <w:r w:rsidRPr="005C391B">
        <w:rPr>
          <w:rFonts w:cstheme="minorHAnsi"/>
          <w:lang w:val="en-US"/>
        </w:rPr>
        <w:t xml:space="preserve"> to group 2 will have a delayed 4 week start (see Figure 1)</w:t>
      </w:r>
    </w:p>
    <w:p w14:paraId="543D89F6" w14:textId="77777777" w:rsidR="006F3E70" w:rsidRPr="005C391B" w:rsidRDefault="006F3E70" w:rsidP="00F410C0">
      <w:pPr>
        <w:numPr>
          <w:ilvl w:val="0"/>
          <w:numId w:val="13"/>
        </w:numPr>
        <w:spacing w:after="0" w:line="360" w:lineRule="auto"/>
        <w:jc w:val="both"/>
        <w:rPr>
          <w:rFonts w:cstheme="minorHAnsi"/>
          <w:lang w:val="en-US"/>
        </w:rPr>
      </w:pPr>
      <w:r w:rsidRPr="005C391B">
        <w:rPr>
          <w:rFonts w:cstheme="minorHAnsi"/>
          <w:u w:val="single"/>
          <w:lang w:val="en-US"/>
        </w:rPr>
        <w:t>Study period 2</w:t>
      </w:r>
      <w:r w:rsidRPr="005C391B">
        <w:rPr>
          <w:rFonts w:cstheme="minorHAnsi"/>
          <w:lang w:val="en-US"/>
        </w:rPr>
        <w:t>: Group 1 will start taking the intervention for 4 weeks (ON-phase). Every two weeks, the parents will fill out various psychometric questionnaires assessing their children’s emotion dysregulation and irritability (see measures below), other symptoms linked to ADHD, sleep, diet, mood, anxiety and stress. Group 2 will be in a delayed baseline phase during study period 1, but will be monitored by answering the same psychometric questionnaires as group 1 every two weeks.</w:t>
      </w:r>
    </w:p>
    <w:p w14:paraId="57E28FD6" w14:textId="77777777" w:rsidR="006F3E70" w:rsidRPr="005C391B" w:rsidRDefault="006F3E70" w:rsidP="00F410C0">
      <w:pPr>
        <w:numPr>
          <w:ilvl w:val="0"/>
          <w:numId w:val="13"/>
        </w:numPr>
        <w:spacing w:after="0" w:line="360" w:lineRule="auto"/>
        <w:jc w:val="both"/>
        <w:rPr>
          <w:rFonts w:cstheme="minorHAnsi"/>
          <w:lang w:val="en-US"/>
        </w:rPr>
      </w:pPr>
      <w:r w:rsidRPr="005C391B">
        <w:rPr>
          <w:rFonts w:cstheme="minorHAnsi"/>
          <w:u w:val="single"/>
          <w:lang w:val="en-US"/>
        </w:rPr>
        <w:t>Study period 3</w:t>
      </w:r>
      <w:r w:rsidRPr="005C391B">
        <w:rPr>
          <w:rFonts w:cstheme="minorHAnsi"/>
          <w:lang w:val="en-US"/>
        </w:rPr>
        <w:t xml:space="preserve">: The intervention in group 1 will be withdrawn for four weeks (OFF-phase), whereas group 2 starts taking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(ON-phase). Both groups answer the same questionnaires as before every two weeks.</w:t>
      </w:r>
    </w:p>
    <w:p w14:paraId="29B4ED0B" w14:textId="77777777" w:rsidR="006F3E70" w:rsidRPr="005C391B" w:rsidRDefault="006F3E70" w:rsidP="00F410C0">
      <w:pPr>
        <w:numPr>
          <w:ilvl w:val="0"/>
          <w:numId w:val="13"/>
        </w:numPr>
        <w:spacing w:after="0" w:line="360" w:lineRule="auto"/>
        <w:jc w:val="both"/>
        <w:rPr>
          <w:rFonts w:cstheme="minorHAnsi"/>
          <w:lang w:val="en-US"/>
        </w:rPr>
      </w:pPr>
      <w:r w:rsidRPr="005C391B">
        <w:rPr>
          <w:rFonts w:cstheme="minorHAnsi"/>
          <w:u w:val="single"/>
          <w:lang w:val="en-US"/>
        </w:rPr>
        <w:t>Study period 4</w:t>
      </w:r>
      <w:r w:rsidRPr="005C391B">
        <w:rPr>
          <w:rFonts w:cstheme="minorHAnsi"/>
          <w:lang w:val="en-US"/>
        </w:rPr>
        <w:t>: Group 2 stops taking the interventions (OFF-phase) whereas group 1 starts taking them for another 12 weeks (ON-phase). Both groups answer the same questionnaires as before every two weeks.</w:t>
      </w:r>
    </w:p>
    <w:p w14:paraId="069D4816" w14:textId="679F3C42" w:rsidR="006D7395" w:rsidRPr="006D7395" w:rsidRDefault="006F3E70" w:rsidP="00F410C0">
      <w:pPr>
        <w:numPr>
          <w:ilvl w:val="0"/>
          <w:numId w:val="13"/>
        </w:numPr>
        <w:spacing w:after="0" w:line="360" w:lineRule="auto"/>
        <w:jc w:val="both"/>
        <w:rPr>
          <w:rFonts w:cstheme="minorHAnsi"/>
          <w:lang w:val="en-US"/>
        </w:rPr>
      </w:pPr>
      <w:r w:rsidRPr="005C391B">
        <w:rPr>
          <w:rFonts w:cstheme="minorHAnsi"/>
          <w:u w:val="single"/>
          <w:lang w:val="en-US"/>
        </w:rPr>
        <w:lastRenderedPageBreak/>
        <w:t>Study period 5</w:t>
      </w:r>
      <w:r w:rsidRPr="005C391B">
        <w:rPr>
          <w:rFonts w:cstheme="minorHAnsi"/>
          <w:lang w:val="en-US"/>
        </w:rPr>
        <w:t xml:space="preserve">: When Group 1 has been taking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vertAlign w:val="superscript"/>
          <w:lang w:val="en-US"/>
        </w:rPr>
        <w:t xml:space="preserve"> </w:t>
      </w:r>
      <w:r w:rsidRPr="005C391B">
        <w:rPr>
          <w:rFonts w:cstheme="minorHAnsi"/>
          <w:lang w:val="en-US"/>
        </w:rPr>
        <w:t xml:space="preserve">for four weeks, Group 2 starts taking the </w:t>
      </w:r>
      <w:proofErr w:type="spellStart"/>
      <w:r w:rsidRPr="005C391B">
        <w:rPr>
          <w:rFonts w:cstheme="minorHAnsi"/>
          <w:lang w:val="en-US"/>
        </w:rPr>
        <w:t>multinutrient</w:t>
      </w:r>
      <w:proofErr w:type="spellEnd"/>
      <w:r w:rsidRPr="005C391B">
        <w:rPr>
          <w:rFonts w:cstheme="minorHAnsi"/>
          <w:lang w:val="en-US"/>
        </w:rPr>
        <w:t xml:space="preserve"> intervention for another 12 weeks and will answer questionnaires every two weeks</w:t>
      </w:r>
      <w:r w:rsidR="006D7395">
        <w:rPr>
          <w:rFonts w:cstheme="minorHAnsi"/>
          <w:lang w:val="en-US"/>
        </w:rPr>
        <w:t>.</w:t>
      </w:r>
    </w:p>
    <w:p w14:paraId="3D6CBFBF" w14:textId="6B845B15" w:rsidR="006D7395" w:rsidRDefault="006D7395" w:rsidP="00F410C0">
      <w:pPr>
        <w:pStyle w:val="Heading4"/>
        <w:spacing w:line="360" w:lineRule="auto"/>
        <w:jc w:val="both"/>
        <w:rPr>
          <w:rFonts w:asciiTheme="minorHAnsi" w:hAnsiTheme="minorHAnsi" w:cstheme="minorHAnsi"/>
          <w:i w:val="0"/>
          <w:color w:val="auto"/>
          <w:szCs w:val="26"/>
        </w:rPr>
      </w:pPr>
      <w:r w:rsidRPr="006D7395">
        <w:rPr>
          <w:rFonts w:asciiTheme="minorHAnsi" w:hAnsiTheme="minorHAnsi" w:cstheme="minorHAnsi"/>
          <w:i w:val="0"/>
          <w:color w:val="auto"/>
          <w:szCs w:val="26"/>
        </w:rPr>
        <w:t xml:space="preserve">Every </w:t>
      </w:r>
      <w:r>
        <w:rPr>
          <w:rFonts w:asciiTheme="minorHAnsi" w:hAnsiTheme="minorHAnsi" w:cstheme="minorHAnsi"/>
          <w:i w:val="0"/>
          <w:color w:val="auto"/>
          <w:szCs w:val="26"/>
        </w:rPr>
        <w:t>four</w:t>
      </w:r>
      <w:r w:rsidRPr="006D7395">
        <w:rPr>
          <w:rFonts w:asciiTheme="minorHAnsi" w:hAnsiTheme="minorHAnsi" w:cstheme="minorHAnsi"/>
          <w:i w:val="0"/>
          <w:color w:val="auto"/>
          <w:szCs w:val="26"/>
        </w:rPr>
        <w:t xml:space="preserve"> weeks, </w:t>
      </w:r>
      <w:r>
        <w:rPr>
          <w:rFonts w:asciiTheme="minorHAnsi" w:hAnsiTheme="minorHAnsi" w:cstheme="minorHAnsi"/>
          <w:i w:val="0"/>
          <w:color w:val="auto"/>
          <w:szCs w:val="26"/>
        </w:rPr>
        <w:t xml:space="preserve">participants will meet with the study coordinator to collect some data in person regarding emotion </w:t>
      </w:r>
      <w:r w:rsidR="003421E4">
        <w:rPr>
          <w:rFonts w:asciiTheme="minorHAnsi" w:hAnsiTheme="minorHAnsi" w:cstheme="minorHAnsi"/>
          <w:i w:val="0"/>
          <w:color w:val="auto"/>
          <w:szCs w:val="26"/>
        </w:rPr>
        <w:t xml:space="preserve">dysregulation, irritability </w:t>
      </w:r>
      <w:r>
        <w:rPr>
          <w:rFonts w:asciiTheme="minorHAnsi" w:hAnsiTheme="minorHAnsi" w:cstheme="minorHAnsi"/>
          <w:i w:val="0"/>
          <w:color w:val="auto"/>
          <w:szCs w:val="26"/>
        </w:rPr>
        <w:t>side effects,</w:t>
      </w:r>
      <w:r w:rsidR="003421E4">
        <w:rPr>
          <w:rFonts w:asciiTheme="minorHAnsi" w:hAnsiTheme="minorHAnsi" w:cstheme="minorHAnsi"/>
          <w:i w:val="0"/>
          <w:color w:val="auto"/>
          <w:szCs w:val="26"/>
        </w:rPr>
        <w:t xml:space="preserve"> and</w:t>
      </w:r>
      <w:r>
        <w:rPr>
          <w:rFonts w:asciiTheme="minorHAnsi" w:hAnsiTheme="minorHAnsi" w:cstheme="minorHAnsi"/>
          <w:i w:val="0"/>
          <w:color w:val="auto"/>
          <w:szCs w:val="26"/>
        </w:rPr>
        <w:t xml:space="preserve"> stress</w:t>
      </w:r>
      <w:r w:rsidR="003421E4">
        <w:rPr>
          <w:rFonts w:asciiTheme="minorHAnsi" w:hAnsiTheme="minorHAnsi" w:cstheme="minorHAnsi"/>
          <w:i w:val="0"/>
          <w:color w:val="auto"/>
          <w:szCs w:val="26"/>
        </w:rPr>
        <w:t>, where parents and children will answer one questionnaire (the MYMOP) jointly</w:t>
      </w:r>
      <w:r>
        <w:rPr>
          <w:rFonts w:asciiTheme="minorHAnsi" w:hAnsiTheme="minorHAnsi" w:cstheme="minorHAnsi"/>
          <w:i w:val="0"/>
          <w:color w:val="auto"/>
          <w:szCs w:val="26"/>
        </w:rPr>
        <w:t>. If the participants cannot be met in person, the meeting will take place via Zoom. In addition, one questionnaire will be sent to another significant adult in the child</w:t>
      </w:r>
      <w:r>
        <w:rPr>
          <w:rFonts w:asciiTheme="minorHAnsi" w:hAnsiTheme="minorHAnsi" w:cstheme="minorHAnsi" w:hint="eastAsia"/>
          <w:i w:val="0"/>
          <w:color w:val="auto"/>
          <w:szCs w:val="26"/>
        </w:rPr>
        <w:t>’</w:t>
      </w:r>
      <w:r>
        <w:rPr>
          <w:rFonts w:asciiTheme="minorHAnsi" w:hAnsiTheme="minorHAnsi" w:cstheme="minorHAnsi"/>
          <w:i w:val="0"/>
          <w:color w:val="auto"/>
          <w:szCs w:val="26"/>
        </w:rPr>
        <w:t xml:space="preserve">s life, for example anties/uncles, grandparents, or teachers. </w:t>
      </w:r>
    </w:p>
    <w:p w14:paraId="72261F25" w14:textId="77777777" w:rsidR="006D7395" w:rsidRPr="006D7395" w:rsidRDefault="006D7395" w:rsidP="006D7395"/>
    <w:p w14:paraId="3A6C25C3" w14:textId="77777777" w:rsidR="00F55857" w:rsidRPr="00D54FB2" w:rsidRDefault="003E34C9" w:rsidP="00F410C0">
      <w:pPr>
        <w:pStyle w:val="Heading4"/>
        <w:spacing w:line="360" w:lineRule="auto"/>
        <w:jc w:val="both"/>
        <w:rPr>
          <w:rFonts w:asciiTheme="minorHAnsi" w:hAnsiTheme="minorHAnsi" w:cstheme="minorHAnsi"/>
          <w:b/>
          <w:i w:val="0"/>
          <w:sz w:val="26"/>
          <w:szCs w:val="26"/>
        </w:rPr>
      </w:pPr>
      <w:r w:rsidRPr="00D54FB2">
        <w:rPr>
          <w:rFonts w:asciiTheme="minorHAnsi" w:hAnsiTheme="minorHAnsi" w:cstheme="minorHAnsi"/>
          <w:b/>
          <w:i w:val="0"/>
          <w:sz w:val="26"/>
          <w:szCs w:val="26"/>
        </w:rPr>
        <w:t>Participant recruitment</w:t>
      </w:r>
    </w:p>
    <w:p w14:paraId="61F173A4" w14:textId="77777777" w:rsidR="006F3E70" w:rsidRPr="005C391B" w:rsidRDefault="006F3E70" w:rsidP="00F410C0">
      <w:pPr>
        <w:spacing w:line="360" w:lineRule="auto"/>
        <w:jc w:val="both"/>
        <w:rPr>
          <w:rFonts w:cstheme="minorHAnsi"/>
          <w:lang w:val="en-US"/>
        </w:rPr>
      </w:pPr>
      <w:r w:rsidRPr="005C391B">
        <w:rPr>
          <w:rFonts w:cstheme="minorHAnsi"/>
        </w:rPr>
        <w:t xml:space="preserve">Participants will be recruited nationally across New Zealand, mainly by self-referrals following online advertisement on social media. Specifically, recruitment will take place through advertisement on Facebook (via the Mental Health and Nutrition Research Lab Te Puna Toiora account, the University of Canterbury Student Association (USCA) noticeboard), and Instagram (via the Te Puna Toiora account). </w:t>
      </w:r>
      <w:r w:rsidRPr="005C391B">
        <w:rPr>
          <w:rFonts w:cstheme="minorHAnsi"/>
          <w:lang w:val="en-US"/>
        </w:rPr>
        <w:t xml:space="preserve">Further, advertisement posters </w:t>
      </w:r>
      <w:r w:rsidRPr="005C391B">
        <w:rPr>
          <w:rFonts w:cstheme="minorHAnsi"/>
          <w:bCs/>
          <w:iCs/>
          <w:lang w:val="en-US"/>
        </w:rPr>
        <w:t>and brochures will be distributed around the UC campus</w:t>
      </w:r>
      <w:r w:rsidR="00566B2B">
        <w:rPr>
          <w:rFonts w:cstheme="minorHAnsi"/>
          <w:bCs/>
          <w:iCs/>
          <w:lang w:val="en-US"/>
        </w:rPr>
        <w:t xml:space="preserve">, with </w:t>
      </w:r>
      <w:r w:rsidRPr="005C391B">
        <w:rPr>
          <w:rFonts w:cstheme="minorHAnsi"/>
          <w:bCs/>
          <w:iCs/>
          <w:lang w:val="en-US"/>
        </w:rPr>
        <w:t>local General Practitioners and mental health service providers.</w:t>
      </w:r>
      <w:r w:rsidRPr="005C391B">
        <w:rPr>
          <w:rFonts w:cstheme="minorHAnsi"/>
          <w:lang w:val="en-US"/>
        </w:rPr>
        <w:t xml:space="preserve"> To increase Māori participation in the study, efforts will be made to engage with Māori service providers. </w:t>
      </w:r>
    </w:p>
    <w:p w14:paraId="06EE5790" w14:textId="24916CCF" w:rsidR="006F3E70" w:rsidRPr="005C391B" w:rsidRDefault="006F3E70" w:rsidP="00F410C0">
      <w:pPr>
        <w:spacing w:line="360" w:lineRule="auto"/>
        <w:jc w:val="both"/>
        <w:rPr>
          <w:rFonts w:cstheme="minorHAnsi"/>
          <w:i/>
          <w:lang w:val="en-US"/>
        </w:rPr>
      </w:pPr>
      <w:r w:rsidRPr="005C391B">
        <w:rPr>
          <w:rFonts w:cstheme="minorHAnsi"/>
          <w:i/>
          <w:lang w:val="en-US"/>
        </w:rPr>
        <w:t>Sample size</w:t>
      </w:r>
    </w:p>
    <w:p w14:paraId="00A1E1E5" w14:textId="77777777" w:rsidR="00953442" w:rsidRPr="005C391B" w:rsidRDefault="006F3E70" w:rsidP="00F410C0">
      <w:pPr>
        <w:spacing w:line="360" w:lineRule="auto"/>
        <w:jc w:val="both"/>
        <w:rPr>
          <w:rFonts w:cstheme="minorHAnsi"/>
          <w:i/>
          <w:lang w:val="en-US"/>
        </w:rPr>
      </w:pPr>
      <w:r w:rsidRPr="005C391B">
        <w:rPr>
          <w:rFonts w:cstheme="minorHAnsi"/>
        </w:rPr>
        <w:t>Forty participants will be sought for the study, split 20:20 between group 1 and 2 (see below). This number of participants is considered a sufficient sample size to determine whether the Lightning Stiks</w:t>
      </w:r>
      <w:r w:rsidRPr="005C391B">
        <w:rPr>
          <w:rFonts w:cstheme="minorHAnsi"/>
          <w:vertAlign w:val="superscript"/>
        </w:rPr>
        <w:t>TM</w:t>
      </w:r>
      <w:r w:rsidRPr="005C391B">
        <w:rPr>
          <w:rFonts w:cstheme="minorHAnsi"/>
        </w:rPr>
        <w:t xml:space="preserve"> are successful in reducing emotion dysregulation with sufficient power. This is a reasonable expectation as it allows for an adequate number of successful replications between participants, following the What Works Clearinghouse Standards for single-case designs (Handbook, n.d.).</w:t>
      </w:r>
    </w:p>
    <w:p w14:paraId="5D63B29B" w14:textId="77777777" w:rsidR="003E34C9" w:rsidRPr="00D54FB2" w:rsidRDefault="003E34C9" w:rsidP="00F410C0">
      <w:pPr>
        <w:pStyle w:val="Heading4"/>
        <w:spacing w:line="360" w:lineRule="auto"/>
        <w:jc w:val="both"/>
        <w:rPr>
          <w:rFonts w:asciiTheme="minorHAnsi" w:hAnsiTheme="minorHAnsi" w:cstheme="minorHAnsi"/>
          <w:sz w:val="24"/>
        </w:rPr>
      </w:pPr>
      <w:r w:rsidRPr="00D54FB2">
        <w:rPr>
          <w:rFonts w:asciiTheme="minorHAnsi" w:hAnsiTheme="minorHAnsi" w:cstheme="minorHAnsi"/>
          <w:i w:val="0"/>
          <w:sz w:val="24"/>
        </w:rPr>
        <w:t>Inclusion Criteria</w:t>
      </w:r>
      <w:r w:rsidRPr="00D54FB2">
        <w:rPr>
          <w:rFonts w:asciiTheme="minorHAnsi" w:hAnsiTheme="minorHAnsi" w:cstheme="minorHAnsi"/>
          <w:sz w:val="24"/>
        </w:rPr>
        <w:t xml:space="preserve">: </w:t>
      </w:r>
    </w:p>
    <w:p w14:paraId="54C7C8CA" w14:textId="77777777" w:rsidR="00507FA5" w:rsidRPr="005C391B" w:rsidRDefault="00507FA5" w:rsidP="00F410C0">
      <w:pPr>
        <w:spacing w:line="360" w:lineRule="auto"/>
        <w:jc w:val="both"/>
        <w:rPr>
          <w:rFonts w:cstheme="minorHAnsi"/>
        </w:rPr>
      </w:pPr>
      <w:r w:rsidRPr="005C391B">
        <w:rPr>
          <w:rFonts w:cstheme="minorHAnsi"/>
        </w:rPr>
        <w:t>1) Participants must be between 5 and 10 years of age, 2) able to ingest 1 Lightning Stik</w:t>
      </w:r>
      <w:r w:rsidRPr="000F07D6">
        <w:rPr>
          <w:rFonts w:cstheme="minorHAnsi"/>
          <w:vertAlign w:val="superscript"/>
        </w:rPr>
        <w:t>TM</w:t>
      </w:r>
      <w:r w:rsidRPr="005C391B">
        <w:rPr>
          <w:rFonts w:cstheme="minorHAnsi"/>
        </w:rPr>
        <w:t>/day), 3) the children’s parents need to have English language competence sufficient to understand study materials to answer questionnaires, 4) the children need to have English language competence sufficient to understand and answer the questions asked in the child-related measure, 5) participants need to have at least mild-to-moderate levels of emotional dysregulation and irritability following the Affective-Reactivity-Index (ARI), represented by a total score of 3 or higher.</w:t>
      </w:r>
    </w:p>
    <w:p w14:paraId="0F6EC294" w14:textId="77777777" w:rsidR="003E34C9" w:rsidRPr="00D54FB2" w:rsidRDefault="003E34C9" w:rsidP="00F410C0">
      <w:pPr>
        <w:pStyle w:val="Heading4"/>
        <w:spacing w:line="360" w:lineRule="auto"/>
        <w:jc w:val="both"/>
        <w:rPr>
          <w:rFonts w:asciiTheme="minorHAnsi" w:hAnsiTheme="minorHAnsi" w:cstheme="minorHAnsi"/>
          <w:sz w:val="24"/>
        </w:rPr>
      </w:pPr>
      <w:r w:rsidRPr="00D54FB2">
        <w:rPr>
          <w:rFonts w:asciiTheme="minorHAnsi" w:hAnsiTheme="minorHAnsi" w:cstheme="minorHAnsi"/>
          <w:i w:val="0"/>
          <w:sz w:val="24"/>
        </w:rPr>
        <w:lastRenderedPageBreak/>
        <w:t>Exclusion criteria:</w:t>
      </w:r>
      <w:r w:rsidRPr="00D54FB2">
        <w:rPr>
          <w:rFonts w:asciiTheme="minorHAnsi" w:hAnsiTheme="minorHAnsi" w:cstheme="minorHAnsi"/>
          <w:sz w:val="24"/>
        </w:rPr>
        <w:t xml:space="preserve"> </w:t>
      </w:r>
    </w:p>
    <w:p w14:paraId="272B6F66" w14:textId="77777777" w:rsidR="00507FA5" w:rsidRPr="005C391B" w:rsidRDefault="00507FA5" w:rsidP="00F410C0">
      <w:pPr>
        <w:spacing w:line="360" w:lineRule="auto"/>
        <w:jc w:val="both"/>
        <w:rPr>
          <w:rFonts w:cstheme="minorHAnsi"/>
          <w:lang w:val="en-US"/>
        </w:rPr>
      </w:pPr>
      <w:r w:rsidRPr="005C391B">
        <w:rPr>
          <w:rFonts w:cstheme="minorHAnsi"/>
          <w:lang w:val="en-US"/>
        </w:rPr>
        <w:t xml:space="preserve">1) Taking psychotropic medications (e.g., Ritalin) in the prior 4 weeks before for the trial period. 2) presence of any serious medical or psychiatric condition that might require hospitalization, 3) any known allergies to the ingredients of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w:t>
      </w:r>
    </w:p>
    <w:p w14:paraId="485D6868" w14:textId="77777777" w:rsidR="00220798" w:rsidRPr="00D54FB2" w:rsidRDefault="005056D4" w:rsidP="00F410C0">
      <w:pPr>
        <w:pStyle w:val="Heading4"/>
        <w:spacing w:line="360" w:lineRule="auto"/>
        <w:jc w:val="both"/>
        <w:rPr>
          <w:rFonts w:asciiTheme="minorHAnsi" w:hAnsiTheme="minorHAnsi" w:cstheme="minorHAnsi"/>
          <w:i w:val="0"/>
          <w:sz w:val="24"/>
        </w:rPr>
      </w:pPr>
      <w:r w:rsidRPr="00D54FB2">
        <w:rPr>
          <w:rFonts w:asciiTheme="minorHAnsi" w:hAnsiTheme="minorHAnsi" w:cstheme="minorHAnsi"/>
          <w:i w:val="0"/>
          <w:sz w:val="24"/>
        </w:rPr>
        <w:t>Product and d</w:t>
      </w:r>
      <w:r w:rsidR="00220798" w:rsidRPr="00D54FB2">
        <w:rPr>
          <w:rFonts w:asciiTheme="minorHAnsi" w:hAnsiTheme="minorHAnsi" w:cstheme="minorHAnsi"/>
          <w:i w:val="0"/>
          <w:sz w:val="24"/>
        </w:rPr>
        <w:t xml:space="preserve">osing: </w:t>
      </w:r>
    </w:p>
    <w:p w14:paraId="427B3B24" w14:textId="77777777" w:rsidR="00B24CC1" w:rsidRPr="005C391B" w:rsidRDefault="00B24CC1" w:rsidP="00F410C0">
      <w:pPr>
        <w:spacing w:line="360" w:lineRule="auto"/>
        <w:jc w:val="both"/>
        <w:rPr>
          <w:rFonts w:cstheme="minorHAnsi"/>
          <w:lang w:val="en-US"/>
        </w:rPr>
      </w:pPr>
      <w:r w:rsidRPr="005C391B">
        <w:rPr>
          <w:rFonts w:cstheme="minorHAnsi"/>
          <w:lang w:val="en-US"/>
        </w:rPr>
        <w:t xml:space="preserve">The product being tested is called EMP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vertAlign w:val="superscript"/>
          <w:lang w:val="en-US"/>
        </w:rPr>
        <w:t xml:space="preserve"> </w:t>
      </w:r>
      <w:r w:rsidRPr="005C391B">
        <w:rPr>
          <w:rFonts w:cstheme="minorHAnsi"/>
          <w:lang w:val="en-US"/>
        </w:rPr>
        <w:t xml:space="preserve">which come as powdered straws that use Direct-to-Mouth technology, which means all the participants have to do is put the powder directly in their mouth and let it dissolve (rather than swallowing it).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consist of a blend of 36 ingredients, including vitamins, minerals and amino acids. The advantage of this mode of delivery is that the doses of the ingredients are much lower than those found in capsules and well below the RDA - as such, no ingredient is given in a medicinal dose. Because the doses are all below RDA, safety concerns for any of the proposed ingredients are unlikely. Further, all doses are well below the Tolerable Upper Intake Limit (UL), which is considered the highest amount of daily nutrient intake that is not likely to cause any adverse effects (Nutritional Institutes of Health, n.d.). In addition, as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are available in various </w:t>
      </w:r>
      <w:proofErr w:type="spellStart"/>
      <w:r w:rsidRPr="005C391B">
        <w:rPr>
          <w:rFonts w:cstheme="minorHAnsi"/>
          <w:lang w:val="en-US"/>
        </w:rPr>
        <w:t>flavours</w:t>
      </w:r>
      <w:proofErr w:type="spellEnd"/>
      <w:r w:rsidRPr="005C391B">
        <w:rPr>
          <w:rFonts w:cstheme="minorHAnsi"/>
          <w:lang w:val="en-US"/>
        </w:rPr>
        <w:t xml:space="preserve">, such as Tropical Punch, Banana, and Sour Berry, they do not have the usual unpleasant smell or taste that </w:t>
      </w:r>
      <w:proofErr w:type="spellStart"/>
      <w:r w:rsidRPr="005C391B">
        <w:rPr>
          <w:rFonts w:cstheme="minorHAnsi"/>
          <w:lang w:val="en-US"/>
        </w:rPr>
        <w:t>multinutrients</w:t>
      </w:r>
      <w:proofErr w:type="spellEnd"/>
      <w:r w:rsidRPr="005C391B">
        <w:rPr>
          <w:rFonts w:cstheme="minorHAnsi"/>
          <w:lang w:val="en-US"/>
        </w:rPr>
        <w:t xml:space="preserve"> usually do, and no swallowing capsules is necessary, which is why they might be a convenient alternative treatment for children. In the proposed study, children will be able to choose which </w:t>
      </w:r>
      <w:proofErr w:type="spellStart"/>
      <w:r w:rsidRPr="005C391B">
        <w:rPr>
          <w:rFonts w:cstheme="minorHAnsi"/>
          <w:lang w:val="en-US"/>
        </w:rPr>
        <w:t>flavour</w:t>
      </w:r>
      <w:proofErr w:type="spellEnd"/>
      <w:r w:rsidRPr="005C391B">
        <w:rPr>
          <w:rFonts w:cstheme="minorHAnsi"/>
          <w:lang w:val="en-US"/>
        </w:rPr>
        <w:t xml:space="preserve"> they would like to try during the study. If the child would like to change the </w:t>
      </w:r>
      <w:proofErr w:type="spellStart"/>
      <w:r w:rsidRPr="005C391B">
        <w:rPr>
          <w:rFonts w:cstheme="minorHAnsi"/>
          <w:lang w:val="en-US"/>
        </w:rPr>
        <w:t>flavour</w:t>
      </w:r>
      <w:proofErr w:type="spellEnd"/>
      <w:r w:rsidRPr="005C391B">
        <w:rPr>
          <w:rFonts w:cstheme="minorHAnsi"/>
          <w:lang w:val="en-US"/>
        </w:rPr>
        <w:t xml:space="preserve"> of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vertAlign w:val="superscript"/>
          <w:lang w:val="en-US"/>
        </w:rPr>
        <w:t xml:space="preserve"> </w:t>
      </w:r>
      <w:r w:rsidRPr="005C391B">
        <w:rPr>
          <w:rFonts w:cstheme="minorHAnsi"/>
          <w:lang w:val="en-US"/>
        </w:rPr>
        <w:t>during an ON-phase they are welcome to do so.</w:t>
      </w:r>
    </w:p>
    <w:p w14:paraId="0C98BA5C" w14:textId="77777777" w:rsidR="00B24CC1" w:rsidRPr="005C391B" w:rsidRDefault="00B24CC1" w:rsidP="00F410C0">
      <w:pPr>
        <w:spacing w:line="360" w:lineRule="auto"/>
        <w:jc w:val="both"/>
        <w:rPr>
          <w:rFonts w:cstheme="minorHAnsi"/>
          <w:lang w:val="en-US"/>
        </w:rPr>
      </w:pPr>
      <w:r w:rsidRPr="005C391B">
        <w:rPr>
          <w:rFonts w:cstheme="minorHAnsi"/>
          <w:lang w:val="en-US"/>
        </w:rPr>
        <w:t xml:space="preserve">Participants are asked to take one Lightning </w:t>
      </w:r>
      <w:proofErr w:type="spellStart"/>
      <w:r w:rsidRPr="005C391B">
        <w:rPr>
          <w:rFonts w:cstheme="minorHAnsi"/>
          <w:lang w:val="en-US"/>
        </w:rPr>
        <w:t>Stik</w:t>
      </w:r>
      <w:r w:rsidRPr="005C391B">
        <w:rPr>
          <w:rFonts w:cstheme="minorHAnsi"/>
          <w:vertAlign w:val="superscript"/>
          <w:lang w:val="en-US"/>
        </w:rPr>
        <w:t>TM</w:t>
      </w:r>
      <w:proofErr w:type="spellEnd"/>
      <w:r w:rsidRPr="005C391B">
        <w:rPr>
          <w:rFonts w:cstheme="minorHAnsi"/>
          <w:lang w:val="en-US"/>
        </w:rPr>
        <w:t xml:space="preserve"> a day; however, as anecdotal reports have previously reported headaches in the first few days of taking the Lightning </w:t>
      </w:r>
      <w:proofErr w:type="spellStart"/>
      <w:r w:rsidRPr="005C391B">
        <w:rPr>
          <w:rFonts w:cstheme="minorHAnsi"/>
          <w:lang w:val="en-US"/>
        </w:rPr>
        <w:t>Stiks</w:t>
      </w:r>
      <w:r w:rsidRPr="005C391B">
        <w:rPr>
          <w:rFonts w:cstheme="minorHAnsi"/>
          <w:vertAlign w:val="superscript"/>
          <w:lang w:val="en-US"/>
        </w:rPr>
        <w:t>TM</w:t>
      </w:r>
      <w:proofErr w:type="spellEnd"/>
      <w:r w:rsidRPr="005C391B">
        <w:rPr>
          <w:rFonts w:cstheme="minorHAnsi"/>
          <w:lang w:val="en-US"/>
        </w:rPr>
        <w:t xml:space="preserve">, participants are advised to start with only ½ a straw in this study for the first two days. </w:t>
      </w:r>
    </w:p>
    <w:p w14:paraId="5A320C93" w14:textId="77777777" w:rsidR="006505CF" w:rsidRPr="00D54FB2" w:rsidRDefault="006505CF" w:rsidP="00F410C0">
      <w:pPr>
        <w:pStyle w:val="Heading3"/>
        <w:spacing w:line="360" w:lineRule="auto"/>
        <w:jc w:val="both"/>
        <w:rPr>
          <w:rFonts w:asciiTheme="minorHAnsi" w:hAnsiTheme="minorHAnsi" w:cstheme="minorHAnsi"/>
          <w:sz w:val="26"/>
          <w:szCs w:val="26"/>
        </w:rPr>
      </w:pPr>
      <w:bookmarkStart w:id="4" w:name="_Toc17724176"/>
      <w:r w:rsidRPr="00D54FB2">
        <w:rPr>
          <w:rFonts w:asciiTheme="minorHAnsi" w:hAnsiTheme="minorHAnsi" w:cstheme="minorHAnsi"/>
          <w:sz w:val="26"/>
          <w:szCs w:val="26"/>
        </w:rPr>
        <w:t>Assessment Tools</w:t>
      </w:r>
      <w:bookmarkEnd w:id="4"/>
    </w:p>
    <w:p w14:paraId="141BA437" w14:textId="3E6B494E" w:rsidR="003876B5" w:rsidRDefault="00C37047" w:rsidP="00F410C0">
      <w:pPr>
        <w:autoSpaceDE w:val="0"/>
        <w:autoSpaceDN w:val="0"/>
        <w:adjustRightInd w:val="0"/>
        <w:spacing w:after="0" w:line="360" w:lineRule="auto"/>
        <w:jc w:val="both"/>
        <w:rPr>
          <w:rFonts w:eastAsia="Calibri" w:cstheme="minorHAnsi"/>
        </w:rPr>
      </w:pPr>
      <w:r w:rsidRPr="005C391B">
        <w:rPr>
          <w:rFonts w:eastAsia="Calibri" w:cstheme="minorHAnsi"/>
        </w:rPr>
        <w:t>An on-line survey created with Qualtrics</w:t>
      </w:r>
      <w:r w:rsidR="00C14554" w:rsidRPr="005C391B">
        <w:rPr>
          <w:rFonts w:eastAsia="Calibri" w:cstheme="minorHAnsi"/>
        </w:rPr>
        <w:t xml:space="preserve"> will ask the participants </w:t>
      </w:r>
      <w:r w:rsidR="00566B2B">
        <w:rPr>
          <w:rFonts w:eastAsia="Calibri" w:cstheme="minorHAnsi"/>
        </w:rPr>
        <w:t xml:space="preserve">and their parents </w:t>
      </w:r>
      <w:r w:rsidR="00C14554" w:rsidRPr="005C391B">
        <w:rPr>
          <w:rFonts w:eastAsia="Calibri" w:cstheme="minorHAnsi"/>
        </w:rPr>
        <w:t xml:space="preserve">to complete measures of </w:t>
      </w:r>
      <w:r w:rsidR="009C1311" w:rsidRPr="005C391B">
        <w:rPr>
          <w:rFonts w:eastAsia="Calibri" w:cstheme="minorHAnsi"/>
        </w:rPr>
        <w:t xml:space="preserve">emotion dysregulation, irritability, </w:t>
      </w:r>
      <w:r w:rsidR="00BA001C" w:rsidRPr="005C391B">
        <w:rPr>
          <w:rFonts w:eastAsia="Calibri" w:cstheme="minorHAnsi"/>
        </w:rPr>
        <w:t xml:space="preserve">inattention, hyperactivity/impulsivity, </w:t>
      </w:r>
      <w:r w:rsidR="009C1311" w:rsidRPr="005C391B">
        <w:rPr>
          <w:rFonts w:eastAsia="Calibri" w:cstheme="minorHAnsi"/>
        </w:rPr>
        <w:t xml:space="preserve">diet, sleep, depression, anxiety and stress. </w:t>
      </w:r>
      <w:r w:rsidR="00C14554" w:rsidRPr="005C391B">
        <w:rPr>
          <w:rFonts w:eastAsia="Calibri" w:cstheme="minorHAnsi"/>
        </w:rPr>
        <w:t xml:space="preserve">The measures that are proposed in this study are standard measures used in </w:t>
      </w:r>
      <w:r w:rsidR="00566B2B">
        <w:rPr>
          <w:rFonts w:eastAsia="Calibri" w:cstheme="minorHAnsi"/>
        </w:rPr>
        <w:t>clinical trials</w:t>
      </w:r>
      <w:r w:rsidR="00C06C30" w:rsidRPr="005C391B">
        <w:rPr>
          <w:rFonts w:eastAsia="Calibri" w:cstheme="minorHAnsi"/>
        </w:rPr>
        <w:t>.</w:t>
      </w:r>
      <w:r w:rsidR="009C1311" w:rsidRPr="005C391B">
        <w:rPr>
          <w:rFonts w:eastAsia="Calibri" w:cstheme="minorHAnsi"/>
        </w:rPr>
        <w:t xml:space="preserve"> In addition, the study coordinator will meet with the participants once a month in person at Te Puna Toiora to collect data on emotion dysregulation, mood, side effects, and interpersonal skills. </w:t>
      </w:r>
      <w:r w:rsidR="003876B5">
        <w:rPr>
          <w:rFonts w:eastAsia="Calibri" w:cstheme="minorHAnsi"/>
        </w:rPr>
        <w:t>If participants cannot be met in person, these meetings will be held via Zoom or other online platforms.</w:t>
      </w:r>
    </w:p>
    <w:p w14:paraId="34E8001E" w14:textId="084AB473" w:rsidR="006D7395" w:rsidRDefault="006D7395" w:rsidP="00F410C0">
      <w:pPr>
        <w:autoSpaceDE w:val="0"/>
        <w:autoSpaceDN w:val="0"/>
        <w:adjustRightInd w:val="0"/>
        <w:spacing w:after="0" w:line="360" w:lineRule="auto"/>
        <w:jc w:val="both"/>
        <w:rPr>
          <w:rFonts w:eastAsia="Calibri" w:cstheme="minorHAnsi"/>
        </w:rPr>
      </w:pPr>
    </w:p>
    <w:p w14:paraId="34F964F0" w14:textId="5EA217C3" w:rsidR="00B1376B" w:rsidRDefault="00B1376B" w:rsidP="00F410C0">
      <w:pPr>
        <w:autoSpaceDE w:val="0"/>
        <w:autoSpaceDN w:val="0"/>
        <w:adjustRightInd w:val="0"/>
        <w:spacing w:after="0" w:line="360" w:lineRule="auto"/>
        <w:jc w:val="both"/>
        <w:rPr>
          <w:rFonts w:eastAsia="Calibri" w:cstheme="minorHAnsi"/>
        </w:rPr>
      </w:pPr>
    </w:p>
    <w:p w14:paraId="0B76861C" w14:textId="5D0393B9" w:rsidR="00B1376B" w:rsidRDefault="00B1376B" w:rsidP="00F410C0">
      <w:pPr>
        <w:autoSpaceDE w:val="0"/>
        <w:autoSpaceDN w:val="0"/>
        <w:adjustRightInd w:val="0"/>
        <w:spacing w:after="0" w:line="360" w:lineRule="auto"/>
        <w:jc w:val="both"/>
        <w:rPr>
          <w:rFonts w:eastAsia="Calibri" w:cstheme="minorHAnsi"/>
        </w:rPr>
      </w:pPr>
    </w:p>
    <w:p w14:paraId="6D46F8D8" w14:textId="56C57219" w:rsidR="00B1376B" w:rsidRDefault="00B1376B" w:rsidP="00F410C0">
      <w:pPr>
        <w:autoSpaceDE w:val="0"/>
        <w:autoSpaceDN w:val="0"/>
        <w:adjustRightInd w:val="0"/>
        <w:spacing w:after="0" w:line="360" w:lineRule="auto"/>
        <w:jc w:val="both"/>
        <w:rPr>
          <w:rFonts w:eastAsia="Calibri" w:cstheme="minorHAnsi"/>
        </w:rPr>
      </w:pPr>
    </w:p>
    <w:p w14:paraId="6FB71E31" w14:textId="77777777" w:rsidR="00B1376B" w:rsidRPr="006D7395" w:rsidRDefault="00B1376B" w:rsidP="00F410C0">
      <w:pPr>
        <w:autoSpaceDE w:val="0"/>
        <w:autoSpaceDN w:val="0"/>
        <w:adjustRightInd w:val="0"/>
        <w:spacing w:after="0" w:line="360" w:lineRule="auto"/>
        <w:jc w:val="both"/>
        <w:rPr>
          <w:rFonts w:eastAsia="Calibri" w:cstheme="minorHAnsi"/>
        </w:rPr>
      </w:pPr>
    </w:p>
    <w:p w14:paraId="5E1F7FCE" w14:textId="77777777" w:rsidR="00172CEA" w:rsidRPr="00C63CD9" w:rsidRDefault="00172CEA" w:rsidP="00F410C0">
      <w:pPr>
        <w:autoSpaceDE w:val="0"/>
        <w:autoSpaceDN w:val="0"/>
        <w:adjustRightInd w:val="0"/>
        <w:spacing w:after="0" w:line="360" w:lineRule="auto"/>
        <w:jc w:val="both"/>
        <w:rPr>
          <w:rFonts w:eastAsia="Calibri" w:cstheme="minorHAnsi"/>
        </w:rPr>
      </w:pPr>
      <w:r w:rsidRPr="00D54FB2">
        <w:rPr>
          <w:rFonts w:eastAsia="Calibri" w:cstheme="minorHAnsi"/>
          <w:color w:val="5B9BD5" w:themeColor="accent1"/>
          <w:sz w:val="24"/>
        </w:rPr>
        <w:lastRenderedPageBreak/>
        <w:t>Primary outcome measures</w:t>
      </w:r>
    </w:p>
    <w:p w14:paraId="7976EE07" w14:textId="77777777" w:rsidR="00BE41B3" w:rsidRPr="005C391B" w:rsidRDefault="00BE41B3" w:rsidP="00F410C0">
      <w:pPr>
        <w:autoSpaceDE w:val="0"/>
        <w:autoSpaceDN w:val="0"/>
        <w:adjustRightInd w:val="0"/>
        <w:spacing w:line="360" w:lineRule="auto"/>
        <w:jc w:val="both"/>
        <w:rPr>
          <w:rFonts w:eastAsia="Calibri" w:cstheme="minorHAnsi"/>
          <w:i/>
          <w:iCs/>
          <w:u w:val="single"/>
          <w:lang w:val="en-US"/>
        </w:rPr>
      </w:pPr>
      <w:r w:rsidRPr="005C391B">
        <w:rPr>
          <w:rFonts w:eastAsia="Calibri" w:cstheme="minorHAnsi"/>
          <w:i/>
          <w:iCs/>
          <w:u w:val="single"/>
          <w:lang w:val="en-US"/>
        </w:rPr>
        <w:t>Clinician-administered:</w:t>
      </w:r>
    </w:p>
    <w:p w14:paraId="62968DD5" w14:textId="174E27E0" w:rsidR="00BE41B3" w:rsidRPr="005C391B" w:rsidRDefault="008601F8" w:rsidP="00F410C0">
      <w:pPr>
        <w:autoSpaceDE w:val="0"/>
        <w:autoSpaceDN w:val="0"/>
        <w:adjustRightInd w:val="0"/>
        <w:spacing w:line="360" w:lineRule="auto"/>
        <w:jc w:val="both"/>
        <w:rPr>
          <w:rFonts w:eastAsia="Calibri" w:cstheme="minorHAnsi"/>
          <w:iCs/>
          <w:lang w:val="en-US"/>
        </w:rPr>
      </w:pPr>
      <w:r>
        <w:rPr>
          <w:rFonts w:eastAsia="Calibri" w:cstheme="minorHAnsi"/>
          <w:i/>
          <w:iCs/>
          <w:lang w:val="en-US"/>
        </w:rPr>
        <w:t>The Clinician Affective Reactivity Index</w:t>
      </w:r>
      <w:r w:rsidR="00BE41B3" w:rsidRPr="005C391B">
        <w:rPr>
          <w:rFonts w:eastAsia="Calibri" w:cstheme="minorHAnsi"/>
          <w:i/>
          <w:iCs/>
          <w:lang w:val="en-US"/>
        </w:rPr>
        <w:t xml:space="preserve"> (Parent/Child Interview Guide) (CL-ARI):</w:t>
      </w:r>
      <w:r w:rsidR="00BE41B3" w:rsidRPr="005C391B">
        <w:rPr>
          <w:rFonts w:eastAsia="Calibri" w:cstheme="minorHAnsi"/>
          <w:iCs/>
          <w:lang w:val="en-US"/>
        </w:rPr>
        <w:t xml:space="preserve"> This scale is a parent-</w:t>
      </w:r>
      <w:r w:rsidR="006F78CF">
        <w:rPr>
          <w:rFonts w:eastAsia="Calibri" w:cstheme="minorHAnsi"/>
          <w:iCs/>
          <w:lang w:val="en-US"/>
        </w:rPr>
        <w:t>report</w:t>
      </w:r>
      <w:r w:rsidR="00BE41B3" w:rsidRPr="005C391B">
        <w:rPr>
          <w:rFonts w:eastAsia="Calibri" w:cstheme="minorHAnsi"/>
          <w:iCs/>
          <w:lang w:val="en-US"/>
        </w:rPr>
        <w:t xml:space="preserve"> measure that assesses emotion regulation and irritability in children over the past week, looking at temper outbursts and irritable mood, and their frequency, severity, and duration. Further, it assesses whether the child’s irritable </w:t>
      </w:r>
      <w:proofErr w:type="spellStart"/>
      <w:r w:rsidR="00BE41B3" w:rsidRPr="005C391B">
        <w:rPr>
          <w:rFonts w:eastAsia="Calibri" w:cstheme="minorHAnsi"/>
          <w:iCs/>
          <w:lang w:val="en-US"/>
        </w:rPr>
        <w:t>behavio</w:t>
      </w:r>
      <w:r w:rsidR="00566B2B">
        <w:rPr>
          <w:rFonts w:eastAsia="Calibri" w:cstheme="minorHAnsi"/>
          <w:iCs/>
          <w:lang w:val="en-US"/>
        </w:rPr>
        <w:t>u</w:t>
      </w:r>
      <w:r w:rsidR="00BE41B3" w:rsidRPr="005C391B">
        <w:rPr>
          <w:rFonts w:eastAsia="Calibri" w:cstheme="minorHAnsi"/>
          <w:iCs/>
          <w:lang w:val="en-US"/>
        </w:rPr>
        <w:t>r</w:t>
      </w:r>
      <w:proofErr w:type="spellEnd"/>
      <w:r w:rsidR="00BE41B3" w:rsidRPr="005C391B">
        <w:rPr>
          <w:rFonts w:eastAsia="Calibri" w:cstheme="minorHAnsi"/>
          <w:iCs/>
          <w:lang w:val="en-US"/>
        </w:rPr>
        <w:t xml:space="preserve"> causes problems in the family, impairments in school, and </w:t>
      </w:r>
      <w:r w:rsidR="00566B2B">
        <w:rPr>
          <w:rFonts w:eastAsia="Calibri" w:cstheme="minorHAnsi"/>
          <w:iCs/>
          <w:lang w:val="en-US"/>
        </w:rPr>
        <w:t xml:space="preserve">assesses </w:t>
      </w:r>
      <w:r w:rsidR="00BE41B3" w:rsidRPr="005C391B">
        <w:rPr>
          <w:rFonts w:eastAsia="Calibri" w:cstheme="minorHAnsi"/>
          <w:iCs/>
          <w:lang w:val="en-US"/>
        </w:rPr>
        <w:t>potential improvements over time. The CL-ARI has good internal consistency (</w:t>
      </w:r>
      <w:r w:rsidR="00BE41B3" w:rsidRPr="005C391B">
        <w:rPr>
          <w:rFonts w:cstheme="minorHAnsi"/>
          <w:i/>
          <w:color w:val="000000"/>
          <w:shd w:val="clear" w:color="auto" w:fill="FFFFFF"/>
        </w:rPr>
        <w:t>α</w:t>
      </w:r>
      <w:r w:rsidR="00BE41B3" w:rsidRPr="005C391B">
        <w:rPr>
          <w:rFonts w:eastAsia="Calibri" w:cstheme="minorHAnsi"/>
          <w:iCs/>
          <w:lang w:val="en-US"/>
        </w:rPr>
        <w:t xml:space="preserve"> = .89) and adequate test-retest reliability (</w:t>
      </w:r>
      <w:r w:rsidR="00BE41B3" w:rsidRPr="005C391B">
        <w:rPr>
          <w:rFonts w:eastAsia="Calibri" w:cstheme="minorHAnsi"/>
          <w:i/>
          <w:iCs/>
          <w:lang w:val="en-US"/>
        </w:rPr>
        <w:t>ICC</w:t>
      </w:r>
      <w:r w:rsidR="00BE41B3" w:rsidRPr="005C391B">
        <w:rPr>
          <w:rFonts w:eastAsia="Calibri" w:cstheme="minorHAnsi"/>
          <w:iCs/>
          <w:lang w:val="en-US"/>
        </w:rPr>
        <w:t xml:space="preserve"> = .67) </w:t>
      </w:r>
      <w:r w:rsidR="00BE41B3" w:rsidRPr="005C391B">
        <w:rPr>
          <w:rFonts w:eastAsia="Calibri" w:cstheme="minorHAnsi"/>
          <w:iCs/>
          <w:lang w:val="en-US"/>
        </w:rPr>
        <w:fldChar w:fldCharType="begin"/>
      </w:r>
      <w:r w:rsidR="00BE41B3" w:rsidRPr="005C391B">
        <w:rPr>
          <w:rFonts w:eastAsia="Calibri" w:cstheme="minorHAnsi"/>
          <w:iCs/>
          <w:lang w:val="en-US"/>
        </w:rPr>
        <w:instrText xml:space="preserve"> ADDIN EN.CITE &lt;EndNote&gt;&lt;Cite&gt;&lt;Author&gt;Haller&lt;/Author&gt;&lt;Year&gt;2020&lt;/Year&gt;&lt;RecNum&gt;263&lt;/RecNum&gt;&lt;DisplayText&gt;(Haller et al., 2020)&lt;/DisplayText&gt;&lt;record&gt;&lt;rec-number&gt;263&lt;/rec-number&gt;&lt;foreign-keys&gt;&lt;key app="EN" db-id="drevp2w2uz2zr0esepxpep0h9z9w09zd9v9t" timestamp="1618532938"&gt;263&lt;/key&gt;&lt;/foreign-keys&gt;&lt;ref-type name="Journal Article"&gt;17&lt;/ref-type&gt;&lt;contributors&gt;&lt;authors&gt;&lt;author&gt;Haller, Simone P&lt;/author&gt;&lt;author&gt;Kircanski, Katharina&lt;/author&gt;&lt;author&gt;Stringaris, Argyris&lt;/author&gt;&lt;author&gt;Clayton, Michal&lt;/author&gt;&lt;author&gt;Bui, Hong&lt;/author&gt;&lt;author&gt;Agorsor, Courtney&lt;/author&gt;&lt;author&gt;Cardenas, Sofia I&lt;/author&gt;&lt;author&gt;Towbin, Kenneth E&lt;/author&gt;&lt;author&gt;Pine, Daniel S&lt;/author&gt;&lt;author&gt;Leibenluft, Ellen&lt;/author&gt;&lt;/authors&gt;&lt;/contributors&gt;&lt;titles&gt;&lt;title&gt;The clinician affective reactivity index: validity and reliability of a clinician-rated assessment of irritability&lt;/title&gt;&lt;secondary-title&gt;Behavior therapy&lt;/secondary-title&gt;&lt;/titles&gt;&lt;periodical&gt;&lt;full-title&gt;Behavior therapy&lt;/full-title&gt;&lt;/periodical&gt;&lt;pages&gt;283-293&lt;/pages&gt;&lt;volume&gt;51&lt;/volume&gt;&lt;number&gt;2&lt;/number&gt;&lt;dates&gt;&lt;year&gt;2020&lt;/year&gt;&lt;/dates&gt;&lt;isbn&gt;0005-7894&lt;/isbn&gt;&lt;urls&gt;&lt;/urls&gt;&lt;/record&gt;&lt;/Cite&gt;&lt;/EndNote&gt;</w:instrText>
      </w:r>
      <w:r w:rsidR="00BE41B3" w:rsidRPr="005C391B">
        <w:rPr>
          <w:rFonts w:eastAsia="Calibri" w:cstheme="minorHAnsi"/>
          <w:iCs/>
          <w:lang w:val="en-US"/>
        </w:rPr>
        <w:fldChar w:fldCharType="separate"/>
      </w:r>
      <w:r w:rsidR="00BE41B3" w:rsidRPr="005C391B">
        <w:rPr>
          <w:rFonts w:eastAsia="Calibri" w:cstheme="minorHAnsi"/>
          <w:iCs/>
          <w:noProof/>
          <w:lang w:val="en-US"/>
        </w:rPr>
        <w:t>(Haller et al., 2020)</w:t>
      </w:r>
      <w:r w:rsidR="00BE41B3" w:rsidRPr="005C391B">
        <w:rPr>
          <w:rFonts w:eastAsia="Calibri" w:cstheme="minorHAnsi"/>
          <w:iCs/>
          <w:lang w:val="en-US"/>
        </w:rPr>
        <w:fldChar w:fldCharType="end"/>
      </w:r>
      <w:r w:rsidR="00BE41B3" w:rsidRPr="005C391B">
        <w:rPr>
          <w:rFonts w:eastAsia="Calibri" w:cstheme="minorHAnsi"/>
          <w:iCs/>
          <w:lang w:val="en-US"/>
        </w:rPr>
        <w:t xml:space="preserve">. In the proposed study, the study coordinator will meet the parent and the child every four weeks to collect data on the CL-ARI in person. </w:t>
      </w:r>
    </w:p>
    <w:p w14:paraId="44CC17FE" w14:textId="653959B9" w:rsidR="00BE41B3" w:rsidRPr="005C391B" w:rsidRDefault="00BE41B3" w:rsidP="00F410C0">
      <w:pPr>
        <w:autoSpaceDE w:val="0"/>
        <w:autoSpaceDN w:val="0"/>
        <w:adjustRightInd w:val="0"/>
        <w:spacing w:line="360" w:lineRule="auto"/>
        <w:jc w:val="both"/>
        <w:rPr>
          <w:rFonts w:cstheme="minorHAnsi"/>
          <w:color w:val="000000"/>
          <w:bdr w:val="none" w:sz="0" w:space="0" w:color="auto" w:frame="1"/>
          <w:shd w:val="clear" w:color="auto" w:fill="FFFFFF"/>
        </w:rPr>
      </w:pPr>
      <w:r w:rsidRPr="005C391B">
        <w:rPr>
          <w:rFonts w:eastAsia="Calibri" w:cstheme="minorHAnsi"/>
          <w:i/>
          <w:lang w:val="en-US"/>
        </w:rPr>
        <w:t>Clinical Global Impressions - Improvement Scale (CGI-I) (Guy, 1976):</w:t>
      </w:r>
      <w:r w:rsidRPr="005C391B">
        <w:rPr>
          <w:rFonts w:eastAsia="Calibri" w:cstheme="minorHAnsi"/>
          <w:lang w:val="en-US"/>
        </w:rPr>
        <w:t xml:space="preserve"> The CGI-I is a clinician-administered scale that rates, based on all information obtained from all raters (parents, child and significant other) how much better/worse the participant is functioning since baseline across </w:t>
      </w:r>
      <w:r w:rsidR="006E5B6D">
        <w:rPr>
          <w:rFonts w:eastAsia="Calibri" w:cstheme="minorHAnsi"/>
          <w:lang w:val="en-US"/>
        </w:rPr>
        <w:t>irritability</w:t>
      </w:r>
      <w:r w:rsidR="008D40EE">
        <w:rPr>
          <w:rFonts w:eastAsia="Calibri" w:cstheme="minorHAnsi"/>
          <w:lang w:val="en-US"/>
        </w:rPr>
        <w:t>/emotion dysregulation</w:t>
      </w:r>
      <w:r w:rsidR="006E5B6D">
        <w:rPr>
          <w:rFonts w:eastAsia="Calibri" w:cstheme="minorHAnsi"/>
          <w:lang w:val="en-US"/>
        </w:rPr>
        <w:t xml:space="preserve">, </w:t>
      </w:r>
      <w:r w:rsidRPr="005C391B">
        <w:rPr>
          <w:rFonts w:eastAsia="Calibri" w:cstheme="minorHAnsi"/>
          <w:lang w:val="en-US"/>
        </w:rPr>
        <w:t xml:space="preserve">mood, stress, </w:t>
      </w:r>
      <w:r w:rsidR="008D40EE">
        <w:rPr>
          <w:rFonts w:eastAsia="Calibri" w:cstheme="minorHAnsi"/>
          <w:lang w:val="en-US"/>
        </w:rPr>
        <w:t>energy, and sleep</w:t>
      </w:r>
      <w:r w:rsidRPr="005C391B">
        <w:rPr>
          <w:rFonts w:eastAsia="Calibri" w:cstheme="minorHAnsi"/>
          <w:lang w:val="en-US"/>
        </w:rPr>
        <w:t xml:space="preserve">. Each item has seven responses, ranging from “very much improved” (1) to “very much worse” (7) and helps to provide a brief, overall assessment of the participant. The CGI-I is not used during baseline assessment. </w:t>
      </w:r>
      <w:r w:rsidRPr="005C391B">
        <w:rPr>
          <w:rFonts w:cstheme="minorHAnsi"/>
          <w:color w:val="000000"/>
          <w:bdr w:val="none" w:sz="0" w:space="0" w:color="auto" w:frame="1"/>
          <w:shd w:val="clear" w:color="auto" w:fill="FFFFFF"/>
        </w:rPr>
        <w:t>The CGI-I has demonstrated high external validity (</w:t>
      </w:r>
      <w:r w:rsidRPr="005C391B">
        <w:rPr>
          <w:rFonts w:cstheme="minorHAnsi"/>
          <w:i/>
          <w:color w:val="000000"/>
          <w:bdr w:val="none" w:sz="0" w:space="0" w:color="auto" w:frame="1"/>
          <w:shd w:val="clear" w:color="auto" w:fill="FFFFFF"/>
        </w:rPr>
        <w:t xml:space="preserve">r </w:t>
      </w:r>
      <w:r w:rsidRPr="005C391B">
        <w:rPr>
          <w:rFonts w:cstheme="minorHAnsi"/>
          <w:color w:val="000000"/>
          <w:bdr w:val="none" w:sz="0" w:space="0" w:color="auto" w:frame="1"/>
          <w:shd w:val="clear" w:color="auto" w:fill="FFFFFF"/>
        </w:rPr>
        <w:t>= 0.74) (Kadouri et al., 2007) and is widely used in clinical trials.</w:t>
      </w:r>
    </w:p>
    <w:p w14:paraId="64C14F87" w14:textId="77777777" w:rsidR="00172CEA" w:rsidRPr="00D54FB2" w:rsidRDefault="00172CEA" w:rsidP="00F410C0">
      <w:pPr>
        <w:autoSpaceDE w:val="0"/>
        <w:autoSpaceDN w:val="0"/>
        <w:adjustRightInd w:val="0"/>
        <w:spacing w:after="0" w:line="360" w:lineRule="auto"/>
        <w:jc w:val="both"/>
        <w:rPr>
          <w:rFonts w:eastAsia="Calibri" w:cstheme="minorHAnsi"/>
          <w:color w:val="5B9BD5" w:themeColor="accent1"/>
          <w:sz w:val="24"/>
        </w:rPr>
      </w:pPr>
      <w:r w:rsidRPr="00D54FB2">
        <w:rPr>
          <w:rFonts w:eastAsia="Calibri" w:cstheme="minorHAnsi"/>
          <w:color w:val="5B9BD5" w:themeColor="accent1"/>
          <w:sz w:val="24"/>
        </w:rPr>
        <w:t>Secondary outcome measures</w:t>
      </w:r>
    </w:p>
    <w:p w14:paraId="6714C93B" w14:textId="77777777" w:rsidR="00BE41B3" w:rsidRPr="005C391B" w:rsidRDefault="00BE41B3" w:rsidP="00F410C0">
      <w:pPr>
        <w:autoSpaceDE w:val="0"/>
        <w:autoSpaceDN w:val="0"/>
        <w:adjustRightInd w:val="0"/>
        <w:spacing w:line="360" w:lineRule="auto"/>
        <w:jc w:val="both"/>
        <w:rPr>
          <w:rFonts w:eastAsia="Calibri" w:cstheme="minorHAnsi"/>
          <w:i/>
          <w:iCs/>
          <w:u w:val="single"/>
          <w:lang w:val="en-US"/>
        </w:rPr>
      </w:pPr>
      <w:r w:rsidRPr="005C391B">
        <w:rPr>
          <w:rFonts w:eastAsia="Calibri" w:cstheme="minorHAnsi"/>
          <w:i/>
          <w:iCs/>
          <w:u w:val="single"/>
          <w:lang w:val="en-US"/>
        </w:rPr>
        <w:t>Clinician-administered:</w:t>
      </w:r>
    </w:p>
    <w:p w14:paraId="29D9898E" w14:textId="62D7AEAE" w:rsidR="006D7395" w:rsidRPr="006D7395" w:rsidRDefault="00BE41B3" w:rsidP="00F410C0">
      <w:pPr>
        <w:autoSpaceDE w:val="0"/>
        <w:autoSpaceDN w:val="0"/>
        <w:adjustRightInd w:val="0"/>
        <w:spacing w:line="360" w:lineRule="auto"/>
        <w:jc w:val="both"/>
        <w:rPr>
          <w:rFonts w:eastAsia="Calibri" w:cstheme="minorHAnsi"/>
          <w:i/>
          <w:lang w:val="en-US"/>
        </w:rPr>
      </w:pPr>
      <w:r w:rsidRPr="005C391B">
        <w:rPr>
          <w:rFonts w:eastAsia="Calibri" w:cstheme="minorHAnsi"/>
          <w:i/>
          <w:lang w:val="en-US"/>
        </w:rPr>
        <w:t xml:space="preserve">Clinical Global Impressions </w:t>
      </w:r>
      <w:r w:rsidRPr="005C391B">
        <w:rPr>
          <w:rFonts w:cstheme="minorHAnsi"/>
          <w:i/>
          <w:iCs/>
          <w:color w:val="000000"/>
          <w:bdr w:val="none" w:sz="0" w:space="0" w:color="auto" w:frame="1"/>
          <w:shd w:val="clear" w:color="auto" w:fill="FFFFFF"/>
        </w:rPr>
        <w:t xml:space="preserve">– Severity Scale (CGI-S) (Guy, 1976) </w:t>
      </w:r>
      <w:r w:rsidRPr="005C391B">
        <w:rPr>
          <w:rFonts w:cstheme="minorHAnsi"/>
          <w:color w:val="201F1E"/>
          <w:bdr w:val="none" w:sz="0" w:space="0" w:color="auto" w:frame="1"/>
          <w:shd w:val="clear" w:color="auto" w:fill="FFFFFF"/>
        </w:rPr>
        <w:t>is a clinician-r</w:t>
      </w:r>
      <w:r w:rsidRPr="005C391B">
        <w:rPr>
          <w:rFonts w:cstheme="minorHAnsi"/>
          <w:color w:val="000000"/>
          <w:bdr w:val="none" w:sz="0" w:space="0" w:color="auto" w:frame="1"/>
          <w:shd w:val="clear" w:color="auto" w:fill="FFFFFF"/>
        </w:rPr>
        <w:t xml:space="preserve">ated evaluation of symptom severity by means of the question: </w:t>
      </w:r>
      <w:r w:rsidRPr="005C391B">
        <w:rPr>
          <w:rFonts w:cstheme="minorHAnsi"/>
        </w:rPr>
        <w:t>“Considering your total clinical experience with this particular population, how impaired is the patient at this time?” The item is scored on a 7-point Likert scale,</w:t>
      </w:r>
      <w:r w:rsidRPr="005C391B">
        <w:rPr>
          <w:rFonts w:cstheme="minorHAnsi"/>
          <w:color w:val="000000"/>
          <w:bdr w:val="none" w:sz="0" w:space="0" w:color="auto" w:frame="1"/>
          <w:shd w:val="clear" w:color="auto" w:fill="FFFFFF"/>
        </w:rPr>
        <w:t xml:space="preserve"> ranging from 1 (normal, not impaired) to 7 (markedly impaired) (Busner, 2007). The CGI-S is commonly used in clinical trials and has shown to be sensitive to clinical change in diagnostically diverse populations. In the proposed study, it is administered during the baseline assessment and at the end of the study, giving an overall impression of the participants’ functioning before and after the intervention. </w:t>
      </w:r>
    </w:p>
    <w:p w14:paraId="6948C959" w14:textId="77777777" w:rsidR="00BE41B3" w:rsidRPr="005C391B" w:rsidRDefault="00BE41B3" w:rsidP="00F410C0">
      <w:pPr>
        <w:autoSpaceDE w:val="0"/>
        <w:autoSpaceDN w:val="0"/>
        <w:adjustRightInd w:val="0"/>
        <w:spacing w:line="360" w:lineRule="auto"/>
        <w:jc w:val="both"/>
        <w:rPr>
          <w:rFonts w:eastAsia="Calibri" w:cstheme="minorHAnsi"/>
          <w:i/>
          <w:iCs/>
          <w:u w:val="single"/>
          <w:lang w:val="en-US"/>
        </w:rPr>
      </w:pPr>
      <w:r w:rsidRPr="005C391B">
        <w:rPr>
          <w:rFonts w:eastAsia="Calibri" w:cstheme="minorHAnsi"/>
          <w:i/>
          <w:iCs/>
          <w:u w:val="single"/>
          <w:lang w:val="en-US"/>
        </w:rPr>
        <w:t>Parent- or other-adult administered:</w:t>
      </w:r>
    </w:p>
    <w:p w14:paraId="286156AA" w14:textId="77777777" w:rsidR="00BE41B3" w:rsidRPr="005C391B" w:rsidRDefault="00BE41B3" w:rsidP="00F410C0">
      <w:pPr>
        <w:autoSpaceDE w:val="0"/>
        <w:autoSpaceDN w:val="0"/>
        <w:adjustRightInd w:val="0"/>
        <w:spacing w:line="360" w:lineRule="auto"/>
        <w:jc w:val="both"/>
        <w:rPr>
          <w:rFonts w:eastAsia="Calibri" w:cstheme="minorHAnsi"/>
          <w:bCs/>
          <w:lang w:val="en-US"/>
        </w:rPr>
      </w:pPr>
      <w:r w:rsidRPr="005C391B">
        <w:rPr>
          <w:rFonts w:eastAsia="Calibri" w:cstheme="minorHAnsi"/>
          <w:i/>
          <w:iCs/>
          <w:lang w:val="en-US"/>
        </w:rPr>
        <w:t xml:space="preserve">Affective Reactivity Index (ARI) (Parent version) </w:t>
      </w:r>
      <w:r w:rsidRPr="005C391B">
        <w:rPr>
          <w:rFonts w:eastAsia="Calibri" w:cstheme="minorHAnsi"/>
          <w:iCs/>
          <w:lang w:val="en-US"/>
        </w:rPr>
        <w:t>(Stringaris et al., 2012):</w:t>
      </w:r>
      <w:r w:rsidRPr="005C391B">
        <w:rPr>
          <w:rFonts w:eastAsia="Calibri" w:cstheme="minorHAnsi"/>
          <w:i/>
          <w:iCs/>
          <w:lang w:val="en-US"/>
        </w:rPr>
        <w:t xml:space="preserve"> </w:t>
      </w:r>
      <w:r w:rsidRPr="005C391B">
        <w:rPr>
          <w:rFonts w:eastAsia="Calibri" w:cstheme="minorHAnsi"/>
          <w:iCs/>
          <w:lang w:val="en-US"/>
        </w:rPr>
        <w:t>The ARI is</w:t>
      </w:r>
      <w:r w:rsidRPr="005C391B">
        <w:rPr>
          <w:rFonts w:eastAsia="Calibri" w:cstheme="minorHAnsi"/>
          <w:i/>
          <w:iCs/>
          <w:lang w:val="en-US"/>
        </w:rPr>
        <w:t xml:space="preserve"> </w:t>
      </w:r>
      <w:r w:rsidRPr="005C391B">
        <w:rPr>
          <w:rFonts w:eastAsia="Calibri" w:cstheme="minorHAnsi"/>
          <w:bCs/>
          <w:lang w:val="en-US"/>
        </w:rPr>
        <w:t>a concise, parent-rated scale assessing the child’s irritability. It incorporates seven items that ask about feelings of irritability during the past seven days (e.g., “My child is easily annoyed by others”, “My child gets angry frequently”, “Overall, irritability causes my child problems”). How true a statement is can be scored on a 0 (not true) to 2 (certainly true) Likert scale. It has been shown to have good internal consistency (</w:t>
      </w:r>
      <w:r w:rsidRPr="005C391B">
        <w:rPr>
          <w:rFonts w:cstheme="minorHAnsi"/>
          <w:i/>
          <w:color w:val="000000"/>
          <w:shd w:val="clear" w:color="auto" w:fill="FFFFFF"/>
        </w:rPr>
        <w:t>α</w:t>
      </w:r>
      <w:r w:rsidRPr="005C391B">
        <w:rPr>
          <w:rFonts w:cstheme="minorHAnsi"/>
        </w:rPr>
        <w:t xml:space="preserve"> = .84 - .92) (Ezpeleta et al., 2020)</w:t>
      </w:r>
      <w:r w:rsidRPr="005C391B">
        <w:rPr>
          <w:rFonts w:eastAsia="Calibri" w:cstheme="minorHAnsi"/>
          <w:bCs/>
          <w:lang w:val="en-US"/>
        </w:rPr>
        <w:t xml:space="preserve"> and is considered an appropriate measure to assess irritability </w:t>
      </w:r>
      <w:r w:rsidRPr="005C391B">
        <w:rPr>
          <w:rFonts w:eastAsia="Calibri" w:cstheme="minorHAnsi"/>
          <w:bCs/>
          <w:lang w:val="en-US"/>
        </w:rPr>
        <w:fldChar w:fldCharType="begin"/>
      </w:r>
      <w:r w:rsidRPr="005C391B">
        <w:rPr>
          <w:rFonts w:eastAsia="Calibri" w:cstheme="minorHAnsi"/>
          <w:bCs/>
          <w:lang w:val="en-US"/>
        </w:rPr>
        <w:instrText xml:space="preserve"> ADDIN EN.CITE &lt;EndNote&gt;&lt;Cite&gt;&lt;Author&gt;Stringaris&lt;/Author&gt;&lt;Year&gt;2012&lt;/Year&gt;&lt;RecNum&gt;265&lt;/RecNum&gt;&lt;DisplayText&gt;(Stringaris et al., 2012)&lt;/DisplayText&gt;&lt;record&gt;&lt;rec-number&gt;265&lt;/rec-number&gt;&lt;foreign-keys&gt;&lt;key app="EN" db-id="drevp2w2uz2zr0esepxpep0h9z9w09zd9v9t" timestamp="1618533219"&gt;265&lt;/key&gt;&lt;/foreign-keys&gt;&lt;ref-type name="Journal Article"&gt;17&lt;/ref-type&gt;&lt;contributors&gt;&lt;authors&gt;&lt;author&gt;Stringaris, Argyris&lt;/author&gt;&lt;author&gt;Goodman, Robert&lt;/author&gt;&lt;author&gt;Ferdinando, Sumudu&lt;/author&gt;&lt;author&gt;Razdan, Varun&lt;/author&gt;&lt;author&gt;Muhrer, Eli&lt;/author&gt;&lt;author&gt;Leibenluft, Ellen&lt;/author&gt;&lt;author&gt;Brotman, Melissa A&lt;/author&gt;&lt;/authors&gt;&lt;/contributors&gt;&lt;titles&gt;&lt;title&gt;The Affective Reactivity Index: a concise irritability scale for clinical and research settings&lt;/title&gt;&lt;secondary-title&gt;Journal of Child Psychology and Psychiatry&lt;/secondary-title&gt;&lt;/titles&gt;&lt;periodical&gt;&lt;full-title&gt;Journal of Child Psychology and Psychiatry&lt;/full-title&gt;&lt;/periodical&gt;&lt;pages&gt;1109-1117&lt;/pages&gt;&lt;volume&gt;53&lt;/volume&gt;&lt;number&gt;11&lt;/number&gt;&lt;dates&gt;&lt;year&gt;2012&lt;/year&gt;&lt;/dates&gt;&lt;isbn&gt;0021-9630&lt;/isbn&gt;&lt;urls&gt;&lt;/urls&gt;&lt;/record&gt;&lt;/Cite&gt;&lt;/EndNote&gt;</w:instrText>
      </w:r>
      <w:r w:rsidRPr="005C391B">
        <w:rPr>
          <w:rFonts w:eastAsia="Calibri" w:cstheme="minorHAnsi"/>
          <w:bCs/>
          <w:lang w:val="en-US"/>
        </w:rPr>
        <w:fldChar w:fldCharType="separate"/>
      </w:r>
      <w:r w:rsidRPr="005C391B">
        <w:rPr>
          <w:rFonts w:eastAsia="Calibri" w:cstheme="minorHAnsi"/>
          <w:bCs/>
          <w:noProof/>
          <w:lang w:val="en-US"/>
        </w:rPr>
        <w:t>(Stringaris et al., 2012)</w:t>
      </w:r>
      <w:r w:rsidRPr="005C391B">
        <w:rPr>
          <w:rFonts w:eastAsia="Calibri" w:cstheme="minorHAnsi"/>
          <w:bCs/>
          <w:lang w:val="en-US"/>
        </w:rPr>
        <w:fldChar w:fldCharType="end"/>
      </w:r>
      <w:r w:rsidRPr="005C391B">
        <w:rPr>
          <w:rFonts w:eastAsia="Calibri" w:cstheme="minorHAnsi"/>
          <w:bCs/>
          <w:lang w:val="en-US"/>
        </w:rPr>
        <w:t xml:space="preserve">. </w:t>
      </w:r>
    </w:p>
    <w:p w14:paraId="328EC9F6" w14:textId="2AE6C2F4" w:rsidR="006D7395" w:rsidRPr="006D7395" w:rsidRDefault="00BE41B3" w:rsidP="00F410C0">
      <w:pPr>
        <w:autoSpaceDE w:val="0"/>
        <w:autoSpaceDN w:val="0"/>
        <w:adjustRightInd w:val="0"/>
        <w:spacing w:line="360" w:lineRule="auto"/>
        <w:jc w:val="both"/>
        <w:rPr>
          <w:rFonts w:cstheme="minorHAnsi"/>
          <w:color w:val="000000"/>
          <w:shd w:val="clear" w:color="auto" w:fill="FFFFFF"/>
        </w:rPr>
      </w:pPr>
      <w:r w:rsidRPr="005C391B">
        <w:rPr>
          <w:rFonts w:eastAsia="Calibri" w:cstheme="minorHAnsi"/>
          <w:i/>
          <w:iCs/>
          <w:lang w:val="en-US"/>
        </w:rPr>
        <w:lastRenderedPageBreak/>
        <w:t>Strengths and Difficulties Questionnaire (SDQ)</w:t>
      </w:r>
      <w:r w:rsidRPr="005C391B">
        <w:rPr>
          <w:rFonts w:eastAsia="Calibri" w:cstheme="minorHAnsi"/>
          <w:iCs/>
          <w:lang w:val="en-US"/>
        </w:rPr>
        <w:t xml:space="preserve"> </w:t>
      </w:r>
      <w:r w:rsidRPr="005C391B">
        <w:rPr>
          <w:rFonts w:eastAsia="Calibri" w:cstheme="minorHAnsi"/>
          <w:iCs/>
          <w:lang w:val="en-US"/>
        </w:rPr>
        <w:fldChar w:fldCharType="begin"/>
      </w:r>
      <w:r w:rsidRPr="005C391B">
        <w:rPr>
          <w:rFonts w:eastAsia="Calibri" w:cstheme="minorHAnsi"/>
          <w:iCs/>
          <w:lang w:val="en-US"/>
        </w:rPr>
        <w:instrText xml:space="preserve"> ADDIN EN.CITE &lt;EndNote&gt;&lt;Cite&gt;&lt;Author&gt;Goodman&lt;/Author&gt;&lt;Year&gt;1997&lt;/Year&gt;&lt;RecNum&gt;239&lt;/RecNum&gt;&lt;DisplayText&gt;(Goodman, 1997)&lt;/DisplayText&gt;&lt;record&gt;&lt;rec-number&gt;239&lt;/rec-number&gt;&lt;foreign-keys&gt;&lt;key app="EN" db-id="drevp2w2uz2zr0esepxpep0h9z9w09zd9v9t" timestamp="1617839720"&gt;239&lt;/key&gt;&lt;/foreign-keys&gt;&lt;ref-type name="Journal Article"&gt;17&lt;/ref-type&gt;&lt;contributors&gt;&lt;authors&gt;&lt;author&gt;Goodman, Robert&lt;/author&gt;&lt;/authors&gt;&lt;/contributors&gt;&lt;titles&gt;&lt;title&gt;The Strengths and Difficulties Questionnaire: a research note&lt;/title&gt;&lt;secondary-title&gt;Journal of child psychology and psychiatry&lt;/secondary-title&gt;&lt;/titles&gt;&lt;periodical&gt;&lt;full-title&gt;Journal of Child Psychology and Psychiatry&lt;/full-title&gt;&lt;/periodical&gt;&lt;pages&gt;581-586&lt;/pages&gt;&lt;volume&gt;38&lt;/volume&gt;&lt;number&gt;5&lt;/number&gt;&lt;dates&gt;&lt;year&gt;1997&lt;/year&gt;&lt;/dates&gt;&lt;isbn&gt;0021-9630&lt;/isbn&gt;&lt;urls&gt;&lt;/urls&gt;&lt;/record&gt;&lt;/Cite&gt;&lt;/EndNote&gt;</w:instrText>
      </w:r>
      <w:r w:rsidRPr="005C391B">
        <w:rPr>
          <w:rFonts w:eastAsia="Calibri" w:cstheme="minorHAnsi"/>
          <w:iCs/>
          <w:lang w:val="en-US"/>
        </w:rPr>
        <w:fldChar w:fldCharType="separate"/>
      </w:r>
      <w:r w:rsidRPr="005C391B">
        <w:rPr>
          <w:rFonts w:eastAsia="Calibri" w:cstheme="minorHAnsi"/>
          <w:iCs/>
          <w:noProof/>
          <w:lang w:val="en-US"/>
        </w:rPr>
        <w:t>(Goodman, 1997)</w:t>
      </w:r>
      <w:r w:rsidRPr="005C391B">
        <w:rPr>
          <w:rFonts w:eastAsia="Calibri" w:cstheme="minorHAnsi"/>
          <w:iCs/>
          <w:lang w:val="en-US"/>
        </w:rPr>
        <w:fldChar w:fldCharType="end"/>
      </w:r>
      <w:r w:rsidRPr="005C391B">
        <w:rPr>
          <w:rFonts w:eastAsia="Calibri" w:cstheme="minorHAnsi"/>
          <w:iCs/>
          <w:lang w:val="en-US"/>
        </w:rPr>
        <w:t xml:space="preserve">: The Strength and Difficulties Questionnaire consists of 25 items across five subscales, measuring emotional symptoms, conduct problems, hyperactivity/inattention, peer relationship problems, and prosocial behavior in 4-17 year old children and adolescents </w:t>
      </w:r>
      <w:r w:rsidRPr="005C391B">
        <w:rPr>
          <w:rFonts w:eastAsia="Calibri" w:cstheme="minorHAnsi"/>
          <w:iCs/>
          <w:lang w:val="en-US"/>
        </w:rPr>
        <w:fldChar w:fldCharType="begin"/>
      </w:r>
      <w:r w:rsidRPr="005C391B">
        <w:rPr>
          <w:rFonts w:eastAsia="Calibri" w:cstheme="minorHAnsi"/>
          <w:iCs/>
          <w:lang w:val="en-US"/>
        </w:rPr>
        <w:instrText xml:space="preserve"> ADDIN EN.CITE &lt;EndNote&gt;&lt;Cite&gt;&lt;Author&gt;Stone&lt;/Author&gt;&lt;Year&gt;2010&lt;/Year&gt;&lt;RecNum&gt;241&lt;/RecNum&gt;&lt;DisplayText&gt;(Stone, Otten, Engels, Vermulst, &amp;amp; Janssens, 2010)&lt;/DisplayText&gt;&lt;record&gt;&lt;rec-number&gt;241&lt;/rec-number&gt;&lt;foreign-keys&gt;&lt;key app="EN" db-id="drevp2w2uz2zr0esepxpep0h9z9w09zd9v9t" timestamp="1617841260"&gt;241&lt;/key&gt;&lt;/foreign-keys&gt;&lt;ref-type name="Journal Article"&gt;17&lt;/ref-type&gt;&lt;contributors&gt;&lt;authors&gt;&lt;author&gt;Stone, Lisanne L&lt;/author&gt;&lt;author&gt;Otten, Roy&lt;/author&gt;&lt;author&gt;Engels, Rutger CME&lt;/author&gt;&lt;author&gt;Vermulst, Ad A&lt;/author&gt;&lt;author&gt;Janssens, Jan MAM&lt;/author&gt;&lt;/authors&gt;&lt;/contributors&gt;&lt;titles&gt;&lt;title&gt;Psychometric properties of the parent and teacher versions of the strengths and difficulties questionnaire for 4-to 12-year-olds: a review&lt;/title&gt;&lt;secondary-title&gt;Clinical child and family psychology review&lt;/secondary-title&gt;&lt;/titles&gt;&lt;periodical&gt;&lt;full-title&gt;Clinical child and family psychology review&lt;/full-title&gt;&lt;/periodical&gt;&lt;pages&gt;254-274&lt;/pages&gt;&lt;volume&gt;13&lt;/volume&gt;&lt;number&gt;3&lt;/number&gt;&lt;dates&gt;&lt;year&gt;2010&lt;/year&gt;&lt;/dates&gt;&lt;isbn&gt;1096-4037&lt;/isbn&gt;&lt;urls&gt;&lt;/urls&gt;&lt;/record&gt;&lt;/Cite&gt;&lt;/EndNote&gt;</w:instrText>
      </w:r>
      <w:r w:rsidRPr="005C391B">
        <w:rPr>
          <w:rFonts w:eastAsia="Calibri" w:cstheme="minorHAnsi"/>
          <w:iCs/>
          <w:lang w:val="en-US"/>
        </w:rPr>
        <w:fldChar w:fldCharType="separate"/>
      </w:r>
      <w:r w:rsidRPr="005C391B">
        <w:rPr>
          <w:rFonts w:eastAsia="Calibri" w:cstheme="minorHAnsi"/>
          <w:iCs/>
          <w:noProof/>
          <w:lang w:val="en-US"/>
        </w:rPr>
        <w:t>(Stone, Otten, Engels, Vermulst, &amp; Janssens, 2010)</w:t>
      </w:r>
      <w:r w:rsidRPr="005C391B">
        <w:rPr>
          <w:rFonts w:eastAsia="Calibri" w:cstheme="minorHAnsi"/>
          <w:iCs/>
          <w:lang w:val="en-US"/>
        </w:rPr>
        <w:fldChar w:fldCharType="end"/>
      </w:r>
      <w:r w:rsidRPr="005C391B">
        <w:rPr>
          <w:rFonts w:eastAsia="Calibri" w:cstheme="minorHAnsi"/>
          <w:iCs/>
          <w:lang w:val="en-US"/>
        </w:rPr>
        <w:t xml:space="preserve">. Each item is scored on a 3-point Likert scale (‘not true’, ‘somewhat true’, and ‘certainly true’) by the child’s parents. Scores between 0-13 are considered normal, whereas scores between 17-40 represent severe psychological symptoms. The SDQ also looks at how severely the observed symptoms interfere with family relationships, friendships, learning in the classroom, and leisure activities. This ‘impact score’ is assessed by means of a 0 to 4 Likert scale (‘not at all’ to ‘a great deal’), with a score of 2 or greater representing problems in such areas </w:t>
      </w:r>
      <w:r w:rsidRPr="005C391B">
        <w:rPr>
          <w:rFonts w:eastAsia="Calibri" w:cstheme="minorHAnsi"/>
          <w:iCs/>
          <w:lang w:val="en-US"/>
        </w:rPr>
        <w:fldChar w:fldCharType="begin"/>
      </w:r>
      <w:r w:rsidR="00E1314A">
        <w:rPr>
          <w:rFonts w:eastAsia="Calibri" w:cstheme="minorHAnsi"/>
          <w:iCs/>
          <w:lang w:val="en-US"/>
        </w:rPr>
        <w:instrText xml:space="preserve"> ADDIN EN.CITE &lt;EndNote&gt;&lt;Cite&gt;&lt;Author&gt;Gordon&lt;/Author&gt;&lt;Year&gt;2015&lt;/Year&gt;&lt;RecNum&gt;224&lt;/RecNum&gt;&lt;DisplayText&gt;(Gordon, Rucklidge, Blampied, &amp;amp; Johnstone, 2015)&lt;/DisplayText&gt;&lt;record&gt;&lt;rec-number&gt;224&lt;/rec-number&gt;&lt;foreign-keys&gt;&lt;key app="EN" db-id="drevp2w2uz2zr0esepxpep0h9z9w09zd9v9t" timestamp="1617229882"&gt;224&lt;/key&gt;&lt;/foreign-keys&gt;&lt;ref-type name="Journal Article"&gt;17&lt;/ref-type&gt;&lt;contributors&gt;&lt;authors&gt;&lt;author&gt;Gordon, Heather A&lt;/author&gt;&lt;author&gt;Rucklidge, Julia J&lt;/author&gt;&lt;author&gt;Blampied, Neville M&lt;/author&gt;&lt;author&gt;Johnstone, Jeanette M&lt;/author&gt;&lt;/authors&gt;&lt;/contributors&gt;&lt;titles&gt;&lt;title&gt;Clinically significant symptom reduction in children with attention-deficit/hyperactivity disorder treated with micronutrients: an open-label reversal design study&lt;/title&gt;&lt;secondary-title&gt;Journal of child and adolescent psychopharmacology&lt;/secondary-title&gt;&lt;/titles&gt;&lt;periodical&gt;&lt;full-title&gt;Journal of child and adolescent psychopharmacology&lt;/full-title&gt;&lt;/periodical&gt;&lt;pages&gt;783-798&lt;/pages&gt;&lt;volume&gt;25&lt;/volume&gt;&lt;number&gt;10&lt;/number&gt;&lt;dates&gt;&lt;year&gt;2015&lt;/year&gt;&lt;/dates&gt;&lt;isbn&gt;1044-5463&lt;/isbn&gt;&lt;urls&gt;&lt;/urls&gt;&lt;/record&gt;&lt;/Cite&gt;&lt;/EndNote&gt;</w:instrText>
      </w:r>
      <w:r w:rsidRPr="005C391B">
        <w:rPr>
          <w:rFonts w:eastAsia="Calibri" w:cstheme="minorHAnsi"/>
          <w:iCs/>
          <w:lang w:val="en-US"/>
        </w:rPr>
        <w:fldChar w:fldCharType="separate"/>
      </w:r>
      <w:r w:rsidR="00E1314A">
        <w:rPr>
          <w:rFonts w:eastAsia="Calibri" w:cstheme="minorHAnsi"/>
          <w:iCs/>
          <w:noProof/>
          <w:lang w:val="en-US"/>
        </w:rPr>
        <w:t>(Gordon, Rucklidge, Blampied, &amp; Johnstone, 2015)</w:t>
      </w:r>
      <w:r w:rsidRPr="005C391B">
        <w:rPr>
          <w:rFonts w:eastAsia="Calibri" w:cstheme="minorHAnsi"/>
          <w:iCs/>
          <w:lang w:val="en-US"/>
        </w:rPr>
        <w:fldChar w:fldCharType="end"/>
      </w:r>
      <w:r w:rsidRPr="005C391B">
        <w:rPr>
          <w:rFonts w:eastAsia="Calibri" w:cstheme="minorHAnsi"/>
          <w:iCs/>
          <w:lang w:val="en-US"/>
        </w:rPr>
        <w:t xml:space="preserve">. </w:t>
      </w:r>
      <w:r w:rsidRPr="005C391B">
        <w:rPr>
          <w:rFonts w:cstheme="minorHAnsi"/>
          <w:color w:val="000000"/>
          <w:shd w:val="clear" w:color="auto" w:fill="FFFFFF"/>
        </w:rPr>
        <w:t>The SDQ is considered sufficiently internally consistent for the total difficulties scale (</w:t>
      </w:r>
      <w:r w:rsidRPr="005C391B">
        <w:rPr>
          <w:rFonts w:cstheme="minorHAnsi"/>
          <w:i/>
          <w:color w:val="000000"/>
          <w:shd w:val="clear" w:color="auto" w:fill="FFFFFF"/>
        </w:rPr>
        <w:t>α</w:t>
      </w:r>
      <w:r w:rsidRPr="005C391B">
        <w:rPr>
          <w:rFonts w:cstheme="minorHAnsi"/>
          <w:color w:val="000000"/>
          <w:shd w:val="clear" w:color="auto" w:fill="FFFFFF"/>
        </w:rPr>
        <w:t> = 0.78) as well as for the emotional problems subscale (</w:t>
      </w:r>
      <w:r w:rsidRPr="005C391B">
        <w:rPr>
          <w:rFonts w:cstheme="minorHAnsi"/>
          <w:i/>
          <w:color w:val="000000"/>
          <w:shd w:val="clear" w:color="auto" w:fill="FFFFFF"/>
        </w:rPr>
        <w:t>α</w:t>
      </w:r>
      <w:r w:rsidRPr="005C391B">
        <w:rPr>
          <w:rFonts w:cstheme="minorHAnsi"/>
          <w:color w:val="000000"/>
          <w:shd w:val="clear" w:color="auto" w:fill="FFFFFF"/>
        </w:rPr>
        <w:t> = 0.73). However, for the hyperactivity-inattention and prosocial behaviours its internal consistency is moderate (</w:t>
      </w:r>
      <w:r w:rsidRPr="005C391B">
        <w:rPr>
          <w:rFonts w:cstheme="minorHAnsi"/>
          <w:i/>
          <w:color w:val="000000"/>
          <w:shd w:val="clear" w:color="auto" w:fill="FFFFFF"/>
        </w:rPr>
        <w:t>α</w:t>
      </w:r>
      <w:r w:rsidRPr="005C391B">
        <w:rPr>
          <w:rFonts w:cstheme="minorHAnsi"/>
          <w:color w:val="000000"/>
          <w:shd w:val="clear" w:color="auto" w:fill="FFFFFF"/>
        </w:rPr>
        <w:t xml:space="preserve"> = 0.69 and </w:t>
      </w:r>
      <w:r w:rsidRPr="005C391B">
        <w:rPr>
          <w:rFonts w:cstheme="minorHAnsi"/>
          <w:i/>
          <w:color w:val="000000"/>
          <w:shd w:val="clear" w:color="auto" w:fill="FFFFFF"/>
        </w:rPr>
        <w:t>α</w:t>
      </w:r>
      <w:r w:rsidRPr="005C391B">
        <w:rPr>
          <w:rFonts w:cstheme="minorHAnsi"/>
          <w:color w:val="000000"/>
          <w:shd w:val="clear" w:color="auto" w:fill="FFFFFF"/>
        </w:rPr>
        <w:t> = 0.63 respectively), and poor for peer and conduct problems (</w:t>
      </w:r>
      <w:r w:rsidRPr="005C391B">
        <w:rPr>
          <w:rFonts w:cstheme="minorHAnsi"/>
          <w:i/>
          <w:color w:val="000000"/>
          <w:shd w:val="clear" w:color="auto" w:fill="FFFFFF"/>
        </w:rPr>
        <w:t>α</w:t>
      </w:r>
      <w:r w:rsidRPr="005C391B">
        <w:rPr>
          <w:rFonts w:cstheme="minorHAnsi"/>
          <w:color w:val="000000"/>
          <w:shd w:val="clear" w:color="auto" w:fill="FFFFFF"/>
        </w:rPr>
        <w:t xml:space="preserve"> = 0.57 and </w:t>
      </w:r>
      <w:r w:rsidRPr="005C391B">
        <w:rPr>
          <w:rFonts w:cstheme="minorHAnsi"/>
          <w:i/>
          <w:color w:val="000000"/>
          <w:shd w:val="clear" w:color="auto" w:fill="FFFFFF"/>
        </w:rPr>
        <w:t>α</w:t>
      </w:r>
      <w:r w:rsidRPr="005C391B">
        <w:rPr>
          <w:rFonts w:cstheme="minorHAnsi"/>
          <w:color w:val="000000"/>
          <w:shd w:val="clear" w:color="auto" w:fill="FFFFFF"/>
        </w:rPr>
        <w:t xml:space="preserve"> = 0.47 respectively) </w:t>
      </w:r>
      <w:r w:rsidRPr="005C391B">
        <w:rPr>
          <w:rFonts w:cstheme="minorHAnsi"/>
          <w:color w:val="000000"/>
          <w:shd w:val="clear" w:color="auto" w:fill="FFFFFF"/>
        </w:rPr>
        <w:fldChar w:fldCharType="begin"/>
      </w:r>
      <w:r w:rsidRPr="005C391B">
        <w:rPr>
          <w:rFonts w:cstheme="minorHAnsi"/>
          <w:color w:val="000000"/>
          <w:shd w:val="clear" w:color="auto" w:fill="FFFFFF"/>
        </w:rPr>
        <w:instrText xml:space="preserve"> ADDIN EN.CITE &lt;EndNote&gt;&lt;Cite&gt;&lt;Author&gt;Bøe&lt;/Author&gt;&lt;Year&gt;2016&lt;/Year&gt;&lt;RecNum&gt;264&lt;/RecNum&gt;&lt;DisplayText&gt;(Bøe, Hysing, Skogen, &amp;amp; Breivik, 2016)&lt;/DisplayText&gt;&lt;record&gt;&lt;rec-number&gt;264&lt;/rec-number&gt;&lt;foreign-keys&gt;&lt;key app="EN" db-id="drevp2w2uz2zr0esepxpep0h9z9w09zd9v9t" timestamp="1618533112"&gt;264&lt;/key&gt;&lt;/foreign-keys&gt;&lt;ref-type name="Journal Article"&gt;17&lt;/ref-type&gt;&lt;contributors&gt;&lt;authors&gt;&lt;author&gt;Bøe, Tormod&lt;/author&gt;&lt;author&gt;Hysing, Mari&lt;/author&gt;&lt;author&gt;Skogen, Jens Christoffer&lt;/author&gt;&lt;author&gt;Breivik, Kyrre&lt;/author&gt;&lt;/authors&gt;&lt;/contributors&gt;&lt;titles&gt;&lt;title&gt;The Strengths and Difficulties Questionnaire (SDQ): Factor structure and gender equivalence in Norwegian adolescents&lt;/title&gt;&lt;secondary-title&gt;PloS one&lt;/secondary-title&gt;&lt;/titles&gt;&lt;periodical&gt;&lt;full-title&gt;PloS one&lt;/full-title&gt;&lt;/periodical&gt;&lt;pages&gt;e0152202&lt;/pages&gt;&lt;volume&gt;11&lt;/volume&gt;&lt;number&gt;5&lt;/number&gt;&lt;dates&gt;&lt;year&gt;2016&lt;/year&gt;&lt;/dates&gt;&lt;isbn&gt;1932-6203&lt;/isbn&gt;&lt;urls&gt;&lt;/urls&gt;&lt;/record&gt;&lt;/Cite&gt;&lt;/EndNote&gt;</w:instrText>
      </w:r>
      <w:r w:rsidRPr="005C391B">
        <w:rPr>
          <w:rFonts w:cstheme="minorHAnsi"/>
          <w:color w:val="000000"/>
          <w:shd w:val="clear" w:color="auto" w:fill="FFFFFF"/>
        </w:rPr>
        <w:fldChar w:fldCharType="separate"/>
      </w:r>
      <w:r w:rsidRPr="005C391B">
        <w:rPr>
          <w:rFonts w:cstheme="minorHAnsi"/>
          <w:noProof/>
          <w:color w:val="000000"/>
          <w:shd w:val="clear" w:color="auto" w:fill="FFFFFF"/>
        </w:rPr>
        <w:t>(Bøe, Hysing, Skogen, &amp; Breivik, 2016)</w:t>
      </w:r>
      <w:r w:rsidRPr="005C391B">
        <w:rPr>
          <w:rFonts w:cstheme="minorHAnsi"/>
          <w:color w:val="000000"/>
          <w:shd w:val="clear" w:color="auto" w:fill="FFFFFF"/>
        </w:rPr>
        <w:fldChar w:fldCharType="end"/>
      </w:r>
      <w:r w:rsidRPr="005C391B">
        <w:rPr>
          <w:rFonts w:cstheme="minorHAnsi"/>
          <w:color w:val="000000"/>
          <w:shd w:val="clear" w:color="auto" w:fill="FFFFFF"/>
        </w:rPr>
        <w:t>.</w:t>
      </w:r>
    </w:p>
    <w:p w14:paraId="3721B019" w14:textId="33A9CEAC" w:rsidR="00BE41B3" w:rsidRPr="005C391B" w:rsidRDefault="00BE41B3" w:rsidP="00F410C0">
      <w:pPr>
        <w:autoSpaceDE w:val="0"/>
        <w:autoSpaceDN w:val="0"/>
        <w:adjustRightInd w:val="0"/>
        <w:spacing w:line="360" w:lineRule="auto"/>
        <w:jc w:val="both"/>
        <w:rPr>
          <w:rFonts w:cstheme="minorHAnsi"/>
          <w:color w:val="000000"/>
          <w:bdr w:val="none" w:sz="0" w:space="0" w:color="auto" w:frame="1"/>
          <w:shd w:val="clear" w:color="auto" w:fill="FFFFFF"/>
        </w:rPr>
      </w:pPr>
      <w:r w:rsidRPr="005C391B">
        <w:rPr>
          <w:rFonts w:eastAsia="Calibri" w:cstheme="minorHAnsi"/>
          <w:i/>
          <w:lang w:val="en-US"/>
        </w:rPr>
        <w:t>Adapted Clinical Global Impressions Improvement Scale (CGI-</w:t>
      </w:r>
      <w:proofErr w:type="spellStart"/>
      <w:r w:rsidRPr="005C391B">
        <w:rPr>
          <w:rFonts w:eastAsia="Calibri" w:cstheme="minorHAnsi"/>
          <w:i/>
          <w:lang w:val="en-US"/>
        </w:rPr>
        <w:t>I</w:t>
      </w:r>
      <w:r w:rsidRPr="005C391B">
        <w:rPr>
          <w:rFonts w:eastAsia="Calibri" w:cstheme="minorHAnsi"/>
          <w:i/>
          <w:vertAlign w:val="subscript"/>
          <w:lang w:val="en-US"/>
        </w:rPr>
        <w:t>Parent</w:t>
      </w:r>
      <w:proofErr w:type="spellEnd"/>
      <w:r w:rsidRPr="005C391B">
        <w:rPr>
          <w:rFonts w:eastAsia="Calibri" w:cstheme="minorHAnsi"/>
          <w:i/>
          <w:lang w:val="en-US"/>
        </w:rPr>
        <w:t>) (Guy, 1976):</w:t>
      </w:r>
      <w:r w:rsidRPr="005C391B">
        <w:rPr>
          <w:rFonts w:eastAsia="Calibri" w:cstheme="minorHAnsi"/>
          <w:lang w:val="en-US"/>
        </w:rPr>
        <w:t xml:space="preserve"> The original CGI-I was a clinician-administered scale that rates how much better/worse the participant is since participation in the trial across </w:t>
      </w:r>
      <w:r w:rsidR="00C721D6">
        <w:rPr>
          <w:rFonts w:eastAsia="Calibri" w:cstheme="minorHAnsi"/>
          <w:lang w:val="en-US"/>
        </w:rPr>
        <w:t xml:space="preserve">irritability/emotion dysregulation, mood, stress, sleep, and energy. </w:t>
      </w:r>
      <w:r w:rsidRPr="005C391B">
        <w:rPr>
          <w:rFonts w:eastAsia="Calibri" w:cstheme="minorHAnsi"/>
          <w:lang w:val="en-US"/>
        </w:rPr>
        <w:t xml:space="preserve">Each item has seven responses, ranging from “very much improved” (1) to “very much worse” (7) and helps to provide a brief, overall assessment of the participant. In the proposed study, the CGI-I </w:t>
      </w:r>
      <w:r w:rsidR="007C7E5C">
        <w:rPr>
          <w:rFonts w:eastAsia="Calibri" w:cstheme="minorHAnsi"/>
          <w:lang w:val="en-US"/>
        </w:rPr>
        <w:t>will also be</w:t>
      </w:r>
      <w:r w:rsidRPr="005C391B">
        <w:rPr>
          <w:rFonts w:eastAsia="Calibri" w:cstheme="minorHAnsi"/>
          <w:lang w:val="en-US"/>
        </w:rPr>
        <w:t xml:space="preserve"> adapted so that it represents the parent’s perception of change in their children’s </w:t>
      </w:r>
      <w:proofErr w:type="spellStart"/>
      <w:r w:rsidRPr="005C391B">
        <w:rPr>
          <w:rFonts w:eastAsia="Calibri" w:cstheme="minorHAnsi"/>
          <w:lang w:val="en-US"/>
        </w:rPr>
        <w:t>behaviour</w:t>
      </w:r>
      <w:proofErr w:type="spellEnd"/>
      <w:r w:rsidRPr="005C391B">
        <w:rPr>
          <w:rFonts w:eastAsia="Calibri" w:cstheme="minorHAnsi"/>
          <w:lang w:val="en-US"/>
        </w:rPr>
        <w:t xml:space="preserve"> (</w:t>
      </w:r>
      <w:proofErr w:type="spellStart"/>
      <w:r w:rsidRPr="005C391B">
        <w:rPr>
          <w:rFonts w:eastAsia="Calibri" w:cstheme="minorHAnsi"/>
          <w:lang w:val="en-US"/>
        </w:rPr>
        <w:t>CGI_I</w:t>
      </w:r>
      <w:r w:rsidRPr="005C391B">
        <w:rPr>
          <w:rFonts w:eastAsia="Calibri" w:cstheme="minorHAnsi"/>
          <w:vertAlign w:val="subscript"/>
          <w:lang w:val="en-US"/>
        </w:rPr>
        <w:t>Parent</w:t>
      </w:r>
      <w:proofErr w:type="spellEnd"/>
      <w:r w:rsidRPr="005C391B">
        <w:rPr>
          <w:rFonts w:eastAsia="Calibri" w:cstheme="minorHAnsi"/>
          <w:lang w:val="en-US"/>
        </w:rPr>
        <w:t xml:space="preserve">). In the proposed study, the CGI-I is not used during baseline assessment. </w:t>
      </w:r>
      <w:r w:rsidRPr="005C391B">
        <w:rPr>
          <w:rFonts w:cstheme="minorHAnsi"/>
          <w:color w:val="000000"/>
          <w:bdr w:val="none" w:sz="0" w:space="0" w:color="auto" w:frame="1"/>
          <w:shd w:val="clear" w:color="auto" w:fill="FFFFFF"/>
        </w:rPr>
        <w:t>The CGI-I has demonstrated high external validity (</w:t>
      </w:r>
      <w:r w:rsidRPr="005C391B">
        <w:rPr>
          <w:rFonts w:cstheme="minorHAnsi"/>
          <w:i/>
          <w:color w:val="000000"/>
          <w:bdr w:val="none" w:sz="0" w:space="0" w:color="auto" w:frame="1"/>
          <w:shd w:val="clear" w:color="auto" w:fill="FFFFFF"/>
        </w:rPr>
        <w:t xml:space="preserve">r </w:t>
      </w:r>
      <w:r w:rsidRPr="005C391B">
        <w:rPr>
          <w:rFonts w:cstheme="minorHAnsi"/>
          <w:color w:val="000000"/>
          <w:bdr w:val="none" w:sz="0" w:space="0" w:color="auto" w:frame="1"/>
          <w:shd w:val="clear" w:color="auto" w:fill="FFFFFF"/>
        </w:rPr>
        <w:t>= 0.74) (Kadouri et al., 2007) and is widely used in clinical trials.</w:t>
      </w:r>
    </w:p>
    <w:p w14:paraId="45A07D0B" w14:textId="25FB2B19" w:rsidR="003B1AE5" w:rsidRPr="005C391B" w:rsidRDefault="00EA5512" w:rsidP="00F410C0">
      <w:pPr>
        <w:autoSpaceDE w:val="0"/>
        <w:autoSpaceDN w:val="0"/>
        <w:adjustRightInd w:val="0"/>
        <w:spacing w:line="360" w:lineRule="auto"/>
        <w:jc w:val="both"/>
        <w:rPr>
          <w:rFonts w:eastAsia="Calibri" w:cstheme="minorHAnsi"/>
          <w:iCs/>
        </w:rPr>
      </w:pPr>
      <w:r>
        <w:rPr>
          <w:rFonts w:eastAsia="Calibri" w:cstheme="minorHAnsi"/>
          <w:i/>
          <w:iCs/>
          <w:lang w:val="en-US"/>
        </w:rPr>
        <w:t xml:space="preserve">The </w:t>
      </w:r>
      <w:r w:rsidR="00184FBF">
        <w:rPr>
          <w:rFonts w:eastAsia="Calibri" w:cstheme="minorHAnsi"/>
          <w:i/>
          <w:iCs/>
          <w:lang w:val="en-US"/>
        </w:rPr>
        <w:t xml:space="preserve">Child </w:t>
      </w:r>
      <w:r>
        <w:rPr>
          <w:rFonts w:eastAsia="Calibri" w:cstheme="minorHAnsi"/>
          <w:i/>
          <w:iCs/>
          <w:lang w:val="en-US"/>
        </w:rPr>
        <w:t>Swanson, Nolan, and Pelham-IV Questionnaire</w:t>
      </w:r>
      <w:r w:rsidR="0061590B">
        <w:rPr>
          <w:rFonts w:eastAsia="Calibri" w:cstheme="minorHAnsi"/>
          <w:i/>
          <w:iCs/>
          <w:lang w:val="en-US"/>
        </w:rPr>
        <w:t xml:space="preserve"> (SNAP-IV)</w:t>
      </w:r>
      <w:r>
        <w:rPr>
          <w:rFonts w:eastAsia="Calibri" w:cstheme="minorHAnsi"/>
          <w:i/>
          <w:iCs/>
          <w:lang w:val="en-US"/>
        </w:rPr>
        <w:t xml:space="preserve"> (Swanson, 1992; Swanson et al., 1983): </w:t>
      </w:r>
      <w:r w:rsidRPr="00EA5512">
        <w:rPr>
          <w:rFonts w:eastAsia="Calibri" w:cstheme="minorHAnsi"/>
          <w:iCs/>
          <w:lang w:val="en-US"/>
        </w:rPr>
        <w:t xml:space="preserve">The </w:t>
      </w:r>
      <w:r w:rsidR="00184FBF">
        <w:rPr>
          <w:rFonts w:eastAsia="Calibri" w:cstheme="minorHAnsi"/>
          <w:iCs/>
          <w:lang w:val="en-US"/>
        </w:rPr>
        <w:t xml:space="preserve">child </w:t>
      </w:r>
      <w:r w:rsidRPr="00EA5512">
        <w:rPr>
          <w:rFonts w:eastAsia="Calibri" w:cstheme="minorHAnsi"/>
          <w:iCs/>
          <w:lang w:val="en-US"/>
        </w:rPr>
        <w:t>SNAP-IV</w:t>
      </w:r>
      <w:r w:rsidR="003B1AE5" w:rsidRPr="00EA5512">
        <w:rPr>
          <w:rFonts w:eastAsia="Calibri" w:cstheme="minorHAnsi"/>
          <w:iCs/>
          <w:lang w:val="en-US"/>
        </w:rPr>
        <w:t xml:space="preserve"> </w:t>
      </w:r>
      <w:r w:rsidR="003B1AE5" w:rsidRPr="005C391B">
        <w:rPr>
          <w:rFonts w:eastAsia="Calibri" w:cstheme="minorHAnsi"/>
          <w:iCs/>
          <w:lang w:val="en-US"/>
        </w:rPr>
        <w:t xml:space="preserve">assesses symptoms of ADHD </w:t>
      </w:r>
      <w:r w:rsidR="00184FBF">
        <w:rPr>
          <w:rFonts w:eastAsia="Calibri" w:cstheme="minorHAnsi"/>
          <w:iCs/>
          <w:lang w:val="en-US"/>
        </w:rPr>
        <w:t xml:space="preserve">and oppositional defiant disorder (ODD) in children every 4 weeks. </w:t>
      </w:r>
      <w:r w:rsidR="003B1AE5" w:rsidRPr="005C391B">
        <w:rPr>
          <w:rFonts w:eastAsia="Calibri" w:cstheme="minorHAnsi"/>
          <w:iCs/>
          <w:lang w:val="en-US"/>
        </w:rPr>
        <w:t xml:space="preserve"> It is a parent-</w:t>
      </w:r>
      <w:r w:rsidR="00D4713B">
        <w:rPr>
          <w:rFonts w:eastAsia="Calibri" w:cstheme="minorHAnsi"/>
          <w:iCs/>
          <w:lang w:val="en-US"/>
        </w:rPr>
        <w:t xml:space="preserve"> and teacher-</w:t>
      </w:r>
      <w:r w:rsidR="003B1AE5" w:rsidRPr="005C391B">
        <w:rPr>
          <w:rFonts w:eastAsia="Calibri" w:cstheme="minorHAnsi"/>
          <w:iCs/>
          <w:lang w:val="en-US"/>
        </w:rPr>
        <w:t>rating scale that has</w:t>
      </w:r>
      <w:r w:rsidR="00184FBF">
        <w:rPr>
          <w:rFonts w:eastAsia="Calibri" w:cstheme="minorHAnsi"/>
          <w:iCs/>
          <w:lang w:val="en-US"/>
        </w:rPr>
        <w:t xml:space="preserve"> three</w:t>
      </w:r>
      <w:r w:rsidR="003B1AE5" w:rsidRPr="005C391B">
        <w:rPr>
          <w:rFonts w:eastAsia="Calibri" w:cstheme="minorHAnsi"/>
          <w:iCs/>
          <w:lang w:val="en-US"/>
        </w:rPr>
        <w:t xml:space="preserve"> subscales: inattention</w:t>
      </w:r>
      <w:r w:rsidR="00184FBF">
        <w:rPr>
          <w:rFonts w:eastAsia="Calibri" w:cstheme="minorHAnsi"/>
          <w:iCs/>
          <w:lang w:val="en-US"/>
        </w:rPr>
        <w:t xml:space="preserve"> (item 1-9), </w:t>
      </w:r>
      <w:r w:rsidR="003B1AE5" w:rsidRPr="005C391B">
        <w:rPr>
          <w:rFonts w:eastAsia="Calibri" w:cstheme="minorHAnsi"/>
          <w:iCs/>
          <w:lang w:val="en-US"/>
        </w:rPr>
        <w:t>hyperactivity-impulsivity</w:t>
      </w:r>
      <w:r w:rsidR="00184FBF">
        <w:rPr>
          <w:rFonts w:eastAsia="Calibri" w:cstheme="minorHAnsi"/>
          <w:iCs/>
          <w:lang w:val="en-US"/>
        </w:rPr>
        <w:t xml:space="preserve"> (item 10-18)</w:t>
      </w:r>
      <w:r w:rsidR="003B1AE5" w:rsidRPr="005C391B">
        <w:rPr>
          <w:rFonts w:eastAsia="Calibri" w:cstheme="minorHAnsi"/>
          <w:iCs/>
          <w:lang w:val="en-US"/>
        </w:rPr>
        <w:t>,</w:t>
      </w:r>
      <w:r w:rsidR="00184FBF">
        <w:rPr>
          <w:rFonts w:eastAsia="Calibri" w:cstheme="minorHAnsi"/>
          <w:iCs/>
          <w:lang w:val="en-US"/>
        </w:rPr>
        <w:t xml:space="preserve"> and symptoms of ODD (item 19-26),</w:t>
      </w:r>
      <w:r w:rsidR="003B1AE5" w:rsidRPr="005C391B">
        <w:rPr>
          <w:rFonts w:eastAsia="Calibri" w:cstheme="minorHAnsi"/>
          <w:iCs/>
          <w:lang w:val="en-US"/>
        </w:rPr>
        <w:t xml:space="preserve"> which are each scored on a </w:t>
      </w:r>
      <w:r w:rsidR="00D4713B">
        <w:rPr>
          <w:rFonts w:eastAsia="Calibri" w:cstheme="minorHAnsi"/>
          <w:iCs/>
          <w:lang w:val="en-US"/>
        </w:rPr>
        <w:t xml:space="preserve">4-point </w:t>
      </w:r>
      <w:r w:rsidR="003B1AE5" w:rsidRPr="005C391B">
        <w:rPr>
          <w:rFonts w:eastAsia="Calibri" w:cstheme="minorHAnsi"/>
          <w:iCs/>
          <w:lang w:val="en-US"/>
        </w:rPr>
        <w:t>Likert scale (‘no</w:t>
      </w:r>
      <w:r w:rsidR="00184FBF">
        <w:rPr>
          <w:rFonts w:eastAsia="Calibri" w:cstheme="minorHAnsi"/>
          <w:iCs/>
          <w:lang w:val="en-US"/>
        </w:rPr>
        <w:t>t at all</w:t>
      </w:r>
      <w:r w:rsidR="003B1AE5" w:rsidRPr="005C391B">
        <w:rPr>
          <w:rFonts w:eastAsia="Calibri" w:cstheme="minorHAnsi"/>
          <w:iCs/>
          <w:lang w:val="en-US"/>
        </w:rPr>
        <w:t>’, ‘</w:t>
      </w:r>
      <w:r w:rsidR="00184FBF">
        <w:rPr>
          <w:rFonts w:eastAsia="Calibri" w:cstheme="minorHAnsi"/>
          <w:iCs/>
          <w:lang w:val="en-US"/>
        </w:rPr>
        <w:t>just a little</w:t>
      </w:r>
      <w:r w:rsidR="003B1AE5" w:rsidRPr="005C391B">
        <w:rPr>
          <w:rFonts w:eastAsia="Calibri" w:cstheme="minorHAnsi"/>
          <w:iCs/>
          <w:lang w:val="en-US"/>
        </w:rPr>
        <w:t>’, ‘</w:t>
      </w:r>
      <w:r w:rsidR="00184FBF">
        <w:rPr>
          <w:rFonts w:eastAsia="Calibri" w:cstheme="minorHAnsi"/>
          <w:iCs/>
          <w:lang w:val="en-US"/>
        </w:rPr>
        <w:t>quite a bit</w:t>
      </w:r>
      <w:r w:rsidR="003B1AE5" w:rsidRPr="005C391B">
        <w:rPr>
          <w:rFonts w:eastAsia="Calibri" w:cstheme="minorHAnsi"/>
          <w:iCs/>
          <w:lang w:val="en-US"/>
        </w:rPr>
        <w:t>’, and ‘</w:t>
      </w:r>
      <w:r w:rsidR="00184FBF">
        <w:rPr>
          <w:rFonts w:eastAsia="Calibri" w:cstheme="minorHAnsi"/>
          <w:iCs/>
          <w:lang w:val="en-US"/>
        </w:rPr>
        <w:t>very much</w:t>
      </w:r>
      <w:r w:rsidR="003B1AE5" w:rsidRPr="005C391B">
        <w:rPr>
          <w:rFonts w:eastAsia="Calibri" w:cstheme="minorHAnsi"/>
          <w:iCs/>
          <w:lang w:val="en-US"/>
        </w:rPr>
        <w:t xml:space="preserve">’). The </w:t>
      </w:r>
      <w:r w:rsidR="00D4713B">
        <w:rPr>
          <w:rFonts w:eastAsia="Calibri" w:cstheme="minorHAnsi"/>
          <w:iCs/>
          <w:lang w:val="en-US"/>
        </w:rPr>
        <w:t>SNAP-IV</w:t>
      </w:r>
      <w:r w:rsidR="003B1AE5" w:rsidRPr="005C391B">
        <w:rPr>
          <w:rFonts w:eastAsia="Calibri" w:cstheme="minorHAnsi"/>
          <w:iCs/>
          <w:lang w:val="en-US"/>
        </w:rPr>
        <w:t xml:space="preserve"> displays high internal consistency (</w:t>
      </w:r>
      <w:r w:rsidR="003B1AE5" w:rsidRPr="005C391B">
        <w:rPr>
          <w:rFonts w:cstheme="minorHAnsi"/>
          <w:i/>
          <w:color w:val="000000"/>
          <w:shd w:val="clear" w:color="auto" w:fill="FFFFFF"/>
        </w:rPr>
        <w:t xml:space="preserve">α </w:t>
      </w:r>
      <w:r w:rsidR="003B1AE5" w:rsidRPr="005C391B">
        <w:rPr>
          <w:rStyle w:val="Emphasis"/>
          <w:rFonts w:cstheme="minorHAnsi"/>
          <w:color w:val="000000"/>
          <w:shd w:val="clear" w:color="auto" w:fill="FFFFFF"/>
        </w:rPr>
        <w:t>=</w:t>
      </w:r>
      <w:r w:rsidR="003B1AE5" w:rsidRPr="005C391B">
        <w:rPr>
          <w:rFonts w:eastAsia="Calibri" w:cstheme="minorHAnsi"/>
          <w:iCs/>
        </w:rPr>
        <w:t>.</w:t>
      </w:r>
      <w:r w:rsidR="00D4713B">
        <w:rPr>
          <w:rFonts w:eastAsia="Calibri" w:cstheme="minorHAnsi"/>
          <w:iCs/>
        </w:rPr>
        <w:t>94</w:t>
      </w:r>
      <w:r w:rsidR="003B1AE5" w:rsidRPr="005C391B">
        <w:rPr>
          <w:rFonts w:eastAsia="Calibri" w:cstheme="minorHAnsi"/>
          <w:iCs/>
        </w:rPr>
        <w:t xml:space="preserve">) </w:t>
      </w:r>
      <w:r w:rsidR="00B22D39">
        <w:rPr>
          <w:rFonts w:eastAsia="Calibri" w:cstheme="minorHAnsi"/>
          <w:iCs/>
        </w:rPr>
        <w:t xml:space="preserve">and </w:t>
      </w:r>
      <w:r w:rsidR="00D4713B">
        <w:rPr>
          <w:rFonts w:eastAsia="Calibri" w:cstheme="minorHAnsi"/>
          <w:iCs/>
        </w:rPr>
        <w:t xml:space="preserve">sufficient interrater reliability </w:t>
      </w:r>
      <w:r w:rsidR="003B1AE5" w:rsidRPr="005C391B">
        <w:rPr>
          <w:rFonts w:eastAsia="Calibri" w:cstheme="minorHAnsi"/>
          <w:iCs/>
        </w:rPr>
        <w:t>and test-retest reliability (</w:t>
      </w:r>
      <w:r w:rsidR="003B1AE5" w:rsidRPr="005C391B">
        <w:rPr>
          <w:rFonts w:eastAsia="Calibri" w:cstheme="minorHAnsi"/>
          <w:bCs/>
          <w:i/>
          <w:lang w:val="en-US"/>
        </w:rPr>
        <w:t xml:space="preserve">r </w:t>
      </w:r>
      <w:r w:rsidR="003B1AE5" w:rsidRPr="005C391B">
        <w:rPr>
          <w:rStyle w:val="Emphasis"/>
          <w:rFonts w:cstheme="minorHAnsi"/>
          <w:color w:val="000000"/>
          <w:shd w:val="clear" w:color="auto" w:fill="FFFFFF"/>
        </w:rPr>
        <w:t>=</w:t>
      </w:r>
      <w:r w:rsidR="003B1AE5" w:rsidRPr="005C391B">
        <w:rPr>
          <w:rFonts w:eastAsia="Calibri" w:cstheme="minorHAnsi"/>
          <w:iCs/>
        </w:rPr>
        <w:t>.</w:t>
      </w:r>
      <w:r w:rsidR="00B22D39">
        <w:rPr>
          <w:rFonts w:eastAsia="Calibri" w:cstheme="minorHAnsi"/>
          <w:iCs/>
        </w:rPr>
        <w:t>43</w:t>
      </w:r>
      <w:r w:rsidR="003B1AE5" w:rsidRPr="005C391B">
        <w:rPr>
          <w:rFonts w:eastAsia="Calibri" w:cstheme="minorHAnsi"/>
          <w:iCs/>
        </w:rPr>
        <w:t>-.</w:t>
      </w:r>
      <w:r w:rsidR="00B22D39">
        <w:rPr>
          <w:rFonts w:eastAsia="Calibri" w:cstheme="minorHAnsi"/>
          <w:iCs/>
        </w:rPr>
        <w:t>49</w:t>
      </w:r>
      <w:r w:rsidR="003B1AE5" w:rsidRPr="005C391B">
        <w:rPr>
          <w:rFonts w:eastAsia="Calibri" w:cstheme="minorHAnsi"/>
          <w:iCs/>
        </w:rPr>
        <w:t>)</w:t>
      </w:r>
      <w:r w:rsidR="002E2016">
        <w:rPr>
          <w:rFonts w:eastAsia="Calibri" w:cstheme="minorHAnsi"/>
          <w:iCs/>
        </w:rPr>
        <w:t xml:space="preserve"> (Bussing et al., 2008)</w:t>
      </w:r>
      <w:r w:rsidR="00B22D39">
        <w:rPr>
          <w:rFonts w:eastAsia="Calibri" w:cstheme="minorHAnsi"/>
          <w:iCs/>
        </w:rPr>
        <w:t xml:space="preserve">. </w:t>
      </w:r>
      <w:r w:rsidR="003B1AE5" w:rsidRPr="005C391B">
        <w:rPr>
          <w:rFonts w:eastAsia="Calibri" w:cstheme="minorHAnsi"/>
          <w:iCs/>
        </w:rPr>
        <w:t xml:space="preserve">In the proposed study, the </w:t>
      </w:r>
      <w:r w:rsidR="00D4713B">
        <w:rPr>
          <w:rFonts w:eastAsia="Calibri" w:cstheme="minorHAnsi"/>
          <w:iCs/>
        </w:rPr>
        <w:t>SNAP-IV</w:t>
      </w:r>
      <w:r w:rsidR="003B1AE5" w:rsidRPr="005C391B">
        <w:rPr>
          <w:rFonts w:eastAsia="Calibri" w:cstheme="minorHAnsi"/>
          <w:iCs/>
        </w:rPr>
        <w:t xml:space="preserve"> will be emailed to another</w:t>
      </w:r>
      <w:r w:rsidR="003B1AE5">
        <w:rPr>
          <w:rFonts w:eastAsia="Calibri" w:cstheme="minorHAnsi"/>
          <w:iCs/>
        </w:rPr>
        <w:t xml:space="preserve"> significant</w:t>
      </w:r>
      <w:r w:rsidR="003B1AE5" w:rsidRPr="005C391B">
        <w:rPr>
          <w:rFonts w:eastAsia="Calibri" w:cstheme="minorHAnsi"/>
          <w:iCs/>
        </w:rPr>
        <w:t xml:space="preserve"> adult </w:t>
      </w:r>
      <w:r w:rsidR="003B1AE5">
        <w:rPr>
          <w:rFonts w:eastAsia="Calibri" w:cstheme="minorHAnsi"/>
          <w:iCs/>
        </w:rPr>
        <w:t xml:space="preserve">in the children’s life, for example aunties/uncles, grandparents, or teachers </w:t>
      </w:r>
      <w:r w:rsidR="003B1AE5" w:rsidRPr="005C391B">
        <w:rPr>
          <w:rFonts w:eastAsia="Calibri" w:cstheme="minorHAnsi"/>
          <w:iCs/>
        </w:rPr>
        <w:t xml:space="preserve">(in addition to the parent) at baseline and during the last month where participants take the nutrients. </w:t>
      </w:r>
    </w:p>
    <w:p w14:paraId="5CDD51EB" w14:textId="77777777" w:rsidR="00BE41B3" w:rsidRPr="005C391B" w:rsidRDefault="00BE41B3" w:rsidP="00F410C0">
      <w:pPr>
        <w:autoSpaceDE w:val="0"/>
        <w:autoSpaceDN w:val="0"/>
        <w:adjustRightInd w:val="0"/>
        <w:spacing w:line="360" w:lineRule="auto"/>
        <w:jc w:val="both"/>
        <w:rPr>
          <w:rFonts w:eastAsia="Calibri" w:cstheme="minorHAnsi"/>
          <w:iCs/>
          <w:lang w:val="en-US"/>
        </w:rPr>
      </w:pPr>
      <w:r w:rsidRPr="005C391B">
        <w:rPr>
          <w:rFonts w:eastAsia="Calibri" w:cstheme="minorHAnsi"/>
          <w:i/>
          <w:iCs/>
          <w:lang w:val="en-US"/>
        </w:rPr>
        <w:t xml:space="preserve">The Children’s Sleep Habits Questionnaire (CSHQ) (Owens et al., 2000): </w:t>
      </w:r>
      <w:r w:rsidRPr="005C391B">
        <w:rPr>
          <w:rFonts w:eastAsia="Calibri" w:cstheme="minorHAnsi"/>
          <w:iCs/>
          <w:lang w:val="en-US"/>
        </w:rPr>
        <w:t xml:space="preserve">The CSHQ is a parent-rated measure that assesses sleep in school-aged children. It consists of eight subscales that are both scored individually and make up a total score, identifying sleep problems. In the proposed study, only the total score will be reported, with a score of 41 (larger = more severe) representing the clinical cut-off score for sleep problems. Larger </w:t>
      </w:r>
      <w:r w:rsidRPr="005C391B">
        <w:rPr>
          <w:rFonts w:eastAsia="Calibri" w:cstheme="minorHAnsi"/>
          <w:iCs/>
          <w:lang w:val="en-US"/>
        </w:rPr>
        <w:lastRenderedPageBreak/>
        <w:t>scores indicate more severe sleeping problems. The CSHQ has sufficient internal consistency (</w:t>
      </w:r>
      <w:r w:rsidRPr="005C391B">
        <w:rPr>
          <w:rFonts w:cstheme="minorHAnsi"/>
          <w:i/>
          <w:color w:val="000000"/>
          <w:shd w:val="clear" w:color="auto" w:fill="FFFFFF"/>
        </w:rPr>
        <w:t>α</w:t>
      </w:r>
      <w:r w:rsidRPr="005C391B">
        <w:rPr>
          <w:rFonts w:eastAsia="Calibri" w:cstheme="minorHAnsi"/>
          <w:i/>
          <w:iCs/>
          <w:lang w:val="en-US"/>
        </w:rPr>
        <w:t xml:space="preserve"> </w:t>
      </w:r>
      <w:r w:rsidRPr="005C391B">
        <w:rPr>
          <w:rFonts w:eastAsia="Calibri" w:cstheme="minorHAnsi"/>
          <w:iCs/>
          <w:lang w:val="en-US"/>
        </w:rPr>
        <w:t>= 0.68-0.78), adequate test-retest reliability (</w:t>
      </w:r>
      <w:r w:rsidRPr="005C391B">
        <w:rPr>
          <w:rFonts w:eastAsia="Calibri" w:cstheme="minorHAnsi"/>
          <w:i/>
          <w:iCs/>
          <w:lang w:val="en-US"/>
        </w:rPr>
        <w:t>r</w:t>
      </w:r>
      <w:r w:rsidRPr="005C391B">
        <w:rPr>
          <w:rFonts w:eastAsia="Calibri" w:cstheme="minorHAnsi"/>
          <w:iCs/>
          <w:lang w:val="en-US"/>
        </w:rPr>
        <w:t xml:space="preserve"> = 0.62-0.79), a sensitivity of 0.80, and a specificity of 0.72 (Owens et al., 2000). </w:t>
      </w:r>
    </w:p>
    <w:p w14:paraId="319C7E96" w14:textId="77777777" w:rsidR="00BE41B3" w:rsidRPr="005C391B" w:rsidRDefault="00BE41B3" w:rsidP="00F410C0">
      <w:pPr>
        <w:autoSpaceDE w:val="0"/>
        <w:autoSpaceDN w:val="0"/>
        <w:adjustRightInd w:val="0"/>
        <w:spacing w:line="360" w:lineRule="auto"/>
        <w:jc w:val="both"/>
        <w:rPr>
          <w:rFonts w:eastAsia="Calibri" w:cstheme="minorHAnsi"/>
          <w:bCs/>
          <w:lang w:val="de-DE"/>
        </w:rPr>
      </w:pPr>
      <w:r w:rsidRPr="005C391B">
        <w:rPr>
          <w:rFonts w:eastAsia="Calibri" w:cstheme="minorHAnsi"/>
          <w:bCs/>
          <w:i/>
          <w:lang w:val="de-DE"/>
        </w:rPr>
        <w:t>Eating Behaviour Questionnaire (Baker et al., 2003)</w:t>
      </w:r>
      <w:r w:rsidRPr="005C391B">
        <w:rPr>
          <w:rFonts w:eastAsia="Calibri" w:cstheme="minorHAnsi"/>
          <w:bCs/>
          <w:lang w:val="de-DE"/>
        </w:rPr>
        <w:t>: By means of a dietary questionnaire the parent’s and child’s general diet and eating behaviour is assessed. In particular, parents fill out various questions represe</w:t>
      </w:r>
      <w:r w:rsidR="007C7E5C">
        <w:rPr>
          <w:rFonts w:eastAsia="Calibri" w:cstheme="minorHAnsi"/>
          <w:bCs/>
          <w:lang w:val="de-DE"/>
        </w:rPr>
        <w:t>n</w:t>
      </w:r>
      <w:r w:rsidRPr="005C391B">
        <w:rPr>
          <w:rFonts w:eastAsia="Calibri" w:cstheme="minorHAnsi"/>
          <w:bCs/>
          <w:lang w:val="de-DE"/>
        </w:rPr>
        <w:t>ting their and their child’s diet and eating pattern, including how many servings of fruit and vegetables they eat per day, how much food they eat per meal, how regular they eat, and how frequently they eat processed foods and fast-food. Lastly, participants are asked to rate their diet on a scale of 1 (not very healthy) to 7 (very healthy). The total score ranges from 9-47, and a higher score represents a healthier diet. Parents answer the dietary questionnaire during the first and the last study phase.</w:t>
      </w:r>
    </w:p>
    <w:p w14:paraId="5BB10EA4" w14:textId="5F41AF0A" w:rsidR="00BE41B3" w:rsidRPr="005C391B" w:rsidRDefault="00BE41B3" w:rsidP="00F410C0">
      <w:pPr>
        <w:autoSpaceDE w:val="0"/>
        <w:autoSpaceDN w:val="0"/>
        <w:adjustRightInd w:val="0"/>
        <w:spacing w:line="360" w:lineRule="auto"/>
        <w:jc w:val="both"/>
        <w:rPr>
          <w:rFonts w:cstheme="minorHAnsi"/>
          <w:color w:val="000000"/>
          <w:shd w:val="clear" w:color="auto" w:fill="FFFFFF"/>
        </w:rPr>
      </w:pPr>
      <w:r w:rsidRPr="005C391B">
        <w:rPr>
          <w:rFonts w:eastAsia="Calibri" w:cstheme="minorHAnsi"/>
          <w:i/>
          <w:lang w:val="en-US"/>
        </w:rPr>
        <w:t xml:space="preserve">Abbreviated Acceptability Rating Profile (AARP) (Tarnowski &amp; Simonian, 1992). </w:t>
      </w:r>
      <w:r w:rsidRPr="005C391B">
        <w:rPr>
          <w:rFonts w:eastAsia="Calibri" w:cstheme="minorHAnsi"/>
          <w:lang w:val="en-US"/>
        </w:rPr>
        <w:t xml:space="preserve">At the end of the trial, parents will be asked whether they perceive the Lightning </w:t>
      </w:r>
      <w:proofErr w:type="spellStart"/>
      <w:r w:rsidRPr="005C391B">
        <w:rPr>
          <w:rFonts w:eastAsia="Calibri" w:cstheme="minorHAnsi"/>
          <w:lang w:val="en-US"/>
        </w:rPr>
        <w:t>Stiks</w:t>
      </w:r>
      <w:r w:rsidRPr="005C391B">
        <w:rPr>
          <w:rFonts w:eastAsia="Calibri" w:cstheme="minorHAnsi"/>
          <w:vertAlign w:val="superscript"/>
          <w:lang w:val="en-US"/>
        </w:rPr>
        <w:t>TM</w:t>
      </w:r>
      <w:proofErr w:type="spellEnd"/>
      <w:r w:rsidRPr="005C391B">
        <w:rPr>
          <w:rFonts w:eastAsia="Calibri" w:cstheme="minorHAnsi"/>
          <w:lang w:val="en-US"/>
        </w:rPr>
        <w:t xml:space="preserve"> as a helpful and acceptable treatment to reduce the children’s irritability and emotional dysregulation </w:t>
      </w:r>
      <w:r w:rsidRPr="005C391B">
        <w:rPr>
          <w:rFonts w:eastAsia="Calibri" w:cstheme="minorHAnsi"/>
          <w:iCs/>
          <w:lang w:val="en-US"/>
        </w:rPr>
        <w:t>by means of the AARP. The AARP is a parent-administered, 8 item rating-scale, with each item being scored on 6-point Likert scale (1</w:t>
      </w:r>
      <w:r w:rsidR="00271352">
        <w:rPr>
          <w:rFonts w:eastAsia="Calibri" w:cstheme="minorHAnsi"/>
          <w:iCs/>
          <w:lang w:val="en-US"/>
        </w:rPr>
        <w:t xml:space="preserve"> </w:t>
      </w:r>
      <w:r w:rsidRPr="005C391B">
        <w:rPr>
          <w:rFonts w:eastAsia="Calibri" w:cstheme="minorHAnsi"/>
          <w:iCs/>
          <w:lang w:val="en-US"/>
        </w:rPr>
        <w:t>=</w:t>
      </w:r>
      <w:r w:rsidR="00271352">
        <w:rPr>
          <w:rFonts w:eastAsia="Calibri" w:cstheme="minorHAnsi"/>
          <w:iCs/>
          <w:lang w:val="en-US"/>
        </w:rPr>
        <w:t xml:space="preserve"> </w:t>
      </w:r>
      <w:r w:rsidRPr="005C391B">
        <w:rPr>
          <w:rFonts w:eastAsia="Calibri" w:cstheme="minorHAnsi"/>
          <w:iCs/>
          <w:lang w:val="en-US"/>
        </w:rPr>
        <w:t>’strongly disagree</w:t>
      </w:r>
      <w:r w:rsidR="007C7E5C">
        <w:rPr>
          <w:rFonts w:eastAsia="Calibri" w:cstheme="minorHAnsi"/>
          <w:iCs/>
          <w:lang w:val="en-US"/>
        </w:rPr>
        <w:t>’</w:t>
      </w:r>
      <w:r w:rsidRPr="005C391B">
        <w:rPr>
          <w:rFonts w:eastAsia="Calibri" w:cstheme="minorHAnsi"/>
          <w:iCs/>
          <w:lang w:val="en-US"/>
        </w:rPr>
        <w:t xml:space="preserve"> to 6</w:t>
      </w:r>
      <w:r w:rsidR="00271352">
        <w:rPr>
          <w:rFonts w:eastAsia="Calibri" w:cstheme="minorHAnsi"/>
          <w:iCs/>
          <w:lang w:val="en-US"/>
        </w:rPr>
        <w:t xml:space="preserve"> </w:t>
      </w:r>
      <w:r w:rsidRPr="005C391B">
        <w:rPr>
          <w:rFonts w:eastAsia="Calibri" w:cstheme="minorHAnsi"/>
          <w:iCs/>
          <w:lang w:val="en-US"/>
        </w:rPr>
        <w:t>=</w:t>
      </w:r>
      <w:r w:rsidR="00271352">
        <w:rPr>
          <w:rFonts w:eastAsia="Calibri" w:cstheme="minorHAnsi"/>
          <w:iCs/>
          <w:lang w:val="en-US"/>
        </w:rPr>
        <w:t xml:space="preserve"> </w:t>
      </w:r>
      <w:r w:rsidRPr="005C391B">
        <w:rPr>
          <w:rFonts w:eastAsia="Calibri" w:cstheme="minorHAnsi"/>
          <w:iCs/>
          <w:lang w:val="en-US"/>
        </w:rPr>
        <w:t>‘strongly agree’) asking about the child’s treatment acceptability, likeability, effectiveness, and helpfulness of the intervention. The AARP has shown to have excellent internal consistency (</w:t>
      </w:r>
      <w:r w:rsidRPr="005C391B">
        <w:rPr>
          <w:rFonts w:cstheme="minorHAnsi"/>
          <w:i/>
          <w:color w:val="000000"/>
          <w:shd w:val="clear" w:color="auto" w:fill="FFFFFF"/>
        </w:rPr>
        <w:t xml:space="preserve">α = </w:t>
      </w:r>
      <w:r w:rsidRPr="005C391B">
        <w:rPr>
          <w:rFonts w:cstheme="minorHAnsi"/>
          <w:color w:val="000000"/>
          <w:shd w:val="clear" w:color="auto" w:fill="FFFFFF"/>
        </w:rPr>
        <w:t>.95-.98) and adequate discriminant validity (Tarnowski &amp; Simonian, 1992).</w:t>
      </w:r>
    </w:p>
    <w:p w14:paraId="328B94BA" w14:textId="7A48D652" w:rsidR="00BE41B3" w:rsidRDefault="00BE41B3" w:rsidP="00F410C0">
      <w:pPr>
        <w:autoSpaceDE w:val="0"/>
        <w:autoSpaceDN w:val="0"/>
        <w:adjustRightInd w:val="0"/>
        <w:spacing w:line="360" w:lineRule="auto"/>
        <w:jc w:val="both"/>
        <w:rPr>
          <w:rFonts w:eastAsia="Calibri" w:cstheme="minorHAnsi"/>
          <w:bCs/>
          <w:lang w:val="en-GB"/>
        </w:rPr>
      </w:pPr>
      <w:r w:rsidRPr="005C391B">
        <w:rPr>
          <w:rFonts w:eastAsia="Calibri" w:cstheme="minorHAnsi"/>
          <w:i/>
          <w:iCs/>
          <w:lang w:val="en-US"/>
        </w:rPr>
        <w:t xml:space="preserve">The Depression Anxiety and Stress Scale-21 (DASS-21): </w:t>
      </w:r>
      <w:r w:rsidRPr="005C391B">
        <w:rPr>
          <w:rFonts w:eastAsia="Calibri" w:cstheme="minorHAnsi"/>
          <w:iCs/>
          <w:lang w:val="en-US"/>
        </w:rPr>
        <w:t>The DASS-21</w:t>
      </w:r>
      <w:r w:rsidRPr="005C391B">
        <w:rPr>
          <w:rFonts w:eastAsia="Calibri" w:cstheme="minorHAnsi"/>
          <w:i/>
          <w:iCs/>
          <w:lang w:val="en-US"/>
        </w:rPr>
        <w:t xml:space="preserve"> </w:t>
      </w:r>
      <w:r w:rsidRPr="005C391B">
        <w:rPr>
          <w:rFonts w:eastAsia="Calibri" w:cstheme="minorHAnsi"/>
          <w:bCs/>
          <w:lang w:val="en-US"/>
        </w:rPr>
        <w:t xml:space="preserve">is the shorter, 21-item of the original 42-item DASS-42 (Lovibond and Lovibond, 1995). It is a publicly available questionnaire, which assesses an individual’s symptom severity associated with depression, anxiety and stress using a 0 – 3 Likert scale. Cut-offs have been provided to indicate normal, mild, moderate, severe, or extremely severe problems; anything below 10 (for depression), 8 (for anxiety) and 15 (for stress) is considered within the normal to mild range. </w:t>
      </w:r>
      <w:r w:rsidRPr="005C391B">
        <w:rPr>
          <w:rFonts w:eastAsia="Calibri" w:cstheme="minorHAnsi"/>
          <w:bCs/>
        </w:rPr>
        <w:t>The scale has excellent reliability (</w:t>
      </w:r>
      <w:r w:rsidRPr="005C391B">
        <w:rPr>
          <w:rFonts w:eastAsia="Calibri" w:cstheme="minorHAnsi"/>
          <w:i/>
          <w:iCs/>
          <w:lang w:val="en-US"/>
        </w:rPr>
        <w:t xml:space="preserve">ICC </w:t>
      </w:r>
      <w:r w:rsidRPr="005C391B">
        <w:rPr>
          <w:rFonts w:eastAsia="Calibri" w:cstheme="minorHAnsi"/>
          <w:bCs/>
        </w:rPr>
        <w:t xml:space="preserve">= .93) as well as a sufficient construct validity </w:t>
      </w:r>
      <w:r w:rsidRPr="005C391B">
        <w:rPr>
          <w:rFonts w:eastAsia="Calibri" w:cstheme="minorHAnsi"/>
          <w:bCs/>
          <w:lang w:val="en-GB"/>
        </w:rPr>
        <w:t>(Henry &amp; Crawford, 2005). In the proposed study, it is completed by the parents to measure their own’s wellbeing and stress every four weeks.</w:t>
      </w:r>
    </w:p>
    <w:p w14:paraId="5752F928" w14:textId="60B98335" w:rsidR="00A150C6" w:rsidRPr="006D7395" w:rsidRDefault="006D7395" w:rsidP="006D7395">
      <w:pPr>
        <w:shd w:val="clear" w:color="auto" w:fill="FFFFFF"/>
        <w:spacing w:after="0" w:line="360" w:lineRule="auto"/>
        <w:rPr>
          <w:rFonts w:cs="Arial"/>
          <w:color w:val="201F1E"/>
          <w:lang w:val="de-DE" w:eastAsia="de-DE"/>
        </w:rPr>
      </w:pPr>
      <w:r w:rsidRPr="006D7395">
        <w:rPr>
          <w:rFonts w:cs="Arial"/>
          <w:color w:val="201F1E"/>
          <w:spacing w:val="-3"/>
          <w:u w:val="single"/>
          <w:bdr w:val="none" w:sz="0" w:space="0" w:color="auto" w:frame="1"/>
          <w:lang w:val="de-DE" w:eastAsia="de-DE"/>
        </w:rPr>
        <w:t>Parent Target Problem (PTP)</w:t>
      </w:r>
      <w:r w:rsidRPr="006D7395">
        <w:rPr>
          <w:rFonts w:cs="Arial"/>
          <w:color w:val="201F1E"/>
          <w:lang w:val="de-DE" w:eastAsia="de-DE"/>
        </w:rPr>
        <w:t xml:space="preserve">: </w:t>
      </w:r>
      <w:r w:rsidRPr="006D7395">
        <w:rPr>
          <w:rFonts w:cs="Arial"/>
          <w:color w:val="201F1E"/>
          <w:spacing w:val="-3"/>
          <w:bdr w:val="none" w:sz="0" w:space="0" w:color="auto" w:frame="1"/>
          <w:lang w:val="de-DE" w:eastAsia="de-DE"/>
        </w:rPr>
        <w:t>Nomination of one or two of child's biggest problems, and reports frequency, duration, impairment, and examples. In the proposed study, the PTP will be administered in the beginning and at the end oft he study.</w:t>
      </w:r>
    </w:p>
    <w:p w14:paraId="38759F0E" w14:textId="77777777" w:rsidR="006D7395" w:rsidRPr="006D7395" w:rsidRDefault="006D7395" w:rsidP="006D7395">
      <w:pPr>
        <w:shd w:val="clear" w:color="auto" w:fill="FFFFFF"/>
        <w:spacing w:after="0" w:line="240" w:lineRule="auto"/>
        <w:rPr>
          <w:rFonts w:ascii="Calibri" w:hAnsi="Calibri" w:cs="Times New Roman"/>
          <w:color w:val="201F1E"/>
          <w:lang w:val="de-DE" w:eastAsia="de-DE"/>
        </w:rPr>
      </w:pPr>
    </w:p>
    <w:p w14:paraId="2FD573AC" w14:textId="20A85CA1" w:rsidR="00947A1C" w:rsidRPr="00666015" w:rsidRDefault="00A150C6" w:rsidP="00F410C0">
      <w:pPr>
        <w:autoSpaceDE w:val="0"/>
        <w:autoSpaceDN w:val="0"/>
        <w:adjustRightInd w:val="0"/>
        <w:spacing w:line="360" w:lineRule="auto"/>
        <w:jc w:val="both"/>
        <w:rPr>
          <w:rFonts w:eastAsia="Calibri" w:cstheme="minorHAnsi"/>
          <w:bCs/>
          <w:i/>
          <w:u w:val="single"/>
        </w:rPr>
      </w:pPr>
      <w:r w:rsidRPr="00A150C6">
        <w:rPr>
          <w:rFonts w:eastAsia="Calibri" w:cstheme="minorHAnsi"/>
          <w:bCs/>
          <w:i/>
          <w:u w:val="single"/>
        </w:rPr>
        <w:t>The Side-Effect Checklist (revised)</w:t>
      </w:r>
      <w:r w:rsidR="00666015">
        <w:rPr>
          <w:rFonts w:eastAsia="Calibri" w:cstheme="minorHAnsi"/>
          <w:bCs/>
          <w:i/>
          <w:u w:val="single"/>
        </w:rPr>
        <w:t xml:space="preserve"> (ASEC) (Uher et al., 2009):</w:t>
      </w:r>
      <w:r w:rsidR="00666015">
        <w:rPr>
          <w:rFonts w:eastAsia="Calibri" w:cstheme="minorHAnsi"/>
          <w:bCs/>
        </w:rPr>
        <w:t xml:space="preserve"> </w:t>
      </w:r>
      <w:r w:rsidRPr="00A150C6">
        <w:rPr>
          <w:rFonts w:eastAsia="Calibri" w:cstheme="minorHAnsi"/>
          <w:bCs/>
        </w:rPr>
        <w:t xml:space="preserve">The </w:t>
      </w:r>
      <w:r w:rsidR="00666015">
        <w:rPr>
          <w:rFonts w:eastAsia="Calibri" w:cstheme="minorHAnsi"/>
          <w:bCs/>
        </w:rPr>
        <w:t>AEC</w:t>
      </w:r>
      <w:r w:rsidRPr="00A150C6">
        <w:rPr>
          <w:rFonts w:eastAsia="Calibri" w:cstheme="minorHAnsi"/>
          <w:bCs/>
        </w:rPr>
        <w:t xml:space="preserve"> will assess side effects, safety &amp; adverse events of the intervention. The ASEC has been adapted for the purposes of this study to remove references to anti-depressants.</w:t>
      </w:r>
      <w:r w:rsidR="00666015">
        <w:rPr>
          <w:rFonts w:eastAsia="Calibri" w:cstheme="minorHAnsi"/>
          <w:bCs/>
        </w:rPr>
        <w:t xml:space="preserve"> In addition, the item regarding sexual dysfunction is removed since it is not applicable for children, and the potential adverse event ‘rash’ was added because this has been a common side effect in past studies. </w:t>
      </w:r>
      <w:r w:rsidRPr="00A150C6">
        <w:rPr>
          <w:rFonts w:eastAsia="Calibri" w:cstheme="minorHAnsi"/>
          <w:bCs/>
        </w:rPr>
        <w:t>Side effects will be assessed every two weeks</w:t>
      </w:r>
      <w:r w:rsidR="00666015">
        <w:rPr>
          <w:rFonts w:eastAsia="Calibri" w:cstheme="minorHAnsi"/>
          <w:bCs/>
        </w:rPr>
        <w:t xml:space="preserve">. </w:t>
      </w:r>
      <w:r w:rsidRPr="00A150C6">
        <w:rPr>
          <w:rFonts w:eastAsia="Calibri" w:cstheme="minorHAnsi"/>
          <w:bCs/>
        </w:rPr>
        <w:t xml:space="preserve">Any concerning adverse events will be </w:t>
      </w:r>
      <w:r w:rsidRPr="00A150C6">
        <w:rPr>
          <w:rFonts w:eastAsia="Calibri" w:cstheme="minorHAnsi"/>
          <w:bCs/>
        </w:rPr>
        <w:lastRenderedPageBreak/>
        <w:t>discussed with the study physician and the co-investigators</w:t>
      </w:r>
      <w:r w:rsidR="009B1DF9">
        <w:rPr>
          <w:rFonts w:eastAsia="Calibri" w:cstheme="minorHAnsi"/>
          <w:bCs/>
        </w:rPr>
        <w:t>, and i</w:t>
      </w:r>
      <w:r w:rsidRPr="00A150C6">
        <w:rPr>
          <w:rFonts w:eastAsia="Calibri" w:cstheme="minorHAnsi"/>
          <w:bCs/>
        </w:rPr>
        <w:t>n the case of a serious adverse event, the investigators will consider whether termination of the study is necessary</w:t>
      </w:r>
      <w:r>
        <w:rPr>
          <w:rFonts w:eastAsia="Calibri" w:cstheme="minorHAnsi"/>
          <w:bCs/>
        </w:rPr>
        <w:t>.</w:t>
      </w:r>
    </w:p>
    <w:p w14:paraId="2AC347A1" w14:textId="77777777" w:rsidR="00BE41B3" w:rsidRPr="005C391B" w:rsidRDefault="00BE41B3" w:rsidP="00F410C0">
      <w:pPr>
        <w:autoSpaceDE w:val="0"/>
        <w:autoSpaceDN w:val="0"/>
        <w:adjustRightInd w:val="0"/>
        <w:spacing w:line="360" w:lineRule="auto"/>
        <w:jc w:val="both"/>
        <w:rPr>
          <w:rFonts w:eastAsia="Calibri" w:cstheme="minorHAnsi"/>
          <w:i/>
          <w:iCs/>
          <w:u w:val="single"/>
          <w:lang w:val="en-US"/>
        </w:rPr>
      </w:pPr>
      <w:r w:rsidRPr="005C391B">
        <w:rPr>
          <w:rFonts w:eastAsia="Calibri" w:cstheme="minorHAnsi"/>
          <w:i/>
          <w:iCs/>
          <w:u w:val="single"/>
          <w:lang w:val="en-US"/>
        </w:rPr>
        <w:t>Parent- and child administered</w:t>
      </w:r>
    </w:p>
    <w:p w14:paraId="209FC388" w14:textId="77777777" w:rsidR="00AD36BF" w:rsidRPr="005C391B" w:rsidRDefault="00BE41B3" w:rsidP="00F410C0">
      <w:pPr>
        <w:autoSpaceDE w:val="0"/>
        <w:autoSpaceDN w:val="0"/>
        <w:adjustRightInd w:val="0"/>
        <w:spacing w:line="360" w:lineRule="auto"/>
        <w:jc w:val="both"/>
        <w:rPr>
          <w:rFonts w:eastAsia="Calibri" w:cstheme="minorHAnsi"/>
          <w:iCs/>
          <w:lang w:val="en-US"/>
        </w:rPr>
      </w:pPr>
      <w:r w:rsidRPr="005C391B">
        <w:rPr>
          <w:rFonts w:eastAsia="Calibri" w:cstheme="minorHAnsi"/>
          <w:i/>
          <w:iCs/>
          <w:lang w:val="en-US"/>
        </w:rPr>
        <w:t xml:space="preserve">The Measure Yourself Medical Outcome Profile (The MYMOP) </w:t>
      </w:r>
      <w:r w:rsidRPr="005C391B">
        <w:rPr>
          <w:rFonts w:eastAsia="Calibri" w:cstheme="minorHAnsi"/>
          <w:iCs/>
          <w:lang w:val="en-US"/>
        </w:rPr>
        <w:fldChar w:fldCharType="begin"/>
      </w:r>
      <w:r w:rsidRPr="005C391B">
        <w:rPr>
          <w:rFonts w:eastAsia="Calibri" w:cstheme="minorHAnsi"/>
          <w:iCs/>
          <w:lang w:val="en-US"/>
        </w:rPr>
        <w:instrText xml:space="preserve"> ADDIN EN.CITE &lt;EndNote&gt;&lt;Cite&gt;&lt;Author&gt;Paterson&lt;/Author&gt;&lt;Year&gt;1996&lt;/Year&gt;&lt;RecNum&gt;261&lt;/RecNum&gt;&lt;DisplayText&gt;(Paterson, 1996)&lt;/DisplayText&gt;&lt;record&gt;&lt;rec-number&gt;261&lt;/rec-number&gt;&lt;foreign-keys&gt;&lt;key app="EN" db-id="drevp2w2uz2zr0esepxpep0h9z9w09zd9v9t" timestamp="1618456170"&gt;261&lt;/key&gt;&lt;/foreign-keys&gt;&lt;ref-type name="Journal Article"&gt;17&lt;/ref-type&gt;&lt;contributors&gt;&lt;authors&gt;&lt;author&gt;Paterson, Charlotte&lt;/author&gt;&lt;/authors&gt;&lt;/contributors&gt;&lt;titles&gt;&lt;title&gt;Measuring outcomes in primary care: a patient generated measure, MYMOP, compared with the SF-36 health survey&lt;/title&gt;&lt;secondary-title&gt;Bmj&lt;/secondary-title&gt;&lt;/titles&gt;&lt;periodical&gt;&lt;full-title&gt;Bmj&lt;/full-title&gt;&lt;/periodical&gt;&lt;pages&gt;1016-1020&lt;/pages&gt;&lt;volume&gt;312&lt;/volume&gt;&lt;number&gt;7037&lt;/number&gt;&lt;dates&gt;&lt;year&gt;1996&lt;/year&gt;&lt;/dates&gt;&lt;isbn&gt;0959-8138&lt;/isbn&gt;&lt;urls&gt;&lt;/urls&gt;&lt;/record&gt;&lt;/Cite&gt;&lt;/EndNote&gt;</w:instrText>
      </w:r>
      <w:r w:rsidRPr="005C391B">
        <w:rPr>
          <w:rFonts w:eastAsia="Calibri" w:cstheme="minorHAnsi"/>
          <w:iCs/>
          <w:lang w:val="en-US"/>
        </w:rPr>
        <w:fldChar w:fldCharType="separate"/>
      </w:r>
      <w:r w:rsidRPr="005C391B">
        <w:rPr>
          <w:rFonts w:eastAsia="Calibri" w:cstheme="minorHAnsi"/>
          <w:iCs/>
          <w:noProof/>
          <w:lang w:val="en-US"/>
        </w:rPr>
        <w:t>(Paterson, 1996)</w:t>
      </w:r>
      <w:r w:rsidRPr="005C391B">
        <w:rPr>
          <w:rFonts w:eastAsia="Calibri" w:cstheme="minorHAnsi"/>
          <w:iCs/>
          <w:lang w:val="en-US"/>
        </w:rPr>
        <w:fldChar w:fldCharType="end"/>
      </w:r>
      <w:r w:rsidRPr="005C391B">
        <w:rPr>
          <w:rFonts w:eastAsia="Calibri" w:cstheme="minorHAnsi"/>
          <w:iCs/>
          <w:lang w:val="en-US"/>
        </w:rPr>
        <w:t>:</w:t>
      </w:r>
      <w:r w:rsidRPr="005C391B">
        <w:rPr>
          <w:rFonts w:eastAsia="Calibri" w:cstheme="minorHAnsi"/>
          <w:i/>
          <w:iCs/>
          <w:lang w:val="en-US"/>
        </w:rPr>
        <w:t xml:space="preserve"> </w:t>
      </w:r>
      <w:r w:rsidRPr="005C391B">
        <w:rPr>
          <w:rFonts w:eastAsia="Calibri" w:cstheme="minorHAnsi"/>
          <w:iCs/>
          <w:lang w:val="en-US"/>
        </w:rPr>
        <w:t xml:space="preserve">Once a month, the research coordinator will meet with the parent and the child to collect information in person regarding the child’s symptoms, including hyperactivity, attention, impulsivity, emotion regulation, irritability, mood, and sleep by means of the MYMOP. Each symptom can be scored on a scale from 0 to 5, with a score of 0 representing no problems, whereas a score of 5 indicates that there are lots of problems. The clinician will also ask questions regarding intervention compliance (on behalf of the children, the parents will report how easy it was to remember and to take the Lightning </w:t>
      </w:r>
      <w:proofErr w:type="spellStart"/>
      <w:r w:rsidRPr="005C391B">
        <w:rPr>
          <w:rFonts w:eastAsia="Calibri" w:cstheme="minorHAnsi"/>
          <w:iCs/>
          <w:lang w:val="en-US"/>
        </w:rPr>
        <w:t>Stiks</w:t>
      </w:r>
      <w:r w:rsidRPr="005C391B">
        <w:rPr>
          <w:rFonts w:eastAsia="Calibri" w:cstheme="minorHAnsi"/>
          <w:iCs/>
          <w:vertAlign w:val="superscript"/>
          <w:lang w:val="en-US"/>
        </w:rPr>
        <w:t>TM</w:t>
      </w:r>
      <w:proofErr w:type="spellEnd"/>
      <w:r w:rsidRPr="005C391B">
        <w:rPr>
          <w:rFonts w:eastAsia="Calibri" w:cstheme="minorHAnsi"/>
          <w:iCs/>
          <w:lang w:val="en-US"/>
        </w:rPr>
        <w:t xml:space="preserve"> on a 3-point Likert scale; ‘never difficult’, ‘sometimes difficult’, and ‘always difficult’), as well as potential side-effects, which can be scored on a 5-point Likert scale ranging from major problems to no problems. The MYMOP has demonstrated adequate internal consistency and validity </w:t>
      </w:r>
      <w:r w:rsidRPr="005C391B">
        <w:rPr>
          <w:rFonts w:eastAsia="Calibri" w:cstheme="minorHAnsi"/>
          <w:iCs/>
          <w:lang w:val="en-US"/>
        </w:rPr>
        <w:fldChar w:fldCharType="begin"/>
      </w:r>
      <w:r w:rsidRPr="005C391B">
        <w:rPr>
          <w:rFonts w:eastAsia="Calibri" w:cstheme="minorHAnsi"/>
          <w:iCs/>
          <w:lang w:val="en-US"/>
        </w:rPr>
        <w:instrText xml:space="preserve"> ADDIN EN.CITE &lt;EndNote&gt;&lt;Cite&gt;&lt;Author&gt;Hourigan&lt;/Author&gt;&lt;Year&gt;2014&lt;/Year&gt;&lt;RecNum&gt;266&lt;/RecNum&gt;&lt;DisplayText&gt;(Hourigan, Clarke, Whitehouse, &amp;amp; Challinor, 2014)&lt;/DisplayText&gt;&lt;record&gt;&lt;rec-number&gt;266&lt;/rec-number&gt;&lt;foreign-keys&gt;&lt;key app="EN" db-id="drevp2w2uz2zr0esepxpep0h9z9w09zd9v9t" timestamp="1618533457"&gt;266&lt;/key&gt;&lt;/foreign-keys&gt;&lt;ref-type name="Journal Article"&gt;17&lt;/ref-type&gt;&lt;contributors&gt;&lt;authors&gt;&lt;author&gt;Hourigan, Patrick&lt;/author&gt;&lt;author&gt;Clarke, Andrew&lt;/author&gt;&lt;author&gt;Whitehouse, Sarah L&lt;/author&gt;&lt;author&gt;Challinor, Helen M&lt;/author&gt;&lt;/authors&gt;&lt;/contributors&gt;&lt;titles&gt;&lt;title&gt;Measure your own medical outcome profile (MYMOP): Validation of a patient generated outcome questionnaire by comparison to the Roland Morris disability questionnaire (RMDQ)&lt;/title&gt;&lt;secondary-title&gt;The Spine Journal&lt;/secondary-title&gt;&lt;/titles&gt;&lt;periodical&gt;&lt;full-title&gt;The Spine Journal&lt;/full-title&gt;&lt;/periodical&gt;&lt;pages&gt;S52&lt;/pages&gt;&lt;volume&gt;14&lt;/volume&gt;&lt;number&gt;11&lt;/number&gt;&lt;dates&gt;&lt;year&gt;2014&lt;/year&gt;&lt;/dates&gt;&lt;isbn&gt;1529-9430&lt;/isbn&gt;&lt;urls&gt;&lt;/urls&gt;&lt;/record&gt;&lt;/Cite&gt;&lt;/EndNote&gt;</w:instrText>
      </w:r>
      <w:r w:rsidRPr="005C391B">
        <w:rPr>
          <w:rFonts w:eastAsia="Calibri" w:cstheme="minorHAnsi"/>
          <w:iCs/>
          <w:lang w:val="en-US"/>
        </w:rPr>
        <w:fldChar w:fldCharType="separate"/>
      </w:r>
      <w:r w:rsidRPr="005C391B">
        <w:rPr>
          <w:rFonts w:eastAsia="Calibri" w:cstheme="minorHAnsi"/>
          <w:iCs/>
          <w:noProof/>
          <w:lang w:val="en-US"/>
        </w:rPr>
        <w:t>(Hourigan, Clarke, Whitehouse, &amp; Challinor, 2014)</w:t>
      </w:r>
      <w:r w:rsidRPr="005C391B">
        <w:rPr>
          <w:rFonts w:eastAsia="Calibri" w:cstheme="minorHAnsi"/>
          <w:iCs/>
          <w:lang w:val="en-US"/>
        </w:rPr>
        <w:fldChar w:fldCharType="end"/>
      </w:r>
      <w:r w:rsidRPr="005C391B">
        <w:rPr>
          <w:rFonts w:eastAsia="Calibri" w:cstheme="minorHAnsi"/>
          <w:iCs/>
          <w:lang w:val="en-US"/>
        </w:rPr>
        <w:t>.</w:t>
      </w:r>
    </w:p>
    <w:p w14:paraId="2C1CFC4B" w14:textId="77777777" w:rsidR="00AF6C55" w:rsidRDefault="00AF6C55" w:rsidP="00F410C0">
      <w:pPr>
        <w:pStyle w:val="Heading2"/>
        <w:spacing w:before="0" w:line="360" w:lineRule="auto"/>
        <w:jc w:val="both"/>
        <w:rPr>
          <w:rFonts w:asciiTheme="minorHAnsi" w:hAnsiTheme="minorHAnsi"/>
        </w:rPr>
      </w:pPr>
      <w:bookmarkStart w:id="5" w:name="_Toc17724177"/>
      <w:r w:rsidRPr="00E97313">
        <w:rPr>
          <w:rFonts w:asciiTheme="minorHAnsi" w:hAnsiTheme="minorHAnsi"/>
        </w:rPr>
        <w:t>Statistical Analysis</w:t>
      </w:r>
      <w:bookmarkEnd w:id="5"/>
    </w:p>
    <w:p w14:paraId="6F079273" w14:textId="77777777" w:rsidR="00DD42E6" w:rsidRPr="009A7619" w:rsidRDefault="00DD42E6" w:rsidP="00F410C0">
      <w:pPr>
        <w:spacing w:line="360" w:lineRule="auto"/>
        <w:jc w:val="both"/>
        <w:rPr>
          <w:rFonts w:cs="Segoe UI"/>
          <w:b/>
          <w:i/>
          <w:lang w:val="en-US" w:eastAsia="en-NZ"/>
        </w:rPr>
      </w:pPr>
      <w:r w:rsidRPr="009A7619">
        <w:rPr>
          <w:rFonts w:cs="Segoe UI"/>
          <w:b/>
          <w:i/>
          <w:lang w:val="en-US" w:eastAsia="en-NZ"/>
        </w:rPr>
        <w:t>Exploratory analysis</w:t>
      </w:r>
    </w:p>
    <w:p w14:paraId="108A3161" w14:textId="77777777" w:rsidR="00DD42E6" w:rsidRPr="00C63CD9" w:rsidRDefault="00DD42E6" w:rsidP="00F410C0">
      <w:pPr>
        <w:spacing w:line="360" w:lineRule="auto"/>
        <w:jc w:val="both"/>
      </w:pPr>
      <w:r>
        <w:t>Before the data will be further analysed, all data sets will be cleaned. The demographic data of the participants will be presented in a table, describing gender, age, education, and medical history of each participant. F</w:t>
      </w:r>
      <w:r>
        <w:rPr>
          <w:rFonts w:cs="Segoe UI"/>
          <w:lang w:val="en-US" w:eastAsia="en-NZ"/>
        </w:rPr>
        <w:t xml:space="preserve">or each variable at each time point group data in the form of the range, median, mean, and standard deviation will be tabulated, frequency distributions plotted and examined, and missing or anomalous data points investigated. </w:t>
      </w:r>
      <w:r>
        <w:t xml:space="preserve">Missing data will be handled following the ‘last observation carried forward’ method. </w:t>
      </w:r>
      <w:r>
        <w:rPr>
          <w:rFonts w:cs="Segoe UI"/>
          <w:lang w:val="en-US" w:eastAsia="en-NZ"/>
        </w:rPr>
        <w:t xml:space="preserve">Correlations between measures within and across time points will be examined to assess consistency (within time) and predictability (across time and measures) of responding. </w:t>
      </w:r>
    </w:p>
    <w:p w14:paraId="2095036C" w14:textId="77777777" w:rsidR="00DD42E6" w:rsidRPr="009A7619" w:rsidRDefault="00DD42E6" w:rsidP="00F410C0">
      <w:pPr>
        <w:spacing w:line="360" w:lineRule="auto"/>
        <w:jc w:val="both"/>
        <w:rPr>
          <w:rFonts w:cs="Segoe UI"/>
          <w:b/>
          <w:i/>
          <w:lang w:val="en-US" w:eastAsia="en-NZ"/>
        </w:rPr>
      </w:pPr>
      <w:r w:rsidRPr="009A7619">
        <w:rPr>
          <w:rFonts w:cs="Segoe UI"/>
          <w:b/>
          <w:i/>
          <w:lang w:val="en-US" w:eastAsia="en-NZ"/>
        </w:rPr>
        <w:t>Ideographic analysis</w:t>
      </w:r>
    </w:p>
    <w:p w14:paraId="0FB10E05" w14:textId="77777777" w:rsidR="00DD42E6" w:rsidRDefault="00DD42E6" w:rsidP="00F410C0">
      <w:pPr>
        <w:spacing w:line="360" w:lineRule="auto"/>
        <w:jc w:val="both"/>
        <w:rPr>
          <w:rFonts w:cs="Segoe UI"/>
          <w:lang w:val="en-US" w:eastAsia="en-NZ"/>
        </w:rPr>
      </w:pPr>
      <w:r>
        <w:t xml:space="preserve">Graphical procedures such as spaghetti plots will be used to examine consistency of individual response over time within the study phases (where there are multiple time points). Modified Brinley Plots (Blampied, 2017) will examine the consistency of patterns of response to treatment and replications of such patterns over study phases. </w:t>
      </w:r>
      <w:r>
        <w:rPr>
          <w:rFonts w:cs="Segoe UI"/>
          <w:lang w:val="en-US" w:eastAsia="en-NZ"/>
        </w:rPr>
        <w:t>Sigma Plot will be used to examine individual change across time in the context of all other participants’ scores at that time, along with measures of means and SDs. In addition, effect sizes (ES), namely Cohen’s</w:t>
      </w:r>
      <w:r w:rsidRPr="00C776A2">
        <w:rPr>
          <w:rFonts w:cs="Segoe UI"/>
          <w:i/>
          <w:iCs/>
          <w:lang w:val="en-US" w:eastAsia="en-NZ"/>
        </w:rPr>
        <w:t xml:space="preserve"> d</w:t>
      </w:r>
      <w:r>
        <w:rPr>
          <w:rFonts w:cs="Segoe UI"/>
          <w:i/>
          <w:iCs/>
          <w:lang w:val="en-US" w:eastAsia="en-NZ"/>
        </w:rPr>
        <w:t xml:space="preserve">, </w:t>
      </w:r>
      <w:r>
        <w:rPr>
          <w:rFonts w:cs="Segoe UI"/>
          <w:lang w:val="en-US" w:eastAsia="en-NZ"/>
        </w:rPr>
        <w:t xml:space="preserve">the 95%CI on </w:t>
      </w:r>
      <w:r w:rsidRPr="00C776A2">
        <w:rPr>
          <w:rFonts w:cs="Segoe UI"/>
          <w:i/>
          <w:iCs/>
          <w:lang w:val="en-US" w:eastAsia="en-NZ"/>
        </w:rPr>
        <w:t>d</w:t>
      </w:r>
      <w:r>
        <w:rPr>
          <w:rFonts w:cs="Segoe UI"/>
          <w:lang w:val="en-US" w:eastAsia="en-NZ"/>
        </w:rPr>
        <w:t xml:space="preserve">, and the Common Language ES (CLES; </w:t>
      </w:r>
      <w:proofErr w:type="spellStart"/>
      <w:r>
        <w:rPr>
          <w:rFonts w:cs="Segoe UI"/>
          <w:lang w:val="en-US" w:eastAsia="en-NZ"/>
        </w:rPr>
        <w:t>Lakens</w:t>
      </w:r>
      <w:proofErr w:type="spellEnd"/>
      <w:r>
        <w:rPr>
          <w:rFonts w:cs="Segoe UI"/>
          <w:lang w:val="en-US" w:eastAsia="en-NZ"/>
        </w:rPr>
        <w:t xml:space="preserve">, 2013) will be reported. This gives the probability, expressed as a %, that a randomly selected participant will have an improved score at the second measurement point relative to the first measurement. </w:t>
      </w:r>
      <w:proofErr w:type="spellStart"/>
      <w:r>
        <w:rPr>
          <w:rFonts w:cs="Segoe UI"/>
          <w:lang w:val="en-US" w:eastAsia="en-NZ"/>
        </w:rPr>
        <w:t>Lakens</w:t>
      </w:r>
      <w:proofErr w:type="spellEnd"/>
      <w:r>
        <w:rPr>
          <w:rFonts w:cs="Segoe UI"/>
          <w:lang w:val="en-US" w:eastAsia="en-NZ"/>
        </w:rPr>
        <w:t xml:space="preserve"> (2013) software will be used to calculate the CLES and ESCI (Cumming, 2012) to compute </w:t>
      </w:r>
      <w:r w:rsidRPr="00727B8F">
        <w:rPr>
          <w:rFonts w:cs="Segoe UI"/>
          <w:i/>
          <w:iCs/>
          <w:lang w:val="en-US" w:eastAsia="en-NZ"/>
        </w:rPr>
        <w:t>d</w:t>
      </w:r>
      <w:r>
        <w:rPr>
          <w:rFonts w:cs="Segoe UI"/>
          <w:lang w:val="en-US" w:eastAsia="en-NZ"/>
        </w:rPr>
        <w:t xml:space="preserve"> and the CI.</w:t>
      </w:r>
    </w:p>
    <w:p w14:paraId="167389BF" w14:textId="77777777" w:rsidR="00DD42E6" w:rsidRDefault="00DD42E6" w:rsidP="00F410C0">
      <w:pPr>
        <w:spacing w:line="360" w:lineRule="auto"/>
        <w:jc w:val="both"/>
      </w:pPr>
      <w:r>
        <w:lastRenderedPageBreak/>
        <w:t xml:space="preserve">The ideographic analysis will also use single-case visual analysis to examine the extent to which there is replication of treatment effects across individuals and replicated phases. Note that the design means that the initial phases for the two groups will permit detection of any initial treatment effect for those in group 1 period 2 relative to those in group 2 period 2. The respective transitions into respectively group 1 period 3 and group 2 period 3 will permit observation of (a) any loss of therapy effect for group 1 changes in therapeutic direction (going ON to OFF) and any changes in the therapeutic direction for group 2 (going OFF to ON). Subsequent phase changes will permit observation of any replication of these effects, with the possibility of accumulation of therapy effects across phases as observed by Gordon </w:t>
      </w:r>
      <w:r w:rsidRPr="00217B63">
        <w:t>et al. (20</w:t>
      </w:r>
      <w:r>
        <w:t>15</w:t>
      </w:r>
      <w:r w:rsidRPr="00217B63">
        <w:t>)</w:t>
      </w:r>
      <w:r>
        <w:t>.</w:t>
      </w:r>
    </w:p>
    <w:p w14:paraId="69781324" w14:textId="77777777" w:rsidR="00DD42E6" w:rsidRPr="00DD42E6" w:rsidRDefault="00DD42E6" w:rsidP="00F410C0">
      <w:pPr>
        <w:spacing w:line="360" w:lineRule="auto"/>
        <w:jc w:val="both"/>
      </w:pPr>
      <w:r>
        <w:t>Consistency analysis will examine consistency of individual response across primary outcome measures, i.e., to establish if an individual with a clinical level of response on any one DV will also have displayed similar positive responses on other DVs. Also, at the end of each treatment phase, participants may be classified using primary outcome measures as ‘Responders’ and ‘Non-responders’.</w:t>
      </w:r>
    </w:p>
    <w:p w14:paraId="3E83331B" w14:textId="77777777" w:rsidR="00DD42E6" w:rsidRPr="009A7619" w:rsidRDefault="00DD42E6" w:rsidP="00F410C0">
      <w:pPr>
        <w:spacing w:line="360" w:lineRule="auto"/>
        <w:jc w:val="both"/>
        <w:rPr>
          <w:rFonts w:cs="Segoe UI"/>
          <w:b/>
          <w:i/>
          <w:lang w:val="en-US" w:eastAsia="en-NZ"/>
        </w:rPr>
      </w:pPr>
      <w:r w:rsidRPr="009A7619">
        <w:rPr>
          <w:rFonts w:cs="Segoe UI"/>
          <w:b/>
          <w:i/>
          <w:lang w:val="en-US" w:eastAsia="en-NZ"/>
        </w:rPr>
        <w:t>Nomothetic analysis</w:t>
      </w:r>
    </w:p>
    <w:p w14:paraId="7DE73497" w14:textId="47EB7F51" w:rsidR="006D7395" w:rsidRPr="006D7395" w:rsidRDefault="00DD42E6" w:rsidP="00F410C0">
      <w:pPr>
        <w:spacing w:line="360" w:lineRule="auto"/>
        <w:jc w:val="both"/>
      </w:pPr>
      <w:r>
        <w:rPr>
          <w:rFonts w:cs="Segoe UI"/>
          <w:lang w:val="en-US" w:eastAsia="en-NZ"/>
        </w:rPr>
        <w:t xml:space="preserve">The ideographic analysis described above will be complemented by nomothetic analyses, which will involve hierarchical linear modeling. </w:t>
      </w:r>
      <w:r>
        <w:t xml:space="preserve">Baseline demographic variables will be examined using multiple regression and discriminant function analysis to determine if there are predictors of response to treatment. </w:t>
      </w:r>
    </w:p>
    <w:p w14:paraId="6F899E24" w14:textId="77777777" w:rsidR="00DD42E6" w:rsidRPr="009A7619" w:rsidRDefault="00DD42E6" w:rsidP="00F410C0">
      <w:pPr>
        <w:spacing w:line="360" w:lineRule="auto"/>
        <w:jc w:val="both"/>
        <w:rPr>
          <w:b/>
          <w:i/>
        </w:rPr>
      </w:pPr>
      <w:r w:rsidRPr="009A7619">
        <w:rPr>
          <w:b/>
          <w:i/>
        </w:rPr>
        <w:t>Moderator analysis</w:t>
      </w:r>
    </w:p>
    <w:p w14:paraId="0D84B4E1" w14:textId="77777777" w:rsidR="00DD42E6" w:rsidRPr="00DD42E6" w:rsidRDefault="00DD42E6" w:rsidP="00F410C0">
      <w:pPr>
        <w:spacing w:line="360" w:lineRule="auto"/>
        <w:jc w:val="both"/>
        <w:rPr>
          <w:rFonts w:cs="Segoe UI"/>
          <w:lang w:val="en-US" w:eastAsia="en-NZ"/>
        </w:rPr>
      </w:pPr>
      <w:r>
        <w:rPr>
          <w:rFonts w:cs="Segoe UI"/>
          <w:lang w:val="en-US" w:eastAsia="en-NZ"/>
        </w:rPr>
        <w:t xml:space="preserve">Depending on the characteristics of the sample that will be recruited, demographic and other variables can be explored to identify moderators and other predictors of the treatment response. Other than using the software of </w:t>
      </w:r>
      <w:proofErr w:type="spellStart"/>
      <w:r>
        <w:rPr>
          <w:rFonts w:cs="Segoe UI"/>
          <w:lang w:val="en-US" w:eastAsia="en-NZ"/>
        </w:rPr>
        <w:t>Lakens</w:t>
      </w:r>
      <w:proofErr w:type="spellEnd"/>
      <w:r>
        <w:rPr>
          <w:rFonts w:cs="Segoe UI"/>
          <w:lang w:val="en-US" w:eastAsia="en-NZ"/>
        </w:rPr>
        <w:t xml:space="preserve"> (2103) and Cumming (2102), </w:t>
      </w:r>
      <w:r w:rsidRPr="00E97313">
        <w:rPr>
          <w:rFonts w:cs="Segoe UI"/>
          <w:lang w:val="en-US" w:eastAsia="en-NZ"/>
        </w:rPr>
        <w:t>analyses will be carried out using the Statistical Package for Social Science (SPSS), Excel</w:t>
      </w:r>
      <w:r>
        <w:rPr>
          <w:rFonts w:cs="Segoe UI"/>
          <w:lang w:val="en-US" w:eastAsia="en-NZ"/>
        </w:rPr>
        <w:t xml:space="preserve">, </w:t>
      </w:r>
      <w:proofErr w:type="spellStart"/>
      <w:r>
        <w:rPr>
          <w:rFonts w:cs="Segoe UI"/>
          <w:lang w:val="en-US" w:eastAsia="en-NZ"/>
        </w:rPr>
        <w:t>Jamovi</w:t>
      </w:r>
      <w:proofErr w:type="spellEnd"/>
      <w:r>
        <w:rPr>
          <w:rFonts w:cs="Segoe UI"/>
          <w:lang w:val="en-US" w:eastAsia="en-NZ"/>
        </w:rPr>
        <w:t>,</w:t>
      </w:r>
      <w:r w:rsidRPr="00E97313">
        <w:rPr>
          <w:rFonts w:cs="Segoe UI"/>
          <w:lang w:val="en-US" w:eastAsia="en-NZ"/>
        </w:rPr>
        <w:t xml:space="preserve"> and Sigma Plot. </w:t>
      </w:r>
    </w:p>
    <w:p w14:paraId="371BE17F" w14:textId="77777777" w:rsidR="00747D13" w:rsidRPr="00F957D0" w:rsidRDefault="00AF6C55" w:rsidP="00F410C0">
      <w:pPr>
        <w:pStyle w:val="Heading2"/>
        <w:spacing w:line="360" w:lineRule="auto"/>
        <w:jc w:val="both"/>
        <w:rPr>
          <w:rFonts w:asciiTheme="minorHAnsi" w:hAnsiTheme="minorHAnsi"/>
        </w:rPr>
      </w:pPr>
      <w:bookmarkStart w:id="6" w:name="_Toc17724178"/>
      <w:r w:rsidRPr="00E71C18">
        <w:rPr>
          <w:rFonts w:asciiTheme="minorHAnsi" w:hAnsiTheme="minorHAnsi"/>
        </w:rPr>
        <w:t>Anticipated costs</w:t>
      </w:r>
      <w:bookmarkEnd w:id="6"/>
    </w:p>
    <w:p w14:paraId="43A6A319" w14:textId="30246FFD" w:rsidR="00D54FB2" w:rsidRPr="00D54FB2" w:rsidRDefault="00AF6C55" w:rsidP="00F410C0">
      <w:pPr>
        <w:spacing w:after="0" w:line="360" w:lineRule="auto"/>
        <w:jc w:val="both"/>
        <w:rPr>
          <w:rFonts w:cs="Arial"/>
          <w:szCs w:val="24"/>
        </w:rPr>
      </w:pPr>
      <w:r w:rsidRPr="00D54FB2">
        <w:rPr>
          <w:rFonts w:cs="Arial"/>
          <w:i/>
          <w:szCs w:val="24"/>
        </w:rPr>
        <w:t>Participant reimbursement</w:t>
      </w:r>
      <w:r w:rsidRPr="00D54FB2">
        <w:rPr>
          <w:rFonts w:cs="Arial"/>
          <w:szCs w:val="24"/>
        </w:rPr>
        <w:t xml:space="preserve">: </w:t>
      </w:r>
      <w:r w:rsidR="00254228" w:rsidRPr="00D54FB2">
        <w:rPr>
          <w:rFonts w:cs="Arial"/>
          <w:szCs w:val="24"/>
        </w:rPr>
        <w:t xml:space="preserve">The costs of this study are being funded by the University of Canterbury (funds provided to </w:t>
      </w:r>
      <w:r w:rsidR="007C7E5C">
        <w:rPr>
          <w:rFonts w:cs="Arial"/>
          <w:szCs w:val="24"/>
        </w:rPr>
        <w:t>PhD</w:t>
      </w:r>
      <w:r w:rsidR="007C7E5C" w:rsidRPr="00D54FB2">
        <w:rPr>
          <w:rFonts w:cs="Arial"/>
          <w:szCs w:val="24"/>
        </w:rPr>
        <w:t xml:space="preserve"> </w:t>
      </w:r>
      <w:r w:rsidR="00254228" w:rsidRPr="00D54FB2">
        <w:rPr>
          <w:rFonts w:cs="Arial"/>
          <w:szCs w:val="24"/>
        </w:rPr>
        <w:t xml:space="preserve">students) and the University of Canterbury Foundation. </w:t>
      </w:r>
      <w:r w:rsidR="00D54FB2" w:rsidRPr="00D54FB2">
        <w:rPr>
          <w:rFonts w:cs="Arial"/>
          <w:szCs w:val="24"/>
        </w:rPr>
        <w:t xml:space="preserve">At the beginning of the study, participants will need to meet with the study coordinator at the Mental Health and Nutrition Research </w:t>
      </w:r>
      <w:r w:rsidR="007C7E5C">
        <w:rPr>
          <w:rFonts w:cs="Arial"/>
          <w:szCs w:val="24"/>
        </w:rPr>
        <w:t xml:space="preserve">Lab, </w:t>
      </w:r>
      <w:r w:rsidR="00D54FB2" w:rsidRPr="00D54FB2">
        <w:rPr>
          <w:rFonts w:cs="Arial"/>
          <w:szCs w:val="24"/>
        </w:rPr>
        <w:t>Te Puna Toiora</w:t>
      </w:r>
      <w:r w:rsidR="007C7E5C">
        <w:rPr>
          <w:rFonts w:cs="Arial"/>
          <w:szCs w:val="24"/>
        </w:rPr>
        <w:t>,</w:t>
      </w:r>
      <w:r w:rsidR="00D54FB2" w:rsidRPr="00D54FB2">
        <w:rPr>
          <w:rFonts w:cs="Arial"/>
          <w:szCs w:val="24"/>
        </w:rPr>
        <w:t xml:space="preserve"> to sign the informed consent form and to discuss any questions or concerns they might have with regards to the study.</w:t>
      </w:r>
      <w:r w:rsidR="00A840B6">
        <w:rPr>
          <w:rFonts w:cs="Arial"/>
          <w:szCs w:val="24"/>
        </w:rPr>
        <w:t xml:space="preserve"> If the participants cannot be met in person, the meeting will take place online (e.g. via Zoom).</w:t>
      </w:r>
      <w:r w:rsidR="00D54FB2" w:rsidRPr="00D54FB2">
        <w:rPr>
          <w:rFonts w:cs="Arial"/>
          <w:szCs w:val="24"/>
        </w:rPr>
        <w:t xml:space="preserve"> Further, they will need to meet the study coordinator (every four weeks to answer parent- and child-related questionnaires as well as to provide information on compliance and potential side-effects of the intervention. To cover their driving cost</w:t>
      </w:r>
      <w:r w:rsidR="007C7E5C">
        <w:rPr>
          <w:rFonts w:cs="Arial"/>
          <w:szCs w:val="24"/>
        </w:rPr>
        <w:t>s</w:t>
      </w:r>
      <w:r w:rsidR="00D54FB2" w:rsidRPr="00D54FB2">
        <w:rPr>
          <w:rFonts w:cs="Arial"/>
          <w:szCs w:val="24"/>
        </w:rPr>
        <w:t xml:space="preserve"> to university, the participants are compensated with a $10 petrol voucher every time they meet the study coordinator at the university.  </w:t>
      </w:r>
    </w:p>
    <w:p w14:paraId="6ACBC760" w14:textId="77777777" w:rsidR="00E361A2" w:rsidRPr="00D54FB2" w:rsidRDefault="00D54FB2" w:rsidP="00F410C0">
      <w:pPr>
        <w:spacing w:after="0" w:line="360" w:lineRule="auto"/>
        <w:jc w:val="both"/>
        <w:rPr>
          <w:rFonts w:cs="Arial"/>
          <w:szCs w:val="24"/>
        </w:rPr>
      </w:pPr>
      <w:r w:rsidRPr="00D54FB2">
        <w:rPr>
          <w:rFonts w:cs="Arial"/>
          <w:szCs w:val="24"/>
        </w:rPr>
        <w:t xml:space="preserve">If the participants do not live in central Christchurch, or in case of New Zealand moving up to alert level 2, 3, or 4, the Lightning Stiks will need to be </w:t>
      </w:r>
      <w:r w:rsidR="007C7E5C">
        <w:rPr>
          <w:rFonts w:cs="Arial"/>
          <w:szCs w:val="24"/>
        </w:rPr>
        <w:t>couriered</w:t>
      </w:r>
      <w:r w:rsidR="007C7E5C" w:rsidRPr="00D54FB2">
        <w:rPr>
          <w:rFonts w:cs="Arial"/>
          <w:szCs w:val="24"/>
        </w:rPr>
        <w:t xml:space="preserve"> </w:t>
      </w:r>
      <w:r w:rsidRPr="00D54FB2">
        <w:rPr>
          <w:rFonts w:cs="Arial"/>
          <w:szCs w:val="24"/>
        </w:rPr>
        <w:t xml:space="preserve">to the participants as a meeting in person will not be </w:t>
      </w:r>
      <w:r w:rsidRPr="00D54FB2">
        <w:rPr>
          <w:rFonts w:cs="Arial"/>
          <w:szCs w:val="24"/>
        </w:rPr>
        <w:lastRenderedPageBreak/>
        <w:t>possible. As a consequence, a mail cost of $30 per participant is necessary, as each participant will receive five packages containing the Lightning StiksTM, costing $6 each.</w:t>
      </w:r>
    </w:p>
    <w:p w14:paraId="26ACB127" w14:textId="77777777" w:rsidR="00AF6C55" w:rsidRPr="00E71C18" w:rsidRDefault="00AF6C55" w:rsidP="00F410C0">
      <w:pPr>
        <w:pStyle w:val="Heading2"/>
        <w:jc w:val="both"/>
        <w:rPr>
          <w:rFonts w:asciiTheme="minorHAnsi" w:hAnsiTheme="minorHAnsi"/>
        </w:rPr>
      </w:pPr>
      <w:bookmarkStart w:id="7" w:name="_Toc17724179"/>
      <w:r w:rsidRPr="00E71C18">
        <w:rPr>
          <w:rFonts w:asciiTheme="minorHAnsi" w:hAnsiTheme="minorHAnsi"/>
        </w:rPr>
        <w:t>Resources</w:t>
      </w:r>
      <w:bookmarkEnd w:id="7"/>
    </w:p>
    <w:p w14:paraId="4A14E1A3" w14:textId="77777777" w:rsidR="008A2ACC" w:rsidRPr="00013CA3" w:rsidRDefault="008D6CEB" w:rsidP="00F410C0">
      <w:pPr>
        <w:autoSpaceDE w:val="0"/>
        <w:autoSpaceDN w:val="0"/>
        <w:adjustRightInd w:val="0"/>
        <w:spacing w:after="0" w:line="360" w:lineRule="auto"/>
        <w:jc w:val="both"/>
        <w:rPr>
          <w:rFonts w:ascii="Times New Roman" w:hAnsi="Times New Roman" w:cs="Times New Roman"/>
          <w:color w:val="000000"/>
          <w:sz w:val="23"/>
          <w:szCs w:val="23"/>
        </w:rPr>
      </w:pPr>
      <w:r>
        <w:rPr>
          <w:rFonts w:cstheme="minorHAnsi"/>
          <w:color w:val="000000"/>
          <w:sz w:val="23"/>
          <w:szCs w:val="23"/>
        </w:rPr>
        <w:t xml:space="preserve">The product we are testing </w:t>
      </w:r>
      <w:r w:rsidRPr="008D6CEB">
        <w:rPr>
          <w:rFonts w:cstheme="minorHAnsi"/>
          <w:color w:val="000000"/>
          <w:sz w:val="23"/>
          <w:szCs w:val="23"/>
        </w:rPr>
        <w:t>is provided free of charge by th</w:t>
      </w:r>
      <w:r w:rsidR="00DA25A0">
        <w:rPr>
          <w:rFonts w:cstheme="minorHAnsi"/>
          <w:color w:val="000000"/>
          <w:sz w:val="23"/>
          <w:szCs w:val="23"/>
        </w:rPr>
        <w:t>e manufacturer (True Hope). They do</w:t>
      </w:r>
      <w:r w:rsidRPr="008D6CEB">
        <w:rPr>
          <w:rFonts w:cstheme="minorHAnsi"/>
          <w:color w:val="000000"/>
          <w:sz w:val="23"/>
          <w:szCs w:val="23"/>
        </w:rPr>
        <w:t xml:space="preserve"> not provide any financial support and are not involved in the study in any other way.</w:t>
      </w:r>
      <w:r w:rsidRPr="008D6CEB">
        <w:rPr>
          <w:rFonts w:ascii="Times New Roman" w:hAnsi="Times New Roman" w:cs="Times New Roman"/>
          <w:color w:val="000000"/>
          <w:sz w:val="23"/>
          <w:szCs w:val="23"/>
        </w:rPr>
        <w:t xml:space="preserve"> </w:t>
      </w:r>
    </w:p>
    <w:p w14:paraId="1F55415B" w14:textId="77777777" w:rsidR="00A630C5" w:rsidRDefault="00A630C5" w:rsidP="00F410C0">
      <w:pPr>
        <w:pStyle w:val="Heading2"/>
        <w:jc w:val="both"/>
        <w:rPr>
          <w:rFonts w:asciiTheme="minorHAnsi" w:hAnsiTheme="minorHAnsi"/>
        </w:rPr>
      </w:pPr>
      <w:bookmarkStart w:id="8" w:name="_Toc17724180"/>
    </w:p>
    <w:p w14:paraId="1E20F419" w14:textId="77777777" w:rsidR="00D54FB2" w:rsidRPr="00D54FB2" w:rsidRDefault="00AF6C55" w:rsidP="00F410C0">
      <w:pPr>
        <w:pStyle w:val="Heading2"/>
        <w:jc w:val="both"/>
        <w:rPr>
          <w:rFonts w:asciiTheme="minorHAnsi" w:hAnsiTheme="minorHAnsi"/>
        </w:rPr>
      </w:pPr>
      <w:r w:rsidRPr="00E71C18">
        <w:rPr>
          <w:rFonts w:asciiTheme="minorHAnsi" w:hAnsiTheme="minorHAnsi"/>
        </w:rPr>
        <w:t>Timetable</w:t>
      </w:r>
      <w:bookmarkEnd w:id="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5082"/>
      </w:tblGrid>
      <w:tr w:rsidR="00D54FB2" w:rsidRPr="00BA1FCE" w14:paraId="790884AE" w14:textId="77777777" w:rsidTr="00623983">
        <w:trPr>
          <w:trHeight w:val="496"/>
        </w:trPr>
        <w:tc>
          <w:tcPr>
            <w:tcW w:w="4524" w:type="dxa"/>
            <w:shd w:val="clear" w:color="auto" w:fill="auto"/>
          </w:tcPr>
          <w:p w14:paraId="71411A4D" w14:textId="77777777" w:rsidR="00D54FB2" w:rsidRPr="00BA1FCE" w:rsidRDefault="00D54FB2" w:rsidP="00F410C0">
            <w:pPr>
              <w:jc w:val="both"/>
              <w:rPr>
                <w:b/>
                <w:lang w:val="en-US"/>
              </w:rPr>
            </w:pPr>
            <w:r w:rsidRPr="00BA1FCE">
              <w:rPr>
                <w:b/>
                <w:lang w:val="en-US"/>
              </w:rPr>
              <w:t>Date</w:t>
            </w:r>
          </w:p>
        </w:tc>
        <w:tc>
          <w:tcPr>
            <w:tcW w:w="5082" w:type="dxa"/>
            <w:shd w:val="clear" w:color="auto" w:fill="auto"/>
          </w:tcPr>
          <w:p w14:paraId="699AF727" w14:textId="77777777" w:rsidR="00D54FB2" w:rsidRPr="00BA1FCE" w:rsidRDefault="00D54FB2" w:rsidP="00F410C0">
            <w:pPr>
              <w:jc w:val="both"/>
              <w:rPr>
                <w:b/>
                <w:lang w:val="en-US"/>
              </w:rPr>
            </w:pPr>
            <w:r w:rsidRPr="00BA1FCE">
              <w:rPr>
                <w:b/>
                <w:lang w:val="en-US"/>
              </w:rPr>
              <w:t>Event</w:t>
            </w:r>
          </w:p>
        </w:tc>
      </w:tr>
      <w:tr w:rsidR="00D54FB2" w:rsidRPr="00BA1FCE" w14:paraId="4B5FAC74" w14:textId="77777777" w:rsidTr="00623983">
        <w:trPr>
          <w:trHeight w:val="496"/>
        </w:trPr>
        <w:tc>
          <w:tcPr>
            <w:tcW w:w="4524" w:type="dxa"/>
            <w:shd w:val="clear" w:color="auto" w:fill="auto"/>
          </w:tcPr>
          <w:p w14:paraId="56D70E88" w14:textId="77777777" w:rsidR="00D54FB2" w:rsidRPr="00BA1FCE" w:rsidRDefault="00D54FB2" w:rsidP="00F410C0">
            <w:pPr>
              <w:jc w:val="both"/>
              <w:rPr>
                <w:lang w:val="en-US"/>
              </w:rPr>
            </w:pPr>
            <w:r>
              <w:rPr>
                <w:lang w:val="en-US"/>
              </w:rPr>
              <w:t xml:space="preserve">February </w:t>
            </w:r>
            <w:r w:rsidRPr="00BA1FCE">
              <w:rPr>
                <w:lang w:val="en-US"/>
              </w:rPr>
              <w:t>202</w:t>
            </w:r>
            <w:r>
              <w:rPr>
                <w:lang w:val="en-US"/>
              </w:rPr>
              <w:t>2</w:t>
            </w:r>
          </w:p>
        </w:tc>
        <w:tc>
          <w:tcPr>
            <w:tcW w:w="5082" w:type="dxa"/>
            <w:shd w:val="clear" w:color="auto" w:fill="auto"/>
          </w:tcPr>
          <w:p w14:paraId="1355530C" w14:textId="77777777" w:rsidR="00D54FB2" w:rsidRPr="00BA1FCE" w:rsidRDefault="00D54FB2" w:rsidP="00F410C0">
            <w:pPr>
              <w:jc w:val="both"/>
              <w:rPr>
                <w:lang w:val="en-US"/>
              </w:rPr>
            </w:pPr>
            <w:r>
              <w:rPr>
                <w:lang w:val="en-US"/>
              </w:rPr>
              <w:t>Recruitment starts</w:t>
            </w:r>
          </w:p>
        </w:tc>
      </w:tr>
      <w:tr w:rsidR="00D54FB2" w:rsidRPr="00BA1FCE" w14:paraId="0B202CFE" w14:textId="77777777" w:rsidTr="00D54FB2">
        <w:trPr>
          <w:trHeight w:val="360"/>
        </w:trPr>
        <w:tc>
          <w:tcPr>
            <w:tcW w:w="4524" w:type="dxa"/>
            <w:shd w:val="clear" w:color="auto" w:fill="auto"/>
          </w:tcPr>
          <w:p w14:paraId="3067C7B7" w14:textId="77777777" w:rsidR="00D54FB2" w:rsidRPr="00BA1FCE" w:rsidRDefault="00D54FB2" w:rsidP="00F410C0">
            <w:pPr>
              <w:jc w:val="both"/>
              <w:rPr>
                <w:lang w:val="en-US"/>
              </w:rPr>
            </w:pPr>
            <w:r>
              <w:rPr>
                <w:lang w:val="en-US"/>
              </w:rPr>
              <w:t>February 2023</w:t>
            </w:r>
          </w:p>
        </w:tc>
        <w:tc>
          <w:tcPr>
            <w:tcW w:w="5082" w:type="dxa"/>
            <w:shd w:val="clear" w:color="auto" w:fill="auto"/>
          </w:tcPr>
          <w:p w14:paraId="18658EB3" w14:textId="77777777" w:rsidR="00D54FB2" w:rsidRPr="00BA1FCE" w:rsidRDefault="00D54FB2" w:rsidP="00F410C0">
            <w:pPr>
              <w:jc w:val="both"/>
              <w:rPr>
                <w:lang w:val="en-US"/>
              </w:rPr>
            </w:pPr>
            <w:r>
              <w:rPr>
                <w:lang w:val="en-US"/>
              </w:rPr>
              <w:t xml:space="preserve">Recruitment ends </w:t>
            </w:r>
          </w:p>
        </w:tc>
      </w:tr>
      <w:tr w:rsidR="00D54FB2" w:rsidRPr="00BA1FCE" w14:paraId="03FA7ECF" w14:textId="77777777" w:rsidTr="00623983">
        <w:trPr>
          <w:trHeight w:val="533"/>
        </w:trPr>
        <w:tc>
          <w:tcPr>
            <w:tcW w:w="4524" w:type="dxa"/>
            <w:tcBorders>
              <w:bottom w:val="single" w:sz="4" w:space="0" w:color="auto"/>
            </w:tcBorders>
            <w:shd w:val="clear" w:color="auto" w:fill="auto"/>
          </w:tcPr>
          <w:p w14:paraId="6C6AB615" w14:textId="77777777" w:rsidR="00D54FB2" w:rsidRDefault="00D54FB2" w:rsidP="00F410C0">
            <w:pPr>
              <w:jc w:val="both"/>
              <w:rPr>
                <w:lang w:val="en-US"/>
              </w:rPr>
            </w:pPr>
            <w:r>
              <w:rPr>
                <w:lang w:val="en-US"/>
              </w:rPr>
              <w:t>August 2023</w:t>
            </w:r>
          </w:p>
        </w:tc>
        <w:tc>
          <w:tcPr>
            <w:tcW w:w="5082" w:type="dxa"/>
            <w:tcBorders>
              <w:bottom w:val="single" w:sz="4" w:space="0" w:color="auto"/>
            </w:tcBorders>
            <w:shd w:val="clear" w:color="auto" w:fill="auto"/>
          </w:tcPr>
          <w:p w14:paraId="54D82B1B" w14:textId="77777777" w:rsidR="00D54FB2" w:rsidRDefault="00D54FB2" w:rsidP="00F410C0">
            <w:pPr>
              <w:jc w:val="both"/>
              <w:rPr>
                <w:lang w:val="en-US"/>
              </w:rPr>
            </w:pPr>
            <w:r>
              <w:rPr>
                <w:lang w:val="en-US"/>
              </w:rPr>
              <w:t>Data analysis starts</w:t>
            </w:r>
          </w:p>
        </w:tc>
      </w:tr>
    </w:tbl>
    <w:p w14:paraId="3BDF7011" w14:textId="77777777" w:rsidR="00D54FB2" w:rsidRDefault="00D54FB2" w:rsidP="00F410C0">
      <w:pPr>
        <w:pStyle w:val="Proposal2"/>
        <w:jc w:val="both"/>
        <w:rPr>
          <w:sz w:val="24"/>
        </w:rPr>
      </w:pPr>
    </w:p>
    <w:p w14:paraId="05DAFDBE" w14:textId="77777777" w:rsidR="002D7609" w:rsidRPr="00272466" w:rsidRDefault="00D54FB2" w:rsidP="00F410C0">
      <w:pPr>
        <w:pStyle w:val="Proposal2"/>
        <w:spacing w:line="360" w:lineRule="auto"/>
        <w:jc w:val="both"/>
        <w:rPr>
          <w:rFonts w:asciiTheme="minorHAnsi" w:hAnsiTheme="minorHAnsi" w:cstheme="minorHAnsi"/>
        </w:rPr>
      </w:pPr>
      <w:r w:rsidRPr="00D54FB2">
        <w:rPr>
          <w:rFonts w:asciiTheme="minorHAnsi" w:hAnsiTheme="minorHAnsi" w:cstheme="minorHAnsi"/>
        </w:rPr>
        <w:t>**The timeline might change based on how quickly approval from the Human and Disability Ethics Committee is granted. The earliest point in time recruitment might start would be September 2021.</w:t>
      </w:r>
    </w:p>
    <w:p w14:paraId="3D451307" w14:textId="77777777" w:rsidR="00AF6C55" w:rsidRPr="00E71C18" w:rsidRDefault="00AF6C55" w:rsidP="00F410C0">
      <w:pPr>
        <w:pStyle w:val="Heading2"/>
        <w:jc w:val="both"/>
        <w:rPr>
          <w:rFonts w:asciiTheme="minorHAnsi" w:hAnsiTheme="minorHAnsi"/>
        </w:rPr>
      </w:pPr>
      <w:r w:rsidRPr="00E71C18">
        <w:rPr>
          <w:rFonts w:asciiTheme="minorHAnsi" w:hAnsiTheme="minorHAnsi"/>
        </w:rPr>
        <w:t>Ethics</w:t>
      </w:r>
    </w:p>
    <w:p w14:paraId="1DF7C571" w14:textId="77777777" w:rsidR="009C2E4A" w:rsidRPr="00D54FB2" w:rsidRDefault="009C2E4A" w:rsidP="00F410C0">
      <w:pPr>
        <w:spacing w:after="0" w:line="360" w:lineRule="auto"/>
        <w:jc w:val="both"/>
        <w:rPr>
          <w:rFonts w:cs="Arial"/>
        </w:rPr>
      </w:pPr>
      <w:r w:rsidRPr="00D54FB2">
        <w:rPr>
          <w:rFonts w:cs="Arial"/>
        </w:rPr>
        <w:t xml:space="preserve">The overall safety of all involved in of the outmost importance. </w:t>
      </w:r>
      <w:r w:rsidR="00637E9E" w:rsidRPr="00D54FB2">
        <w:rPr>
          <w:rFonts w:cs="Arial"/>
        </w:rPr>
        <w:t xml:space="preserve">The following safety protocol outlines what safety measures have been put in place to ensure </w:t>
      </w:r>
      <w:r w:rsidR="00F87422" w:rsidRPr="00D54FB2">
        <w:rPr>
          <w:rFonts w:cs="Arial"/>
        </w:rPr>
        <w:t>safety of researchers and participants at the University</w:t>
      </w:r>
      <w:r w:rsidR="00991A90" w:rsidRPr="00D54FB2">
        <w:rPr>
          <w:rFonts w:cs="Arial"/>
        </w:rPr>
        <w:t>.</w:t>
      </w:r>
      <w:r w:rsidR="00F87422" w:rsidRPr="00D54FB2">
        <w:rPr>
          <w:rFonts w:ascii="Calibri" w:hAnsi="Calibri" w:cs="Calibri"/>
        </w:rPr>
        <w:t xml:space="preserve"> </w:t>
      </w:r>
      <w:r w:rsidR="00300F42" w:rsidRPr="00D54FB2">
        <w:rPr>
          <w:rFonts w:ascii="Calibri" w:hAnsi="Calibri" w:cs="Calibri"/>
        </w:rPr>
        <w:t xml:space="preserve"> </w:t>
      </w:r>
    </w:p>
    <w:p w14:paraId="455E47FB" w14:textId="0CD4E1F5" w:rsidR="0012439C" w:rsidRPr="00D54FB2" w:rsidRDefault="00A630C5" w:rsidP="00F410C0">
      <w:pPr>
        <w:pStyle w:val="Heading2"/>
        <w:spacing w:line="360" w:lineRule="auto"/>
        <w:jc w:val="both"/>
        <w:rPr>
          <w:rFonts w:asciiTheme="minorHAnsi" w:hAnsiTheme="minorHAnsi"/>
          <w:b w:val="0"/>
          <w:sz w:val="22"/>
          <w:szCs w:val="22"/>
        </w:rPr>
      </w:pPr>
      <w:bookmarkStart w:id="9" w:name="_Toc17724182"/>
      <w:r>
        <w:rPr>
          <w:rFonts w:asciiTheme="minorHAnsi" w:hAnsiTheme="minorHAnsi"/>
          <w:b w:val="0"/>
          <w:sz w:val="22"/>
          <w:szCs w:val="22"/>
        </w:rPr>
        <w:t>S</w:t>
      </w:r>
      <w:r w:rsidR="0012439C" w:rsidRPr="00D54FB2">
        <w:rPr>
          <w:rFonts w:asciiTheme="minorHAnsi" w:hAnsiTheme="minorHAnsi"/>
          <w:b w:val="0"/>
          <w:sz w:val="22"/>
          <w:szCs w:val="22"/>
        </w:rPr>
        <w:t xml:space="preserve">afety protocol related to </w:t>
      </w:r>
      <w:r w:rsidR="00CB2E8D" w:rsidRPr="00D54FB2">
        <w:rPr>
          <w:rFonts w:asciiTheme="minorHAnsi" w:hAnsiTheme="minorHAnsi"/>
          <w:b w:val="0"/>
          <w:sz w:val="22"/>
          <w:szCs w:val="22"/>
        </w:rPr>
        <w:t>visits at the University Lab</w:t>
      </w:r>
      <w:r w:rsidR="0012439C" w:rsidRPr="00D54FB2">
        <w:rPr>
          <w:rFonts w:asciiTheme="minorHAnsi" w:hAnsiTheme="minorHAnsi"/>
          <w:b w:val="0"/>
          <w:sz w:val="22"/>
          <w:szCs w:val="22"/>
        </w:rPr>
        <w:t>:</w:t>
      </w:r>
      <w:bookmarkEnd w:id="9"/>
    </w:p>
    <w:p w14:paraId="4CFC5069" w14:textId="77777777" w:rsidR="001E29F3" w:rsidRPr="00D54FB2" w:rsidRDefault="00F87422" w:rsidP="00F410C0">
      <w:pPr>
        <w:spacing w:after="0" w:line="360" w:lineRule="auto"/>
        <w:jc w:val="both"/>
        <w:rPr>
          <w:rFonts w:cs="Arial"/>
        </w:rPr>
      </w:pPr>
      <w:r w:rsidRPr="00D54FB2">
        <w:rPr>
          <w:rFonts w:cstheme="minorHAnsi"/>
        </w:rPr>
        <w:t>The University of Canterbury has very clear Health and Safety procedures for all visitors. We have a dedicated Health and Safety Team at the University:</w:t>
      </w:r>
      <w:r w:rsidR="00D11321" w:rsidRPr="00D54FB2">
        <w:rPr>
          <w:rFonts w:cstheme="minorHAnsi"/>
        </w:rPr>
        <w:t xml:space="preserve"> </w:t>
      </w:r>
      <w:hyperlink r:id="rId14" w:history="1">
        <w:r w:rsidR="00D11321" w:rsidRPr="00D54FB2">
          <w:rPr>
            <w:rStyle w:val="Hyperlink"/>
            <w:rFonts w:cstheme="minorHAnsi"/>
          </w:rPr>
          <w:t>https://www.canterbury.ac.nz/about/health-and-safety/</w:t>
        </w:r>
      </w:hyperlink>
      <w:r w:rsidRPr="00D54FB2">
        <w:rPr>
          <w:rFonts w:cstheme="minorHAnsi"/>
        </w:rPr>
        <w:t xml:space="preserve">. The </w:t>
      </w:r>
      <w:r w:rsidR="004A2F2B" w:rsidRPr="00D54FB2">
        <w:rPr>
          <w:rFonts w:cstheme="minorHAnsi"/>
        </w:rPr>
        <w:t xml:space="preserve">Mental Health and Nutrition </w:t>
      </w:r>
      <w:r w:rsidRPr="00D54FB2">
        <w:rPr>
          <w:rFonts w:cstheme="minorHAnsi"/>
        </w:rPr>
        <w:t>Lab</w:t>
      </w:r>
      <w:r w:rsidR="007C7E5C">
        <w:rPr>
          <w:rFonts w:cstheme="minorHAnsi"/>
        </w:rPr>
        <w:t>,</w:t>
      </w:r>
      <w:r w:rsidRPr="00D54FB2">
        <w:rPr>
          <w:rFonts w:cstheme="minorHAnsi"/>
        </w:rPr>
        <w:t xml:space="preserve"> </w:t>
      </w:r>
      <w:r w:rsidR="00D32CF5">
        <w:rPr>
          <w:rFonts w:cstheme="minorHAnsi"/>
        </w:rPr>
        <w:t>Te Puna Toiora</w:t>
      </w:r>
      <w:r w:rsidR="007C7E5C">
        <w:rPr>
          <w:rFonts w:cstheme="minorHAnsi"/>
        </w:rPr>
        <w:t>,</w:t>
      </w:r>
      <w:r w:rsidR="00D32CF5">
        <w:rPr>
          <w:rFonts w:cstheme="minorHAnsi"/>
        </w:rPr>
        <w:t xml:space="preserve"> </w:t>
      </w:r>
      <w:r w:rsidRPr="00D54FB2">
        <w:rPr>
          <w:rFonts w:cstheme="minorHAnsi"/>
        </w:rPr>
        <w:t xml:space="preserve">is situated within </w:t>
      </w:r>
      <w:r w:rsidR="004A2F2B" w:rsidRPr="00D54FB2">
        <w:rPr>
          <w:rFonts w:cstheme="minorHAnsi"/>
        </w:rPr>
        <w:t xml:space="preserve">the extensive facilities of the </w:t>
      </w:r>
      <w:r w:rsidRPr="00D54FB2">
        <w:rPr>
          <w:rFonts w:cstheme="minorHAnsi"/>
        </w:rPr>
        <w:t>School of Psychology, Speech and Hearing</w:t>
      </w:r>
      <w:r w:rsidR="004A2F2B" w:rsidRPr="00D54FB2">
        <w:rPr>
          <w:rFonts w:cstheme="minorHAnsi"/>
        </w:rPr>
        <w:t>,</w:t>
      </w:r>
      <w:r w:rsidR="004A2F2B" w:rsidRPr="00D54FB2">
        <w:rPr>
          <w:rFonts w:cs="Arial"/>
        </w:rPr>
        <w:t xml:space="preserve"> closely adjacent to clinics for audiology, clinical psychology, and speech therapy</w:t>
      </w:r>
      <w:r w:rsidRPr="00D54FB2">
        <w:rPr>
          <w:rFonts w:cs="Arial"/>
        </w:rPr>
        <w:t xml:space="preserve">. All students and staff are trained to deal with emergency situations, </w:t>
      </w:r>
      <w:r w:rsidR="00EA11C4" w:rsidRPr="00D54FB2">
        <w:rPr>
          <w:rFonts w:cs="Arial"/>
        </w:rPr>
        <w:t>such as</w:t>
      </w:r>
      <w:r w:rsidRPr="00D54FB2">
        <w:rPr>
          <w:rFonts w:cs="Arial"/>
        </w:rPr>
        <w:t xml:space="preserve"> evacuations, fire, and earthquakes. The Director of the </w:t>
      </w:r>
      <w:r w:rsidR="00300F42" w:rsidRPr="00D54FB2">
        <w:rPr>
          <w:rFonts w:cs="Arial"/>
        </w:rPr>
        <w:t>Te Puna Toiora</w:t>
      </w:r>
      <w:r w:rsidR="00D32CF5">
        <w:rPr>
          <w:rFonts w:cs="Arial"/>
        </w:rPr>
        <w:t xml:space="preserve"> </w:t>
      </w:r>
      <w:r w:rsidRPr="00D54FB2">
        <w:rPr>
          <w:rFonts w:cs="Arial"/>
        </w:rPr>
        <w:t xml:space="preserve">Mental Health and Nutrition Lab is a First Aid </w:t>
      </w:r>
      <w:r w:rsidR="00CA63DD" w:rsidRPr="00D54FB2">
        <w:rPr>
          <w:rFonts w:cs="Arial"/>
        </w:rPr>
        <w:t xml:space="preserve">Certificate </w:t>
      </w:r>
      <w:r w:rsidRPr="00D54FB2">
        <w:rPr>
          <w:rFonts w:cs="Arial"/>
        </w:rPr>
        <w:t xml:space="preserve">holder and we are equipped with a First Aid Kit. All </w:t>
      </w:r>
      <w:r w:rsidR="00631594" w:rsidRPr="00D54FB2">
        <w:rPr>
          <w:rFonts w:cs="Arial"/>
        </w:rPr>
        <w:t>short-term</w:t>
      </w:r>
      <w:r w:rsidRPr="00D54FB2">
        <w:rPr>
          <w:rFonts w:cs="Arial"/>
        </w:rPr>
        <w:t xml:space="preserve"> visitors are briefed as to the Emergency evacuation procedures. All staff and students who work with individuals under the age of 18 obtain a police check. The Director of the lab</w:t>
      </w:r>
      <w:r w:rsidR="00900A77" w:rsidRPr="00D54FB2">
        <w:rPr>
          <w:rFonts w:cs="Arial"/>
        </w:rPr>
        <w:t xml:space="preserve"> (J</w:t>
      </w:r>
      <w:r w:rsidR="00D32CF5">
        <w:rPr>
          <w:rFonts w:cs="Arial"/>
        </w:rPr>
        <w:t xml:space="preserve">ulia </w:t>
      </w:r>
      <w:r w:rsidR="00900A77" w:rsidRPr="00D54FB2">
        <w:rPr>
          <w:rFonts w:cs="Arial"/>
        </w:rPr>
        <w:t>R</w:t>
      </w:r>
      <w:r w:rsidR="00D32CF5">
        <w:rPr>
          <w:rFonts w:cs="Arial"/>
        </w:rPr>
        <w:t>ucklidge</w:t>
      </w:r>
      <w:r w:rsidR="00900A77" w:rsidRPr="00D54FB2">
        <w:rPr>
          <w:rFonts w:cs="Arial"/>
        </w:rPr>
        <w:t>)</w:t>
      </w:r>
      <w:r w:rsidR="00CA63DD" w:rsidRPr="00D54FB2">
        <w:rPr>
          <w:rFonts w:cs="Arial"/>
        </w:rPr>
        <w:t xml:space="preserve">, </w:t>
      </w:r>
      <w:r w:rsidR="00900A77" w:rsidRPr="00D54FB2">
        <w:rPr>
          <w:rFonts w:cs="Arial"/>
        </w:rPr>
        <w:t>Prof</w:t>
      </w:r>
      <w:r w:rsidR="00D32CF5">
        <w:rPr>
          <w:rFonts w:cs="Arial"/>
        </w:rPr>
        <w:t>.</w:t>
      </w:r>
      <w:r w:rsidR="00900A77" w:rsidRPr="00D54FB2">
        <w:rPr>
          <w:rFonts w:cs="Arial"/>
        </w:rPr>
        <w:t xml:space="preserve"> </w:t>
      </w:r>
      <w:r w:rsidR="00115BC9" w:rsidRPr="00D54FB2">
        <w:rPr>
          <w:rFonts w:cs="Arial"/>
        </w:rPr>
        <w:t>Neville Blampied, a research investigator</w:t>
      </w:r>
      <w:r w:rsidR="00372F74" w:rsidRPr="00D54FB2">
        <w:rPr>
          <w:rFonts w:cs="Arial"/>
        </w:rPr>
        <w:t xml:space="preserve"> involved in this study</w:t>
      </w:r>
      <w:r w:rsidR="00900A77" w:rsidRPr="00D54FB2">
        <w:rPr>
          <w:rFonts w:cs="Arial"/>
        </w:rPr>
        <w:t>,</w:t>
      </w:r>
      <w:r w:rsidRPr="00D54FB2">
        <w:rPr>
          <w:rFonts w:cs="Arial"/>
        </w:rPr>
        <w:t xml:space="preserve"> and one of the current PhD students are registered psychologists such that in the event of any concerns for the wellbeing of </w:t>
      </w:r>
      <w:r w:rsidR="00EA11C4" w:rsidRPr="00D54FB2">
        <w:rPr>
          <w:rFonts w:cs="Arial"/>
        </w:rPr>
        <w:t>participants</w:t>
      </w:r>
      <w:r w:rsidRPr="00D54FB2">
        <w:rPr>
          <w:rFonts w:cs="Arial"/>
        </w:rPr>
        <w:t xml:space="preserve">, we have on hand trained professionals capable of </w:t>
      </w:r>
      <w:r w:rsidR="00EA11C4" w:rsidRPr="00D54FB2">
        <w:rPr>
          <w:rFonts w:cs="Arial"/>
        </w:rPr>
        <w:t xml:space="preserve">dealing with such circumstances that may arise. In addition, within 20 meters of the lab there are a further 6 </w:t>
      </w:r>
      <w:r w:rsidR="004A2F2B" w:rsidRPr="00D54FB2">
        <w:rPr>
          <w:rFonts w:cs="Arial"/>
        </w:rPr>
        <w:t xml:space="preserve">university staff who are </w:t>
      </w:r>
      <w:r w:rsidR="00EA11C4" w:rsidRPr="00D54FB2">
        <w:rPr>
          <w:rFonts w:cs="Arial"/>
        </w:rPr>
        <w:t xml:space="preserve">registered psychologists available for consultation should the need arise. </w:t>
      </w:r>
      <w:r w:rsidRPr="00D54FB2">
        <w:rPr>
          <w:rFonts w:cs="Arial"/>
        </w:rPr>
        <w:t xml:space="preserve"> </w:t>
      </w:r>
    </w:p>
    <w:p w14:paraId="06A59906" w14:textId="77777777" w:rsidR="009C2E4A" w:rsidRPr="00D54FB2" w:rsidRDefault="009C2E4A" w:rsidP="00F410C0">
      <w:pPr>
        <w:spacing w:after="0" w:line="360" w:lineRule="auto"/>
        <w:jc w:val="both"/>
        <w:rPr>
          <w:rFonts w:cs="Arial"/>
        </w:rPr>
      </w:pPr>
    </w:p>
    <w:p w14:paraId="19EC3C98" w14:textId="77777777" w:rsidR="002D7609" w:rsidRPr="00D54FB2" w:rsidRDefault="00AF6C55" w:rsidP="00F410C0">
      <w:pPr>
        <w:spacing w:after="0" w:line="360" w:lineRule="auto"/>
        <w:jc w:val="both"/>
        <w:rPr>
          <w:rFonts w:cs="Arial"/>
        </w:rPr>
      </w:pPr>
      <w:r w:rsidRPr="00D54FB2">
        <w:rPr>
          <w:rFonts w:cs="Arial"/>
        </w:rPr>
        <w:lastRenderedPageBreak/>
        <w:t>Participant safety</w:t>
      </w:r>
      <w:r w:rsidR="00A3275C" w:rsidRPr="00D54FB2">
        <w:rPr>
          <w:rFonts w:cs="Arial"/>
        </w:rPr>
        <w:t xml:space="preserve"> is the most important concern. Every potential participant</w:t>
      </w:r>
      <w:r w:rsidR="00FC699F" w:rsidRPr="00D54FB2">
        <w:rPr>
          <w:rFonts w:cs="Arial"/>
        </w:rPr>
        <w:t xml:space="preserve"> will be</w:t>
      </w:r>
      <w:r w:rsidRPr="00D54FB2">
        <w:rPr>
          <w:rFonts w:cs="Arial"/>
        </w:rPr>
        <w:t xml:space="preserve"> screened to ensure that th</w:t>
      </w:r>
      <w:r w:rsidR="00F32D71" w:rsidRPr="00D54FB2">
        <w:rPr>
          <w:rFonts w:cs="Arial"/>
        </w:rPr>
        <w:t>ere are no</w:t>
      </w:r>
      <w:r w:rsidRPr="00D54FB2">
        <w:rPr>
          <w:rFonts w:cs="Arial"/>
        </w:rPr>
        <w:t xml:space="preserve"> </w:t>
      </w:r>
      <w:r w:rsidR="006F78CF">
        <w:rPr>
          <w:rFonts w:cs="Arial"/>
        </w:rPr>
        <w:t xml:space="preserve">known </w:t>
      </w:r>
      <w:r w:rsidRPr="00D54FB2">
        <w:rPr>
          <w:rFonts w:cs="Arial"/>
        </w:rPr>
        <w:t>physical</w:t>
      </w:r>
      <w:r w:rsidR="00900A77" w:rsidRPr="00D54FB2">
        <w:rPr>
          <w:rFonts w:cs="Arial"/>
        </w:rPr>
        <w:t>/mental</w:t>
      </w:r>
      <w:r w:rsidR="003C5DCC" w:rsidRPr="00D54FB2">
        <w:rPr>
          <w:rFonts w:cs="Arial"/>
        </w:rPr>
        <w:t xml:space="preserve"> or metabolic (</w:t>
      </w:r>
      <w:r w:rsidR="00120C72" w:rsidRPr="00D54FB2">
        <w:rPr>
          <w:rFonts w:cs="Arial"/>
        </w:rPr>
        <w:t>e.g.</w:t>
      </w:r>
      <w:r w:rsidR="003C5DCC" w:rsidRPr="00D54FB2">
        <w:rPr>
          <w:rFonts w:cs="Arial"/>
        </w:rPr>
        <w:t xml:space="preserve"> </w:t>
      </w:r>
      <w:r w:rsidR="006F78CF">
        <w:rPr>
          <w:rFonts w:cs="Arial"/>
        </w:rPr>
        <w:t xml:space="preserve">hemochromatosis – an inability to metabolise iron; </w:t>
      </w:r>
      <w:r w:rsidR="003C5DCC" w:rsidRPr="00D54FB2">
        <w:rPr>
          <w:rFonts w:cs="Arial"/>
        </w:rPr>
        <w:t>Wilson’s disease</w:t>
      </w:r>
      <w:r w:rsidR="007C7E5C">
        <w:rPr>
          <w:rFonts w:cs="Arial"/>
        </w:rPr>
        <w:t xml:space="preserve"> – an inability to metabolize copper</w:t>
      </w:r>
      <w:r w:rsidR="003C5DCC" w:rsidRPr="00D54FB2">
        <w:rPr>
          <w:rFonts w:cs="Arial"/>
        </w:rPr>
        <w:t xml:space="preserve">) </w:t>
      </w:r>
      <w:r w:rsidRPr="00D54FB2">
        <w:rPr>
          <w:rFonts w:cs="Arial"/>
        </w:rPr>
        <w:t xml:space="preserve">conditions that may preclude participation. </w:t>
      </w:r>
      <w:r w:rsidR="0073331D" w:rsidRPr="00D54FB2">
        <w:rPr>
          <w:rFonts w:cs="Arial"/>
        </w:rPr>
        <w:t xml:space="preserve">Safety of the intervention will be assessed </w:t>
      </w:r>
      <w:r w:rsidR="005A61E9">
        <w:rPr>
          <w:rFonts w:cs="Arial"/>
        </w:rPr>
        <w:t>once a month</w:t>
      </w:r>
      <w:r w:rsidR="0073331D" w:rsidRPr="00D54FB2">
        <w:rPr>
          <w:rFonts w:cs="Arial"/>
        </w:rPr>
        <w:t xml:space="preserve"> during the study period via a survey examining side effects and adverse events. When a</w:t>
      </w:r>
      <w:r w:rsidR="00900A77" w:rsidRPr="00D54FB2">
        <w:rPr>
          <w:rFonts w:cs="Arial"/>
        </w:rPr>
        <w:t xml:space="preserve"> serious</w:t>
      </w:r>
      <w:r w:rsidR="0073331D" w:rsidRPr="00D54FB2">
        <w:rPr>
          <w:rFonts w:cs="Arial"/>
        </w:rPr>
        <w:t xml:space="preserve"> adverse event is reported, it will be discussed with the study physician who will determine the appropriate course of action. In the case of worsening psychiatric symptoms or suicidal ideation with plan and intent, contact will be made with appropriate mental health services. </w:t>
      </w:r>
    </w:p>
    <w:p w14:paraId="16DD5CA7" w14:textId="77777777" w:rsidR="00644161" w:rsidRPr="00D54FB2" w:rsidRDefault="002D7609" w:rsidP="00F410C0">
      <w:pPr>
        <w:spacing w:after="0" w:line="360" w:lineRule="auto"/>
        <w:jc w:val="both"/>
        <w:rPr>
          <w:rFonts w:cs="Arial"/>
        </w:rPr>
      </w:pPr>
      <w:r w:rsidRPr="00D54FB2">
        <w:rPr>
          <w:rFonts w:cs="Arial"/>
        </w:rPr>
        <w:t xml:space="preserve">Research participants will be informed if any new information regarding the products' safety is brought to our attention during the trial. If we </w:t>
      </w:r>
      <w:r w:rsidR="006F78CF">
        <w:rPr>
          <w:rFonts w:cs="Arial"/>
        </w:rPr>
        <w:t>find</w:t>
      </w:r>
      <w:r w:rsidRPr="00D54FB2">
        <w:rPr>
          <w:rFonts w:cs="Arial"/>
        </w:rPr>
        <w:t xml:space="preserve"> that </w:t>
      </w:r>
      <w:r w:rsidR="00900A77" w:rsidRPr="00D54FB2">
        <w:rPr>
          <w:rFonts w:cs="Arial"/>
        </w:rPr>
        <w:t xml:space="preserve">a </w:t>
      </w:r>
      <w:r w:rsidR="009A3B2B">
        <w:rPr>
          <w:rFonts w:cs="Arial"/>
        </w:rPr>
        <w:t>child</w:t>
      </w:r>
      <w:r w:rsidR="009A3B2B" w:rsidRPr="00D54FB2">
        <w:rPr>
          <w:rFonts w:cs="Arial"/>
        </w:rPr>
        <w:t xml:space="preserve">’s </w:t>
      </w:r>
      <w:r w:rsidRPr="00D54FB2">
        <w:rPr>
          <w:rFonts w:cs="Arial"/>
        </w:rPr>
        <w:t xml:space="preserve">symptoms have increased to a clinically significant degree or that the product is causing any harm, we may discuss with </w:t>
      </w:r>
      <w:r w:rsidR="009A3B2B">
        <w:rPr>
          <w:rFonts w:cs="Arial"/>
        </w:rPr>
        <w:t xml:space="preserve">the </w:t>
      </w:r>
      <w:r w:rsidRPr="00D54FB2">
        <w:rPr>
          <w:rFonts w:cs="Arial"/>
        </w:rPr>
        <w:t>participant</w:t>
      </w:r>
      <w:r w:rsidR="009A3B2B">
        <w:rPr>
          <w:rFonts w:cs="Arial"/>
        </w:rPr>
        <w:t xml:space="preserve"> and their family</w:t>
      </w:r>
      <w:r w:rsidRPr="00D54FB2">
        <w:rPr>
          <w:rFonts w:cs="Arial"/>
        </w:rPr>
        <w:t xml:space="preserve"> the possibility of withdrawing them from the trial or may decide that they should discontinue their participation in the trial. </w:t>
      </w:r>
      <w:r w:rsidR="0073331D" w:rsidRPr="00D54FB2">
        <w:rPr>
          <w:rFonts w:cs="Arial"/>
        </w:rPr>
        <w:t>Participants may be referred to their G</w:t>
      </w:r>
      <w:r w:rsidR="00E601B6">
        <w:rPr>
          <w:rFonts w:cs="Arial"/>
        </w:rPr>
        <w:t xml:space="preserve">eneral </w:t>
      </w:r>
      <w:r w:rsidR="0073331D" w:rsidRPr="00D54FB2">
        <w:rPr>
          <w:rFonts w:cs="Arial"/>
        </w:rPr>
        <w:t>P</w:t>
      </w:r>
      <w:r w:rsidR="00E601B6">
        <w:rPr>
          <w:rFonts w:cs="Arial"/>
        </w:rPr>
        <w:t>ractitioner</w:t>
      </w:r>
      <w:r w:rsidR="0073331D" w:rsidRPr="00D54FB2">
        <w:rPr>
          <w:rFonts w:cs="Arial"/>
        </w:rPr>
        <w:t xml:space="preserve"> until the condition associated with an adverse event has resolved or until it is stable. All adverse events will be documented. Serious adverse events would include events that result in hospitali</w:t>
      </w:r>
      <w:r w:rsidR="00E601B6">
        <w:rPr>
          <w:rFonts w:cs="Arial"/>
        </w:rPr>
        <w:t>s</w:t>
      </w:r>
      <w:r w:rsidR="0073331D" w:rsidRPr="00D54FB2">
        <w:rPr>
          <w:rFonts w:cs="Arial"/>
        </w:rPr>
        <w:t xml:space="preserve">ation, life-threatening disability or death. </w:t>
      </w:r>
    </w:p>
    <w:p w14:paraId="45382672" w14:textId="1AE3A1FF" w:rsidR="00132E30" w:rsidRDefault="00AF6C55" w:rsidP="00F410C0">
      <w:pPr>
        <w:spacing w:after="0" w:line="360" w:lineRule="auto"/>
        <w:jc w:val="both"/>
        <w:rPr>
          <w:rFonts w:cs="Arial"/>
        </w:rPr>
      </w:pPr>
      <w:r w:rsidRPr="00D54FB2">
        <w:rPr>
          <w:rFonts w:cs="Arial"/>
        </w:rPr>
        <w:t xml:space="preserve">If a participant, for any reason, requires treatment with certain therapeutic agents (i.e. antibiotics), we </w:t>
      </w:r>
      <w:r w:rsidR="009A3B2B">
        <w:rPr>
          <w:rFonts w:cs="Arial"/>
        </w:rPr>
        <w:t xml:space="preserve">will </w:t>
      </w:r>
      <w:r w:rsidRPr="00D54FB2">
        <w:rPr>
          <w:rFonts w:cs="Arial"/>
        </w:rPr>
        <w:t>note what they are taking and for how long. If a protocol exclusion violation has occurred (i.e.</w:t>
      </w:r>
      <w:r w:rsidR="00C835C2" w:rsidRPr="00D54FB2">
        <w:rPr>
          <w:rFonts w:cs="Arial"/>
        </w:rPr>
        <w:t>,</w:t>
      </w:r>
      <w:r w:rsidRPr="00D54FB2">
        <w:rPr>
          <w:rFonts w:cs="Arial"/>
        </w:rPr>
        <w:t xml:space="preserve"> participant requires psychiatric medications), </w:t>
      </w:r>
      <w:r w:rsidR="008C54E4" w:rsidRPr="00D54FB2">
        <w:rPr>
          <w:rFonts w:cs="Arial"/>
        </w:rPr>
        <w:t>the</w:t>
      </w:r>
      <w:r w:rsidR="00CA38D8" w:rsidRPr="00D54FB2">
        <w:rPr>
          <w:rFonts w:cs="Arial"/>
        </w:rPr>
        <w:t xml:space="preserve"> participant’s</w:t>
      </w:r>
      <w:r w:rsidRPr="00D54FB2">
        <w:rPr>
          <w:rFonts w:cs="Arial"/>
        </w:rPr>
        <w:t xml:space="preserve"> involvement will be discontinued. If any pa</w:t>
      </w:r>
      <w:r w:rsidR="004C5E85" w:rsidRPr="00D54FB2">
        <w:rPr>
          <w:rFonts w:cs="Arial"/>
        </w:rPr>
        <w:t xml:space="preserve">rticipant is </w:t>
      </w:r>
      <w:r w:rsidRPr="00D54FB2">
        <w:rPr>
          <w:rFonts w:cs="Arial"/>
        </w:rPr>
        <w:t>discontinued from the trial</w:t>
      </w:r>
      <w:r w:rsidR="00A1008E" w:rsidRPr="00D54FB2">
        <w:rPr>
          <w:rFonts w:cs="Arial"/>
        </w:rPr>
        <w:t xml:space="preserve"> or decides to withdraw</w:t>
      </w:r>
      <w:r w:rsidRPr="00D54FB2">
        <w:rPr>
          <w:rFonts w:cs="Arial"/>
        </w:rPr>
        <w:t xml:space="preserve">, we will carry out follow-ups to </w:t>
      </w:r>
      <w:r w:rsidR="009A3B2B" w:rsidRPr="00D54FB2">
        <w:rPr>
          <w:rFonts w:cs="Arial"/>
        </w:rPr>
        <w:t>confirm</w:t>
      </w:r>
      <w:r w:rsidRPr="00D54FB2">
        <w:rPr>
          <w:rFonts w:cs="Arial"/>
        </w:rPr>
        <w:t xml:space="preserve"> </w:t>
      </w:r>
      <w:r w:rsidR="009A3B2B">
        <w:rPr>
          <w:rFonts w:cs="Arial"/>
        </w:rPr>
        <w:t xml:space="preserve">the </w:t>
      </w:r>
      <w:r w:rsidR="009A3B2B" w:rsidRPr="00D54FB2">
        <w:rPr>
          <w:rFonts w:cs="Arial"/>
        </w:rPr>
        <w:t xml:space="preserve">well-being </w:t>
      </w:r>
      <w:r w:rsidR="009A3B2B">
        <w:rPr>
          <w:rFonts w:cs="Arial"/>
        </w:rPr>
        <w:t xml:space="preserve">of </w:t>
      </w:r>
      <w:r w:rsidRPr="00D54FB2">
        <w:rPr>
          <w:rFonts w:cs="Arial"/>
        </w:rPr>
        <w:t>participant</w:t>
      </w:r>
      <w:r w:rsidR="009A3B2B">
        <w:rPr>
          <w:rFonts w:cs="Arial"/>
        </w:rPr>
        <w:t>s</w:t>
      </w:r>
      <w:r w:rsidRPr="00D54FB2">
        <w:rPr>
          <w:rFonts w:cs="Arial"/>
        </w:rPr>
        <w:t xml:space="preserve">. </w:t>
      </w:r>
    </w:p>
    <w:p w14:paraId="67E47E00" w14:textId="78524BDE" w:rsidR="00B1376B" w:rsidRDefault="00387005" w:rsidP="00B1376B">
      <w:pPr>
        <w:spacing w:after="0" w:line="360" w:lineRule="auto"/>
        <w:jc w:val="both"/>
        <w:rPr>
          <w:rFonts w:cs="Arial"/>
        </w:rPr>
      </w:pPr>
      <w:bookmarkStart w:id="10" w:name="_Hlk86933626"/>
      <w:r w:rsidRPr="00387005">
        <w:rPr>
          <w:rFonts w:cs="Arial"/>
        </w:rPr>
        <w:t>If a participant experiences distress due to completing the questionnaires, or if we are worried about the participant’s wellbeing, participants will be reminded that they can withdraw from the study at any time without experiencing any negative consequences. In addition, as mention above, in the case of worsening psychiatric symptoms or suicidal ideation with plan and intent, on discussion with the supervising clinical psychologist and psychiatrist, a safety plan will be developed that may include possible further contact with appropriate mental health services. Participants will also be provided with the following links that contain information about various treatment options available in the community</w:t>
      </w:r>
      <w:r>
        <w:rPr>
          <w:rFonts w:cs="Arial"/>
        </w:rPr>
        <w:t>:</w:t>
      </w:r>
    </w:p>
    <w:p w14:paraId="08358CB2" w14:textId="77777777" w:rsidR="00387005" w:rsidRPr="00B1376B" w:rsidRDefault="00387005" w:rsidP="00B1376B">
      <w:pPr>
        <w:spacing w:after="0" w:line="360" w:lineRule="auto"/>
        <w:jc w:val="both"/>
        <w:rPr>
          <w:rFonts w:cs="Arial"/>
          <w:iCs/>
        </w:rPr>
      </w:pPr>
    </w:p>
    <w:p w14:paraId="43C2B8DD" w14:textId="77777777" w:rsidR="00B1376B" w:rsidRPr="00B1376B" w:rsidRDefault="00342995" w:rsidP="00B1376B">
      <w:pPr>
        <w:spacing w:after="0" w:line="360" w:lineRule="auto"/>
        <w:jc w:val="both"/>
        <w:rPr>
          <w:rFonts w:cs="Arial"/>
          <w:iCs/>
        </w:rPr>
      </w:pPr>
      <w:hyperlink r:id="rId15" w:history="1">
        <w:r w:rsidR="00B1376B" w:rsidRPr="00B1376B">
          <w:rPr>
            <w:rStyle w:val="Hyperlink"/>
            <w:rFonts w:cs="Arial"/>
            <w:iCs/>
          </w:rPr>
          <w:t>http://www.health.govt.nz/your-health/conditions-and-treatments/mental-health</w:t>
        </w:r>
      </w:hyperlink>
    </w:p>
    <w:p w14:paraId="203AE196" w14:textId="77777777" w:rsidR="00B1376B" w:rsidRPr="00B1376B" w:rsidRDefault="00342995" w:rsidP="00B1376B">
      <w:pPr>
        <w:spacing w:after="0" w:line="360" w:lineRule="auto"/>
        <w:jc w:val="both"/>
        <w:rPr>
          <w:rFonts w:cs="Arial"/>
          <w:iCs/>
        </w:rPr>
      </w:pPr>
      <w:hyperlink r:id="rId16" w:history="1">
        <w:r w:rsidR="00B1376B" w:rsidRPr="00B1376B">
          <w:rPr>
            <w:rStyle w:val="Hyperlink"/>
            <w:rFonts w:cs="Arial"/>
            <w:iCs/>
          </w:rPr>
          <w:t>https://www.mentalhealth.org.nz/</w:t>
        </w:r>
      </w:hyperlink>
    </w:p>
    <w:p w14:paraId="0DECEF2B" w14:textId="77777777" w:rsidR="00B1376B" w:rsidRPr="00B1376B" w:rsidRDefault="00342995" w:rsidP="00B1376B">
      <w:pPr>
        <w:spacing w:after="0" w:line="360" w:lineRule="auto"/>
        <w:jc w:val="both"/>
        <w:rPr>
          <w:rFonts w:cs="Arial"/>
          <w:iCs/>
        </w:rPr>
      </w:pPr>
      <w:hyperlink r:id="rId17" w:history="1">
        <w:r w:rsidR="00B1376B" w:rsidRPr="00B1376B">
          <w:rPr>
            <w:rStyle w:val="Hyperlink"/>
            <w:rFonts w:cs="Arial"/>
            <w:iCs/>
          </w:rPr>
          <w:t>https://depression.org.nz/</w:t>
        </w:r>
      </w:hyperlink>
    </w:p>
    <w:p w14:paraId="559FF686" w14:textId="77777777" w:rsidR="00B1376B" w:rsidRPr="00B1376B" w:rsidRDefault="00342995" w:rsidP="00B1376B">
      <w:pPr>
        <w:spacing w:after="0" w:line="360" w:lineRule="auto"/>
        <w:jc w:val="both"/>
        <w:rPr>
          <w:rFonts w:cs="Arial"/>
          <w:iCs/>
          <w:lang w:val="en-AU"/>
        </w:rPr>
      </w:pPr>
      <w:hyperlink r:id="rId18" w:history="1">
        <w:r w:rsidR="00B1376B" w:rsidRPr="00B1376B">
          <w:rPr>
            <w:rStyle w:val="Hyperlink"/>
            <w:rFonts w:cs="Arial"/>
            <w:iCs/>
          </w:rPr>
          <w:t>http://www.healthinfo.org.nz/</w:t>
        </w:r>
      </w:hyperlink>
    </w:p>
    <w:p w14:paraId="5F7907D4" w14:textId="77777777" w:rsidR="00B1376B" w:rsidRPr="00B1376B" w:rsidRDefault="00B1376B" w:rsidP="00B1376B">
      <w:pPr>
        <w:spacing w:after="0" w:line="360" w:lineRule="auto"/>
        <w:jc w:val="both"/>
        <w:rPr>
          <w:rFonts w:cs="Arial"/>
          <w:iCs/>
        </w:rPr>
      </w:pPr>
    </w:p>
    <w:p w14:paraId="412E3F5C" w14:textId="77777777" w:rsidR="00B1376B" w:rsidRPr="00B1376B" w:rsidRDefault="00B1376B" w:rsidP="00B1376B">
      <w:pPr>
        <w:spacing w:after="0" w:line="360" w:lineRule="auto"/>
        <w:jc w:val="both"/>
        <w:rPr>
          <w:rFonts w:cs="Arial"/>
          <w:iCs/>
        </w:rPr>
      </w:pPr>
      <w:r w:rsidRPr="00B1376B">
        <w:rPr>
          <w:rFonts w:cs="Arial"/>
          <w:iCs/>
        </w:rPr>
        <w:t>Lifeline (Available 24/7) </w:t>
      </w:r>
      <w:hyperlink r:id="rId19" w:history="1">
        <w:r w:rsidRPr="00B1376B">
          <w:rPr>
            <w:rStyle w:val="Hyperlink"/>
            <w:rFonts w:cs="Arial"/>
            <w:iCs/>
          </w:rPr>
          <w:t>0800 543 354</w:t>
        </w:r>
      </w:hyperlink>
    </w:p>
    <w:p w14:paraId="2641831E" w14:textId="77777777" w:rsidR="00B1376B" w:rsidRPr="00B1376B" w:rsidRDefault="00B1376B" w:rsidP="00B1376B">
      <w:pPr>
        <w:spacing w:after="0" w:line="360" w:lineRule="auto"/>
        <w:jc w:val="both"/>
        <w:rPr>
          <w:rFonts w:cs="Arial"/>
          <w:iCs/>
        </w:rPr>
      </w:pPr>
      <w:r w:rsidRPr="00B1376B">
        <w:rPr>
          <w:rFonts w:cs="Arial"/>
          <w:iCs/>
        </w:rPr>
        <w:t>Depression Helpline (Available 24/7) 0800 111 757 </w:t>
      </w:r>
      <w:hyperlink r:id="rId20" w:history="1">
        <w:r w:rsidRPr="00B1376B">
          <w:rPr>
            <w:rStyle w:val="Hyperlink"/>
            <w:rFonts w:cs="Arial"/>
            <w:iCs/>
          </w:rPr>
          <w:t>0800 543 354</w:t>
        </w:r>
      </w:hyperlink>
    </w:p>
    <w:p w14:paraId="3A4FCF72" w14:textId="77777777" w:rsidR="00B1376B" w:rsidRPr="00B1376B" w:rsidRDefault="00B1376B" w:rsidP="00B1376B">
      <w:pPr>
        <w:spacing w:after="0" w:line="360" w:lineRule="auto"/>
        <w:jc w:val="both"/>
        <w:rPr>
          <w:rFonts w:cs="Arial"/>
          <w:iCs/>
        </w:rPr>
      </w:pPr>
      <w:r w:rsidRPr="00B1376B">
        <w:rPr>
          <w:rFonts w:cs="Arial"/>
          <w:iCs/>
        </w:rPr>
        <w:t>Healthline (Available 24/7) </w:t>
      </w:r>
      <w:hyperlink r:id="rId21" w:history="1">
        <w:r w:rsidRPr="00B1376B">
          <w:rPr>
            <w:rStyle w:val="Hyperlink"/>
            <w:rFonts w:cs="Arial"/>
            <w:iCs/>
          </w:rPr>
          <w:t>0800 611 116</w:t>
        </w:r>
      </w:hyperlink>
    </w:p>
    <w:p w14:paraId="22D60F13" w14:textId="77777777" w:rsidR="00B1376B" w:rsidRPr="00B1376B" w:rsidRDefault="00B1376B" w:rsidP="00B1376B">
      <w:pPr>
        <w:spacing w:after="0" w:line="360" w:lineRule="auto"/>
        <w:jc w:val="both"/>
        <w:rPr>
          <w:rFonts w:cs="Arial"/>
          <w:iCs/>
        </w:rPr>
      </w:pPr>
      <w:r w:rsidRPr="00B1376B">
        <w:rPr>
          <w:rFonts w:cs="Arial"/>
          <w:iCs/>
        </w:rPr>
        <w:lastRenderedPageBreak/>
        <w:t>Samaritans (Available 24/7) </w:t>
      </w:r>
      <w:hyperlink r:id="rId22" w:history="1">
        <w:r w:rsidRPr="00B1376B">
          <w:rPr>
            <w:rStyle w:val="Hyperlink"/>
            <w:rFonts w:cs="Arial"/>
            <w:iCs/>
          </w:rPr>
          <w:t>0800 726 666</w:t>
        </w:r>
      </w:hyperlink>
    </w:p>
    <w:p w14:paraId="090D0A65" w14:textId="77777777" w:rsidR="00B1376B" w:rsidRPr="00B1376B" w:rsidRDefault="00B1376B" w:rsidP="00B1376B">
      <w:pPr>
        <w:spacing w:after="0" w:line="360" w:lineRule="auto"/>
        <w:jc w:val="both"/>
        <w:rPr>
          <w:rFonts w:cs="Arial"/>
          <w:iCs/>
        </w:rPr>
      </w:pPr>
      <w:r w:rsidRPr="00B1376B">
        <w:rPr>
          <w:rFonts w:cs="Arial"/>
          <w:iCs/>
        </w:rPr>
        <w:t>Suicide Crisis Helpline (Available 24/7) </w:t>
      </w:r>
      <w:hyperlink r:id="rId23" w:history="1">
        <w:r w:rsidRPr="00B1376B">
          <w:rPr>
            <w:rStyle w:val="Hyperlink"/>
            <w:rFonts w:cs="Arial"/>
            <w:iCs/>
          </w:rPr>
          <w:t>0800 543 354</w:t>
        </w:r>
      </w:hyperlink>
      <w:r w:rsidRPr="00B1376B">
        <w:rPr>
          <w:rFonts w:cs="Arial"/>
          <w:iCs/>
        </w:rPr>
        <w:t> (0508 TAUTOKO)</w:t>
      </w:r>
    </w:p>
    <w:p w14:paraId="54548AE6" w14:textId="77777777" w:rsidR="00B1376B" w:rsidRPr="00B1376B" w:rsidRDefault="00B1376B" w:rsidP="00B1376B">
      <w:pPr>
        <w:spacing w:after="0" w:line="360" w:lineRule="auto"/>
        <w:jc w:val="both"/>
        <w:rPr>
          <w:rFonts w:cs="Arial"/>
          <w:iCs/>
          <w:u w:val="single"/>
        </w:rPr>
      </w:pPr>
      <w:r w:rsidRPr="00B1376B">
        <w:rPr>
          <w:rFonts w:cs="Arial"/>
          <w:iCs/>
        </w:rPr>
        <w:t>Crisis Resolution Services (Available 24/7) (Canterbury) </w:t>
      </w:r>
      <w:hyperlink r:id="rId24" w:history="1">
        <w:r w:rsidRPr="00B1376B">
          <w:rPr>
            <w:rStyle w:val="Hyperlink"/>
            <w:rFonts w:cs="Arial"/>
            <w:iCs/>
          </w:rPr>
          <w:t>0800 920 092</w:t>
        </w:r>
      </w:hyperlink>
    </w:p>
    <w:bookmarkEnd w:id="10"/>
    <w:p w14:paraId="29CA70C8" w14:textId="77777777" w:rsidR="00B1376B" w:rsidRPr="00D54FB2" w:rsidRDefault="00B1376B" w:rsidP="00F410C0">
      <w:pPr>
        <w:spacing w:after="0" w:line="360" w:lineRule="auto"/>
        <w:jc w:val="both"/>
        <w:rPr>
          <w:rFonts w:cs="Arial"/>
        </w:rPr>
      </w:pPr>
    </w:p>
    <w:p w14:paraId="1627AA99" w14:textId="77777777" w:rsidR="00FB0443" w:rsidRPr="00D54FB2" w:rsidRDefault="00FB0443" w:rsidP="00F410C0">
      <w:pPr>
        <w:pStyle w:val="Default"/>
        <w:spacing w:line="360" w:lineRule="auto"/>
        <w:jc w:val="both"/>
        <w:rPr>
          <w:rFonts w:asciiTheme="minorHAnsi" w:hAnsiTheme="minorHAnsi" w:cs="Arial"/>
          <w:color w:val="auto"/>
          <w:sz w:val="22"/>
          <w:szCs w:val="22"/>
        </w:rPr>
      </w:pPr>
    </w:p>
    <w:p w14:paraId="0AC8787E" w14:textId="77777777" w:rsidR="00FB0443" w:rsidRPr="009F437F" w:rsidRDefault="00FB0443" w:rsidP="00F410C0">
      <w:pPr>
        <w:pStyle w:val="Default"/>
        <w:spacing w:line="360" w:lineRule="auto"/>
        <w:jc w:val="both"/>
        <w:rPr>
          <w:rFonts w:asciiTheme="majorHAnsi" w:hAnsiTheme="majorHAnsi" w:cstheme="majorHAnsi"/>
          <w:color w:val="5B9BD5" w:themeColor="accent1"/>
          <w:szCs w:val="22"/>
        </w:rPr>
      </w:pPr>
      <w:r w:rsidRPr="009F437F">
        <w:rPr>
          <w:rFonts w:asciiTheme="majorHAnsi" w:hAnsiTheme="majorHAnsi" w:cstheme="majorHAnsi"/>
          <w:color w:val="5B9BD5" w:themeColor="accent1"/>
          <w:szCs w:val="22"/>
        </w:rPr>
        <w:t>Potential side effects</w:t>
      </w:r>
    </w:p>
    <w:p w14:paraId="47C32322" w14:textId="77777777" w:rsidR="009F437F" w:rsidRDefault="009F437F" w:rsidP="00F410C0">
      <w:pPr>
        <w:pStyle w:val="Default"/>
        <w:spacing w:line="360" w:lineRule="auto"/>
        <w:jc w:val="both"/>
        <w:rPr>
          <w:rFonts w:asciiTheme="minorHAnsi" w:hAnsiTheme="minorHAnsi" w:cs="Arial"/>
          <w:sz w:val="22"/>
          <w:szCs w:val="22"/>
        </w:rPr>
      </w:pPr>
      <w:r w:rsidRPr="00D54FB2">
        <w:rPr>
          <w:rFonts w:asciiTheme="minorHAnsi" w:hAnsiTheme="minorHAnsi" w:cs="Arial"/>
          <w:sz w:val="22"/>
          <w:szCs w:val="22"/>
        </w:rPr>
        <w:t>As mentioned previously, anecdotal reports have reported that as a consequence of taking the Lightning Stiks, individuals</w:t>
      </w:r>
      <w:r w:rsidR="009A3B2B">
        <w:rPr>
          <w:rFonts w:asciiTheme="minorHAnsi" w:hAnsiTheme="minorHAnsi" w:cs="Arial"/>
          <w:sz w:val="22"/>
          <w:szCs w:val="22"/>
        </w:rPr>
        <w:t xml:space="preserve"> may</w:t>
      </w:r>
      <w:r w:rsidRPr="00D54FB2">
        <w:rPr>
          <w:rFonts w:asciiTheme="minorHAnsi" w:hAnsiTheme="minorHAnsi" w:cs="Arial"/>
          <w:sz w:val="22"/>
          <w:szCs w:val="22"/>
        </w:rPr>
        <w:t xml:space="preserve"> suffered from headaches in the first few days of taking them. However, this could potentially be minimized by taking only half a Stik </w:t>
      </w:r>
      <w:r w:rsidR="006F78CF">
        <w:rPr>
          <w:rFonts w:asciiTheme="minorHAnsi" w:hAnsiTheme="minorHAnsi" w:cs="Arial"/>
          <w:sz w:val="22"/>
          <w:szCs w:val="22"/>
        </w:rPr>
        <w:t>initially</w:t>
      </w:r>
      <w:r w:rsidRPr="00D54FB2">
        <w:rPr>
          <w:rFonts w:asciiTheme="minorHAnsi" w:hAnsiTheme="minorHAnsi" w:cs="Arial"/>
          <w:sz w:val="22"/>
          <w:szCs w:val="22"/>
        </w:rPr>
        <w:t xml:space="preserve">, and increasing the dose over 2 days. </w:t>
      </w:r>
      <w:r>
        <w:rPr>
          <w:rFonts w:asciiTheme="minorHAnsi" w:hAnsiTheme="minorHAnsi" w:cs="Arial"/>
          <w:sz w:val="22"/>
          <w:szCs w:val="22"/>
        </w:rPr>
        <w:t>Further,</w:t>
      </w:r>
      <w:r w:rsidRPr="009F437F">
        <w:rPr>
          <w:rFonts w:asciiTheme="minorHAnsi" w:hAnsiTheme="minorHAnsi" w:cs="Arial"/>
          <w:sz w:val="22"/>
          <w:szCs w:val="22"/>
        </w:rPr>
        <w:t xml:space="preserve"> the doses of the ingredients are much lower than those found in capsules and well below the RDA - as such, no ingredient is given in a medicinal dose. Because the doses are all below RDA, safety </w:t>
      </w:r>
      <w:r w:rsidR="003B5516">
        <w:rPr>
          <w:rFonts w:asciiTheme="minorHAnsi" w:hAnsiTheme="minorHAnsi" w:cs="Arial"/>
          <w:sz w:val="22"/>
          <w:szCs w:val="22"/>
        </w:rPr>
        <w:t>issues</w:t>
      </w:r>
      <w:r w:rsidRPr="009F437F">
        <w:rPr>
          <w:rFonts w:asciiTheme="minorHAnsi" w:hAnsiTheme="minorHAnsi" w:cs="Arial"/>
          <w:sz w:val="22"/>
          <w:szCs w:val="22"/>
        </w:rPr>
        <w:t xml:space="preserve"> for any of the proposed ingredients are </w:t>
      </w:r>
      <w:r w:rsidR="003B5516">
        <w:rPr>
          <w:rFonts w:asciiTheme="minorHAnsi" w:hAnsiTheme="minorHAnsi" w:cs="Arial"/>
          <w:sz w:val="22"/>
          <w:szCs w:val="22"/>
        </w:rPr>
        <w:t xml:space="preserve">very </w:t>
      </w:r>
      <w:r w:rsidRPr="009F437F">
        <w:rPr>
          <w:rFonts w:asciiTheme="minorHAnsi" w:hAnsiTheme="minorHAnsi" w:cs="Arial"/>
          <w:sz w:val="22"/>
          <w:szCs w:val="22"/>
        </w:rPr>
        <w:t>unlikely. Further, all doses are well below the Tolerable Upper Intake Limit (UL), which is considered the highest amount of daily nutrient intake that is not likely to cause any adverse effects (Nutritional Institutes of Health, n.d.).</w:t>
      </w:r>
      <w:r>
        <w:rPr>
          <w:rFonts w:asciiTheme="minorHAnsi" w:hAnsiTheme="minorHAnsi" w:cs="Arial"/>
          <w:sz w:val="22"/>
          <w:szCs w:val="22"/>
        </w:rPr>
        <w:t xml:space="preserve"> </w:t>
      </w:r>
      <w:r w:rsidRPr="009F437F">
        <w:rPr>
          <w:rFonts w:asciiTheme="minorHAnsi" w:hAnsiTheme="minorHAnsi" w:cs="Arial"/>
          <w:sz w:val="22"/>
          <w:szCs w:val="22"/>
        </w:rPr>
        <w:t>This</w:t>
      </w:r>
      <w:r w:rsidR="009A3B2B">
        <w:rPr>
          <w:rFonts w:asciiTheme="minorHAnsi" w:hAnsiTheme="minorHAnsi" w:cs="Arial"/>
          <w:sz w:val="22"/>
          <w:szCs w:val="22"/>
        </w:rPr>
        <w:t xml:space="preserve"> low risk of adverse effects was</w:t>
      </w:r>
      <w:r w:rsidRPr="009F437F">
        <w:rPr>
          <w:rFonts w:asciiTheme="minorHAnsi" w:hAnsiTheme="minorHAnsi" w:cs="Arial"/>
          <w:sz w:val="22"/>
          <w:szCs w:val="22"/>
        </w:rPr>
        <w:t xml:space="preserve"> supported by the findings of the STAR trial (not published), showing that only a small number of side effects were present in the study (drowsiness and reduced appetite), and these were temporary and disappeared during the duration of the trial.</w:t>
      </w:r>
    </w:p>
    <w:p w14:paraId="22197CE3" w14:textId="42DDE8BA" w:rsidR="001A6C2C" w:rsidRPr="00D54FB2" w:rsidRDefault="003F7B2C" w:rsidP="00F410C0">
      <w:pPr>
        <w:pStyle w:val="Default"/>
        <w:spacing w:line="360" w:lineRule="auto"/>
        <w:jc w:val="both"/>
        <w:rPr>
          <w:rFonts w:asciiTheme="minorHAnsi" w:hAnsiTheme="minorHAnsi" w:cs="Arial"/>
          <w:sz w:val="22"/>
          <w:szCs w:val="22"/>
        </w:rPr>
      </w:pPr>
      <w:r>
        <w:rPr>
          <w:rFonts w:asciiTheme="minorHAnsi" w:hAnsiTheme="minorHAnsi" w:cs="Arial"/>
          <w:color w:val="auto"/>
          <w:sz w:val="22"/>
          <w:szCs w:val="22"/>
        </w:rPr>
        <w:t>Further, i</w:t>
      </w:r>
      <w:r w:rsidR="00AF6C55" w:rsidRPr="00D54FB2">
        <w:rPr>
          <w:rFonts w:asciiTheme="minorHAnsi" w:hAnsiTheme="minorHAnsi" w:cs="Arial"/>
          <w:color w:val="auto"/>
          <w:sz w:val="22"/>
          <w:szCs w:val="22"/>
        </w:rPr>
        <w:t xml:space="preserve">n an RCT conducted at </w:t>
      </w:r>
      <w:r w:rsidR="008428D2" w:rsidRPr="00D54FB2">
        <w:rPr>
          <w:rFonts w:asciiTheme="minorHAnsi" w:hAnsiTheme="minorHAnsi" w:cs="Arial"/>
          <w:color w:val="auto"/>
          <w:sz w:val="22"/>
          <w:szCs w:val="22"/>
        </w:rPr>
        <w:t xml:space="preserve">the </w:t>
      </w:r>
      <w:r w:rsidR="00AF6C55" w:rsidRPr="00D54FB2">
        <w:rPr>
          <w:rFonts w:asciiTheme="minorHAnsi" w:hAnsiTheme="minorHAnsi" w:cs="Arial"/>
          <w:color w:val="auto"/>
          <w:sz w:val="22"/>
          <w:szCs w:val="22"/>
        </w:rPr>
        <w:t>University of Canterbury with adults</w:t>
      </w:r>
      <w:r w:rsidR="003779C1" w:rsidRPr="00D54FB2">
        <w:rPr>
          <w:rFonts w:asciiTheme="minorHAnsi" w:hAnsiTheme="minorHAnsi" w:cs="Arial"/>
          <w:color w:val="auto"/>
          <w:sz w:val="22"/>
          <w:szCs w:val="22"/>
        </w:rPr>
        <w:t xml:space="preserve"> (Rucklidge et a</w:t>
      </w:r>
      <w:r w:rsidR="001E7B13" w:rsidRPr="00D54FB2">
        <w:rPr>
          <w:rFonts w:asciiTheme="minorHAnsi" w:hAnsiTheme="minorHAnsi" w:cs="Arial"/>
          <w:color w:val="auto"/>
          <w:sz w:val="22"/>
          <w:szCs w:val="22"/>
        </w:rPr>
        <w:t>l</w:t>
      </w:r>
      <w:r w:rsidR="003779C1" w:rsidRPr="00D54FB2">
        <w:rPr>
          <w:rFonts w:asciiTheme="minorHAnsi" w:hAnsiTheme="minorHAnsi" w:cs="Arial"/>
          <w:color w:val="auto"/>
          <w:sz w:val="22"/>
          <w:szCs w:val="22"/>
        </w:rPr>
        <w:t>, 2014</w:t>
      </w:r>
      <w:r w:rsidR="009751A8" w:rsidRPr="00D54FB2">
        <w:rPr>
          <w:rFonts w:asciiTheme="minorHAnsi" w:hAnsiTheme="minorHAnsi" w:cs="Arial"/>
          <w:color w:val="auto"/>
          <w:sz w:val="22"/>
          <w:szCs w:val="22"/>
        </w:rPr>
        <w:t>),</w:t>
      </w:r>
      <w:r w:rsidR="00AF6C55" w:rsidRPr="00D54FB2">
        <w:rPr>
          <w:rFonts w:asciiTheme="minorHAnsi" w:hAnsiTheme="minorHAnsi" w:cs="Arial"/>
          <w:color w:val="auto"/>
          <w:sz w:val="22"/>
          <w:szCs w:val="22"/>
        </w:rPr>
        <w:t xml:space="preserve"> the only recurring side effect </w:t>
      </w:r>
      <w:r w:rsidR="0073502F" w:rsidRPr="00D54FB2">
        <w:rPr>
          <w:rFonts w:asciiTheme="minorHAnsi" w:hAnsiTheme="minorHAnsi" w:cs="Arial"/>
          <w:color w:val="auto"/>
          <w:sz w:val="22"/>
          <w:szCs w:val="22"/>
        </w:rPr>
        <w:t xml:space="preserve">of the formula </w:t>
      </w:r>
      <w:r w:rsidR="00AF6C55" w:rsidRPr="00D54FB2">
        <w:rPr>
          <w:rFonts w:asciiTheme="minorHAnsi" w:hAnsiTheme="minorHAnsi" w:cs="Arial"/>
          <w:color w:val="auto"/>
          <w:sz w:val="22"/>
          <w:szCs w:val="22"/>
        </w:rPr>
        <w:t xml:space="preserve">was the aforementioned transitory gastrointestinal difficulties (loose stool, nausea or vomiting, if </w:t>
      </w:r>
      <w:r w:rsidR="0058306E" w:rsidRPr="00D54FB2">
        <w:rPr>
          <w:rFonts w:asciiTheme="minorHAnsi" w:hAnsiTheme="minorHAnsi" w:cs="Arial"/>
          <w:color w:val="auto"/>
          <w:sz w:val="22"/>
          <w:szCs w:val="22"/>
        </w:rPr>
        <w:t xml:space="preserve">the </w:t>
      </w:r>
      <w:r w:rsidR="00AF6C55" w:rsidRPr="00D54FB2">
        <w:rPr>
          <w:rFonts w:asciiTheme="minorHAnsi" w:hAnsiTheme="minorHAnsi" w:cs="Arial"/>
          <w:color w:val="auto"/>
          <w:sz w:val="22"/>
          <w:szCs w:val="22"/>
        </w:rPr>
        <w:t xml:space="preserve">product was taken on an empty </w:t>
      </w:r>
      <w:r w:rsidR="00AF6C55" w:rsidRPr="00D54FB2">
        <w:rPr>
          <w:rFonts w:asciiTheme="minorHAnsi" w:hAnsiTheme="minorHAnsi" w:cs="Arial"/>
          <w:sz w:val="22"/>
          <w:szCs w:val="22"/>
        </w:rPr>
        <w:t>stomach, contrary to recommendation) although this side effect did not occur more frequently in the active group as compared with the placebo group.</w:t>
      </w:r>
      <w:r w:rsidR="00F62435" w:rsidRPr="00D54FB2">
        <w:rPr>
          <w:rFonts w:asciiTheme="minorHAnsi" w:hAnsiTheme="minorHAnsi" w:cs="Arial"/>
          <w:sz w:val="22"/>
          <w:szCs w:val="22"/>
        </w:rPr>
        <w:t xml:space="preserve"> It is important to note that this side effect typically lasts only a few days and can be addressed by staying hydrated. In addition</w:t>
      </w:r>
      <w:r w:rsidR="00644161" w:rsidRPr="00D54FB2">
        <w:rPr>
          <w:rFonts w:asciiTheme="minorHAnsi" w:hAnsiTheme="minorHAnsi" w:cs="Arial"/>
          <w:sz w:val="22"/>
          <w:szCs w:val="22"/>
        </w:rPr>
        <w:t xml:space="preserve">, there have been 34 studies to date on the EMP micronutrient formula showing that no serious side effects or other effects have been noted. A recent safety study has been published documenting its safety and tolerability: Rucklidge, J., Eggleston, M. J., Ealam, B., Beaglehole, B., &amp; Mulder, R. T. (2019). An observational preliminary study on the safety of long-term consumption of micronutrients for the treatment of psychiatric symptoms. </w:t>
      </w:r>
      <w:r w:rsidR="00644161" w:rsidRPr="0064589C">
        <w:rPr>
          <w:rFonts w:asciiTheme="minorHAnsi" w:hAnsiTheme="minorHAnsi" w:cs="Arial"/>
          <w:i/>
          <w:sz w:val="22"/>
          <w:szCs w:val="22"/>
        </w:rPr>
        <w:t>The Journal of Alternative and Complementary Medicine</w:t>
      </w:r>
      <w:r w:rsidR="00644161" w:rsidRPr="00D54FB2">
        <w:rPr>
          <w:rFonts w:asciiTheme="minorHAnsi" w:hAnsiTheme="minorHAnsi" w:cs="Arial"/>
          <w:sz w:val="22"/>
          <w:szCs w:val="22"/>
        </w:rPr>
        <w:t xml:space="preserve">, </w:t>
      </w:r>
      <w:r w:rsidR="00644161" w:rsidRPr="0064589C">
        <w:rPr>
          <w:rFonts w:asciiTheme="minorHAnsi" w:hAnsiTheme="minorHAnsi" w:cs="Arial"/>
          <w:i/>
          <w:sz w:val="22"/>
          <w:szCs w:val="22"/>
        </w:rPr>
        <w:t>25</w:t>
      </w:r>
      <w:r w:rsidR="00644161" w:rsidRPr="00D54FB2">
        <w:rPr>
          <w:rFonts w:asciiTheme="minorHAnsi" w:hAnsiTheme="minorHAnsi" w:cs="Arial"/>
          <w:sz w:val="22"/>
          <w:szCs w:val="22"/>
        </w:rPr>
        <w:t>(6), 613-622.</w:t>
      </w:r>
    </w:p>
    <w:p w14:paraId="5D68D834" w14:textId="77777777" w:rsidR="004A7851" w:rsidRPr="00D54FB2" w:rsidRDefault="004A7851" w:rsidP="00F410C0">
      <w:pPr>
        <w:pStyle w:val="Default"/>
        <w:spacing w:line="360" w:lineRule="auto"/>
        <w:jc w:val="both"/>
        <w:rPr>
          <w:rFonts w:asciiTheme="minorHAnsi" w:hAnsiTheme="minorHAnsi" w:cs="Arial"/>
          <w:color w:val="auto"/>
          <w:sz w:val="22"/>
          <w:szCs w:val="22"/>
        </w:rPr>
      </w:pPr>
    </w:p>
    <w:p w14:paraId="070F6D23" w14:textId="77777777" w:rsidR="003E378B" w:rsidRPr="009F437F" w:rsidRDefault="003E378B" w:rsidP="00F410C0">
      <w:pPr>
        <w:pStyle w:val="Default"/>
        <w:spacing w:line="360" w:lineRule="auto"/>
        <w:jc w:val="both"/>
        <w:rPr>
          <w:rFonts w:asciiTheme="majorHAnsi" w:hAnsiTheme="majorHAnsi" w:cstheme="majorHAnsi"/>
          <w:color w:val="5B9BD5" w:themeColor="accent1"/>
          <w:szCs w:val="22"/>
        </w:rPr>
      </w:pPr>
      <w:r>
        <w:rPr>
          <w:rFonts w:asciiTheme="majorHAnsi" w:hAnsiTheme="majorHAnsi" w:cstheme="majorHAnsi"/>
          <w:color w:val="5B9BD5" w:themeColor="accent1"/>
          <w:szCs w:val="22"/>
        </w:rPr>
        <w:t>Cultural sensitivity</w:t>
      </w:r>
    </w:p>
    <w:p w14:paraId="75DA90E2" w14:textId="3340FFF9" w:rsidR="00AF6C55" w:rsidRPr="00D54FB2" w:rsidRDefault="00AF6C55" w:rsidP="00F410C0">
      <w:pPr>
        <w:spacing w:after="0" w:line="360" w:lineRule="auto"/>
        <w:jc w:val="both"/>
        <w:rPr>
          <w:rFonts w:cs="Arial"/>
        </w:rPr>
      </w:pPr>
      <w:r w:rsidRPr="009D3EC4">
        <w:rPr>
          <w:rFonts w:cs="Arial"/>
        </w:rPr>
        <w:t>We have consulted with the Māori Research Advisory Group at the University of Canterbury regarding this type of research and</w:t>
      </w:r>
      <w:r w:rsidR="006B04F0" w:rsidRPr="009D3EC4">
        <w:rPr>
          <w:rFonts w:cs="Arial"/>
        </w:rPr>
        <w:t xml:space="preserve"> </w:t>
      </w:r>
      <w:r w:rsidR="00F756EB" w:rsidRPr="009D3EC4">
        <w:rPr>
          <w:rFonts w:cs="Arial"/>
        </w:rPr>
        <w:t>the study has received approval</w:t>
      </w:r>
      <w:r w:rsidRPr="009D3EC4">
        <w:rPr>
          <w:rFonts w:cs="Arial"/>
        </w:rPr>
        <w:t xml:space="preserve"> to conduct nutritional research with Māori. </w:t>
      </w:r>
      <w:r w:rsidR="0092399A" w:rsidRPr="009D3EC4">
        <w:rPr>
          <w:rFonts w:cs="Arial"/>
        </w:rPr>
        <w:t xml:space="preserve">The Ngai Tahu Consultation and Engagement Group (NTCEG) was consulted on </w:t>
      </w:r>
      <w:r w:rsidR="009D3EC4" w:rsidRPr="009D3EC4">
        <w:rPr>
          <w:rFonts w:cs="Arial"/>
        </w:rPr>
        <w:t>2</w:t>
      </w:r>
      <w:r w:rsidR="00A840B6">
        <w:rPr>
          <w:rFonts w:cs="Arial"/>
        </w:rPr>
        <w:t>2</w:t>
      </w:r>
      <w:r w:rsidR="009D3EC4" w:rsidRPr="009D3EC4">
        <w:rPr>
          <w:rFonts w:cs="Arial"/>
        </w:rPr>
        <w:t>/07/2021</w:t>
      </w:r>
      <w:r w:rsidR="0092399A" w:rsidRPr="009D3EC4">
        <w:rPr>
          <w:rFonts w:cs="Arial"/>
        </w:rPr>
        <w:t xml:space="preserve"> by means of the M</w:t>
      </w:r>
      <w:r w:rsidR="00900A77" w:rsidRPr="009D3EC4">
        <w:rPr>
          <w:rFonts w:cs="Arial"/>
        </w:rPr>
        <w:t>ā</w:t>
      </w:r>
      <w:r w:rsidR="0092399A" w:rsidRPr="009D3EC4">
        <w:rPr>
          <w:rFonts w:cs="Arial"/>
        </w:rPr>
        <w:t xml:space="preserve">ori Consultation form </w:t>
      </w:r>
      <w:r w:rsidR="0092399A" w:rsidRPr="00A840B6">
        <w:rPr>
          <w:rFonts w:cs="Arial"/>
        </w:rPr>
        <w:t xml:space="preserve">and they have approved </w:t>
      </w:r>
      <w:r w:rsidR="00C84427" w:rsidRPr="00A840B6">
        <w:rPr>
          <w:rFonts w:cs="Arial"/>
        </w:rPr>
        <w:t>the study process</w:t>
      </w:r>
      <w:r w:rsidR="00A840B6" w:rsidRPr="00A840B6">
        <w:rPr>
          <w:rFonts w:cs="Arial"/>
        </w:rPr>
        <w:t xml:space="preserve"> on 30/07/2021</w:t>
      </w:r>
      <w:r w:rsidR="00C84427" w:rsidRPr="00A840B6">
        <w:rPr>
          <w:rFonts w:cs="Arial"/>
        </w:rPr>
        <w:t>.</w:t>
      </w:r>
      <w:r w:rsidR="00C84427" w:rsidRPr="009D3EC4">
        <w:rPr>
          <w:rFonts w:cs="Arial"/>
        </w:rPr>
        <w:t xml:space="preserve"> No issues were</w:t>
      </w:r>
      <w:r w:rsidR="0092399A" w:rsidRPr="009D3EC4">
        <w:rPr>
          <w:rFonts w:cs="Arial"/>
        </w:rPr>
        <w:t xml:space="preserve"> identified, and </w:t>
      </w:r>
      <w:r w:rsidR="0092399A" w:rsidRPr="009D3EC4">
        <w:rPr>
          <w:rFonts w:cs="Arial"/>
        </w:rPr>
        <w:lastRenderedPageBreak/>
        <w:t>further consultation with M</w:t>
      </w:r>
      <w:r w:rsidR="00900A77" w:rsidRPr="009D3EC4">
        <w:rPr>
          <w:rFonts w:cs="Arial"/>
        </w:rPr>
        <w:t>ā</w:t>
      </w:r>
      <w:r w:rsidR="0092399A" w:rsidRPr="009D3EC4">
        <w:rPr>
          <w:rFonts w:cs="Arial"/>
        </w:rPr>
        <w:t xml:space="preserve">ori is not required. </w:t>
      </w:r>
      <w:r w:rsidRPr="009D3EC4">
        <w:rPr>
          <w:rFonts w:cs="Arial"/>
        </w:rPr>
        <w:t>The group is available for further consultation throughout the project.</w:t>
      </w:r>
      <w:r w:rsidRPr="00D54FB2">
        <w:rPr>
          <w:rFonts w:cs="Arial"/>
        </w:rPr>
        <w:t xml:space="preserve"> </w:t>
      </w:r>
    </w:p>
    <w:p w14:paraId="3FE0A486" w14:textId="039C3681" w:rsidR="00B1376B" w:rsidRPr="00D54FB2" w:rsidRDefault="006C7E32" w:rsidP="00F410C0">
      <w:pPr>
        <w:spacing w:after="0" w:line="360" w:lineRule="auto"/>
        <w:jc w:val="both"/>
        <w:rPr>
          <w:rFonts w:cs="Arial"/>
        </w:rPr>
      </w:pPr>
      <w:r w:rsidRPr="006C7E32">
        <w:rPr>
          <w:rFonts w:cs="Arial"/>
        </w:rPr>
        <w:t xml:space="preserve">Within Te Puna Toiora and in the proposed research project, providing a holistic approach to mental health is the highest priority, aiming to begin to address the inequity in health outcomes between Māori and non-Māori by being culturally responsive. In the proposed research project, </w:t>
      </w:r>
      <w:r w:rsidR="009A3B2B">
        <w:rPr>
          <w:rFonts w:cs="Arial"/>
        </w:rPr>
        <w:t xml:space="preserve">members of </w:t>
      </w:r>
      <w:r w:rsidRPr="006C7E32">
        <w:rPr>
          <w:rFonts w:cs="Arial"/>
        </w:rPr>
        <w:t>all ethnicities are invited to participate, with an emphasis on increasing Māori participation. Specifically, Māori service providers will be approached in order to reach Māori whānau. Further, measures will be put in place to ensure that Māori customs and traditions will be respected, such as having a cultural advisor available to provide extra support if needed.</w:t>
      </w:r>
      <w:r>
        <w:rPr>
          <w:rFonts w:cs="Arial"/>
        </w:rPr>
        <w:t xml:space="preserve"> We </w:t>
      </w:r>
      <w:r w:rsidRPr="00D54FB2">
        <w:rPr>
          <w:rFonts w:cs="Arial"/>
        </w:rPr>
        <w:t xml:space="preserve">also consulted </w:t>
      </w:r>
      <w:r>
        <w:rPr>
          <w:rFonts w:cs="Arial"/>
        </w:rPr>
        <w:t>the cultural advisor</w:t>
      </w:r>
      <w:r w:rsidRPr="00D54FB2">
        <w:rPr>
          <w:rFonts w:cs="Arial"/>
        </w:rPr>
        <w:t xml:space="preserve"> on the design of our previous projects and the design of this one is modelled on that of others that have received her input. </w:t>
      </w:r>
      <w:r w:rsidRPr="006C7E32">
        <w:rPr>
          <w:rFonts w:cs="Arial"/>
        </w:rPr>
        <w:t xml:space="preserve"> In addition, this research aligns with the Māori health model Te Whare Tapa Whā as the role of kai in wellbeing has long been understood by Māori. Focusing on nutrition to improve mental health takes steps in upholding mātaranga Māori. Indeed, three of the four cornerstones of Te Whare Tapa Whā are represented within this research; taha tinana (physical health), taha hinengaro (mental health), and taha whānau (family health)</w:t>
      </w:r>
      <w:r w:rsidR="009A2418" w:rsidRPr="00D54FB2">
        <w:rPr>
          <w:rFonts w:cs="Arial"/>
        </w:rPr>
        <w:t>.</w:t>
      </w:r>
      <w:r w:rsidR="00013575">
        <w:rPr>
          <w:rFonts w:cs="Arial"/>
        </w:rPr>
        <w:t xml:space="preserve"> </w:t>
      </w:r>
      <w:r w:rsidR="0034227A">
        <w:rPr>
          <w:rFonts w:cs="Arial"/>
        </w:rPr>
        <w:t>Further, o</w:t>
      </w:r>
      <w:r>
        <w:rPr>
          <w:rFonts w:cs="Arial"/>
        </w:rPr>
        <w:t>ver the last year, t</w:t>
      </w:r>
      <w:r w:rsidR="00F62435" w:rsidRPr="00D54FB2">
        <w:rPr>
          <w:rFonts w:cs="Arial"/>
        </w:rPr>
        <w:t>he Mental Health and Nutrition Research</w:t>
      </w:r>
      <w:r w:rsidR="009A2418" w:rsidRPr="00D54FB2">
        <w:rPr>
          <w:rFonts w:cs="Arial"/>
        </w:rPr>
        <w:t xml:space="preserve"> lab, Te Puna Toiora, has been focusing on increasing Te R</w:t>
      </w:r>
      <w:r w:rsidR="00C84427" w:rsidRPr="00D54FB2">
        <w:rPr>
          <w:rFonts w:cs="Arial"/>
        </w:rPr>
        <w:t>eo used within the lab, which</w:t>
      </w:r>
      <w:r w:rsidR="009A2418" w:rsidRPr="00D54FB2">
        <w:rPr>
          <w:rFonts w:cs="Arial"/>
        </w:rPr>
        <w:t xml:space="preserve"> is reflected in being gifted a Māori name, translating words within the lab into Māori, and having bilingual business cards. We will ensure that Te Reo is used within the information sheet as well to ensure that the research is perceived as welcoming for Māori.</w:t>
      </w:r>
      <w:r w:rsidR="00013575">
        <w:rPr>
          <w:rFonts w:cs="Arial"/>
        </w:rPr>
        <w:t xml:space="preserve"> Finally, </w:t>
      </w:r>
      <w:r w:rsidR="009A2418" w:rsidRPr="00D54FB2">
        <w:rPr>
          <w:rFonts w:cs="Arial"/>
        </w:rPr>
        <w:t>participants have the option to discuss with the research team any queries or worries that they may have at any time. These options will be clearly communicated via the information sheet, which individuals are advised to read before commencing participation.</w:t>
      </w:r>
    </w:p>
    <w:p w14:paraId="42A57330" w14:textId="77777777" w:rsidR="00362636" w:rsidRPr="00362636" w:rsidRDefault="00AF6C55" w:rsidP="00F410C0">
      <w:pPr>
        <w:pStyle w:val="Heading2"/>
        <w:spacing w:line="360" w:lineRule="auto"/>
        <w:jc w:val="both"/>
        <w:rPr>
          <w:rFonts w:asciiTheme="minorHAnsi" w:hAnsiTheme="minorHAnsi"/>
          <w:sz w:val="24"/>
          <w:szCs w:val="22"/>
        </w:rPr>
      </w:pPr>
      <w:bookmarkStart w:id="11" w:name="_Toc17724183"/>
      <w:r w:rsidRPr="00362636">
        <w:rPr>
          <w:rFonts w:asciiTheme="minorHAnsi" w:hAnsiTheme="minorHAnsi"/>
          <w:sz w:val="24"/>
          <w:szCs w:val="22"/>
        </w:rPr>
        <w:t>Research site</w:t>
      </w:r>
      <w:bookmarkEnd w:id="11"/>
      <w:r w:rsidRPr="00362636">
        <w:rPr>
          <w:rFonts w:asciiTheme="minorHAnsi" w:hAnsiTheme="minorHAnsi"/>
          <w:sz w:val="24"/>
          <w:szCs w:val="22"/>
        </w:rPr>
        <w:t xml:space="preserve"> </w:t>
      </w:r>
    </w:p>
    <w:p w14:paraId="6040CAB5" w14:textId="77777777" w:rsidR="00AF6C55" w:rsidRPr="00D54FB2" w:rsidRDefault="003B0CF3" w:rsidP="00F410C0">
      <w:pPr>
        <w:spacing w:after="0" w:line="360" w:lineRule="auto"/>
        <w:jc w:val="both"/>
        <w:rPr>
          <w:rFonts w:cs="Arial"/>
        </w:rPr>
      </w:pPr>
      <w:r w:rsidRPr="00D54FB2">
        <w:rPr>
          <w:rFonts w:cs="Arial"/>
        </w:rPr>
        <w:t xml:space="preserve">Te Puna Toiora: </w:t>
      </w:r>
      <w:r w:rsidR="00AF6C55" w:rsidRPr="00D54FB2">
        <w:rPr>
          <w:rFonts w:cs="Arial"/>
        </w:rPr>
        <w:t>Mental Health and Nutrition Laboratory; Room 465</w:t>
      </w:r>
    </w:p>
    <w:p w14:paraId="30AD6C87" w14:textId="77777777" w:rsidR="00AF6C55" w:rsidRPr="00D54FB2" w:rsidRDefault="003B0CF3" w:rsidP="00F410C0">
      <w:pPr>
        <w:spacing w:after="0" w:line="360" w:lineRule="auto"/>
        <w:jc w:val="both"/>
        <w:rPr>
          <w:rFonts w:cs="Arial"/>
        </w:rPr>
      </w:pPr>
      <w:r w:rsidRPr="00D54FB2">
        <w:rPr>
          <w:rFonts w:cs="Arial"/>
        </w:rPr>
        <w:t>School of Psychology, Speech and Hearing</w:t>
      </w:r>
    </w:p>
    <w:p w14:paraId="08294AAB" w14:textId="77777777" w:rsidR="00AF6C55" w:rsidRPr="00D54FB2" w:rsidRDefault="00AF6C55" w:rsidP="00F410C0">
      <w:pPr>
        <w:spacing w:after="0" w:line="360" w:lineRule="auto"/>
        <w:jc w:val="both"/>
        <w:rPr>
          <w:rFonts w:cs="Arial"/>
        </w:rPr>
      </w:pPr>
      <w:r w:rsidRPr="00D54FB2">
        <w:rPr>
          <w:rFonts w:cs="Arial"/>
        </w:rPr>
        <w:t>University of Canterbury</w:t>
      </w:r>
    </w:p>
    <w:p w14:paraId="33222A82" w14:textId="77777777" w:rsidR="00AF6C55" w:rsidRPr="00D54FB2" w:rsidRDefault="00AF6C55" w:rsidP="00F410C0">
      <w:pPr>
        <w:spacing w:after="0" w:line="360" w:lineRule="auto"/>
        <w:jc w:val="both"/>
        <w:rPr>
          <w:rFonts w:cs="Arial"/>
        </w:rPr>
      </w:pPr>
      <w:r w:rsidRPr="00D54FB2">
        <w:rPr>
          <w:rFonts w:cs="Arial"/>
        </w:rPr>
        <w:t>Private Bag 4800</w:t>
      </w:r>
    </w:p>
    <w:p w14:paraId="40C59365" w14:textId="77777777" w:rsidR="00AF6C55" w:rsidRPr="00D54FB2" w:rsidRDefault="00AF6C55" w:rsidP="00F410C0">
      <w:pPr>
        <w:spacing w:after="0" w:line="360" w:lineRule="auto"/>
        <w:jc w:val="both"/>
        <w:rPr>
          <w:rFonts w:cs="Arial"/>
        </w:rPr>
      </w:pPr>
      <w:r w:rsidRPr="00D54FB2">
        <w:rPr>
          <w:rFonts w:cs="Arial"/>
        </w:rPr>
        <w:t>Christchurch 8140</w:t>
      </w:r>
    </w:p>
    <w:p w14:paraId="76B45F2E" w14:textId="77777777" w:rsidR="00AF6C55" w:rsidRPr="00D54FB2" w:rsidRDefault="00211017" w:rsidP="00F410C0">
      <w:pPr>
        <w:spacing w:after="0" w:line="360" w:lineRule="auto"/>
        <w:jc w:val="both"/>
        <w:rPr>
          <w:rFonts w:cs="Arial"/>
        </w:rPr>
      </w:pPr>
      <w:r w:rsidRPr="00D54FB2">
        <w:rPr>
          <w:rFonts w:cs="Arial"/>
        </w:rPr>
        <w:t>New Zealand</w:t>
      </w:r>
    </w:p>
    <w:p w14:paraId="00B47195" w14:textId="77777777" w:rsidR="00AF6C55" w:rsidRPr="00362636" w:rsidRDefault="00AF6C55" w:rsidP="00F410C0">
      <w:pPr>
        <w:pStyle w:val="Heading2"/>
        <w:spacing w:line="360" w:lineRule="auto"/>
        <w:jc w:val="both"/>
        <w:rPr>
          <w:rFonts w:asciiTheme="minorHAnsi" w:hAnsiTheme="minorHAnsi"/>
          <w:sz w:val="24"/>
          <w:szCs w:val="22"/>
        </w:rPr>
      </w:pPr>
      <w:bookmarkStart w:id="12" w:name="_Toc17724184"/>
      <w:r w:rsidRPr="00362636">
        <w:rPr>
          <w:rFonts w:asciiTheme="minorHAnsi" w:hAnsiTheme="minorHAnsi"/>
          <w:sz w:val="24"/>
          <w:szCs w:val="22"/>
        </w:rPr>
        <w:t>Investigators</w:t>
      </w:r>
      <w:bookmarkEnd w:id="12"/>
    </w:p>
    <w:p w14:paraId="25761D00" w14:textId="77777777" w:rsidR="001F62B1" w:rsidRPr="00D54FB2" w:rsidRDefault="00C84427" w:rsidP="00F410C0">
      <w:pPr>
        <w:spacing w:after="0" w:line="360" w:lineRule="auto"/>
        <w:jc w:val="both"/>
        <w:rPr>
          <w:rFonts w:cs="Arial"/>
        </w:rPr>
      </w:pPr>
      <w:r w:rsidRPr="00D54FB2">
        <w:rPr>
          <w:rFonts w:cs="Arial"/>
          <w:i/>
        </w:rPr>
        <w:t xml:space="preserve">Nurina </w:t>
      </w:r>
      <w:r w:rsidR="001F62B1" w:rsidRPr="00D54FB2">
        <w:rPr>
          <w:rFonts w:cs="Arial"/>
          <w:i/>
        </w:rPr>
        <w:t xml:space="preserve">Katta: </w:t>
      </w:r>
      <w:r w:rsidR="00900A77" w:rsidRPr="00D54FB2">
        <w:rPr>
          <w:rFonts w:cs="Arial"/>
        </w:rPr>
        <w:t>Coordinator/</w:t>
      </w:r>
      <w:r w:rsidR="001F62B1" w:rsidRPr="00D54FB2">
        <w:rPr>
          <w:rFonts w:cs="Arial"/>
        </w:rPr>
        <w:t xml:space="preserve">Investigator. Nurina Katta will be the participant’s primary person to contact in case of questions or concerns. The proposed study is part of a </w:t>
      </w:r>
      <w:r w:rsidR="00036BA3" w:rsidRPr="00D54FB2">
        <w:rPr>
          <w:rFonts w:cs="Arial"/>
        </w:rPr>
        <w:t>PhD</w:t>
      </w:r>
      <w:r w:rsidR="001F62B1" w:rsidRPr="00D54FB2">
        <w:rPr>
          <w:rFonts w:cs="Arial"/>
        </w:rPr>
        <w:t xml:space="preserve"> in Psychology.</w:t>
      </w:r>
    </w:p>
    <w:p w14:paraId="3F43417F" w14:textId="77777777" w:rsidR="00AF6C55" w:rsidRPr="00D54FB2" w:rsidRDefault="00363429" w:rsidP="00F410C0">
      <w:pPr>
        <w:spacing w:after="0" w:line="360" w:lineRule="auto"/>
        <w:jc w:val="both"/>
        <w:rPr>
          <w:rFonts w:cs="Arial"/>
        </w:rPr>
      </w:pPr>
      <w:r w:rsidRPr="00D54FB2">
        <w:rPr>
          <w:rFonts w:cs="Arial"/>
          <w:i/>
        </w:rPr>
        <w:t>Prof</w:t>
      </w:r>
      <w:r w:rsidR="00362636">
        <w:rPr>
          <w:rFonts w:cs="Arial"/>
          <w:i/>
        </w:rPr>
        <w:t>.</w:t>
      </w:r>
      <w:r w:rsidR="00AF6C55" w:rsidRPr="00D54FB2">
        <w:rPr>
          <w:rFonts w:cs="Arial"/>
          <w:i/>
        </w:rPr>
        <w:t xml:space="preserve"> Julia Rucklidge</w:t>
      </w:r>
      <w:r w:rsidR="001F62B1" w:rsidRPr="00D54FB2">
        <w:rPr>
          <w:rFonts w:cs="Arial"/>
        </w:rPr>
        <w:t xml:space="preserve">: </w:t>
      </w:r>
      <w:r w:rsidR="00900A77" w:rsidRPr="00D54FB2">
        <w:rPr>
          <w:rFonts w:cs="Arial"/>
        </w:rPr>
        <w:t xml:space="preserve">Primary </w:t>
      </w:r>
      <w:r w:rsidR="001F62B1" w:rsidRPr="00D54FB2">
        <w:rPr>
          <w:rFonts w:cs="Arial"/>
        </w:rPr>
        <w:t>I</w:t>
      </w:r>
      <w:r w:rsidR="0044348F" w:rsidRPr="00D54FB2">
        <w:rPr>
          <w:rFonts w:cs="Arial"/>
        </w:rPr>
        <w:t>nvestigator</w:t>
      </w:r>
      <w:r w:rsidR="00900A77" w:rsidRPr="00D54FB2">
        <w:rPr>
          <w:rFonts w:cs="Arial"/>
        </w:rPr>
        <w:t>/supervisor</w:t>
      </w:r>
      <w:r w:rsidR="0044348F" w:rsidRPr="00D54FB2">
        <w:rPr>
          <w:rFonts w:cs="Arial"/>
        </w:rPr>
        <w:t>. Prof</w:t>
      </w:r>
      <w:r w:rsidR="00362636">
        <w:rPr>
          <w:rFonts w:cs="Arial"/>
        </w:rPr>
        <w:t>.</w:t>
      </w:r>
      <w:r w:rsidR="00AF6C55" w:rsidRPr="00D54FB2">
        <w:rPr>
          <w:rFonts w:cs="Arial"/>
        </w:rPr>
        <w:t xml:space="preserve"> Rucklidge will oversee the running of the study and provide support and supervision to researchers on the project, being available at all times should any difficulties arise. </w:t>
      </w:r>
    </w:p>
    <w:p w14:paraId="123488D5" w14:textId="77777777" w:rsidR="00AF6C55" w:rsidRPr="00D54FB2" w:rsidRDefault="006B04F0" w:rsidP="00F410C0">
      <w:pPr>
        <w:spacing w:after="0" w:line="360" w:lineRule="auto"/>
        <w:jc w:val="both"/>
        <w:rPr>
          <w:rFonts w:cs="Arial"/>
        </w:rPr>
      </w:pPr>
      <w:r w:rsidRPr="00D54FB2">
        <w:rPr>
          <w:rFonts w:cs="Arial"/>
          <w:i/>
        </w:rPr>
        <w:lastRenderedPageBreak/>
        <w:t>Prof</w:t>
      </w:r>
      <w:r w:rsidR="00362636">
        <w:rPr>
          <w:rFonts w:cs="Arial"/>
          <w:i/>
        </w:rPr>
        <w:t>.</w:t>
      </w:r>
      <w:r w:rsidRPr="00D54FB2">
        <w:rPr>
          <w:rFonts w:cs="Arial"/>
          <w:i/>
        </w:rPr>
        <w:t xml:space="preserve"> Neville Blampied: </w:t>
      </w:r>
      <w:r w:rsidR="001F62B1" w:rsidRPr="00D54FB2">
        <w:rPr>
          <w:rFonts w:cs="Arial"/>
        </w:rPr>
        <w:t xml:space="preserve"> Co-</w:t>
      </w:r>
      <w:r w:rsidRPr="00D54FB2">
        <w:rPr>
          <w:rFonts w:cs="Arial"/>
        </w:rPr>
        <w:t>Investigator. Prof</w:t>
      </w:r>
      <w:r w:rsidR="00362636">
        <w:rPr>
          <w:rFonts w:cs="Arial"/>
        </w:rPr>
        <w:t>.</w:t>
      </w:r>
      <w:r w:rsidRPr="00D54FB2">
        <w:rPr>
          <w:rFonts w:cs="Arial"/>
        </w:rPr>
        <w:t xml:space="preserve"> Blampied</w:t>
      </w:r>
      <w:r w:rsidR="00AF6C55" w:rsidRPr="00D54FB2">
        <w:rPr>
          <w:rFonts w:cs="Arial"/>
        </w:rPr>
        <w:t xml:space="preserve"> will provide support and supervision to researchers on the project</w:t>
      </w:r>
      <w:r w:rsidR="00C876D8" w:rsidRPr="00D54FB2">
        <w:rPr>
          <w:rFonts w:cs="Arial"/>
        </w:rPr>
        <w:t xml:space="preserve"> with specific expertise in </w:t>
      </w:r>
      <w:r w:rsidRPr="00D54FB2">
        <w:rPr>
          <w:rFonts w:cs="Arial"/>
        </w:rPr>
        <w:t>case study design</w:t>
      </w:r>
      <w:r w:rsidR="00AF6C55" w:rsidRPr="00D54FB2">
        <w:rPr>
          <w:rFonts w:cs="Arial"/>
        </w:rPr>
        <w:t xml:space="preserve">. </w:t>
      </w:r>
    </w:p>
    <w:p w14:paraId="04720D87" w14:textId="77777777" w:rsidR="00900A77" w:rsidRPr="00D54FB2" w:rsidRDefault="00900A77" w:rsidP="00F410C0">
      <w:pPr>
        <w:spacing w:after="0" w:line="360" w:lineRule="auto"/>
        <w:jc w:val="both"/>
        <w:rPr>
          <w:rFonts w:cs="Arial"/>
        </w:rPr>
      </w:pPr>
      <w:r w:rsidRPr="00D54FB2">
        <w:rPr>
          <w:rFonts w:cs="Arial"/>
          <w:i/>
        </w:rPr>
        <w:t>Prof</w:t>
      </w:r>
      <w:r w:rsidR="00362636">
        <w:rPr>
          <w:rFonts w:cs="Arial"/>
          <w:i/>
        </w:rPr>
        <w:t>. Matt Eggleston</w:t>
      </w:r>
      <w:r w:rsidRPr="00D54FB2">
        <w:rPr>
          <w:rFonts w:cs="Arial"/>
        </w:rPr>
        <w:t xml:space="preserve">: consulting psychiatrist to the team. </w:t>
      </w:r>
    </w:p>
    <w:p w14:paraId="267DA5B9" w14:textId="77777777" w:rsidR="00AF6C55" w:rsidRPr="009326EA" w:rsidRDefault="00AF6C55" w:rsidP="00F410C0">
      <w:pPr>
        <w:pStyle w:val="Heading2"/>
        <w:spacing w:line="360" w:lineRule="auto"/>
        <w:jc w:val="both"/>
        <w:rPr>
          <w:rFonts w:asciiTheme="minorHAnsi" w:hAnsiTheme="minorHAnsi"/>
          <w:sz w:val="24"/>
          <w:szCs w:val="22"/>
        </w:rPr>
      </w:pPr>
      <w:bookmarkStart w:id="13" w:name="_Toc17724185"/>
      <w:r w:rsidRPr="009326EA">
        <w:rPr>
          <w:rFonts w:asciiTheme="minorHAnsi" w:hAnsiTheme="minorHAnsi"/>
          <w:sz w:val="24"/>
          <w:szCs w:val="22"/>
        </w:rPr>
        <w:t>Risk Management</w:t>
      </w:r>
      <w:bookmarkEnd w:id="13"/>
      <w:r w:rsidRPr="009326EA">
        <w:rPr>
          <w:rFonts w:asciiTheme="minorHAnsi" w:hAnsiTheme="minorHAnsi"/>
          <w:sz w:val="24"/>
          <w:szCs w:val="22"/>
        </w:rPr>
        <w:t xml:space="preserve"> </w:t>
      </w:r>
    </w:p>
    <w:p w14:paraId="3D4B6E18" w14:textId="77777777" w:rsidR="003B0CF3" w:rsidRPr="00D54FB2" w:rsidRDefault="00AF6C55" w:rsidP="00F410C0">
      <w:pPr>
        <w:spacing w:after="0" w:line="360" w:lineRule="auto"/>
        <w:jc w:val="both"/>
      </w:pPr>
      <w:r w:rsidRPr="00D54FB2">
        <w:t>As the princip</w:t>
      </w:r>
      <w:r w:rsidR="00B35D53" w:rsidRPr="00D54FB2">
        <w:t>al</w:t>
      </w:r>
      <w:r w:rsidRPr="00D54FB2">
        <w:t xml:space="preserve"> investigator and as someone located on site for data collection, the responsibility for risk management (such as managing psychological symptoms) of the project will be undertaken by Prof</w:t>
      </w:r>
      <w:r w:rsidR="006213E8">
        <w:t>.</w:t>
      </w:r>
      <w:r w:rsidRPr="00D54FB2">
        <w:t xml:space="preserve"> Rucklidge (registered clinical psycholo</w:t>
      </w:r>
      <w:r w:rsidR="00102D56" w:rsidRPr="00D54FB2">
        <w:t xml:space="preserve">gist). </w:t>
      </w:r>
      <w:r w:rsidR="002C3B1D" w:rsidRPr="00D54FB2">
        <w:t>Prof.</w:t>
      </w:r>
      <w:r w:rsidRPr="00D54FB2">
        <w:t xml:space="preserve"> Rucklidge will be consulted on all aspects of the project</w:t>
      </w:r>
      <w:r w:rsidR="002007FA" w:rsidRPr="00D54FB2">
        <w:t xml:space="preserve"> </w:t>
      </w:r>
      <w:r w:rsidRPr="00D54FB2">
        <w:t>and will therefore be aware of any foreseeable risks which can then be reviewed and cleared with the study physician</w:t>
      </w:r>
      <w:r w:rsidR="00102D56" w:rsidRPr="00D54FB2">
        <w:t xml:space="preserve"> </w:t>
      </w:r>
      <w:r w:rsidR="009A3B2B">
        <w:t>Dr</w:t>
      </w:r>
      <w:r w:rsidR="006213E8">
        <w:t>. Matt Eggleston</w:t>
      </w:r>
      <w:r w:rsidRPr="00D54FB2">
        <w:t>. Any serious adverse effects will be reported to the ethics committees (H</w:t>
      </w:r>
      <w:r w:rsidR="00A65DB5">
        <w:t xml:space="preserve">uman </w:t>
      </w:r>
      <w:r w:rsidRPr="00D54FB2">
        <w:t>D</w:t>
      </w:r>
      <w:r w:rsidR="00A65DB5">
        <w:t xml:space="preserve">isability Research </w:t>
      </w:r>
      <w:r w:rsidRPr="00D54FB2">
        <w:t>E</w:t>
      </w:r>
      <w:r w:rsidR="00A65DB5">
        <w:t xml:space="preserve">thics </w:t>
      </w:r>
      <w:r w:rsidRPr="00D54FB2">
        <w:t>C</w:t>
      </w:r>
      <w:r w:rsidR="00A65DB5">
        <w:t>ommittee</w:t>
      </w:r>
      <w:r w:rsidRPr="00D54FB2">
        <w:t xml:space="preserve"> and Human Ethics Committee at U</w:t>
      </w:r>
      <w:r w:rsidR="001C2595" w:rsidRPr="00D54FB2">
        <w:t xml:space="preserve">niversity of </w:t>
      </w:r>
      <w:r w:rsidRPr="00D54FB2">
        <w:t>C</w:t>
      </w:r>
      <w:r w:rsidR="001C2595" w:rsidRPr="00D54FB2">
        <w:t>anterbury</w:t>
      </w:r>
      <w:r w:rsidR="00102D56" w:rsidRPr="00D54FB2">
        <w:t>), and t</w:t>
      </w:r>
      <w:r w:rsidRPr="00D54FB2">
        <w:t>he trial will be terminated if serious adverse effects known to be caused by the nutrients occur</w:t>
      </w:r>
      <w:r w:rsidR="00000211" w:rsidRPr="00D54FB2">
        <w:t>.</w:t>
      </w:r>
    </w:p>
    <w:p w14:paraId="11CB57ED" w14:textId="77777777" w:rsidR="00AF6C55" w:rsidRPr="00FC4166" w:rsidRDefault="00AF6C55" w:rsidP="00F410C0">
      <w:pPr>
        <w:pStyle w:val="Heading2"/>
        <w:spacing w:line="360" w:lineRule="auto"/>
        <w:jc w:val="both"/>
        <w:rPr>
          <w:rFonts w:asciiTheme="minorHAnsi" w:hAnsiTheme="minorHAnsi"/>
          <w:sz w:val="24"/>
          <w:szCs w:val="22"/>
        </w:rPr>
      </w:pPr>
      <w:bookmarkStart w:id="14" w:name="_Toc17724186"/>
      <w:r w:rsidRPr="00FC4166">
        <w:rPr>
          <w:rFonts w:asciiTheme="minorHAnsi" w:hAnsiTheme="minorHAnsi"/>
          <w:sz w:val="24"/>
          <w:szCs w:val="22"/>
        </w:rPr>
        <w:t>Data ownership</w:t>
      </w:r>
      <w:bookmarkEnd w:id="14"/>
    </w:p>
    <w:p w14:paraId="40F8E455" w14:textId="77777777" w:rsidR="00211017" w:rsidRPr="00D54FB2" w:rsidRDefault="00AF6C55" w:rsidP="00F410C0">
      <w:pPr>
        <w:spacing w:after="0" w:line="360" w:lineRule="auto"/>
        <w:jc w:val="both"/>
        <w:rPr>
          <w:rFonts w:cs="Arial"/>
        </w:rPr>
      </w:pPr>
      <w:r w:rsidRPr="00D54FB2">
        <w:rPr>
          <w:rFonts w:cs="Arial"/>
        </w:rPr>
        <w:t>All data associated with the study and all reports resulting from the sam</w:t>
      </w:r>
      <w:r w:rsidR="00211017" w:rsidRPr="00D54FB2">
        <w:rPr>
          <w:rFonts w:cs="Arial"/>
        </w:rPr>
        <w:t>e will be owned by the authors.</w:t>
      </w:r>
    </w:p>
    <w:p w14:paraId="275C646D" w14:textId="77777777" w:rsidR="00AF6C55" w:rsidRPr="00F12B69" w:rsidRDefault="00AF6C55" w:rsidP="00F410C0">
      <w:pPr>
        <w:pStyle w:val="Heading2"/>
        <w:spacing w:line="360" w:lineRule="auto"/>
        <w:jc w:val="both"/>
        <w:rPr>
          <w:rFonts w:asciiTheme="minorHAnsi" w:hAnsiTheme="minorHAnsi"/>
          <w:sz w:val="24"/>
          <w:szCs w:val="22"/>
        </w:rPr>
      </w:pPr>
      <w:bookmarkStart w:id="15" w:name="_Toc17724187"/>
      <w:r w:rsidRPr="00F12B69">
        <w:rPr>
          <w:rFonts w:asciiTheme="minorHAnsi" w:hAnsiTheme="minorHAnsi"/>
          <w:sz w:val="24"/>
          <w:szCs w:val="22"/>
        </w:rPr>
        <w:t>Conflicts of interest</w:t>
      </w:r>
      <w:bookmarkEnd w:id="15"/>
    </w:p>
    <w:p w14:paraId="1E857162" w14:textId="77777777" w:rsidR="001129AF" w:rsidRPr="00D54FB2" w:rsidRDefault="00AF6C55" w:rsidP="00F410C0">
      <w:pPr>
        <w:spacing w:after="0" w:line="360" w:lineRule="auto"/>
        <w:jc w:val="both"/>
        <w:rPr>
          <w:rFonts w:cs="Arial"/>
        </w:rPr>
      </w:pPr>
      <w:r w:rsidRPr="00D54FB2">
        <w:rPr>
          <w:rFonts w:cs="Arial"/>
        </w:rPr>
        <w:t>There is no conflict of interest in the proposed study. The supplements used in this trial will be donated by the manufacture</w:t>
      </w:r>
      <w:r w:rsidR="001C2595" w:rsidRPr="00D54FB2">
        <w:rPr>
          <w:rFonts w:cs="Arial"/>
        </w:rPr>
        <w:t>r</w:t>
      </w:r>
      <w:r w:rsidRPr="00D54FB2">
        <w:rPr>
          <w:rFonts w:cs="Arial"/>
        </w:rPr>
        <w:t xml:space="preserve">s. Study investigators have no financial affiliations with the manufacturer of the product. </w:t>
      </w:r>
    </w:p>
    <w:p w14:paraId="005B7088" w14:textId="77777777" w:rsidR="001129AF" w:rsidRPr="00E71C18" w:rsidRDefault="001129AF" w:rsidP="00F410C0">
      <w:pPr>
        <w:jc w:val="both"/>
        <w:rPr>
          <w:rFonts w:cs="Arial"/>
          <w:sz w:val="24"/>
          <w:szCs w:val="24"/>
        </w:rPr>
      </w:pPr>
      <w:r w:rsidRPr="00E71C18">
        <w:rPr>
          <w:rFonts w:cs="Arial"/>
          <w:sz w:val="24"/>
          <w:szCs w:val="24"/>
        </w:rPr>
        <w:br w:type="page"/>
      </w:r>
    </w:p>
    <w:bookmarkStart w:id="16" w:name="_Toc17724188" w:displacedByCustomXml="next"/>
    <w:sdt>
      <w:sdtPr>
        <w:rPr>
          <w:rFonts w:asciiTheme="minorHAnsi" w:eastAsiaTheme="minorHAnsi" w:hAnsiTheme="minorHAnsi" w:cstheme="minorBidi"/>
          <w:b w:val="0"/>
          <w:bCs w:val="0"/>
          <w:noProof/>
          <w:color w:val="auto"/>
          <w:sz w:val="22"/>
          <w:szCs w:val="22"/>
          <w:lang w:val="en-US"/>
        </w:rPr>
        <w:id w:val="-1504588020"/>
        <w:docPartObj>
          <w:docPartGallery w:val="Bibliographies"/>
          <w:docPartUnique/>
        </w:docPartObj>
      </w:sdtPr>
      <w:sdtEndPr>
        <w:rPr>
          <w:rFonts w:ascii="Calibri" w:hAnsi="Calibri" w:cs="Calibri"/>
        </w:rPr>
      </w:sdtEndPr>
      <w:sdtContent>
        <w:p w14:paraId="4EF8C029" w14:textId="77777777" w:rsidR="00764409" w:rsidRPr="003B0CF3" w:rsidRDefault="00764409" w:rsidP="00764409">
          <w:pPr>
            <w:pStyle w:val="Heading1"/>
            <w:jc w:val="both"/>
            <w:rPr>
              <w:rFonts w:asciiTheme="minorHAnsi" w:hAnsiTheme="minorHAnsi" w:cstheme="minorHAnsi"/>
              <w:color w:val="5B9BD5" w:themeColor="accent1"/>
              <w:sz w:val="26"/>
              <w:szCs w:val="26"/>
            </w:rPr>
          </w:pPr>
          <w:r w:rsidRPr="003B0CF3">
            <w:rPr>
              <w:rFonts w:asciiTheme="minorHAnsi" w:hAnsiTheme="minorHAnsi" w:cstheme="minorHAnsi"/>
              <w:color w:val="5B9BD5" w:themeColor="accent1"/>
              <w:sz w:val="26"/>
              <w:szCs w:val="26"/>
            </w:rPr>
            <w:t>References</w:t>
          </w:r>
          <w:bookmarkEnd w:id="16"/>
        </w:p>
        <w:sdt>
          <w:sdtPr>
            <w:rPr>
              <w:rFonts w:asciiTheme="minorHAnsi" w:hAnsiTheme="minorHAnsi" w:cstheme="minorBidi"/>
              <w:noProof w:val="0"/>
              <w:lang w:val="en-NZ"/>
            </w:rPr>
            <w:id w:val="-573587230"/>
            <w:bibliography/>
          </w:sdtPr>
          <w:sdtEndPr>
            <w:rPr>
              <w:rFonts w:ascii="Calibri" w:hAnsi="Calibri" w:cs="Calibri"/>
              <w:noProof/>
              <w:lang w:val="en-US"/>
            </w:rPr>
          </w:sdtEndPr>
          <w:sdtContent>
            <w:bookmarkStart w:id="17" w:name="_Hlk70932585" w:displacedByCustomXml="prev"/>
            <w:p w14:paraId="37F0CBEC"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Advokat, C. (2010). What are the cognitive effects of stimulant medications? Emphasis on adults with attention-deficit/hyperactivity disorder (ADHD). </w:t>
              </w:r>
              <w:r w:rsidRPr="001F64E8">
                <w:rPr>
                  <w:i/>
                  <w:shd w:val="clear" w:color="auto" w:fill="FFFFFF"/>
                </w:rPr>
                <w:t>Neuroscience &amp; Biobehavioral Reviews</w:t>
              </w:r>
              <w:r w:rsidRPr="001F64E8">
                <w:rPr>
                  <w:shd w:val="clear" w:color="auto" w:fill="FFFFFF"/>
                </w:rPr>
                <w:t>, 34(8), 1256-1266. https://doi.org/10.1016/j.neubiorev.2010.03.006</w:t>
              </w:r>
            </w:p>
            <w:p w14:paraId="2BCBFB98" w14:textId="77777777" w:rsidR="00D36D3B" w:rsidRPr="001F64E8" w:rsidRDefault="00D36D3B" w:rsidP="00D36D3B">
              <w:pPr>
                <w:pStyle w:val="EndNoteBibliography"/>
                <w:ind w:left="720" w:hanging="720"/>
                <w:rPr>
                  <w:shd w:val="clear" w:color="auto" w:fill="FFFFFF"/>
                </w:rPr>
              </w:pPr>
              <w:r w:rsidRPr="001F64E8">
                <w:rPr>
                  <w:shd w:val="clear" w:color="auto" w:fill="FFFFFF"/>
                </w:rPr>
                <w:t>American Psychiatric Association. (2013). Diagnostic and statistical manual of mental disorders (5th ed.). https://doi.org/10.1176/appi.books.9780890425596</w:t>
              </w:r>
            </w:p>
            <w:p w14:paraId="4B7FCE69" w14:textId="77777777" w:rsidR="00D36D3B" w:rsidRPr="001F64E8" w:rsidRDefault="00D36D3B" w:rsidP="00D36D3B">
              <w:pPr>
                <w:pStyle w:val="EndNoteBibliography"/>
                <w:ind w:left="720" w:hanging="720"/>
                <w:rPr>
                  <w:shd w:val="clear" w:color="auto" w:fill="FFFFFF"/>
                </w:rPr>
              </w:pPr>
              <w:r w:rsidRPr="001F64E8">
                <w:rPr>
                  <w:shd w:val="clear" w:color="auto" w:fill="FFFFFF"/>
                </w:rPr>
                <w:t>Andersen, S. L. (2005). Stimulants and the developing brain. Trends in pharmacological sciences, 26(5), 237-243. https://doi.org/10.1016/j.tips.2005.03.009</w:t>
              </w:r>
            </w:p>
            <w:p w14:paraId="011E63F8"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Bailey, R. L., West Jr., K. P., &amp; Black, R. E. (2015). The epidemiology of global multinutrient deficiencies. </w:t>
              </w:r>
              <w:r w:rsidRPr="001F64E8">
                <w:rPr>
                  <w:i/>
                  <w:iCs/>
                  <w:shd w:val="clear" w:color="auto" w:fill="FFFFFF"/>
                  <w:lang w:val="en-AU"/>
                </w:rPr>
                <w:t>Annals of Nutrition and Metabolism</w:t>
              </w:r>
              <w:r w:rsidRPr="001F64E8">
                <w:rPr>
                  <w:shd w:val="clear" w:color="auto" w:fill="FFFFFF"/>
                  <w:lang w:val="en-AU"/>
                </w:rPr>
                <w:t>, </w:t>
              </w:r>
              <w:r w:rsidRPr="001F64E8">
                <w:rPr>
                  <w:i/>
                  <w:iCs/>
                  <w:shd w:val="clear" w:color="auto" w:fill="FFFFFF"/>
                  <w:lang w:val="en-AU"/>
                </w:rPr>
                <w:t>66</w:t>
              </w:r>
              <w:r w:rsidRPr="001F64E8">
                <w:rPr>
                  <w:shd w:val="clear" w:color="auto" w:fill="FFFFFF"/>
                  <w:lang w:val="en-AU"/>
                </w:rPr>
                <w:t>(2), 22-33. https://doi.org/10.1159/000371618</w:t>
              </w:r>
            </w:p>
            <w:p w14:paraId="05EDE20F"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Baker, C. W., Little, T. D., &amp; Brownell, K. D. (2003). Predicting adolescent eating and activity behaviors: The role of social norms and personal agency. </w:t>
              </w:r>
              <w:r w:rsidRPr="001F64E8">
                <w:rPr>
                  <w:i/>
                  <w:iCs/>
                  <w:shd w:val="clear" w:color="auto" w:fill="FFFFFF"/>
                  <w:lang w:val="en-AU"/>
                </w:rPr>
                <w:t>Health Psychology</w:t>
              </w:r>
              <w:r w:rsidRPr="001F64E8">
                <w:rPr>
                  <w:shd w:val="clear" w:color="auto" w:fill="FFFFFF"/>
                  <w:lang w:val="en-AU"/>
                </w:rPr>
                <w:t>, </w:t>
              </w:r>
              <w:r w:rsidRPr="001F64E8">
                <w:rPr>
                  <w:i/>
                  <w:iCs/>
                  <w:shd w:val="clear" w:color="auto" w:fill="FFFFFF"/>
                  <w:lang w:val="en-AU"/>
                </w:rPr>
                <w:t>22</w:t>
              </w:r>
              <w:r w:rsidRPr="001F64E8">
                <w:rPr>
                  <w:shd w:val="clear" w:color="auto" w:fill="FFFFFF"/>
                  <w:lang w:val="en-AU"/>
                </w:rPr>
                <w:t>(2), 189. https://doi.org/10.1037/0278-6133.22.2.189</w:t>
              </w:r>
            </w:p>
            <w:p w14:paraId="12061F70" w14:textId="77777777" w:rsidR="00D36D3B" w:rsidRPr="001F64E8" w:rsidRDefault="00D36D3B" w:rsidP="00D36D3B">
              <w:pPr>
                <w:pStyle w:val="EndNoteBibliography"/>
                <w:ind w:left="720" w:hanging="720"/>
                <w:rPr>
                  <w:shd w:val="clear" w:color="auto" w:fill="FFFFFF"/>
                </w:rPr>
              </w:pPr>
              <w:r w:rsidRPr="001F64E8">
                <w:rPr>
                  <w:shd w:val="clear" w:color="auto" w:fill="FFFFFF"/>
                </w:rPr>
                <w:t>Barbaresi, W. J., Katusic, S. K., Colligan, R. C., Weaver, A. L., Leibson, C. L., &amp; Jacobsen, S. J. (2014). Long-term stimulant medication treatment of attention-deficit/hyperactivity disorder: Results from a population-based study. Journal of Developmental &amp; Behavioral Pediatrics, 35(7), 448-457. https://doi: 10.1097/DBP.0000000000000099</w:t>
              </w:r>
            </w:p>
            <w:p w14:paraId="0FF0BD53"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Barkley, R. A. (2006). </w:t>
              </w:r>
              <w:r w:rsidRPr="001F64E8">
                <w:rPr>
                  <w:i/>
                  <w:shd w:val="clear" w:color="auto" w:fill="FFFFFF"/>
                </w:rPr>
                <w:t>Attention-Deficit/Hyperactivity Disorder.</w:t>
              </w:r>
              <w:r w:rsidRPr="001F64E8">
                <w:rPr>
                  <w:shd w:val="clear" w:color="auto" w:fill="FFFFFF"/>
                </w:rPr>
                <w:t xml:space="preserve"> Guilford Publications.</w:t>
              </w:r>
            </w:p>
            <w:p w14:paraId="219BE51D"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Baumgaertel, A. (1999). Alternative and controversial treatments for attention-deficit/hyperactivity disorder. </w:t>
              </w:r>
              <w:r w:rsidRPr="001F64E8">
                <w:rPr>
                  <w:i/>
                  <w:shd w:val="clear" w:color="auto" w:fill="FFFFFF"/>
                </w:rPr>
                <w:t>Pediatric Clinics of North America</w:t>
              </w:r>
              <w:r w:rsidRPr="001F64E8">
                <w:rPr>
                  <w:shd w:val="clear" w:color="auto" w:fill="FFFFFF"/>
                </w:rPr>
                <w:t xml:space="preserve">, 46(5), 977-992. </w:t>
              </w:r>
              <w:r w:rsidRPr="001F64E8">
                <w:rPr>
                  <w:shd w:val="clear" w:color="auto" w:fill="FFFFFF"/>
                  <w:lang w:val="en-AU"/>
                </w:rPr>
                <w:t>https://doi.org/10.1016/S0031-3955(05)70167-X</w:t>
              </w:r>
            </w:p>
            <w:p w14:paraId="74B14BE6" w14:textId="77777777" w:rsidR="00D36D3B" w:rsidRDefault="00D36D3B" w:rsidP="00D36D3B">
              <w:pPr>
                <w:pStyle w:val="EndNoteBibliography"/>
                <w:ind w:left="720" w:hanging="720"/>
                <w:rPr>
                  <w:shd w:val="clear" w:color="auto" w:fill="FFFFFF"/>
                </w:rPr>
              </w:pPr>
              <w:r w:rsidRPr="001E01E9">
                <w:rPr>
                  <w:shd w:val="clear" w:color="auto" w:fill="FFFFFF"/>
                  <w:lang w:val="en-AU"/>
                </w:rPr>
                <w:t>Beauchaine, T. P. (2015). Future directions in emotion dysregulation and youth psychopathology. </w:t>
              </w:r>
              <w:r w:rsidRPr="001E01E9">
                <w:rPr>
                  <w:i/>
                  <w:iCs/>
                  <w:shd w:val="clear" w:color="auto" w:fill="FFFFFF"/>
                  <w:lang w:val="en-AU"/>
                </w:rPr>
                <w:t>Journal of Clinical Child &amp; Adolescent Psychology</w:t>
              </w:r>
              <w:r w:rsidRPr="001E01E9">
                <w:rPr>
                  <w:shd w:val="clear" w:color="auto" w:fill="FFFFFF"/>
                  <w:lang w:val="en-AU"/>
                </w:rPr>
                <w:t>, </w:t>
              </w:r>
              <w:r w:rsidRPr="001E01E9">
                <w:rPr>
                  <w:i/>
                  <w:iCs/>
                  <w:shd w:val="clear" w:color="auto" w:fill="FFFFFF"/>
                  <w:lang w:val="en-AU"/>
                </w:rPr>
                <w:t>44</w:t>
              </w:r>
              <w:r w:rsidRPr="001E01E9">
                <w:rPr>
                  <w:shd w:val="clear" w:color="auto" w:fill="FFFFFF"/>
                  <w:lang w:val="en-AU"/>
                </w:rPr>
                <w:t>(5), 875-896.</w:t>
              </w:r>
              <w:r>
                <w:rPr>
                  <w:shd w:val="clear" w:color="auto" w:fill="FFFFFF"/>
                  <w:lang w:val="en-AU"/>
                </w:rPr>
                <w:t xml:space="preserve"> </w:t>
              </w:r>
              <w:r w:rsidRPr="001E01E9">
                <w:rPr>
                  <w:shd w:val="clear" w:color="auto" w:fill="FFFFFF"/>
                  <w:lang w:val="en-AU"/>
                </w:rPr>
                <w:t>https://doi.org/10.1080/15374416.2015.1038827</w:t>
              </w:r>
            </w:p>
            <w:p w14:paraId="50B9BC14"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Beauregard, M., Lévesque, J., &amp; Bourgouin, P. (2001). Neural correlates of conscious self-regulation of emotion. </w:t>
              </w:r>
              <w:r w:rsidRPr="001F64E8">
                <w:rPr>
                  <w:i/>
                  <w:shd w:val="clear" w:color="auto" w:fill="FFFFFF"/>
                </w:rPr>
                <w:t>Journal of Neuroscience</w:t>
              </w:r>
              <w:r w:rsidRPr="001F64E8">
                <w:rPr>
                  <w:shd w:val="clear" w:color="auto" w:fill="FFFFFF"/>
                </w:rPr>
                <w:t xml:space="preserve">, </w:t>
              </w:r>
              <w:r w:rsidRPr="001F64E8">
                <w:rPr>
                  <w:i/>
                  <w:shd w:val="clear" w:color="auto" w:fill="FFFFFF"/>
                </w:rPr>
                <w:t>21</w:t>
              </w:r>
              <w:r w:rsidRPr="001F64E8">
                <w:rPr>
                  <w:shd w:val="clear" w:color="auto" w:fill="FFFFFF"/>
                </w:rPr>
                <w:t xml:space="preserve">(18), 1-6. </w:t>
              </w:r>
              <w:r w:rsidRPr="001F64E8">
                <w:rPr>
                  <w:shd w:val="clear" w:color="auto" w:fill="FFFFFF"/>
                  <w:lang w:val="en-AU"/>
                </w:rPr>
                <w:t>https://doi.org/10.1523/JNEUROSCI.21-18-j0001.2001</w:t>
              </w:r>
            </w:p>
            <w:p w14:paraId="0071191F"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Biederman, J., Spencer, T., &amp; Wilens, T. (2004). Evidence-based pharmacotherapy for attention-deficit hyperactivity disorder. </w:t>
              </w:r>
              <w:r w:rsidRPr="001F64E8">
                <w:rPr>
                  <w:i/>
                  <w:shd w:val="clear" w:color="auto" w:fill="FFFFFF"/>
                </w:rPr>
                <w:t>International Journal of Neuropsychopharmacology</w:t>
              </w:r>
              <w:r w:rsidRPr="001F64E8">
                <w:rPr>
                  <w:shd w:val="clear" w:color="auto" w:fill="FFFFFF"/>
                </w:rPr>
                <w:t xml:space="preserve">, </w:t>
              </w:r>
              <w:r w:rsidRPr="001F64E8">
                <w:rPr>
                  <w:i/>
                  <w:shd w:val="clear" w:color="auto" w:fill="FFFFFF"/>
                </w:rPr>
                <w:t>7</w:t>
              </w:r>
              <w:r w:rsidRPr="001F64E8">
                <w:rPr>
                  <w:shd w:val="clear" w:color="auto" w:fill="FFFFFF"/>
                </w:rPr>
                <w:t xml:space="preserve">(1), 77-97. </w:t>
              </w:r>
              <w:r w:rsidRPr="001F64E8">
                <w:rPr>
                  <w:shd w:val="clear" w:color="auto" w:fill="FFFFFF"/>
                  <w:lang w:val="en-AU"/>
                </w:rPr>
                <w:t>https://doi.org/10.1017/S1461145703003973</w:t>
              </w:r>
            </w:p>
            <w:p w14:paraId="0DDD632D" w14:textId="77777777" w:rsidR="00D36D3B" w:rsidRPr="001F64E8" w:rsidRDefault="00D36D3B" w:rsidP="00D36D3B">
              <w:pPr>
                <w:pStyle w:val="EndNoteBibliography"/>
                <w:ind w:left="720" w:hanging="720"/>
                <w:rPr>
                  <w:szCs w:val="20"/>
                  <w:shd w:val="clear" w:color="auto" w:fill="FFFFFF"/>
                  <w:lang w:val="de-DE"/>
                </w:rPr>
              </w:pPr>
              <w:r w:rsidRPr="001F64E8">
                <w:rPr>
                  <w:szCs w:val="20"/>
                  <w:shd w:val="clear" w:color="auto" w:fill="FFFFFF"/>
                  <w:lang w:val="de-DE"/>
                </w:rPr>
                <w:t>Blampied, N. M. (2017). Analyzing therapeutic change using modified Brinley plots: History, construction, and interpretation. </w:t>
              </w:r>
              <w:r w:rsidRPr="001F64E8">
                <w:rPr>
                  <w:i/>
                  <w:iCs/>
                  <w:szCs w:val="20"/>
                  <w:shd w:val="clear" w:color="auto" w:fill="FFFFFF"/>
                  <w:lang w:val="de-DE"/>
                </w:rPr>
                <w:t>Behavior Therapy</w:t>
              </w:r>
              <w:r w:rsidRPr="001F64E8">
                <w:rPr>
                  <w:szCs w:val="20"/>
                  <w:shd w:val="clear" w:color="auto" w:fill="FFFFFF"/>
                  <w:lang w:val="de-DE"/>
                </w:rPr>
                <w:t>, </w:t>
              </w:r>
              <w:r w:rsidRPr="001F64E8">
                <w:rPr>
                  <w:i/>
                  <w:iCs/>
                  <w:szCs w:val="20"/>
                  <w:shd w:val="clear" w:color="auto" w:fill="FFFFFF"/>
                  <w:lang w:val="de-DE"/>
                </w:rPr>
                <w:t>48</w:t>
              </w:r>
              <w:r w:rsidRPr="001F64E8">
                <w:rPr>
                  <w:szCs w:val="20"/>
                  <w:shd w:val="clear" w:color="auto" w:fill="FFFFFF"/>
                  <w:lang w:val="de-DE"/>
                </w:rPr>
                <w:t>(1), 115-127. https://doi.org/10.1016/j.beth.2016.09.002</w:t>
              </w:r>
            </w:p>
            <w:p w14:paraId="01326F93" w14:textId="77777777" w:rsidR="00D36D3B" w:rsidRPr="001F64E8" w:rsidRDefault="00D36D3B" w:rsidP="00D36D3B">
              <w:pPr>
                <w:pStyle w:val="EndNoteBibliography"/>
                <w:ind w:left="720" w:hanging="720"/>
                <w:rPr>
                  <w:szCs w:val="20"/>
                  <w:shd w:val="clear" w:color="auto" w:fill="FFFFFF"/>
                </w:rPr>
              </w:pPr>
              <w:r w:rsidRPr="001F64E8">
                <w:rPr>
                  <w:szCs w:val="20"/>
                  <w:shd w:val="clear" w:color="auto" w:fill="FFFFFF"/>
                </w:rPr>
                <w:t>Bøe T, Hysing M, Skogen JC, Breivik K (2016). The strengths and difficulties questionnaire (SDQ): Factor structure and gender equivalence in norwegian adolescents</w:t>
              </w:r>
              <w:r w:rsidRPr="001F64E8">
                <w:rPr>
                  <w:i/>
                  <w:szCs w:val="20"/>
                  <w:shd w:val="clear" w:color="auto" w:fill="FFFFFF"/>
                </w:rPr>
                <w:t>. PLoS ONE</w:t>
              </w:r>
              <w:r w:rsidRPr="001F64E8">
                <w:rPr>
                  <w:szCs w:val="20"/>
                  <w:shd w:val="clear" w:color="auto" w:fill="FFFFFF"/>
                </w:rPr>
                <w:t xml:space="preserve"> </w:t>
              </w:r>
              <w:r w:rsidRPr="001F64E8">
                <w:rPr>
                  <w:i/>
                  <w:szCs w:val="20"/>
                  <w:shd w:val="clear" w:color="auto" w:fill="FFFFFF"/>
                </w:rPr>
                <w:t>11</w:t>
              </w:r>
              <w:r w:rsidRPr="001F64E8">
                <w:rPr>
                  <w:szCs w:val="20"/>
                  <w:shd w:val="clear" w:color="auto" w:fill="FFFFFF"/>
                </w:rPr>
                <w:t xml:space="preserve">(5), </w:t>
              </w:r>
              <w:r w:rsidRPr="001F64E8">
                <w:rPr>
                  <w:szCs w:val="20"/>
                  <w:shd w:val="clear" w:color="auto" w:fill="FFFFFF"/>
                  <w:lang w:val="en-AU"/>
                </w:rPr>
                <w:t>131-142</w:t>
              </w:r>
              <w:r w:rsidRPr="001F64E8">
                <w:rPr>
                  <w:szCs w:val="20"/>
                  <w:shd w:val="clear" w:color="auto" w:fill="FFFFFF"/>
                </w:rPr>
                <w:t>. https://doi.org/10.1371/journal.pone.0152202</w:t>
              </w:r>
            </w:p>
            <w:p w14:paraId="06EEF831" w14:textId="77777777" w:rsidR="00D36D3B" w:rsidRPr="001F64E8" w:rsidRDefault="00D36D3B" w:rsidP="00D36D3B">
              <w:pPr>
                <w:pStyle w:val="EndNoteBibliography"/>
                <w:ind w:left="720" w:hanging="720"/>
                <w:rPr>
                  <w:shd w:val="clear" w:color="auto" w:fill="FFFFFF"/>
                  <w:lang w:val="en-NZ"/>
                </w:rPr>
              </w:pPr>
              <w:r w:rsidRPr="001F64E8">
                <w:rPr>
                  <w:shd w:val="clear" w:color="auto" w:fill="FFFFFF"/>
                </w:rPr>
                <w:t xml:space="preserve">Broman, J.-E., Smedje, H., Mallon, L., &amp; Hetta, J. (2008). The minimal insomnia symptom scale (MISS). </w:t>
              </w:r>
              <w:r w:rsidRPr="001F64E8">
                <w:rPr>
                  <w:i/>
                  <w:shd w:val="clear" w:color="auto" w:fill="FFFFFF"/>
                </w:rPr>
                <w:t>Upsala Journal of Medical Sciences</w:t>
              </w:r>
              <w:r w:rsidRPr="001F64E8">
                <w:rPr>
                  <w:shd w:val="clear" w:color="auto" w:fill="FFFFFF"/>
                </w:rPr>
                <w:t xml:space="preserve">, </w:t>
              </w:r>
              <w:r w:rsidRPr="001F64E8">
                <w:rPr>
                  <w:i/>
                  <w:shd w:val="clear" w:color="auto" w:fill="FFFFFF"/>
                </w:rPr>
                <w:t>113</w:t>
              </w:r>
              <w:r w:rsidRPr="001F64E8">
                <w:rPr>
                  <w:shd w:val="clear" w:color="auto" w:fill="FFFFFF"/>
                </w:rPr>
                <w:t xml:space="preserve">(2), 131-142. </w:t>
              </w:r>
              <w:r w:rsidRPr="001F64E8">
                <w:rPr>
                  <w:shd w:val="clear" w:color="auto" w:fill="FFFFFF"/>
                  <w:lang w:val="en-NZ"/>
                </w:rPr>
                <w:t>https://doi.org/10.3109/2000-1967-221</w:t>
              </w:r>
            </w:p>
            <w:p w14:paraId="18B417DB" w14:textId="77777777" w:rsidR="00D36D3B" w:rsidRPr="001F64E8" w:rsidRDefault="00D36D3B" w:rsidP="00D36D3B">
              <w:pPr>
                <w:pStyle w:val="EndNoteBibliography"/>
                <w:ind w:left="720" w:hanging="720"/>
                <w:rPr>
                  <w:i/>
                  <w:shd w:val="clear" w:color="auto" w:fill="FFFFFF"/>
                  <w:lang w:val="en-NZ"/>
                </w:rPr>
              </w:pPr>
              <w:r w:rsidRPr="001F64E8">
                <w:rPr>
                  <w:shd w:val="clear" w:color="auto" w:fill="FFFFFF"/>
                  <w:lang w:val="en-NZ"/>
                </w:rPr>
                <w:t xml:space="preserve">Brotman, M. A., Kircanski, K., &amp; Leibenluft E. (2017). Irritability in children and adolescents. </w:t>
              </w:r>
              <w:r w:rsidRPr="001F64E8">
                <w:rPr>
                  <w:i/>
                </w:rPr>
                <w:t>Annual Review of Clinical Psychology. 13</w:t>
              </w:r>
              <w:r w:rsidRPr="001F64E8">
                <w:t xml:space="preserve">, 317–341. </w:t>
              </w:r>
              <w:r w:rsidRPr="001F64E8">
                <w:rPr>
                  <w:lang w:val="en-AU"/>
                </w:rPr>
                <w:t>https://doi.org/10.1146/annurev-clinpsy-032816-044941</w:t>
              </w:r>
            </w:p>
            <w:p w14:paraId="5003DBB0" w14:textId="2BA17A62" w:rsidR="00D36D3B" w:rsidRDefault="00D36D3B" w:rsidP="00D36D3B">
              <w:pPr>
                <w:pStyle w:val="EndNoteBibliography"/>
                <w:ind w:left="720" w:hanging="720"/>
                <w:rPr>
                  <w:shd w:val="clear" w:color="auto" w:fill="FFFFFF"/>
                  <w:lang w:val="en-AU"/>
                </w:rPr>
              </w:pPr>
              <w:r w:rsidRPr="001F64E8">
                <w:rPr>
                  <w:shd w:val="clear" w:color="auto" w:fill="FFFFFF"/>
                  <w:lang w:val="en-AU"/>
                </w:rPr>
                <w:t xml:space="preserve">Brotman, M. A., Schmajuk, M., Rich, B. A., Dickstein, D. P., Guyer, A. E., Costello, E. J., Egger, H. L., Angold, A., Pine, D. S. &amp; Leibenluft, E. (2006). Prevalence, clinical correlates, and longitudinal course of severe mood dysregulation in children. </w:t>
              </w:r>
              <w:r w:rsidRPr="001F64E8">
                <w:rPr>
                  <w:i/>
                  <w:shd w:val="clear" w:color="auto" w:fill="FFFFFF"/>
                  <w:lang w:val="en-AU"/>
                </w:rPr>
                <w:t>Biological Psychiatry</w:t>
              </w:r>
              <w:r w:rsidRPr="001F64E8">
                <w:rPr>
                  <w:shd w:val="clear" w:color="auto" w:fill="FFFFFF"/>
                  <w:lang w:val="en-AU"/>
                </w:rPr>
                <w:t xml:space="preserve">, </w:t>
              </w:r>
              <w:r w:rsidRPr="001F64E8">
                <w:rPr>
                  <w:i/>
                  <w:shd w:val="clear" w:color="auto" w:fill="FFFFFF"/>
                  <w:lang w:val="en-AU"/>
                </w:rPr>
                <w:t>60</w:t>
              </w:r>
              <w:r w:rsidRPr="001F64E8">
                <w:rPr>
                  <w:shd w:val="clear" w:color="auto" w:fill="FFFFFF"/>
                  <w:lang w:val="en-AU"/>
                </w:rPr>
                <w:t xml:space="preserve">, 991-997. </w:t>
              </w:r>
              <w:r w:rsidR="002E2016" w:rsidRPr="002E2016">
                <w:rPr>
                  <w:shd w:val="clear" w:color="auto" w:fill="FFFFFF"/>
                  <w:lang w:val="en-AU"/>
                </w:rPr>
                <w:t>http://doi.prg/10.1016/j.biopsych.2006.08.042</w:t>
              </w:r>
            </w:p>
            <w:p w14:paraId="45876B51" w14:textId="38955081" w:rsidR="002E2016" w:rsidRPr="001F64E8" w:rsidRDefault="002E2016" w:rsidP="00D36D3B">
              <w:pPr>
                <w:pStyle w:val="EndNoteBibliography"/>
                <w:ind w:left="720" w:hanging="720"/>
                <w:rPr>
                  <w:shd w:val="clear" w:color="auto" w:fill="FFFFFF"/>
                  <w:lang w:val="en-NZ"/>
                </w:rPr>
              </w:pPr>
              <w:r w:rsidRPr="002E2016">
                <w:rPr>
                  <w:shd w:val="clear" w:color="auto" w:fill="FFFFFF"/>
                  <w:lang w:val="en-NZ"/>
                </w:rPr>
                <w:lastRenderedPageBreak/>
                <w:t xml:space="preserve">Bussing, R., Fernandez, M., Harwood, M., Hou, W., Garvan, C. W., Eyberg, S. M., &amp; Swanson, J. M. (2008). Parent and teacher SNAP-IV ratings of attention deficit hyperactivity disorder symptoms: </w:t>
              </w:r>
              <w:r>
                <w:rPr>
                  <w:shd w:val="clear" w:color="auto" w:fill="FFFFFF"/>
                  <w:lang w:val="en-NZ"/>
                </w:rPr>
                <w:t>P</w:t>
              </w:r>
              <w:r w:rsidRPr="002E2016">
                <w:rPr>
                  <w:shd w:val="clear" w:color="auto" w:fill="FFFFFF"/>
                  <w:lang w:val="en-NZ"/>
                </w:rPr>
                <w:t xml:space="preserve">sychometric properties and normative ratings from a school district sample. </w:t>
              </w:r>
              <w:r w:rsidRPr="002E2016">
                <w:rPr>
                  <w:i/>
                  <w:shd w:val="clear" w:color="auto" w:fill="FFFFFF"/>
                  <w:lang w:val="en-NZ"/>
                </w:rPr>
                <w:t>Assessment</w:t>
              </w:r>
              <w:r w:rsidRPr="002E2016">
                <w:rPr>
                  <w:shd w:val="clear" w:color="auto" w:fill="FFFFFF"/>
                  <w:lang w:val="en-NZ"/>
                </w:rPr>
                <w:t xml:space="preserve">, </w:t>
              </w:r>
              <w:r w:rsidRPr="002E2016">
                <w:rPr>
                  <w:i/>
                  <w:shd w:val="clear" w:color="auto" w:fill="FFFFFF"/>
                  <w:lang w:val="en-NZ"/>
                </w:rPr>
                <w:t>15</w:t>
              </w:r>
              <w:r w:rsidRPr="002E2016">
                <w:rPr>
                  <w:shd w:val="clear" w:color="auto" w:fill="FFFFFF"/>
                  <w:lang w:val="en-NZ"/>
                </w:rPr>
                <w:t>(3), 317-328.</w:t>
              </w:r>
              <w:r>
                <w:rPr>
                  <w:shd w:val="clear" w:color="auto" w:fill="FFFFFF"/>
                  <w:lang w:val="en-NZ"/>
                </w:rPr>
                <w:t xml:space="preserve"> </w:t>
              </w:r>
              <w:r w:rsidRPr="002E2016">
                <w:rPr>
                  <w:shd w:val="clear" w:color="auto" w:fill="FFFFFF"/>
                  <w:lang w:val="en-NZ"/>
                </w:rPr>
                <w:t>https://doi.org/10.1177/1073191107313888</w:t>
              </w:r>
            </w:p>
            <w:p w14:paraId="3F0FD271"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Carlson, S. M., &amp; Wang, T. S. (2007). Inhibitory control and emotion regulation in preschool children. </w:t>
              </w:r>
              <w:r w:rsidRPr="001F64E8">
                <w:rPr>
                  <w:i/>
                  <w:shd w:val="clear" w:color="auto" w:fill="FFFFFF"/>
                </w:rPr>
                <w:t>Cognitive Development</w:t>
              </w:r>
              <w:r w:rsidRPr="001F64E8">
                <w:rPr>
                  <w:shd w:val="clear" w:color="auto" w:fill="FFFFFF"/>
                </w:rPr>
                <w:t xml:space="preserve">, </w:t>
              </w:r>
              <w:r w:rsidRPr="001F64E8">
                <w:rPr>
                  <w:i/>
                  <w:shd w:val="clear" w:color="auto" w:fill="FFFFFF"/>
                </w:rPr>
                <w:t>22</w:t>
              </w:r>
              <w:r w:rsidRPr="001F64E8">
                <w:rPr>
                  <w:shd w:val="clear" w:color="auto" w:fill="FFFFFF"/>
                </w:rPr>
                <w:t xml:space="preserve">(4), 489-510. </w:t>
              </w:r>
              <w:r w:rsidRPr="001F64E8">
                <w:rPr>
                  <w:shd w:val="clear" w:color="auto" w:fill="FFFFFF"/>
                  <w:lang w:val="en-AU"/>
                </w:rPr>
                <w:t>https://doi.org/10.1016/j.cogdev.2007.08.002</w:t>
              </w:r>
            </w:p>
            <w:p w14:paraId="5D091B48" w14:textId="77777777" w:rsidR="00D36D3B" w:rsidRPr="001F64E8" w:rsidRDefault="00D36D3B" w:rsidP="00D36D3B">
              <w:pPr>
                <w:pStyle w:val="EndNoteBibliography"/>
                <w:ind w:left="720" w:hanging="720"/>
                <w:rPr>
                  <w:shd w:val="clear" w:color="auto" w:fill="FFFFFF"/>
                  <w:lang w:val="en-AU"/>
                </w:rPr>
              </w:pPr>
              <w:r w:rsidRPr="001F64E8">
                <w:t>Coccaro, E. F., Lee, R. J. &amp; Kavoussi, R. J. (2009). A double-blind, randomized, placebo-controlled trial of fluoxetine in patients with intermittent explosive disorder</w:t>
              </w:r>
              <w:r w:rsidRPr="001F64E8">
                <w:rPr>
                  <w:i/>
                </w:rPr>
                <w:t>. Journal of Clinical Psychiatry,</w:t>
              </w:r>
              <w:r w:rsidRPr="001F64E8">
                <w:t xml:space="preserve"> </w:t>
              </w:r>
              <w:r w:rsidRPr="001F64E8">
                <w:rPr>
                  <w:i/>
                </w:rPr>
                <w:t>70</w:t>
              </w:r>
              <w:r w:rsidRPr="001F64E8">
                <w:t>(65), 3-62</w:t>
              </w:r>
            </w:p>
            <w:p w14:paraId="41687804"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Cumming, G. (2013). </w:t>
              </w:r>
              <w:r w:rsidRPr="001F64E8">
                <w:rPr>
                  <w:i/>
                  <w:iCs/>
                  <w:shd w:val="clear" w:color="auto" w:fill="FFFFFF"/>
                  <w:lang w:val="en-AU"/>
                </w:rPr>
                <w:t>Understanding the new statistics: Effect sizes, confidence intervals, and meta-analysis</w:t>
              </w:r>
              <w:r w:rsidRPr="001F64E8">
                <w:rPr>
                  <w:shd w:val="clear" w:color="auto" w:fill="FFFFFF"/>
                  <w:lang w:val="en-AU"/>
                </w:rPr>
                <w:t>. Routledge. https://books.google.co.nz/books?hl=en&amp;lr=&amp;id=1W6laNc7Xt8C&amp;oi=fnd&amp;pg=PR1&amp;dq=Cumming,+G.+(2102).+Understanding+the+New+Statistics.+&amp;ots=PwFTWFgZ1R&amp;sig=onOycx_mXJBEPH0du5dGe7FnNm4&amp;redir_esc=y#v=onepage&amp;q&amp;f=false</w:t>
              </w:r>
            </w:p>
            <w:p w14:paraId="5FD109A4"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Currie, J., Stabile, M., &amp; Jones, L. (2014). Do stimulant medications improve educational and behavioral outcomes for children with ADHD? </w:t>
              </w:r>
              <w:r w:rsidRPr="001F64E8">
                <w:rPr>
                  <w:i/>
                  <w:shd w:val="clear" w:color="auto" w:fill="FFFFFF"/>
                </w:rPr>
                <w:t>Journal of Health Economics</w:t>
              </w:r>
              <w:r w:rsidRPr="001F64E8">
                <w:rPr>
                  <w:shd w:val="clear" w:color="auto" w:fill="FFFFFF"/>
                </w:rPr>
                <w:t xml:space="preserve">, </w:t>
              </w:r>
              <w:r w:rsidRPr="001F64E8">
                <w:rPr>
                  <w:i/>
                  <w:shd w:val="clear" w:color="auto" w:fill="FFFFFF"/>
                </w:rPr>
                <w:t>37</w:t>
              </w:r>
              <w:r w:rsidRPr="001F64E8">
                <w:rPr>
                  <w:shd w:val="clear" w:color="auto" w:fill="FFFFFF"/>
                </w:rPr>
                <w:t xml:space="preserve">, 58-69. </w:t>
              </w:r>
              <w:r w:rsidRPr="001F64E8">
                <w:rPr>
                  <w:shd w:val="clear" w:color="auto" w:fill="FFFFFF"/>
                  <w:lang w:val="en-AU"/>
                </w:rPr>
                <w:t>https://doi.org/10.1016/j.jhealeco.2014.05.002</w:t>
              </w:r>
            </w:p>
            <w:p w14:paraId="716BD0C3"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Daley, D., Van der Oord, S., Ferrin, M., Danckaerts, M., Doepfner, M., Cortese, S., Sonuga-Barke E. J. S., &amp; European ADHD Guidelines Group. (2014). Behavioral interventions in attention-deficit/hyperactivity disorder: A meta-analysis of randomized controlled trials across multiple outcome domains. </w:t>
              </w:r>
              <w:r w:rsidRPr="001F64E8">
                <w:rPr>
                  <w:i/>
                  <w:iCs/>
                  <w:shd w:val="clear" w:color="auto" w:fill="FFFFFF"/>
                  <w:lang w:val="en-AU"/>
                </w:rPr>
                <w:t>Journal of the American Academy of Child &amp; Adolescent Psychiatry</w:t>
              </w:r>
              <w:r w:rsidRPr="001F64E8">
                <w:rPr>
                  <w:shd w:val="clear" w:color="auto" w:fill="FFFFFF"/>
                  <w:lang w:val="en-AU"/>
                </w:rPr>
                <w:t>, </w:t>
              </w:r>
              <w:r w:rsidRPr="001F64E8">
                <w:rPr>
                  <w:i/>
                  <w:iCs/>
                  <w:shd w:val="clear" w:color="auto" w:fill="FFFFFF"/>
                  <w:lang w:val="en-AU"/>
                </w:rPr>
                <w:t>53</w:t>
              </w:r>
              <w:r w:rsidRPr="001F64E8">
                <w:rPr>
                  <w:shd w:val="clear" w:color="auto" w:fill="FFFFFF"/>
                  <w:lang w:val="en-AU"/>
                </w:rPr>
                <w:t>(8), 835-847. https://doi.org/10.1016/j.jaac.2014.05.013</w:t>
              </w:r>
            </w:p>
            <w:p w14:paraId="5034B02A"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Davidovitch, M., Koren, G., Fund, N., Shrem, M., &amp; Porath, A. (2017). Challenges in defining the rates of ADHD diagnosis and treatment: Trends over the last decade. </w:t>
              </w:r>
              <w:r w:rsidRPr="001F64E8">
                <w:rPr>
                  <w:i/>
                  <w:iCs/>
                  <w:shd w:val="clear" w:color="auto" w:fill="FFFFFF"/>
                  <w:lang w:val="en-AU"/>
                </w:rPr>
                <w:t>BMC Pediatrics</w:t>
              </w:r>
              <w:r w:rsidRPr="001F64E8">
                <w:rPr>
                  <w:shd w:val="clear" w:color="auto" w:fill="FFFFFF"/>
                  <w:lang w:val="en-AU"/>
                </w:rPr>
                <w:t>, </w:t>
              </w:r>
              <w:r w:rsidRPr="001F64E8">
                <w:rPr>
                  <w:i/>
                  <w:iCs/>
                  <w:shd w:val="clear" w:color="auto" w:fill="FFFFFF"/>
                  <w:lang w:val="en-AU"/>
                </w:rPr>
                <w:t>17</w:t>
              </w:r>
              <w:r w:rsidRPr="001F64E8">
                <w:rPr>
                  <w:shd w:val="clear" w:color="auto" w:fill="FFFFFF"/>
                  <w:lang w:val="en-AU"/>
                </w:rPr>
                <w:t>(1), 1-9. http://doi.org/</w:t>
              </w:r>
              <w:r w:rsidRPr="001F64E8">
                <w:t>10.1186/s12887-017-0971-0</w:t>
              </w:r>
            </w:p>
            <w:p w14:paraId="105727AF"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Denham, S. A., Blair, K. A., DeMulder, E., Levitas, J., Sawyer, K., Auerbach–Major, S., &amp; Queenan, P. (2003). Preschool emotional competence: Pathway to social competence? </w:t>
              </w:r>
              <w:r w:rsidRPr="001F64E8">
                <w:rPr>
                  <w:i/>
                  <w:shd w:val="clear" w:color="auto" w:fill="FFFFFF"/>
                </w:rPr>
                <w:t>Child Development</w:t>
              </w:r>
              <w:r w:rsidRPr="001F64E8">
                <w:rPr>
                  <w:shd w:val="clear" w:color="auto" w:fill="FFFFFF"/>
                </w:rPr>
                <w:t xml:space="preserve">, </w:t>
              </w:r>
              <w:r w:rsidRPr="001F64E8">
                <w:rPr>
                  <w:i/>
                  <w:shd w:val="clear" w:color="auto" w:fill="FFFFFF"/>
                </w:rPr>
                <w:t>74</w:t>
              </w:r>
              <w:r w:rsidRPr="001F64E8">
                <w:rPr>
                  <w:shd w:val="clear" w:color="auto" w:fill="FFFFFF"/>
                </w:rPr>
                <w:t xml:space="preserve">(1), 238-256. </w:t>
              </w:r>
              <w:r w:rsidRPr="001F64E8">
                <w:rPr>
                  <w:bCs/>
                  <w:shd w:val="clear" w:color="auto" w:fill="FFFFFF"/>
                  <w:lang w:val="en-AU"/>
                </w:rPr>
                <w:t>https://doi.org/10.1111/1467-8624.00533</w:t>
              </w:r>
            </w:p>
            <w:p w14:paraId="7A9A11AE"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DuPaul, G. J., Power, T. J., Anastopoulos, A. D., &amp; Reid, R. (2016). </w:t>
              </w:r>
              <w:r w:rsidRPr="001F64E8">
                <w:rPr>
                  <w:i/>
                  <w:shd w:val="clear" w:color="auto" w:fill="FFFFFF"/>
                </w:rPr>
                <w:t>ADHD rating scale? 5 for children and adolescents: Checklists, norms, and clinical interpretation.</w:t>
              </w:r>
              <w:r w:rsidRPr="001F64E8">
                <w:rPr>
                  <w:shd w:val="clear" w:color="auto" w:fill="FFFFFF"/>
                </w:rPr>
                <w:t xml:space="preserve"> Guilford Publications.</w:t>
              </w:r>
            </w:p>
            <w:p w14:paraId="03A52764" w14:textId="77777777" w:rsidR="00D36D3B" w:rsidRPr="001F64E8" w:rsidRDefault="00D36D3B" w:rsidP="00D36D3B">
              <w:pPr>
                <w:pStyle w:val="EndNoteBibliography"/>
                <w:ind w:left="720" w:hanging="720"/>
                <w:rPr>
                  <w:shd w:val="clear" w:color="auto" w:fill="FFFFFF"/>
                  <w:lang w:val="en-NZ"/>
                </w:rPr>
              </w:pPr>
              <w:r w:rsidRPr="001F64E8">
                <w:rPr>
                  <w:shd w:val="clear" w:color="auto" w:fill="FFFFFF"/>
                </w:rPr>
                <w:t xml:space="preserve">Eisenberg, N., Fabes, R. A., Bernzweig, J., Karbon, M., Poulin, R., &amp; Hanish, L. (1993). The relations of emotionality and regulation to preschoolers' social skills and sociometric status. </w:t>
              </w:r>
              <w:r w:rsidRPr="001F64E8">
                <w:rPr>
                  <w:i/>
                  <w:shd w:val="clear" w:color="auto" w:fill="FFFFFF"/>
                </w:rPr>
                <w:t>Child Development</w:t>
              </w:r>
              <w:r w:rsidRPr="001F64E8">
                <w:rPr>
                  <w:shd w:val="clear" w:color="auto" w:fill="FFFFFF"/>
                </w:rPr>
                <w:t xml:space="preserve">, </w:t>
              </w:r>
              <w:r w:rsidRPr="001F64E8">
                <w:rPr>
                  <w:i/>
                  <w:shd w:val="clear" w:color="auto" w:fill="FFFFFF"/>
                </w:rPr>
                <w:t>64</w:t>
              </w:r>
              <w:r w:rsidRPr="001F64E8">
                <w:rPr>
                  <w:shd w:val="clear" w:color="auto" w:fill="FFFFFF"/>
                </w:rPr>
                <w:t xml:space="preserve">(5), 1418-1438. </w:t>
              </w:r>
              <w:r w:rsidRPr="001F64E8">
                <w:rPr>
                  <w:bCs/>
                  <w:shd w:val="clear" w:color="auto" w:fill="FFFFFF"/>
                  <w:lang w:val="en-NZ"/>
                </w:rPr>
                <w:t>https://doi.org/10.1111/j.1467-8624.1993.tb02961.x</w:t>
              </w:r>
            </w:p>
            <w:p w14:paraId="71E4DF72"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Ezpeleta, L., Penelo, E., de la Osa, N., Navarro, J. B., &amp; Trepat, E. (2020). How the Affective Reactivity Index (ARI) works for teachers as informants. </w:t>
              </w:r>
              <w:r w:rsidRPr="001F64E8">
                <w:rPr>
                  <w:i/>
                  <w:iCs/>
                  <w:shd w:val="clear" w:color="auto" w:fill="FFFFFF"/>
                  <w:lang w:val="en-AU"/>
                </w:rPr>
                <w:t>Journal of Affective Disorders</w:t>
              </w:r>
              <w:r w:rsidRPr="001F64E8">
                <w:rPr>
                  <w:shd w:val="clear" w:color="auto" w:fill="FFFFFF"/>
                  <w:lang w:val="en-AU"/>
                </w:rPr>
                <w:t>, </w:t>
              </w:r>
              <w:r w:rsidRPr="001F64E8">
                <w:rPr>
                  <w:i/>
                  <w:iCs/>
                  <w:shd w:val="clear" w:color="auto" w:fill="FFFFFF"/>
                  <w:lang w:val="en-AU"/>
                </w:rPr>
                <w:t>261</w:t>
              </w:r>
              <w:r w:rsidRPr="001F64E8">
                <w:rPr>
                  <w:shd w:val="clear" w:color="auto" w:fill="FFFFFF"/>
                  <w:lang w:val="en-AU"/>
                </w:rPr>
                <w:t>, 40-48. http://doi.org/</w:t>
              </w:r>
              <w:r w:rsidRPr="001F64E8">
                <w:t>10.1016/j.jad.2019.09.080.</w:t>
              </w:r>
            </w:p>
            <w:p w14:paraId="745D1A7D"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Food and Agriculture Organization of the United Nations (FAO) (2017). </w:t>
              </w:r>
              <w:r w:rsidRPr="001F64E8">
                <w:t>The future of food and agriculture: Trends and challenges. Rome. http://www.fao.org/3/i6583e/i6583e.pdf</w:t>
              </w:r>
            </w:p>
            <w:p w14:paraId="32CE13D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Garnefski, N., Rieffe, C., Jellesma, F., Terwogt, M. M., &amp; Kraaij, V. (2007). Cognitive emotion regulation strategies and emotional problems in 9–11-year-old children. </w:t>
              </w:r>
              <w:r w:rsidRPr="001F64E8">
                <w:rPr>
                  <w:i/>
                  <w:shd w:val="clear" w:color="auto" w:fill="FFFFFF"/>
                </w:rPr>
                <w:t>European child &amp; Adolescent Psychiatry</w:t>
              </w:r>
              <w:r w:rsidRPr="001F64E8">
                <w:rPr>
                  <w:shd w:val="clear" w:color="auto" w:fill="FFFFFF"/>
                </w:rPr>
                <w:t xml:space="preserve">, </w:t>
              </w:r>
              <w:r w:rsidRPr="001F64E8">
                <w:rPr>
                  <w:i/>
                  <w:shd w:val="clear" w:color="auto" w:fill="FFFFFF"/>
                </w:rPr>
                <w:t>16</w:t>
              </w:r>
              <w:r w:rsidRPr="001F64E8">
                <w:rPr>
                  <w:shd w:val="clear" w:color="auto" w:fill="FFFFFF"/>
                </w:rPr>
                <w:t xml:space="preserve">(1), 1-9. </w:t>
              </w:r>
              <w:r w:rsidRPr="001F64E8">
                <w:rPr>
                  <w:shd w:val="clear" w:color="auto" w:fill="FFFFFF"/>
                  <w:lang w:val="en-AU"/>
                </w:rPr>
                <w:t>https://link.springer.com/content/pdf/10.1007/s00787-006-0562-3.pdf</w:t>
              </w:r>
            </w:p>
            <w:p w14:paraId="26DBDE46"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Geller, B., Zimerman, B., Williams, M., Bolhofner, K., Craney, J. L., DelBello, M. P., &amp; Soutullo, C. (2001). Reliability of the Washington University in St. Louis Kiddie Schedule for Affective Disorders and Schizophrenia (WASH-U-KSADS) mania and rapid cycling sections. </w:t>
              </w:r>
              <w:r w:rsidRPr="001F64E8">
                <w:rPr>
                  <w:i/>
                  <w:iCs/>
                  <w:shd w:val="clear" w:color="auto" w:fill="FFFFFF"/>
                  <w:lang w:val="en-AU"/>
                </w:rPr>
                <w:t xml:space="preserve">Journal of the American Academy </w:t>
              </w:r>
              <w:r w:rsidRPr="001F64E8">
                <w:rPr>
                  <w:i/>
                  <w:iCs/>
                  <w:shd w:val="clear" w:color="auto" w:fill="FFFFFF"/>
                  <w:lang w:val="en-AU"/>
                </w:rPr>
                <w:lastRenderedPageBreak/>
                <w:t>of Child &amp; Adolescent Psychiatry</w:t>
              </w:r>
              <w:r w:rsidRPr="001F64E8">
                <w:rPr>
                  <w:shd w:val="clear" w:color="auto" w:fill="FFFFFF"/>
                  <w:lang w:val="en-AU"/>
                </w:rPr>
                <w:t>, </w:t>
              </w:r>
              <w:r w:rsidRPr="001F64E8">
                <w:rPr>
                  <w:i/>
                  <w:iCs/>
                  <w:shd w:val="clear" w:color="auto" w:fill="FFFFFF"/>
                  <w:lang w:val="en-AU"/>
                </w:rPr>
                <w:t>40</w:t>
              </w:r>
              <w:r w:rsidRPr="001F64E8">
                <w:rPr>
                  <w:shd w:val="clear" w:color="auto" w:fill="FFFFFF"/>
                  <w:lang w:val="en-AU"/>
                </w:rPr>
                <w:t>(4), 450-455. https://doi.org/10.1097/00004583-200104000-00014</w:t>
              </w:r>
            </w:p>
            <w:p w14:paraId="5BEADBA0"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Gioia, G. A., Isquith, P. K., Guy, S. C., &amp; Kenworthy, L. (2013). </w:t>
              </w:r>
              <w:r w:rsidRPr="001F64E8">
                <w:rPr>
                  <w:i/>
                  <w:shd w:val="clear" w:color="auto" w:fill="FFFFFF"/>
                </w:rPr>
                <w:t>BRIEF – Behavior Rating Inventory of executive function</w:t>
              </w:r>
              <w:r w:rsidRPr="001F64E8">
                <w:rPr>
                  <w:shd w:val="clear" w:color="auto" w:fill="FFFFFF"/>
                </w:rPr>
                <w:t xml:space="preserve">. PAR. </w:t>
              </w:r>
            </w:p>
            <w:p w14:paraId="5BF86BCE"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Goodman, R. (1997). The strengths and difficulties questionnaire: A research note. </w:t>
              </w:r>
              <w:r w:rsidRPr="001F64E8">
                <w:rPr>
                  <w:i/>
                  <w:shd w:val="clear" w:color="auto" w:fill="FFFFFF"/>
                </w:rPr>
                <w:t>Journal of Child Psychology and Psychiatry</w:t>
              </w:r>
              <w:r w:rsidRPr="001F64E8">
                <w:rPr>
                  <w:shd w:val="clear" w:color="auto" w:fill="FFFFFF"/>
                </w:rPr>
                <w:t xml:space="preserve">, </w:t>
              </w:r>
              <w:r w:rsidRPr="001F64E8">
                <w:rPr>
                  <w:i/>
                  <w:shd w:val="clear" w:color="auto" w:fill="FFFFFF"/>
                </w:rPr>
                <w:t>38</w:t>
              </w:r>
              <w:r w:rsidRPr="001F64E8">
                <w:rPr>
                  <w:shd w:val="clear" w:color="auto" w:fill="FFFFFF"/>
                </w:rPr>
                <w:t xml:space="preserve">(5), 581-586. </w:t>
              </w:r>
              <w:r w:rsidRPr="001F64E8">
                <w:rPr>
                  <w:bCs/>
                  <w:shd w:val="clear" w:color="auto" w:fill="FFFFFF"/>
                  <w:lang w:val="en-AU"/>
                </w:rPr>
                <w:t>https://doi.org/10.1111/j.1469-7610.1997.tb01545.x</w:t>
              </w:r>
            </w:p>
            <w:p w14:paraId="644CA024"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Goodman, R. (2001). Psychometric properties of the strengths and difficulties questionnaire. </w:t>
              </w:r>
              <w:r w:rsidRPr="001F64E8">
                <w:rPr>
                  <w:i/>
                  <w:iCs/>
                  <w:shd w:val="clear" w:color="auto" w:fill="FFFFFF"/>
                  <w:lang w:val="en-AU"/>
                </w:rPr>
                <w:t>Journal of the American Academy of Child &amp; Adolescent Psychiatry</w:t>
              </w:r>
              <w:r w:rsidRPr="001F64E8">
                <w:rPr>
                  <w:shd w:val="clear" w:color="auto" w:fill="FFFFFF"/>
                  <w:lang w:val="en-AU"/>
                </w:rPr>
                <w:t>, </w:t>
              </w:r>
              <w:r w:rsidRPr="001F64E8">
                <w:rPr>
                  <w:i/>
                  <w:iCs/>
                  <w:shd w:val="clear" w:color="auto" w:fill="FFFFFF"/>
                  <w:lang w:val="en-AU"/>
                </w:rPr>
                <w:t>40</w:t>
              </w:r>
              <w:r w:rsidRPr="001F64E8">
                <w:rPr>
                  <w:shd w:val="clear" w:color="auto" w:fill="FFFFFF"/>
                  <w:lang w:val="en-AU"/>
                </w:rPr>
                <w:t>(11), 1337-1345. https://doi.org/10.1097/00004583-200111000-00015</w:t>
              </w:r>
            </w:p>
            <w:p w14:paraId="6AA86AE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Gordon, H. A., Rucklidge, J. J., Blampied, N. M., &amp; Johnstone, J. M. (2015). Clinically significant symptom reduction in children with attention-deficit/hyperactivity disorder treated with micronutrients: An open-label reversal design study. </w:t>
              </w:r>
              <w:r w:rsidRPr="001F64E8">
                <w:rPr>
                  <w:i/>
                  <w:shd w:val="clear" w:color="auto" w:fill="FFFFFF"/>
                </w:rPr>
                <w:t>Journal of Child and Adolescent Psychopharmacology</w:t>
              </w:r>
              <w:r w:rsidRPr="001F64E8">
                <w:rPr>
                  <w:shd w:val="clear" w:color="auto" w:fill="FFFFFF"/>
                </w:rPr>
                <w:t xml:space="preserve">, </w:t>
              </w:r>
              <w:r w:rsidRPr="001F64E8">
                <w:rPr>
                  <w:i/>
                  <w:shd w:val="clear" w:color="auto" w:fill="FFFFFF"/>
                </w:rPr>
                <w:t>25</w:t>
              </w:r>
              <w:r w:rsidRPr="001F64E8">
                <w:rPr>
                  <w:shd w:val="clear" w:color="auto" w:fill="FFFFFF"/>
                </w:rPr>
                <w:t xml:space="preserve">(10), 783-798. </w:t>
              </w:r>
              <w:r w:rsidRPr="001F64E8">
                <w:rPr>
                  <w:shd w:val="clear" w:color="auto" w:fill="FFFFFF"/>
                  <w:lang w:val="en-AU"/>
                </w:rPr>
                <w:t>https://doi.org/10.1089/cap.2015.0105</w:t>
              </w:r>
            </w:p>
            <w:p w14:paraId="5A1A1A59" w14:textId="77777777" w:rsidR="00D36D3B" w:rsidRPr="001F64E8" w:rsidRDefault="00D36D3B" w:rsidP="00D36D3B">
              <w:pPr>
                <w:pStyle w:val="EndNoteBibliography"/>
                <w:ind w:left="720" w:hanging="720"/>
                <w:rPr>
                  <w:shd w:val="clear" w:color="auto" w:fill="FFFFFF"/>
                  <w:lang w:val="en-AU"/>
                </w:rPr>
              </w:pPr>
              <w:r w:rsidRPr="001F64E8">
                <w:rPr>
                  <w:shd w:val="clear" w:color="auto" w:fill="FFFFFF"/>
                  <w:lang w:val="en-AU"/>
                </w:rPr>
                <w:t>Guy, W. (1976). </w:t>
              </w:r>
              <w:r w:rsidRPr="001F64E8">
                <w:rPr>
                  <w:i/>
                  <w:iCs/>
                  <w:shd w:val="clear" w:color="auto" w:fill="FFFFFF"/>
                  <w:lang w:val="en-AU"/>
                </w:rPr>
                <w:t>ECDEU assessment manual for psychopharmacology</w:t>
              </w:r>
              <w:r w:rsidRPr="001F64E8">
                <w:rPr>
                  <w:shd w:val="clear" w:color="auto" w:fill="FFFFFF"/>
                  <w:lang w:val="en-AU"/>
                </w:rPr>
                <w:t>. US Department of Health, Education, and Welfare. https://books.google.co.nz/books?hl=en&amp;lr=&amp;id=s81_xfFZV2EC&amp;oi=fnd&amp;pg=PA6&amp;dq=Guy+US+Department+of+Health,+Education+and+Welfare%3B+1976.+p.+534%E2%80%937.+++&amp;ots=-p6TvOiy6f&amp;sig=i2by9lqPEzFoFrgGaFkip_fbiPU&amp;redir_esc=y#v=onepage&amp;q&amp;f=false</w:t>
              </w:r>
            </w:p>
            <w:p w14:paraId="3671C0E4"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Haller, S. P., Kircanski, K., Stringaris, A., Clayton, M., Bui, H., Agorsor, C., Cardenas, S. I., Towbin, K. E., Pine, D. S., &amp; Leibenluft, E. (2020). The clinician affective reactivity index: Validity and reliability of a clinician-rated assessment of irritability. </w:t>
              </w:r>
              <w:r w:rsidRPr="001F64E8">
                <w:rPr>
                  <w:i/>
                  <w:shd w:val="clear" w:color="auto" w:fill="FFFFFF"/>
                </w:rPr>
                <w:t>Behavior Therapy,</w:t>
              </w:r>
              <w:r w:rsidRPr="001F64E8">
                <w:rPr>
                  <w:shd w:val="clear" w:color="auto" w:fill="FFFFFF"/>
                </w:rPr>
                <w:t xml:space="preserve"> </w:t>
              </w:r>
              <w:r w:rsidRPr="001F64E8">
                <w:rPr>
                  <w:i/>
                  <w:shd w:val="clear" w:color="auto" w:fill="FFFFFF"/>
                </w:rPr>
                <w:t>51</w:t>
              </w:r>
              <w:r w:rsidRPr="001F64E8">
                <w:rPr>
                  <w:shd w:val="clear" w:color="auto" w:fill="FFFFFF"/>
                </w:rPr>
                <w:t xml:space="preserve">(2), 283-293. </w:t>
              </w:r>
              <w:r w:rsidRPr="001F64E8">
                <w:rPr>
                  <w:shd w:val="clear" w:color="auto" w:fill="FFFFFF"/>
                  <w:lang w:val="en-AU"/>
                </w:rPr>
                <w:t>https://doi.org/10.1016/j.beth.2019.10.005</w:t>
              </w:r>
            </w:p>
            <w:p w14:paraId="4501CEA2"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Hersen, M. &amp; Barlow, D. (1976). </w:t>
              </w:r>
              <w:r w:rsidRPr="001F64E8">
                <w:rPr>
                  <w:i/>
                  <w:shd w:val="clear" w:color="auto" w:fill="FFFFFF"/>
                </w:rPr>
                <w:t>Single-case experimental designs: Strategies for studying behaviour change</w:t>
              </w:r>
              <w:r w:rsidRPr="001F64E8">
                <w:rPr>
                  <w:shd w:val="clear" w:color="auto" w:fill="FFFFFF"/>
                </w:rPr>
                <w:t>. Pergamon Press.</w:t>
              </w:r>
            </w:p>
            <w:p w14:paraId="7160F49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Hourigan, P., Clarke, A., Whitehouse, S. L., &amp; Challinor, H. M. (2014). Measure your own medical outcome profile (MYMOP): Validation of a patient generated outcome questionnaire by comparison to the Roland Morris disability questionnaire (RMDQ). </w:t>
              </w:r>
              <w:r w:rsidRPr="001F64E8">
                <w:rPr>
                  <w:i/>
                  <w:shd w:val="clear" w:color="auto" w:fill="FFFFFF"/>
                </w:rPr>
                <w:t>The Spine Journal,</w:t>
              </w:r>
              <w:r w:rsidRPr="001F64E8">
                <w:rPr>
                  <w:shd w:val="clear" w:color="auto" w:fill="FFFFFF"/>
                </w:rPr>
                <w:t xml:space="preserve"> </w:t>
              </w:r>
              <w:r w:rsidRPr="001F64E8">
                <w:rPr>
                  <w:i/>
                  <w:shd w:val="clear" w:color="auto" w:fill="FFFFFF"/>
                </w:rPr>
                <w:t>14</w:t>
              </w:r>
              <w:r w:rsidRPr="001F64E8">
                <w:rPr>
                  <w:shd w:val="clear" w:color="auto" w:fill="FFFFFF"/>
                </w:rPr>
                <w:t xml:space="preserve">(11), </w:t>
              </w:r>
              <w:r w:rsidRPr="001F64E8">
                <w:t>1S–183S</w:t>
              </w:r>
              <w:r w:rsidRPr="001F64E8">
                <w:rPr>
                  <w:shd w:val="clear" w:color="auto" w:fill="FFFFFF"/>
                </w:rPr>
                <w:t xml:space="preserve">. </w:t>
              </w:r>
              <w:r w:rsidRPr="001F64E8">
                <w:rPr>
                  <w:shd w:val="clear" w:color="auto" w:fill="FFFFFF"/>
                  <w:lang w:val="en-AU"/>
                </w:rPr>
                <w:t>https://doi.org/10.1016/j.spinee.2014.08.136</w:t>
              </w:r>
            </w:p>
            <w:p w14:paraId="2F94399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Huang, C. J., Webb, H. E., Zourdos, M. C., &amp; Acevedo, E. O. (2013). Cardiovascular reactivity, stress, and physical activity. </w:t>
              </w:r>
              <w:r w:rsidRPr="001F64E8">
                <w:rPr>
                  <w:i/>
                  <w:shd w:val="clear" w:color="auto" w:fill="FFFFFF"/>
                </w:rPr>
                <w:t>Frontiers in Physiology</w:t>
              </w:r>
              <w:r w:rsidRPr="001F64E8">
                <w:rPr>
                  <w:shd w:val="clear" w:color="auto" w:fill="FFFFFF"/>
                </w:rPr>
                <w:t xml:space="preserve">, </w:t>
              </w:r>
              <w:r w:rsidRPr="001F64E8">
                <w:rPr>
                  <w:i/>
                  <w:shd w:val="clear" w:color="auto" w:fill="FFFFFF"/>
                </w:rPr>
                <w:t>4</w:t>
              </w:r>
              <w:r w:rsidRPr="001F64E8">
                <w:rPr>
                  <w:shd w:val="clear" w:color="auto" w:fill="FFFFFF"/>
                </w:rPr>
                <w:t xml:space="preserve">(314), 1-13. </w:t>
              </w:r>
              <w:r w:rsidRPr="001F64E8">
                <w:rPr>
                  <w:shd w:val="clear" w:color="auto" w:fill="FFFFFF"/>
                  <w:lang w:val="en-AU"/>
                </w:rPr>
                <w:t>https://doi.org/10.3389/fphys.2013.00314</w:t>
              </w:r>
            </w:p>
            <w:p w14:paraId="6472560E"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Jacka, F. N., O’Neil, A., Opie, R., Itsiopoulos, C., Cotton, S., Mohebbi, M., Castle, D., Dash, S., Chatteron, M. L., Brazionis, L., Dean, O., hodge, A. M. &amp; Berk, M. (2017). A randomised controlled trial of dietary improvement for adults with major depression (the ‘SMILES’trial). </w:t>
              </w:r>
              <w:r w:rsidRPr="001F64E8">
                <w:rPr>
                  <w:i/>
                  <w:iCs/>
                  <w:shd w:val="clear" w:color="auto" w:fill="FFFFFF"/>
                  <w:lang w:val="en-AU"/>
                </w:rPr>
                <w:t>BMC medicine</w:t>
              </w:r>
              <w:r w:rsidRPr="001F64E8">
                <w:rPr>
                  <w:shd w:val="clear" w:color="auto" w:fill="FFFFFF"/>
                  <w:lang w:val="en-AU"/>
                </w:rPr>
                <w:t>, </w:t>
              </w:r>
              <w:r w:rsidRPr="001F64E8">
                <w:rPr>
                  <w:i/>
                  <w:iCs/>
                  <w:shd w:val="clear" w:color="auto" w:fill="FFFFFF"/>
                  <w:lang w:val="en-AU"/>
                </w:rPr>
                <w:t>15</w:t>
              </w:r>
              <w:r w:rsidRPr="001F64E8">
                <w:rPr>
                  <w:shd w:val="clear" w:color="auto" w:fill="FFFFFF"/>
                  <w:lang w:val="en-AU"/>
                </w:rPr>
                <w:t>(1), 1-13. https://doi.org/</w:t>
              </w:r>
              <w:r w:rsidRPr="001F64E8">
                <w:t>10.1186/s12916-017-0791-y</w:t>
              </w:r>
            </w:p>
            <w:p w14:paraId="115C4F20" w14:textId="77777777" w:rsidR="00D36D3B" w:rsidRPr="001F64E8" w:rsidRDefault="00D36D3B" w:rsidP="00D36D3B">
              <w:pPr>
                <w:pStyle w:val="EndNoteBibliography"/>
                <w:ind w:left="720" w:hanging="720"/>
                <w:rPr>
                  <w:shd w:val="clear" w:color="auto" w:fill="FFFFFF"/>
                </w:rPr>
              </w:pPr>
              <w:r w:rsidRPr="001F64E8">
                <w:rPr>
                  <w:shd w:val="clear" w:color="auto" w:fill="FFFFFF"/>
                </w:rPr>
                <w:t>Kadouri, A., Corruble, E., &amp; Falissard, B. (2007). Improved Clinical Global Impression Scale</w:t>
              </w:r>
              <w:r w:rsidRPr="001F64E8">
                <w:rPr>
                  <w:i/>
                  <w:shd w:val="clear" w:color="auto" w:fill="FFFFFF"/>
                </w:rPr>
                <w:t xml:space="preserve"> </w:t>
              </w:r>
              <w:r w:rsidRPr="001F64E8">
                <w:rPr>
                  <w:shd w:val="clear" w:color="auto" w:fill="FFFFFF"/>
                </w:rPr>
                <w:t xml:space="preserve">[Database record]. </w:t>
              </w:r>
              <w:r w:rsidRPr="001F64E8">
                <w:rPr>
                  <w:i/>
                  <w:shd w:val="clear" w:color="auto" w:fill="FFFFFF"/>
                </w:rPr>
                <w:t>APA PsycTests.</w:t>
              </w:r>
              <w:r w:rsidRPr="001F64E8">
                <w:rPr>
                  <w:shd w:val="clear" w:color="auto" w:fill="FFFFFF"/>
                </w:rPr>
                <w:t xml:space="preserve"> https://doi.org/10.1037/t68608-000</w:t>
              </w:r>
            </w:p>
            <w:p w14:paraId="1D5431A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Kamphaus, R. W. (1987). Conceptual and psychometric issues in the assessment of adaptive behavior. </w:t>
              </w:r>
              <w:r w:rsidRPr="001F64E8">
                <w:rPr>
                  <w:i/>
                  <w:shd w:val="clear" w:color="auto" w:fill="FFFFFF"/>
                </w:rPr>
                <w:t>The Journal of Special Education</w:t>
              </w:r>
              <w:r w:rsidRPr="001F64E8">
                <w:rPr>
                  <w:shd w:val="clear" w:color="auto" w:fill="FFFFFF"/>
                </w:rPr>
                <w:t xml:space="preserve">, </w:t>
              </w:r>
              <w:r w:rsidRPr="001F64E8">
                <w:rPr>
                  <w:i/>
                  <w:shd w:val="clear" w:color="auto" w:fill="FFFFFF"/>
                </w:rPr>
                <w:t>21</w:t>
              </w:r>
              <w:r w:rsidRPr="001F64E8">
                <w:rPr>
                  <w:shd w:val="clear" w:color="auto" w:fill="FFFFFF"/>
                </w:rPr>
                <w:t xml:space="preserve">(1), 27-35. </w:t>
              </w:r>
              <w:r w:rsidRPr="001F64E8">
                <w:rPr>
                  <w:shd w:val="clear" w:color="auto" w:fill="FFFFFF"/>
                  <w:lang w:val="en-AU"/>
                </w:rPr>
                <w:t>https://doi.org/10.1177/002246698702100107</w:t>
              </w:r>
            </w:p>
            <w:p w14:paraId="4201A1E5" w14:textId="77777777" w:rsidR="00D36D3B" w:rsidRPr="001F64E8" w:rsidRDefault="00D36D3B" w:rsidP="00D36D3B">
              <w:pPr>
                <w:pStyle w:val="EndNoteBibliography"/>
                <w:ind w:left="720" w:hanging="720"/>
                <w:rPr>
                  <w:shd w:val="clear" w:color="auto" w:fill="FFFFFF"/>
                </w:rPr>
              </w:pPr>
              <w:r w:rsidRPr="001F64E8">
                <w:t xml:space="preserve">Kazdin AE. 2010. Problem-solving skills training and parent management training for oppositional defiant disorder and conduct disorder. In J. Weisz &amp; A. Kazdin (Eds.), </w:t>
              </w:r>
              <w:r w:rsidRPr="001F64E8">
                <w:rPr>
                  <w:i/>
                </w:rPr>
                <w:t>Evidence-based psychotherapies for children and adolescents</w:t>
              </w:r>
              <w:r w:rsidRPr="001F64E8">
                <w:t xml:space="preserve"> (2nd ed.) (pp. 211–26). Guilford Press. </w:t>
              </w:r>
              <w:r w:rsidRPr="001F64E8">
                <w:rPr>
                  <w:shd w:val="clear" w:color="auto" w:fill="FFFFFF"/>
                </w:rPr>
                <w:t xml:space="preserve">Kessler, R. C., Adler, L., Barkley, R., Biederman, J., Conners, C. K., Demler, O., Faraone, S. V., Greenhill, L. L., Howes, M. J., &amp; Secnik, K. (2006). The prevalence and correlates of adult ADHD in the United States: Results from the national comorbidity survey replication. </w:t>
              </w:r>
              <w:r w:rsidRPr="001F64E8">
                <w:rPr>
                  <w:i/>
                  <w:shd w:val="clear" w:color="auto" w:fill="FFFFFF"/>
                </w:rPr>
                <w:t>American Journal of Psychiatry</w:t>
              </w:r>
              <w:r w:rsidRPr="001F64E8">
                <w:rPr>
                  <w:shd w:val="clear" w:color="auto" w:fill="FFFFFF"/>
                </w:rPr>
                <w:t xml:space="preserve">, </w:t>
              </w:r>
              <w:r w:rsidRPr="001F64E8">
                <w:rPr>
                  <w:i/>
                  <w:shd w:val="clear" w:color="auto" w:fill="FFFFFF"/>
                </w:rPr>
                <w:t>163</w:t>
              </w:r>
              <w:r w:rsidRPr="001F64E8">
                <w:rPr>
                  <w:shd w:val="clear" w:color="auto" w:fill="FFFFFF"/>
                </w:rPr>
                <w:t xml:space="preserve">(4), 716-723. </w:t>
              </w:r>
              <w:r w:rsidRPr="001F64E8">
                <w:rPr>
                  <w:shd w:val="clear" w:color="auto" w:fill="FFFFFF"/>
                  <w:lang w:val="en-AU"/>
                </w:rPr>
                <w:t>https://ajp.psychiatryonline.org/doi/pdf/10.1176/ajp.2006.163.4.716</w:t>
              </w:r>
            </w:p>
            <w:p w14:paraId="53AC99F1" w14:textId="77777777" w:rsidR="00D36D3B" w:rsidRPr="001F64E8" w:rsidRDefault="00D36D3B" w:rsidP="00D36D3B">
              <w:pPr>
                <w:pStyle w:val="EndNoteBibliography"/>
                <w:ind w:left="720" w:hanging="720"/>
                <w:rPr>
                  <w:shd w:val="clear" w:color="auto" w:fill="FFFFFF"/>
                </w:rPr>
              </w:pPr>
              <w:r w:rsidRPr="001F64E8">
                <w:rPr>
                  <w:shd w:val="clear" w:color="auto" w:fill="FFFFFF"/>
                </w:rPr>
                <w:lastRenderedPageBreak/>
                <w:t xml:space="preserve">Kopp, C. B. (1982). Antecedents of self-regulation: A developmental perspective. </w:t>
              </w:r>
              <w:r w:rsidRPr="001F64E8">
                <w:rPr>
                  <w:i/>
                  <w:shd w:val="clear" w:color="auto" w:fill="FFFFFF"/>
                </w:rPr>
                <w:t>Developmental Psychology</w:t>
              </w:r>
              <w:r w:rsidRPr="001F64E8">
                <w:rPr>
                  <w:shd w:val="clear" w:color="auto" w:fill="FFFFFF"/>
                </w:rPr>
                <w:t xml:space="preserve">, </w:t>
              </w:r>
              <w:r w:rsidRPr="001F64E8">
                <w:rPr>
                  <w:i/>
                  <w:shd w:val="clear" w:color="auto" w:fill="FFFFFF"/>
                </w:rPr>
                <w:t>18</w:t>
              </w:r>
              <w:r w:rsidRPr="001F64E8">
                <w:rPr>
                  <w:shd w:val="clear" w:color="auto" w:fill="FFFFFF"/>
                </w:rPr>
                <w:t xml:space="preserve">(2), 199-214. </w:t>
              </w:r>
              <w:r w:rsidRPr="001F64E8">
                <w:rPr>
                  <w:shd w:val="clear" w:color="auto" w:fill="FFFFFF"/>
                  <w:lang w:val="en-AU"/>
                </w:rPr>
                <w:t>https://doi.org/10.1037/0012-1649.18.2.199</w:t>
              </w:r>
            </w:p>
            <w:p w14:paraId="1F9AA4E5" w14:textId="77777777" w:rsidR="00D36D3B" w:rsidRPr="001F64E8" w:rsidRDefault="00D36D3B" w:rsidP="00D36D3B">
              <w:pPr>
                <w:ind w:left="720" w:hanging="720"/>
                <w:rPr>
                  <w:szCs w:val="20"/>
                  <w:shd w:val="clear" w:color="auto" w:fill="FFFFFF"/>
                  <w:lang w:val="de-DE" w:eastAsia="de-DE"/>
                </w:rPr>
              </w:pPr>
              <w:r w:rsidRPr="001F64E8">
                <w:rPr>
                  <w:szCs w:val="20"/>
                  <w:shd w:val="clear" w:color="auto" w:fill="FFFFFF"/>
                  <w:lang w:val="de-DE" w:eastAsia="de-DE"/>
                </w:rPr>
                <w:t>Lakens, D. (2013). Calculating and reporting effect sizes to facilitate cumulative science: A practical primer for t-tests and ANOVAs. </w:t>
              </w:r>
              <w:r w:rsidRPr="001F64E8">
                <w:rPr>
                  <w:i/>
                  <w:iCs/>
                  <w:szCs w:val="20"/>
                  <w:shd w:val="clear" w:color="auto" w:fill="FFFFFF"/>
                  <w:lang w:val="de-DE" w:eastAsia="de-DE"/>
                </w:rPr>
                <w:t>Frontiers in Psychology</w:t>
              </w:r>
              <w:r w:rsidRPr="001F64E8">
                <w:rPr>
                  <w:szCs w:val="20"/>
                  <w:shd w:val="clear" w:color="auto" w:fill="FFFFFF"/>
                  <w:lang w:val="de-DE" w:eastAsia="de-DE"/>
                </w:rPr>
                <w:t>, </w:t>
              </w:r>
              <w:r w:rsidRPr="001F64E8">
                <w:rPr>
                  <w:i/>
                  <w:iCs/>
                  <w:szCs w:val="20"/>
                  <w:shd w:val="clear" w:color="auto" w:fill="FFFFFF"/>
                  <w:lang w:val="de-DE" w:eastAsia="de-DE"/>
                </w:rPr>
                <w:t>4</w:t>
              </w:r>
              <w:r w:rsidRPr="001F64E8">
                <w:rPr>
                  <w:szCs w:val="20"/>
                  <w:shd w:val="clear" w:color="auto" w:fill="FFFFFF"/>
                  <w:lang w:val="de-DE" w:eastAsia="de-DE"/>
                </w:rPr>
                <w:t>, 863. http://doi.org/</w:t>
              </w:r>
              <w:r w:rsidRPr="001F64E8">
                <w:rPr>
                  <w:rFonts w:ascii="Times Roman" w:hAnsi="Times Roman" w:cs="Times Roman"/>
                  <w:sz w:val="18"/>
                  <w:szCs w:val="18"/>
                  <w:lang w:val="de-DE" w:eastAsia="de-DE"/>
                </w:rPr>
                <w:t xml:space="preserve"> </w:t>
              </w:r>
              <w:r w:rsidRPr="001F64E8">
                <w:rPr>
                  <w:szCs w:val="20"/>
                  <w:shd w:val="clear" w:color="auto" w:fill="FFFFFF"/>
                  <w:lang w:val="de-DE" w:eastAsia="de-DE"/>
                </w:rPr>
                <w:t xml:space="preserve">10.3389/fpsyg.2013.00863 </w:t>
              </w:r>
            </w:p>
            <w:p w14:paraId="0AB49FB7"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Mertz, W. (1994). A balanced approach to nutrition for health: The need for biologically essential minerals and vitamins. </w:t>
              </w:r>
              <w:r w:rsidRPr="001F64E8">
                <w:rPr>
                  <w:i/>
                  <w:iCs/>
                  <w:shd w:val="clear" w:color="auto" w:fill="FFFFFF"/>
                  <w:lang w:val="en-AU"/>
                </w:rPr>
                <w:t>Journal of the American Dietetic Association</w:t>
              </w:r>
              <w:r w:rsidRPr="001F64E8">
                <w:rPr>
                  <w:shd w:val="clear" w:color="auto" w:fill="FFFFFF"/>
                  <w:lang w:val="en-AU"/>
                </w:rPr>
                <w:t>, </w:t>
              </w:r>
              <w:r w:rsidRPr="001F64E8">
                <w:rPr>
                  <w:i/>
                  <w:iCs/>
                  <w:shd w:val="clear" w:color="auto" w:fill="FFFFFF"/>
                  <w:lang w:val="en-AU"/>
                </w:rPr>
                <w:t>94</w:t>
              </w:r>
              <w:r w:rsidRPr="001F64E8">
                <w:rPr>
                  <w:shd w:val="clear" w:color="auto" w:fill="FFFFFF"/>
                  <w:lang w:val="en-AU"/>
                </w:rPr>
                <w:t>(11), 1259-1262. https://doi.org/10.1016/0002-8223(94)92456-2</w:t>
              </w:r>
            </w:p>
            <w:p w14:paraId="4E5FDDA3" w14:textId="77777777" w:rsidR="00D36D3B" w:rsidRPr="001F64E8" w:rsidRDefault="00D36D3B" w:rsidP="00D36D3B">
              <w:pPr>
                <w:ind w:left="720" w:hanging="720"/>
                <w:rPr>
                  <w:noProof/>
                  <w:shd w:val="clear" w:color="auto" w:fill="FFFFFF"/>
                  <w:lang w:val="de-DE"/>
                </w:rPr>
              </w:pPr>
              <w:r w:rsidRPr="001F64E8">
                <w:rPr>
                  <w:noProof/>
                  <w:shd w:val="clear" w:color="auto" w:fill="FFFFFF"/>
                </w:rPr>
                <w:t>Mick, E., Spencer, T., Wozniak, J., &amp; Biederman, J. (2005). Heterogeneity of irritability in attention-deficit/hyperactivity disorder subjects with and without mood disorders. </w:t>
              </w:r>
              <w:r w:rsidRPr="001F64E8">
                <w:rPr>
                  <w:i/>
                  <w:iCs/>
                  <w:noProof/>
                  <w:shd w:val="clear" w:color="auto" w:fill="FFFFFF"/>
                </w:rPr>
                <w:t>Biological Psychiatry</w:t>
              </w:r>
              <w:r w:rsidRPr="001F64E8">
                <w:rPr>
                  <w:noProof/>
                  <w:shd w:val="clear" w:color="auto" w:fill="FFFFFF"/>
                </w:rPr>
                <w:t>, </w:t>
              </w:r>
              <w:r w:rsidRPr="001F64E8">
                <w:rPr>
                  <w:i/>
                  <w:iCs/>
                  <w:noProof/>
                  <w:shd w:val="clear" w:color="auto" w:fill="FFFFFF"/>
                </w:rPr>
                <w:t>58</w:t>
              </w:r>
              <w:r w:rsidRPr="001F64E8">
                <w:rPr>
                  <w:noProof/>
                  <w:shd w:val="clear" w:color="auto" w:fill="FFFFFF"/>
                </w:rPr>
                <w:t>(7), 576-582. https://doi.org/10.1016/j.biopsych.2005.05.037</w:t>
              </w:r>
            </w:p>
            <w:p w14:paraId="4EC68BDB" w14:textId="77777777" w:rsidR="00D36D3B" w:rsidRPr="001F64E8" w:rsidRDefault="00D36D3B" w:rsidP="00D36D3B">
              <w:pPr>
                <w:ind w:left="720" w:hanging="720"/>
                <w:rPr>
                  <w:sz w:val="20"/>
                  <w:szCs w:val="20"/>
                  <w:lang w:val="de-DE" w:eastAsia="de-DE"/>
                </w:rPr>
              </w:pPr>
              <w:r w:rsidRPr="001F64E8">
                <w:rPr>
                  <w:noProof/>
                  <w:shd w:val="clear" w:color="auto" w:fill="FFFFFF"/>
                  <w:lang w:val="de-DE"/>
                </w:rPr>
                <w:t>Miller, B. F., Petterson, S., Burke, B. T., Phillips Jr, R. L., &amp; Green, L. A. (</w:t>
              </w:r>
              <w:r w:rsidRPr="001F64E8">
                <w:rPr>
                  <w:shd w:val="clear" w:color="auto" w:fill="FFFFFF"/>
                  <w:lang w:val="de-DE"/>
                </w:rPr>
                <w:t>2014). Proximity of providers: C</w:t>
              </w:r>
              <w:r w:rsidRPr="001F64E8">
                <w:rPr>
                  <w:noProof/>
                  <w:shd w:val="clear" w:color="auto" w:fill="FFFFFF"/>
                  <w:lang w:val="de-DE"/>
                </w:rPr>
                <w:t>olocating behavioral health and primary care and the prospects for an integrated workforce. </w:t>
              </w:r>
              <w:r w:rsidRPr="001F64E8">
                <w:rPr>
                  <w:i/>
                  <w:iCs/>
                  <w:noProof/>
                  <w:shd w:val="clear" w:color="auto" w:fill="FFFFFF"/>
                  <w:lang w:val="de-DE"/>
                </w:rPr>
                <w:t>American Psychologist</w:t>
              </w:r>
              <w:r w:rsidRPr="001F64E8">
                <w:rPr>
                  <w:noProof/>
                  <w:shd w:val="clear" w:color="auto" w:fill="FFFFFF"/>
                  <w:lang w:val="de-DE"/>
                </w:rPr>
                <w:t>, </w:t>
              </w:r>
              <w:r w:rsidRPr="001F64E8">
                <w:rPr>
                  <w:i/>
                  <w:iCs/>
                  <w:noProof/>
                  <w:shd w:val="clear" w:color="auto" w:fill="FFFFFF"/>
                  <w:lang w:val="de-DE"/>
                </w:rPr>
                <w:t>69</w:t>
              </w:r>
              <w:r w:rsidRPr="001F64E8">
                <w:rPr>
                  <w:noProof/>
                  <w:shd w:val="clear" w:color="auto" w:fill="FFFFFF"/>
                  <w:lang w:val="de-DE"/>
                </w:rPr>
                <w:t>(4), 443.</w:t>
              </w:r>
              <w:r w:rsidRPr="001F64E8">
                <w:rPr>
                  <w:shd w:val="clear" w:color="auto" w:fill="FFFFFF"/>
                  <w:lang w:val="de-DE"/>
                </w:rPr>
                <w:t xml:space="preserve"> http://doi.org/</w:t>
              </w:r>
              <w:r w:rsidRPr="001F64E8">
                <w:t>1</w:t>
              </w:r>
              <w:r w:rsidRPr="001F64E8">
                <w:rPr>
                  <w:lang w:val="de-DE" w:eastAsia="de-DE"/>
                </w:rPr>
                <w:t>0.1037/a0036093</w:t>
              </w:r>
            </w:p>
            <w:p w14:paraId="31F04200"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Moffitt, T. E., Arseneault, L., Belsky, D., Dickson, N., Hancox, R. J., Harrington, H., Houts, R., Poulton, R., Roberts, B. W., Ross, S., Sears, M., Thomson, W. M. &amp; Caspi, A. (2011). A gradient of childhood self-control predicts health, wealth, and public safety. </w:t>
              </w:r>
              <w:r w:rsidRPr="001F64E8">
                <w:rPr>
                  <w:i/>
                  <w:iCs/>
                  <w:shd w:val="clear" w:color="auto" w:fill="FFFFFF"/>
                  <w:lang w:val="en-AU"/>
                </w:rPr>
                <w:t>Proceedings of the National Academy of Sciences</w:t>
              </w:r>
              <w:r w:rsidRPr="001F64E8">
                <w:rPr>
                  <w:shd w:val="clear" w:color="auto" w:fill="FFFFFF"/>
                  <w:lang w:val="en-AU"/>
                </w:rPr>
                <w:t>, </w:t>
              </w:r>
              <w:r w:rsidRPr="001F64E8">
                <w:rPr>
                  <w:i/>
                  <w:iCs/>
                  <w:shd w:val="clear" w:color="auto" w:fill="FFFFFF"/>
                  <w:lang w:val="en-AU"/>
                </w:rPr>
                <w:t>108</w:t>
              </w:r>
              <w:r w:rsidRPr="001F64E8">
                <w:rPr>
                  <w:shd w:val="clear" w:color="auto" w:fill="FFFFFF"/>
                  <w:lang w:val="en-AU"/>
                </w:rPr>
                <w:t>(7), 2693-2698. https://doi.org/</w:t>
              </w:r>
              <w:r w:rsidRPr="001F64E8">
                <w:t>10.1073/pnas.1010076108</w:t>
              </w:r>
            </w:p>
            <w:p w14:paraId="6920D3FD"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Molina, B. S., Hinshaw, S. P., Swanson, J. M., Arnold, L. E., Vitiello, B., Jensen, P. S., Epstein, J. N., Hoza, B., Hechtman, L., &amp; Abikoff, H. B. (2009). The MTA at 8 years: Prospective follow-up of children treated for combined-type ADHD in a multisite study. </w:t>
              </w:r>
              <w:r w:rsidRPr="001F64E8">
                <w:rPr>
                  <w:i/>
                  <w:shd w:val="clear" w:color="auto" w:fill="FFFFFF"/>
                </w:rPr>
                <w:t>Journal of the American Academy of Child &amp; Adolescent Psychiatry</w:t>
              </w:r>
              <w:r w:rsidRPr="001F64E8">
                <w:rPr>
                  <w:shd w:val="clear" w:color="auto" w:fill="FFFFFF"/>
                </w:rPr>
                <w:t xml:space="preserve">, </w:t>
              </w:r>
              <w:r w:rsidRPr="001F64E8">
                <w:rPr>
                  <w:i/>
                  <w:shd w:val="clear" w:color="auto" w:fill="FFFFFF"/>
                </w:rPr>
                <w:t>48</w:t>
              </w:r>
              <w:r w:rsidRPr="001F64E8">
                <w:rPr>
                  <w:shd w:val="clear" w:color="auto" w:fill="FFFFFF"/>
                </w:rPr>
                <w:t xml:space="preserve">(5), 484-500. </w:t>
              </w:r>
              <w:r w:rsidRPr="001F64E8">
                <w:rPr>
                  <w:shd w:val="clear" w:color="auto" w:fill="FFFFFF"/>
                  <w:lang w:val="en-AU"/>
                </w:rPr>
                <w:t>https://doi.org/10.1097/CHI.0b013e31819c23d0</w:t>
              </w:r>
            </w:p>
            <w:p w14:paraId="2B717085"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Myers, S. B., Sweeney, A. C., Popick, V., Wesley, K., Bordfeld, A., &amp; Fingerhut, R. (2012). Self-care practices and perceived stress levels among psychology graduate students. </w:t>
              </w:r>
              <w:r w:rsidRPr="001F64E8">
                <w:rPr>
                  <w:i/>
                  <w:shd w:val="clear" w:color="auto" w:fill="FFFFFF"/>
                </w:rPr>
                <w:t>Training and Education in Professional Psychology</w:t>
              </w:r>
              <w:r w:rsidRPr="001F64E8">
                <w:rPr>
                  <w:shd w:val="clear" w:color="auto" w:fill="FFFFFF"/>
                </w:rPr>
                <w:t xml:space="preserve">, </w:t>
              </w:r>
              <w:r w:rsidRPr="001F64E8">
                <w:rPr>
                  <w:i/>
                  <w:shd w:val="clear" w:color="auto" w:fill="FFFFFF"/>
                </w:rPr>
                <w:t>6</w:t>
              </w:r>
              <w:r w:rsidRPr="001F64E8">
                <w:rPr>
                  <w:shd w:val="clear" w:color="auto" w:fill="FFFFFF"/>
                </w:rPr>
                <w:t xml:space="preserve">(1), 55-66. </w:t>
              </w:r>
              <w:r w:rsidRPr="001F64E8">
                <w:rPr>
                  <w:shd w:val="clear" w:color="auto" w:fill="FFFFFF"/>
                  <w:lang w:val="en-AU"/>
                </w:rPr>
                <w:t>https://doi.org/10.1037/a0026534</w:t>
              </w:r>
            </w:p>
            <w:p w14:paraId="39F66F77" w14:textId="77777777" w:rsidR="00D36D3B" w:rsidRPr="001F64E8" w:rsidRDefault="00D36D3B" w:rsidP="00D36D3B">
              <w:pPr>
                <w:pStyle w:val="EndNoteBibliography"/>
                <w:ind w:left="720" w:hanging="720"/>
                <w:rPr>
                  <w:shd w:val="clear" w:color="auto" w:fill="FFFFFF"/>
                  <w:lang w:val="en-AU"/>
                </w:rPr>
              </w:pPr>
              <w:r w:rsidRPr="001F64E8">
                <w:rPr>
                  <w:shd w:val="clear" w:color="auto" w:fill="FFFFFF"/>
                  <w:lang w:val="en-AU"/>
                </w:rPr>
                <w:t xml:space="preserve">Nutritional Institutes of Health (n.d.). </w:t>
              </w:r>
              <w:r w:rsidRPr="001F64E8">
                <w:rPr>
                  <w:i/>
                  <w:shd w:val="clear" w:color="auto" w:fill="FFFFFF"/>
                  <w:lang w:val="en-AU"/>
                </w:rPr>
                <w:t>Nutrient Recommendations: Dietary Reference Intakes (DRI).</w:t>
              </w:r>
              <w:r w:rsidRPr="001F64E8">
                <w:rPr>
                  <w:shd w:val="clear" w:color="auto" w:fill="FFFFFF"/>
                  <w:lang w:val="en-AU"/>
                </w:rPr>
                <w:t xml:space="preserve"> https://ods.od.nih.gov/HealthInformation/Dietary_Reference_Intakes.aspx</w:t>
              </w:r>
            </w:p>
            <w:p w14:paraId="3E1EF735"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Ochsner, K. N., Bunge, S. A., Gross, J. J., &amp; Gabrieli, J. D. (2002). Rethinking feelings: An FMRI study of the cognitive regulation of emotion. </w:t>
              </w:r>
              <w:r w:rsidRPr="001F64E8">
                <w:rPr>
                  <w:i/>
                  <w:shd w:val="clear" w:color="auto" w:fill="FFFFFF"/>
                </w:rPr>
                <w:t>Journal of Cognitive Neuroscience</w:t>
              </w:r>
              <w:r w:rsidRPr="001F64E8">
                <w:rPr>
                  <w:shd w:val="clear" w:color="auto" w:fill="FFFFFF"/>
                </w:rPr>
                <w:t xml:space="preserve">, </w:t>
              </w:r>
              <w:r w:rsidRPr="001F64E8">
                <w:rPr>
                  <w:i/>
                  <w:shd w:val="clear" w:color="auto" w:fill="FFFFFF"/>
                </w:rPr>
                <w:t>14</w:t>
              </w:r>
              <w:r w:rsidRPr="001F64E8">
                <w:rPr>
                  <w:shd w:val="clear" w:color="auto" w:fill="FFFFFF"/>
                </w:rPr>
                <w:t xml:space="preserve">(8), 1215-1229. </w:t>
              </w:r>
              <w:r w:rsidRPr="001F64E8">
                <w:rPr>
                  <w:bCs/>
                  <w:shd w:val="clear" w:color="auto" w:fill="FFFFFF"/>
                  <w:lang w:val="en-AU"/>
                </w:rPr>
                <w:t>https://doi.org/10.1162/089892902760807212</w:t>
              </w:r>
            </w:p>
            <w:p w14:paraId="44FE70F7" w14:textId="77777777" w:rsidR="00D36D3B" w:rsidRPr="001F64E8" w:rsidRDefault="00D36D3B" w:rsidP="00D36D3B">
              <w:pPr>
                <w:pStyle w:val="EndNoteBibliography"/>
                <w:ind w:left="720" w:hanging="720"/>
                <w:rPr>
                  <w:shd w:val="clear" w:color="auto" w:fill="FFFFFF"/>
                  <w:lang w:val="en-AU"/>
                </w:rPr>
              </w:pPr>
              <w:r w:rsidRPr="001F64E8">
                <w:rPr>
                  <w:shd w:val="clear" w:color="auto" w:fill="FFFFFF"/>
                  <w:lang w:val="en-AU"/>
                </w:rPr>
                <w:t>Owens, J. A., Spirito, A., &amp; McGuinn, M. (2000). The Children's Sleep Habits Questionnaire (CSHQ): Psychometric properties of a survey instrument for school-aged children. </w:t>
              </w:r>
              <w:r w:rsidRPr="001F64E8">
                <w:rPr>
                  <w:i/>
                  <w:iCs/>
                  <w:shd w:val="clear" w:color="auto" w:fill="FFFFFF"/>
                  <w:lang w:val="en-AU"/>
                </w:rPr>
                <w:t>Sleep-New York-</w:t>
              </w:r>
              <w:r w:rsidRPr="001F64E8">
                <w:rPr>
                  <w:shd w:val="clear" w:color="auto" w:fill="FFFFFF"/>
                  <w:lang w:val="en-AU"/>
                </w:rPr>
                <w:t>, </w:t>
              </w:r>
              <w:r w:rsidRPr="001F64E8">
                <w:rPr>
                  <w:i/>
                  <w:iCs/>
                  <w:shd w:val="clear" w:color="auto" w:fill="FFFFFF"/>
                  <w:lang w:val="en-AU"/>
                </w:rPr>
                <w:t>23</w:t>
              </w:r>
              <w:r w:rsidRPr="001F64E8">
                <w:rPr>
                  <w:shd w:val="clear" w:color="auto" w:fill="FFFFFF"/>
                  <w:lang w:val="en-AU"/>
                </w:rPr>
                <w:t>(8), 1043-1052. https://www.researchgate.net/profile/Anthony-Spirito/publication/12184585_The_Children%27s_Sleep_Habits_Questionnaire_CSHQ_Psychometric_properties_of_a_survey_instrument_for_school-aged_Children/links/541ffb3b0cf2218008d42a33/The-Childrens-Sleep-Habits-Questionnaire-CSHQ-Psychometric-properties-of-a-survey-instrument-for-school-aged-Children.pdf</w:t>
              </w:r>
            </w:p>
            <w:p w14:paraId="70407CDC" w14:textId="77777777" w:rsidR="00D36D3B" w:rsidRDefault="00D36D3B" w:rsidP="00D36D3B">
              <w:pPr>
                <w:pStyle w:val="EndNoteBibliography"/>
                <w:ind w:left="720" w:hanging="720"/>
                <w:rPr>
                  <w:shd w:val="clear" w:color="auto" w:fill="FFFFFF"/>
                  <w:lang w:val="en-AU"/>
                </w:rPr>
              </w:pPr>
              <w:r w:rsidRPr="00C51EF0">
                <w:rPr>
                  <w:shd w:val="clear" w:color="auto" w:fill="FFFFFF"/>
                  <w:lang w:val="en-AU"/>
                </w:rPr>
                <w:t xml:space="preserve">Polaha, J., Dalton 3rd, W. T., &amp; Lancaster, B. M. (2008). Parental report of medication acceptance among youth: </w:t>
              </w:r>
              <w:r>
                <w:rPr>
                  <w:shd w:val="clear" w:color="auto" w:fill="FFFFFF"/>
                  <w:lang w:val="en-AU"/>
                </w:rPr>
                <w:t>I</w:t>
              </w:r>
              <w:r w:rsidRPr="00C51EF0">
                <w:rPr>
                  <w:shd w:val="clear" w:color="auto" w:fill="FFFFFF"/>
                  <w:lang w:val="en-AU"/>
                </w:rPr>
                <w:t xml:space="preserve">mplications for everyday practice. </w:t>
              </w:r>
              <w:r w:rsidRPr="00C51EF0">
                <w:rPr>
                  <w:i/>
                  <w:shd w:val="clear" w:color="auto" w:fill="FFFFFF"/>
                  <w:lang w:val="en-AU"/>
                </w:rPr>
                <w:t>Southern Medical Journal</w:t>
              </w:r>
              <w:r w:rsidRPr="00C51EF0">
                <w:rPr>
                  <w:shd w:val="clear" w:color="auto" w:fill="FFFFFF"/>
                  <w:lang w:val="en-AU"/>
                </w:rPr>
                <w:t xml:space="preserve">, </w:t>
              </w:r>
              <w:r w:rsidRPr="00C51EF0">
                <w:rPr>
                  <w:i/>
                  <w:shd w:val="clear" w:color="auto" w:fill="FFFFFF"/>
                  <w:lang w:val="en-AU"/>
                </w:rPr>
                <w:t>101</w:t>
              </w:r>
              <w:r w:rsidRPr="00C51EF0">
                <w:rPr>
                  <w:shd w:val="clear" w:color="auto" w:fill="FFFFFF"/>
                  <w:lang w:val="en-AU"/>
                </w:rPr>
                <w:t>(11), 1106-1112.</w:t>
              </w:r>
              <w:r>
                <w:rPr>
                  <w:shd w:val="clear" w:color="auto" w:fill="FFFFFF"/>
                  <w:lang w:val="en-AU"/>
                </w:rPr>
                <w:t xml:space="preserve"> https://doi.org/</w:t>
              </w:r>
              <w:r w:rsidRPr="00C51EF0">
                <w:rPr>
                  <w:shd w:val="clear" w:color="auto" w:fill="FFFFFF"/>
                  <w:lang w:val="en-AU"/>
                </w:rPr>
                <w:t>10.1097/smj.0b013e318180645d</w:t>
              </w:r>
            </w:p>
            <w:p w14:paraId="7502E88C"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Parletta, N., Zarnowiecki, D., Cho, J., Wilson, A., Bogomolova, S., Villani, A., Itsiopoulos, C., Niyonsenga, T., Blunden, S., Meyer, B., Segal, S., Baune, B. T. &amp; O'Dea, A. (2018). A Mediterranean-style dietary intervention supplemented with fish oil improves diet quality and mental health in people with depression: A randomised controlled trial (HELFIMED). </w:t>
              </w:r>
              <w:r w:rsidRPr="001F64E8">
                <w:rPr>
                  <w:i/>
                  <w:iCs/>
                  <w:shd w:val="clear" w:color="auto" w:fill="FFFFFF"/>
                  <w:lang w:val="en-AU"/>
                </w:rPr>
                <w:t>Journal of the Australasian College of Nutritional and Environmental Medicine</w:t>
              </w:r>
              <w:r w:rsidRPr="001F64E8">
                <w:rPr>
                  <w:shd w:val="clear" w:color="auto" w:fill="FFFFFF"/>
                  <w:lang w:val="en-AU"/>
                </w:rPr>
                <w:t>, </w:t>
              </w:r>
              <w:r w:rsidRPr="001F64E8">
                <w:rPr>
                  <w:i/>
                  <w:iCs/>
                  <w:shd w:val="clear" w:color="auto" w:fill="FFFFFF"/>
                  <w:lang w:val="en-AU"/>
                </w:rPr>
                <w:t>37</w:t>
              </w:r>
              <w:r w:rsidRPr="001F64E8">
                <w:rPr>
                  <w:shd w:val="clear" w:color="auto" w:fill="FFFFFF"/>
                  <w:lang w:val="en-AU"/>
                </w:rPr>
                <w:t xml:space="preserve">(1), 6-18. </w:t>
              </w:r>
              <w:r w:rsidRPr="001F64E8">
                <w:rPr>
                  <w:iCs/>
                  <w:shd w:val="clear" w:color="auto" w:fill="FFFFFF"/>
                  <w:lang w:val="en-AU"/>
                </w:rPr>
                <w:t>https://doi/10.3316/informit.534963995829643</w:t>
              </w:r>
            </w:p>
            <w:p w14:paraId="0BA040F8" w14:textId="77777777" w:rsidR="00D36D3B" w:rsidRPr="001F64E8" w:rsidRDefault="00D36D3B" w:rsidP="00D36D3B">
              <w:pPr>
                <w:pStyle w:val="EndNoteBibliography"/>
                <w:ind w:left="720" w:hanging="720"/>
                <w:rPr>
                  <w:shd w:val="clear" w:color="auto" w:fill="FFFFFF"/>
                </w:rPr>
              </w:pPr>
              <w:r w:rsidRPr="001F64E8">
                <w:rPr>
                  <w:shd w:val="clear" w:color="auto" w:fill="FFFFFF"/>
                </w:rPr>
                <w:lastRenderedPageBreak/>
                <w:t xml:space="preserve">Paterson, C. (1996). Measuring outcomes in primary care: A patient generated measure, MYMOP, compared with the SF-36 health survey. </w:t>
              </w:r>
              <w:r w:rsidRPr="001F64E8">
                <w:rPr>
                  <w:i/>
                  <w:shd w:val="clear" w:color="auto" w:fill="FFFFFF"/>
                </w:rPr>
                <w:t>BMJ</w:t>
              </w:r>
              <w:r w:rsidRPr="001F64E8">
                <w:rPr>
                  <w:shd w:val="clear" w:color="auto" w:fill="FFFFFF"/>
                </w:rPr>
                <w:t xml:space="preserve">, </w:t>
              </w:r>
              <w:r w:rsidRPr="001F64E8">
                <w:rPr>
                  <w:i/>
                  <w:shd w:val="clear" w:color="auto" w:fill="FFFFFF"/>
                </w:rPr>
                <w:t>312</w:t>
              </w:r>
              <w:r w:rsidRPr="001F64E8">
                <w:rPr>
                  <w:shd w:val="clear" w:color="auto" w:fill="FFFFFF"/>
                </w:rPr>
                <w:t xml:space="preserve">(7037), 1016-1020. </w:t>
              </w:r>
              <w:r w:rsidRPr="001F64E8">
                <w:rPr>
                  <w:shd w:val="clear" w:color="auto" w:fill="FFFFFF"/>
                  <w:lang w:val="en-AU"/>
                </w:rPr>
                <w:t>doi: https://doi.org/10.1136/bmj.312.7037.1016</w:t>
              </w:r>
            </w:p>
            <w:p w14:paraId="1DE9122F"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Posner, J., Kass, E., &amp; Hulvershorn, L. (2014). Using stimulants to treat ADHD-related emotional lability. </w:t>
              </w:r>
              <w:r w:rsidRPr="001F64E8">
                <w:rPr>
                  <w:i/>
                  <w:iCs/>
                  <w:shd w:val="clear" w:color="auto" w:fill="FFFFFF"/>
                  <w:lang w:val="en-AU"/>
                </w:rPr>
                <w:t>Current Psychiatry Reports</w:t>
              </w:r>
              <w:r w:rsidRPr="001F64E8">
                <w:rPr>
                  <w:shd w:val="clear" w:color="auto" w:fill="FFFFFF"/>
                  <w:lang w:val="en-AU"/>
                </w:rPr>
                <w:t>, </w:t>
              </w:r>
              <w:r w:rsidRPr="001F64E8">
                <w:rPr>
                  <w:i/>
                  <w:iCs/>
                  <w:shd w:val="clear" w:color="auto" w:fill="FFFFFF"/>
                  <w:lang w:val="en-AU"/>
                </w:rPr>
                <w:t>16</w:t>
              </w:r>
              <w:r w:rsidRPr="001F64E8">
                <w:rPr>
                  <w:shd w:val="clear" w:color="auto" w:fill="FFFFFF"/>
                  <w:lang w:val="en-AU"/>
                </w:rPr>
                <w:t>(10), 478. http://doi.org/</w:t>
              </w:r>
              <w:r w:rsidRPr="001F64E8">
                <w:t>10.1007/s11920-014-0478-4</w:t>
              </w:r>
            </w:p>
            <w:p w14:paraId="116B4F5F" w14:textId="77777777" w:rsidR="00D36D3B" w:rsidRPr="001F64E8" w:rsidRDefault="00D36D3B" w:rsidP="00D36D3B">
              <w:pPr>
                <w:shd w:val="clear" w:color="auto" w:fill="FFFFFF"/>
                <w:spacing w:line="0" w:lineRule="auto"/>
                <w:rPr>
                  <w:rFonts w:ascii="ff2" w:hAnsi="ff2"/>
                  <w:sz w:val="48"/>
                  <w:szCs w:val="48"/>
                </w:rPr>
              </w:pPr>
              <w:r w:rsidRPr="001F64E8">
                <w:rPr>
                  <w:rFonts w:ascii="ff2" w:hAnsi="ff2"/>
                  <w:sz w:val="48"/>
                  <w:szCs w:val="48"/>
                </w:rPr>
                <w:t>Psychol</w:t>
              </w:r>
              <w:r w:rsidRPr="001F64E8">
                <w:rPr>
                  <w:rStyle w:val="a"/>
                  <w:rFonts w:ascii="ff2" w:hAnsi="ff2"/>
                  <w:sz w:val="48"/>
                  <w:szCs w:val="48"/>
                </w:rPr>
                <w:t xml:space="preserve"> </w:t>
              </w:r>
              <w:r w:rsidRPr="001F64E8">
                <w:rPr>
                  <w:rStyle w:val="ff3"/>
                  <w:rFonts w:ascii="ff3" w:hAnsi="ff3"/>
                  <w:sz w:val="48"/>
                  <w:szCs w:val="48"/>
                </w:rPr>
                <w:t>22</w:t>
              </w:r>
              <w:r w:rsidRPr="001F64E8">
                <w:rPr>
                  <w:rStyle w:val="ff1"/>
                  <w:rFonts w:ascii="ff1" w:hAnsi="ff1"/>
                  <w:sz w:val="48"/>
                  <w:szCs w:val="48"/>
                </w:rPr>
                <w:t>:</w:t>
              </w:r>
              <w:r w:rsidRPr="001F64E8">
                <w:rPr>
                  <w:rStyle w:val="a"/>
                  <w:rFonts w:ascii="ff1" w:hAnsi="ff1"/>
                  <w:sz w:val="48"/>
                  <w:szCs w:val="48"/>
                </w:rPr>
                <w:t xml:space="preserve"> </w:t>
              </w:r>
              <w:r w:rsidRPr="001F64E8">
                <w:rPr>
                  <w:rStyle w:val="ff1"/>
                  <w:rFonts w:ascii="ff1" w:hAnsi="ff1"/>
                  <w:sz w:val="48"/>
                  <w:szCs w:val="48"/>
                </w:rPr>
                <w:t>189</w:t>
              </w:r>
              <w:r w:rsidRPr="001F64E8">
                <w:rPr>
                  <w:rStyle w:val="ff5"/>
                  <w:rFonts w:ascii="ff5" w:hAnsi="ff5"/>
                  <w:sz w:val="48"/>
                  <w:szCs w:val="48"/>
                </w:rPr>
                <w:t>–</w:t>
              </w:r>
              <w:r w:rsidRPr="001F64E8">
                <w:rPr>
                  <w:rStyle w:val="ff1"/>
                  <w:rFonts w:ascii="ff1" w:hAnsi="ff1"/>
                  <w:sz w:val="48"/>
                  <w:szCs w:val="48"/>
                </w:rPr>
                <w:t>198</w:t>
              </w:r>
            </w:p>
            <w:p w14:paraId="5CD0AF20"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Pylypow, J., Quinn, D., Duncan, D., &amp; Balbuena, L. (2020). A measure of emotional regulation and irritability in children and adolescents: The clinical evaluation of emotional regulation–9. </w:t>
              </w:r>
              <w:r w:rsidRPr="001F64E8">
                <w:rPr>
                  <w:i/>
                  <w:iCs/>
                  <w:shd w:val="clear" w:color="auto" w:fill="FFFFFF"/>
                  <w:lang w:val="en-AU"/>
                </w:rPr>
                <w:t>Journal of Attention Disorders</w:t>
              </w:r>
              <w:r w:rsidRPr="001F64E8">
                <w:rPr>
                  <w:shd w:val="clear" w:color="auto" w:fill="FFFFFF"/>
                  <w:lang w:val="en-AU"/>
                </w:rPr>
                <w:t>, </w:t>
              </w:r>
              <w:r w:rsidRPr="001F64E8">
                <w:rPr>
                  <w:i/>
                  <w:iCs/>
                  <w:shd w:val="clear" w:color="auto" w:fill="FFFFFF"/>
                  <w:lang w:val="en-AU"/>
                </w:rPr>
                <w:t>24</w:t>
              </w:r>
              <w:r w:rsidRPr="001F64E8">
                <w:rPr>
                  <w:shd w:val="clear" w:color="auto" w:fill="FFFFFF"/>
                  <w:lang w:val="en-AU"/>
                </w:rPr>
                <w:t>(14), 2002-2011. https://doi.org/10.1177/1087054717737162</w:t>
              </w:r>
            </w:p>
            <w:p w14:paraId="4CDB40A1" w14:textId="77777777" w:rsidR="00D36D3B" w:rsidRPr="001F64E8" w:rsidRDefault="00D36D3B" w:rsidP="00D36D3B">
              <w:pPr>
                <w:pStyle w:val="EndNoteBibliography"/>
                <w:ind w:left="720" w:hanging="720"/>
                <w:rPr>
                  <w:shd w:val="clear" w:color="auto" w:fill="FFFFFF"/>
                  <w:lang w:val="en-NZ"/>
                </w:rPr>
              </w:pPr>
              <w:r w:rsidRPr="001F64E8">
                <w:rPr>
                  <w:shd w:val="clear" w:color="auto" w:fill="FFFFFF"/>
                </w:rPr>
                <w:t xml:space="preserve">Retz, W., Stieglitz, R.-D., Corbisiero, S., Retz-Junginger, P., &amp; Rösler, M. (2012). Emotional dysregulation in adult ADHD: What is the empirical evidence? </w:t>
              </w:r>
              <w:r w:rsidRPr="001F64E8">
                <w:rPr>
                  <w:i/>
                  <w:shd w:val="clear" w:color="auto" w:fill="FFFFFF"/>
                </w:rPr>
                <w:t>Expert Review of Neurotherapeutics</w:t>
              </w:r>
              <w:r w:rsidRPr="001F64E8">
                <w:rPr>
                  <w:shd w:val="clear" w:color="auto" w:fill="FFFFFF"/>
                </w:rPr>
                <w:t xml:space="preserve">, </w:t>
              </w:r>
              <w:r w:rsidRPr="001F64E8">
                <w:rPr>
                  <w:i/>
                  <w:shd w:val="clear" w:color="auto" w:fill="FFFFFF"/>
                </w:rPr>
                <w:t>12</w:t>
              </w:r>
              <w:r w:rsidRPr="001F64E8">
                <w:rPr>
                  <w:shd w:val="clear" w:color="auto" w:fill="FFFFFF"/>
                </w:rPr>
                <w:t xml:space="preserve">(10), 1241-1251. </w:t>
              </w:r>
              <w:r w:rsidRPr="001F64E8">
                <w:rPr>
                  <w:shd w:val="clear" w:color="auto" w:fill="FFFFFF"/>
                  <w:lang w:val="en-NZ"/>
                </w:rPr>
                <w:t>https://doi.org/10.1586/ern.12.109</w:t>
              </w:r>
            </w:p>
            <w:p w14:paraId="124B50CF"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Rossignol, D. A., &amp; Frye, R. E. (2012). Mitochondrial dysfunction in autism spectrum disorders: A systematic review and meta-analysis. </w:t>
              </w:r>
              <w:r w:rsidRPr="001F64E8">
                <w:rPr>
                  <w:i/>
                  <w:iCs/>
                  <w:shd w:val="clear" w:color="auto" w:fill="FFFFFF"/>
                  <w:lang w:val="en-AU"/>
                </w:rPr>
                <w:t>Molecular Psychiatry</w:t>
              </w:r>
              <w:r w:rsidRPr="001F64E8">
                <w:rPr>
                  <w:shd w:val="clear" w:color="auto" w:fill="FFFFFF"/>
                  <w:lang w:val="en-AU"/>
                </w:rPr>
                <w:t>, </w:t>
              </w:r>
              <w:r w:rsidRPr="001F64E8">
                <w:rPr>
                  <w:i/>
                  <w:iCs/>
                  <w:shd w:val="clear" w:color="auto" w:fill="FFFFFF"/>
                  <w:lang w:val="en-AU"/>
                </w:rPr>
                <w:t>17</w:t>
              </w:r>
              <w:r w:rsidRPr="001F64E8">
                <w:rPr>
                  <w:shd w:val="clear" w:color="auto" w:fill="FFFFFF"/>
                  <w:lang w:val="en-AU"/>
                </w:rPr>
                <w:t>(3), 290-314. http://</w:t>
              </w:r>
              <w:r w:rsidRPr="001F64E8">
                <w:t>doi.org/10.1038/mp.2010.136</w:t>
              </w:r>
            </w:p>
            <w:p w14:paraId="6E67D363"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&amp; Kaplan B. (2021). </w:t>
              </w:r>
              <w:r w:rsidRPr="001F64E8">
                <w:rPr>
                  <w:i/>
                  <w:shd w:val="clear" w:color="auto" w:fill="FFFFFF"/>
                </w:rPr>
                <w:t xml:space="preserve">The better brain: Overcome anxiety, combat depression, and reduce ADHD and stress with nutrition. </w:t>
              </w:r>
              <w:r w:rsidRPr="001F64E8">
                <w:rPr>
                  <w:shd w:val="clear" w:color="auto" w:fill="FFFFFF"/>
                </w:rPr>
                <w:t>Houghton Mifflin Harcourt.</w:t>
              </w:r>
            </w:p>
            <w:p w14:paraId="2025740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&amp; Blampied, N. M. (2011). Post-earthquake psychological functioning in adults with attention-deficit/hyperactivity disorder: Positive effects of micronutrients on resilience. </w:t>
              </w:r>
              <w:r w:rsidRPr="001F64E8">
                <w:rPr>
                  <w:i/>
                  <w:shd w:val="clear" w:color="auto" w:fill="FFFFFF"/>
                </w:rPr>
                <w:t>New Zealand Journal of Psychology</w:t>
              </w:r>
              <w:r w:rsidRPr="001F64E8">
                <w:rPr>
                  <w:shd w:val="clear" w:color="auto" w:fill="FFFFFF"/>
                </w:rPr>
                <w:t xml:space="preserve">, </w:t>
              </w:r>
              <w:r w:rsidRPr="001F64E8">
                <w:rPr>
                  <w:i/>
                  <w:shd w:val="clear" w:color="auto" w:fill="FFFFFF"/>
                </w:rPr>
                <w:t>40</w:t>
              </w:r>
              <w:r w:rsidRPr="001F64E8">
                <w:rPr>
                  <w:shd w:val="clear" w:color="auto" w:fill="FFFFFF"/>
                </w:rPr>
                <w:t xml:space="preserve">(4), 51. </w:t>
              </w:r>
              <w:r w:rsidRPr="001F64E8">
                <w:rPr>
                  <w:shd w:val="clear" w:color="auto" w:fill="FFFFFF"/>
                  <w:lang w:val="en-AU"/>
                </w:rPr>
                <w:t>http://pamelaannezell.com/wp-content/uploads/sites/21/docs/Rucklidge_2011(3).pdf</w:t>
              </w:r>
            </w:p>
            <w:p w14:paraId="57E0FC25"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&amp; Kaplan, B. J. (2013). Broad-spectrum multinutrient formulas for the treatment of psychiatric symptoms: A systematic review. </w:t>
              </w:r>
              <w:r w:rsidRPr="001F64E8">
                <w:rPr>
                  <w:i/>
                  <w:shd w:val="clear" w:color="auto" w:fill="FFFFFF"/>
                </w:rPr>
                <w:t>Expert Review of Neurotherapeutics</w:t>
              </w:r>
              <w:r w:rsidRPr="001F64E8">
                <w:rPr>
                  <w:shd w:val="clear" w:color="auto" w:fill="FFFFFF"/>
                </w:rPr>
                <w:t xml:space="preserve">, </w:t>
              </w:r>
              <w:r w:rsidRPr="001F64E8">
                <w:rPr>
                  <w:i/>
                  <w:shd w:val="clear" w:color="auto" w:fill="FFFFFF"/>
                </w:rPr>
                <w:t>13</w:t>
              </w:r>
              <w:r w:rsidRPr="001F64E8">
                <w:rPr>
                  <w:shd w:val="clear" w:color="auto" w:fill="FFFFFF"/>
                </w:rPr>
                <w:t xml:space="preserve">(1), 49-73. </w:t>
              </w:r>
              <w:r w:rsidRPr="001F64E8">
                <w:rPr>
                  <w:shd w:val="clear" w:color="auto" w:fill="FFFFFF"/>
                  <w:lang w:val="en-NZ"/>
                </w:rPr>
                <w:t>https://doi.org/10.1586/ern.12.143</w:t>
              </w:r>
            </w:p>
            <w:p w14:paraId="6D35FBD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Andridge, R., Gorman, B., Blampied, N., Gordon, H., &amp; Boggis, A. (2012). Shaken but unstirred? Effects of micronutrients on stress and trauma after an earthquake: RCT evidence comparing formulas and doses. </w:t>
              </w:r>
              <w:r w:rsidRPr="001F64E8">
                <w:rPr>
                  <w:i/>
                  <w:shd w:val="clear" w:color="auto" w:fill="FFFFFF"/>
                </w:rPr>
                <w:t>Human Psychopharmacology: Clinical and Experimental</w:t>
              </w:r>
              <w:r w:rsidRPr="001F64E8">
                <w:rPr>
                  <w:shd w:val="clear" w:color="auto" w:fill="FFFFFF"/>
                </w:rPr>
                <w:t xml:space="preserve">, </w:t>
              </w:r>
              <w:r w:rsidRPr="001F64E8">
                <w:rPr>
                  <w:i/>
                  <w:shd w:val="clear" w:color="auto" w:fill="FFFFFF"/>
                </w:rPr>
                <w:t>27</w:t>
              </w:r>
              <w:r w:rsidRPr="001F64E8">
                <w:rPr>
                  <w:shd w:val="clear" w:color="auto" w:fill="FFFFFF"/>
                </w:rPr>
                <w:t xml:space="preserve">(5), 440-454. </w:t>
              </w:r>
              <w:r w:rsidRPr="001F64E8">
                <w:rPr>
                  <w:bCs/>
                  <w:shd w:val="clear" w:color="auto" w:fill="FFFFFF"/>
                  <w:lang w:val="en-AU"/>
                </w:rPr>
                <w:t>https://doi.org/10.1002/hup.2246</w:t>
              </w:r>
            </w:p>
            <w:p w14:paraId="4B0B769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Eggleston, M. J., Ealam, B., Beaglehole, B., &amp; Mulder, R. T. (2019). An observational preliminary study on the safety of long-term consumption of micronutrients for the treatment of psychiatric symptoms. </w:t>
              </w:r>
              <w:r w:rsidRPr="001F64E8">
                <w:rPr>
                  <w:i/>
                  <w:shd w:val="clear" w:color="auto" w:fill="FFFFFF"/>
                </w:rPr>
                <w:t>The Journal of Alternative and Complementary Medicine</w:t>
              </w:r>
              <w:r w:rsidRPr="001F64E8">
                <w:rPr>
                  <w:shd w:val="clear" w:color="auto" w:fill="FFFFFF"/>
                </w:rPr>
                <w:t xml:space="preserve">, </w:t>
              </w:r>
              <w:r w:rsidRPr="001F64E8">
                <w:rPr>
                  <w:i/>
                  <w:shd w:val="clear" w:color="auto" w:fill="FFFFFF"/>
                </w:rPr>
                <w:t>25</w:t>
              </w:r>
              <w:r w:rsidRPr="001F64E8">
                <w:rPr>
                  <w:shd w:val="clear" w:color="auto" w:fill="FFFFFF"/>
                </w:rPr>
                <w:t xml:space="preserve">(6), 613-622. </w:t>
              </w:r>
              <w:r w:rsidRPr="001F64E8">
                <w:rPr>
                  <w:shd w:val="clear" w:color="auto" w:fill="FFFFFF"/>
                  <w:lang w:val="en-AU"/>
                </w:rPr>
                <w:t>https://doi.org/10.1089/acm.2018.0352</w:t>
              </w:r>
            </w:p>
            <w:p w14:paraId="11D17911"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Eggleston, M. J., Johnstone, J. M., Darling, K., &amp; Frampton, C. M. (2018). Vitamin‐mineral treatment improves aggression and emotional regulation in children with ADHD: A fully blinded, randomized, placebo‐controlled trial. </w:t>
              </w:r>
              <w:r w:rsidRPr="001F64E8">
                <w:rPr>
                  <w:i/>
                  <w:shd w:val="clear" w:color="auto" w:fill="FFFFFF"/>
                </w:rPr>
                <w:t>Journal of Child Psychology and Psychiatry</w:t>
              </w:r>
              <w:r w:rsidRPr="001F64E8">
                <w:rPr>
                  <w:shd w:val="clear" w:color="auto" w:fill="FFFFFF"/>
                </w:rPr>
                <w:t xml:space="preserve">, </w:t>
              </w:r>
              <w:r w:rsidRPr="001F64E8">
                <w:rPr>
                  <w:i/>
                  <w:shd w:val="clear" w:color="auto" w:fill="FFFFFF"/>
                </w:rPr>
                <w:t>59</w:t>
              </w:r>
              <w:r w:rsidRPr="001F64E8">
                <w:rPr>
                  <w:shd w:val="clear" w:color="auto" w:fill="FFFFFF"/>
                </w:rPr>
                <w:t xml:space="preserve">(3), 232-246. </w:t>
              </w:r>
              <w:r w:rsidRPr="001F64E8">
                <w:rPr>
                  <w:bCs/>
                  <w:shd w:val="clear" w:color="auto" w:fill="FFFFFF"/>
                  <w:lang w:val="en-AU"/>
                </w:rPr>
                <w:t>https://doi.org/10.1111/jcpp.12817</w:t>
              </w:r>
            </w:p>
            <w:p w14:paraId="2C1E3E7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J., Frampton, C. M., Gorman, B., &amp; Boggis, A. (2014). Vitamin–mineral treatment of attention-deficit hyperactivity disorder in adults: Double-blind randomised placebo-controlled trial. </w:t>
              </w:r>
              <w:r w:rsidRPr="001F64E8">
                <w:rPr>
                  <w:i/>
                  <w:shd w:val="clear" w:color="auto" w:fill="FFFFFF"/>
                </w:rPr>
                <w:t>The British Journal of Psychiatry</w:t>
              </w:r>
              <w:r w:rsidRPr="001F64E8">
                <w:rPr>
                  <w:shd w:val="clear" w:color="auto" w:fill="FFFFFF"/>
                </w:rPr>
                <w:t xml:space="preserve">, </w:t>
              </w:r>
              <w:r w:rsidRPr="001F64E8">
                <w:rPr>
                  <w:i/>
                  <w:shd w:val="clear" w:color="auto" w:fill="FFFFFF"/>
                </w:rPr>
                <w:t>20</w:t>
              </w:r>
              <w:r w:rsidRPr="001F64E8">
                <w:rPr>
                  <w:shd w:val="clear" w:color="auto" w:fill="FFFFFF"/>
                </w:rPr>
                <w:t xml:space="preserve">4(4), 306-315. </w:t>
              </w:r>
              <w:r w:rsidRPr="001F64E8">
                <w:rPr>
                  <w:shd w:val="clear" w:color="auto" w:fill="FFFFFF"/>
                  <w:lang w:val="en-AU"/>
                </w:rPr>
                <w:t>doi:10.1192/bjp.bp.113.132126</w:t>
              </w:r>
            </w:p>
            <w:p w14:paraId="1F4F4B6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Rucklidge, J., Taylor, M., &amp; Whitehead, K. (2011). Effect of micronutrients on behavior and mood in adults with ADHD: Evidence from an 8-week open label trial with natural extension. </w:t>
              </w:r>
              <w:r w:rsidRPr="001F64E8">
                <w:rPr>
                  <w:i/>
                  <w:shd w:val="clear" w:color="auto" w:fill="FFFFFF"/>
                </w:rPr>
                <w:t>Journal of Attention Disorders</w:t>
              </w:r>
              <w:r w:rsidRPr="001F64E8">
                <w:rPr>
                  <w:shd w:val="clear" w:color="auto" w:fill="FFFFFF"/>
                </w:rPr>
                <w:t xml:space="preserve">, </w:t>
              </w:r>
              <w:r w:rsidRPr="001F64E8">
                <w:rPr>
                  <w:i/>
                  <w:shd w:val="clear" w:color="auto" w:fill="FFFFFF"/>
                </w:rPr>
                <w:t>15</w:t>
              </w:r>
              <w:r w:rsidRPr="001F64E8">
                <w:rPr>
                  <w:shd w:val="clear" w:color="auto" w:fill="FFFFFF"/>
                </w:rPr>
                <w:t xml:space="preserve">(1), 79-91. </w:t>
              </w:r>
              <w:r w:rsidRPr="001F64E8">
                <w:rPr>
                  <w:shd w:val="clear" w:color="auto" w:fill="FFFFFF"/>
                  <w:lang w:val="en-AU"/>
                </w:rPr>
                <w:t>https://doi.org/10.1177/1087054709356173</w:t>
              </w:r>
            </w:p>
            <w:p w14:paraId="400C5EAC"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Russell, V. A., Oades, R. D., Tannock, R., Killeen, P. R., Auerbach, J. G., Johansen, E. B., &amp; Sagvolden, T. (2006). Response variability in attention-deficit/hyperactivity disorder: A neuronal and glial energetics hypothesis. </w:t>
              </w:r>
              <w:r w:rsidRPr="001F64E8">
                <w:rPr>
                  <w:i/>
                  <w:iCs/>
                  <w:shd w:val="clear" w:color="auto" w:fill="FFFFFF"/>
                  <w:lang w:val="en-AU"/>
                </w:rPr>
                <w:t>Behavioral and Brain Functions</w:t>
              </w:r>
              <w:r w:rsidRPr="001F64E8">
                <w:rPr>
                  <w:shd w:val="clear" w:color="auto" w:fill="FFFFFF"/>
                  <w:lang w:val="en-AU"/>
                </w:rPr>
                <w:t>, </w:t>
              </w:r>
              <w:r w:rsidRPr="001F64E8">
                <w:rPr>
                  <w:i/>
                  <w:iCs/>
                  <w:shd w:val="clear" w:color="auto" w:fill="FFFFFF"/>
                  <w:lang w:val="en-AU"/>
                </w:rPr>
                <w:t>2</w:t>
              </w:r>
              <w:r w:rsidRPr="001F64E8">
                <w:rPr>
                  <w:shd w:val="clear" w:color="auto" w:fill="FFFFFF"/>
                  <w:lang w:val="en-AU"/>
                </w:rPr>
                <w:t>(1), 1-25. http://</w:t>
              </w:r>
              <w:r w:rsidRPr="001F64E8">
                <w:t xml:space="preserve"> doi.org/10.1186/1744-9081-2-30</w:t>
              </w:r>
            </w:p>
            <w:p w14:paraId="3598C56D" w14:textId="77777777" w:rsidR="00D36D3B" w:rsidRPr="001F64E8" w:rsidRDefault="00D36D3B" w:rsidP="00D36D3B">
              <w:pPr>
                <w:pStyle w:val="EndNoteBibliography"/>
                <w:ind w:left="720" w:hanging="720"/>
                <w:rPr>
                  <w:shd w:val="clear" w:color="auto" w:fill="FFFFFF"/>
                </w:rPr>
              </w:pPr>
              <w:r w:rsidRPr="001F64E8">
                <w:rPr>
                  <w:shd w:val="clear" w:color="auto" w:fill="FFFFFF"/>
                </w:rPr>
                <w:lastRenderedPageBreak/>
                <w:t xml:space="preserve">Saarni, C. (1984). An observational study of children's attempts to monitor their expressive behavior. </w:t>
              </w:r>
              <w:r w:rsidRPr="001F64E8">
                <w:rPr>
                  <w:i/>
                  <w:shd w:val="clear" w:color="auto" w:fill="FFFFFF"/>
                </w:rPr>
                <w:t>Child Development</w:t>
              </w:r>
              <w:r w:rsidRPr="001F64E8">
                <w:rPr>
                  <w:shd w:val="clear" w:color="auto" w:fill="FFFFFF"/>
                </w:rPr>
                <w:t xml:space="preserve">, </w:t>
              </w:r>
              <w:r w:rsidRPr="001F64E8">
                <w:rPr>
                  <w:i/>
                  <w:shd w:val="clear" w:color="auto" w:fill="FFFFFF"/>
                </w:rPr>
                <w:t>55</w:t>
              </w:r>
              <w:r w:rsidRPr="001F64E8">
                <w:rPr>
                  <w:shd w:val="clear" w:color="auto" w:fill="FFFFFF"/>
                </w:rPr>
                <w:t xml:space="preserve">, 1504-1513. </w:t>
              </w:r>
              <w:r w:rsidRPr="001F64E8">
                <w:rPr>
                  <w:shd w:val="clear" w:color="auto" w:fill="FFFFFF"/>
                  <w:lang w:val="en-AU"/>
                </w:rPr>
                <w:t>https://doi.org/10.2307/1130020</w:t>
              </w:r>
            </w:p>
            <w:p w14:paraId="40DAB160"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 xml:space="preserve">Saarni, C., Campos, J.J., Camras, L.A. and Witherington, D. (2007). Emotional Development: Action, Communication, and Understanding. In W. Damon, R.M. Lerner and N. Eisenberg (Eds.), </w:t>
              </w:r>
              <w:r w:rsidRPr="001F64E8">
                <w:rPr>
                  <w:i/>
                  <w:shd w:val="clear" w:color="auto" w:fill="FFFFFF"/>
                  <w:lang w:val="en-AU"/>
                </w:rPr>
                <w:t>Handbook of Child Psychology</w:t>
              </w:r>
              <w:r w:rsidRPr="001F64E8">
                <w:rPr>
                  <w:shd w:val="clear" w:color="auto" w:fill="FFFFFF"/>
                  <w:lang w:val="en-AU"/>
                </w:rPr>
                <w:t>, https://doi.org/10.1002/9780470147658.chpsy0305</w:t>
              </w:r>
            </w:p>
            <w:p w14:paraId="20D3945B"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Shaw, P., Stringaris, A., Nigg, J., &amp; Leibenluft, E. (2014). Emotion dysregulation in attention deficit hyperactivity disorder. </w:t>
              </w:r>
              <w:r w:rsidRPr="001F64E8">
                <w:rPr>
                  <w:i/>
                  <w:iCs/>
                  <w:shd w:val="clear" w:color="auto" w:fill="FFFFFF"/>
                  <w:lang w:val="en-AU"/>
                </w:rPr>
                <w:t>American Journal of Psychiatry</w:t>
              </w:r>
              <w:r w:rsidRPr="001F64E8">
                <w:rPr>
                  <w:shd w:val="clear" w:color="auto" w:fill="FFFFFF"/>
                  <w:lang w:val="en-AU"/>
                </w:rPr>
                <w:t>, </w:t>
              </w:r>
              <w:r w:rsidRPr="001F64E8">
                <w:rPr>
                  <w:i/>
                  <w:iCs/>
                  <w:shd w:val="clear" w:color="auto" w:fill="FFFFFF"/>
                  <w:lang w:val="en-AU"/>
                </w:rPr>
                <w:t>171</w:t>
              </w:r>
              <w:r w:rsidRPr="001F64E8">
                <w:rPr>
                  <w:shd w:val="clear" w:color="auto" w:fill="FFFFFF"/>
                  <w:lang w:val="en-AU"/>
                </w:rPr>
                <w:t>(3), 276-293. https://doi.org/10.1176/appi.ajp.2013.13070966</w:t>
              </w:r>
            </w:p>
            <w:p w14:paraId="6FEF30C9"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Slutzke, W., Moffitt, T., Poulton, &amp; Caspi, A. (2013). </w:t>
              </w:r>
              <w:r w:rsidRPr="001F64E8">
                <w:t xml:space="preserve">Undercontrolled temperament at age 3 predicts disordered gambling at age 32: A longitudinal study of a complete birth cohort. </w:t>
              </w:r>
              <w:r w:rsidRPr="001F64E8">
                <w:rPr>
                  <w:i/>
                  <w:iCs/>
                  <w:szCs w:val="20"/>
                  <w:shd w:val="clear" w:color="auto" w:fill="FFFFFF"/>
                </w:rPr>
                <w:t>Psychological Science</w:t>
              </w:r>
              <w:r w:rsidRPr="001F64E8">
                <w:rPr>
                  <w:szCs w:val="20"/>
                  <w:shd w:val="clear" w:color="auto" w:fill="FFFFFF"/>
                </w:rPr>
                <w:t> </w:t>
              </w:r>
              <w:r w:rsidRPr="001F64E8">
                <w:rPr>
                  <w:i/>
                  <w:szCs w:val="20"/>
                  <w:shd w:val="clear" w:color="auto" w:fill="FFFFFF"/>
                </w:rPr>
                <w:t>23</w:t>
              </w:r>
              <w:r w:rsidRPr="001F64E8">
                <w:rPr>
                  <w:szCs w:val="20"/>
                  <w:shd w:val="clear" w:color="auto" w:fill="FFFFFF"/>
                </w:rPr>
                <w:t>(5), 510-516</w:t>
              </w:r>
              <w:r w:rsidRPr="001F64E8">
                <w:rPr>
                  <w:rFonts w:ascii="Arial" w:hAnsi="Arial" w:cs="Arial"/>
                  <w:sz w:val="20"/>
                  <w:szCs w:val="20"/>
                  <w:shd w:val="clear" w:color="auto" w:fill="FFFFFF"/>
                </w:rPr>
                <w:t>.</w:t>
              </w:r>
            </w:p>
            <w:p w14:paraId="462F850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Sole, E. J., Rucklidge, J. J., &amp; Blampied, N. M. (2017). Anxiety and stress in children following an earthquake: Clinically beneficial effects of treatment with micronutrients. </w:t>
              </w:r>
              <w:r w:rsidRPr="001F64E8">
                <w:rPr>
                  <w:i/>
                  <w:shd w:val="clear" w:color="auto" w:fill="FFFFFF"/>
                </w:rPr>
                <w:t>Journal of Child and Family Studies</w:t>
              </w:r>
              <w:r w:rsidRPr="001F64E8">
                <w:rPr>
                  <w:shd w:val="clear" w:color="auto" w:fill="FFFFFF"/>
                </w:rPr>
                <w:t xml:space="preserve">, </w:t>
              </w:r>
              <w:r w:rsidRPr="001F64E8">
                <w:rPr>
                  <w:i/>
                  <w:shd w:val="clear" w:color="auto" w:fill="FFFFFF"/>
                </w:rPr>
                <w:t>26</w:t>
              </w:r>
              <w:r w:rsidRPr="001F64E8">
                <w:rPr>
                  <w:shd w:val="clear" w:color="auto" w:fill="FFFFFF"/>
                </w:rPr>
                <w:t xml:space="preserve">(5), 1422-1431. </w:t>
              </w:r>
              <w:r w:rsidRPr="001F64E8">
                <w:rPr>
                  <w:shd w:val="clear" w:color="auto" w:fill="FFFFFF"/>
                  <w:lang w:val="en-AU"/>
                </w:rPr>
                <w:t>https://link.springer.com/content/pdf/10.1007/s10826-016-0607-2.pdf</w:t>
              </w:r>
            </w:p>
            <w:p w14:paraId="280F610B"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Stansbury, K., &amp; Gunnar, M. R. (1994). Adrenocortical activity and emotion regulation. </w:t>
              </w:r>
              <w:r w:rsidRPr="001F64E8">
                <w:rPr>
                  <w:i/>
                  <w:shd w:val="clear" w:color="auto" w:fill="FFFFFF"/>
                </w:rPr>
                <w:t>Monographs of the Society for Research in Child Development</w:t>
              </w:r>
              <w:r w:rsidRPr="001F64E8">
                <w:rPr>
                  <w:shd w:val="clear" w:color="auto" w:fill="FFFFFF"/>
                </w:rPr>
                <w:t xml:space="preserve">, </w:t>
              </w:r>
              <w:r w:rsidRPr="001F64E8">
                <w:rPr>
                  <w:i/>
                  <w:shd w:val="clear" w:color="auto" w:fill="FFFFFF"/>
                </w:rPr>
                <w:t>59</w:t>
              </w:r>
              <w:r w:rsidRPr="001F64E8">
                <w:rPr>
                  <w:shd w:val="clear" w:color="auto" w:fill="FFFFFF"/>
                </w:rPr>
                <w:t xml:space="preserve">(2-3), 108-134. </w:t>
              </w:r>
              <w:r w:rsidRPr="001F64E8">
                <w:rPr>
                  <w:bCs/>
                  <w:shd w:val="clear" w:color="auto" w:fill="FFFFFF"/>
                  <w:lang w:val="en-AU"/>
                </w:rPr>
                <w:t>https://doi.org/10.1111/j.1540-5834.1994.tb01280.x</w:t>
              </w:r>
            </w:p>
            <w:p w14:paraId="710AB45E"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Stone, L. L., Otten, R., Engels, R. C., Vermulst, A. A., &amp; Janssens, J. M. (2010). Psychometric properties of the parent and teacher versions of the strengths and difficulties questionnaire for 4-to 12-year-olds: A review. </w:t>
              </w:r>
              <w:r w:rsidRPr="001F64E8">
                <w:rPr>
                  <w:i/>
                  <w:shd w:val="clear" w:color="auto" w:fill="FFFFFF"/>
                </w:rPr>
                <w:t>Clinical Child and Family Psychology Review</w:t>
              </w:r>
              <w:r w:rsidRPr="001F64E8">
                <w:rPr>
                  <w:shd w:val="clear" w:color="auto" w:fill="FFFFFF"/>
                </w:rPr>
                <w:t xml:space="preserve">, </w:t>
              </w:r>
              <w:r w:rsidRPr="001F64E8">
                <w:rPr>
                  <w:i/>
                  <w:shd w:val="clear" w:color="auto" w:fill="FFFFFF"/>
                </w:rPr>
                <w:t>13</w:t>
              </w:r>
              <w:r w:rsidRPr="001F64E8">
                <w:rPr>
                  <w:shd w:val="clear" w:color="auto" w:fill="FFFFFF"/>
                </w:rPr>
                <w:t xml:space="preserve">(3), 254-274. </w:t>
              </w:r>
              <w:r w:rsidRPr="001F64E8">
                <w:rPr>
                  <w:shd w:val="clear" w:color="auto" w:fill="FFFFFF"/>
                  <w:lang w:val="en-AU"/>
                </w:rPr>
                <w:t>https://link.springer.com/content/pdf/10.1007/s10567-010-0071-2.pdf</w:t>
              </w:r>
            </w:p>
            <w:p w14:paraId="42B65E07"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Stough, C., Scholey, A., Lloyd, J., Spong, J., Myers, S., &amp; Downey, L. A. (2011). The effect of 90 day administration of a high dose vitamin B‐complex on work stress. </w:t>
              </w:r>
              <w:r w:rsidRPr="001F64E8">
                <w:rPr>
                  <w:i/>
                  <w:shd w:val="clear" w:color="auto" w:fill="FFFFFF"/>
                </w:rPr>
                <w:t>Human Psychopharmacology: Clinical and Experimental</w:t>
              </w:r>
              <w:r w:rsidRPr="001F64E8">
                <w:rPr>
                  <w:shd w:val="clear" w:color="auto" w:fill="FFFFFF"/>
                </w:rPr>
                <w:t xml:space="preserve">, </w:t>
              </w:r>
              <w:r w:rsidRPr="001F64E8">
                <w:rPr>
                  <w:i/>
                  <w:shd w:val="clear" w:color="auto" w:fill="FFFFFF"/>
                </w:rPr>
                <w:t>26</w:t>
              </w:r>
              <w:r w:rsidRPr="001F64E8">
                <w:rPr>
                  <w:shd w:val="clear" w:color="auto" w:fill="FFFFFF"/>
                </w:rPr>
                <w:t xml:space="preserve">(7), 470-476. </w:t>
              </w:r>
              <w:r w:rsidRPr="001F64E8">
                <w:rPr>
                  <w:bCs/>
                  <w:shd w:val="clear" w:color="auto" w:fill="FFFFFF"/>
                  <w:lang w:val="en-AU"/>
                </w:rPr>
                <w:t>https://doi.org/10.1002/hup.1229</w:t>
              </w:r>
            </w:p>
            <w:p w14:paraId="69421153" w14:textId="77777777" w:rsidR="00D36D3B" w:rsidRDefault="00D36D3B" w:rsidP="00D36D3B">
              <w:pPr>
                <w:pStyle w:val="EndNoteBibliography"/>
                <w:ind w:left="720" w:hanging="720"/>
                <w:rPr>
                  <w:shd w:val="clear" w:color="auto" w:fill="FFFFFF"/>
                </w:rPr>
              </w:pPr>
              <w:r w:rsidRPr="001F64E8">
                <w:rPr>
                  <w:shd w:val="clear" w:color="auto" w:fill="FFFFFF"/>
                  <w:lang w:val="en-AU"/>
                </w:rPr>
                <w:t xml:space="preserve">Stringaris, A. (2011). Irritability in children and adolescents: A challenge for DSM-5. </w:t>
              </w:r>
              <w:r w:rsidRPr="001F64E8">
                <w:rPr>
                  <w:i/>
                  <w:shd w:val="clear" w:color="auto" w:fill="FFFFFF"/>
                  <w:lang w:val="en-AU"/>
                </w:rPr>
                <w:t>European Child &amp; Adolescent Psychiatry</w:t>
              </w:r>
              <w:r w:rsidRPr="001F64E8">
                <w:rPr>
                  <w:shd w:val="clear" w:color="auto" w:fill="FFFFFF"/>
                  <w:lang w:val="en-AU"/>
                </w:rPr>
                <w:t xml:space="preserve">, </w:t>
              </w:r>
              <w:r w:rsidRPr="001F64E8">
                <w:rPr>
                  <w:i/>
                  <w:shd w:val="clear" w:color="auto" w:fill="FFFFFF"/>
                  <w:lang w:val="en-AU"/>
                </w:rPr>
                <w:t>20</w:t>
              </w:r>
              <w:r w:rsidRPr="001F64E8">
                <w:rPr>
                  <w:shd w:val="clear" w:color="auto" w:fill="FFFFFF"/>
                  <w:lang w:val="en-AU"/>
                </w:rPr>
                <w:t xml:space="preserve">, 61-66. </w:t>
              </w:r>
              <w:r>
                <w:rPr>
                  <w:shd w:val="clear" w:color="auto" w:fill="FFFFFF"/>
                  <w:lang w:val="en-AU"/>
                </w:rPr>
                <w:t>http;//doi.org/</w:t>
              </w:r>
              <w:r w:rsidRPr="0026321D">
                <w:rPr>
                  <w:shd w:val="clear" w:color="auto" w:fill="FFFFFF"/>
                  <w:lang w:val="en-AU"/>
                </w:rPr>
                <w:t>10.1007/s00787-010-0150-4</w:t>
              </w:r>
            </w:p>
            <w:p w14:paraId="269F94BD"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Stringaris, A., Goodman, R., Ferdinando, S., Razdan, V., Muhrer, E., Leibenluft, E., &amp; Brotman, M. A. (2012). The affective reactivity index: A concise irritability scale for clinical and research settings. </w:t>
              </w:r>
              <w:r w:rsidRPr="001F64E8">
                <w:rPr>
                  <w:i/>
                  <w:shd w:val="clear" w:color="auto" w:fill="FFFFFF"/>
                </w:rPr>
                <w:t>Journal of Child Psychology and Psychiatry</w:t>
              </w:r>
              <w:r w:rsidRPr="001F64E8">
                <w:rPr>
                  <w:shd w:val="clear" w:color="auto" w:fill="FFFFFF"/>
                </w:rPr>
                <w:t xml:space="preserve">, </w:t>
              </w:r>
              <w:r w:rsidRPr="001F64E8">
                <w:rPr>
                  <w:i/>
                  <w:shd w:val="clear" w:color="auto" w:fill="FFFFFF"/>
                </w:rPr>
                <w:t>53</w:t>
              </w:r>
              <w:r w:rsidRPr="001F64E8">
                <w:rPr>
                  <w:shd w:val="clear" w:color="auto" w:fill="FFFFFF"/>
                </w:rPr>
                <w:t xml:space="preserve">(11), 1109-1117. </w:t>
              </w:r>
              <w:r w:rsidRPr="001F64E8">
                <w:rPr>
                  <w:bCs/>
                  <w:shd w:val="clear" w:color="auto" w:fill="FFFFFF"/>
                  <w:lang w:val="en-AU"/>
                </w:rPr>
                <w:t>https://doi.org/10.1111/j.1469-7610.2012.02561.x</w:t>
              </w:r>
            </w:p>
            <w:p w14:paraId="34F4D25A" w14:textId="58335CC9" w:rsidR="008601F8" w:rsidRDefault="008601F8" w:rsidP="00D36D3B">
              <w:pPr>
                <w:pStyle w:val="EndNoteBibliography"/>
                <w:ind w:left="720" w:hanging="720"/>
                <w:rPr>
                  <w:shd w:val="clear" w:color="auto" w:fill="FFFFFF"/>
                </w:rPr>
              </w:pPr>
              <w:r w:rsidRPr="008601F8">
                <w:rPr>
                  <w:shd w:val="clear" w:color="auto" w:fill="FFFFFF"/>
                </w:rPr>
                <w:t xml:space="preserve">Swanson, J., Nolan, W., &amp; Pelham, W. E. (1992). The SNAP-IV rating scale. </w:t>
              </w:r>
            </w:p>
            <w:p w14:paraId="5319EC9A" w14:textId="3718294A" w:rsidR="00D36D3B" w:rsidRPr="001F64E8" w:rsidRDefault="00D36D3B" w:rsidP="00D36D3B">
              <w:pPr>
                <w:pStyle w:val="EndNoteBibliography"/>
                <w:ind w:left="720" w:hanging="720"/>
                <w:rPr>
                  <w:shd w:val="clear" w:color="auto" w:fill="FFFFFF"/>
                </w:rPr>
              </w:pPr>
              <w:r w:rsidRPr="001F64E8">
                <w:rPr>
                  <w:shd w:val="clear" w:color="auto" w:fill="FFFFFF"/>
                </w:rPr>
                <w:t xml:space="preserve">Tarnowski, K., &amp; Simonian, S. (1992). Assessing treatment acceptance: The abbreviated acceptability rating scale. </w:t>
              </w:r>
              <w:r w:rsidRPr="001F64E8">
                <w:rPr>
                  <w:i/>
                  <w:iCs/>
                  <w:shd w:val="clear" w:color="auto" w:fill="FFFFFF"/>
                  <w:lang w:val="en-AU"/>
                </w:rPr>
                <w:t>Journal of Behavior Therapy and Experimental Psychiatry</w:t>
              </w:r>
              <w:r w:rsidRPr="001F64E8">
                <w:rPr>
                  <w:shd w:val="clear" w:color="auto" w:fill="FFFFFF"/>
                  <w:lang w:val="en-AU"/>
                </w:rPr>
                <w:t>, </w:t>
              </w:r>
              <w:r w:rsidRPr="001F64E8">
                <w:rPr>
                  <w:i/>
                  <w:iCs/>
                  <w:shd w:val="clear" w:color="auto" w:fill="FFFFFF"/>
                  <w:lang w:val="en-AU"/>
                </w:rPr>
                <w:t>23</w:t>
              </w:r>
              <w:r w:rsidRPr="001F64E8">
                <w:rPr>
                  <w:shd w:val="clear" w:color="auto" w:fill="FFFFFF"/>
                  <w:lang w:val="en-AU"/>
                </w:rPr>
                <w:t>(2), 101-106.</w:t>
              </w:r>
              <w:r w:rsidRPr="001F64E8">
                <w:rPr>
                  <w:shd w:val="clear" w:color="auto" w:fill="FFFFFF"/>
                </w:rPr>
                <w:t xml:space="preserve"> </w:t>
              </w:r>
              <w:r w:rsidRPr="001F64E8">
                <w:rPr>
                  <w:shd w:val="clear" w:color="auto" w:fill="FFFFFF"/>
                  <w:lang w:val="en-AU"/>
                </w:rPr>
                <w:t>https://doi.org/10.1016/0005-7916(92)90007-6</w:t>
              </w:r>
            </w:p>
            <w:p w14:paraId="2496B6E6"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Terwogt, M. M., &amp; Stegge, H. (1995). </w:t>
              </w:r>
              <w:r w:rsidRPr="001F64E8">
                <w:rPr>
                  <w:i/>
                  <w:shd w:val="clear" w:color="auto" w:fill="FFFFFF"/>
                </w:rPr>
                <w:t>Children’s understanding of the strategic control of negative emotions</w:t>
              </w:r>
              <w:r w:rsidRPr="001F64E8">
                <w:rPr>
                  <w:shd w:val="clear" w:color="auto" w:fill="FFFFFF"/>
                </w:rPr>
                <w:t>. Springer.</w:t>
              </w:r>
            </w:p>
            <w:p w14:paraId="44F35F0F"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Thomas, R., Mitchell, G. K., &amp; Batstra, L. (2013). Attention-deficit/hyperactivity disorder: Are we helping or harming? </w:t>
              </w:r>
              <w:r w:rsidRPr="001F64E8">
                <w:rPr>
                  <w:i/>
                  <w:shd w:val="clear" w:color="auto" w:fill="FFFFFF"/>
                </w:rPr>
                <w:t>BMJ</w:t>
              </w:r>
              <w:r w:rsidRPr="001F64E8">
                <w:rPr>
                  <w:shd w:val="clear" w:color="auto" w:fill="FFFFFF"/>
                </w:rPr>
                <w:t xml:space="preserve">, 347. </w:t>
              </w:r>
              <w:r w:rsidRPr="001F64E8">
                <w:rPr>
                  <w:shd w:val="clear" w:color="auto" w:fill="FFFFFF"/>
                  <w:lang w:val="en-AU"/>
                </w:rPr>
                <w:t>https://doi.org/10.1136/bmj.f6172</w:t>
              </w:r>
            </w:p>
            <w:p w14:paraId="4792A38E" w14:textId="77777777" w:rsidR="00D36D3B" w:rsidRDefault="00D36D3B" w:rsidP="00D36D3B">
              <w:pPr>
                <w:pStyle w:val="EndNoteBibliography"/>
                <w:ind w:left="720" w:hanging="720"/>
                <w:rPr>
                  <w:bCs/>
                  <w:shd w:val="clear" w:color="auto" w:fill="FFFFFF"/>
                  <w:lang w:val="en-NZ"/>
                </w:rPr>
              </w:pPr>
              <w:r w:rsidRPr="001F64E8">
                <w:rPr>
                  <w:shd w:val="clear" w:color="auto" w:fill="FFFFFF"/>
                </w:rPr>
                <w:t xml:space="preserve">Thompson, R. A. (1994). Emotion regulation: A theme in search of definition. </w:t>
              </w:r>
              <w:r w:rsidRPr="001F64E8">
                <w:rPr>
                  <w:i/>
                  <w:shd w:val="clear" w:color="auto" w:fill="FFFFFF"/>
                </w:rPr>
                <w:t>Monographs of the Society for Research in Child Development</w:t>
              </w:r>
              <w:r w:rsidRPr="001F64E8">
                <w:rPr>
                  <w:shd w:val="clear" w:color="auto" w:fill="FFFFFF"/>
                </w:rPr>
                <w:t xml:space="preserve">, </w:t>
              </w:r>
              <w:r w:rsidRPr="001F64E8">
                <w:rPr>
                  <w:i/>
                  <w:shd w:val="clear" w:color="auto" w:fill="FFFFFF"/>
                </w:rPr>
                <w:t>59</w:t>
              </w:r>
              <w:r w:rsidRPr="001F64E8">
                <w:rPr>
                  <w:shd w:val="clear" w:color="auto" w:fill="FFFFFF"/>
                </w:rPr>
                <w:t xml:space="preserve">(2-3), 25-52. </w:t>
              </w:r>
              <w:r w:rsidRPr="00EA516C">
                <w:rPr>
                  <w:bCs/>
                  <w:shd w:val="clear" w:color="auto" w:fill="FFFFFF"/>
                  <w:lang w:val="en-NZ"/>
                </w:rPr>
                <w:t>https://doi.org/10.1111/j.1540-5834.1994.tb01276.x</w:t>
              </w:r>
            </w:p>
            <w:p w14:paraId="5F996802" w14:textId="77777777" w:rsidR="00D36D3B" w:rsidRPr="001F64E8" w:rsidRDefault="00D36D3B" w:rsidP="00D36D3B">
              <w:pPr>
                <w:pStyle w:val="EndNoteBibliography"/>
                <w:ind w:left="720" w:hanging="720"/>
                <w:rPr>
                  <w:shd w:val="clear" w:color="auto" w:fill="FFFFFF"/>
                  <w:lang w:val="en-NZ"/>
                </w:rPr>
              </w:pPr>
              <w:r>
                <w:rPr>
                  <w:shd w:val="clear" w:color="auto" w:fill="FFFFFF"/>
                  <w:lang w:val="en-NZ"/>
                </w:rPr>
                <w:t xml:space="preserve">Thompson, R. A. (2019). </w:t>
              </w:r>
              <w:r w:rsidRPr="001F64E8">
                <w:rPr>
                  <w:shd w:val="clear" w:color="auto" w:fill="FFFFFF"/>
                </w:rPr>
                <w:t xml:space="preserve">Emotion </w:t>
              </w:r>
              <w:r>
                <w:rPr>
                  <w:shd w:val="clear" w:color="auto" w:fill="FFFFFF"/>
                </w:rPr>
                <w:t>dys</w:t>
              </w:r>
              <w:r w:rsidRPr="001F64E8">
                <w:rPr>
                  <w:shd w:val="clear" w:color="auto" w:fill="FFFFFF"/>
                </w:rPr>
                <w:t>regulation: A theme in search of definition.</w:t>
              </w:r>
              <w:r>
                <w:rPr>
                  <w:shd w:val="clear" w:color="auto" w:fill="FFFFFF"/>
                </w:rPr>
                <w:t xml:space="preserve"> </w:t>
              </w:r>
              <w:r w:rsidRPr="00106BA9">
                <w:rPr>
                  <w:i/>
                  <w:shd w:val="clear" w:color="auto" w:fill="FFFFFF"/>
                </w:rPr>
                <w:t>Development and Psychopathology</w:t>
              </w:r>
              <w:r>
                <w:rPr>
                  <w:shd w:val="clear" w:color="auto" w:fill="FFFFFF"/>
                </w:rPr>
                <w:t xml:space="preserve">, </w:t>
              </w:r>
              <w:r w:rsidRPr="00106BA9">
                <w:rPr>
                  <w:i/>
                  <w:shd w:val="clear" w:color="auto" w:fill="FFFFFF"/>
                </w:rPr>
                <w:t>31</w:t>
              </w:r>
              <w:r>
                <w:rPr>
                  <w:shd w:val="clear" w:color="auto" w:fill="FFFFFF"/>
                </w:rPr>
                <w:t xml:space="preserve">(3), 805-815. </w:t>
              </w:r>
              <w:r w:rsidRPr="00EA516C">
                <w:rPr>
                  <w:shd w:val="clear" w:color="auto" w:fill="FFFFFF"/>
                </w:rPr>
                <w:t>https://doi.org/10.1017/S0954579419000282</w:t>
              </w:r>
            </w:p>
            <w:p w14:paraId="1B38045F"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lastRenderedPageBreak/>
                <w:t>Towbin, K., Vidal-Ribas, P., Brotman, M. A., Pickles, A., Miller, K. V., Kaiser, A., Vitale, A., Engel, C., Overman, G. P., Davis, M., Lee, B., McNeil, C., Wheeler, W., Yokum, C. H., Haring, C. T., Roule, A., Wambach, C. G., Sharif-Askary, B., Pine, D. S., Leibenluft, E. &amp; Stringaris, A. (2020). A double-blind randomized placebo-controlled trial of citalopram adjunctive to stimulant medication in youth with chronic severe irritability. </w:t>
              </w:r>
              <w:r w:rsidRPr="001F64E8">
                <w:rPr>
                  <w:i/>
                  <w:iCs/>
                  <w:shd w:val="clear" w:color="auto" w:fill="FFFFFF"/>
                  <w:lang w:val="en-AU"/>
                </w:rPr>
                <w:t>Journal of the American Academy of Child &amp; Adolescent Psychiatry</w:t>
              </w:r>
              <w:r w:rsidRPr="001F64E8">
                <w:rPr>
                  <w:shd w:val="clear" w:color="auto" w:fill="FFFFFF"/>
                  <w:lang w:val="en-AU"/>
                </w:rPr>
                <w:t>, </w:t>
              </w:r>
              <w:r w:rsidRPr="001F64E8">
                <w:rPr>
                  <w:i/>
                  <w:iCs/>
                  <w:shd w:val="clear" w:color="auto" w:fill="FFFFFF"/>
                  <w:lang w:val="en-AU"/>
                </w:rPr>
                <w:t>59</w:t>
              </w:r>
              <w:r w:rsidRPr="001F64E8">
                <w:rPr>
                  <w:shd w:val="clear" w:color="auto" w:fill="FFFFFF"/>
                  <w:lang w:val="en-AU"/>
                </w:rPr>
                <w:t>(3), 350-361. https://doi.org/10.1016/j.jaac.2019.05.015</w:t>
              </w:r>
            </w:p>
            <w:p w14:paraId="54FF9614" w14:textId="1FCA2FD8" w:rsidR="009C36EF" w:rsidRDefault="009C36EF" w:rsidP="00D36D3B">
              <w:pPr>
                <w:pStyle w:val="EndNoteBibliography"/>
                <w:ind w:left="720" w:hanging="720"/>
                <w:rPr>
                  <w:shd w:val="clear" w:color="auto" w:fill="FFFFFF"/>
                </w:rPr>
              </w:pPr>
              <w:r w:rsidRPr="009C36EF">
                <w:rPr>
                  <w:shd w:val="clear" w:color="auto" w:fill="FFFFFF"/>
                </w:rPr>
                <w:t xml:space="preserve">Uher, R., Farmer, A., Henigsberg, N., Rietschel, M., Mors, O., Maier, W., </w:t>
              </w:r>
              <w:r w:rsidR="00356685">
                <w:rPr>
                  <w:shd w:val="clear" w:color="auto" w:fill="FFFFFF"/>
                </w:rPr>
                <w:t>Kozel, D., Hauser, J., Souery, D., Placentino, A., Strohmaier, J., Perroud, N., Zobel., A., Rajewska-Rager, A., D</w:t>
              </w:r>
              <w:r w:rsidR="00E41786">
                <w:rPr>
                  <w:shd w:val="clear" w:color="auto" w:fill="FFFFFF"/>
                </w:rPr>
                <w:t>e</w:t>
              </w:r>
              <w:r w:rsidR="00356685">
                <w:rPr>
                  <w:shd w:val="clear" w:color="auto" w:fill="FFFFFF"/>
                </w:rPr>
                <w:t>rnovsek, M. Z., Larsen, E. R., Kalember, P., Giovannini, C., Barreto, M., McGuffin, P.,</w:t>
              </w:r>
              <w:r w:rsidRPr="009C36EF">
                <w:rPr>
                  <w:shd w:val="clear" w:color="auto" w:fill="FFFFFF"/>
                </w:rPr>
                <w:t xml:space="preserve"> &amp; Aitchison, K. J. (2009). Adverse reactions to antidepressants. </w:t>
              </w:r>
              <w:r w:rsidRPr="00356685">
                <w:rPr>
                  <w:i/>
                  <w:shd w:val="clear" w:color="auto" w:fill="FFFFFF"/>
                </w:rPr>
                <w:t>The British Journal of Psychiatry</w:t>
              </w:r>
              <w:r w:rsidRPr="009C36EF">
                <w:rPr>
                  <w:shd w:val="clear" w:color="auto" w:fill="FFFFFF"/>
                </w:rPr>
                <w:t xml:space="preserve">, </w:t>
              </w:r>
              <w:r w:rsidRPr="00E41786">
                <w:rPr>
                  <w:i/>
                  <w:shd w:val="clear" w:color="auto" w:fill="FFFFFF"/>
                </w:rPr>
                <w:t>195</w:t>
              </w:r>
              <w:r w:rsidRPr="009C36EF">
                <w:rPr>
                  <w:shd w:val="clear" w:color="auto" w:fill="FFFFFF"/>
                </w:rPr>
                <w:t>(3), 202-210.</w:t>
              </w:r>
              <w:r w:rsidR="00356685">
                <w:rPr>
                  <w:shd w:val="clear" w:color="auto" w:fill="FFFFFF"/>
                </w:rPr>
                <w:t xml:space="preserve"> https://doi.org/</w:t>
              </w:r>
              <w:r w:rsidR="00356685">
                <w:t>10.1192/bjp.bp.108.061960</w:t>
              </w:r>
            </w:p>
            <w:p w14:paraId="4F0C7CB7" w14:textId="31D50A79" w:rsidR="00D36D3B" w:rsidRPr="001F64E8" w:rsidRDefault="00D36D3B" w:rsidP="00D36D3B">
              <w:pPr>
                <w:pStyle w:val="EndNoteBibliography"/>
                <w:ind w:left="720" w:hanging="720"/>
                <w:rPr>
                  <w:shd w:val="clear" w:color="auto" w:fill="FFFFFF"/>
                </w:rPr>
              </w:pPr>
              <w:r w:rsidRPr="001F64E8">
                <w:rPr>
                  <w:shd w:val="clear" w:color="auto" w:fill="FFFFFF"/>
                </w:rPr>
                <w:t xml:space="preserve">Wang, M., &amp; Saudino, K. J. (2011). Emotion regulation and stress. </w:t>
              </w:r>
              <w:r w:rsidRPr="001F64E8">
                <w:rPr>
                  <w:i/>
                  <w:shd w:val="clear" w:color="auto" w:fill="FFFFFF"/>
                </w:rPr>
                <w:t>Journal of Adult Development</w:t>
              </w:r>
              <w:r w:rsidRPr="001F64E8">
                <w:rPr>
                  <w:shd w:val="clear" w:color="auto" w:fill="FFFFFF"/>
                </w:rPr>
                <w:t xml:space="preserve">, </w:t>
              </w:r>
              <w:r w:rsidRPr="001F64E8">
                <w:rPr>
                  <w:i/>
                  <w:shd w:val="clear" w:color="auto" w:fill="FFFFFF"/>
                </w:rPr>
                <w:t>18</w:t>
              </w:r>
              <w:r w:rsidRPr="001F64E8">
                <w:rPr>
                  <w:shd w:val="clear" w:color="auto" w:fill="FFFFFF"/>
                </w:rPr>
                <w:t xml:space="preserve">(2), 95-103. </w:t>
              </w:r>
              <w:r w:rsidRPr="001F64E8">
                <w:rPr>
                  <w:shd w:val="clear" w:color="auto" w:fill="FFFFFF"/>
                  <w:lang w:val="en-AU"/>
                </w:rPr>
                <w:t>https://link.springer.com/content/pdf/10.1007/s10804-010-9114-7.pdf</w:t>
              </w:r>
            </w:p>
            <w:p w14:paraId="2D1947E8"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Wong, J. G., Cheung, E. P., Chan, K. K., Ma, K. K., &amp; Wa Tang, S. (2006). Web-based survey of depression, anxiety and stress in first-year tertiary education students in Hong Kong. </w:t>
              </w:r>
              <w:r w:rsidRPr="001F64E8">
                <w:rPr>
                  <w:i/>
                  <w:shd w:val="clear" w:color="auto" w:fill="FFFFFF"/>
                </w:rPr>
                <w:t>Australian &amp; New Zealand Journal of Psychiatry</w:t>
              </w:r>
              <w:r w:rsidRPr="001F64E8">
                <w:rPr>
                  <w:shd w:val="clear" w:color="auto" w:fill="FFFFFF"/>
                </w:rPr>
                <w:t xml:space="preserve">, </w:t>
              </w:r>
              <w:r w:rsidRPr="001F64E8">
                <w:rPr>
                  <w:i/>
                  <w:shd w:val="clear" w:color="auto" w:fill="FFFFFF"/>
                </w:rPr>
                <w:t>40</w:t>
              </w:r>
              <w:r w:rsidRPr="001F64E8">
                <w:rPr>
                  <w:shd w:val="clear" w:color="auto" w:fill="FFFFFF"/>
                </w:rPr>
                <w:t xml:space="preserve">(9), 777-782. </w:t>
              </w:r>
              <w:r w:rsidRPr="001F64E8">
                <w:rPr>
                  <w:shd w:val="clear" w:color="auto" w:fill="FFFFFF"/>
                  <w:lang w:val="en-AU"/>
                </w:rPr>
                <w:t>https://doi.org/10.1080/j.1440-1614.2006.01883.x</w:t>
              </w:r>
            </w:p>
            <w:p w14:paraId="3DE85770" w14:textId="77777777" w:rsidR="00D36D3B" w:rsidRPr="001F64E8" w:rsidRDefault="00D36D3B" w:rsidP="00D36D3B">
              <w:pPr>
                <w:pStyle w:val="EndNoteBibliography"/>
                <w:ind w:left="720" w:hanging="720"/>
                <w:rPr>
                  <w:shd w:val="clear" w:color="auto" w:fill="FFFFFF"/>
                </w:rPr>
              </w:pPr>
              <w:r w:rsidRPr="001F64E8">
                <w:rPr>
                  <w:shd w:val="clear" w:color="auto" w:fill="FFFFFF"/>
                  <w:lang w:val="en-AU"/>
                </w:rPr>
                <w:t>Young, L. T. (2007). Is bipolar disorder a mitochondrial disease? </w:t>
              </w:r>
              <w:r w:rsidRPr="001F64E8">
                <w:rPr>
                  <w:i/>
                  <w:iCs/>
                  <w:shd w:val="clear" w:color="auto" w:fill="FFFFFF"/>
                  <w:lang w:val="en-AU"/>
                </w:rPr>
                <w:t>Journal of Psychiatry &amp; Neuroscience</w:t>
              </w:r>
              <w:r w:rsidRPr="001F64E8">
                <w:rPr>
                  <w:shd w:val="clear" w:color="auto" w:fill="FFFFFF"/>
                  <w:lang w:val="en-AU"/>
                </w:rPr>
                <w:t>, </w:t>
              </w:r>
              <w:r w:rsidRPr="001F64E8">
                <w:rPr>
                  <w:i/>
                  <w:iCs/>
                  <w:shd w:val="clear" w:color="auto" w:fill="FFFFFF"/>
                  <w:lang w:val="en-AU"/>
                </w:rPr>
                <w:t>32</w:t>
              </w:r>
              <w:r w:rsidRPr="001F64E8">
                <w:rPr>
                  <w:shd w:val="clear" w:color="auto" w:fill="FFFFFF"/>
                  <w:lang w:val="en-AU"/>
                </w:rPr>
                <w:t>(3), 160-161. https://www.ncbi.nlm.nih.gov/pmc/articles/PMC1863554/pdf/20070500s00001p160.pdf</w:t>
              </w:r>
            </w:p>
            <w:p w14:paraId="156F3A75" w14:textId="77777777" w:rsidR="00D36D3B" w:rsidRPr="001F64E8" w:rsidRDefault="00D36D3B" w:rsidP="00D36D3B">
              <w:pPr>
                <w:pStyle w:val="EndNoteBibliography"/>
                <w:ind w:left="720" w:hanging="720"/>
                <w:rPr>
                  <w:shd w:val="clear" w:color="auto" w:fill="FFFFFF"/>
                </w:rPr>
              </w:pPr>
              <w:r w:rsidRPr="001F64E8">
                <w:rPr>
                  <w:shd w:val="clear" w:color="auto" w:fill="FFFFFF"/>
                </w:rPr>
                <w:t xml:space="preserve">Zeman, J., Cassano, M., Perry-Parrish, C., &amp; Stegall, S. (2006). Emotion regulation in children and adolescents. </w:t>
              </w:r>
              <w:r w:rsidRPr="001F64E8">
                <w:rPr>
                  <w:i/>
                  <w:shd w:val="clear" w:color="auto" w:fill="FFFFFF"/>
                </w:rPr>
                <w:t>Journal of Developmental &amp; Behavioral Pediatrics</w:t>
              </w:r>
              <w:r w:rsidRPr="001F64E8">
                <w:rPr>
                  <w:shd w:val="clear" w:color="auto" w:fill="FFFFFF"/>
                </w:rPr>
                <w:t xml:space="preserve">, </w:t>
              </w:r>
              <w:r w:rsidRPr="001F64E8">
                <w:rPr>
                  <w:i/>
                  <w:shd w:val="clear" w:color="auto" w:fill="FFFFFF"/>
                </w:rPr>
                <w:t>27</w:t>
              </w:r>
              <w:r w:rsidRPr="001F64E8">
                <w:rPr>
                  <w:shd w:val="clear" w:color="auto" w:fill="FFFFFF"/>
                </w:rPr>
                <w:t xml:space="preserve">(2), 155-168. </w:t>
              </w:r>
              <w:r w:rsidRPr="001F64E8">
                <w:rPr>
                  <w:shd w:val="clear" w:color="auto" w:fill="FFFFFF"/>
                  <w:lang w:val="en-AU"/>
                </w:rPr>
                <w:t>file:///C:/Users/nmk25/AppData/Local/Temp/MicrosoftEdgeDownloads/04a829b3-0755-40ad-ba8b-becccbddfa96/Emotion_Regulation_in_Children_and_Adolescents.14%20(1).pdf</w:t>
              </w:r>
            </w:p>
            <w:p w14:paraId="67225B04" w14:textId="77777777" w:rsidR="00D36D3B" w:rsidRPr="00C46ABB" w:rsidRDefault="00D36D3B" w:rsidP="00D36D3B">
              <w:pPr>
                <w:pStyle w:val="EndNoteBibliography"/>
                <w:ind w:left="720" w:hanging="720"/>
                <w:rPr>
                  <w:color w:val="333333"/>
                  <w:shd w:val="clear" w:color="auto" w:fill="FFFFFF"/>
                </w:rPr>
                <w:sectPr w:rsidR="00D36D3B" w:rsidRPr="00C46ABB" w:rsidSect="00D36D3B">
                  <w:headerReference w:type="default" r:id="rId25"/>
                  <w:footerReference w:type="default" r:id="rId26"/>
                  <w:headerReference w:type="first" r:id="rId27"/>
                  <w:pgSz w:w="11906" w:h="16838" w:code="9"/>
                  <w:pgMar w:top="1134" w:right="1134" w:bottom="1134" w:left="1134" w:header="709" w:footer="709" w:gutter="0"/>
                  <w:cols w:space="708"/>
                  <w:titlePg/>
                  <w:docGrid w:linePitch="360"/>
                </w:sectPr>
              </w:pPr>
              <w:r w:rsidRPr="001F64E8">
                <w:rPr>
                  <w:shd w:val="clear" w:color="auto" w:fill="FFFFFF"/>
                </w:rPr>
                <w:t xml:space="preserve">Zimmermann, L. K., &amp; Stansbury, K. (2004). The influence of emotion regulation, level of shyness, and habituation on the neuroendocrine response of three-year-old children. </w:t>
              </w:r>
              <w:r w:rsidRPr="001F64E8">
                <w:rPr>
                  <w:i/>
                  <w:shd w:val="clear" w:color="auto" w:fill="FFFFFF"/>
                </w:rPr>
                <w:t>Psychoneuroendocrinology</w:t>
              </w:r>
              <w:r w:rsidRPr="001F64E8">
                <w:rPr>
                  <w:shd w:val="clear" w:color="auto" w:fill="FFFFFF"/>
                </w:rPr>
                <w:t xml:space="preserve">, </w:t>
              </w:r>
              <w:r w:rsidRPr="001F64E8">
                <w:rPr>
                  <w:i/>
                  <w:shd w:val="clear" w:color="auto" w:fill="FFFFFF"/>
                </w:rPr>
                <w:t>29</w:t>
              </w:r>
              <w:r w:rsidRPr="001F64E8">
                <w:rPr>
                  <w:shd w:val="clear" w:color="auto" w:fill="FFFFFF"/>
                </w:rPr>
                <w:t>(8), 973-98</w:t>
              </w:r>
              <w:bookmarkEnd w:id="17"/>
              <w:r w:rsidRPr="001F64E8">
                <w:rPr>
                  <w:shd w:val="clear" w:color="auto" w:fill="FFFFFF"/>
                </w:rPr>
                <w:t xml:space="preserve">. </w:t>
              </w:r>
              <w:r w:rsidRPr="001F64E8">
                <w:t>https://doi.org/10.1016/j.psyneuen.2003.09.0</w:t>
              </w:r>
            </w:p>
            <w:p w14:paraId="2C0A915B" w14:textId="77777777" w:rsidR="008A2ACC" w:rsidRDefault="00342995" w:rsidP="00D36D3B">
              <w:pPr>
                <w:pStyle w:val="EndNoteBibliography"/>
                <w:spacing w:after="0"/>
              </w:pPr>
            </w:p>
          </w:sdtContent>
        </w:sdt>
      </w:sdtContent>
    </w:sdt>
    <w:bookmarkStart w:id="18" w:name="_Toc17724189" w:displacedByCustomXml="prev"/>
    <w:p w14:paraId="2C770EED" w14:textId="77777777" w:rsidR="009A3FD1" w:rsidRPr="009145AC" w:rsidRDefault="006306A6" w:rsidP="008A2ACC">
      <w:pPr>
        <w:rPr>
          <w:b/>
          <w:color w:val="5B9BD5" w:themeColor="accent1"/>
          <w:sz w:val="26"/>
          <w:szCs w:val="26"/>
        </w:rPr>
      </w:pPr>
      <w:r w:rsidRPr="009145AC">
        <w:rPr>
          <w:b/>
          <w:color w:val="5B9BD5" w:themeColor="accent1"/>
          <w:sz w:val="26"/>
          <w:szCs w:val="26"/>
        </w:rPr>
        <w:t>A</w:t>
      </w:r>
      <w:r w:rsidR="009A3FD1" w:rsidRPr="009145AC">
        <w:rPr>
          <w:b/>
          <w:color w:val="5B9BD5" w:themeColor="accent1"/>
          <w:sz w:val="26"/>
          <w:szCs w:val="26"/>
        </w:rPr>
        <w:t>ppendices</w:t>
      </w:r>
      <w:bookmarkEnd w:id="18"/>
    </w:p>
    <w:p w14:paraId="6E845CC8" w14:textId="77777777" w:rsidR="009A3FD1" w:rsidRPr="009145AC" w:rsidRDefault="009A3FD1" w:rsidP="003E5412">
      <w:pPr>
        <w:pStyle w:val="Heading2"/>
        <w:jc w:val="both"/>
        <w:rPr>
          <w:rFonts w:asciiTheme="minorHAnsi" w:hAnsiTheme="minorHAnsi"/>
          <w:sz w:val="24"/>
        </w:rPr>
      </w:pPr>
      <w:bookmarkStart w:id="19" w:name="_Toc17724190"/>
      <w:r w:rsidRPr="009145AC">
        <w:rPr>
          <w:rFonts w:asciiTheme="minorHAnsi" w:hAnsiTheme="minorHAnsi"/>
          <w:sz w:val="24"/>
          <w:u w:val="single"/>
        </w:rPr>
        <w:t>Appendix A:</w:t>
      </w:r>
      <w:r w:rsidRPr="009145AC">
        <w:rPr>
          <w:rFonts w:asciiTheme="minorHAnsi" w:hAnsiTheme="minorHAnsi"/>
          <w:sz w:val="24"/>
        </w:rPr>
        <w:t xml:space="preserve"> </w:t>
      </w:r>
      <w:r w:rsidR="00A623D7" w:rsidRPr="009145AC">
        <w:rPr>
          <w:rFonts w:asciiTheme="minorHAnsi" w:hAnsiTheme="minorHAnsi"/>
          <w:sz w:val="24"/>
        </w:rPr>
        <w:t>Lightning Stiks active intervention</w:t>
      </w:r>
      <w:r w:rsidRPr="009145AC">
        <w:rPr>
          <w:rFonts w:asciiTheme="minorHAnsi" w:hAnsiTheme="minorHAnsi"/>
          <w:sz w:val="24"/>
        </w:rPr>
        <w:t xml:space="preserve"> ingredient list</w:t>
      </w:r>
      <w:bookmarkEnd w:id="19"/>
    </w:p>
    <w:p w14:paraId="66E857D2" w14:textId="77777777" w:rsidR="00884AA3" w:rsidRPr="00D36D3B" w:rsidRDefault="00A623D7" w:rsidP="00A623D7">
      <w:pPr>
        <w:jc w:val="both"/>
      </w:pPr>
      <w:r>
        <w:rPr>
          <w:noProof/>
          <w:lang w:val="de-DE" w:eastAsia="de-DE"/>
        </w:rPr>
        <w:drawing>
          <wp:inline distT="0" distB="0" distL="0" distR="0" wp14:anchorId="233C41C4" wp14:editId="59B3C7F4">
            <wp:extent cx="5562600" cy="64138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2927" cy="6425724"/>
                    </a:xfrm>
                    <a:prstGeom prst="rect">
                      <a:avLst/>
                    </a:prstGeom>
                  </pic:spPr>
                </pic:pic>
              </a:graphicData>
            </a:graphic>
          </wp:inline>
        </w:drawing>
      </w:r>
      <w:bookmarkStart w:id="20" w:name="_Toc17724191"/>
    </w:p>
    <w:p w14:paraId="7A7DF42B" w14:textId="77777777" w:rsidR="00C63CD9" w:rsidRDefault="00C63CD9" w:rsidP="00A623D7">
      <w:pPr>
        <w:jc w:val="both"/>
        <w:rPr>
          <w:b/>
          <w:color w:val="5B9BD5" w:themeColor="accent1"/>
          <w:sz w:val="24"/>
          <w:szCs w:val="26"/>
          <w:u w:val="single"/>
        </w:rPr>
      </w:pPr>
    </w:p>
    <w:p w14:paraId="4D0D1081" w14:textId="77777777" w:rsidR="00C63CD9" w:rsidRDefault="00C63CD9" w:rsidP="00A623D7">
      <w:pPr>
        <w:jc w:val="both"/>
        <w:rPr>
          <w:b/>
          <w:color w:val="5B9BD5" w:themeColor="accent1"/>
          <w:sz w:val="24"/>
          <w:szCs w:val="26"/>
          <w:u w:val="single"/>
        </w:rPr>
      </w:pPr>
    </w:p>
    <w:p w14:paraId="093EFA83" w14:textId="77777777" w:rsidR="00C63CD9" w:rsidRDefault="00C63CD9" w:rsidP="00A623D7">
      <w:pPr>
        <w:jc w:val="both"/>
        <w:rPr>
          <w:b/>
          <w:color w:val="5B9BD5" w:themeColor="accent1"/>
          <w:sz w:val="24"/>
          <w:szCs w:val="26"/>
          <w:u w:val="single"/>
        </w:rPr>
      </w:pPr>
    </w:p>
    <w:p w14:paraId="501D184E" w14:textId="77777777" w:rsidR="00C63CD9" w:rsidRPr="00D92953" w:rsidRDefault="00D92953" w:rsidP="00A623D7">
      <w:pPr>
        <w:jc w:val="both"/>
        <w:rPr>
          <w:b/>
          <w:color w:val="5B9BD5" w:themeColor="accent1"/>
          <w:sz w:val="24"/>
          <w:szCs w:val="26"/>
        </w:rPr>
      </w:pPr>
      <w:r w:rsidRPr="009145AC">
        <w:rPr>
          <w:b/>
          <w:color w:val="5B9BD5" w:themeColor="accent1"/>
          <w:sz w:val="24"/>
          <w:szCs w:val="26"/>
          <w:u w:val="single"/>
        </w:rPr>
        <w:lastRenderedPageBreak/>
        <w:t xml:space="preserve">Appendix </w:t>
      </w:r>
      <w:r>
        <w:rPr>
          <w:b/>
          <w:color w:val="5B9BD5" w:themeColor="accent1"/>
          <w:sz w:val="24"/>
          <w:szCs w:val="26"/>
          <w:u w:val="single"/>
        </w:rPr>
        <w:t>B</w:t>
      </w:r>
      <w:r w:rsidRPr="009145AC">
        <w:rPr>
          <w:b/>
          <w:color w:val="5B9BD5" w:themeColor="accent1"/>
          <w:sz w:val="24"/>
          <w:szCs w:val="26"/>
          <w:u w:val="single"/>
        </w:rPr>
        <w:t>:</w:t>
      </w:r>
      <w:r w:rsidRPr="009145AC">
        <w:rPr>
          <w:b/>
          <w:color w:val="5B9BD5" w:themeColor="accent1"/>
          <w:sz w:val="24"/>
          <w:szCs w:val="26"/>
        </w:rPr>
        <w:t xml:space="preserve"> Schedule of Event</w:t>
      </w:r>
      <w:r>
        <w:rPr>
          <w:b/>
          <w:color w:val="5B9BD5" w:themeColor="accent1"/>
          <w:sz w:val="24"/>
          <w:szCs w:val="26"/>
        </w:rPr>
        <w:t>s</w:t>
      </w:r>
    </w:p>
    <w:tbl>
      <w:tblPr>
        <w:tblpPr w:leftFromText="180" w:rightFromText="180" w:vertAnchor="text" w:horzAnchor="page" w:tblpX="646" w:tblpY="85"/>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1275"/>
        <w:gridCol w:w="1134"/>
        <w:gridCol w:w="993"/>
        <w:gridCol w:w="992"/>
        <w:gridCol w:w="992"/>
        <w:gridCol w:w="1021"/>
        <w:gridCol w:w="1955"/>
      </w:tblGrid>
      <w:tr w:rsidR="00F153D3" w:rsidRPr="00683CDB" w14:paraId="22284033" w14:textId="77777777" w:rsidTr="00F153D3">
        <w:trPr>
          <w:trHeight w:val="274"/>
        </w:trPr>
        <w:tc>
          <w:tcPr>
            <w:tcW w:w="1242" w:type="dxa"/>
          </w:tcPr>
          <w:bookmarkEnd w:id="20"/>
          <w:p w14:paraId="6A27279E" w14:textId="4A321311" w:rsidR="00F153D3" w:rsidRPr="00683CDB" w:rsidRDefault="00D7763E" w:rsidP="00F153D3">
            <w:pPr>
              <w:rPr>
                <w:rFonts w:cs="Calibri"/>
                <w:b/>
              </w:rPr>
            </w:pPr>
            <w:r>
              <w:rPr>
                <w:rFonts w:cs="Calibri"/>
                <w:b/>
              </w:rPr>
              <w:t>x</w:t>
            </w:r>
          </w:p>
        </w:tc>
        <w:tc>
          <w:tcPr>
            <w:tcW w:w="993" w:type="dxa"/>
          </w:tcPr>
          <w:p w14:paraId="7B27C5F1" w14:textId="77777777" w:rsidR="00F153D3" w:rsidRPr="00683CDB" w:rsidRDefault="00F153D3" w:rsidP="00F153D3">
            <w:pPr>
              <w:rPr>
                <w:rFonts w:cs="Calibri"/>
                <w:b/>
              </w:rPr>
            </w:pPr>
            <w:r w:rsidRPr="00683CDB">
              <w:rPr>
                <w:rFonts w:cs="Calibri"/>
                <w:b/>
              </w:rPr>
              <w:t>Group</w:t>
            </w:r>
          </w:p>
        </w:tc>
        <w:tc>
          <w:tcPr>
            <w:tcW w:w="1275" w:type="dxa"/>
          </w:tcPr>
          <w:p w14:paraId="3FE19DD2" w14:textId="77777777" w:rsidR="00F153D3" w:rsidRPr="00683CDB" w:rsidRDefault="00F153D3" w:rsidP="00F153D3">
            <w:pPr>
              <w:rPr>
                <w:rFonts w:cs="Calibri"/>
                <w:b/>
              </w:rPr>
            </w:pPr>
            <w:r w:rsidRPr="00683CDB">
              <w:rPr>
                <w:rFonts w:cs="Calibri"/>
                <w:b/>
              </w:rPr>
              <w:t>Screening</w:t>
            </w:r>
          </w:p>
        </w:tc>
        <w:tc>
          <w:tcPr>
            <w:tcW w:w="1134" w:type="dxa"/>
          </w:tcPr>
          <w:p w14:paraId="4D705116" w14:textId="77777777" w:rsidR="00F153D3" w:rsidRPr="00683CDB" w:rsidRDefault="00F153D3" w:rsidP="00F153D3">
            <w:pPr>
              <w:rPr>
                <w:rFonts w:cs="Calibri"/>
                <w:b/>
              </w:rPr>
            </w:pPr>
            <w:r>
              <w:rPr>
                <w:rFonts w:cs="Calibri"/>
                <w:b/>
              </w:rPr>
              <w:t>Study phase 1</w:t>
            </w:r>
          </w:p>
        </w:tc>
        <w:tc>
          <w:tcPr>
            <w:tcW w:w="1985" w:type="dxa"/>
            <w:gridSpan w:val="2"/>
          </w:tcPr>
          <w:p w14:paraId="68E3A3FD" w14:textId="77777777" w:rsidR="00F153D3" w:rsidRPr="00683CDB" w:rsidRDefault="00F153D3" w:rsidP="00F153D3">
            <w:pPr>
              <w:rPr>
                <w:rFonts w:cs="Calibri"/>
                <w:b/>
              </w:rPr>
            </w:pPr>
            <w:r>
              <w:rPr>
                <w:rFonts w:cs="Calibri"/>
                <w:b/>
              </w:rPr>
              <w:t>Study phase 2</w:t>
            </w:r>
          </w:p>
        </w:tc>
        <w:tc>
          <w:tcPr>
            <w:tcW w:w="2013" w:type="dxa"/>
            <w:gridSpan w:val="2"/>
          </w:tcPr>
          <w:p w14:paraId="00170970" w14:textId="77777777" w:rsidR="00F153D3" w:rsidRPr="00683CDB" w:rsidRDefault="00F153D3" w:rsidP="00F153D3">
            <w:pPr>
              <w:rPr>
                <w:rFonts w:cs="Calibri"/>
                <w:b/>
              </w:rPr>
            </w:pPr>
            <w:r>
              <w:rPr>
                <w:rFonts w:cs="Calibri"/>
                <w:b/>
              </w:rPr>
              <w:t>Study phase 3</w:t>
            </w:r>
          </w:p>
        </w:tc>
        <w:tc>
          <w:tcPr>
            <w:tcW w:w="1955" w:type="dxa"/>
          </w:tcPr>
          <w:p w14:paraId="0ED1D014" w14:textId="77777777" w:rsidR="00F153D3" w:rsidRPr="00683CDB" w:rsidRDefault="00F153D3" w:rsidP="00F153D3">
            <w:pPr>
              <w:rPr>
                <w:rFonts w:cs="Calibri"/>
                <w:b/>
              </w:rPr>
            </w:pPr>
            <w:r>
              <w:rPr>
                <w:rFonts w:cs="Calibri"/>
                <w:b/>
              </w:rPr>
              <w:t>Study phase 4/5</w:t>
            </w:r>
          </w:p>
        </w:tc>
      </w:tr>
      <w:tr w:rsidR="00F153D3" w:rsidRPr="00683CDB" w14:paraId="74B53A74" w14:textId="77777777" w:rsidTr="00F153D3">
        <w:trPr>
          <w:trHeight w:val="414"/>
        </w:trPr>
        <w:tc>
          <w:tcPr>
            <w:tcW w:w="1242" w:type="dxa"/>
          </w:tcPr>
          <w:p w14:paraId="7D3396BF" w14:textId="77777777" w:rsidR="00F153D3" w:rsidRPr="00683CDB" w:rsidRDefault="00F153D3" w:rsidP="00F153D3">
            <w:pPr>
              <w:rPr>
                <w:rFonts w:cs="Calibri"/>
              </w:rPr>
            </w:pPr>
          </w:p>
        </w:tc>
        <w:tc>
          <w:tcPr>
            <w:tcW w:w="993" w:type="dxa"/>
          </w:tcPr>
          <w:p w14:paraId="3F2B0A2F" w14:textId="77777777" w:rsidR="00F153D3" w:rsidRPr="00683CDB" w:rsidRDefault="00F153D3" w:rsidP="00F153D3">
            <w:pPr>
              <w:rPr>
                <w:rFonts w:cs="Calibri"/>
              </w:rPr>
            </w:pPr>
          </w:p>
        </w:tc>
        <w:tc>
          <w:tcPr>
            <w:tcW w:w="1275" w:type="dxa"/>
          </w:tcPr>
          <w:p w14:paraId="71327D05" w14:textId="77777777" w:rsidR="00F153D3" w:rsidRPr="00683CDB" w:rsidRDefault="00F153D3" w:rsidP="00F153D3">
            <w:pPr>
              <w:rPr>
                <w:rFonts w:cs="Calibri"/>
              </w:rPr>
            </w:pPr>
          </w:p>
        </w:tc>
        <w:tc>
          <w:tcPr>
            <w:tcW w:w="1134" w:type="dxa"/>
          </w:tcPr>
          <w:p w14:paraId="38F321C0" w14:textId="77777777" w:rsidR="00F153D3" w:rsidRPr="00683CDB" w:rsidRDefault="00F153D3" w:rsidP="00F153D3">
            <w:pPr>
              <w:rPr>
                <w:rFonts w:cs="Calibri"/>
              </w:rPr>
            </w:pPr>
          </w:p>
        </w:tc>
        <w:tc>
          <w:tcPr>
            <w:tcW w:w="993" w:type="dxa"/>
          </w:tcPr>
          <w:p w14:paraId="6262A32E" w14:textId="77777777" w:rsidR="00F153D3" w:rsidRPr="00683CDB" w:rsidRDefault="00F153D3" w:rsidP="00F153D3">
            <w:pPr>
              <w:rPr>
                <w:rFonts w:cs="Calibri"/>
                <w:b/>
              </w:rPr>
            </w:pPr>
            <w:r w:rsidRPr="00683CDB">
              <w:rPr>
                <w:rFonts w:cs="Calibri"/>
                <w:b/>
              </w:rPr>
              <w:t>Week 2</w:t>
            </w:r>
          </w:p>
        </w:tc>
        <w:tc>
          <w:tcPr>
            <w:tcW w:w="992" w:type="dxa"/>
          </w:tcPr>
          <w:p w14:paraId="7D1B1325" w14:textId="77777777" w:rsidR="00F153D3" w:rsidRPr="00683CDB" w:rsidRDefault="00F153D3" w:rsidP="00F153D3">
            <w:pPr>
              <w:rPr>
                <w:rFonts w:cs="Calibri"/>
                <w:b/>
              </w:rPr>
            </w:pPr>
            <w:r w:rsidRPr="00683CDB">
              <w:rPr>
                <w:rFonts w:cs="Calibri"/>
                <w:b/>
              </w:rPr>
              <w:t>Week 4</w:t>
            </w:r>
          </w:p>
        </w:tc>
        <w:tc>
          <w:tcPr>
            <w:tcW w:w="992" w:type="dxa"/>
          </w:tcPr>
          <w:p w14:paraId="12BA60D0" w14:textId="77777777" w:rsidR="00F153D3" w:rsidRPr="00683CDB" w:rsidRDefault="00F153D3" w:rsidP="00F153D3">
            <w:pPr>
              <w:rPr>
                <w:rFonts w:cs="Calibri"/>
                <w:b/>
              </w:rPr>
            </w:pPr>
            <w:r w:rsidRPr="00683CDB">
              <w:rPr>
                <w:rFonts w:cs="Calibri"/>
                <w:b/>
              </w:rPr>
              <w:t>Week 2</w:t>
            </w:r>
          </w:p>
        </w:tc>
        <w:tc>
          <w:tcPr>
            <w:tcW w:w="1021" w:type="dxa"/>
          </w:tcPr>
          <w:p w14:paraId="1320D479" w14:textId="77777777" w:rsidR="00F153D3" w:rsidRPr="00683CDB" w:rsidRDefault="00F153D3" w:rsidP="00F153D3">
            <w:pPr>
              <w:rPr>
                <w:rFonts w:cs="Calibri"/>
                <w:b/>
              </w:rPr>
            </w:pPr>
            <w:r w:rsidRPr="00683CDB">
              <w:rPr>
                <w:rFonts w:cs="Calibri"/>
                <w:b/>
              </w:rPr>
              <w:t>Week 4</w:t>
            </w:r>
          </w:p>
        </w:tc>
        <w:tc>
          <w:tcPr>
            <w:tcW w:w="1955" w:type="dxa"/>
          </w:tcPr>
          <w:p w14:paraId="6D83CF51" w14:textId="77777777" w:rsidR="00F153D3" w:rsidRPr="00683CDB" w:rsidRDefault="00F153D3" w:rsidP="00F153D3">
            <w:pPr>
              <w:rPr>
                <w:rFonts w:cs="Calibri"/>
                <w:b/>
              </w:rPr>
            </w:pPr>
            <w:r>
              <w:rPr>
                <w:rFonts w:cs="Calibri"/>
                <w:b/>
              </w:rPr>
              <w:t>Week 2 – Week 12 (every 2-4 weeks)</w:t>
            </w:r>
          </w:p>
        </w:tc>
      </w:tr>
      <w:tr w:rsidR="00F153D3" w:rsidRPr="00683CDB" w14:paraId="0BA4A961" w14:textId="77777777" w:rsidTr="00F153D3">
        <w:trPr>
          <w:trHeight w:val="414"/>
        </w:trPr>
        <w:tc>
          <w:tcPr>
            <w:tcW w:w="1242" w:type="dxa"/>
            <w:vMerge w:val="restart"/>
          </w:tcPr>
          <w:p w14:paraId="679060DC" w14:textId="77777777" w:rsidR="00F153D3" w:rsidRPr="00D634AC" w:rsidRDefault="00F153D3" w:rsidP="00F153D3">
            <w:pPr>
              <w:rPr>
                <w:rFonts w:cs="Calibri"/>
                <w:b/>
              </w:rPr>
            </w:pPr>
            <w:r>
              <w:rPr>
                <w:rFonts w:cs="Calibri"/>
                <w:b/>
              </w:rPr>
              <w:t>CGI-I</w:t>
            </w:r>
          </w:p>
        </w:tc>
        <w:tc>
          <w:tcPr>
            <w:tcW w:w="993" w:type="dxa"/>
          </w:tcPr>
          <w:p w14:paraId="28E0C758" w14:textId="77777777" w:rsidR="00F153D3" w:rsidRPr="00683CDB" w:rsidRDefault="00F153D3" w:rsidP="00F153D3">
            <w:pPr>
              <w:rPr>
                <w:rFonts w:cs="Calibri"/>
              </w:rPr>
            </w:pPr>
            <w:r>
              <w:rPr>
                <w:rFonts w:cs="Calibri"/>
              </w:rPr>
              <w:t>Group 1</w:t>
            </w:r>
          </w:p>
        </w:tc>
        <w:tc>
          <w:tcPr>
            <w:tcW w:w="1275" w:type="dxa"/>
          </w:tcPr>
          <w:p w14:paraId="524C3244" w14:textId="77777777" w:rsidR="00F153D3" w:rsidRDefault="00F153D3" w:rsidP="00F153D3">
            <w:pPr>
              <w:rPr>
                <w:rFonts w:cs="Calibri"/>
              </w:rPr>
            </w:pPr>
          </w:p>
        </w:tc>
        <w:tc>
          <w:tcPr>
            <w:tcW w:w="1134" w:type="dxa"/>
          </w:tcPr>
          <w:p w14:paraId="5031367D" w14:textId="77777777" w:rsidR="00F153D3" w:rsidRDefault="00F153D3" w:rsidP="00F153D3">
            <w:pPr>
              <w:rPr>
                <w:rFonts w:cs="Calibri"/>
              </w:rPr>
            </w:pPr>
          </w:p>
        </w:tc>
        <w:tc>
          <w:tcPr>
            <w:tcW w:w="993" w:type="dxa"/>
          </w:tcPr>
          <w:p w14:paraId="0B0446CF" w14:textId="77777777" w:rsidR="00F153D3" w:rsidRDefault="00F153D3" w:rsidP="00F153D3">
            <w:pPr>
              <w:rPr>
                <w:rFonts w:cs="Calibri"/>
              </w:rPr>
            </w:pPr>
            <w:r>
              <w:rPr>
                <w:rFonts w:cs="Calibri"/>
              </w:rPr>
              <w:t>x</w:t>
            </w:r>
          </w:p>
        </w:tc>
        <w:tc>
          <w:tcPr>
            <w:tcW w:w="992" w:type="dxa"/>
          </w:tcPr>
          <w:p w14:paraId="3E1D2E2B" w14:textId="77777777" w:rsidR="00F153D3" w:rsidRDefault="00F153D3" w:rsidP="00F153D3">
            <w:pPr>
              <w:rPr>
                <w:rFonts w:cs="Calibri"/>
              </w:rPr>
            </w:pPr>
            <w:r>
              <w:rPr>
                <w:rFonts w:cs="Calibri"/>
              </w:rPr>
              <w:t>x</w:t>
            </w:r>
          </w:p>
        </w:tc>
        <w:tc>
          <w:tcPr>
            <w:tcW w:w="992" w:type="dxa"/>
          </w:tcPr>
          <w:p w14:paraId="0080FF97" w14:textId="77777777" w:rsidR="00F153D3" w:rsidRDefault="00F153D3" w:rsidP="00F153D3">
            <w:pPr>
              <w:rPr>
                <w:rFonts w:cs="Calibri"/>
              </w:rPr>
            </w:pPr>
            <w:r>
              <w:rPr>
                <w:rFonts w:cs="Calibri"/>
              </w:rPr>
              <w:t>x</w:t>
            </w:r>
          </w:p>
        </w:tc>
        <w:tc>
          <w:tcPr>
            <w:tcW w:w="1021" w:type="dxa"/>
          </w:tcPr>
          <w:p w14:paraId="6FDA00C5" w14:textId="77777777" w:rsidR="00F153D3" w:rsidRDefault="00F153D3" w:rsidP="00F153D3">
            <w:pPr>
              <w:rPr>
                <w:rFonts w:cs="Calibri"/>
              </w:rPr>
            </w:pPr>
            <w:r>
              <w:rPr>
                <w:rFonts w:cs="Calibri"/>
              </w:rPr>
              <w:t>x</w:t>
            </w:r>
          </w:p>
        </w:tc>
        <w:tc>
          <w:tcPr>
            <w:tcW w:w="1955" w:type="dxa"/>
          </w:tcPr>
          <w:p w14:paraId="195C7942" w14:textId="77777777" w:rsidR="00F153D3" w:rsidRDefault="00F153D3" w:rsidP="00F153D3">
            <w:pPr>
              <w:rPr>
                <w:rFonts w:cs="Calibri"/>
              </w:rPr>
            </w:pPr>
            <w:r>
              <w:rPr>
                <w:rFonts w:cs="Calibri"/>
              </w:rPr>
              <w:t>x</w:t>
            </w:r>
          </w:p>
        </w:tc>
      </w:tr>
      <w:tr w:rsidR="00F153D3" w:rsidRPr="00683CDB" w14:paraId="1D4C0A92" w14:textId="77777777" w:rsidTr="00F153D3">
        <w:trPr>
          <w:trHeight w:val="414"/>
        </w:trPr>
        <w:tc>
          <w:tcPr>
            <w:tcW w:w="1242" w:type="dxa"/>
            <w:vMerge/>
          </w:tcPr>
          <w:p w14:paraId="47029DE4" w14:textId="77777777" w:rsidR="00F153D3" w:rsidRPr="00D634AC" w:rsidRDefault="00F153D3" w:rsidP="00F153D3">
            <w:pPr>
              <w:rPr>
                <w:rFonts w:cs="Calibri"/>
                <w:b/>
              </w:rPr>
            </w:pPr>
          </w:p>
        </w:tc>
        <w:tc>
          <w:tcPr>
            <w:tcW w:w="993" w:type="dxa"/>
          </w:tcPr>
          <w:p w14:paraId="4A7021BF" w14:textId="77777777" w:rsidR="00F153D3" w:rsidRPr="00683CDB" w:rsidRDefault="00F153D3" w:rsidP="00F153D3">
            <w:pPr>
              <w:rPr>
                <w:rFonts w:cs="Calibri"/>
              </w:rPr>
            </w:pPr>
            <w:r>
              <w:rPr>
                <w:rFonts w:cs="Calibri"/>
              </w:rPr>
              <w:t>Group 2</w:t>
            </w:r>
          </w:p>
        </w:tc>
        <w:tc>
          <w:tcPr>
            <w:tcW w:w="1275" w:type="dxa"/>
          </w:tcPr>
          <w:p w14:paraId="4ACB8822" w14:textId="77777777" w:rsidR="00F153D3" w:rsidRDefault="00F153D3" w:rsidP="00F153D3">
            <w:pPr>
              <w:rPr>
                <w:rFonts w:cs="Calibri"/>
              </w:rPr>
            </w:pPr>
          </w:p>
        </w:tc>
        <w:tc>
          <w:tcPr>
            <w:tcW w:w="1134" w:type="dxa"/>
          </w:tcPr>
          <w:p w14:paraId="7D3261D4" w14:textId="77777777" w:rsidR="00F153D3" w:rsidRDefault="00F153D3" w:rsidP="00F153D3">
            <w:pPr>
              <w:rPr>
                <w:rFonts w:cs="Calibri"/>
              </w:rPr>
            </w:pPr>
          </w:p>
        </w:tc>
        <w:tc>
          <w:tcPr>
            <w:tcW w:w="993" w:type="dxa"/>
          </w:tcPr>
          <w:p w14:paraId="10E00E49" w14:textId="77777777" w:rsidR="00F153D3" w:rsidRDefault="00F153D3" w:rsidP="00F153D3">
            <w:pPr>
              <w:rPr>
                <w:rFonts w:cs="Calibri"/>
              </w:rPr>
            </w:pPr>
            <w:r>
              <w:rPr>
                <w:rFonts w:cs="Calibri"/>
              </w:rPr>
              <w:t>x</w:t>
            </w:r>
          </w:p>
        </w:tc>
        <w:tc>
          <w:tcPr>
            <w:tcW w:w="992" w:type="dxa"/>
          </w:tcPr>
          <w:p w14:paraId="7E90BB31" w14:textId="77777777" w:rsidR="00F153D3" w:rsidRDefault="00F153D3" w:rsidP="00F153D3">
            <w:pPr>
              <w:rPr>
                <w:rFonts w:cs="Calibri"/>
              </w:rPr>
            </w:pPr>
            <w:r>
              <w:rPr>
                <w:rFonts w:cs="Calibri"/>
              </w:rPr>
              <w:t>x</w:t>
            </w:r>
          </w:p>
        </w:tc>
        <w:tc>
          <w:tcPr>
            <w:tcW w:w="992" w:type="dxa"/>
          </w:tcPr>
          <w:p w14:paraId="116A3B3E" w14:textId="77777777" w:rsidR="00F153D3" w:rsidRDefault="00F153D3" w:rsidP="00F153D3">
            <w:pPr>
              <w:rPr>
                <w:rFonts w:cs="Calibri"/>
              </w:rPr>
            </w:pPr>
            <w:r>
              <w:rPr>
                <w:rFonts w:cs="Calibri"/>
              </w:rPr>
              <w:t>x</w:t>
            </w:r>
          </w:p>
        </w:tc>
        <w:tc>
          <w:tcPr>
            <w:tcW w:w="1021" w:type="dxa"/>
          </w:tcPr>
          <w:p w14:paraId="336F777D" w14:textId="77777777" w:rsidR="00F153D3" w:rsidRDefault="00F153D3" w:rsidP="00F153D3">
            <w:pPr>
              <w:rPr>
                <w:rFonts w:cs="Calibri"/>
              </w:rPr>
            </w:pPr>
            <w:r>
              <w:rPr>
                <w:rFonts w:cs="Calibri"/>
              </w:rPr>
              <w:t>x</w:t>
            </w:r>
          </w:p>
        </w:tc>
        <w:tc>
          <w:tcPr>
            <w:tcW w:w="1955" w:type="dxa"/>
          </w:tcPr>
          <w:p w14:paraId="5647D891" w14:textId="77777777" w:rsidR="00F153D3" w:rsidRDefault="00F153D3" w:rsidP="00F153D3">
            <w:pPr>
              <w:rPr>
                <w:rFonts w:cs="Calibri"/>
              </w:rPr>
            </w:pPr>
            <w:r>
              <w:rPr>
                <w:rFonts w:cs="Calibri"/>
              </w:rPr>
              <w:t>x</w:t>
            </w:r>
          </w:p>
        </w:tc>
      </w:tr>
      <w:tr w:rsidR="00F153D3" w:rsidRPr="00683CDB" w14:paraId="440F4773" w14:textId="77777777" w:rsidTr="00F153D3">
        <w:trPr>
          <w:trHeight w:val="414"/>
        </w:trPr>
        <w:tc>
          <w:tcPr>
            <w:tcW w:w="1242" w:type="dxa"/>
            <w:vMerge w:val="restart"/>
          </w:tcPr>
          <w:p w14:paraId="093E38FE" w14:textId="77777777" w:rsidR="00F153D3" w:rsidRPr="00D634AC" w:rsidRDefault="00F153D3" w:rsidP="00F153D3">
            <w:pPr>
              <w:rPr>
                <w:rFonts w:cs="Calibri"/>
                <w:b/>
              </w:rPr>
            </w:pPr>
            <w:r>
              <w:rPr>
                <w:rFonts w:cs="Calibri"/>
                <w:b/>
              </w:rPr>
              <w:t>CGI-S</w:t>
            </w:r>
          </w:p>
        </w:tc>
        <w:tc>
          <w:tcPr>
            <w:tcW w:w="993" w:type="dxa"/>
          </w:tcPr>
          <w:p w14:paraId="331D135C" w14:textId="77777777" w:rsidR="00F153D3" w:rsidRDefault="00F153D3" w:rsidP="00F153D3">
            <w:pPr>
              <w:rPr>
                <w:rFonts w:cs="Calibri"/>
              </w:rPr>
            </w:pPr>
            <w:r>
              <w:rPr>
                <w:rFonts w:cs="Calibri"/>
              </w:rPr>
              <w:t>Group 1</w:t>
            </w:r>
          </w:p>
        </w:tc>
        <w:tc>
          <w:tcPr>
            <w:tcW w:w="1275" w:type="dxa"/>
          </w:tcPr>
          <w:p w14:paraId="7D7C74E7" w14:textId="77777777" w:rsidR="00F153D3" w:rsidRDefault="00F153D3" w:rsidP="00F153D3">
            <w:pPr>
              <w:rPr>
                <w:rFonts w:cs="Calibri"/>
              </w:rPr>
            </w:pPr>
          </w:p>
        </w:tc>
        <w:tc>
          <w:tcPr>
            <w:tcW w:w="1134" w:type="dxa"/>
          </w:tcPr>
          <w:p w14:paraId="2A9DC2DF" w14:textId="77777777" w:rsidR="00F153D3" w:rsidRDefault="00F153D3" w:rsidP="00F153D3">
            <w:pPr>
              <w:rPr>
                <w:rFonts w:cs="Calibri"/>
              </w:rPr>
            </w:pPr>
            <w:r>
              <w:rPr>
                <w:rFonts w:cs="Calibri"/>
              </w:rPr>
              <w:t>x</w:t>
            </w:r>
          </w:p>
        </w:tc>
        <w:tc>
          <w:tcPr>
            <w:tcW w:w="993" w:type="dxa"/>
          </w:tcPr>
          <w:p w14:paraId="0149AFB8" w14:textId="77777777" w:rsidR="00F153D3" w:rsidRDefault="00F153D3" w:rsidP="00F153D3">
            <w:pPr>
              <w:rPr>
                <w:rFonts w:cs="Calibri"/>
              </w:rPr>
            </w:pPr>
          </w:p>
        </w:tc>
        <w:tc>
          <w:tcPr>
            <w:tcW w:w="992" w:type="dxa"/>
          </w:tcPr>
          <w:p w14:paraId="02E6DCFF" w14:textId="77777777" w:rsidR="00F153D3" w:rsidRDefault="00F153D3" w:rsidP="00F153D3">
            <w:pPr>
              <w:rPr>
                <w:rFonts w:cs="Calibri"/>
              </w:rPr>
            </w:pPr>
          </w:p>
        </w:tc>
        <w:tc>
          <w:tcPr>
            <w:tcW w:w="992" w:type="dxa"/>
          </w:tcPr>
          <w:p w14:paraId="6DB8CA1F" w14:textId="77777777" w:rsidR="00F153D3" w:rsidRDefault="00F153D3" w:rsidP="00F153D3">
            <w:pPr>
              <w:rPr>
                <w:rFonts w:cs="Calibri"/>
              </w:rPr>
            </w:pPr>
          </w:p>
        </w:tc>
        <w:tc>
          <w:tcPr>
            <w:tcW w:w="1021" w:type="dxa"/>
          </w:tcPr>
          <w:p w14:paraId="652F0865" w14:textId="77777777" w:rsidR="00F153D3" w:rsidRDefault="00F153D3" w:rsidP="00F153D3">
            <w:pPr>
              <w:rPr>
                <w:rFonts w:cs="Calibri"/>
              </w:rPr>
            </w:pPr>
          </w:p>
        </w:tc>
        <w:tc>
          <w:tcPr>
            <w:tcW w:w="1955" w:type="dxa"/>
          </w:tcPr>
          <w:p w14:paraId="58620965" w14:textId="77777777" w:rsidR="00F153D3" w:rsidRDefault="00F153D3" w:rsidP="00F153D3">
            <w:pPr>
              <w:rPr>
                <w:rFonts w:cs="Calibri"/>
              </w:rPr>
            </w:pPr>
            <w:r>
              <w:rPr>
                <w:rFonts w:cs="Calibri"/>
              </w:rPr>
              <w:t>x</w:t>
            </w:r>
          </w:p>
        </w:tc>
      </w:tr>
      <w:tr w:rsidR="00F153D3" w:rsidRPr="00683CDB" w14:paraId="1316E153" w14:textId="77777777" w:rsidTr="00F153D3">
        <w:trPr>
          <w:trHeight w:val="414"/>
        </w:trPr>
        <w:tc>
          <w:tcPr>
            <w:tcW w:w="1242" w:type="dxa"/>
            <w:vMerge/>
          </w:tcPr>
          <w:p w14:paraId="1934E5DD" w14:textId="77777777" w:rsidR="00F153D3" w:rsidRPr="00D634AC" w:rsidRDefault="00F153D3" w:rsidP="00F153D3">
            <w:pPr>
              <w:rPr>
                <w:rFonts w:cs="Calibri"/>
                <w:b/>
              </w:rPr>
            </w:pPr>
          </w:p>
        </w:tc>
        <w:tc>
          <w:tcPr>
            <w:tcW w:w="993" w:type="dxa"/>
          </w:tcPr>
          <w:p w14:paraId="1D631605" w14:textId="77777777" w:rsidR="00F153D3" w:rsidRDefault="00F153D3" w:rsidP="00F153D3">
            <w:pPr>
              <w:rPr>
                <w:rFonts w:cs="Calibri"/>
              </w:rPr>
            </w:pPr>
            <w:r>
              <w:rPr>
                <w:rFonts w:cs="Calibri"/>
              </w:rPr>
              <w:t>Group 2</w:t>
            </w:r>
          </w:p>
        </w:tc>
        <w:tc>
          <w:tcPr>
            <w:tcW w:w="1275" w:type="dxa"/>
          </w:tcPr>
          <w:p w14:paraId="7D508346" w14:textId="77777777" w:rsidR="00F153D3" w:rsidRDefault="00F153D3" w:rsidP="00F153D3">
            <w:pPr>
              <w:rPr>
                <w:rFonts w:cs="Calibri"/>
              </w:rPr>
            </w:pPr>
          </w:p>
        </w:tc>
        <w:tc>
          <w:tcPr>
            <w:tcW w:w="1134" w:type="dxa"/>
          </w:tcPr>
          <w:p w14:paraId="14C8FCE2" w14:textId="77777777" w:rsidR="00F153D3" w:rsidRDefault="00F153D3" w:rsidP="00F153D3">
            <w:pPr>
              <w:rPr>
                <w:rFonts w:cs="Calibri"/>
              </w:rPr>
            </w:pPr>
            <w:r>
              <w:rPr>
                <w:rFonts w:cs="Calibri"/>
              </w:rPr>
              <w:t>x</w:t>
            </w:r>
          </w:p>
        </w:tc>
        <w:tc>
          <w:tcPr>
            <w:tcW w:w="993" w:type="dxa"/>
          </w:tcPr>
          <w:p w14:paraId="7D9A25AB" w14:textId="77777777" w:rsidR="00F153D3" w:rsidRDefault="00F153D3" w:rsidP="00F153D3">
            <w:pPr>
              <w:rPr>
                <w:rFonts w:cs="Calibri"/>
              </w:rPr>
            </w:pPr>
          </w:p>
        </w:tc>
        <w:tc>
          <w:tcPr>
            <w:tcW w:w="992" w:type="dxa"/>
          </w:tcPr>
          <w:p w14:paraId="1DA3FA79" w14:textId="77777777" w:rsidR="00F153D3" w:rsidRDefault="00F153D3" w:rsidP="00F153D3">
            <w:pPr>
              <w:rPr>
                <w:rFonts w:cs="Calibri"/>
              </w:rPr>
            </w:pPr>
          </w:p>
        </w:tc>
        <w:tc>
          <w:tcPr>
            <w:tcW w:w="992" w:type="dxa"/>
          </w:tcPr>
          <w:p w14:paraId="36CCB66B" w14:textId="77777777" w:rsidR="00F153D3" w:rsidRDefault="00F153D3" w:rsidP="00F153D3">
            <w:pPr>
              <w:rPr>
                <w:rFonts w:cs="Calibri"/>
              </w:rPr>
            </w:pPr>
          </w:p>
        </w:tc>
        <w:tc>
          <w:tcPr>
            <w:tcW w:w="1021" w:type="dxa"/>
          </w:tcPr>
          <w:p w14:paraId="667F0521" w14:textId="77777777" w:rsidR="00F153D3" w:rsidRDefault="00F153D3" w:rsidP="00F153D3">
            <w:pPr>
              <w:rPr>
                <w:rFonts w:cs="Calibri"/>
              </w:rPr>
            </w:pPr>
          </w:p>
        </w:tc>
        <w:tc>
          <w:tcPr>
            <w:tcW w:w="1955" w:type="dxa"/>
          </w:tcPr>
          <w:p w14:paraId="31F4B029" w14:textId="77777777" w:rsidR="00F153D3" w:rsidRDefault="00F153D3" w:rsidP="00F153D3">
            <w:pPr>
              <w:rPr>
                <w:rFonts w:cs="Calibri"/>
              </w:rPr>
            </w:pPr>
            <w:r>
              <w:rPr>
                <w:rFonts w:cs="Calibri"/>
              </w:rPr>
              <w:t>x</w:t>
            </w:r>
          </w:p>
        </w:tc>
      </w:tr>
      <w:tr w:rsidR="00F153D3" w:rsidRPr="00683CDB" w14:paraId="419487D9" w14:textId="77777777" w:rsidTr="00F153D3">
        <w:trPr>
          <w:trHeight w:val="414"/>
        </w:trPr>
        <w:tc>
          <w:tcPr>
            <w:tcW w:w="1242" w:type="dxa"/>
            <w:vMerge w:val="restart"/>
          </w:tcPr>
          <w:p w14:paraId="6FCEEB1E" w14:textId="77777777" w:rsidR="00F153D3" w:rsidRPr="00D634AC" w:rsidRDefault="00F153D3" w:rsidP="00F153D3">
            <w:pPr>
              <w:rPr>
                <w:rFonts w:cs="Calibri"/>
                <w:b/>
              </w:rPr>
            </w:pPr>
            <w:r>
              <w:rPr>
                <w:rFonts w:cs="Calibri"/>
                <w:b/>
              </w:rPr>
              <w:t>SNAP-IV</w:t>
            </w:r>
          </w:p>
        </w:tc>
        <w:tc>
          <w:tcPr>
            <w:tcW w:w="993" w:type="dxa"/>
          </w:tcPr>
          <w:p w14:paraId="701EC00D" w14:textId="77777777" w:rsidR="00F153D3" w:rsidRPr="00683CDB" w:rsidRDefault="00F153D3" w:rsidP="00F153D3">
            <w:pPr>
              <w:rPr>
                <w:rFonts w:cs="Calibri"/>
              </w:rPr>
            </w:pPr>
            <w:r w:rsidRPr="00683CDB">
              <w:rPr>
                <w:rFonts w:cs="Calibri"/>
              </w:rPr>
              <w:t>Group 1</w:t>
            </w:r>
          </w:p>
        </w:tc>
        <w:tc>
          <w:tcPr>
            <w:tcW w:w="1275" w:type="dxa"/>
          </w:tcPr>
          <w:p w14:paraId="66BAB120" w14:textId="77777777" w:rsidR="00F153D3" w:rsidRPr="00683CDB" w:rsidRDefault="00F153D3" w:rsidP="00F153D3">
            <w:pPr>
              <w:rPr>
                <w:rFonts w:cs="Calibri"/>
              </w:rPr>
            </w:pPr>
          </w:p>
        </w:tc>
        <w:tc>
          <w:tcPr>
            <w:tcW w:w="1134" w:type="dxa"/>
          </w:tcPr>
          <w:p w14:paraId="232A02F3" w14:textId="77777777" w:rsidR="00F153D3" w:rsidRPr="00683CDB" w:rsidRDefault="00F153D3" w:rsidP="00F153D3">
            <w:pPr>
              <w:rPr>
                <w:rFonts w:cs="Calibri"/>
              </w:rPr>
            </w:pPr>
            <w:r>
              <w:rPr>
                <w:rFonts w:cs="Calibri"/>
              </w:rPr>
              <w:t>x</w:t>
            </w:r>
          </w:p>
        </w:tc>
        <w:tc>
          <w:tcPr>
            <w:tcW w:w="993" w:type="dxa"/>
          </w:tcPr>
          <w:p w14:paraId="1DBFF474" w14:textId="77777777" w:rsidR="00F153D3" w:rsidRPr="00683CDB" w:rsidRDefault="00F153D3" w:rsidP="00F153D3">
            <w:pPr>
              <w:rPr>
                <w:rFonts w:cs="Calibri"/>
              </w:rPr>
            </w:pPr>
          </w:p>
        </w:tc>
        <w:tc>
          <w:tcPr>
            <w:tcW w:w="992" w:type="dxa"/>
          </w:tcPr>
          <w:p w14:paraId="6811C740" w14:textId="77777777" w:rsidR="00F153D3" w:rsidRPr="00683CDB" w:rsidRDefault="00F153D3" w:rsidP="00F153D3">
            <w:pPr>
              <w:rPr>
                <w:rFonts w:cs="Calibri"/>
              </w:rPr>
            </w:pPr>
            <w:r>
              <w:rPr>
                <w:rFonts w:cs="Calibri"/>
              </w:rPr>
              <w:t>x</w:t>
            </w:r>
          </w:p>
        </w:tc>
        <w:tc>
          <w:tcPr>
            <w:tcW w:w="992" w:type="dxa"/>
          </w:tcPr>
          <w:p w14:paraId="0D15DC89" w14:textId="77777777" w:rsidR="00F153D3" w:rsidRPr="00683CDB" w:rsidRDefault="00F153D3" w:rsidP="00F153D3">
            <w:pPr>
              <w:rPr>
                <w:rFonts w:cs="Calibri"/>
              </w:rPr>
            </w:pPr>
          </w:p>
        </w:tc>
        <w:tc>
          <w:tcPr>
            <w:tcW w:w="1021" w:type="dxa"/>
          </w:tcPr>
          <w:p w14:paraId="1ABA3808" w14:textId="77777777" w:rsidR="00F153D3" w:rsidRPr="00683CDB" w:rsidRDefault="00F153D3" w:rsidP="00F153D3">
            <w:pPr>
              <w:rPr>
                <w:rFonts w:cs="Calibri"/>
              </w:rPr>
            </w:pPr>
            <w:r>
              <w:rPr>
                <w:rFonts w:cs="Calibri"/>
              </w:rPr>
              <w:t>x</w:t>
            </w:r>
          </w:p>
        </w:tc>
        <w:tc>
          <w:tcPr>
            <w:tcW w:w="1955" w:type="dxa"/>
          </w:tcPr>
          <w:p w14:paraId="75045096" w14:textId="77777777" w:rsidR="00F153D3" w:rsidRDefault="00F153D3" w:rsidP="00F153D3">
            <w:pPr>
              <w:rPr>
                <w:rFonts w:cs="Calibri"/>
              </w:rPr>
            </w:pPr>
            <w:r>
              <w:rPr>
                <w:rFonts w:cs="Calibri"/>
              </w:rPr>
              <w:t>x</w:t>
            </w:r>
          </w:p>
        </w:tc>
      </w:tr>
      <w:tr w:rsidR="00F153D3" w:rsidRPr="00683CDB" w14:paraId="2C23BA2A" w14:textId="77777777" w:rsidTr="00F153D3">
        <w:trPr>
          <w:trHeight w:val="414"/>
        </w:trPr>
        <w:tc>
          <w:tcPr>
            <w:tcW w:w="1242" w:type="dxa"/>
            <w:vMerge/>
          </w:tcPr>
          <w:p w14:paraId="7A2C6552" w14:textId="77777777" w:rsidR="00F153D3" w:rsidRPr="00D634AC" w:rsidRDefault="00F153D3" w:rsidP="00F153D3">
            <w:pPr>
              <w:rPr>
                <w:rFonts w:cs="Calibri"/>
                <w:b/>
              </w:rPr>
            </w:pPr>
          </w:p>
        </w:tc>
        <w:tc>
          <w:tcPr>
            <w:tcW w:w="993" w:type="dxa"/>
          </w:tcPr>
          <w:p w14:paraId="143804A9" w14:textId="77777777" w:rsidR="00F153D3" w:rsidRPr="00683CDB" w:rsidRDefault="00F153D3" w:rsidP="00F153D3">
            <w:pPr>
              <w:rPr>
                <w:rFonts w:cs="Calibri"/>
              </w:rPr>
            </w:pPr>
            <w:r w:rsidRPr="00683CDB">
              <w:rPr>
                <w:rFonts w:cs="Calibri"/>
              </w:rPr>
              <w:t>Group 2</w:t>
            </w:r>
          </w:p>
        </w:tc>
        <w:tc>
          <w:tcPr>
            <w:tcW w:w="1275" w:type="dxa"/>
          </w:tcPr>
          <w:p w14:paraId="44178343" w14:textId="77777777" w:rsidR="00F153D3" w:rsidRPr="00683CDB" w:rsidRDefault="00F153D3" w:rsidP="00F153D3">
            <w:pPr>
              <w:rPr>
                <w:rFonts w:cs="Calibri"/>
              </w:rPr>
            </w:pPr>
          </w:p>
        </w:tc>
        <w:tc>
          <w:tcPr>
            <w:tcW w:w="1134" w:type="dxa"/>
          </w:tcPr>
          <w:p w14:paraId="55138033" w14:textId="77777777" w:rsidR="00F153D3" w:rsidRPr="00683CDB" w:rsidRDefault="00F153D3" w:rsidP="00F153D3">
            <w:pPr>
              <w:rPr>
                <w:rFonts w:cs="Calibri"/>
              </w:rPr>
            </w:pPr>
            <w:r>
              <w:rPr>
                <w:rFonts w:cs="Calibri"/>
              </w:rPr>
              <w:t>x</w:t>
            </w:r>
          </w:p>
        </w:tc>
        <w:tc>
          <w:tcPr>
            <w:tcW w:w="993" w:type="dxa"/>
          </w:tcPr>
          <w:p w14:paraId="6829FCB7" w14:textId="77777777" w:rsidR="00F153D3" w:rsidRPr="00683CDB" w:rsidRDefault="00F153D3" w:rsidP="00F153D3">
            <w:pPr>
              <w:rPr>
                <w:rFonts w:cs="Calibri"/>
              </w:rPr>
            </w:pPr>
          </w:p>
        </w:tc>
        <w:tc>
          <w:tcPr>
            <w:tcW w:w="992" w:type="dxa"/>
          </w:tcPr>
          <w:p w14:paraId="2DD0F0AB" w14:textId="77777777" w:rsidR="00F153D3" w:rsidRPr="00683CDB" w:rsidRDefault="00F153D3" w:rsidP="00F153D3">
            <w:pPr>
              <w:rPr>
                <w:rFonts w:cs="Calibri"/>
              </w:rPr>
            </w:pPr>
            <w:r>
              <w:rPr>
                <w:rFonts w:cs="Calibri"/>
              </w:rPr>
              <w:t>x</w:t>
            </w:r>
          </w:p>
        </w:tc>
        <w:tc>
          <w:tcPr>
            <w:tcW w:w="992" w:type="dxa"/>
          </w:tcPr>
          <w:p w14:paraId="43AD9116" w14:textId="77777777" w:rsidR="00F153D3" w:rsidRPr="00683CDB" w:rsidRDefault="00F153D3" w:rsidP="00F153D3">
            <w:pPr>
              <w:rPr>
                <w:rFonts w:cs="Calibri"/>
              </w:rPr>
            </w:pPr>
          </w:p>
        </w:tc>
        <w:tc>
          <w:tcPr>
            <w:tcW w:w="1021" w:type="dxa"/>
          </w:tcPr>
          <w:p w14:paraId="74A3BEF9" w14:textId="77777777" w:rsidR="00F153D3" w:rsidRPr="00683CDB" w:rsidRDefault="00F153D3" w:rsidP="00F153D3">
            <w:pPr>
              <w:rPr>
                <w:rFonts w:cs="Calibri"/>
              </w:rPr>
            </w:pPr>
            <w:r>
              <w:rPr>
                <w:rFonts w:cs="Calibri"/>
              </w:rPr>
              <w:t>x</w:t>
            </w:r>
          </w:p>
        </w:tc>
        <w:tc>
          <w:tcPr>
            <w:tcW w:w="1955" w:type="dxa"/>
          </w:tcPr>
          <w:p w14:paraId="48E24952" w14:textId="77777777" w:rsidR="00F153D3" w:rsidRDefault="00F153D3" w:rsidP="00F153D3">
            <w:pPr>
              <w:rPr>
                <w:rFonts w:cs="Calibri"/>
              </w:rPr>
            </w:pPr>
            <w:r>
              <w:rPr>
                <w:rFonts w:cs="Calibri"/>
              </w:rPr>
              <w:t>x</w:t>
            </w:r>
          </w:p>
        </w:tc>
      </w:tr>
      <w:tr w:rsidR="00F153D3" w:rsidRPr="00683CDB" w14:paraId="26EB504F" w14:textId="77777777" w:rsidTr="00F153D3">
        <w:trPr>
          <w:trHeight w:val="392"/>
        </w:trPr>
        <w:tc>
          <w:tcPr>
            <w:tcW w:w="1242" w:type="dxa"/>
            <w:vMerge w:val="restart"/>
          </w:tcPr>
          <w:p w14:paraId="71A99BE5" w14:textId="77777777" w:rsidR="00F153D3" w:rsidRPr="00D634AC" w:rsidRDefault="00F153D3" w:rsidP="00F153D3">
            <w:pPr>
              <w:rPr>
                <w:rFonts w:cs="Calibri"/>
                <w:b/>
              </w:rPr>
            </w:pPr>
            <w:r>
              <w:rPr>
                <w:rFonts w:cs="Calibri"/>
                <w:b/>
                <w:iCs/>
                <w:lang w:val="en-US"/>
              </w:rPr>
              <w:t>CL-ARI</w:t>
            </w:r>
          </w:p>
        </w:tc>
        <w:tc>
          <w:tcPr>
            <w:tcW w:w="993" w:type="dxa"/>
          </w:tcPr>
          <w:p w14:paraId="12CE9AB4" w14:textId="77777777" w:rsidR="00F153D3" w:rsidRPr="00683CDB" w:rsidRDefault="00F153D3" w:rsidP="00F153D3">
            <w:pPr>
              <w:rPr>
                <w:rFonts w:cs="Calibri"/>
              </w:rPr>
            </w:pPr>
            <w:r w:rsidRPr="00683CDB">
              <w:rPr>
                <w:rFonts w:cs="Calibri"/>
              </w:rPr>
              <w:t>Group 1</w:t>
            </w:r>
          </w:p>
        </w:tc>
        <w:tc>
          <w:tcPr>
            <w:tcW w:w="1275" w:type="dxa"/>
          </w:tcPr>
          <w:p w14:paraId="1B119E45" w14:textId="77777777" w:rsidR="00F153D3" w:rsidRPr="00683CDB" w:rsidRDefault="00F153D3" w:rsidP="00F153D3">
            <w:pPr>
              <w:rPr>
                <w:rFonts w:cs="Calibri"/>
              </w:rPr>
            </w:pPr>
          </w:p>
        </w:tc>
        <w:tc>
          <w:tcPr>
            <w:tcW w:w="1134" w:type="dxa"/>
          </w:tcPr>
          <w:p w14:paraId="0DF17D5C" w14:textId="77777777" w:rsidR="00F153D3" w:rsidRPr="00683CDB" w:rsidRDefault="00F153D3" w:rsidP="00F153D3">
            <w:pPr>
              <w:rPr>
                <w:rFonts w:cs="Calibri"/>
              </w:rPr>
            </w:pPr>
            <w:r>
              <w:rPr>
                <w:rFonts w:cs="Calibri"/>
              </w:rPr>
              <w:t>x</w:t>
            </w:r>
          </w:p>
        </w:tc>
        <w:tc>
          <w:tcPr>
            <w:tcW w:w="993" w:type="dxa"/>
          </w:tcPr>
          <w:p w14:paraId="0462E00F" w14:textId="77777777" w:rsidR="00F153D3" w:rsidRPr="00683CDB" w:rsidRDefault="00F153D3" w:rsidP="00F153D3">
            <w:pPr>
              <w:rPr>
                <w:rFonts w:cs="Calibri"/>
              </w:rPr>
            </w:pPr>
          </w:p>
        </w:tc>
        <w:tc>
          <w:tcPr>
            <w:tcW w:w="992" w:type="dxa"/>
          </w:tcPr>
          <w:p w14:paraId="603A4450" w14:textId="77777777" w:rsidR="00F153D3" w:rsidRPr="00683CDB" w:rsidRDefault="00F153D3" w:rsidP="00F153D3">
            <w:pPr>
              <w:rPr>
                <w:rFonts w:cs="Calibri"/>
              </w:rPr>
            </w:pPr>
            <w:r>
              <w:rPr>
                <w:rFonts w:cs="Calibri"/>
              </w:rPr>
              <w:t>x</w:t>
            </w:r>
          </w:p>
        </w:tc>
        <w:tc>
          <w:tcPr>
            <w:tcW w:w="992" w:type="dxa"/>
          </w:tcPr>
          <w:p w14:paraId="365B98FD" w14:textId="77777777" w:rsidR="00F153D3" w:rsidRPr="00683CDB" w:rsidRDefault="00F153D3" w:rsidP="00F153D3">
            <w:pPr>
              <w:rPr>
                <w:rFonts w:cs="Calibri"/>
              </w:rPr>
            </w:pPr>
          </w:p>
        </w:tc>
        <w:tc>
          <w:tcPr>
            <w:tcW w:w="1021" w:type="dxa"/>
          </w:tcPr>
          <w:p w14:paraId="7308F946" w14:textId="77777777" w:rsidR="00F153D3" w:rsidRPr="00683CDB" w:rsidRDefault="00F153D3" w:rsidP="00F153D3">
            <w:pPr>
              <w:rPr>
                <w:rFonts w:cs="Calibri"/>
              </w:rPr>
            </w:pPr>
            <w:r>
              <w:rPr>
                <w:rFonts w:cs="Calibri"/>
              </w:rPr>
              <w:t>x</w:t>
            </w:r>
          </w:p>
        </w:tc>
        <w:tc>
          <w:tcPr>
            <w:tcW w:w="1955" w:type="dxa"/>
          </w:tcPr>
          <w:p w14:paraId="3A4FEAB1" w14:textId="77777777" w:rsidR="00F153D3" w:rsidRDefault="00F153D3" w:rsidP="00F153D3">
            <w:pPr>
              <w:rPr>
                <w:rFonts w:cs="Calibri"/>
              </w:rPr>
            </w:pPr>
            <w:r>
              <w:rPr>
                <w:rFonts w:cs="Calibri"/>
              </w:rPr>
              <w:t>x</w:t>
            </w:r>
          </w:p>
        </w:tc>
      </w:tr>
      <w:tr w:rsidR="00F153D3" w:rsidRPr="00683CDB" w14:paraId="262852C5" w14:textId="77777777" w:rsidTr="00F153D3">
        <w:trPr>
          <w:trHeight w:val="392"/>
        </w:trPr>
        <w:tc>
          <w:tcPr>
            <w:tcW w:w="1242" w:type="dxa"/>
            <w:vMerge/>
          </w:tcPr>
          <w:p w14:paraId="2C74AF88" w14:textId="77777777" w:rsidR="00F153D3" w:rsidRPr="00D634AC" w:rsidRDefault="00F153D3" w:rsidP="00F153D3">
            <w:pPr>
              <w:rPr>
                <w:rFonts w:cs="Calibri"/>
                <w:b/>
              </w:rPr>
            </w:pPr>
          </w:p>
        </w:tc>
        <w:tc>
          <w:tcPr>
            <w:tcW w:w="993" w:type="dxa"/>
          </w:tcPr>
          <w:p w14:paraId="137EBD2A" w14:textId="77777777" w:rsidR="00F153D3" w:rsidRPr="00683CDB" w:rsidRDefault="00F153D3" w:rsidP="00F153D3">
            <w:pPr>
              <w:rPr>
                <w:rFonts w:cs="Calibri"/>
              </w:rPr>
            </w:pPr>
            <w:r w:rsidRPr="00683CDB">
              <w:rPr>
                <w:rFonts w:cs="Calibri"/>
              </w:rPr>
              <w:t>Group 2</w:t>
            </w:r>
          </w:p>
        </w:tc>
        <w:tc>
          <w:tcPr>
            <w:tcW w:w="1275" w:type="dxa"/>
          </w:tcPr>
          <w:p w14:paraId="002BB60D" w14:textId="77777777" w:rsidR="00F153D3" w:rsidRPr="00683CDB" w:rsidRDefault="00F153D3" w:rsidP="00F153D3">
            <w:pPr>
              <w:rPr>
                <w:rFonts w:cs="Calibri"/>
              </w:rPr>
            </w:pPr>
          </w:p>
        </w:tc>
        <w:tc>
          <w:tcPr>
            <w:tcW w:w="1134" w:type="dxa"/>
          </w:tcPr>
          <w:p w14:paraId="27F3B045" w14:textId="77777777" w:rsidR="00F153D3" w:rsidRPr="00683CDB" w:rsidRDefault="00F153D3" w:rsidP="00F153D3">
            <w:pPr>
              <w:rPr>
                <w:rFonts w:cs="Calibri"/>
              </w:rPr>
            </w:pPr>
            <w:r>
              <w:rPr>
                <w:rFonts w:cs="Calibri"/>
              </w:rPr>
              <w:t>x</w:t>
            </w:r>
          </w:p>
        </w:tc>
        <w:tc>
          <w:tcPr>
            <w:tcW w:w="993" w:type="dxa"/>
          </w:tcPr>
          <w:p w14:paraId="4ABE0C9A" w14:textId="77777777" w:rsidR="00F153D3" w:rsidRPr="00683CDB" w:rsidRDefault="00F153D3" w:rsidP="00F153D3">
            <w:pPr>
              <w:rPr>
                <w:rFonts w:cs="Calibri"/>
              </w:rPr>
            </w:pPr>
          </w:p>
        </w:tc>
        <w:tc>
          <w:tcPr>
            <w:tcW w:w="992" w:type="dxa"/>
          </w:tcPr>
          <w:p w14:paraId="77F64762" w14:textId="77777777" w:rsidR="00F153D3" w:rsidRPr="00683CDB" w:rsidRDefault="00F153D3" w:rsidP="00F153D3">
            <w:pPr>
              <w:rPr>
                <w:rFonts w:cs="Calibri"/>
              </w:rPr>
            </w:pPr>
            <w:r>
              <w:rPr>
                <w:rFonts w:cs="Calibri"/>
              </w:rPr>
              <w:t>x</w:t>
            </w:r>
          </w:p>
        </w:tc>
        <w:tc>
          <w:tcPr>
            <w:tcW w:w="992" w:type="dxa"/>
          </w:tcPr>
          <w:p w14:paraId="3E1D79D5" w14:textId="77777777" w:rsidR="00F153D3" w:rsidRPr="00683CDB" w:rsidRDefault="00F153D3" w:rsidP="00F153D3">
            <w:pPr>
              <w:rPr>
                <w:rFonts w:cs="Calibri"/>
              </w:rPr>
            </w:pPr>
          </w:p>
        </w:tc>
        <w:tc>
          <w:tcPr>
            <w:tcW w:w="1021" w:type="dxa"/>
          </w:tcPr>
          <w:p w14:paraId="0BD7A458" w14:textId="77777777" w:rsidR="00F153D3" w:rsidRPr="00683CDB" w:rsidRDefault="00F153D3" w:rsidP="00F153D3">
            <w:pPr>
              <w:rPr>
                <w:rFonts w:cs="Calibri"/>
              </w:rPr>
            </w:pPr>
            <w:r>
              <w:rPr>
                <w:rFonts w:cs="Calibri"/>
              </w:rPr>
              <w:t>x</w:t>
            </w:r>
          </w:p>
        </w:tc>
        <w:tc>
          <w:tcPr>
            <w:tcW w:w="1955" w:type="dxa"/>
          </w:tcPr>
          <w:p w14:paraId="6AC86DC7" w14:textId="77777777" w:rsidR="00F153D3" w:rsidRDefault="00F153D3" w:rsidP="00F153D3">
            <w:pPr>
              <w:rPr>
                <w:rFonts w:cs="Calibri"/>
              </w:rPr>
            </w:pPr>
            <w:r>
              <w:rPr>
                <w:rFonts w:cs="Calibri"/>
              </w:rPr>
              <w:t>x</w:t>
            </w:r>
          </w:p>
        </w:tc>
      </w:tr>
      <w:tr w:rsidR="00F153D3" w:rsidRPr="00683CDB" w14:paraId="1953FF61" w14:textId="77777777" w:rsidTr="00F153D3">
        <w:trPr>
          <w:trHeight w:val="392"/>
        </w:trPr>
        <w:tc>
          <w:tcPr>
            <w:tcW w:w="1242" w:type="dxa"/>
            <w:vMerge w:val="restart"/>
          </w:tcPr>
          <w:p w14:paraId="73FC238F" w14:textId="77777777" w:rsidR="00F153D3" w:rsidRPr="00D634AC" w:rsidRDefault="00F153D3" w:rsidP="00F153D3">
            <w:pPr>
              <w:rPr>
                <w:rFonts w:cs="Calibri"/>
                <w:b/>
              </w:rPr>
            </w:pPr>
            <w:r w:rsidRPr="00D634AC">
              <w:rPr>
                <w:rFonts w:cs="Calibri"/>
                <w:b/>
              </w:rPr>
              <w:t>SDQ</w:t>
            </w:r>
          </w:p>
        </w:tc>
        <w:tc>
          <w:tcPr>
            <w:tcW w:w="993" w:type="dxa"/>
          </w:tcPr>
          <w:p w14:paraId="2AED168B" w14:textId="77777777" w:rsidR="00F153D3" w:rsidRPr="00683CDB" w:rsidRDefault="00F153D3" w:rsidP="00F153D3">
            <w:pPr>
              <w:rPr>
                <w:rFonts w:cs="Calibri"/>
              </w:rPr>
            </w:pPr>
            <w:r w:rsidRPr="00683CDB">
              <w:rPr>
                <w:rFonts w:cs="Calibri"/>
              </w:rPr>
              <w:t>Group 1</w:t>
            </w:r>
          </w:p>
        </w:tc>
        <w:tc>
          <w:tcPr>
            <w:tcW w:w="1275" w:type="dxa"/>
          </w:tcPr>
          <w:p w14:paraId="6486940E" w14:textId="77777777" w:rsidR="00F153D3" w:rsidRPr="00683CDB" w:rsidRDefault="00F153D3" w:rsidP="00F153D3">
            <w:pPr>
              <w:rPr>
                <w:rFonts w:cs="Calibri"/>
              </w:rPr>
            </w:pPr>
          </w:p>
        </w:tc>
        <w:tc>
          <w:tcPr>
            <w:tcW w:w="1134" w:type="dxa"/>
          </w:tcPr>
          <w:p w14:paraId="19EADAD1" w14:textId="77777777" w:rsidR="00F153D3" w:rsidRPr="00683CDB" w:rsidRDefault="00F153D3" w:rsidP="00F153D3">
            <w:pPr>
              <w:rPr>
                <w:rFonts w:cs="Calibri"/>
              </w:rPr>
            </w:pPr>
            <w:r>
              <w:rPr>
                <w:rFonts w:cs="Calibri"/>
              </w:rPr>
              <w:t>x</w:t>
            </w:r>
          </w:p>
        </w:tc>
        <w:tc>
          <w:tcPr>
            <w:tcW w:w="993" w:type="dxa"/>
          </w:tcPr>
          <w:p w14:paraId="61D955D2" w14:textId="77777777" w:rsidR="00F153D3" w:rsidRPr="00683CDB" w:rsidRDefault="00F153D3" w:rsidP="00F153D3">
            <w:pPr>
              <w:rPr>
                <w:rFonts w:cs="Calibri"/>
              </w:rPr>
            </w:pPr>
            <w:r>
              <w:rPr>
                <w:rFonts w:cs="Calibri"/>
              </w:rPr>
              <w:t>x</w:t>
            </w:r>
          </w:p>
        </w:tc>
        <w:tc>
          <w:tcPr>
            <w:tcW w:w="992" w:type="dxa"/>
          </w:tcPr>
          <w:p w14:paraId="69BE4795" w14:textId="77777777" w:rsidR="00F153D3" w:rsidRPr="00683CDB" w:rsidRDefault="00F153D3" w:rsidP="00F153D3">
            <w:pPr>
              <w:rPr>
                <w:rFonts w:cs="Calibri"/>
              </w:rPr>
            </w:pPr>
            <w:r>
              <w:rPr>
                <w:rFonts w:cs="Calibri"/>
              </w:rPr>
              <w:t>x</w:t>
            </w:r>
          </w:p>
        </w:tc>
        <w:tc>
          <w:tcPr>
            <w:tcW w:w="992" w:type="dxa"/>
          </w:tcPr>
          <w:p w14:paraId="43CD075B" w14:textId="77777777" w:rsidR="00F153D3" w:rsidRPr="00683CDB" w:rsidRDefault="00F153D3" w:rsidP="00F153D3">
            <w:pPr>
              <w:rPr>
                <w:rFonts w:cs="Calibri"/>
              </w:rPr>
            </w:pPr>
            <w:r>
              <w:rPr>
                <w:rFonts w:cs="Calibri"/>
              </w:rPr>
              <w:t>x</w:t>
            </w:r>
          </w:p>
        </w:tc>
        <w:tc>
          <w:tcPr>
            <w:tcW w:w="1021" w:type="dxa"/>
          </w:tcPr>
          <w:p w14:paraId="2B9FFAF0" w14:textId="77777777" w:rsidR="00F153D3" w:rsidRPr="00683CDB" w:rsidRDefault="00F153D3" w:rsidP="00F153D3">
            <w:pPr>
              <w:rPr>
                <w:rFonts w:cs="Calibri"/>
              </w:rPr>
            </w:pPr>
            <w:r>
              <w:rPr>
                <w:rFonts w:cs="Calibri"/>
              </w:rPr>
              <w:t>x</w:t>
            </w:r>
          </w:p>
        </w:tc>
        <w:tc>
          <w:tcPr>
            <w:tcW w:w="1955" w:type="dxa"/>
          </w:tcPr>
          <w:p w14:paraId="336A8A9A" w14:textId="77777777" w:rsidR="00F153D3" w:rsidRDefault="00F153D3" w:rsidP="00F153D3">
            <w:pPr>
              <w:rPr>
                <w:rFonts w:cs="Calibri"/>
              </w:rPr>
            </w:pPr>
            <w:r>
              <w:rPr>
                <w:rFonts w:cs="Calibri"/>
              </w:rPr>
              <w:t>x</w:t>
            </w:r>
          </w:p>
        </w:tc>
      </w:tr>
      <w:tr w:rsidR="00F153D3" w:rsidRPr="00683CDB" w14:paraId="10846AF0" w14:textId="77777777" w:rsidTr="00F153D3">
        <w:trPr>
          <w:trHeight w:val="392"/>
        </w:trPr>
        <w:tc>
          <w:tcPr>
            <w:tcW w:w="1242" w:type="dxa"/>
            <w:vMerge/>
          </w:tcPr>
          <w:p w14:paraId="4678E003" w14:textId="77777777" w:rsidR="00F153D3" w:rsidRPr="00D634AC" w:rsidRDefault="00F153D3" w:rsidP="00F153D3">
            <w:pPr>
              <w:rPr>
                <w:rFonts w:cs="Calibri"/>
                <w:b/>
              </w:rPr>
            </w:pPr>
          </w:p>
        </w:tc>
        <w:tc>
          <w:tcPr>
            <w:tcW w:w="993" w:type="dxa"/>
          </w:tcPr>
          <w:p w14:paraId="2636C0A3" w14:textId="77777777" w:rsidR="00F153D3" w:rsidRPr="00683CDB" w:rsidRDefault="00F153D3" w:rsidP="00F153D3">
            <w:pPr>
              <w:rPr>
                <w:rFonts w:cs="Calibri"/>
              </w:rPr>
            </w:pPr>
            <w:r w:rsidRPr="00683CDB">
              <w:rPr>
                <w:rFonts w:cs="Calibri"/>
              </w:rPr>
              <w:t>Group 2</w:t>
            </w:r>
          </w:p>
        </w:tc>
        <w:tc>
          <w:tcPr>
            <w:tcW w:w="1275" w:type="dxa"/>
          </w:tcPr>
          <w:p w14:paraId="1D88F61F" w14:textId="77777777" w:rsidR="00F153D3" w:rsidRPr="00683CDB" w:rsidRDefault="00F153D3" w:rsidP="00F153D3">
            <w:pPr>
              <w:rPr>
                <w:rFonts w:cs="Calibri"/>
              </w:rPr>
            </w:pPr>
          </w:p>
        </w:tc>
        <w:tc>
          <w:tcPr>
            <w:tcW w:w="1134" w:type="dxa"/>
          </w:tcPr>
          <w:p w14:paraId="2A56D2FD" w14:textId="77777777" w:rsidR="00F153D3" w:rsidRPr="00683CDB" w:rsidRDefault="00F153D3" w:rsidP="00F153D3">
            <w:pPr>
              <w:rPr>
                <w:rFonts w:cs="Calibri"/>
              </w:rPr>
            </w:pPr>
            <w:r>
              <w:rPr>
                <w:rFonts w:cs="Calibri"/>
              </w:rPr>
              <w:t>x</w:t>
            </w:r>
          </w:p>
        </w:tc>
        <w:tc>
          <w:tcPr>
            <w:tcW w:w="993" w:type="dxa"/>
          </w:tcPr>
          <w:p w14:paraId="5FE8F193" w14:textId="77777777" w:rsidR="00F153D3" w:rsidRPr="00683CDB" w:rsidRDefault="00F153D3" w:rsidP="00F153D3">
            <w:pPr>
              <w:rPr>
                <w:rFonts w:cs="Calibri"/>
              </w:rPr>
            </w:pPr>
            <w:r>
              <w:rPr>
                <w:rFonts w:cs="Calibri"/>
              </w:rPr>
              <w:t>x</w:t>
            </w:r>
          </w:p>
        </w:tc>
        <w:tc>
          <w:tcPr>
            <w:tcW w:w="992" w:type="dxa"/>
          </w:tcPr>
          <w:p w14:paraId="0688810D" w14:textId="77777777" w:rsidR="00F153D3" w:rsidRPr="00683CDB" w:rsidRDefault="00F153D3" w:rsidP="00F153D3">
            <w:pPr>
              <w:rPr>
                <w:rFonts w:cs="Calibri"/>
              </w:rPr>
            </w:pPr>
            <w:r>
              <w:rPr>
                <w:rFonts w:cs="Calibri"/>
              </w:rPr>
              <w:t>x</w:t>
            </w:r>
          </w:p>
        </w:tc>
        <w:tc>
          <w:tcPr>
            <w:tcW w:w="992" w:type="dxa"/>
          </w:tcPr>
          <w:p w14:paraId="3DCB91BC" w14:textId="77777777" w:rsidR="00F153D3" w:rsidRPr="00683CDB" w:rsidRDefault="00F153D3" w:rsidP="00F153D3">
            <w:pPr>
              <w:rPr>
                <w:rFonts w:cs="Calibri"/>
              </w:rPr>
            </w:pPr>
            <w:r>
              <w:rPr>
                <w:rFonts w:cs="Calibri"/>
              </w:rPr>
              <w:t>x</w:t>
            </w:r>
          </w:p>
        </w:tc>
        <w:tc>
          <w:tcPr>
            <w:tcW w:w="1021" w:type="dxa"/>
          </w:tcPr>
          <w:p w14:paraId="45A2B41C" w14:textId="77777777" w:rsidR="00F153D3" w:rsidRPr="00683CDB" w:rsidRDefault="00F153D3" w:rsidP="00F153D3">
            <w:pPr>
              <w:rPr>
                <w:rFonts w:cs="Calibri"/>
              </w:rPr>
            </w:pPr>
            <w:r>
              <w:rPr>
                <w:rFonts w:cs="Calibri"/>
              </w:rPr>
              <w:t>x</w:t>
            </w:r>
          </w:p>
        </w:tc>
        <w:tc>
          <w:tcPr>
            <w:tcW w:w="1955" w:type="dxa"/>
          </w:tcPr>
          <w:p w14:paraId="0DE475B5" w14:textId="77777777" w:rsidR="00F153D3" w:rsidRDefault="00F153D3" w:rsidP="00F153D3">
            <w:pPr>
              <w:rPr>
                <w:rFonts w:cs="Calibri"/>
              </w:rPr>
            </w:pPr>
            <w:r>
              <w:rPr>
                <w:rFonts w:cs="Calibri"/>
              </w:rPr>
              <w:t>x</w:t>
            </w:r>
          </w:p>
        </w:tc>
      </w:tr>
      <w:tr w:rsidR="00F153D3" w:rsidRPr="00683CDB" w14:paraId="54B1F0A3" w14:textId="77777777" w:rsidTr="00F153D3">
        <w:trPr>
          <w:trHeight w:val="392"/>
        </w:trPr>
        <w:tc>
          <w:tcPr>
            <w:tcW w:w="1242" w:type="dxa"/>
            <w:vMerge w:val="restart"/>
          </w:tcPr>
          <w:p w14:paraId="430725EB" w14:textId="77777777" w:rsidR="00F153D3" w:rsidRPr="00D634AC" w:rsidRDefault="00F153D3" w:rsidP="00F153D3">
            <w:pPr>
              <w:rPr>
                <w:rFonts w:cs="Calibri"/>
                <w:b/>
              </w:rPr>
            </w:pPr>
            <w:r w:rsidRPr="00D634AC">
              <w:rPr>
                <w:rFonts w:cs="Calibri"/>
                <w:b/>
              </w:rPr>
              <w:t>ARI</w:t>
            </w:r>
          </w:p>
        </w:tc>
        <w:tc>
          <w:tcPr>
            <w:tcW w:w="993" w:type="dxa"/>
          </w:tcPr>
          <w:p w14:paraId="04469313" w14:textId="77777777" w:rsidR="00F153D3" w:rsidRPr="00683CDB" w:rsidRDefault="00F153D3" w:rsidP="00F153D3">
            <w:pPr>
              <w:rPr>
                <w:rFonts w:cs="Calibri"/>
              </w:rPr>
            </w:pPr>
            <w:r w:rsidRPr="00683CDB">
              <w:rPr>
                <w:rFonts w:cs="Calibri"/>
              </w:rPr>
              <w:t>Group 1</w:t>
            </w:r>
          </w:p>
        </w:tc>
        <w:tc>
          <w:tcPr>
            <w:tcW w:w="1275" w:type="dxa"/>
          </w:tcPr>
          <w:p w14:paraId="2284E631" w14:textId="77777777" w:rsidR="00F153D3" w:rsidRPr="00683CDB" w:rsidRDefault="00F153D3" w:rsidP="00F153D3">
            <w:pPr>
              <w:rPr>
                <w:rFonts w:cs="Calibri"/>
              </w:rPr>
            </w:pPr>
            <w:r>
              <w:rPr>
                <w:rFonts w:cs="Calibri"/>
              </w:rPr>
              <w:t>x</w:t>
            </w:r>
          </w:p>
        </w:tc>
        <w:tc>
          <w:tcPr>
            <w:tcW w:w="1134" w:type="dxa"/>
          </w:tcPr>
          <w:p w14:paraId="5F7FB8AB" w14:textId="77777777" w:rsidR="00F153D3" w:rsidRPr="00683CDB" w:rsidRDefault="00F153D3" w:rsidP="00F153D3">
            <w:pPr>
              <w:rPr>
                <w:rFonts w:cs="Calibri"/>
              </w:rPr>
            </w:pPr>
            <w:r>
              <w:rPr>
                <w:rFonts w:cs="Calibri"/>
              </w:rPr>
              <w:t>x</w:t>
            </w:r>
          </w:p>
        </w:tc>
        <w:tc>
          <w:tcPr>
            <w:tcW w:w="993" w:type="dxa"/>
          </w:tcPr>
          <w:p w14:paraId="41DC7447" w14:textId="77777777" w:rsidR="00F153D3" w:rsidRPr="00683CDB" w:rsidRDefault="00F153D3" w:rsidP="00F153D3">
            <w:pPr>
              <w:rPr>
                <w:rFonts w:cs="Calibri"/>
              </w:rPr>
            </w:pPr>
            <w:r>
              <w:rPr>
                <w:rFonts w:cs="Calibri"/>
              </w:rPr>
              <w:t>x</w:t>
            </w:r>
          </w:p>
        </w:tc>
        <w:tc>
          <w:tcPr>
            <w:tcW w:w="992" w:type="dxa"/>
          </w:tcPr>
          <w:p w14:paraId="4165A0CF" w14:textId="77777777" w:rsidR="00F153D3" w:rsidRPr="00683CDB" w:rsidRDefault="00F153D3" w:rsidP="00F153D3">
            <w:pPr>
              <w:rPr>
                <w:rFonts w:cs="Calibri"/>
              </w:rPr>
            </w:pPr>
            <w:r>
              <w:rPr>
                <w:rFonts w:cs="Calibri"/>
              </w:rPr>
              <w:t>x</w:t>
            </w:r>
          </w:p>
        </w:tc>
        <w:tc>
          <w:tcPr>
            <w:tcW w:w="992" w:type="dxa"/>
          </w:tcPr>
          <w:p w14:paraId="72D6F6F1" w14:textId="77777777" w:rsidR="00F153D3" w:rsidRPr="00683CDB" w:rsidRDefault="00F153D3" w:rsidP="00F153D3">
            <w:pPr>
              <w:rPr>
                <w:rFonts w:cs="Calibri"/>
              </w:rPr>
            </w:pPr>
            <w:r>
              <w:rPr>
                <w:rFonts w:cs="Calibri"/>
              </w:rPr>
              <w:t>x</w:t>
            </w:r>
          </w:p>
        </w:tc>
        <w:tc>
          <w:tcPr>
            <w:tcW w:w="1021" w:type="dxa"/>
          </w:tcPr>
          <w:p w14:paraId="3BCC8246" w14:textId="77777777" w:rsidR="00F153D3" w:rsidRPr="00683CDB" w:rsidRDefault="00F153D3" w:rsidP="00F153D3">
            <w:pPr>
              <w:rPr>
                <w:rFonts w:cs="Calibri"/>
              </w:rPr>
            </w:pPr>
            <w:r>
              <w:rPr>
                <w:rFonts w:cs="Calibri"/>
              </w:rPr>
              <w:t>x</w:t>
            </w:r>
          </w:p>
        </w:tc>
        <w:tc>
          <w:tcPr>
            <w:tcW w:w="1955" w:type="dxa"/>
          </w:tcPr>
          <w:p w14:paraId="2FAE81AF" w14:textId="77777777" w:rsidR="00F153D3" w:rsidRDefault="00F153D3" w:rsidP="00F153D3">
            <w:pPr>
              <w:rPr>
                <w:rFonts w:cs="Calibri"/>
              </w:rPr>
            </w:pPr>
            <w:r>
              <w:rPr>
                <w:rFonts w:cs="Calibri"/>
              </w:rPr>
              <w:t>x</w:t>
            </w:r>
          </w:p>
        </w:tc>
      </w:tr>
      <w:tr w:rsidR="00F153D3" w:rsidRPr="00683CDB" w14:paraId="76724F7C" w14:textId="77777777" w:rsidTr="00F153D3">
        <w:trPr>
          <w:trHeight w:val="392"/>
        </w:trPr>
        <w:tc>
          <w:tcPr>
            <w:tcW w:w="1242" w:type="dxa"/>
            <w:vMerge/>
          </w:tcPr>
          <w:p w14:paraId="496983CB" w14:textId="77777777" w:rsidR="00F153D3" w:rsidRPr="00D634AC" w:rsidRDefault="00F153D3" w:rsidP="00F153D3">
            <w:pPr>
              <w:rPr>
                <w:rFonts w:cs="Calibri"/>
                <w:b/>
              </w:rPr>
            </w:pPr>
          </w:p>
        </w:tc>
        <w:tc>
          <w:tcPr>
            <w:tcW w:w="993" w:type="dxa"/>
          </w:tcPr>
          <w:p w14:paraId="6FF1CFC5" w14:textId="77777777" w:rsidR="00F153D3" w:rsidRPr="00683CDB" w:rsidRDefault="00F153D3" w:rsidP="00F153D3">
            <w:pPr>
              <w:rPr>
                <w:rFonts w:cs="Calibri"/>
              </w:rPr>
            </w:pPr>
            <w:r w:rsidRPr="00683CDB">
              <w:rPr>
                <w:rFonts w:cs="Calibri"/>
              </w:rPr>
              <w:t xml:space="preserve">Group </w:t>
            </w:r>
            <w:r>
              <w:rPr>
                <w:rFonts w:cs="Calibri"/>
              </w:rPr>
              <w:t>2</w:t>
            </w:r>
          </w:p>
        </w:tc>
        <w:tc>
          <w:tcPr>
            <w:tcW w:w="1275" w:type="dxa"/>
          </w:tcPr>
          <w:p w14:paraId="2ABCAE48" w14:textId="77777777" w:rsidR="00F153D3" w:rsidRPr="00683CDB" w:rsidRDefault="00F153D3" w:rsidP="00F153D3">
            <w:pPr>
              <w:rPr>
                <w:rFonts w:cs="Calibri"/>
              </w:rPr>
            </w:pPr>
            <w:r>
              <w:rPr>
                <w:rFonts w:cs="Calibri"/>
              </w:rPr>
              <w:t>x</w:t>
            </w:r>
          </w:p>
        </w:tc>
        <w:tc>
          <w:tcPr>
            <w:tcW w:w="1134" w:type="dxa"/>
          </w:tcPr>
          <w:p w14:paraId="2376C16C" w14:textId="77777777" w:rsidR="00F153D3" w:rsidRPr="00683CDB" w:rsidRDefault="00F153D3" w:rsidP="00F153D3">
            <w:pPr>
              <w:rPr>
                <w:rFonts w:cs="Calibri"/>
              </w:rPr>
            </w:pPr>
            <w:r>
              <w:rPr>
                <w:rFonts w:cs="Calibri"/>
              </w:rPr>
              <w:t>x</w:t>
            </w:r>
          </w:p>
        </w:tc>
        <w:tc>
          <w:tcPr>
            <w:tcW w:w="993" w:type="dxa"/>
          </w:tcPr>
          <w:p w14:paraId="1DE707BB" w14:textId="77777777" w:rsidR="00F153D3" w:rsidRPr="00683CDB" w:rsidRDefault="00F153D3" w:rsidP="00F153D3">
            <w:pPr>
              <w:rPr>
                <w:rFonts w:cs="Calibri"/>
              </w:rPr>
            </w:pPr>
            <w:r>
              <w:rPr>
                <w:rFonts w:cs="Calibri"/>
              </w:rPr>
              <w:t>x</w:t>
            </w:r>
          </w:p>
        </w:tc>
        <w:tc>
          <w:tcPr>
            <w:tcW w:w="992" w:type="dxa"/>
          </w:tcPr>
          <w:p w14:paraId="43204CF4" w14:textId="77777777" w:rsidR="00F153D3" w:rsidRPr="00683CDB" w:rsidRDefault="00F153D3" w:rsidP="00F153D3">
            <w:pPr>
              <w:rPr>
                <w:rFonts w:cs="Calibri"/>
              </w:rPr>
            </w:pPr>
            <w:r>
              <w:rPr>
                <w:rFonts w:cs="Calibri"/>
              </w:rPr>
              <w:t>x</w:t>
            </w:r>
          </w:p>
        </w:tc>
        <w:tc>
          <w:tcPr>
            <w:tcW w:w="992" w:type="dxa"/>
          </w:tcPr>
          <w:p w14:paraId="4934F313" w14:textId="77777777" w:rsidR="00F153D3" w:rsidRPr="00683CDB" w:rsidRDefault="00F153D3" w:rsidP="00F153D3">
            <w:pPr>
              <w:rPr>
                <w:rFonts w:cs="Calibri"/>
              </w:rPr>
            </w:pPr>
            <w:r>
              <w:rPr>
                <w:rFonts w:cs="Calibri"/>
              </w:rPr>
              <w:t>x</w:t>
            </w:r>
          </w:p>
        </w:tc>
        <w:tc>
          <w:tcPr>
            <w:tcW w:w="1021" w:type="dxa"/>
          </w:tcPr>
          <w:p w14:paraId="0F5DEFDB" w14:textId="77777777" w:rsidR="00F153D3" w:rsidRPr="00683CDB" w:rsidRDefault="00F153D3" w:rsidP="00F153D3">
            <w:pPr>
              <w:rPr>
                <w:rFonts w:cs="Calibri"/>
              </w:rPr>
            </w:pPr>
            <w:r>
              <w:rPr>
                <w:rFonts w:cs="Calibri"/>
              </w:rPr>
              <w:t>x</w:t>
            </w:r>
          </w:p>
        </w:tc>
        <w:tc>
          <w:tcPr>
            <w:tcW w:w="1955" w:type="dxa"/>
          </w:tcPr>
          <w:p w14:paraId="21C750C5" w14:textId="77777777" w:rsidR="00F153D3" w:rsidRDefault="00F153D3" w:rsidP="00F153D3">
            <w:pPr>
              <w:rPr>
                <w:rFonts w:cs="Calibri"/>
              </w:rPr>
            </w:pPr>
            <w:r>
              <w:rPr>
                <w:rFonts w:cs="Calibri"/>
              </w:rPr>
              <w:t>x</w:t>
            </w:r>
          </w:p>
        </w:tc>
      </w:tr>
      <w:tr w:rsidR="00F153D3" w:rsidRPr="00683CDB" w14:paraId="49CA182F" w14:textId="77777777" w:rsidTr="00F153D3">
        <w:trPr>
          <w:trHeight w:val="392"/>
        </w:trPr>
        <w:tc>
          <w:tcPr>
            <w:tcW w:w="1242" w:type="dxa"/>
            <w:vMerge w:val="restart"/>
          </w:tcPr>
          <w:p w14:paraId="1A60318C" w14:textId="77777777" w:rsidR="00F153D3" w:rsidRPr="00D634AC" w:rsidRDefault="00F153D3" w:rsidP="00F153D3">
            <w:pPr>
              <w:rPr>
                <w:rFonts w:cs="Calibri"/>
                <w:b/>
              </w:rPr>
            </w:pPr>
            <w:r w:rsidRPr="00D634AC">
              <w:rPr>
                <w:rFonts w:cs="Calibri"/>
                <w:b/>
              </w:rPr>
              <w:t>MYMOP</w:t>
            </w:r>
          </w:p>
        </w:tc>
        <w:tc>
          <w:tcPr>
            <w:tcW w:w="993" w:type="dxa"/>
          </w:tcPr>
          <w:p w14:paraId="7759981B" w14:textId="77777777" w:rsidR="00F153D3" w:rsidRPr="00683CDB" w:rsidRDefault="00F153D3" w:rsidP="00F153D3">
            <w:pPr>
              <w:rPr>
                <w:rFonts w:cs="Calibri"/>
              </w:rPr>
            </w:pPr>
            <w:r w:rsidRPr="00683CDB">
              <w:rPr>
                <w:rFonts w:cs="Calibri"/>
              </w:rPr>
              <w:t>Group 1</w:t>
            </w:r>
          </w:p>
        </w:tc>
        <w:tc>
          <w:tcPr>
            <w:tcW w:w="1275" w:type="dxa"/>
          </w:tcPr>
          <w:p w14:paraId="432D3241" w14:textId="77777777" w:rsidR="00F153D3" w:rsidRPr="00683CDB" w:rsidRDefault="00F153D3" w:rsidP="00F153D3">
            <w:pPr>
              <w:rPr>
                <w:rFonts w:cs="Calibri"/>
              </w:rPr>
            </w:pPr>
          </w:p>
        </w:tc>
        <w:tc>
          <w:tcPr>
            <w:tcW w:w="1134" w:type="dxa"/>
          </w:tcPr>
          <w:p w14:paraId="37EDB790" w14:textId="77777777" w:rsidR="00F153D3" w:rsidRPr="00683CDB" w:rsidRDefault="00F153D3" w:rsidP="00F153D3">
            <w:pPr>
              <w:rPr>
                <w:rFonts w:cs="Calibri"/>
              </w:rPr>
            </w:pPr>
            <w:r>
              <w:rPr>
                <w:rFonts w:cs="Calibri"/>
              </w:rPr>
              <w:t>x</w:t>
            </w:r>
          </w:p>
        </w:tc>
        <w:tc>
          <w:tcPr>
            <w:tcW w:w="993" w:type="dxa"/>
          </w:tcPr>
          <w:p w14:paraId="35A7E1E2" w14:textId="77777777" w:rsidR="00F153D3" w:rsidRPr="00683CDB" w:rsidRDefault="00F153D3" w:rsidP="00F153D3">
            <w:pPr>
              <w:rPr>
                <w:rFonts w:cs="Calibri"/>
              </w:rPr>
            </w:pPr>
          </w:p>
        </w:tc>
        <w:tc>
          <w:tcPr>
            <w:tcW w:w="992" w:type="dxa"/>
          </w:tcPr>
          <w:p w14:paraId="04917B63" w14:textId="77777777" w:rsidR="00F153D3" w:rsidRPr="00683CDB" w:rsidRDefault="00F153D3" w:rsidP="00F153D3">
            <w:pPr>
              <w:rPr>
                <w:rFonts w:cs="Calibri"/>
              </w:rPr>
            </w:pPr>
            <w:r>
              <w:rPr>
                <w:rFonts w:cs="Calibri"/>
              </w:rPr>
              <w:t>x</w:t>
            </w:r>
          </w:p>
        </w:tc>
        <w:tc>
          <w:tcPr>
            <w:tcW w:w="992" w:type="dxa"/>
          </w:tcPr>
          <w:p w14:paraId="5C374819" w14:textId="77777777" w:rsidR="00F153D3" w:rsidRPr="00683CDB" w:rsidRDefault="00F153D3" w:rsidP="00F153D3">
            <w:pPr>
              <w:rPr>
                <w:rFonts w:cs="Calibri"/>
              </w:rPr>
            </w:pPr>
          </w:p>
        </w:tc>
        <w:tc>
          <w:tcPr>
            <w:tcW w:w="1021" w:type="dxa"/>
          </w:tcPr>
          <w:p w14:paraId="4FD5DDB1" w14:textId="77777777" w:rsidR="00F153D3" w:rsidRPr="00683CDB" w:rsidRDefault="00F153D3" w:rsidP="00F153D3">
            <w:pPr>
              <w:rPr>
                <w:rFonts w:cs="Calibri"/>
              </w:rPr>
            </w:pPr>
            <w:r>
              <w:rPr>
                <w:rFonts w:cs="Calibri"/>
              </w:rPr>
              <w:t>x</w:t>
            </w:r>
          </w:p>
        </w:tc>
        <w:tc>
          <w:tcPr>
            <w:tcW w:w="1955" w:type="dxa"/>
          </w:tcPr>
          <w:p w14:paraId="5AA6BDBE" w14:textId="77777777" w:rsidR="00F153D3" w:rsidRDefault="00F153D3" w:rsidP="00F153D3">
            <w:pPr>
              <w:rPr>
                <w:rFonts w:cs="Calibri"/>
              </w:rPr>
            </w:pPr>
            <w:r>
              <w:rPr>
                <w:rFonts w:cs="Calibri"/>
              </w:rPr>
              <w:t>x</w:t>
            </w:r>
          </w:p>
        </w:tc>
      </w:tr>
      <w:tr w:rsidR="00F153D3" w:rsidRPr="00683CDB" w14:paraId="38C42BFC" w14:textId="77777777" w:rsidTr="00F153D3">
        <w:trPr>
          <w:trHeight w:val="392"/>
        </w:trPr>
        <w:tc>
          <w:tcPr>
            <w:tcW w:w="1242" w:type="dxa"/>
            <w:vMerge/>
          </w:tcPr>
          <w:p w14:paraId="690EAE12" w14:textId="77777777" w:rsidR="00F153D3" w:rsidRPr="00D634AC" w:rsidRDefault="00F153D3" w:rsidP="00F153D3">
            <w:pPr>
              <w:rPr>
                <w:rFonts w:cs="Calibri"/>
                <w:b/>
              </w:rPr>
            </w:pPr>
          </w:p>
        </w:tc>
        <w:tc>
          <w:tcPr>
            <w:tcW w:w="993" w:type="dxa"/>
          </w:tcPr>
          <w:p w14:paraId="7338D110" w14:textId="77777777" w:rsidR="00F153D3" w:rsidRPr="00683CDB" w:rsidRDefault="00F153D3" w:rsidP="00F153D3">
            <w:pPr>
              <w:rPr>
                <w:rFonts w:cs="Calibri"/>
              </w:rPr>
            </w:pPr>
            <w:r w:rsidRPr="00683CDB">
              <w:rPr>
                <w:rFonts w:cs="Calibri"/>
              </w:rPr>
              <w:t>Group 2</w:t>
            </w:r>
          </w:p>
        </w:tc>
        <w:tc>
          <w:tcPr>
            <w:tcW w:w="1275" w:type="dxa"/>
          </w:tcPr>
          <w:p w14:paraId="65B93B8F" w14:textId="77777777" w:rsidR="00F153D3" w:rsidRPr="00683CDB" w:rsidRDefault="00F153D3" w:rsidP="00F153D3">
            <w:pPr>
              <w:rPr>
                <w:rFonts w:cs="Calibri"/>
              </w:rPr>
            </w:pPr>
          </w:p>
        </w:tc>
        <w:tc>
          <w:tcPr>
            <w:tcW w:w="1134" w:type="dxa"/>
          </w:tcPr>
          <w:p w14:paraId="0E2EDAC2" w14:textId="77777777" w:rsidR="00F153D3" w:rsidRPr="00683CDB" w:rsidRDefault="00F153D3" w:rsidP="00F153D3">
            <w:pPr>
              <w:rPr>
                <w:rFonts w:cs="Calibri"/>
              </w:rPr>
            </w:pPr>
            <w:r>
              <w:rPr>
                <w:rFonts w:cs="Calibri"/>
              </w:rPr>
              <w:t>x</w:t>
            </w:r>
          </w:p>
        </w:tc>
        <w:tc>
          <w:tcPr>
            <w:tcW w:w="993" w:type="dxa"/>
          </w:tcPr>
          <w:p w14:paraId="368AF6FB" w14:textId="77777777" w:rsidR="00F153D3" w:rsidRPr="00683CDB" w:rsidRDefault="00F153D3" w:rsidP="00F153D3">
            <w:pPr>
              <w:rPr>
                <w:rFonts w:cs="Calibri"/>
              </w:rPr>
            </w:pPr>
          </w:p>
        </w:tc>
        <w:tc>
          <w:tcPr>
            <w:tcW w:w="992" w:type="dxa"/>
          </w:tcPr>
          <w:p w14:paraId="0C31BEFF" w14:textId="77777777" w:rsidR="00F153D3" w:rsidRPr="00683CDB" w:rsidRDefault="00F153D3" w:rsidP="00F153D3">
            <w:pPr>
              <w:rPr>
                <w:rFonts w:cs="Calibri"/>
              </w:rPr>
            </w:pPr>
            <w:r>
              <w:rPr>
                <w:rFonts w:cs="Calibri"/>
              </w:rPr>
              <w:t>x</w:t>
            </w:r>
          </w:p>
        </w:tc>
        <w:tc>
          <w:tcPr>
            <w:tcW w:w="992" w:type="dxa"/>
          </w:tcPr>
          <w:p w14:paraId="6B78FEDF" w14:textId="77777777" w:rsidR="00F153D3" w:rsidRPr="00683CDB" w:rsidRDefault="00F153D3" w:rsidP="00F153D3">
            <w:pPr>
              <w:rPr>
                <w:rFonts w:cs="Calibri"/>
              </w:rPr>
            </w:pPr>
          </w:p>
        </w:tc>
        <w:tc>
          <w:tcPr>
            <w:tcW w:w="1021" w:type="dxa"/>
          </w:tcPr>
          <w:p w14:paraId="1BD6A0BB" w14:textId="77777777" w:rsidR="00F153D3" w:rsidRPr="00683CDB" w:rsidRDefault="00F153D3" w:rsidP="00F153D3">
            <w:pPr>
              <w:rPr>
                <w:rFonts w:cs="Calibri"/>
              </w:rPr>
            </w:pPr>
            <w:r>
              <w:rPr>
                <w:rFonts w:cs="Calibri"/>
              </w:rPr>
              <w:t>x</w:t>
            </w:r>
          </w:p>
        </w:tc>
        <w:tc>
          <w:tcPr>
            <w:tcW w:w="1955" w:type="dxa"/>
          </w:tcPr>
          <w:p w14:paraId="13E0F92F" w14:textId="77777777" w:rsidR="00F153D3" w:rsidRDefault="00F153D3" w:rsidP="00F153D3">
            <w:pPr>
              <w:rPr>
                <w:rFonts w:cs="Calibri"/>
              </w:rPr>
            </w:pPr>
            <w:r>
              <w:rPr>
                <w:rFonts w:cs="Calibri"/>
              </w:rPr>
              <w:t>x</w:t>
            </w:r>
          </w:p>
        </w:tc>
      </w:tr>
      <w:tr w:rsidR="00F153D3" w:rsidRPr="00683CDB" w14:paraId="4C95E934" w14:textId="77777777" w:rsidTr="00F153D3">
        <w:trPr>
          <w:trHeight w:val="322"/>
        </w:trPr>
        <w:tc>
          <w:tcPr>
            <w:tcW w:w="1242" w:type="dxa"/>
            <w:vMerge w:val="restart"/>
          </w:tcPr>
          <w:p w14:paraId="58D826F5" w14:textId="77777777" w:rsidR="00F153D3" w:rsidRPr="00D634AC" w:rsidRDefault="00F153D3" w:rsidP="00F153D3">
            <w:pPr>
              <w:rPr>
                <w:rFonts w:cs="Calibri"/>
                <w:b/>
              </w:rPr>
            </w:pPr>
            <w:r w:rsidRPr="00D634AC">
              <w:rPr>
                <w:rFonts w:cs="Calibri"/>
                <w:b/>
              </w:rPr>
              <w:t>DASS-21</w:t>
            </w:r>
          </w:p>
        </w:tc>
        <w:tc>
          <w:tcPr>
            <w:tcW w:w="993" w:type="dxa"/>
          </w:tcPr>
          <w:p w14:paraId="775B589F" w14:textId="77777777" w:rsidR="00F153D3" w:rsidRPr="00683CDB" w:rsidRDefault="00F153D3" w:rsidP="00F153D3">
            <w:pPr>
              <w:rPr>
                <w:rFonts w:cs="Calibri"/>
              </w:rPr>
            </w:pPr>
            <w:r w:rsidRPr="00683CDB">
              <w:rPr>
                <w:rFonts w:cs="Calibri"/>
              </w:rPr>
              <w:t>Group 1</w:t>
            </w:r>
          </w:p>
        </w:tc>
        <w:tc>
          <w:tcPr>
            <w:tcW w:w="1275" w:type="dxa"/>
          </w:tcPr>
          <w:p w14:paraId="0663C0E1" w14:textId="77777777" w:rsidR="00F153D3" w:rsidRPr="00683CDB" w:rsidRDefault="00F153D3" w:rsidP="00F153D3">
            <w:pPr>
              <w:rPr>
                <w:rFonts w:cs="Calibri"/>
              </w:rPr>
            </w:pPr>
          </w:p>
        </w:tc>
        <w:tc>
          <w:tcPr>
            <w:tcW w:w="1134" w:type="dxa"/>
          </w:tcPr>
          <w:p w14:paraId="3BEB279E" w14:textId="77777777" w:rsidR="00F153D3" w:rsidRPr="00683CDB" w:rsidRDefault="00F153D3" w:rsidP="00F153D3">
            <w:pPr>
              <w:rPr>
                <w:rFonts w:cs="Calibri"/>
              </w:rPr>
            </w:pPr>
            <w:r>
              <w:rPr>
                <w:rFonts w:cs="Calibri"/>
              </w:rPr>
              <w:t>x</w:t>
            </w:r>
          </w:p>
        </w:tc>
        <w:tc>
          <w:tcPr>
            <w:tcW w:w="993" w:type="dxa"/>
          </w:tcPr>
          <w:p w14:paraId="475BB4DC" w14:textId="77777777" w:rsidR="00F153D3" w:rsidRPr="00683CDB" w:rsidRDefault="00F153D3" w:rsidP="00F153D3">
            <w:pPr>
              <w:rPr>
                <w:rFonts w:cs="Calibri"/>
              </w:rPr>
            </w:pPr>
          </w:p>
        </w:tc>
        <w:tc>
          <w:tcPr>
            <w:tcW w:w="992" w:type="dxa"/>
          </w:tcPr>
          <w:p w14:paraId="24363B4F" w14:textId="77777777" w:rsidR="00F153D3" w:rsidRPr="00683CDB" w:rsidRDefault="00F153D3" w:rsidP="00F153D3">
            <w:pPr>
              <w:rPr>
                <w:rFonts w:cs="Calibri"/>
              </w:rPr>
            </w:pPr>
            <w:r>
              <w:rPr>
                <w:rFonts w:cs="Calibri"/>
              </w:rPr>
              <w:t>x</w:t>
            </w:r>
          </w:p>
        </w:tc>
        <w:tc>
          <w:tcPr>
            <w:tcW w:w="992" w:type="dxa"/>
          </w:tcPr>
          <w:p w14:paraId="4F8E01F1" w14:textId="77777777" w:rsidR="00F153D3" w:rsidRPr="00683CDB" w:rsidRDefault="00F153D3" w:rsidP="00F153D3">
            <w:pPr>
              <w:rPr>
                <w:rFonts w:cs="Calibri"/>
              </w:rPr>
            </w:pPr>
          </w:p>
        </w:tc>
        <w:tc>
          <w:tcPr>
            <w:tcW w:w="1021" w:type="dxa"/>
          </w:tcPr>
          <w:p w14:paraId="15ED55E4" w14:textId="77777777" w:rsidR="00F153D3" w:rsidRPr="00683CDB" w:rsidRDefault="00F153D3" w:rsidP="00F153D3">
            <w:pPr>
              <w:rPr>
                <w:rFonts w:cs="Calibri"/>
              </w:rPr>
            </w:pPr>
            <w:r>
              <w:rPr>
                <w:rFonts w:cs="Calibri"/>
              </w:rPr>
              <w:t>x</w:t>
            </w:r>
          </w:p>
        </w:tc>
        <w:tc>
          <w:tcPr>
            <w:tcW w:w="1955" w:type="dxa"/>
          </w:tcPr>
          <w:p w14:paraId="4D04CF6A" w14:textId="77777777" w:rsidR="00F153D3" w:rsidRDefault="00F153D3" w:rsidP="00F153D3">
            <w:pPr>
              <w:rPr>
                <w:rFonts w:cs="Calibri"/>
              </w:rPr>
            </w:pPr>
            <w:r>
              <w:rPr>
                <w:rFonts w:cs="Calibri"/>
              </w:rPr>
              <w:t>x</w:t>
            </w:r>
          </w:p>
        </w:tc>
      </w:tr>
      <w:tr w:rsidR="00F153D3" w:rsidRPr="00683CDB" w14:paraId="4905BF0A" w14:textId="77777777" w:rsidTr="00F153D3">
        <w:trPr>
          <w:trHeight w:val="392"/>
        </w:trPr>
        <w:tc>
          <w:tcPr>
            <w:tcW w:w="1242" w:type="dxa"/>
            <w:vMerge/>
          </w:tcPr>
          <w:p w14:paraId="2E20459C" w14:textId="77777777" w:rsidR="00F153D3" w:rsidRPr="00683CDB" w:rsidRDefault="00F153D3" w:rsidP="00F153D3">
            <w:pPr>
              <w:rPr>
                <w:rFonts w:cs="Calibri"/>
              </w:rPr>
            </w:pPr>
          </w:p>
        </w:tc>
        <w:tc>
          <w:tcPr>
            <w:tcW w:w="993" w:type="dxa"/>
          </w:tcPr>
          <w:p w14:paraId="271B43B8" w14:textId="77777777" w:rsidR="00F153D3" w:rsidRPr="00683CDB" w:rsidRDefault="00F153D3" w:rsidP="00F153D3">
            <w:pPr>
              <w:rPr>
                <w:rFonts w:cs="Calibri"/>
              </w:rPr>
            </w:pPr>
            <w:r w:rsidRPr="00683CDB">
              <w:rPr>
                <w:rFonts w:cs="Calibri"/>
              </w:rPr>
              <w:t>Group 2</w:t>
            </w:r>
          </w:p>
        </w:tc>
        <w:tc>
          <w:tcPr>
            <w:tcW w:w="1275" w:type="dxa"/>
          </w:tcPr>
          <w:p w14:paraId="5C01BFB6" w14:textId="77777777" w:rsidR="00F153D3" w:rsidRPr="00683CDB" w:rsidRDefault="00F153D3" w:rsidP="00F153D3">
            <w:pPr>
              <w:rPr>
                <w:rFonts w:cs="Calibri"/>
              </w:rPr>
            </w:pPr>
          </w:p>
        </w:tc>
        <w:tc>
          <w:tcPr>
            <w:tcW w:w="1134" w:type="dxa"/>
          </w:tcPr>
          <w:p w14:paraId="4A24891A" w14:textId="77777777" w:rsidR="00F153D3" w:rsidRPr="00683CDB" w:rsidRDefault="00F153D3" w:rsidP="00F153D3">
            <w:pPr>
              <w:rPr>
                <w:rFonts w:cs="Calibri"/>
              </w:rPr>
            </w:pPr>
            <w:r>
              <w:rPr>
                <w:rFonts w:cs="Calibri"/>
              </w:rPr>
              <w:t>x</w:t>
            </w:r>
          </w:p>
        </w:tc>
        <w:tc>
          <w:tcPr>
            <w:tcW w:w="993" w:type="dxa"/>
          </w:tcPr>
          <w:p w14:paraId="76AC7811" w14:textId="77777777" w:rsidR="00F153D3" w:rsidRPr="00683CDB" w:rsidRDefault="00F153D3" w:rsidP="00F153D3">
            <w:pPr>
              <w:rPr>
                <w:rFonts w:cs="Calibri"/>
              </w:rPr>
            </w:pPr>
          </w:p>
        </w:tc>
        <w:tc>
          <w:tcPr>
            <w:tcW w:w="992" w:type="dxa"/>
          </w:tcPr>
          <w:p w14:paraId="51872B45" w14:textId="77777777" w:rsidR="00F153D3" w:rsidRPr="00683CDB" w:rsidRDefault="00F153D3" w:rsidP="00F153D3">
            <w:pPr>
              <w:rPr>
                <w:rFonts w:cs="Calibri"/>
              </w:rPr>
            </w:pPr>
            <w:r>
              <w:rPr>
                <w:rFonts w:cs="Calibri"/>
              </w:rPr>
              <w:t>x</w:t>
            </w:r>
          </w:p>
        </w:tc>
        <w:tc>
          <w:tcPr>
            <w:tcW w:w="992" w:type="dxa"/>
          </w:tcPr>
          <w:p w14:paraId="4993E316" w14:textId="77777777" w:rsidR="00F153D3" w:rsidRPr="00683CDB" w:rsidRDefault="00F153D3" w:rsidP="00F153D3">
            <w:pPr>
              <w:rPr>
                <w:rFonts w:cs="Calibri"/>
              </w:rPr>
            </w:pPr>
          </w:p>
        </w:tc>
        <w:tc>
          <w:tcPr>
            <w:tcW w:w="1021" w:type="dxa"/>
          </w:tcPr>
          <w:p w14:paraId="497BA7D8" w14:textId="77777777" w:rsidR="00F153D3" w:rsidRPr="00683CDB" w:rsidRDefault="00F153D3" w:rsidP="00F153D3">
            <w:pPr>
              <w:rPr>
                <w:rFonts w:cs="Calibri"/>
              </w:rPr>
            </w:pPr>
            <w:r>
              <w:rPr>
                <w:rFonts w:cs="Calibri"/>
              </w:rPr>
              <w:t>x</w:t>
            </w:r>
          </w:p>
        </w:tc>
        <w:tc>
          <w:tcPr>
            <w:tcW w:w="1955" w:type="dxa"/>
          </w:tcPr>
          <w:p w14:paraId="27E2F60B" w14:textId="77777777" w:rsidR="00F153D3" w:rsidRDefault="00F153D3" w:rsidP="00F153D3">
            <w:pPr>
              <w:rPr>
                <w:rFonts w:cs="Calibri"/>
              </w:rPr>
            </w:pPr>
            <w:r>
              <w:rPr>
                <w:rFonts w:cs="Calibri"/>
              </w:rPr>
              <w:t>x</w:t>
            </w:r>
          </w:p>
        </w:tc>
      </w:tr>
      <w:tr w:rsidR="00F153D3" w:rsidRPr="00683CDB" w14:paraId="4A2963BF" w14:textId="77777777" w:rsidTr="00F153D3">
        <w:trPr>
          <w:trHeight w:val="392"/>
        </w:trPr>
        <w:tc>
          <w:tcPr>
            <w:tcW w:w="1242" w:type="dxa"/>
            <w:vMerge w:val="restart"/>
          </w:tcPr>
          <w:p w14:paraId="7C7EC190" w14:textId="77777777" w:rsidR="00F153D3" w:rsidRPr="00E33024" w:rsidRDefault="00F153D3" w:rsidP="00F153D3">
            <w:pPr>
              <w:rPr>
                <w:rFonts w:cs="Calibri"/>
                <w:b/>
              </w:rPr>
            </w:pPr>
            <w:r>
              <w:rPr>
                <w:rFonts w:cs="Calibri"/>
                <w:b/>
              </w:rPr>
              <w:t>CSHQ</w:t>
            </w:r>
          </w:p>
        </w:tc>
        <w:tc>
          <w:tcPr>
            <w:tcW w:w="993" w:type="dxa"/>
          </w:tcPr>
          <w:p w14:paraId="25D4B6D6" w14:textId="77777777" w:rsidR="00F153D3" w:rsidRPr="00683CDB" w:rsidRDefault="00F153D3" w:rsidP="00F153D3">
            <w:pPr>
              <w:rPr>
                <w:rFonts w:cs="Calibri"/>
              </w:rPr>
            </w:pPr>
            <w:r w:rsidRPr="00683CDB">
              <w:rPr>
                <w:rFonts w:cs="Calibri"/>
              </w:rPr>
              <w:t>Group 1</w:t>
            </w:r>
          </w:p>
        </w:tc>
        <w:tc>
          <w:tcPr>
            <w:tcW w:w="1275" w:type="dxa"/>
          </w:tcPr>
          <w:p w14:paraId="6C76FD97" w14:textId="77777777" w:rsidR="00F153D3" w:rsidRPr="00683CDB" w:rsidRDefault="00F153D3" w:rsidP="00F153D3">
            <w:pPr>
              <w:rPr>
                <w:rFonts w:cs="Calibri"/>
              </w:rPr>
            </w:pPr>
          </w:p>
        </w:tc>
        <w:tc>
          <w:tcPr>
            <w:tcW w:w="1134" w:type="dxa"/>
          </w:tcPr>
          <w:p w14:paraId="2BEB7F7F" w14:textId="77777777" w:rsidR="00F153D3" w:rsidRPr="00683CDB" w:rsidRDefault="00F153D3" w:rsidP="00F153D3">
            <w:pPr>
              <w:rPr>
                <w:rFonts w:cs="Calibri"/>
              </w:rPr>
            </w:pPr>
            <w:r>
              <w:rPr>
                <w:rFonts w:cs="Calibri"/>
              </w:rPr>
              <w:t>x</w:t>
            </w:r>
          </w:p>
        </w:tc>
        <w:tc>
          <w:tcPr>
            <w:tcW w:w="993" w:type="dxa"/>
          </w:tcPr>
          <w:p w14:paraId="0486E583" w14:textId="77777777" w:rsidR="00F153D3" w:rsidRPr="00683CDB" w:rsidRDefault="00F153D3" w:rsidP="00F153D3">
            <w:pPr>
              <w:rPr>
                <w:rFonts w:cs="Calibri"/>
              </w:rPr>
            </w:pPr>
            <w:r>
              <w:rPr>
                <w:rFonts w:cs="Calibri"/>
              </w:rPr>
              <w:t>x</w:t>
            </w:r>
          </w:p>
        </w:tc>
        <w:tc>
          <w:tcPr>
            <w:tcW w:w="992" w:type="dxa"/>
          </w:tcPr>
          <w:p w14:paraId="461F72CF" w14:textId="77777777" w:rsidR="00F153D3" w:rsidRPr="00683CDB" w:rsidRDefault="00F153D3" w:rsidP="00F153D3">
            <w:pPr>
              <w:rPr>
                <w:rFonts w:cs="Calibri"/>
              </w:rPr>
            </w:pPr>
            <w:r>
              <w:rPr>
                <w:rFonts w:cs="Calibri"/>
              </w:rPr>
              <w:t>x</w:t>
            </w:r>
          </w:p>
        </w:tc>
        <w:tc>
          <w:tcPr>
            <w:tcW w:w="992" w:type="dxa"/>
          </w:tcPr>
          <w:p w14:paraId="3F844D16" w14:textId="77777777" w:rsidR="00F153D3" w:rsidRPr="00683CDB" w:rsidRDefault="00F153D3" w:rsidP="00F153D3">
            <w:pPr>
              <w:rPr>
                <w:rFonts w:cs="Calibri"/>
              </w:rPr>
            </w:pPr>
            <w:r>
              <w:rPr>
                <w:rFonts w:cs="Calibri"/>
              </w:rPr>
              <w:t>x</w:t>
            </w:r>
          </w:p>
        </w:tc>
        <w:tc>
          <w:tcPr>
            <w:tcW w:w="1021" w:type="dxa"/>
          </w:tcPr>
          <w:p w14:paraId="518E0F52" w14:textId="77777777" w:rsidR="00F153D3" w:rsidRPr="00683CDB" w:rsidRDefault="00F153D3" w:rsidP="00F153D3">
            <w:pPr>
              <w:rPr>
                <w:rFonts w:cs="Calibri"/>
              </w:rPr>
            </w:pPr>
            <w:r>
              <w:rPr>
                <w:rFonts w:cs="Calibri"/>
              </w:rPr>
              <w:t>x</w:t>
            </w:r>
          </w:p>
        </w:tc>
        <w:tc>
          <w:tcPr>
            <w:tcW w:w="1955" w:type="dxa"/>
          </w:tcPr>
          <w:p w14:paraId="51EE9DD2" w14:textId="77777777" w:rsidR="00F153D3" w:rsidRDefault="00F153D3" w:rsidP="00F153D3">
            <w:pPr>
              <w:rPr>
                <w:rFonts w:cs="Calibri"/>
              </w:rPr>
            </w:pPr>
            <w:r>
              <w:rPr>
                <w:rFonts w:cs="Calibri"/>
              </w:rPr>
              <w:t>x</w:t>
            </w:r>
          </w:p>
        </w:tc>
      </w:tr>
      <w:tr w:rsidR="00F153D3" w:rsidRPr="00683CDB" w14:paraId="460963F8" w14:textId="77777777" w:rsidTr="00F153D3">
        <w:trPr>
          <w:trHeight w:val="392"/>
        </w:trPr>
        <w:tc>
          <w:tcPr>
            <w:tcW w:w="1242" w:type="dxa"/>
            <w:vMerge/>
          </w:tcPr>
          <w:p w14:paraId="30E463CA" w14:textId="77777777" w:rsidR="00F153D3" w:rsidRPr="00E33024" w:rsidRDefault="00F153D3" w:rsidP="00F153D3">
            <w:pPr>
              <w:rPr>
                <w:rFonts w:cs="Calibri"/>
                <w:b/>
              </w:rPr>
            </w:pPr>
          </w:p>
        </w:tc>
        <w:tc>
          <w:tcPr>
            <w:tcW w:w="993" w:type="dxa"/>
          </w:tcPr>
          <w:p w14:paraId="44D50836" w14:textId="77777777" w:rsidR="00F153D3" w:rsidRPr="00683CDB" w:rsidRDefault="00F153D3" w:rsidP="00F153D3">
            <w:pPr>
              <w:rPr>
                <w:rFonts w:cs="Calibri"/>
              </w:rPr>
            </w:pPr>
            <w:r w:rsidRPr="00683CDB">
              <w:rPr>
                <w:rFonts w:cs="Calibri"/>
              </w:rPr>
              <w:t>Group 2</w:t>
            </w:r>
          </w:p>
        </w:tc>
        <w:tc>
          <w:tcPr>
            <w:tcW w:w="1275" w:type="dxa"/>
          </w:tcPr>
          <w:p w14:paraId="3BA8D290" w14:textId="77777777" w:rsidR="00F153D3" w:rsidRPr="00683CDB" w:rsidRDefault="00F153D3" w:rsidP="00F153D3">
            <w:pPr>
              <w:rPr>
                <w:rFonts w:cs="Calibri"/>
              </w:rPr>
            </w:pPr>
          </w:p>
        </w:tc>
        <w:tc>
          <w:tcPr>
            <w:tcW w:w="1134" w:type="dxa"/>
          </w:tcPr>
          <w:p w14:paraId="56A2BB13" w14:textId="77777777" w:rsidR="00F153D3" w:rsidRPr="00683CDB" w:rsidRDefault="00F153D3" w:rsidP="00F153D3">
            <w:pPr>
              <w:rPr>
                <w:rFonts w:cs="Calibri"/>
              </w:rPr>
            </w:pPr>
            <w:r>
              <w:rPr>
                <w:rFonts w:cs="Calibri"/>
              </w:rPr>
              <w:t>x</w:t>
            </w:r>
          </w:p>
        </w:tc>
        <w:tc>
          <w:tcPr>
            <w:tcW w:w="993" w:type="dxa"/>
          </w:tcPr>
          <w:p w14:paraId="3BEF9CCC" w14:textId="77777777" w:rsidR="00F153D3" w:rsidRPr="00683CDB" w:rsidRDefault="00F153D3" w:rsidP="00F153D3">
            <w:pPr>
              <w:rPr>
                <w:rFonts w:cs="Calibri"/>
              </w:rPr>
            </w:pPr>
            <w:r>
              <w:rPr>
                <w:rFonts w:cs="Calibri"/>
              </w:rPr>
              <w:t>x</w:t>
            </w:r>
          </w:p>
        </w:tc>
        <w:tc>
          <w:tcPr>
            <w:tcW w:w="992" w:type="dxa"/>
          </w:tcPr>
          <w:p w14:paraId="725F103A" w14:textId="77777777" w:rsidR="00F153D3" w:rsidRPr="00683CDB" w:rsidRDefault="00F153D3" w:rsidP="00F153D3">
            <w:pPr>
              <w:rPr>
                <w:rFonts w:cs="Calibri"/>
              </w:rPr>
            </w:pPr>
            <w:r>
              <w:rPr>
                <w:rFonts w:cs="Calibri"/>
              </w:rPr>
              <w:t>x</w:t>
            </w:r>
          </w:p>
        </w:tc>
        <w:tc>
          <w:tcPr>
            <w:tcW w:w="992" w:type="dxa"/>
          </w:tcPr>
          <w:p w14:paraId="43FE8445" w14:textId="77777777" w:rsidR="00F153D3" w:rsidRPr="00683CDB" w:rsidRDefault="00F153D3" w:rsidP="00F153D3">
            <w:pPr>
              <w:rPr>
                <w:rFonts w:cs="Calibri"/>
              </w:rPr>
            </w:pPr>
            <w:r>
              <w:rPr>
                <w:rFonts w:cs="Calibri"/>
              </w:rPr>
              <w:t>x</w:t>
            </w:r>
          </w:p>
        </w:tc>
        <w:tc>
          <w:tcPr>
            <w:tcW w:w="1021" w:type="dxa"/>
          </w:tcPr>
          <w:p w14:paraId="16252702" w14:textId="77777777" w:rsidR="00F153D3" w:rsidRPr="00683CDB" w:rsidRDefault="00F153D3" w:rsidP="00F153D3">
            <w:pPr>
              <w:rPr>
                <w:rFonts w:cs="Calibri"/>
              </w:rPr>
            </w:pPr>
            <w:r>
              <w:rPr>
                <w:rFonts w:cs="Calibri"/>
              </w:rPr>
              <w:t>x</w:t>
            </w:r>
          </w:p>
        </w:tc>
        <w:tc>
          <w:tcPr>
            <w:tcW w:w="1955" w:type="dxa"/>
          </w:tcPr>
          <w:p w14:paraId="2A562655" w14:textId="77777777" w:rsidR="00F153D3" w:rsidRDefault="00F153D3" w:rsidP="00F153D3">
            <w:pPr>
              <w:rPr>
                <w:rFonts w:cs="Calibri"/>
              </w:rPr>
            </w:pPr>
            <w:r>
              <w:rPr>
                <w:rFonts w:cs="Calibri"/>
              </w:rPr>
              <w:t>x</w:t>
            </w:r>
          </w:p>
        </w:tc>
      </w:tr>
      <w:tr w:rsidR="00F153D3" w:rsidRPr="00683CDB" w14:paraId="196C34E9" w14:textId="77777777" w:rsidTr="00F153D3">
        <w:trPr>
          <w:trHeight w:val="455"/>
        </w:trPr>
        <w:tc>
          <w:tcPr>
            <w:tcW w:w="1242" w:type="dxa"/>
            <w:vMerge w:val="restart"/>
          </w:tcPr>
          <w:p w14:paraId="714CF9CE" w14:textId="77777777" w:rsidR="00F153D3" w:rsidRPr="00E33024" w:rsidRDefault="00F153D3" w:rsidP="00F153D3">
            <w:pPr>
              <w:rPr>
                <w:rFonts w:cs="Calibri"/>
                <w:b/>
              </w:rPr>
            </w:pPr>
            <w:r>
              <w:rPr>
                <w:rFonts w:cs="Calibri"/>
                <w:b/>
              </w:rPr>
              <w:t>EBQ</w:t>
            </w:r>
          </w:p>
        </w:tc>
        <w:tc>
          <w:tcPr>
            <w:tcW w:w="993" w:type="dxa"/>
          </w:tcPr>
          <w:p w14:paraId="31185670" w14:textId="77777777" w:rsidR="00F153D3" w:rsidRPr="00683CDB" w:rsidRDefault="00F153D3" w:rsidP="00F153D3">
            <w:pPr>
              <w:rPr>
                <w:rFonts w:cs="Calibri"/>
              </w:rPr>
            </w:pPr>
            <w:r w:rsidRPr="00683CDB">
              <w:rPr>
                <w:rFonts w:cs="Calibri"/>
              </w:rPr>
              <w:t>Group 1</w:t>
            </w:r>
          </w:p>
        </w:tc>
        <w:tc>
          <w:tcPr>
            <w:tcW w:w="1275" w:type="dxa"/>
          </w:tcPr>
          <w:p w14:paraId="0DB8D13F" w14:textId="77777777" w:rsidR="00F153D3" w:rsidRPr="00683CDB" w:rsidRDefault="00F153D3" w:rsidP="00F153D3">
            <w:pPr>
              <w:rPr>
                <w:rFonts w:cs="Calibri"/>
              </w:rPr>
            </w:pPr>
          </w:p>
        </w:tc>
        <w:tc>
          <w:tcPr>
            <w:tcW w:w="1134" w:type="dxa"/>
          </w:tcPr>
          <w:p w14:paraId="0640071A" w14:textId="77777777" w:rsidR="00F153D3" w:rsidRPr="00683CDB" w:rsidRDefault="00F153D3" w:rsidP="00F153D3">
            <w:pPr>
              <w:rPr>
                <w:rFonts w:cs="Calibri"/>
              </w:rPr>
            </w:pPr>
            <w:r>
              <w:rPr>
                <w:rFonts w:cs="Calibri"/>
              </w:rPr>
              <w:t>x</w:t>
            </w:r>
          </w:p>
        </w:tc>
        <w:tc>
          <w:tcPr>
            <w:tcW w:w="993" w:type="dxa"/>
          </w:tcPr>
          <w:p w14:paraId="615D202C" w14:textId="77777777" w:rsidR="00F153D3" w:rsidRPr="00683CDB" w:rsidRDefault="00F153D3" w:rsidP="00F153D3">
            <w:pPr>
              <w:rPr>
                <w:rFonts w:cs="Calibri"/>
              </w:rPr>
            </w:pPr>
          </w:p>
        </w:tc>
        <w:tc>
          <w:tcPr>
            <w:tcW w:w="992" w:type="dxa"/>
          </w:tcPr>
          <w:p w14:paraId="4CA82CDF" w14:textId="77777777" w:rsidR="00F153D3" w:rsidRPr="00683CDB" w:rsidRDefault="00F153D3" w:rsidP="00F153D3">
            <w:pPr>
              <w:rPr>
                <w:rFonts w:cs="Calibri"/>
              </w:rPr>
            </w:pPr>
          </w:p>
        </w:tc>
        <w:tc>
          <w:tcPr>
            <w:tcW w:w="992" w:type="dxa"/>
          </w:tcPr>
          <w:p w14:paraId="6ACE4EA3" w14:textId="77777777" w:rsidR="00F153D3" w:rsidRPr="00683CDB" w:rsidRDefault="00F153D3" w:rsidP="00F153D3">
            <w:pPr>
              <w:rPr>
                <w:rFonts w:cs="Calibri"/>
              </w:rPr>
            </w:pPr>
          </w:p>
        </w:tc>
        <w:tc>
          <w:tcPr>
            <w:tcW w:w="1021" w:type="dxa"/>
          </w:tcPr>
          <w:p w14:paraId="07ABA513" w14:textId="77777777" w:rsidR="00F153D3" w:rsidRPr="00683CDB" w:rsidRDefault="00F153D3" w:rsidP="00F153D3">
            <w:pPr>
              <w:rPr>
                <w:rFonts w:cs="Calibri"/>
              </w:rPr>
            </w:pPr>
          </w:p>
        </w:tc>
        <w:tc>
          <w:tcPr>
            <w:tcW w:w="1955" w:type="dxa"/>
          </w:tcPr>
          <w:p w14:paraId="5EE88611" w14:textId="77777777" w:rsidR="00F153D3" w:rsidRPr="00683CDB" w:rsidRDefault="00F153D3" w:rsidP="00F153D3">
            <w:pPr>
              <w:rPr>
                <w:rFonts w:cs="Calibri"/>
              </w:rPr>
            </w:pPr>
            <w:r>
              <w:rPr>
                <w:rFonts w:cs="Calibri"/>
              </w:rPr>
              <w:t>x</w:t>
            </w:r>
          </w:p>
        </w:tc>
      </w:tr>
      <w:tr w:rsidR="00F153D3" w:rsidRPr="00683CDB" w14:paraId="5864EE2C" w14:textId="77777777" w:rsidTr="00F153D3">
        <w:trPr>
          <w:trHeight w:val="414"/>
        </w:trPr>
        <w:tc>
          <w:tcPr>
            <w:tcW w:w="1242" w:type="dxa"/>
            <w:vMerge/>
          </w:tcPr>
          <w:p w14:paraId="67369659" w14:textId="77777777" w:rsidR="00F153D3" w:rsidRPr="00E33024" w:rsidRDefault="00F153D3" w:rsidP="00F153D3">
            <w:pPr>
              <w:rPr>
                <w:rFonts w:cs="Calibri"/>
                <w:b/>
              </w:rPr>
            </w:pPr>
          </w:p>
        </w:tc>
        <w:tc>
          <w:tcPr>
            <w:tcW w:w="993" w:type="dxa"/>
          </w:tcPr>
          <w:p w14:paraId="3432CE04" w14:textId="77777777" w:rsidR="00F153D3" w:rsidRPr="00683CDB" w:rsidRDefault="00F153D3" w:rsidP="00F153D3">
            <w:pPr>
              <w:rPr>
                <w:rFonts w:cs="Calibri"/>
              </w:rPr>
            </w:pPr>
            <w:r w:rsidRPr="00683CDB">
              <w:rPr>
                <w:rFonts w:cs="Calibri"/>
              </w:rPr>
              <w:t>Group 2</w:t>
            </w:r>
          </w:p>
        </w:tc>
        <w:tc>
          <w:tcPr>
            <w:tcW w:w="1275" w:type="dxa"/>
          </w:tcPr>
          <w:p w14:paraId="1C1648B2" w14:textId="77777777" w:rsidR="00F153D3" w:rsidRPr="00683CDB" w:rsidRDefault="00F153D3" w:rsidP="00F153D3">
            <w:pPr>
              <w:rPr>
                <w:rFonts w:cs="Calibri"/>
              </w:rPr>
            </w:pPr>
          </w:p>
        </w:tc>
        <w:tc>
          <w:tcPr>
            <w:tcW w:w="1134" w:type="dxa"/>
          </w:tcPr>
          <w:p w14:paraId="1DEF94F4" w14:textId="77777777" w:rsidR="00F153D3" w:rsidRPr="00683CDB" w:rsidRDefault="00F153D3" w:rsidP="00F153D3">
            <w:pPr>
              <w:rPr>
                <w:rFonts w:cs="Calibri"/>
              </w:rPr>
            </w:pPr>
            <w:r>
              <w:rPr>
                <w:rFonts w:cs="Calibri"/>
              </w:rPr>
              <w:t>x</w:t>
            </w:r>
          </w:p>
        </w:tc>
        <w:tc>
          <w:tcPr>
            <w:tcW w:w="993" w:type="dxa"/>
          </w:tcPr>
          <w:p w14:paraId="0B3228A4" w14:textId="77777777" w:rsidR="00F153D3" w:rsidRPr="00683CDB" w:rsidRDefault="00F153D3" w:rsidP="00F153D3">
            <w:pPr>
              <w:rPr>
                <w:rFonts w:cs="Calibri"/>
              </w:rPr>
            </w:pPr>
          </w:p>
        </w:tc>
        <w:tc>
          <w:tcPr>
            <w:tcW w:w="992" w:type="dxa"/>
          </w:tcPr>
          <w:p w14:paraId="1E4DC072" w14:textId="77777777" w:rsidR="00F153D3" w:rsidRPr="00683CDB" w:rsidRDefault="00F153D3" w:rsidP="00F153D3">
            <w:pPr>
              <w:rPr>
                <w:rFonts w:cs="Calibri"/>
              </w:rPr>
            </w:pPr>
          </w:p>
        </w:tc>
        <w:tc>
          <w:tcPr>
            <w:tcW w:w="992" w:type="dxa"/>
          </w:tcPr>
          <w:p w14:paraId="27DC96FA" w14:textId="77777777" w:rsidR="00F153D3" w:rsidRPr="00683CDB" w:rsidRDefault="00F153D3" w:rsidP="00F153D3">
            <w:pPr>
              <w:rPr>
                <w:rFonts w:cs="Calibri"/>
              </w:rPr>
            </w:pPr>
          </w:p>
        </w:tc>
        <w:tc>
          <w:tcPr>
            <w:tcW w:w="1021" w:type="dxa"/>
          </w:tcPr>
          <w:p w14:paraId="5498CC30" w14:textId="77777777" w:rsidR="00F153D3" w:rsidRPr="00683CDB" w:rsidRDefault="00F153D3" w:rsidP="00F153D3">
            <w:pPr>
              <w:rPr>
                <w:rFonts w:cs="Calibri"/>
              </w:rPr>
            </w:pPr>
          </w:p>
        </w:tc>
        <w:tc>
          <w:tcPr>
            <w:tcW w:w="1955" w:type="dxa"/>
          </w:tcPr>
          <w:p w14:paraId="04DE1F57" w14:textId="77777777" w:rsidR="00F153D3" w:rsidRPr="00683CDB" w:rsidRDefault="00F153D3" w:rsidP="00F153D3">
            <w:pPr>
              <w:rPr>
                <w:rFonts w:cs="Calibri"/>
              </w:rPr>
            </w:pPr>
            <w:r>
              <w:rPr>
                <w:rFonts w:cs="Calibri"/>
              </w:rPr>
              <w:t>x</w:t>
            </w:r>
          </w:p>
        </w:tc>
      </w:tr>
      <w:tr w:rsidR="00F153D3" w:rsidRPr="00271F6A" w14:paraId="73AC29FB" w14:textId="77777777" w:rsidTr="00F153D3">
        <w:trPr>
          <w:trHeight w:val="455"/>
        </w:trPr>
        <w:tc>
          <w:tcPr>
            <w:tcW w:w="1242" w:type="dxa"/>
            <w:vMerge w:val="restart"/>
          </w:tcPr>
          <w:p w14:paraId="3311F636" w14:textId="77777777" w:rsidR="00F153D3" w:rsidRPr="00271F6A" w:rsidRDefault="00F153D3" w:rsidP="00F153D3">
            <w:pPr>
              <w:rPr>
                <w:rFonts w:cs="Calibri"/>
                <w:b/>
              </w:rPr>
            </w:pPr>
            <w:r w:rsidRPr="00271F6A">
              <w:rPr>
                <w:rFonts w:cs="Calibri"/>
                <w:b/>
              </w:rPr>
              <w:t>AARP</w:t>
            </w:r>
          </w:p>
        </w:tc>
        <w:tc>
          <w:tcPr>
            <w:tcW w:w="993" w:type="dxa"/>
          </w:tcPr>
          <w:p w14:paraId="531F427E" w14:textId="77777777" w:rsidR="00F153D3" w:rsidRPr="00271F6A" w:rsidRDefault="00F153D3" w:rsidP="00F153D3">
            <w:pPr>
              <w:rPr>
                <w:rFonts w:cs="Calibri"/>
              </w:rPr>
            </w:pPr>
            <w:r w:rsidRPr="00271F6A">
              <w:rPr>
                <w:rFonts w:cs="Calibri"/>
              </w:rPr>
              <w:t>Group 1</w:t>
            </w:r>
          </w:p>
        </w:tc>
        <w:tc>
          <w:tcPr>
            <w:tcW w:w="1275" w:type="dxa"/>
          </w:tcPr>
          <w:p w14:paraId="7146C38C" w14:textId="77777777" w:rsidR="00F153D3" w:rsidRPr="00271F6A" w:rsidRDefault="00F153D3" w:rsidP="00F153D3">
            <w:pPr>
              <w:rPr>
                <w:rFonts w:cs="Calibri"/>
              </w:rPr>
            </w:pPr>
          </w:p>
        </w:tc>
        <w:tc>
          <w:tcPr>
            <w:tcW w:w="1134" w:type="dxa"/>
          </w:tcPr>
          <w:p w14:paraId="42C8C1A7" w14:textId="77777777" w:rsidR="00F153D3" w:rsidRPr="00271F6A" w:rsidRDefault="00F153D3" w:rsidP="00F153D3">
            <w:pPr>
              <w:rPr>
                <w:rFonts w:cs="Calibri"/>
              </w:rPr>
            </w:pPr>
          </w:p>
        </w:tc>
        <w:tc>
          <w:tcPr>
            <w:tcW w:w="993" w:type="dxa"/>
          </w:tcPr>
          <w:p w14:paraId="2AB9FDCF" w14:textId="77777777" w:rsidR="00F153D3" w:rsidRPr="00271F6A" w:rsidRDefault="00F153D3" w:rsidP="00F153D3">
            <w:pPr>
              <w:rPr>
                <w:rFonts w:cs="Calibri"/>
              </w:rPr>
            </w:pPr>
          </w:p>
        </w:tc>
        <w:tc>
          <w:tcPr>
            <w:tcW w:w="992" w:type="dxa"/>
          </w:tcPr>
          <w:p w14:paraId="3C4AB562" w14:textId="77777777" w:rsidR="00F153D3" w:rsidRPr="00271F6A" w:rsidRDefault="00F153D3" w:rsidP="00F153D3">
            <w:pPr>
              <w:rPr>
                <w:rFonts w:cs="Calibri"/>
              </w:rPr>
            </w:pPr>
          </w:p>
        </w:tc>
        <w:tc>
          <w:tcPr>
            <w:tcW w:w="992" w:type="dxa"/>
          </w:tcPr>
          <w:p w14:paraId="191D3982" w14:textId="77777777" w:rsidR="00F153D3" w:rsidRPr="00271F6A" w:rsidRDefault="00F153D3" w:rsidP="00F153D3">
            <w:pPr>
              <w:rPr>
                <w:rFonts w:cs="Calibri"/>
              </w:rPr>
            </w:pPr>
          </w:p>
        </w:tc>
        <w:tc>
          <w:tcPr>
            <w:tcW w:w="1021" w:type="dxa"/>
          </w:tcPr>
          <w:p w14:paraId="1133FFF4" w14:textId="77777777" w:rsidR="00F153D3" w:rsidRPr="00271F6A" w:rsidRDefault="00F153D3" w:rsidP="00F153D3">
            <w:pPr>
              <w:rPr>
                <w:rFonts w:cs="Calibri"/>
              </w:rPr>
            </w:pPr>
          </w:p>
        </w:tc>
        <w:tc>
          <w:tcPr>
            <w:tcW w:w="1955" w:type="dxa"/>
          </w:tcPr>
          <w:p w14:paraId="12EEF14F" w14:textId="77777777" w:rsidR="00F153D3" w:rsidRPr="00271F6A" w:rsidRDefault="00F153D3" w:rsidP="00F153D3">
            <w:pPr>
              <w:rPr>
                <w:rFonts w:cs="Calibri"/>
              </w:rPr>
            </w:pPr>
            <w:r>
              <w:rPr>
                <w:rFonts w:cs="Calibri"/>
              </w:rPr>
              <w:t>x</w:t>
            </w:r>
          </w:p>
        </w:tc>
      </w:tr>
      <w:tr w:rsidR="00F153D3" w:rsidRPr="00271F6A" w14:paraId="2B1DC458" w14:textId="77777777" w:rsidTr="00F153D3">
        <w:trPr>
          <w:trHeight w:val="414"/>
        </w:trPr>
        <w:tc>
          <w:tcPr>
            <w:tcW w:w="1242" w:type="dxa"/>
            <w:vMerge/>
          </w:tcPr>
          <w:p w14:paraId="2ED36A8F" w14:textId="77777777" w:rsidR="00F153D3" w:rsidRPr="00271F6A" w:rsidRDefault="00F153D3" w:rsidP="00F153D3">
            <w:pPr>
              <w:rPr>
                <w:rFonts w:cs="Calibri"/>
              </w:rPr>
            </w:pPr>
          </w:p>
        </w:tc>
        <w:tc>
          <w:tcPr>
            <w:tcW w:w="993" w:type="dxa"/>
          </w:tcPr>
          <w:p w14:paraId="7FABCAD5" w14:textId="77777777" w:rsidR="00F153D3" w:rsidRPr="00271F6A" w:rsidRDefault="00F153D3" w:rsidP="00F153D3">
            <w:pPr>
              <w:rPr>
                <w:rFonts w:cs="Calibri"/>
              </w:rPr>
            </w:pPr>
            <w:r w:rsidRPr="00271F6A">
              <w:rPr>
                <w:rFonts w:cs="Calibri"/>
              </w:rPr>
              <w:t>Group 2</w:t>
            </w:r>
          </w:p>
        </w:tc>
        <w:tc>
          <w:tcPr>
            <w:tcW w:w="1275" w:type="dxa"/>
          </w:tcPr>
          <w:p w14:paraId="7C915A3E" w14:textId="77777777" w:rsidR="00F153D3" w:rsidRPr="00271F6A" w:rsidRDefault="00F153D3" w:rsidP="00F153D3">
            <w:pPr>
              <w:rPr>
                <w:rFonts w:cs="Calibri"/>
              </w:rPr>
            </w:pPr>
          </w:p>
        </w:tc>
        <w:tc>
          <w:tcPr>
            <w:tcW w:w="1134" w:type="dxa"/>
          </w:tcPr>
          <w:p w14:paraId="6F3FE8F1" w14:textId="77777777" w:rsidR="00F153D3" w:rsidRPr="00271F6A" w:rsidRDefault="00F153D3" w:rsidP="00F153D3">
            <w:pPr>
              <w:rPr>
                <w:rFonts w:cs="Calibri"/>
              </w:rPr>
            </w:pPr>
          </w:p>
        </w:tc>
        <w:tc>
          <w:tcPr>
            <w:tcW w:w="993" w:type="dxa"/>
          </w:tcPr>
          <w:p w14:paraId="01D85F77" w14:textId="77777777" w:rsidR="00F153D3" w:rsidRPr="00271F6A" w:rsidRDefault="00F153D3" w:rsidP="00F153D3">
            <w:pPr>
              <w:rPr>
                <w:rFonts w:cs="Calibri"/>
              </w:rPr>
            </w:pPr>
          </w:p>
        </w:tc>
        <w:tc>
          <w:tcPr>
            <w:tcW w:w="992" w:type="dxa"/>
          </w:tcPr>
          <w:p w14:paraId="64D2F9B9" w14:textId="77777777" w:rsidR="00F153D3" w:rsidRPr="00271F6A" w:rsidRDefault="00F153D3" w:rsidP="00F153D3">
            <w:pPr>
              <w:rPr>
                <w:rFonts w:cs="Calibri"/>
              </w:rPr>
            </w:pPr>
          </w:p>
        </w:tc>
        <w:tc>
          <w:tcPr>
            <w:tcW w:w="992" w:type="dxa"/>
          </w:tcPr>
          <w:p w14:paraId="0CC30F78" w14:textId="77777777" w:rsidR="00F153D3" w:rsidRPr="00271F6A" w:rsidRDefault="00F153D3" w:rsidP="00F153D3">
            <w:pPr>
              <w:rPr>
                <w:rFonts w:cs="Calibri"/>
              </w:rPr>
            </w:pPr>
          </w:p>
        </w:tc>
        <w:tc>
          <w:tcPr>
            <w:tcW w:w="1021" w:type="dxa"/>
          </w:tcPr>
          <w:p w14:paraId="3235303B" w14:textId="77777777" w:rsidR="00F153D3" w:rsidRPr="00271F6A" w:rsidRDefault="00F153D3" w:rsidP="00F153D3">
            <w:pPr>
              <w:rPr>
                <w:rFonts w:cs="Calibri"/>
              </w:rPr>
            </w:pPr>
          </w:p>
        </w:tc>
        <w:tc>
          <w:tcPr>
            <w:tcW w:w="1955" w:type="dxa"/>
          </w:tcPr>
          <w:p w14:paraId="3D8825C5" w14:textId="77777777" w:rsidR="00F153D3" w:rsidRPr="00271F6A" w:rsidRDefault="00F153D3" w:rsidP="00F153D3">
            <w:pPr>
              <w:rPr>
                <w:rFonts w:cs="Calibri"/>
              </w:rPr>
            </w:pPr>
            <w:r>
              <w:rPr>
                <w:rFonts w:cs="Calibri"/>
              </w:rPr>
              <w:t>x</w:t>
            </w:r>
          </w:p>
        </w:tc>
      </w:tr>
      <w:tr w:rsidR="00D7763E" w:rsidRPr="00271F6A" w14:paraId="568E95BD" w14:textId="77777777" w:rsidTr="00F153D3">
        <w:trPr>
          <w:trHeight w:val="414"/>
        </w:trPr>
        <w:tc>
          <w:tcPr>
            <w:tcW w:w="1242" w:type="dxa"/>
            <w:vMerge w:val="restart"/>
          </w:tcPr>
          <w:p w14:paraId="2C7DDA32" w14:textId="43106EEB" w:rsidR="00D7763E" w:rsidRPr="00D7763E" w:rsidRDefault="00D7763E" w:rsidP="00F153D3">
            <w:pPr>
              <w:rPr>
                <w:rFonts w:cs="Calibri"/>
                <w:b/>
              </w:rPr>
            </w:pPr>
            <w:r w:rsidRPr="00D7763E">
              <w:rPr>
                <w:rFonts w:cs="Calibri"/>
                <w:b/>
              </w:rPr>
              <w:t>PTP</w:t>
            </w:r>
          </w:p>
        </w:tc>
        <w:tc>
          <w:tcPr>
            <w:tcW w:w="993" w:type="dxa"/>
          </w:tcPr>
          <w:p w14:paraId="73286AD5" w14:textId="687C0DF4" w:rsidR="00D7763E" w:rsidRPr="00271F6A" w:rsidRDefault="00D7763E" w:rsidP="00F153D3">
            <w:pPr>
              <w:rPr>
                <w:rFonts w:cs="Calibri"/>
              </w:rPr>
            </w:pPr>
            <w:r>
              <w:rPr>
                <w:rFonts w:cs="Calibri"/>
              </w:rPr>
              <w:t>Group 1</w:t>
            </w:r>
          </w:p>
        </w:tc>
        <w:tc>
          <w:tcPr>
            <w:tcW w:w="1275" w:type="dxa"/>
          </w:tcPr>
          <w:p w14:paraId="70974FD5" w14:textId="77777777" w:rsidR="00D7763E" w:rsidRPr="00271F6A" w:rsidRDefault="00D7763E" w:rsidP="00F153D3">
            <w:pPr>
              <w:rPr>
                <w:rFonts w:cs="Calibri"/>
              </w:rPr>
            </w:pPr>
          </w:p>
        </w:tc>
        <w:tc>
          <w:tcPr>
            <w:tcW w:w="1134" w:type="dxa"/>
          </w:tcPr>
          <w:p w14:paraId="77DE924A" w14:textId="24944E6F" w:rsidR="00D7763E" w:rsidRPr="00271F6A" w:rsidRDefault="00D7763E" w:rsidP="00F153D3">
            <w:pPr>
              <w:rPr>
                <w:rFonts w:cs="Calibri"/>
              </w:rPr>
            </w:pPr>
            <w:r>
              <w:rPr>
                <w:rFonts w:cs="Calibri"/>
              </w:rPr>
              <w:t>x</w:t>
            </w:r>
          </w:p>
        </w:tc>
        <w:tc>
          <w:tcPr>
            <w:tcW w:w="993" w:type="dxa"/>
          </w:tcPr>
          <w:p w14:paraId="309F2116" w14:textId="77777777" w:rsidR="00D7763E" w:rsidRPr="00271F6A" w:rsidRDefault="00D7763E" w:rsidP="00F153D3">
            <w:pPr>
              <w:rPr>
                <w:rFonts w:cs="Calibri"/>
              </w:rPr>
            </w:pPr>
          </w:p>
        </w:tc>
        <w:tc>
          <w:tcPr>
            <w:tcW w:w="992" w:type="dxa"/>
          </w:tcPr>
          <w:p w14:paraId="63C51ABD" w14:textId="77777777" w:rsidR="00D7763E" w:rsidRPr="00271F6A" w:rsidRDefault="00D7763E" w:rsidP="00F153D3">
            <w:pPr>
              <w:rPr>
                <w:rFonts w:cs="Calibri"/>
              </w:rPr>
            </w:pPr>
          </w:p>
        </w:tc>
        <w:tc>
          <w:tcPr>
            <w:tcW w:w="992" w:type="dxa"/>
          </w:tcPr>
          <w:p w14:paraId="1B9FA505" w14:textId="77777777" w:rsidR="00D7763E" w:rsidRPr="00271F6A" w:rsidRDefault="00D7763E" w:rsidP="00F153D3">
            <w:pPr>
              <w:rPr>
                <w:rFonts w:cs="Calibri"/>
              </w:rPr>
            </w:pPr>
          </w:p>
        </w:tc>
        <w:tc>
          <w:tcPr>
            <w:tcW w:w="1021" w:type="dxa"/>
          </w:tcPr>
          <w:p w14:paraId="568A7AEB" w14:textId="77777777" w:rsidR="00D7763E" w:rsidRPr="00271F6A" w:rsidRDefault="00D7763E" w:rsidP="00F153D3">
            <w:pPr>
              <w:rPr>
                <w:rFonts w:cs="Calibri"/>
              </w:rPr>
            </w:pPr>
          </w:p>
        </w:tc>
        <w:tc>
          <w:tcPr>
            <w:tcW w:w="1955" w:type="dxa"/>
          </w:tcPr>
          <w:p w14:paraId="199A7BDD" w14:textId="3ACB82DD" w:rsidR="00D7763E" w:rsidRDefault="00D7763E" w:rsidP="00F153D3">
            <w:pPr>
              <w:rPr>
                <w:rFonts w:cs="Calibri"/>
              </w:rPr>
            </w:pPr>
            <w:r>
              <w:rPr>
                <w:rFonts w:cs="Calibri"/>
              </w:rPr>
              <w:t>x</w:t>
            </w:r>
          </w:p>
        </w:tc>
      </w:tr>
      <w:tr w:rsidR="00D7763E" w:rsidRPr="00271F6A" w14:paraId="77B0E598" w14:textId="77777777" w:rsidTr="00F153D3">
        <w:trPr>
          <w:trHeight w:val="414"/>
        </w:trPr>
        <w:tc>
          <w:tcPr>
            <w:tcW w:w="1242" w:type="dxa"/>
            <w:vMerge/>
          </w:tcPr>
          <w:p w14:paraId="5A408D89" w14:textId="77777777" w:rsidR="00D7763E" w:rsidRPr="00271F6A" w:rsidRDefault="00D7763E" w:rsidP="00F153D3">
            <w:pPr>
              <w:rPr>
                <w:rFonts w:cs="Calibri"/>
              </w:rPr>
            </w:pPr>
          </w:p>
        </w:tc>
        <w:tc>
          <w:tcPr>
            <w:tcW w:w="993" w:type="dxa"/>
          </w:tcPr>
          <w:p w14:paraId="7982A95E" w14:textId="7A3028A5" w:rsidR="00D7763E" w:rsidRPr="00271F6A" w:rsidRDefault="00D7763E" w:rsidP="00F153D3">
            <w:pPr>
              <w:rPr>
                <w:rFonts w:cs="Calibri"/>
              </w:rPr>
            </w:pPr>
            <w:r>
              <w:rPr>
                <w:rFonts w:cs="Calibri"/>
              </w:rPr>
              <w:t>Group 2</w:t>
            </w:r>
          </w:p>
        </w:tc>
        <w:tc>
          <w:tcPr>
            <w:tcW w:w="1275" w:type="dxa"/>
          </w:tcPr>
          <w:p w14:paraId="24A86ADE" w14:textId="77777777" w:rsidR="00D7763E" w:rsidRPr="00271F6A" w:rsidRDefault="00D7763E" w:rsidP="00F153D3">
            <w:pPr>
              <w:rPr>
                <w:rFonts w:cs="Calibri"/>
              </w:rPr>
            </w:pPr>
          </w:p>
        </w:tc>
        <w:tc>
          <w:tcPr>
            <w:tcW w:w="1134" w:type="dxa"/>
          </w:tcPr>
          <w:p w14:paraId="6C1899E4" w14:textId="6891C1FA" w:rsidR="00D7763E" w:rsidRPr="00271F6A" w:rsidRDefault="00D7763E" w:rsidP="00F153D3">
            <w:pPr>
              <w:rPr>
                <w:rFonts w:cs="Calibri"/>
              </w:rPr>
            </w:pPr>
            <w:r>
              <w:rPr>
                <w:rFonts w:cs="Calibri"/>
              </w:rPr>
              <w:t>x</w:t>
            </w:r>
          </w:p>
        </w:tc>
        <w:tc>
          <w:tcPr>
            <w:tcW w:w="993" w:type="dxa"/>
          </w:tcPr>
          <w:p w14:paraId="06D4B877" w14:textId="77777777" w:rsidR="00D7763E" w:rsidRPr="00271F6A" w:rsidRDefault="00D7763E" w:rsidP="00F153D3">
            <w:pPr>
              <w:rPr>
                <w:rFonts w:cs="Calibri"/>
              </w:rPr>
            </w:pPr>
          </w:p>
        </w:tc>
        <w:tc>
          <w:tcPr>
            <w:tcW w:w="992" w:type="dxa"/>
          </w:tcPr>
          <w:p w14:paraId="29B571CB" w14:textId="77777777" w:rsidR="00D7763E" w:rsidRPr="00271F6A" w:rsidRDefault="00D7763E" w:rsidP="00F153D3">
            <w:pPr>
              <w:rPr>
                <w:rFonts w:cs="Calibri"/>
              </w:rPr>
            </w:pPr>
          </w:p>
        </w:tc>
        <w:tc>
          <w:tcPr>
            <w:tcW w:w="992" w:type="dxa"/>
          </w:tcPr>
          <w:p w14:paraId="30DB33F1" w14:textId="77777777" w:rsidR="00D7763E" w:rsidRPr="00271F6A" w:rsidRDefault="00D7763E" w:rsidP="00F153D3">
            <w:pPr>
              <w:rPr>
                <w:rFonts w:cs="Calibri"/>
              </w:rPr>
            </w:pPr>
          </w:p>
        </w:tc>
        <w:tc>
          <w:tcPr>
            <w:tcW w:w="1021" w:type="dxa"/>
          </w:tcPr>
          <w:p w14:paraId="64646B0E" w14:textId="77777777" w:rsidR="00D7763E" w:rsidRPr="00271F6A" w:rsidRDefault="00D7763E" w:rsidP="00F153D3">
            <w:pPr>
              <w:rPr>
                <w:rFonts w:cs="Calibri"/>
              </w:rPr>
            </w:pPr>
          </w:p>
        </w:tc>
        <w:tc>
          <w:tcPr>
            <w:tcW w:w="1955" w:type="dxa"/>
          </w:tcPr>
          <w:p w14:paraId="7B6BF55D" w14:textId="2C683978" w:rsidR="00D7763E" w:rsidRDefault="00D7763E" w:rsidP="00F153D3">
            <w:pPr>
              <w:rPr>
                <w:rFonts w:cs="Calibri"/>
              </w:rPr>
            </w:pPr>
            <w:r>
              <w:rPr>
                <w:rFonts w:cs="Calibri"/>
              </w:rPr>
              <w:t>x</w:t>
            </w:r>
          </w:p>
        </w:tc>
      </w:tr>
      <w:tr w:rsidR="00D7763E" w:rsidRPr="00271F6A" w14:paraId="74413BE1" w14:textId="77777777" w:rsidTr="00F153D3">
        <w:trPr>
          <w:trHeight w:val="414"/>
        </w:trPr>
        <w:tc>
          <w:tcPr>
            <w:tcW w:w="1242" w:type="dxa"/>
            <w:vMerge w:val="restart"/>
          </w:tcPr>
          <w:p w14:paraId="4FED02D1" w14:textId="35717AA0" w:rsidR="00D7763E" w:rsidRPr="00D7763E" w:rsidRDefault="00D7763E" w:rsidP="00F153D3">
            <w:pPr>
              <w:rPr>
                <w:rFonts w:cs="Calibri"/>
                <w:b/>
              </w:rPr>
            </w:pPr>
            <w:r w:rsidRPr="00D7763E">
              <w:rPr>
                <w:rFonts w:cs="Calibri"/>
                <w:b/>
              </w:rPr>
              <w:t>Side effects</w:t>
            </w:r>
          </w:p>
        </w:tc>
        <w:tc>
          <w:tcPr>
            <w:tcW w:w="993" w:type="dxa"/>
          </w:tcPr>
          <w:p w14:paraId="5291E610" w14:textId="5D7A1148" w:rsidR="00D7763E" w:rsidRPr="00271F6A" w:rsidRDefault="00D7763E" w:rsidP="00F153D3">
            <w:pPr>
              <w:rPr>
                <w:rFonts w:cs="Calibri"/>
              </w:rPr>
            </w:pPr>
            <w:r>
              <w:rPr>
                <w:rFonts w:cs="Calibri"/>
              </w:rPr>
              <w:t>Group 1</w:t>
            </w:r>
          </w:p>
        </w:tc>
        <w:tc>
          <w:tcPr>
            <w:tcW w:w="1275" w:type="dxa"/>
          </w:tcPr>
          <w:p w14:paraId="4233E15C" w14:textId="77777777" w:rsidR="00D7763E" w:rsidRPr="00271F6A" w:rsidRDefault="00D7763E" w:rsidP="00F153D3">
            <w:pPr>
              <w:rPr>
                <w:rFonts w:cs="Calibri"/>
              </w:rPr>
            </w:pPr>
          </w:p>
        </w:tc>
        <w:tc>
          <w:tcPr>
            <w:tcW w:w="1134" w:type="dxa"/>
          </w:tcPr>
          <w:p w14:paraId="5B594F53" w14:textId="2171897C" w:rsidR="00D7763E" w:rsidRPr="00271F6A" w:rsidRDefault="00D7763E" w:rsidP="00F153D3">
            <w:pPr>
              <w:rPr>
                <w:rFonts w:cs="Calibri"/>
              </w:rPr>
            </w:pPr>
            <w:r>
              <w:rPr>
                <w:rFonts w:cs="Calibri"/>
              </w:rPr>
              <w:t>x</w:t>
            </w:r>
          </w:p>
        </w:tc>
        <w:tc>
          <w:tcPr>
            <w:tcW w:w="993" w:type="dxa"/>
          </w:tcPr>
          <w:p w14:paraId="0C45193E" w14:textId="1BB42E7E" w:rsidR="00D7763E" w:rsidRPr="00271F6A" w:rsidRDefault="00D7763E" w:rsidP="00F153D3">
            <w:pPr>
              <w:rPr>
                <w:rFonts w:cs="Calibri"/>
              </w:rPr>
            </w:pPr>
            <w:r>
              <w:rPr>
                <w:rFonts w:cs="Calibri"/>
              </w:rPr>
              <w:t>x</w:t>
            </w:r>
          </w:p>
        </w:tc>
        <w:tc>
          <w:tcPr>
            <w:tcW w:w="992" w:type="dxa"/>
          </w:tcPr>
          <w:p w14:paraId="51E61D30" w14:textId="6A686672" w:rsidR="00D7763E" w:rsidRPr="00271F6A" w:rsidRDefault="00D7763E" w:rsidP="00F153D3">
            <w:pPr>
              <w:rPr>
                <w:rFonts w:cs="Calibri"/>
              </w:rPr>
            </w:pPr>
            <w:r>
              <w:rPr>
                <w:rFonts w:cs="Calibri"/>
              </w:rPr>
              <w:t>x</w:t>
            </w:r>
          </w:p>
        </w:tc>
        <w:tc>
          <w:tcPr>
            <w:tcW w:w="992" w:type="dxa"/>
          </w:tcPr>
          <w:p w14:paraId="03FAA716" w14:textId="422F18FA" w:rsidR="00D7763E" w:rsidRPr="00271F6A" w:rsidRDefault="00D7763E" w:rsidP="00F153D3">
            <w:pPr>
              <w:rPr>
                <w:rFonts w:cs="Calibri"/>
              </w:rPr>
            </w:pPr>
            <w:r>
              <w:rPr>
                <w:rFonts w:cs="Calibri"/>
              </w:rPr>
              <w:t>x</w:t>
            </w:r>
          </w:p>
        </w:tc>
        <w:tc>
          <w:tcPr>
            <w:tcW w:w="1021" w:type="dxa"/>
          </w:tcPr>
          <w:p w14:paraId="41E8B901" w14:textId="23DE0870" w:rsidR="00D7763E" w:rsidRPr="00271F6A" w:rsidRDefault="00D7763E" w:rsidP="00F153D3">
            <w:pPr>
              <w:rPr>
                <w:rFonts w:cs="Calibri"/>
              </w:rPr>
            </w:pPr>
            <w:r>
              <w:rPr>
                <w:rFonts w:cs="Calibri"/>
              </w:rPr>
              <w:t>x</w:t>
            </w:r>
          </w:p>
        </w:tc>
        <w:tc>
          <w:tcPr>
            <w:tcW w:w="1955" w:type="dxa"/>
          </w:tcPr>
          <w:p w14:paraId="180E362E" w14:textId="17F66D75" w:rsidR="00D7763E" w:rsidRDefault="00D7763E" w:rsidP="00F153D3">
            <w:pPr>
              <w:rPr>
                <w:rFonts w:cs="Calibri"/>
              </w:rPr>
            </w:pPr>
            <w:r>
              <w:rPr>
                <w:rFonts w:cs="Calibri"/>
              </w:rPr>
              <w:t>x</w:t>
            </w:r>
          </w:p>
        </w:tc>
      </w:tr>
      <w:tr w:rsidR="00D7763E" w:rsidRPr="00271F6A" w14:paraId="269CF71F" w14:textId="77777777" w:rsidTr="00F153D3">
        <w:trPr>
          <w:trHeight w:val="414"/>
        </w:trPr>
        <w:tc>
          <w:tcPr>
            <w:tcW w:w="1242" w:type="dxa"/>
            <w:vMerge/>
          </w:tcPr>
          <w:p w14:paraId="1656F341" w14:textId="77777777" w:rsidR="00D7763E" w:rsidRPr="00271F6A" w:rsidRDefault="00D7763E" w:rsidP="00F153D3">
            <w:pPr>
              <w:rPr>
                <w:rFonts w:cs="Calibri"/>
              </w:rPr>
            </w:pPr>
          </w:p>
        </w:tc>
        <w:tc>
          <w:tcPr>
            <w:tcW w:w="993" w:type="dxa"/>
          </w:tcPr>
          <w:p w14:paraId="20BEBDF0" w14:textId="2B228CFC" w:rsidR="00D7763E" w:rsidRPr="00271F6A" w:rsidRDefault="00D7763E" w:rsidP="00F153D3">
            <w:pPr>
              <w:rPr>
                <w:rFonts w:cs="Calibri"/>
              </w:rPr>
            </w:pPr>
            <w:r>
              <w:rPr>
                <w:rFonts w:cs="Calibri"/>
              </w:rPr>
              <w:t>Group 2</w:t>
            </w:r>
          </w:p>
        </w:tc>
        <w:tc>
          <w:tcPr>
            <w:tcW w:w="1275" w:type="dxa"/>
          </w:tcPr>
          <w:p w14:paraId="508951F0" w14:textId="77777777" w:rsidR="00D7763E" w:rsidRPr="00271F6A" w:rsidRDefault="00D7763E" w:rsidP="00F153D3">
            <w:pPr>
              <w:rPr>
                <w:rFonts w:cs="Calibri"/>
              </w:rPr>
            </w:pPr>
          </w:p>
        </w:tc>
        <w:tc>
          <w:tcPr>
            <w:tcW w:w="1134" w:type="dxa"/>
          </w:tcPr>
          <w:p w14:paraId="3F195568" w14:textId="67877975" w:rsidR="00D7763E" w:rsidRPr="00271F6A" w:rsidRDefault="00D7763E" w:rsidP="00F153D3">
            <w:pPr>
              <w:rPr>
                <w:rFonts w:cs="Calibri"/>
              </w:rPr>
            </w:pPr>
            <w:r>
              <w:rPr>
                <w:rFonts w:cs="Calibri"/>
              </w:rPr>
              <w:t>x</w:t>
            </w:r>
          </w:p>
        </w:tc>
        <w:tc>
          <w:tcPr>
            <w:tcW w:w="993" w:type="dxa"/>
          </w:tcPr>
          <w:p w14:paraId="49EE3BDD" w14:textId="534B7C82" w:rsidR="00D7763E" w:rsidRPr="00271F6A" w:rsidRDefault="00D7763E" w:rsidP="00F153D3">
            <w:pPr>
              <w:rPr>
                <w:rFonts w:cs="Calibri"/>
              </w:rPr>
            </w:pPr>
            <w:r>
              <w:rPr>
                <w:rFonts w:cs="Calibri"/>
              </w:rPr>
              <w:t>x</w:t>
            </w:r>
          </w:p>
        </w:tc>
        <w:tc>
          <w:tcPr>
            <w:tcW w:w="992" w:type="dxa"/>
          </w:tcPr>
          <w:p w14:paraId="537B7942" w14:textId="11F45C80" w:rsidR="00D7763E" w:rsidRPr="00271F6A" w:rsidRDefault="00D7763E" w:rsidP="00F153D3">
            <w:pPr>
              <w:rPr>
                <w:rFonts w:cs="Calibri"/>
              </w:rPr>
            </w:pPr>
            <w:r>
              <w:rPr>
                <w:rFonts w:cs="Calibri"/>
              </w:rPr>
              <w:t>x</w:t>
            </w:r>
          </w:p>
        </w:tc>
        <w:tc>
          <w:tcPr>
            <w:tcW w:w="992" w:type="dxa"/>
          </w:tcPr>
          <w:p w14:paraId="42E7A900" w14:textId="668D42BC" w:rsidR="00D7763E" w:rsidRPr="00271F6A" w:rsidRDefault="00D7763E" w:rsidP="00F153D3">
            <w:pPr>
              <w:rPr>
                <w:rFonts w:cs="Calibri"/>
              </w:rPr>
            </w:pPr>
            <w:r>
              <w:rPr>
                <w:rFonts w:cs="Calibri"/>
              </w:rPr>
              <w:t>x</w:t>
            </w:r>
          </w:p>
        </w:tc>
        <w:tc>
          <w:tcPr>
            <w:tcW w:w="1021" w:type="dxa"/>
          </w:tcPr>
          <w:p w14:paraId="4C4B3E8A" w14:textId="544614E4" w:rsidR="00D7763E" w:rsidRPr="00271F6A" w:rsidRDefault="00D7763E" w:rsidP="00F153D3">
            <w:pPr>
              <w:rPr>
                <w:rFonts w:cs="Calibri"/>
              </w:rPr>
            </w:pPr>
            <w:r>
              <w:rPr>
                <w:rFonts w:cs="Calibri"/>
              </w:rPr>
              <w:t>x</w:t>
            </w:r>
          </w:p>
        </w:tc>
        <w:tc>
          <w:tcPr>
            <w:tcW w:w="1955" w:type="dxa"/>
          </w:tcPr>
          <w:p w14:paraId="7DAB104B" w14:textId="7E125C72" w:rsidR="00D7763E" w:rsidRDefault="00D7763E" w:rsidP="00F153D3">
            <w:pPr>
              <w:rPr>
                <w:rFonts w:cs="Calibri"/>
              </w:rPr>
            </w:pPr>
            <w:r>
              <w:rPr>
                <w:rFonts w:cs="Calibri"/>
              </w:rPr>
              <w:t>x</w:t>
            </w:r>
          </w:p>
        </w:tc>
      </w:tr>
    </w:tbl>
    <w:p w14:paraId="1916AF5B" w14:textId="6D6A71AC" w:rsidR="00C30138" w:rsidRPr="003E612C" w:rsidRDefault="00C30138" w:rsidP="003E612C">
      <w:pPr>
        <w:jc w:val="both"/>
        <w:rPr>
          <w:b/>
          <w:color w:val="5B9BD5" w:themeColor="accent1"/>
          <w:sz w:val="24"/>
          <w:szCs w:val="26"/>
        </w:rPr>
      </w:pPr>
    </w:p>
    <w:sectPr w:rsidR="00C30138" w:rsidRPr="003E612C" w:rsidSect="001E129D">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A8A07" w14:textId="77777777" w:rsidR="00342995" w:rsidRDefault="00342995" w:rsidP="002356C3">
      <w:pPr>
        <w:spacing w:after="0" w:line="240" w:lineRule="auto"/>
      </w:pPr>
      <w:r>
        <w:separator/>
      </w:r>
    </w:p>
  </w:endnote>
  <w:endnote w:type="continuationSeparator" w:id="0">
    <w:p w14:paraId="3AC7EB08" w14:textId="77777777" w:rsidR="00342995" w:rsidRDefault="00342995" w:rsidP="002356C3">
      <w:pPr>
        <w:spacing w:after="0" w:line="240" w:lineRule="auto"/>
      </w:pPr>
      <w:r>
        <w:continuationSeparator/>
      </w:r>
    </w:p>
  </w:endnote>
  <w:endnote w:type="continuationNotice" w:id="1">
    <w:p w14:paraId="1A2068F3" w14:textId="77777777" w:rsidR="00342995" w:rsidRDefault="003429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Times Roman">
    <w:panose1 w:val="00000500000000020000"/>
    <w:charset w:val="00"/>
    <w:family w:val="auto"/>
    <w:pitch w:val="variable"/>
    <w:sig w:usb0="E00002FF" w:usb1="5000205A" w:usb2="00000000" w:usb3="00000000" w:csb0="0000019F" w:csb1="00000000"/>
  </w:font>
  <w:font w:name="ff2">
    <w:altName w:val="Times New Roman"/>
    <w:panose1 w:val="020B0604020202020204"/>
    <w:charset w:val="00"/>
    <w:family w:val="roman"/>
    <w:notTrueType/>
    <w:pitch w:val="default"/>
  </w:font>
  <w:font w:name="ff3">
    <w:altName w:val="Times New Roman"/>
    <w:panose1 w:val="020B0604020202020204"/>
    <w:charset w:val="00"/>
    <w:family w:val="roman"/>
    <w:notTrueType/>
    <w:pitch w:val="default"/>
  </w:font>
  <w:font w:name="ff1">
    <w:altName w:val="Times New Roman"/>
    <w:panose1 w:val="020B0604020202020204"/>
    <w:charset w:val="00"/>
    <w:family w:val="roman"/>
    <w:notTrueType/>
    <w:pitch w:val="default"/>
  </w:font>
  <w:font w:name="ff5">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7610" w14:textId="42A0022B" w:rsidR="00264A4D" w:rsidRDefault="00264A4D">
    <w:pPr>
      <w:pStyle w:val="Footer"/>
    </w:pPr>
    <w:r>
      <w:t xml:space="preserve">UTN: </w:t>
    </w:r>
    <w:r w:rsidRPr="00264A4D">
      <w:t>U1111-1271-2241</w:t>
    </w:r>
  </w:p>
  <w:p w14:paraId="68D117D4" w14:textId="77777777" w:rsidR="001247D5" w:rsidRDefault="00124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AF21" w14:textId="77777777" w:rsidR="001247D5" w:rsidRPr="00F4549C" w:rsidRDefault="001247D5">
    <w:pPr>
      <w:pStyle w:val="Footer"/>
      <w:jc w:val="center"/>
      <w:rPr>
        <w:rFonts w:ascii="Cambria" w:hAnsi="Cambria"/>
        <w:caps/>
        <w:noProof/>
        <w:color w:val="5B9BD5" w:themeColor="accent1"/>
        <w:sz w:val="16"/>
        <w:szCs w:val="16"/>
      </w:rPr>
    </w:pPr>
    <w:r>
      <w:t>“</w:t>
    </w:r>
    <w:r>
      <w:rPr>
        <w:rFonts w:cstheme="minorHAnsi"/>
      </w:rPr>
      <w:t>Multinutrients and emotion dysregulation in children</w:t>
    </w:r>
    <w:r w:rsidRPr="00E4448C">
      <w:rPr>
        <w:rFonts w:cstheme="minorHAnsi"/>
      </w:rPr>
      <w:t xml:space="preserve">” </w:t>
    </w:r>
    <w:r>
      <w:rPr>
        <w:rFonts w:cstheme="minorHAnsi"/>
      </w:rPr>
      <w:t>March 2021</w:t>
    </w:r>
    <w:r w:rsidRPr="00E4448C">
      <w:rPr>
        <w:rFonts w:cstheme="minorHAnsi"/>
      </w:rPr>
      <w:t>; UTN:</w:t>
    </w:r>
    <w:r w:rsidRPr="001B014F">
      <w:t xml:space="preserve"> </w:t>
    </w:r>
    <w:r>
      <w:tab/>
    </w:r>
    <w:r>
      <w:fldChar w:fldCharType="begin"/>
    </w:r>
    <w:r>
      <w:instrText xml:space="preserve"> PAGE   \* MERGEFORMAT </w:instrText>
    </w:r>
    <w:r>
      <w:fldChar w:fldCharType="separate"/>
    </w:r>
    <w:r>
      <w:rPr>
        <w:noProof/>
      </w:rPr>
      <w:t>32</w:t>
    </w:r>
    <w:r>
      <w:rPr>
        <w:noProof/>
      </w:rPr>
      <w:fldChar w:fldCharType="end"/>
    </w:r>
    <w:r>
      <w:t xml:space="preserve"> | </w:t>
    </w:r>
    <w:r>
      <w:rPr>
        <w:color w:val="7F7F7F"/>
        <w:spacing w:val="60"/>
      </w:rPr>
      <w:t>Page</w:t>
    </w:r>
  </w:p>
  <w:p w14:paraId="10D9564A" w14:textId="77777777" w:rsidR="001247D5" w:rsidRPr="00F4549C" w:rsidRDefault="001247D5" w:rsidP="005A6FF6">
    <w:pPr>
      <w:pStyle w:val="Footer"/>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5EEE" w14:textId="77777777" w:rsidR="00342995" w:rsidRDefault="00342995" w:rsidP="002356C3">
      <w:pPr>
        <w:spacing w:after="0" w:line="240" w:lineRule="auto"/>
      </w:pPr>
      <w:r>
        <w:separator/>
      </w:r>
    </w:p>
  </w:footnote>
  <w:footnote w:type="continuationSeparator" w:id="0">
    <w:p w14:paraId="21A7A7AF" w14:textId="77777777" w:rsidR="00342995" w:rsidRDefault="00342995" w:rsidP="002356C3">
      <w:pPr>
        <w:spacing w:after="0" w:line="240" w:lineRule="auto"/>
      </w:pPr>
      <w:r>
        <w:continuationSeparator/>
      </w:r>
    </w:p>
  </w:footnote>
  <w:footnote w:type="continuationNotice" w:id="1">
    <w:p w14:paraId="0B341D90" w14:textId="77777777" w:rsidR="00342995" w:rsidRDefault="003429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876953"/>
      <w:docPartObj>
        <w:docPartGallery w:val="Page Numbers (Top of Page)"/>
        <w:docPartUnique/>
      </w:docPartObj>
    </w:sdtPr>
    <w:sdtEndPr>
      <w:rPr>
        <w:noProof/>
      </w:rPr>
    </w:sdtEndPr>
    <w:sdtContent>
      <w:p w14:paraId="5A914DCC" w14:textId="41A4E5FE" w:rsidR="001247D5" w:rsidRDefault="001247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D26314" w14:textId="77777777" w:rsidR="001247D5" w:rsidRDefault="00124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CFB1" w14:textId="77777777" w:rsidR="001247D5" w:rsidRPr="00966566" w:rsidRDefault="00342995" w:rsidP="00966566">
    <w:pPr>
      <w:pBdr>
        <w:left w:val="single" w:sz="12" w:space="11" w:color="5B9BD5" w:themeColor="accent1"/>
      </w:pBdr>
      <w:tabs>
        <w:tab w:val="left" w:pos="3620"/>
        <w:tab w:val="left" w:pos="3964"/>
      </w:tabs>
      <w:spacing w:after="0"/>
      <w:jc w:val="center"/>
      <w:rPr>
        <w:rFonts w:asciiTheme="majorHAnsi" w:eastAsiaTheme="majorEastAsia" w:hAnsiTheme="majorHAnsi" w:cstheme="majorBidi"/>
        <w:b/>
        <w:color w:val="2E74B5" w:themeColor="accent1" w:themeShade="BF"/>
        <w:sz w:val="36"/>
        <w:szCs w:val="26"/>
      </w:rPr>
    </w:pPr>
    <w:sdt>
      <w:sdtPr>
        <w:rPr>
          <w:rFonts w:asciiTheme="majorHAnsi" w:eastAsiaTheme="majorEastAsia" w:hAnsiTheme="majorHAnsi" w:cstheme="majorBidi"/>
          <w:b/>
          <w:color w:val="2E74B5" w:themeColor="accent1" w:themeShade="BF"/>
          <w:sz w:val="36"/>
          <w:szCs w:val="26"/>
        </w:rPr>
        <w:alias w:val="Title"/>
        <w:tag w:val=""/>
        <w:id w:val="-932208079"/>
        <w:dataBinding w:prefixMappings="xmlns:ns0='http://purl.org/dc/elements/1.1/' xmlns:ns1='http://schemas.openxmlformats.org/package/2006/metadata/core-properties' " w:xpath="/ns1:coreProperties[1]/ns0:title[1]" w:storeItemID="{6C3C8BC8-F283-45AE-878A-BAB7291924A1}"/>
        <w:text/>
      </w:sdtPr>
      <w:sdtEndPr/>
      <w:sdtContent>
        <w:r w:rsidR="001247D5">
          <w:rPr>
            <w:rFonts w:asciiTheme="majorHAnsi" w:eastAsiaTheme="majorEastAsia" w:hAnsiTheme="majorHAnsi" w:cstheme="majorBidi"/>
            <w:b/>
            <w:color w:val="2E74B5" w:themeColor="accent1" w:themeShade="BF"/>
            <w:sz w:val="36"/>
            <w:szCs w:val="26"/>
          </w:rPr>
          <w:t>Protocol for micronutrients and emotion dysregulation in children: a two-arm withdrawal single-case design (SUNNY Trial)</w:t>
        </w:r>
      </w:sdtContent>
    </w:sdt>
  </w:p>
  <w:p w14:paraId="32BEB59C" w14:textId="77777777" w:rsidR="001247D5" w:rsidRDefault="001247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37"/>
      <w:gridCol w:w="1201"/>
    </w:tblGrid>
    <w:tr w:rsidR="001247D5" w14:paraId="7DED3907" w14:textId="77777777">
      <w:trPr>
        <w:trHeight w:val="288"/>
      </w:trPr>
      <w:sdt>
        <w:sdtPr>
          <w:rPr>
            <w:rFonts w:asciiTheme="majorHAnsi" w:eastAsiaTheme="majorEastAsia" w:hAnsiTheme="majorHAnsi" w:cstheme="majorBidi"/>
            <w:sz w:val="36"/>
            <w:szCs w:val="36"/>
          </w:rPr>
          <w:alias w:val="Title"/>
          <w:id w:val="-1075662744"/>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27CCDB8" w14:textId="77777777" w:rsidR="001247D5" w:rsidRDefault="001247D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Protocol for micronutrients and emotion dysregulation in children: a two-arm withdrawal single-case design (SUNNY Trial)</w:t>
              </w:r>
            </w:p>
          </w:tc>
        </w:sdtContent>
      </w:sdt>
      <w:sdt>
        <w:sdtPr>
          <w:rPr>
            <w:rFonts w:asciiTheme="majorHAnsi" w:eastAsiaTheme="majorEastAsia" w:hAnsiTheme="majorHAnsi" w:cstheme="majorBidi"/>
            <w:b/>
            <w:bCs/>
            <w:color w:val="5B9BD5" w:themeColor="accent1"/>
            <w:sz w:val="36"/>
            <w:szCs w:val="36"/>
          </w:rPr>
          <w:alias w:val="Year"/>
          <w:id w:val="-32382055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14:paraId="08ECC278" w14:textId="77777777" w:rsidR="001247D5" w:rsidRDefault="001247D5" w:rsidP="002356C3">
              <w:pPr>
                <w:pStyle w:val="Header"/>
                <w:rPr>
                  <w:rFonts w:asciiTheme="majorHAnsi" w:eastAsiaTheme="majorEastAsia" w:hAnsiTheme="majorHAnsi" w:cstheme="majorBidi"/>
                  <w:b/>
                  <w:bCs/>
                  <w:color w:val="5B9BD5" w:themeColor="accent1"/>
                  <w:sz w:val="36"/>
                  <w:szCs w:val="36"/>
                </w:rPr>
              </w:pPr>
              <w:r>
                <w:rPr>
                  <w:rFonts w:asciiTheme="majorHAnsi" w:eastAsiaTheme="majorEastAsia" w:hAnsiTheme="majorHAnsi" w:cstheme="majorBidi"/>
                  <w:b/>
                  <w:bCs/>
                  <w:color w:val="5B9BD5" w:themeColor="accent1"/>
                  <w:sz w:val="36"/>
                  <w:szCs w:val="36"/>
                </w:rPr>
                <w:t>NZ</w:t>
              </w:r>
            </w:p>
          </w:tc>
        </w:sdtContent>
      </w:sdt>
    </w:tr>
  </w:tbl>
  <w:p w14:paraId="10B1C4A9" w14:textId="77777777" w:rsidR="001247D5" w:rsidRDefault="00124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561"/>
    <w:multiLevelType w:val="hybridMultilevel"/>
    <w:tmpl w:val="CA00DC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C205FB"/>
    <w:multiLevelType w:val="hybridMultilevel"/>
    <w:tmpl w:val="E70A13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EBD211B"/>
    <w:multiLevelType w:val="hybridMultilevel"/>
    <w:tmpl w:val="DC34422E"/>
    <w:lvl w:ilvl="0" w:tplc="1409000F">
      <w:start w:val="1"/>
      <w:numFmt w:val="decimal"/>
      <w:lvlText w:val="%1."/>
      <w:lvlJc w:val="left"/>
      <w:pPr>
        <w:ind w:left="720" w:hanging="360"/>
      </w:pPr>
      <w:rPr>
        <w:rFonts w:hint="default"/>
      </w:rPr>
    </w:lvl>
    <w:lvl w:ilvl="1" w:tplc="132E2174">
      <w:start w:val="1"/>
      <w:numFmt w:val="lowerLetter"/>
      <w:lvlText w:val="%2."/>
      <w:lvlJc w:val="left"/>
      <w:pPr>
        <w:ind w:left="851" w:hanging="284"/>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AB54485"/>
    <w:multiLevelType w:val="multilevel"/>
    <w:tmpl w:val="707A80FA"/>
    <w:lvl w:ilvl="0">
      <w:start w:val="1"/>
      <w:numFmt w:val="decimal"/>
      <w:lvlText w:val="%1."/>
      <w:lvlJc w:val="left"/>
      <w:pPr>
        <w:tabs>
          <w:tab w:val="num" w:pos="720"/>
        </w:tabs>
        <w:ind w:left="720" w:hanging="360"/>
      </w:pPr>
      <w:rPr>
        <w:rFonts w:hint="default"/>
        <w:i w:val="0"/>
        <w:color w:val="auto"/>
      </w:rPr>
    </w:lvl>
    <w:lvl w:ilvl="1">
      <w:start w:val="1"/>
      <w:numFmt w:val="decimal"/>
      <w:isLgl/>
      <w:lvlText w:val="%1.%2"/>
      <w:lvlJc w:val="left"/>
      <w:pPr>
        <w:ind w:left="860" w:hanging="5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15:restartNumberingAfterBreak="0">
    <w:nsid w:val="274F3030"/>
    <w:multiLevelType w:val="hybridMultilevel"/>
    <w:tmpl w:val="58E016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DEE450E"/>
    <w:multiLevelType w:val="hybridMultilevel"/>
    <w:tmpl w:val="4AAC0E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8612A44"/>
    <w:multiLevelType w:val="hybridMultilevel"/>
    <w:tmpl w:val="2B2A5C74"/>
    <w:lvl w:ilvl="0" w:tplc="4DA41782">
      <w:start w:val="1"/>
      <w:numFmt w:val="decimal"/>
      <w:lvlText w:val="%1."/>
      <w:lvlJc w:val="left"/>
      <w:pPr>
        <w:tabs>
          <w:tab w:val="num" w:pos="720"/>
        </w:tabs>
        <w:ind w:left="720" w:hanging="360"/>
      </w:pPr>
      <w:rPr>
        <w:rFonts w:hint="default"/>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8FB362E"/>
    <w:multiLevelType w:val="hybridMultilevel"/>
    <w:tmpl w:val="753ABE2E"/>
    <w:lvl w:ilvl="0" w:tplc="4DA41782">
      <w:start w:val="1"/>
      <w:numFmt w:val="decimal"/>
      <w:lvlText w:val="%1."/>
      <w:lvlJc w:val="left"/>
      <w:pPr>
        <w:tabs>
          <w:tab w:val="num" w:pos="643"/>
        </w:tabs>
        <w:ind w:left="643" w:hanging="360"/>
      </w:pPr>
      <w:rPr>
        <w:rFonts w:hint="default"/>
        <w:i w:val="0"/>
        <w:color w:val="auto"/>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 w15:restartNumberingAfterBreak="0">
    <w:nsid w:val="3EAC14B2"/>
    <w:multiLevelType w:val="hybridMultilevel"/>
    <w:tmpl w:val="984C02A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52000BDD"/>
    <w:multiLevelType w:val="hybridMultilevel"/>
    <w:tmpl w:val="BF8CDEAE"/>
    <w:lvl w:ilvl="0" w:tplc="04090001">
      <w:start w:val="1"/>
      <w:numFmt w:val="bullet"/>
      <w:lvlText w:val=""/>
      <w:lvlJc w:val="left"/>
      <w:pPr>
        <w:tabs>
          <w:tab w:val="num" w:pos="720"/>
        </w:tabs>
        <w:ind w:left="720" w:hanging="360"/>
      </w:pPr>
      <w:rPr>
        <w:rFonts w:ascii="Symbol" w:hAnsi="Symbol" w:hint="default"/>
      </w:rPr>
    </w:lvl>
    <w:lvl w:ilvl="1" w:tplc="0DC805D2" w:tentative="1">
      <w:start w:val="1"/>
      <w:numFmt w:val="decimal"/>
      <w:lvlText w:val="%2."/>
      <w:lvlJc w:val="left"/>
      <w:pPr>
        <w:tabs>
          <w:tab w:val="num" w:pos="1440"/>
        </w:tabs>
        <w:ind w:left="1440" w:hanging="360"/>
      </w:pPr>
    </w:lvl>
    <w:lvl w:ilvl="2" w:tplc="B6763C0C" w:tentative="1">
      <w:start w:val="1"/>
      <w:numFmt w:val="decimal"/>
      <w:lvlText w:val="%3."/>
      <w:lvlJc w:val="left"/>
      <w:pPr>
        <w:tabs>
          <w:tab w:val="num" w:pos="2160"/>
        </w:tabs>
        <w:ind w:left="2160" w:hanging="360"/>
      </w:pPr>
    </w:lvl>
    <w:lvl w:ilvl="3" w:tplc="EE20F3E4" w:tentative="1">
      <w:start w:val="1"/>
      <w:numFmt w:val="decimal"/>
      <w:lvlText w:val="%4."/>
      <w:lvlJc w:val="left"/>
      <w:pPr>
        <w:tabs>
          <w:tab w:val="num" w:pos="2880"/>
        </w:tabs>
        <w:ind w:left="2880" w:hanging="360"/>
      </w:pPr>
    </w:lvl>
    <w:lvl w:ilvl="4" w:tplc="105034C6" w:tentative="1">
      <w:start w:val="1"/>
      <w:numFmt w:val="decimal"/>
      <w:lvlText w:val="%5."/>
      <w:lvlJc w:val="left"/>
      <w:pPr>
        <w:tabs>
          <w:tab w:val="num" w:pos="3600"/>
        </w:tabs>
        <w:ind w:left="3600" w:hanging="360"/>
      </w:pPr>
    </w:lvl>
    <w:lvl w:ilvl="5" w:tplc="10BA27D2" w:tentative="1">
      <w:start w:val="1"/>
      <w:numFmt w:val="decimal"/>
      <w:lvlText w:val="%6."/>
      <w:lvlJc w:val="left"/>
      <w:pPr>
        <w:tabs>
          <w:tab w:val="num" w:pos="4320"/>
        </w:tabs>
        <w:ind w:left="4320" w:hanging="360"/>
      </w:pPr>
    </w:lvl>
    <w:lvl w:ilvl="6" w:tplc="0068F0EA" w:tentative="1">
      <w:start w:val="1"/>
      <w:numFmt w:val="decimal"/>
      <w:lvlText w:val="%7."/>
      <w:lvlJc w:val="left"/>
      <w:pPr>
        <w:tabs>
          <w:tab w:val="num" w:pos="5040"/>
        </w:tabs>
        <w:ind w:left="5040" w:hanging="360"/>
      </w:pPr>
    </w:lvl>
    <w:lvl w:ilvl="7" w:tplc="ECCCE3EA" w:tentative="1">
      <w:start w:val="1"/>
      <w:numFmt w:val="decimal"/>
      <w:lvlText w:val="%8."/>
      <w:lvlJc w:val="left"/>
      <w:pPr>
        <w:tabs>
          <w:tab w:val="num" w:pos="5760"/>
        </w:tabs>
        <w:ind w:left="5760" w:hanging="360"/>
      </w:pPr>
    </w:lvl>
    <w:lvl w:ilvl="8" w:tplc="1DD4989E" w:tentative="1">
      <w:start w:val="1"/>
      <w:numFmt w:val="decimal"/>
      <w:lvlText w:val="%9."/>
      <w:lvlJc w:val="left"/>
      <w:pPr>
        <w:tabs>
          <w:tab w:val="num" w:pos="6480"/>
        </w:tabs>
        <w:ind w:left="6480" w:hanging="360"/>
      </w:pPr>
    </w:lvl>
  </w:abstractNum>
  <w:abstractNum w:abstractNumId="10" w15:restartNumberingAfterBreak="0">
    <w:nsid w:val="637A10BC"/>
    <w:multiLevelType w:val="hybridMultilevel"/>
    <w:tmpl w:val="18C0F8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AA579AC"/>
    <w:multiLevelType w:val="hybridMultilevel"/>
    <w:tmpl w:val="0038CC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E0E5CC9"/>
    <w:multiLevelType w:val="hybridMultilevel"/>
    <w:tmpl w:val="2B9E99A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11"/>
  </w:num>
  <w:num w:numId="4">
    <w:abstractNumId w:val="2"/>
  </w:num>
  <w:num w:numId="5">
    <w:abstractNumId w:val="8"/>
  </w:num>
  <w:num w:numId="6">
    <w:abstractNumId w:val="3"/>
  </w:num>
  <w:num w:numId="7">
    <w:abstractNumId w:val="4"/>
  </w:num>
  <w:num w:numId="8">
    <w:abstractNumId w:val="5"/>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evp2w2uz2zr0esepxpep0h9z9w09zd9v9t&quot;&gt;Masters-Converted&lt;record-ids&gt;&lt;item&gt;1&lt;/item&gt;&lt;item&gt;6&lt;/item&gt;&lt;item&gt;10&lt;/item&gt;&lt;item&gt;13&lt;/item&gt;&lt;item&gt;16&lt;/item&gt;&lt;item&gt;18&lt;/item&gt;&lt;item&gt;165&lt;/item&gt;&lt;item&gt;177&lt;/item&gt;&lt;item&gt;200&lt;/item&gt;&lt;item&gt;204&lt;/item&gt;&lt;item&gt;205&lt;/item&gt;&lt;item&gt;206&lt;/item&gt;&lt;item&gt;208&lt;/item&gt;&lt;item&gt;213&lt;/item&gt;&lt;item&gt;224&lt;/item&gt;&lt;item&gt;225&lt;/item&gt;&lt;item&gt;229&lt;/item&gt;&lt;item&gt;230&lt;/item&gt;&lt;item&gt;234&lt;/item&gt;&lt;item&gt;235&lt;/item&gt;&lt;item&gt;239&lt;/item&gt;&lt;item&gt;241&lt;/item&gt;&lt;item&gt;246&lt;/item&gt;&lt;item&gt;247&lt;/item&gt;&lt;item&gt;253&lt;/item&gt;&lt;item&gt;256&lt;/item&gt;&lt;item&gt;257&lt;/item&gt;&lt;item&gt;259&lt;/item&gt;&lt;item&gt;260&lt;/item&gt;&lt;item&gt;261&lt;/item&gt;&lt;item&gt;263&lt;/item&gt;&lt;item&gt;264&lt;/item&gt;&lt;item&gt;265&lt;/item&gt;&lt;item&gt;266&lt;/item&gt;&lt;/record-ids&gt;&lt;/item&gt;&lt;/Libraries&gt;"/>
  </w:docVars>
  <w:rsids>
    <w:rsidRoot w:val="002356C3"/>
    <w:rsid w:val="00000211"/>
    <w:rsid w:val="000017B4"/>
    <w:rsid w:val="0000334E"/>
    <w:rsid w:val="0000480C"/>
    <w:rsid w:val="00004E03"/>
    <w:rsid w:val="00010B44"/>
    <w:rsid w:val="00011BC7"/>
    <w:rsid w:val="000121FB"/>
    <w:rsid w:val="000127C7"/>
    <w:rsid w:val="00012BF4"/>
    <w:rsid w:val="00013575"/>
    <w:rsid w:val="00013640"/>
    <w:rsid w:val="00013CA3"/>
    <w:rsid w:val="00014F61"/>
    <w:rsid w:val="0001601B"/>
    <w:rsid w:val="00016795"/>
    <w:rsid w:val="00017A68"/>
    <w:rsid w:val="000213A1"/>
    <w:rsid w:val="00021F4E"/>
    <w:rsid w:val="00022F16"/>
    <w:rsid w:val="00022FF5"/>
    <w:rsid w:val="00026138"/>
    <w:rsid w:val="0002675E"/>
    <w:rsid w:val="00027C40"/>
    <w:rsid w:val="0003021B"/>
    <w:rsid w:val="000317D8"/>
    <w:rsid w:val="0003595E"/>
    <w:rsid w:val="00036BA3"/>
    <w:rsid w:val="00047421"/>
    <w:rsid w:val="0005191F"/>
    <w:rsid w:val="000519BF"/>
    <w:rsid w:val="0005354D"/>
    <w:rsid w:val="00053DE0"/>
    <w:rsid w:val="00055C04"/>
    <w:rsid w:val="000572EB"/>
    <w:rsid w:val="000612AB"/>
    <w:rsid w:val="00061F18"/>
    <w:rsid w:val="00062AA1"/>
    <w:rsid w:val="00062B83"/>
    <w:rsid w:val="00064B0B"/>
    <w:rsid w:val="00064C36"/>
    <w:rsid w:val="00065928"/>
    <w:rsid w:val="00065D82"/>
    <w:rsid w:val="00067482"/>
    <w:rsid w:val="00071DCB"/>
    <w:rsid w:val="00072C54"/>
    <w:rsid w:val="00073204"/>
    <w:rsid w:val="000740E4"/>
    <w:rsid w:val="000759AE"/>
    <w:rsid w:val="000771DD"/>
    <w:rsid w:val="00081EC1"/>
    <w:rsid w:val="00082A53"/>
    <w:rsid w:val="0008493E"/>
    <w:rsid w:val="00085252"/>
    <w:rsid w:val="00085A05"/>
    <w:rsid w:val="00085CB2"/>
    <w:rsid w:val="00086CA2"/>
    <w:rsid w:val="00086D25"/>
    <w:rsid w:val="00087E94"/>
    <w:rsid w:val="00090AE0"/>
    <w:rsid w:val="00091EDF"/>
    <w:rsid w:val="00091F77"/>
    <w:rsid w:val="00094CF0"/>
    <w:rsid w:val="000A084D"/>
    <w:rsid w:val="000A0FF2"/>
    <w:rsid w:val="000A2182"/>
    <w:rsid w:val="000A2453"/>
    <w:rsid w:val="000A4676"/>
    <w:rsid w:val="000A5B1A"/>
    <w:rsid w:val="000A6A22"/>
    <w:rsid w:val="000A6DC5"/>
    <w:rsid w:val="000A6FB2"/>
    <w:rsid w:val="000B0D25"/>
    <w:rsid w:val="000B1148"/>
    <w:rsid w:val="000B27EC"/>
    <w:rsid w:val="000B3224"/>
    <w:rsid w:val="000B3FDF"/>
    <w:rsid w:val="000C06CA"/>
    <w:rsid w:val="000C2D39"/>
    <w:rsid w:val="000C2DAF"/>
    <w:rsid w:val="000C41A2"/>
    <w:rsid w:val="000C691E"/>
    <w:rsid w:val="000D14D3"/>
    <w:rsid w:val="000D3A02"/>
    <w:rsid w:val="000D4D64"/>
    <w:rsid w:val="000D589A"/>
    <w:rsid w:val="000D5C3C"/>
    <w:rsid w:val="000E0665"/>
    <w:rsid w:val="000E06DA"/>
    <w:rsid w:val="000E55EF"/>
    <w:rsid w:val="000E5B72"/>
    <w:rsid w:val="000E6B92"/>
    <w:rsid w:val="000F07D6"/>
    <w:rsid w:val="000F4F38"/>
    <w:rsid w:val="000F551A"/>
    <w:rsid w:val="000F5BD8"/>
    <w:rsid w:val="000F707D"/>
    <w:rsid w:val="0010037A"/>
    <w:rsid w:val="001005F1"/>
    <w:rsid w:val="001017D8"/>
    <w:rsid w:val="00101820"/>
    <w:rsid w:val="00102A24"/>
    <w:rsid w:val="00102D56"/>
    <w:rsid w:val="001033D5"/>
    <w:rsid w:val="00103479"/>
    <w:rsid w:val="001060F0"/>
    <w:rsid w:val="00106801"/>
    <w:rsid w:val="00107EEF"/>
    <w:rsid w:val="00110ED9"/>
    <w:rsid w:val="001110EE"/>
    <w:rsid w:val="001129AF"/>
    <w:rsid w:val="00114157"/>
    <w:rsid w:val="00115BC9"/>
    <w:rsid w:val="00115DF4"/>
    <w:rsid w:val="001203DA"/>
    <w:rsid w:val="00120C72"/>
    <w:rsid w:val="00122E9F"/>
    <w:rsid w:val="0012439C"/>
    <w:rsid w:val="001247D5"/>
    <w:rsid w:val="00125443"/>
    <w:rsid w:val="00125F9D"/>
    <w:rsid w:val="00126322"/>
    <w:rsid w:val="00132E30"/>
    <w:rsid w:val="0013325C"/>
    <w:rsid w:val="0013363A"/>
    <w:rsid w:val="00134310"/>
    <w:rsid w:val="00134AEA"/>
    <w:rsid w:val="00134B4C"/>
    <w:rsid w:val="00135463"/>
    <w:rsid w:val="00136948"/>
    <w:rsid w:val="00136D1F"/>
    <w:rsid w:val="0014041D"/>
    <w:rsid w:val="001404A9"/>
    <w:rsid w:val="001414D1"/>
    <w:rsid w:val="001421E4"/>
    <w:rsid w:val="00143D41"/>
    <w:rsid w:val="001470A7"/>
    <w:rsid w:val="0014760D"/>
    <w:rsid w:val="00147B7F"/>
    <w:rsid w:val="00150624"/>
    <w:rsid w:val="001524F2"/>
    <w:rsid w:val="001531C7"/>
    <w:rsid w:val="0015474E"/>
    <w:rsid w:val="00155BF5"/>
    <w:rsid w:val="00157421"/>
    <w:rsid w:val="00157866"/>
    <w:rsid w:val="001610F9"/>
    <w:rsid w:val="001631C5"/>
    <w:rsid w:val="0016351C"/>
    <w:rsid w:val="00164B6A"/>
    <w:rsid w:val="001721DE"/>
    <w:rsid w:val="00172CEA"/>
    <w:rsid w:val="00176297"/>
    <w:rsid w:val="00176412"/>
    <w:rsid w:val="00176C30"/>
    <w:rsid w:val="00176D88"/>
    <w:rsid w:val="00176FAF"/>
    <w:rsid w:val="00180361"/>
    <w:rsid w:val="00182993"/>
    <w:rsid w:val="0018332E"/>
    <w:rsid w:val="00184333"/>
    <w:rsid w:val="0018461A"/>
    <w:rsid w:val="00184690"/>
    <w:rsid w:val="00184FBF"/>
    <w:rsid w:val="0018538A"/>
    <w:rsid w:val="001932DA"/>
    <w:rsid w:val="001943AE"/>
    <w:rsid w:val="0019452E"/>
    <w:rsid w:val="001A0515"/>
    <w:rsid w:val="001A073C"/>
    <w:rsid w:val="001A1121"/>
    <w:rsid w:val="001A5465"/>
    <w:rsid w:val="001A6C2C"/>
    <w:rsid w:val="001A723F"/>
    <w:rsid w:val="001B014F"/>
    <w:rsid w:val="001B0BE9"/>
    <w:rsid w:val="001B2DD2"/>
    <w:rsid w:val="001B48FD"/>
    <w:rsid w:val="001B5299"/>
    <w:rsid w:val="001B5F41"/>
    <w:rsid w:val="001B6F93"/>
    <w:rsid w:val="001C2595"/>
    <w:rsid w:val="001C395D"/>
    <w:rsid w:val="001C4837"/>
    <w:rsid w:val="001C5EFD"/>
    <w:rsid w:val="001C6546"/>
    <w:rsid w:val="001D03E7"/>
    <w:rsid w:val="001D0BBF"/>
    <w:rsid w:val="001D2402"/>
    <w:rsid w:val="001D4CF2"/>
    <w:rsid w:val="001D5178"/>
    <w:rsid w:val="001D65EA"/>
    <w:rsid w:val="001D66F1"/>
    <w:rsid w:val="001D7B03"/>
    <w:rsid w:val="001E129D"/>
    <w:rsid w:val="001E1557"/>
    <w:rsid w:val="001E29F3"/>
    <w:rsid w:val="001E2DBF"/>
    <w:rsid w:val="001E3944"/>
    <w:rsid w:val="001E3EE1"/>
    <w:rsid w:val="001E5078"/>
    <w:rsid w:val="001E5FC2"/>
    <w:rsid w:val="001E6C86"/>
    <w:rsid w:val="001E7B13"/>
    <w:rsid w:val="001F62B1"/>
    <w:rsid w:val="001F76F4"/>
    <w:rsid w:val="001F7C5B"/>
    <w:rsid w:val="001F7E7D"/>
    <w:rsid w:val="002007FA"/>
    <w:rsid w:val="0020265B"/>
    <w:rsid w:val="0020332B"/>
    <w:rsid w:val="002061C1"/>
    <w:rsid w:val="002069E7"/>
    <w:rsid w:val="00207C2D"/>
    <w:rsid w:val="002102BF"/>
    <w:rsid w:val="00210A75"/>
    <w:rsid w:val="00210F05"/>
    <w:rsid w:val="00211017"/>
    <w:rsid w:val="00215B20"/>
    <w:rsid w:val="00217718"/>
    <w:rsid w:val="00220798"/>
    <w:rsid w:val="002211EA"/>
    <w:rsid w:val="00221586"/>
    <w:rsid w:val="002219C9"/>
    <w:rsid w:val="00222B96"/>
    <w:rsid w:val="00222C20"/>
    <w:rsid w:val="00222FE2"/>
    <w:rsid w:val="002239E9"/>
    <w:rsid w:val="002242CC"/>
    <w:rsid w:val="0022606B"/>
    <w:rsid w:val="00226287"/>
    <w:rsid w:val="00227F71"/>
    <w:rsid w:val="0023125C"/>
    <w:rsid w:val="0023170C"/>
    <w:rsid w:val="002321F0"/>
    <w:rsid w:val="002356C3"/>
    <w:rsid w:val="0024214A"/>
    <w:rsid w:val="00243C2A"/>
    <w:rsid w:val="0024618B"/>
    <w:rsid w:val="00246C43"/>
    <w:rsid w:val="00247C00"/>
    <w:rsid w:val="00247D27"/>
    <w:rsid w:val="00250D0D"/>
    <w:rsid w:val="0025176F"/>
    <w:rsid w:val="00252215"/>
    <w:rsid w:val="00254228"/>
    <w:rsid w:val="00255C59"/>
    <w:rsid w:val="002563CE"/>
    <w:rsid w:val="00256502"/>
    <w:rsid w:val="002575B8"/>
    <w:rsid w:val="00262C72"/>
    <w:rsid w:val="00264060"/>
    <w:rsid w:val="00264A4D"/>
    <w:rsid w:val="00271352"/>
    <w:rsid w:val="00272466"/>
    <w:rsid w:val="002760E5"/>
    <w:rsid w:val="002766D0"/>
    <w:rsid w:val="0027795F"/>
    <w:rsid w:val="00282AAD"/>
    <w:rsid w:val="00284D98"/>
    <w:rsid w:val="0029197B"/>
    <w:rsid w:val="0029257F"/>
    <w:rsid w:val="0029265E"/>
    <w:rsid w:val="00292902"/>
    <w:rsid w:val="00296437"/>
    <w:rsid w:val="00297737"/>
    <w:rsid w:val="002A02D6"/>
    <w:rsid w:val="002A5D43"/>
    <w:rsid w:val="002B067A"/>
    <w:rsid w:val="002B2435"/>
    <w:rsid w:val="002B2BEC"/>
    <w:rsid w:val="002B2E05"/>
    <w:rsid w:val="002B3B42"/>
    <w:rsid w:val="002B4BCF"/>
    <w:rsid w:val="002C1FAC"/>
    <w:rsid w:val="002C2B12"/>
    <w:rsid w:val="002C339C"/>
    <w:rsid w:val="002C3B1D"/>
    <w:rsid w:val="002C4056"/>
    <w:rsid w:val="002C79E4"/>
    <w:rsid w:val="002C7AA7"/>
    <w:rsid w:val="002C7CED"/>
    <w:rsid w:val="002D2E6F"/>
    <w:rsid w:val="002D317D"/>
    <w:rsid w:val="002D3827"/>
    <w:rsid w:val="002D5996"/>
    <w:rsid w:val="002D602D"/>
    <w:rsid w:val="002D7609"/>
    <w:rsid w:val="002E00AA"/>
    <w:rsid w:val="002E2016"/>
    <w:rsid w:val="002E3C74"/>
    <w:rsid w:val="002E4787"/>
    <w:rsid w:val="002E6A0A"/>
    <w:rsid w:val="002F115A"/>
    <w:rsid w:val="002F22B8"/>
    <w:rsid w:val="002F2B04"/>
    <w:rsid w:val="002F340E"/>
    <w:rsid w:val="002F38C2"/>
    <w:rsid w:val="002F4D12"/>
    <w:rsid w:val="002F563F"/>
    <w:rsid w:val="002F5F5C"/>
    <w:rsid w:val="002F7E0F"/>
    <w:rsid w:val="00300F42"/>
    <w:rsid w:val="00301D65"/>
    <w:rsid w:val="00305F09"/>
    <w:rsid w:val="003071E5"/>
    <w:rsid w:val="00307A5A"/>
    <w:rsid w:val="003172D8"/>
    <w:rsid w:val="00320EF6"/>
    <w:rsid w:val="00320FAD"/>
    <w:rsid w:val="003212BF"/>
    <w:rsid w:val="003236C3"/>
    <w:rsid w:val="003239C3"/>
    <w:rsid w:val="00325CD8"/>
    <w:rsid w:val="00326B5B"/>
    <w:rsid w:val="00327E0E"/>
    <w:rsid w:val="00331132"/>
    <w:rsid w:val="003316CD"/>
    <w:rsid w:val="003326DF"/>
    <w:rsid w:val="00333761"/>
    <w:rsid w:val="0033410D"/>
    <w:rsid w:val="003377CE"/>
    <w:rsid w:val="00342142"/>
    <w:rsid w:val="003421E4"/>
    <w:rsid w:val="0034227A"/>
    <w:rsid w:val="00342995"/>
    <w:rsid w:val="00344346"/>
    <w:rsid w:val="00344AC1"/>
    <w:rsid w:val="00345FB1"/>
    <w:rsid w:val="0034747E"/>
    <w:rsid w:val="00347AF5"/>
    <w:rsid w:val="003510D7"/>
    <w:rsid w:val="003513AD"/>
    <w:rsid w:val="003537D0"/>
    <w:rsid w:val="00355D1C"/>
    <w:rsid w:val="00356685"/>
    <w:rsid w:val="003573FA"/>
    <w:rsid w:val="00360DF1"/>
    <w:rsid w:val="00362636"/>
    <w:rsid w:val="00363429"/>
    <w:rsid w:val="00363F0C"/>
    <w:rsid w:val="0036657F"/>
    <w:rsid w:val="003668A6"/>
    <w:rsid w:val="0036751A"/>
    <w:rsid w:val="00371AEC"/>
    <w:rsid w:val="00372F74"/>
    <w:rsid w:val="0037445F"/>
    <w:rsid w:val="0037595C"/>
    <w:rsid w:val="003779C1"/>
    <w:rsid w:val="003827EE"/>
    <w:rsid w:val="003836E0"/>
    <w:rsid w:val="003858E3"/>
    <w:rsid w:val="00386474"/>
    <w:rsid w:val="00387005"/>
    <w:rsid w:val="003876B5"/>
    <w:rsid w:val="00387DE5"/>
    <w:rsid w:val="00387FF3"/>
    <w:rsid w:val="003905B4"/>
    <w:rsid w:val="00391AF8"/>
    <w:rsid w:val="003920E4"/>
    <w:rsid w:val="0039394E"/>
    <w:rsid w:val="00394FBB"/>
    <w:rsid w:val="0039651A"/>
    <w:rsid w:val="003967D7"/>
    <w:rsid w:val="003A127E"/>
    <w:rsid w:val="003A16A3"/>
    <w:rsid w:val="003A73F9"/>
    <w:rsid w:val="003B0577"/>
    <w:rsid w:val="003B0CF3"/>
    <w:rsid w:val="003B1AE5"/>
    <w:rsid w:val="003B5516"/>
    <w:rsid w:val="003B5C5D"/>
    <w:rsid w:val="003B6F47"/>
    <w:rsid w:val="003C0E3B"/>
    <w:rsid w:val="003C1F22"/>
    <w:rsid w:val="003C3D93"/>
    <w:rsid w:val="003C447C"/>
    <w:rsid w:val="003C5727"/>
    <w:rsid w:val="003C5DCC"/>
    <w:rsid w:val="003D06EB"/>
    <w:rsid w:val="003D103B"/>
    <w:rsid w:val="003D2734"/>
    <w:rsid w:val="003D4314"/>
    <w:rsid w:val="003E26B4"/>
    <w:rsid w:val="003E2F17"/>
    <w:rsid w:val="003E34C9"/>
    <w:rsid w:val="003E378B"/>
    <w:rsid w:val="003E5412"/>
    <w:rsid w:val="003E54CD"/>
    <w:rsid w:val="003E612C"/>
    <w:rsid w:val="003F7B2C"/>
    <w:rsid w:val="00401C05"/>
    <w:rsid w:val="00402EBD"/>
    <w:rsid w:val="004059D4"/>
    <w:rsid w:val="00405F6B"/>
    <w:rsid w:val="00406EDF"/>
    <w:rsid w:val="0041439B"/>
    <w:rsid w:val="0041488A"/>
    <w:rsid w:val="00415D00"/>
    <w:rsid w:val="00417519"/>
    <w:rsid w:val="004210B5"/>
    <w:rsid w:val="004218D0"/>
    <w:rsid w:val="00422D54"/>
    <w:rsid w:val="0042551E"/>
    <w:rsid w:val="00425831"/>
    <w:rsid w:val="0042791F"/>
    <w:rsid w:val="004314B9"/>
    <w:rsid w:val="00432CFC"/>
    <w:rsid w:val="004336C0"/>
    <w:rsid w:val="00436DF2"/>
    <w:rsid w:val="00437848"/>
    <w:rsid w:val="004378AD"/>
    <w:rsid w:val="004406B5"/>
    <w:rsid w:val="00440703"/>
    <w:rsid w:val="0044136A"/>
    <w:rsid w:val="0044348F"/>
    <w:rsid w:val="004438D5"/>
    <w:rsid w:val="00444F6D"/>
    <w:rsid w:val="00447AA9"/>
    <w:rsid w:val="004500C1"/>
    <w:rsid w:val="00451FAC"/>
    <w:rsid w:val="004545D4"/>
    <w:rsid w:val="0045494E"/>
    <w:rsid w:val="00454F06"/>
    <w:rsid w:val="0046018A"/>
    <w:rsid w:val="004628D2"/>
    <w:rsid w:val="004642FE"/>
    <w:rsid w:val="00464ADD"/>
    <w:rsid w:val="00465844"/>
    <w:rsid w:val="00466083"/>
    <w:rsid w:val="004665D3"/>
    <w:rsid w:val="00467F6F"/>
    <w:rsid w:val="004701A0"/>
    <w:rsid w:val="00470C3B"/>
    <w:rsid w:val="004724E6"/>
    <w:rsid w:val="004726E3"/>
    <w:rsid w:val="0047495E"/>
    <w:rsid w:val="004754BD"/>
    <w:rsid w:val="00476541"/>
    <w:rsid w:val="00477103"/>
    <w:rsid w:val="00480800"/>
    <w:rsid w:val="00480BC3"/>
    <w:rsid w:val="00480F58"/>
    <w:rsid w:val="00482A4F"/>
    <w:rsid w:val="00482FE5"/>
    <w:rsid w:val="00483C8C"/>
    <w:rsid w:val="004847BC"/>
    <w:rsid w:val="0049108A"/>
    <w:rsid w:val="0049133A"/>
    <w:rsid w:val="0049241B"/>
    <w:rsid w:val="0049365B"/>
    <w:rsid w:val="004937B6"/>
    <w:rsid w:val="004937C8"/>
    <w:rsid w:val="00494F26"/>
    <w:rsid w:val="00495A70"/>
    <w:rsid w:val="004969D9"/>
    <w:rsid w:val="00497832"/>
    <w:rsid w:val="004A04FF"/>
    <w:rsid w:val="004A2EB1"/>
    <w:rsid w:val="004A2F2B"/>
    <w:rsid w:val="004A3269"/>
    <w:rsid w:val="004A510E"/>
    <w:rsid w:val="004A61B1"/>
    <w:rsid w:val="004A7851"/>
    <w:rsid w:val="004B214A"/>
    <w:rsid w:val="004B3002"/>
    <w:rsid w:val="004B4F69"/>
    <w:rsid w:val="004C1F2E"/>
    <w:rsid w:val="004C33C7"/>
    <w:rsid w:val="004C3471"/>
    <w:rsid w:val="004C37E7"/>
    <w:rsid w:val="004C4A0C"/>
    <w:rsid w:val="004C5E85"/>
    <w:rsid w:val="004C7036"/>
    <w:rsid w:val="004C76DB"/>
    <w:rsid w:val="004D0658"/>
    <w:rsid w:val="004D39DD"/>
    <w:rsid w:val="004D4F7B"/>
    <w:rsid w:val="004D5B72"/>
    <w:rsid w:val="004E0806"/>
    <w:rsid w:val="004E0EA5"/>
    <w:rsid w:val="004E1AFF"/>
    <w:rsid w:val="004E3616"/>
    <w:rsid w:val="004E3F2D"/>
    <w:rsid w:val="004E3F66"/>
    <w:rsid w:val="004E69FE"/>
    <w:rsid w:val="004F053A"/>
    <w:rsid w:val="004F15E8"/>
    <w:rsid w:val="004F1664"/>
    <w:rsid w:val="004F23C2"/>
    <w:rsid w:val="004F4AAB"/>
    <w:rsid w:val="004F6488"/>
    <w:rsid w:val="004F75A9"/>
    <w:rsid w:val="004F76BC"/>
    <w:rsid w:val="005009C7"/>
    <w:rsid w:val="00500EAD"/>
    <w:rsid w:val="00503CD3"/>
    <w:rsid w:val="0050414B"/>
    <w:rsid w:val="005056D4"/>
    <w:rsid w:val="00507302"/>
    <w:rsid w:val="00507FA5"/>
    <w:rsid w:val="00514253"/>
    <w:rsid w:val="00516463"/>
    <w:rsid w:val="005209A5"/>
    <w:rsid w:val="00520B78"/>
    <w:rsid w:val="00521728"/>
    <w:rsid w:val="00523405"/>
    <w:rsid w:val="0052403B"/>
    <w:rsid w:val="0052636C"/>
    <w:rsid w:val="00527629"/>
    <w:rsid w:val="00527893"/>
    <w:rsid w:val="0053178E"/>
    <w:rsid w:val="0053257E"/>
    <w:rsid w:val="00532FDC"/>
    <w:rsid w:val="005333D5"/>
    <w:rsid w:val="0053464C"/>
    <w:rsid w:val="00534EC6"/>
    <w:rsid w:val="005370FC"/>
    <w:rsid w:val="00537400"/>
    <w:rsid w:val="005402C2"/>
    <w:rsid w:val="005427E1"/>
    <w:rsid w:val="00546802"/>
    <w:rsid w:val="00553F7D"/>
    <w:rsid w:val="00556B61"/>
    <w:rsid w:val="005624BF"/>
    <w:rsid w:val="005656BC"/>
    <w:rsid w:val="00565A15"/>
    <w:rsid w:val="00566B2B"/>
    <w:rsid w:val="00567424"/>
    <w:rsid w:val="0056791F"/>
    <w:rsid w:val="00570F64"/>
    <w:rsid w:val="0057191F"/>
    <w:rsid w:val="00572278"/>
    <w:rsid w:val="00575FC1"/>
    <w:rsid w:val="00575FCA"/>
    <w:rsid w:val="005776EF"/>
    <w:rsid w:val="00577945"/>
    <w:rsid w:val="00580865"/>
    <w:rsid w:val="005809FA"/>
    <w:rsid w:val="00580FDC"/>
    <w:rsid w:val="0058306E"/>
    <w:rsid w:val="00583B71"/>
    <w:rsid w:val="0058402C"/>
    <w:rsid w:val="00585AC8"/>
    <w:rsid w:val="00585ED9"/>
    <w:rsid w:val="00590116"/>
    <w:rsid w:val="0059040F"/>
    <w:rsid w:val="00592CA9"/>
    <w:rsid w:val="005943DE"/>
    <w:rsid w:val="00594A34"/>
    <w:rsid w:val="00595904"/>
    <w:rsid w:val="0059650D"/>
    <w:rsid w:val="00596584"/>
    <w:rsid w:val="005971BC"/>
    <w:rsid w:val="0059744E"/>
    <w:rsid w:val="005A37A9"/>
    <w:rsid w:val="005A48B0"/>
    <w:rsid w:val="005A61E9"/>
    <w:rsid w:val="005A6FF6"/>
    <w:rsid w:val="005B02FF"/>
    <w:rsid w:val="005B40BA"/>
    <w:rsid w:val="005B674C"/>
    <w:rsid w:val="005C336C"/>
    <w:rsid w:val="005C391B"/>
    <w:rsid w:val="005C74A7"/>
    <w:rsid w:val="005D0A42"/>
    <w:rsid w:val="005D20F9"/>
    <w:rsid w:val="005D222A"/>
    <w:rsid w:val="005E1908"/>
    <w:rsid w:val="005E2BB4"/>
    <w:rsid w:val="005E2C1C"/>
    <w:rsid w:val="005E3988"/>
    <w:rsid w:val="005E50F0"/>
    <w:rsid w:val="005E5CBA"/>
    <w:rsid w:val="005E6278"/>
    <w:rsid w:val="005E751E"/>
    <w:rsid w:val="005F065F"/>
    <w:rsid w:val="005F2E60"/>
    <w:rsid w:val="005F33E1"/>
    <w:rsid w:val="005F39F7"/>
    <w:rsid w:val="005F65C1"/>
    <w:rsid w:val="005F6B25"/>
    <w:rsid w:val="0060246F"/>
    <w:rsid w:val="00602B3C"/>
    <w:rsid w:val="00602F73"/>
    <w:rsid w:val="006034C5"/>
    <w:rsid w:val="00610155"/>
    <w:rsid w:val="00610DFF"/>
    <w:rsid w:val="00610F13"/>
    <w:rsid w:val="0061481C"/>
    <w:rsid w:val="0061590B"/>
    <w:rsid w:val="00616AF1"/>
    <w:rsid w:val="00616FF1"/>
    <w:rsid w:val="00617773"/>
    <w:rsid w:val="006213E8"/>
    <w:rsid w:val="00623983"/>
    <w:rsid w:val="00624977"/>
    <w:rsid w:val="0062572E"/>
    <w:rsid w:val="00626685"/>
    <w:rsid w:val="00627615"/>
    <w:rsid w:val="00627D49"/>
    <w:rsid w:val="006306A6"/>
    <w:rsid w:val="00631594"/>
    <w:rsid w:val="006318D4"/>
    <w:rsid w:val="00632136"/>
    <w:rsid w:val="00633198"/>
    <w:rsid w:val="00633D15"/>
    <w:rsid w:val="006342C2"/>
    <w:rsid w:val="006370C0"/>
    <w:rsid w:val="00637E9E"/>
    <w:rsid w:val="00642D24"/>
    <w:rsid w:val="00644161"/>
    <w:rsid w:val="0064589C"/>
    <w:rsid w:val="006505CF"/>
    <w:rsid w:val="00651FCC"/>
    <w:rsid w:val="0065234D"/>
    <w:rsid w:val="0065263C"/>
    <w:rsid w:val="00652826"/>
    <w:rsid w:val="00653B5E"/>
    <w:rsid w:val="0065693C"/>
    <w:rsid w:val="0065773E"/>
    <w:rsid w:val="00657B38"/>
    <w:rsid w:val="00657ECF"/>
    <w:rsid w:val="0066379D"/>
    <w:rsid w:val="00666015"/>
    <w:rsid w:val="006663FD"/>
    <w:rsid w:val="00666D47"/>
    <w:rsid w:val="00667D5D"/>
    <w:rsid w:val="00677100"/>
    <w:rsid w:val="00680088"/>
    <w:rsid w:val="006818C7"/>
    <w:rsid w:val="00682ED4"/>
    <w:rsid w:val="00683B0F"/>
    <w:rsid w:val="0068538B"/>
    <w:rsid w:val="00687A21"/>
    <w:rsid w:val="006902C6"/>
    <w:rsid w:val="006925A4"/>
    <w:rsid w:val="0069304B"/>
    <w:rsid w:val="00695C59"/>
    <w:rsid w:val="006979FC"/>
    <w:rsid w:val="006A126C"/>
    <w:rsid w:val="006A19BE"/>
    <w:rsid w:val="006A2644"/>
    <w:rsid w:val="006A3106"/>
    <w:rsid w:val="006A36C6"/>
    <w:rsid w:val="006A4613"/>
    <w:rsid w:val="006A5D59"/>
    <w:rsid w:val="006A5F8D"/>
    <w:rsid w:val="006A6A81"/>
    <w:rsid w:val="006A753B"/>
    <w:rsid w:val="006B04F0"/>
    <w:rsid w:val="006B0B75"/>
    <w:rsid w:val="006B189B"/>
    <w:rsid w:val="006B1DDF"/>
    <w:rsid w:val="006B49D3"/>
    <w:rsid w:val="006B5230"/>
    <w:rsid w:val="006B6B61"/>
    <w:rsid w:val="006C1626"/>
    <w:rsid w:val="006C19DE"/>
    <w:rsid w:val="006C3016"/>
    <w:rsid w:val="006C3786"/>
    <w:rsid w:val="006C3E84"/>
    <w:rsid w:val="006C3FE8"/>
    <w:rsid w:val="006C429E"/>
    <w:rsid w:val="006C55E4"/>
    <w:rsid w:val="006C6EFB"/>
    <w:rsid w:val="006C7B37"/>
    <w:rsid w:val="006C7E32"/>
    <w:rsid w:val="006D315D"/>
    <w:rsid w:val="006D44C6"/>
    <w:rsid w:val="006D59D5"/>
    <w:rsid w:val="006D5AC5"/>
    <w:rsid w:val="006D68E0"/>
    <w:rsid w:val="006D7395"/>
    <w:rsid w:val="006D75A3"/>
    <w:rsid w:val="006E085B"/>
    <w:rsid w:val="006E224D"/>
    <w:rsid w:val="006E3616"/>
    <w:rsid w:val="006E3D10"/>
    <w:rsid w:val="006E4B08"/>
    <w:rsid w:val="006E5B6D"/>
    <w:rsid w:val="006E63A7"/>
    <w:rsid w:val="006E7889"/>
    <w:rsid w:val="006F005E"/>
    <w:rsid w:val="006F1FA5"/>
    <w:rsid w:val="006F2945"/>
    <w:rsid w:val="006F3E70"/>
    <w:rsid w:val="006F6EB9"/>
    <w:rsid w:val="006F78CF"/>
    <w:rsid w:val="0070005F"/>
    <w:rsid w:val="007009E7"/>
    <w:rsid w:val="0070241F"/>
    <w:rsid w:val="00702510"/>
    <w:rsid w:val="00702F7E"/>
    <w:rsid w:val="007041E8"/>
    <w:rsid w:val="0070491B"/>
    <w:rsid w:val="00707FE8"/>
    <w:rsid w:val="007107D2"/>
    <w:rsid w:val="007160D1"/>
    <w:rsid w:val="00717A95"/>
    <w:rsid w:val="00717D2F"/>
    <w:rsid w:val="007224B7"/>
    <w:rsid w:val="0072279D"/>
    <w:rsid w:val="007227FD"/>
    <w:rsid w:val="007230C9"/>
    <w:rsid w:val="0072654D"/>
    <w:rsid w:val="00730203"/>
    <w:rsid w:val="0073110A"/>
    <w:rsid w:val="00731377"/>
    <w:rsid w:val="00732141"/>
    <w:rsid w:val="0073331D"/>
    <w:rsid w:val="007335E6"/>
    <w:rsid w:val="00734559"/>
    <w:rsid w:val="007345AB"/>
    <w:rsid w:val="00734667"/>
    <w:rsid w:val="00734719"/>
    <w:rsid w:val="0073502F"/>
    <w:rsid w:val="00735399"/>
    <w:rsid w:val="00743592"/>
    <w:rsid w:val="007442F9"/>
    <w:rsid w:val="0074495E"/>
    <w:rsid w:val="00744B56"/>
    <w:rsid w:val="00744EE7"/>
    <w:rsid w:val="00746026"/>
    <w:rsid w:val="00746F14"/>
    <w:rsid w:val="007471E5"/>
    <w:rsid w:val="00747D13"/>
    <w:rsid w:val="00750499"/>
    <w:rsid w:val="00750FCA"/>
    <w:rsid w:val="007527BE"/>
    <w:rsid w:val="0075420F"/>
    <w:rsid w:val="00762388"/>
    <w:rsid w:val="00764409"/>
    <w:rsid w:val="007649CC"/>
    <w:rsid w:val="00770318"/>
    <w:rsid w:val="0077213E"/>
    <w:rsid w:val="00774149"/>
    <w:rsid w:val="007741B6"/>
    <w:rsid w:val="007754FF"/>
    <w:rsid w:val="00776930"/>
    <w:rsid w:val="00777B80"/>
    <w:rsid w:val="00781882"/>
    <w:rsid w:val="0078191F"/>
    <w:rsid w:val="0078272B"/>
    <w:rsid w:val="00782E44"/>
    <w:rsid w:val="0078420D"/>
    <w:rsid w:val="007848BF"/>
    <w:rsid w:val="007857CE"/>
    <w:rsid w:val="007925E2"/>
    <w:rsid w:val="00795A4B"/>
    <w:rsid w:val="007A1142"/>
    <w:rsid w:val="007A39E8"/>
    <w:rsid w:val="007A40A2"/>
    <w:rsid w:val="007A5CB0"/>
    <w:rsid w:val="007B1544"/>
    <w:rsid w:val="007B188C"/>
    <w:rsid w:val="007B218D"/>
    <w:rsid w:val="007B2A82"/>
    <w:rsid w:val="007B3084"/>
    <w:rsid w:val="007B46E2"/>
    <w:rsid w:val="007B5FED"/>
    <w:rsid w:val="007B6465"/>
    <w:rsid w:val="007C1A98"/>
    <w:rsid w:val="007C2B76"/>
    <w:rsid w:val="007C2D7B"/>
    <w:rsid w:val="007C30B8"/>
    <w:rsid w:val="007C37F9"/>
    <w:rsid w:val="007C3A97"/>
    <w:rsid w:val="007C3DDA"/>
    <w:rsid w:val="007C4520"/>
    <w:rsid w:val="007C4EE9"/>
    <w:rsid w:val="007C5BA6"/>
    <w:rsid w:val="007C5DD5"/>
    <w:rsid w:val="007C693C"/>
    <w:rsid w:val="007C6DC4"/>
    <w:rsid w:val="007C770E"/>
    <w:rsid w:val="007C7E5C"/>
    <w:rsid w:val="007D3FAE"/>
    <w:rsid w:val="007D4343"/>
    <w:rsid w:val="007D457B"/>
    <w:rsid w:val="007D4711"/>
    <w:rsid w:val="007D5CD1"/>
    <w:rsid w:val="007D6A9B"/>
    <w:rsid w:val="007D6AF9"/>
    <w:rsid w:val="007D6DF5"/>
    <w:rsid w:val="007D6FD9"/>
    <w:rsid w:val="007D7B8C"/>
    <w:rsid w:val="007E0B83"/>
    <w:rsid w:val="007E239D"/>
    <w:rsid w:val="007F0EFA"/>
    <w:rsid w:val="007F0F39"/>
    <w:rsid w:val="007F3338"/>
    <w:rsid w:val="007F39C6"/>
    <w:rsid w:val="007F4940"/>
    <w:rsid w:val="007F57B7"/>
    <w:rsid w:val="007F5CE5"/>
    <w:rsid w:val="007F68B2"/>
    <w:rsid w:val="007F751E"/>
    <w:rsid w:val="008016EE"/>
    <w:rsid w:val="008026EA"/>
    <w:rsid w:val="0080566B"/>
    <w:rsid w:val="0080570A"/>
    <w:rsid w:val="0080609D"/>
    <w:rsid w:val="00810624"/>
    <w:rsid w:val="00813755"/>
    <w:rsid w:val="00813A9C"/>
    <w:rsid w:val="00813C20"/>
    <w:rsid w:val="00817CB3"/>
    <w:rsid w:val="00820437"/>
    <w:rsid w:val="008204CA"/>
    <w:rsid w:val="008230B5"/>
    <w:rsid w:val="00823EF6"/>
    <w:rsid w:val="00824422"/>
    <w:rsid w:val="008256B8"/>
    <w:rsid w:val="0082577F"/>
    <w:rsid w:val="00826BA7"/>
    <w:rsid w:val="00830834"/>
    <w:rsid w:val="00831C57"/>
    <w:rsid w:val="00832BEC"/>
    <w:rsid w:val="00833550"/>
    <w:rsid w:val="0083425E"/>
    <w:rsid w:val="00834DF7"/>
    <w:rsid w:val="00836B2F"/>
    <w:rsid w:val="00841971"/>
    <w:rsid w:val="008428D2"/>
    <w:rsid w:val="0084335D"/>
    <w:rsid w:val="00843444"/>
    <w:rsid w:val="00844614"/>
    <w:rsid w:val="00844854"/>
    <w:rsid w:val="00850788"/>
    <w:rsid w:val="0085085C"/>
    <w:rsid w:val="008533BF"/>
    <w:rsid w:val="00855323"/>
    <w:rsid w:val="00856A42"/>
    <w:rsid w:val="008576E7"/>
    <w:rsid w:val="008578D1"/>
    <w:rsid w:val="00857B61"/>
    <w:rsid w:val="008601F8"/>
    <w:rsid w:val="0086047D"/>
    <w:rsid w:val="00861CD9"/>
    <w:rsid w:val="0086242B"/>
    <w:rsid w:val="00862A12"/>
    <w:rsid w:val="0086319B"/>
    <w:rsid w:val="008632B2"/>
    <w:rsid w:val="008636AC"/>
    <w:rsid w:val="00863F02"/>
    <w:rsid w:val="00864D3E"/>
    <w:rsid w:val="00865AA4"/>
    <w:rsid w:val="0086620E"/>
    <w:rsid w:val="00871E4A"/>
    <w:rsid w:val="00872CE6"/>
    <w:rsid w:val="00873EC4"/>
    <w:rsid w:val="008756A9"/>
    <w:rsid w:val="00876547"/>
    <w:rsid w:val="00876DE6"/>
    <w:rsid w:val="008804D6"/>
    <w:rsid w:val="00880604"/>
    <w:rsid w:val="00880646"/>
    <w:rsid w:val="00880EFF"/>
    <w:rsid w:val="00883D56"/>
    <w:rsid w:val="00883F24"/>
    <w:rsid w:val="00884AA3"/>
    <w:rsid w:val="00885010"/>
    <w:rsid w:val="00885A9D"/>
    <w:rsid w:val="0088615E"/>
    <w:rsid w:val="00891146"/>
    <w:rsid w:val="00893D4F"/>
    <w:rsid w:val="008A045F"/>
    <w:rsid w:val="008A2AB5"/>
    <w:rsid w:val="008A2ACC"/>
    <w:rsid w:val="008A2B46"/>
    <w:rsid w:val="008A492C"/>
    <w:rsid w:val="008A5AB9"/>
    <w:rsid w:val="008B2730"/>
    <w:rsid w:val="008B32A4"/>
    <w:rsid w:val="008B338D"/>
    <w:rsid w:val="008B340E"/>
    <w:rsid w:val="008B3B04"/>
    <w:rsid w:val="008C1F7E"/>
    <w:rsid w:val="008C54E4"/>
    <w:rsid w:val="008C68CC"/>
    <w:rsid w:val="008D265C"/>
    <w:rsid w:val="008D311A"/>
    <w:rsid w:val="008D40EE"/>
    <w:rsid w:val="008D44D6"/>
    <w:rsid w:val="008D5436"/>
    <w:rsid w:val="008D6CEB"/>
    <w:rsid w:val="008D7961"/>
    <w:rsid w:val="008E12AB"/>
    <w:rsid w:val="008E16B4"/>
    <w:rsid w:val="008E24A6"/>
    <w:rsid w:val="008E48F3"/>
    <w:rsid w:val="008E4FF9"/>
    <w:rsid w:val="008F037C"/>
    <w:rsid w:val="008F1014"/>
    <w:rsid w:val="008F3CFB"/>
    <w:rsid w:val="008F44EE"/>
    <w:rsid w:val="008F6922"/>
    <w:rsid w:val="008F7052"/>
    <w:rsid w:val="00900007"/>
    <w:rsid w:val="00900A77"/>
    <w:rsid w:val="00903C9D"/>
    <w:rsid w:val="009050E3"/>
    <w:rsid w:val="009052C3"/>
    <w:rsid w:val="009069E9"/>
    <w:rsid w:val="00911446"/>
    <w:rsid w:val="00911A35"/>
    <w:rsid w:val="009145AC"/>
    <w:rsid w:val="009145E3"/>
    <w:rsid w:val="00917072"/>
    <w:rsid w:val="00917F5F"/>
    <w:rsid w:val="00921B89"/>
    <w:rsid w:val="00921EB4"/>
    <w:rsid w:val="00922911"/>
    <w:rsid w:val="00922CC5"/>
    <w:rsid w:val="0092399A"/>
    <w:rsid w:val="00924736"/>
    <w:rsid w:val="0092595C"/>
    <w:rsid w:val="0093268E"/>
    <w:rsid w:val="009326EA"/>
    <w:rsid w:val="009348F0"/>
    <w:rsid w:val="0093674A"/>
    <w:rsid w:val="00937293"/>
    <w:rsid w:val="00941748"/>
    <w:rsid w:val="00942425"/>
    <w:rsid w:val="00943C6F"/>
    <w:rsid w:val="00944D87"/>
    <w:rsid w:val="00947910"/>
    <w:rsid w:val="00947A1C"/>
    <w:rsid w:val="00952954"/>
    <w:rsid w:val="00953442"/>
    <w:rsid w:val="00960F01"/>
    <w:rsid w:val="00961983"/>
    <w:rsid w:val="00962639"/>
    <w:rsid w:val="00962D8C"/>
    <w:rsid w:val="0096492E"/>
    <w:rsid w:val="00964BBB"/>
    <w:rsid w:val="00965A32"/>
    <w:rsid w:val="00966566"/>
    <w:rsid w:val="00972A2A"/>
    <w:rsid w:val="0097337F"/>
    <w:rsid w:val="00973D45"/>
    <w:rsid w:val="009751A8"/>
    <w:rsid w:val="00975FE9"/>
    <w:rsid w:val="009809BF"/>
    <w:rsid w:val="00980FB2"/>
    <w:rsid w:val="009824BC"/>
    <w:rsid w:val="00982A89"/>
    <w:rsid w:val="00983854"/>
    <w:rsid w:val="0098662C"/>
    <w:rsid w:val="00991A90"/>
    <w:rsid w:val="00991BE2"/>
    <w:rsid w:val="009A2418"/>
    <w:rsid w:val="009A2810"/>
    <w:rsid w:val="009A3B2B"/>
    <w:rsid w:val="009A3FD1"/>
    <w:rsid w:val="009A4ECE"/>
    <w:rsid w:val="009A6167"/>
    <w:rsid w:val="009A7619"/>
    <w:rsid w:val="009B1DF9"/>
    <w:rsid w:val="009B226C"/>
    <w:rsid w:val="009B28CB"/>
    <w:rsid w:val="009B62D7"/>
    <w:rsid w:val="009C1311"/>
    <w:rsid w:val="009C2201"/>
    <w:rsid w:val="009C27FD"/>
    <w:rsid w:val="009C2E4A"/>
    <w:rsid w:val="009C2E6B"/>
    <w:rsid w:val="009C36EF"/>
    <w:rsid w:val="009C39EC"/>
    <w:rsid w:val="009C4376"/>
    <w:rsid w:val="009C4B93"/>
    <w:rsid w:val="009C6308"/>
    <w:rsid w:val="009C6717"/>
    <w:rsid w:val="009C6CC6"/>
    <w:rsid w:val="009C7127"/>
    <w:rsid w:val="009C7B4F"/>
    <w:rsid w:val="009D022D"/>
    <w:rsid w:val="009D0AD9"/>
    <w:rsid w:val="009D2C19"/>
    <w:rsid w:val="009D32AE"/>
    <w:rsid w:val="009D346A"/>
    <w:rsid w:val="009D37B7"/>
    <w:rsid w:val="009D3E40"/>
    <w:rsid w:val="009D3EC4"/>
    <w:rsid w:val="009D517C"/>
    <w:rsid w:val="009D5E91"/>
    <w:rsid w:val="009D652F"/>
    <w:rsid w:val="009D6BF1"/>
    <w:rsid w:val="009D7A70"/>
    <w:rsid w:val="009D7BAC"/>
    <w:rsid w:val="009D7EC1"/>
    <w:rsid w:val="009E081D"/>
    <w:rsid w:val="009E2908"/>
    <w:rsid w:val="009E2929"/>
    <w:rsid w:val="009E3FAD"/>
    <w:rsid w:val="009E4543"/>
    <w:rsid w:val="009E4673"/>
    <w:rsid w:val="009E729F"/>
    <w:rsid w:val="009E7DFD"/>
    <w:rsid w:val="009E7F45"/>
    <w:rsid w:val="009F22C6"/>
    <w:rsid w:val="009F437F"/>
    <w:rsid w:val="009F4635"/>
    <w:rsid w:val="009F497D"/>
    <w:rsid w:val="009F530B"/>
    <w:rsid w:val="009F540B"/>
    <w:rsid w:val="009F6AE7"/>
    <w:rsid w:val="00A00910"/>
    <w:rsid w:val="00A014A4"/>
    <w:rsid w:val="00A01FC9"/>
    <w:rsid w:val="00A029DD"/>
    <w:rsid w:val="00A0511C"/>
    <w:rsid w:val="00A06FD4"/>
    <w:rsid w:val="00A1008E"/>
    <w:rsid w:val="00A10101"/>
    <w:rsid w:val="00A10D8F"/>
    <w:rsid w:val="00A1256D"/>
    <w:rsid w:val="00A12C46"/>
    <w:rsid w:val="00A150C6"/>
    <w:rsid w:val="00A15D67"/>
    <w:rsid w:val="00A160F6"/>
    <w:rsid w:val="00A172B5"/>
    <w:rsid w:val="00A174CB"/>
    <w:rsid w:val="00A2067C"/>
    <w:rsid w:val="00A209BC"/>
    <w:rsid w:val="00A21DBE"/>
    <w:rsid w:val="00A2200F"/>
    <w:rsid w:val="00A22705"/>
    <w:rsid w:val="00A2319A"/>
    <w:rsid w:val="00A25575"/>
    <w:rsid w:val="00A30483"/>
    <w:rsid w:val="00A30D1C"/>
    <w:rsid w:val="00A30E33"/>
    <w:rsid w:val="00A3275C"/>
    <w:rsid w:val="00A32A5C"/>
    <w:rsid w:val="00A33062"/>
    <w:rsid w:val="00A36C50"/>
    <w:rsid w:val="00A36E91"/>
    <w:rsid w:val="00A37885"/>
    <w:rsid w:val="00A40270"/>
    <w:rsid w:val="00A41729"/>
    <w:rsid w:val="00A41D9D"/>
    <w:rsid w:val="00A427D3"/>
    <w:rsid w:val="00A42E96"/>
    <w:rsid w:val="00A430D9"/>
    <w:rsid w:val="00A44964"/>
    <w:rsid w:val="00A44E73"/>
    <w:rsid w:val="00A4589E"/>
    <w:rsid w:val="00A471D2"/>
    <w:rsid w:val="00A47411"/>
    <w:rsid w:val="00A5179F"/>
    <w:rsid w:val="00A534A0"/>
    <w:rsid w:val="00A5455C"/>
    <w:rsid w:val="00A55021"/>
    <w:rsid w:val="00A623D7"/>
    <w:rsid w:val="00A630C5"/>
    <w:rsid w:val="00A63436"/>
    <w:rsid w:val="00A658C6"/>
    <w:rsid w:val="00A65967"/>
    <w:rsid w:val="00A65DB5"/>
    <w:rsid w:val="00A6638D"/>
    <w:rsid w:val="00A67E30"/>
    <w:rsid w:val="00A707A8"/>
    <w:rsid w:val="00A76131"/>
    <w:rsid w:val="00A77016"/>
    <w:rsid w:val="00A775B2"/>
    <w:rsid w:val="00A81524"/>
    <w:rsid w:val="00A81730"/>
    <w:rsid w:val="00A840B6"/>
    <w:rsid w:val="00A84DE8"/>
    <w:rsid w:val="00A85A24"/>
    <w:rsid w:val="00A8654E"/>
    <w:rsid w:val="00A8661A"/>
    <w:rsid w:val="00A90B15"/>
    <w:rsid w:val="00A90D8A"/>
    <w:rsid w:val="00A94EA2"/>
    <w:rsid w:val="00A95274"/>
    <w:rsid w:val="00AA1CD1"/>
    <w:rsid w:val="00AA25AE"/>
    <w:rsid w:val="00AA34B8"/>
    <w:rsid w:val="00AA5706"/>
    <w:rsid w:val="00AA68A9"/>
    <w:rsid w:val="00AA73C9"/>
    <w:rsid w:val="00AB0FFE"/>
    <w:rsid w:val="00AB62AE"/>
    <w:rsid w:val="00AC0391"/>
    <w:rsid w:val="00AC06E5"/>
    <w:rsid w:val="00AC0F67"/>
    <w:rsid w:val="00AC14AF"/>
    <w:rsid w:val="00AC1539"/>
    <w:rsid w:val="00AC3112"/>
    <w:rsid w:val="00AC70BD"/>
    <w:rsid w:val="00AC757D"/>
    <w:rsid w:val="00AD0453"/>
    <w:rsid w:val="00AD1CE0"/>
    <w:rsid w:val="00AD36BF"/>
    <w:rsid w:val="00AD4A83"/>
    <w:rsid w:val="00AE3338"/>
    <w:rsid w:val="00AE5015"/>
    <w:rsid w:val="00AE586A"/>
    <w:rsid w:val="00AE591F"/>
    <w:rsid w:val="00AF1536"/>
    <w:rsid w:val="00AF185C"/>
    <w:rsid w:val="00AF3789"/>
    <w:rsid w:val="00AF46BB"/>
    <w:rsid w:val="00AF48FD"/>
    <w:rsid w:val="00AF4E98"/>
    <w:rsid w:val="00AF6C55"/>
    <w:rsid w:val="00B048E4"/>
    <w:rsid w:val="00B05B17"/>
    <w:rsid w:val="00B05BD6"/>
    <w:rsid w:val="00B113BA"/>
    <w:rsid w:val="00B13766"/>
    <w:rsid w:val="00B1376B"/>
    <w:rsid w:val="00B145D8"/>
    <w:rsid w:val="00B1544E"/>
    <w:rsid w:val="00B162C6"/>
    <w:rsid w:val="00B16C02"/>
    <w:rsid w:val="00B17181"/>
    <w:rsid w:val="00B17DF8"/>
    <w:rsid w:val="00B208C5"/>
    <w:rsid w:val="00B20A46"/>
    <w:rsid w:val="00B21150"/>
    <w:rsid w:val="00B22D39"/>
    <w:rsid w:val="00B23E28"/>
    <w:rsid w:val="00B24CC1"/>
    <w:rsid w:val="00B26659"/>
    <w:rsid w:val="00B3085B"/>
    <w:rsid w:val="00B32B04"/>
    <w:rsid w:val="00B35D53"/>
    <w:rsid w:val="00B374BF"/>
    <w:rsid w:val="00B40A8B"/>
    <w:rsid w:val="00B40AFA"/>
    <w:rsid w:val="00B44BF6"/>
    <w:rsid w:val="00B45217"/>
    <w:rsid w:val="00B4612A"/>
    <w:rsid w:val="00B51539"/>
    <w:rsid w:val="00B520B6"/>
    <w:rsid w:val="00B5252F"/>
    <w:rsid w:val="00B5519E"/>
    <w:rsid w:val="00B5570E"/>
    <w:rsid w:val="00B61D10"/>
    <w:rsid w:val="00B62EC6"/>
    <w:rsid w:val="00B64630"/>
    <w:rsid w:val="00B64DEA"/>
    <w:rsid w:val="00B66CBB"/>
    <w:rsid w:val="00B670AF"/>
    <w:rsid w:val="00B70110"/>
    <w:rsid w:val="00B70B16"/>
    <w:rsid w:val="00B74B26"/>
    <w:rsid w:val="00B834DC"/>
    <w:rsid w:val="00B84BB4"/>
    <w:rsid w:val="00B85039"/>
    <w:rsid w:val="00B90FAD"/>
    <w:rsid w:val="00B93411"/>
    <w:rsid w:val="00B942E8"/>
    <w:rsid w:val="00B9489B"/>
    <w:rsid w:val="00B94AB9"/>
    <w:rsid w:val="00B95989"/>
    <w:rsid w:val="00B96445"/>
    <w:rsid w:val="00B9660F"/>
    <w:rsid w:val="00B9727D"/>
    <w:rsid w:val="00B9753C"/>
    <w:rsid w:val="00B97EB2"/>
    <w:rsid w:val="00BA001C"/>
    <w:rsid w:val="00BA0AE7"/>
    <w:rsid w:val="00BA3AD7"/>
    <w:rsid w:val="00BA7857"/>
    <w:rsid w:val="00BB177D"/>
    <w:rsid w:val="00BB2B84"/>
    <w:rsid w:val="00BB321A"/>
    <w:rsid w:val="00BB43D4"/>
    <w:rsid w:val="00BB4B20"/>
    <w:rsid w:val="00BB7339"/>
    <w:rsid w:val="00BB738A"/>
    <w:rsid w:val="00BC0683"/>
    <w:rsid w:val="00BC2E5E"/>
    <w:rsid w:val="00BC48B9"/>
    <w:rsid w:val="00BC520B"/>
    <w:rsid w:val="00BC53F5"/>
    <w:rsid w:val="00BC680D"/>
    <w:rsid w:val="00BD2268"/>
    <w:rsid w:val="00BD2EA9"/>
    <w:rsid w:val="00BD4472"/>
    <w:rsid w:val="00BD64BE"/>
    <w:rsid w:val="00BD6F28"/>
    <w:rsid w:val="00BE0756"/>
    <w:rsid w:val="00BE097B"/>
    <w:rsid w:val="00BE3A49"/>
    <w:rsid w:val="00BE3D7F"/>
    <w:rsid w:val="00BE41B3"/>
    <w:rsid w:val="00BE42BA"/>
    <w:rsid w:val="00BE63EC"/>
    <w:rsid w:val="00BE6561"/>
    <w:rsid w:val="00BE70F9"/>
    <w:rsid w:val="00BF0878"/>
    <w:rsid w:val="00BF104E"/>
    <w:rsid w:val="00BF1436"/>
    <w:rsid w:val="00BF2BF1"/>
    <w:rsid w:val="00BF704D"/>
    <w:rsid w:val="00C01E4D"/>
    <w:rsid w:val="00C021BC"/>
    <w:rsid w:val="00C02EBB"/>
    <w:rsid w:val="00C038BC"/>
    <w:rsid w:val="00C062B3"/>
    <w:rsid w:val="00C06A9D"/>
    <w:rsid w:val="00C06C30"/>
    <w:rsid w:val="00C06E84"/>
    <w:rsid w:val="00C07223"/>
    <w:rsid w:val="00C074B3"/>
    <w:rsid w:val="00C07821"/>
    <w:rsid w:val="00C07900"/>
    <w:rsid w:val="00C12223"/>
    <w:rsid w:val="00C14554"/>
    <w:rsid w:val="00C1501D"/>
    <w:rsid w:val="00C23EF5"/>
    <w:rsid w:val="00C2423E"/>
    <w:rsid w:val="00C2548F"/>
    <w:rsid w:val="00C26D1A"/>
    <w:rsid w:val="00C2709C"/>
    <w:rsid w:val="00C30138"/>
    <w:rsid w:val="00C31BCB"/>
    <w:rsid w:val="00C34654"/>
    <w:rsid w:val="00C37047"/>
    <w:rsid w:val="00C375E4"/>
    <w:rsid w:val="00C379A0"/>
    <w:rsid w:val="00C37C68"/>
    <w:rsid w:val="00C40531"/>
    <w:rsid w:val="00C40608"/>
    <w:rsid w:val="00C4166E"/>
    <w:rsid w:val="00C41BFA"/>
    <w:rsid w:val="00C41EC3"/>
    <w:rsid w:val="00C445B2"/>
    <w:rsid w:val="00C4501B"/>
    <w:rsid w:val="00C47493"/>
    <w:rsid w:val="00C47D2C"/>
    <w:rsid w:val="00C5152A"/>
    <w:rsid w:val="00C524EC"/>
    <w:rsid w:val="00C54B69"/>
    <w:rsid w:val="00C634D6"/>
    <w:rsid w:val="00C63CD9"/>
    <w:rsid w:val="00C64D65"/>
    <w:rsid w:val="00C713C4"/>
    <w:rsid w:val="00C721D6"/>
    <w:rsid w:val="00C74195"/>
    <w:rsid w:val="00C7609F"/>
    <w:rsid w:val="00C768D0"/>
    <w:rsid w:val="00C82168"/>
    <w:rsid w:val="00C835C2"/>
    <w:rsid w:val="00C84427"/>
    <w:rsid w:val="00C85237"/>
    <w:rsid w:val="00C85D4A"/>
    <w:rsid w:val="00C876D8"/>
    <w:rsid w:val="00C87914"/>
    <w:rsid w:val="00C903A8"/>
    <w:rsid w:val="00C942E2"/>
    <w:rsid w:val="00CA07E4"/>
    <w:rsid w:val="00CA13C3"/>
    <w:rsid w:val="00CA1F2F"/>
    <w:rsid w:val="00CA2A0B"/>
    <w:rsid w:val="00CA38D8"/>
    <w:rsid w:val="00CA3968"/>
    <w:rsid w:val="00CA3ED8"/>
    <w:rsid w:val="00CA4539"/>
    <w:rsid w:val="00CA63DD"/>
    <w:rsid w:val="00CB1C9D"/>
    <w:rsid w:val="00CB1D8F"/>
    <w:rsid w:val="00CB23F3"/>
    <w:rsid w:val="00CB2E8D"/>
    <w:rsid w:val="00CB38AC"/>
    <w:rsid w:val="00CC0B4D"/>
    <w:rsid w:val="00CC370C"/>
    <w:rsid w:val="00CD484E"/>
    <w:rsid w:val="00CE07F6"/>
    <w:rsid w:val="00CE1FD7"/>
    <w:rsid w:val="00CE2E7A"/>
    <w:rsid w:val="00CF01E2"/>
    <w:rsid w:val="00CF0F2D"/>
    <w:rsid w:val="00CF113A"/>
    <w:rsid w:val="00CF18AC"/>
    <w:rsid w:val="00CF2192"/>
    <w:rsid w:val="00CF2F56"/>
    <w:rsid w:val="00CF5A9C"/>
    <w:rsid w:val="00D0477F"/>
    <w:rsid w:val="00D109C0"/>
    <w:rsid w:val="00D11213"/>
    <w:rsid w:val="00D11321"/>
    <w:rsid w:val="00D121D4"/>
    <w:rsid w:val="00D14440"/>
    <w:rsid w:val="00D14821"/>
    <w:rsid w:val="00D15ABE"/>
    <w:rsid w:val="00D15B4E"/>
    <w:rsid w:val="00D16B2F"/>
    <w:rsid w:val="00D205F1"/>
    <w:rsid w:val="00D20631"/>
    <w:rsid w:val="00D2108F"/>
    <w:rsid w:val="00D21274"/>
    <w:rsid w:val="00D212F0"/>
    <w:rsid w:val="00D23E58"/>
    <w:rsid w:val="00D27AE7"/>
    <w:rsid w:val="00D32CD0"/>
    <w:rsid w:val="00D32CF5"/>
    <w:rsid w:val="00D33C24"/>
    <w:rsid w:val="00D33E74"/>
    <w:rsid w:val="00D36571"/>
    <w:rsid w:val="00D36D3B"/>
    <w:rsid w:val="00D400CF"/>
    <w:rsid w:val="00D40697"/>
    <w:rsid w:val="00D40F16"/>
    <w:rsid w:val="00D437B3"/>
    <w:rsid w:val="00D438DB"/>
    <w:rsid w:val="00D45AFA"/>
    <w:rsid w:val="00D46553"/>
    <w:rsid w:val="00D46F72"/>
    <w:rsid w:val="00D4713B"/>
    <w:rsid w:val="00D47764"/>
    <w:rsid w:val="00D4780D"/>
    <w:rsid w:val="00D47AA5"/>
    <w:rsid w:val="00D47CEC"/>
    <w:rsid w:val="00D47DBC"/>
    <w:rsid w:val="00D47E50"/>
    <w:rsid w:val="00D50379"/>
    <w:rsid w:val="00D50776"/>
    <w:rsid w:val="00D51F2F"/>
    <w:rsid w:val="00D51F7A"/>
    <w:rsid w:val="00D53DDE"/>
    <w:rsid w:val="00D54FB2"/>
    <w:rsid w:val="00D565C9"/>
    <w:rsid w:val="00D57C6A"/>
    <w:rsid w:val="00D6370C"/>
    <w:rsid w:val="00D67701"/>
    <w:rsid w:val="00D71560"/>
    <w:rsid w:val="00D719C4"/>
    <w:rsid w:val="00D721A1"/>
    <w:rsid w:val="00D724E1"/>
    <w:rsid w:val="00D72652"/>
    <w:rsid w:val="00D742FB"/>
    <w:rsid w:val="00D7763E"/>
    <w:rsid w:val="00D80990"/>
    <w:rsid w:val="00D82DCD"/>
    <w:rsid w:val="00D83FEA"/>
    <w:rsid w:val="00D84EDA"/>
    <w:rsid w:val="00D87051"/>
    <w:rsid w:val="00D90667"/>
    <w:rsid w:val="00D92953"/>
    <w:rsid w:val="00D92F4B"/>
    <w:rsid w:val="00D954D2"/>
    <w:rsid w:val="00D95CA6"/>
    <w:rsid w:val="00D95CD2"/>
    <w:rsid w:val="00D9677D"/>
    <w:rsid w:val="00DA0821"/>
    <w:rsid w:val="00DA1330"/>
    <w:rsid w:val="00DA25A0"/>
    <w:rsid w:val="00DA3146"/>
    <w:rsid w:val="00DA3C78"/>
    <w:rsid w:val="00DA3FCB"/>
    <w:rsid w:val="00DA4D8A"/>
    <w:rsid w:val="00DA7BAD"/>
    <w:rsid w:val="00DB0005"/>
    <w:rsid w:val="00DB2171"/>
    <w:rsid w:val="00DB2313"/>
    <w:rsid w:val="00DB5D90"/>
    <w:rsid w:val="00DB6256"/>
    <w:rsid w:val="00DC03E2"/>
    <w:rsid w:val="00DC17C4"/>
    <w:rsid w:val="00DC4301"/>
    <w:rsid w:val="00DC5506"/>
    <w:rsid w:val="00DC68C6"/>
    <w:rsid w:val="00DC6C82"/>
    <w:rsid w:val="00DC6D7E"/>
    <w:rsid w:val="00DC6E33"/>
    <w:rsid w:val="00DD274D"/>
    <w:rsid w:val="00DD28B7"/>
    <w:rsid w:val="00DD32C1"/>
    <w:rsid w:val="00DD3601"/>
    <w:rsid w:val="00DD3B16"/>
    <w:rsid w:val="00DD42E6"/>
    <w:rsid w:val="00DD7324"/>
    <w:rsid w:val="00DE1559"/>
    <w:rsid w:val="00DE192E"/>
    <w:rsid w:val="00DE1A69"/>
    <w:rsid w:val="00DE28A3"/>
    <w:rsid w:val="00DE3D86"/>
    <w:rsid w:val="00DE4C74"/>
    <w:rsid w:val="00DE4E10"/>
    <w:rsid w:val="00DE502F"/>
    <w:rsid w:val="00DE5ECC"/>
    <w:rsid w:val="00DE7868"/>
    <w:rsid w:val="00DF2CBA"/>
    <w:rsid w:val="00DF3943"/>
    <w:rsid w:val="00DF4CF7"/>
    <w:rsid w:val="00DF5746"/>
    <w:rsid w:val="00DF5E19"/>
    <w:rsid w:val="00DF5E1F"/>
    <w:rsid w:val="00DF7426"/>
    <w:rsid w:val="00DF7A66"/>
    <w:rsid w:val="00E03CED"/>
    <w:rsid w:val="00E04BB1"/>
    <w:rsid w:val="00E05B04"/>
    <w:rsid w:val="00E0667B"/>
    <w:rsid w:val="00E07580"/>
    <w:rsid w:val="00E07894"/>
    <w:rsid w:val="00E10460"/>
    <w:rsid w:val="00E1314A"/>
    <w:rsid w:val="00E151BA"/>
    <w:rsid w:val="00E163A6"/>
    <w:rsid w:val="00E165F5"/>
    <w:rsid w:val="00E175F2"/>
    <w:rsid w:val="00E2024A"/>
    <w:rsid w:val="00E20715"/>
    <w:rsid w:val="00E20F4F"/>
    <w:rsid w:val="00E20F69"/>
    <w:rsid w:val="00E23088"/>
    <w:rsid w:val="00E23114"/>
    <w:rsid w:val="00E24DD1"/>
    <w:rsid w:val="00E26083"/>
    <w:rsid w:val="00E2644C"/>
    <w:rsid w:val="00E26491"/>
    <w:rsid w:val="00E27C34"/>
    <w:rsid w:val="00E30D4E"/>
    <w:rsid w:val="00E32515"/>
    <w:rsid w:val="00E3255D"/>
    <w:rsid w:val="00E35BD8"/>
    <w:rsid w:val="00E361A2"/>
    <w:rsid w:val="00E376D3"/>
    <w:rsid w:val="00E408EE"/>
    <w:rsid w:val="00E40EB7"/>
    <w:rsid w:val="00E41786"/>
    <w:rsid w:val="00E42775"/>
    <w:rsid w:val="00E42C9E"/>
    <w:rsid w:val="00E4448C"/>
    <w:rsid w:val="00E45F2A"/>
    <w:rsid w:val="00E50CBF"/>
    <w:rsid w:val="00E541BD"/>
    <w:rsid w:val="00E543C0"/>
    <w:rsid w:val="00E57ABE"/>
    <w:rsid w:val="00E601B6"/>
    <w:rsid w:val="00E62C38"/>
    <w:rsid w:val="00E63584"/>
    <w:rsid w:val="00E6470E"/>
    <w:rsid w:val="00E65484"/>
    <w:rsid w:val="00E677EC"/>
    <w:rsid w:val="00E71C18"/>
    <w:rsid w:val="00E72721"/>
    <w:rsid w:val="00E7276A"/>
    <w:rsid w:val="00E735A4"/>
    <w:rsid w:val="00E75A61"/>
    <w:rsid w:val="00E76126"/>
    <w:rsid w:val="00E8158E"/>
    <w:rsid w:val="00E836EB"/>
    <w:rsid w:val="00E850E7"/>
    <w:rsid w:val="00E9275B"/>
    <w:rsid w:val="00E9298E"/>
    <w:rsid w:val="00E92AEC"/>
    <w:rsid w:val="00E93AB6"/>
    <w:rsid w:val="00E94341"/>
    <w:rsid w:val="00E943E5"/>
    <w:rsid w:val="00E951C4"/>
    <w:rsid w:val="00E9531F"/>
    <w:rsid w:val="00E95524"/>
    <w:rsid w:val="00E95F40"/>
    <w:rsid w:val="00E96090"/>
    <w:rsid w:val="00E97313"/>
    <w:rsid w:val="00EA04F6"/>
    <w:rsid w:val="00EA11C4"/>
    <w:rsid w:val="00EA5512"/>
    <w:rsid w:val="00EA5EE5"/>
    <w:rsid w:val="00EA6268"/>
    <w:rsid w:val="00EA66EE"/>
    <w:rsid w:val="00EB2DE4"/>
    <w:rsid w:val="00EB306F"/>
    <w:rsid w:val="00EB3B99"/>
    <w:rsid w:val="00EB5627"/>
    <w:rsid w:val="00EB6784"/>
    <w:rsid w:val="00EC1457"/>
    <w:rsid w:val="00EC2402"/>
    <w:rsid w:val="00EC3B09"/>
    <w:rsid w:val="00EC5416"/>
    <w:rsid w:val="00EC5527"/>
    <w:rsid w:val="00EC66DF"/>
    <w:rsid w:val="00EC70AE"/>
    <w:rsid w:val="00EC789D"/>
    <w:rsid w:val="00ED1EFF"/>
    <w:rsid w:val="00ED3148"/>
    <w:rsid w:val="00ED33E5"/>
    <w:rsid w:val="00ED7861"/>
    <w:rsid w:val="00EE1AB5"/>
    <w:rsid w:val="00EE22F8"/>
    <w:rsid w:val="00EE4827"/>
    <w:rsid w:val="00EE4857"/>
    <w:rsid w:val="00EE6B1F"/>
    <w:rsid w:val="00EE7490"/>
    <w:rsid w:val="00EE7EBB"/>
    <w:rsid w:val="00EF05A7"/>
    <w:rsid w:val="00EF13EA"/>
    <w:rsid w:val="00EF1ACF"/>
    <w:rsid w:val="00EF2AD9"/>
    <w:rsid w:val="00F001BE"/>
    <w:rsid w:val="00F00F2E"/>
    <w:rsid w:val="00F00F5B"/>
    <w:rsid w:val="00F02FD9"/>
    <w:rsid w:val="00F06CB5"/>
    <w:rsid w:val="00F12B69"/>
    <w:rsid w:val="00F14477"/>
    <w:rsid w:val="00F14659"/>
    <w:rsid w:val="00F1477A"/>
    <w:rsid w:val="00F153D3"/>
    <w:rsid w:val="00F158DD"/>
    <w:rsid w:val="00F16946"/>
    <w:rsid w:val="00F207E2"/>
    <w:rsid w:val="00F20F99"/>
    <w:rsid w:val="00F2175A"/>
    <w:rsid w:val="00F221A3"/>
    <w:rsid w:val="00F2293A"/>
    <w:rsid w:val="00F22AFC"/>
    <w:rsid w:val="00F23B10"/>
    <w:rsid w:val="00F24B88"/>
    <w:rsid w:val="00F24EB6"/>
    <w:rsid w:val="00F2629C"/>
    <w:rsid w:val="00F2710E"/>
    <w:rsid w:val="00F27585"/>
    <w:rsid w:val="00F3170A"/>
    <w:rsid w:val="00F3196B"/>
    <w:rsid w:val="00F32D71"/>
    <w:rsid w:val="00F3597B"/>
    <w:rsid w:val="00F410C0"/>
    <w:rsid w:val="00F42C7F"/>
    <w:rsid w:val="00F439E5"/>
    <w:rsid w:val="00F4549C"/>
    <w:rsid w:val="00F4598A"/>
    <w:rsid w:val="00F45F6E"/>
    <w:rsid w:val="00F505B3"/>
    <w:rsid w:val="00F50EF8"/>
    <w:rsid w:val="00F5105E"/>
    <w:rsid w:val="00F52482"/>
    <w:rsid w:val="00F53E0C"/>
    <w:rsid w:val="00F55857"/>
    <w:rsid w:val="00F579CD"/>
    <w:rsid w:val="00F609CA"/>
    <w:rsid w:val="00F61219"/>
    <w:rsid w:val="00F61E52"/>
    <w:rsid w:val="00F62435"/>
    <w:rsid w:val="00F63309"/>
    <w:rsid w:val="00F65584"/>
    <w:rsid w:val="00F65652"/>
    <w:rsid w:val="00F65A92"/>
    <w:rsid w:val="00F665D8"/>
    <w:rsid w:val="00F71617"/>
    <w:rsid w:val="00F71845"/>
    <w:rsid w:val="00F72C25"/>
    <w:rsid w:val="00F742B3"/>
    <w:rsid w:val="00F74CFB"/>
    <w:rsid w:val="00F75363"/>
    <w:rsid w:val="00F756EB"/>
    <w:rsid w:val="00F77327"/>
    <w:rsid w:val="00F7759D"/>
    <w:rsid w:val="00F77F3F"/>
    <w:rsid w:val="00F82A67"/>
    <w:rsid w:val="00F83536"/>
    <w:rsid w:val="00F84296"/>
    <w:rsid w:val="00F85C6C"/>
    <w:rsid w:val="00F87422"/>
    <w:rsid w:val="00F93CB7"/>
    <w:rsid w:val="00F9459A"/>
    <w:rsid w:val="00F957D0"/>
    <w:rsid w:val="00F9610C"/>
    <w:rsid w:val="00FA0B9B"/>
    <w:rsid w:val="00FA42BB"/>
    <w:rsid w:val="00FA50FE"/>
    <w:rsid w:val="00FA62ED"/>
    <w:rsid w:val="00FB0443"/>
    <w:rsid w:val="00FB09A7"/>
    <w:rsid w:val="00FB31DC"/>
    <w:rsid w:val="00FB37E4"/>
    <w:rsid w:val="00FB4019"/>
    <w:rsid w:val="00FB42E6"/>
    <w:rsid w:val="00FB53DF"/>
    <w:rsid w:val="00FB5447"/>
    <w:rsid w:val="00FC00B9"/>
    <w:rsid w:val="00FC01C3"/>
    <w:rsid w:val="00FC21AB"/>
    <w:rsid w:val="00FC2EE5"/>
    <w:rsid w:val="00FC4166"/>
    <w:rsid w:val="00FC4F00"/>
    <w:rsid w:val="00FC5161"/>
    <w:rsid w:val="00FC699F"/>
    <w:rsid w:val="00FC6FCF"/>
    <w:rsid w:val="00FC7A62"/>
    <w:rsid w:val="00FC7BFB"/>
    <w:rsid w:val="00FD02DF"/>
    <w:rsid w:val="00FD095D"/>
    <w:rsid w:val="00FD0D56"/>
    <w:rsid w:val="00FD0D8F"/>
    <w:rsid w:val="00FD0F60"/>
    <w:rsid w:val="00FD2031"/>
    <w:rsid w:val="00FD4078"/>
    <w:rsid w:val="00FD4823"/>
    <w:rsid w:val="00FD6F5C"/>
    <w:rsid w:val="00FD7717"/>
    <w:rsid w:val="00FE1E4F"/>
    <w:rsid w:val="00FE344D"/>
    <w:rsid w:val="00FE37A9"/>
    <w:rsid w:val="00FE40E2"/>
    <w:rsid w:val="00FE47E1"/>
    <w:rsid w:val="00FE620D"/>
    <w:rsid w:val="00FE663D"/>
    <w:rsid w:val="00FE6849"/>
    <w:rsid w:val="00FE69CD"/>
    <w:rsid w:val="00FE7871"/>
    <w:rsid w:val="00FF3950"/>
    <w:rsid w:val="00FF4B06"/>
    <w:rsid w:val="00FF6FD8"/>
    <w:rsid w:val="66E4906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E61938"/>
  <w15:docId w15:val="{F17EF97A-DA83-4D5E-9896-C8D00814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953"/>
  </w:style>
  <w:style w:type="paragraph" w:styleId="Heading1">
    <w:name w:val="heading 1"/>
    <w:basedOn w:val="Normal"/>
    <w:next w:val="Normal"/>
    <w:link w:val="Heading1Char"/>
    <w:uiPriority w:val="9"/>
    <w:qFormat/>
    <w:rsid w:val="00DD73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DD73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8654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E34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6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6C3"/>
  </w:style>
  <w:style w:type="paragraph" w:styleId="Footer">
    <w:name w:val="footer"/>
    <w:basedOn w:val="Normal"/>
    <w:link w:val="FooterChar"/>
    <w:uiPriority w:val="99"/>
    <w:unhideWhenUsed/>
    <w:rsid w:val="002356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6C3"/>
  </w:style>
  <w:style w:type="paragraph" w:styleId="BalloonText">
    <w:name w:val="Balloon Text"/>
    <w:basedOn w:val="Normal"/>
    <w:link w:val="BalloonTextChar"/>
    <w:uiPriority w:val="99"/>
    <w:semiHidden/>
    <w:unhideWhenUsed/>
    <w:rsid w:val="0023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C3"/>
    <w:rPr>
      <w:rFonts w:ascii="Tahoma" w:hAnsi="Tahoma" w:cs="Tahoma"/>
      <w:sz w:val="16"/>
      <w:szCs w:val="16"/>
    </w:rPr>
  </w:style>
  <w:style w:type="paragraph" w:styleId="ListParagraph">
    <w:name w:val="List Paragraph"/>
    <w:basedOn w:val="Normal"/>
    <w:uiPriority w:val="34"/>
    <w:qFormat/>
    <w:rsid w:val="002356C3"/>
    <w:pPr>
      <w:ind w:left="720"/>
      <w:contextualSpacing/>
    </w:pPr>
  </w:style>
  <w:style w:type="paragraph" w:customStyle="1" w:styleId="Default">
    <w:name w:val="Default"/>
    <w:rsid w:val="00AF6C55"/>
    <w:pPr>
      <w:autoSpaceDE w:val="0"/>
      <w:autoSpaceDN w:val="0"/>
      <w:adjustRightInd w:val="0"/>
      <w:spacing w:after="0" w:line="240" w:lineRule="auto"/>
    </w:pPr>
    <w:rPr>
      <w:rFonts w:ascii="Cambria" w:hAnsi="Cambria" w:cs="Cambria"/>
      <w:color w:val="000000"/>
      <w:sz w:val="24"/>
      <w:szCs w:val="24"/>
    </w:rPr>
  </w:style>
  <w:style w:type="paragraph" w:customStyle="1" w:styleId="EndNoteBibliography">
    <w:name w:val="EndNote Bibliography"/>
    <w:basedOn w:val="Normal"/>
    <w:link w:val="EndNoteBibliographyChar"/>
    <w:rsid w:val="00AF6C5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F6C55"/>
    <w:rPr>
      <w:rFonts w:ascii="Calibri" w:hAnsi="Calibri" w:cs="Calibri"/>
      <w:noProof/>
      <w:lang w:val="en-US"/>
    </w:rPr>
  </w:style>
  <w:style w:type="character" w:customStyle="1" w:styleId="slug-doi2">
    <w:name w:val="slug-doi2"/>
    <w:basedOn w:val="DefaultParagraphFont"/>
    <w:rsid w:val="00580865"/>
  </w:style>
  <w:style w:type="table" w:styleId="TableGrid">
    <w:name w:val="Table Grid"/>
    <w:basedOn w:val="TableNormal"/>
    <w:uiPriority w:val="39"/>
    <w:rsid w:val="0044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E69CD"/>
    <w:rPr>
      <w:sz w:val="18"/>
      <w:szCs w:val="18"/>
    </w:rPr>
  </w:style>
  <w:style w:type="paragraph" w:styleId="CommentText">
    <w:name w:val="annotation text"/>
    <w:basedOn w:val="Normal"/>
    <w:link w:val="CommentTextChar"/>
    <w:uiPriority w:val="99"/>
    <w:semiHidden/>
    <w:unhideWhenUsed/>
    <w:rsid w:val="00FE69CD"/>
    <w:pPr>
      <w:spacing w:line="240" w:lineRule="auto"/>
    </w:pPr>
    <w:rPr>
      <w:sz w:val="24"/>
      <w:szCs w:val="24"/>
    </w:rPr>
  </w:style>
  <w:style w:type="character" w:customStyle="1" w:styleId="CommentTextChar">
    <w:name w:val="Comment Text Char"/>
    <w:basedOn w:val="DefaultParagraphFont"/>
    <w:link w:val="CommentText"/>
    <w:uiPriority w:val="99"/>
    <w:semiHidden/>
    <w:rsid w:val="00FE69CD"/>
    <w:rPr>
      <w:sz w:val="24"/>
      <w:szCs w:val="24"/>
    </w:rPr>
  </w:style>
  <w:style w:type="paragraph" w:styleId="CommentSubject">
    <w:name w:val="annotation subject"/>
    <w:basedOn w:val="CommentText"/>
    <w:next w:val="CommentText"/>
    <w:link w:val="CommentSubjectChar"/>
    <w:uiPriority w:val="99"/>
    <w:semiHidden/>
    <w:unhideWhenUsed/>
    <w:rsid w:val="00FE69CD"/>
    <w:rPr>
      <w:b/>
      <w:bCs/>
      <w:sz w:val="20"/>
      <w:szCs w:val="20"/>
    </w:rPr>
  </w:style>
  <w:style w:type="character" w:customStyle="1" w:styleId="CommentSubjectChar">
    <w:name w:val="Comment Subject Char"/>
    <w:basedOn w:val="CommentTextChar"/>
    <w:link w:val="CommentSubject"/>
    <w:uiPriority w:val="99"/>
    <w:semiHidden/>
    <w:rsid w:val="00FE69CD"/>
    <w:rPr>
      <w:b/>
      <w:bCs/>
      <w:sz w:val="20"/>
      <w:szCs w:val="20"/>
    </w:rPr>
  </w:style>
  <w:style w:type="numbering" w:customStyle="1" w:styleId="NoList1">
    <w:name w:val="No List1"/>
    <w:next w:val="NoList"/>
    <w:uiPriority w:val="99"/>
    <w:semiHidden/>
    <w:unhideWhenUsed/>
    <w:rsid w:val="001A5465"/>
  </w:style>
  <w:style w:type="table" w:customStyle="1" w:styleId="TableGrid1">
    <w:name w:val="Table Grid1"/>
    <w:basedOn w:val="TableNormal"/>
    <w:next w:val="TableGrid"/>
    <w:uiPriority w:val="39"/>
    <w:rsid w:val="001A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A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324"/>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DD7324"/>
    <w:pPr>
      <w:spacing w:line="276" w:lineRule="auto"/>
      <w:outlineLvl w:val="9"/>
    </w:pPr>
    <w:rPr>
      <w:lang w:val="en-US" w:eastAsia="ja-JP"/>
    </w:rPr>
  </w:style>
  <w:style w:type="character" w:customStyle="1" w:styleId="Heading2Char">
    <w:name w:val="Heading 2 Char"/>
    <w:basedOn w:val="DefaultParagraphFont"/>
    <w:link w:val="Heading2"/>
    <w:rsid w:val="00DD7324"/>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rsid w:val="009D2C19"/>
    <w:pPr>
      <w:tabs>
        <w:tab w:val="right" w:leader="dot" w:pos="9016"/>
      </w:tabs>
      <w:spacing w:after="100"/>
      <w:ind w:left="284" w:hanging="284"/>
    </w:pPr>
    <w:rPr>
      <w:noProof/>
    </w:rPr>
  </w:style>
  <w:style w:type="paragraph" w:styleId="TOC2">
    <w:name w:val="toc 2"/>
    <w:basedOn w:val="Normal"/>
    <w:next w:val="Normal"/>
    <w:autoRedefine/>
    <w:uiPriority w:val="39"/>
    <w:unhideWhenUsed/>
    <w:rsid w:val="007C5DD5"/>
    <w:pPr>
      <w:tabs>
        <w:tab w:val="right" w:leader="dot" w:pos="9016"/>
      </w:tabs>
      <w:spacing w:after="100"/>
      <w:ind w:left="142"/>
    </w:pPr>
  </w:style>
  <w:style w:type="character" w:styleId="Hyperlink">
    <w:name w:val="Hyperlink"/>
    <w:basedOn w:val="DefaultParagraphFont"/>
    <w:uiPriority w:val="99"/>
    <w:unhideWhenUsed/>
    <w:rsid w:val="00DD7324"/>
    <w:rPr>
      <w:color w:val="0563C1" w:themeColor="hyperlink"/>
      <w:u w:val="single"/>
    </w:rPr>
  </w:style>
  <w:style w:type="character" w:customStyle="1" w:styleId="citation">
    <w:name w:val="citation"/>
    <w:basedOn w:val="DefaultParagraphFont"/>
    <w:rsid w:val="00AE591F"/>
  </w:style>
  <w:style w:type="character" w:customStyle="1" w:styleId="ref-journal">
    <w:name w:val="ref-journal"/>
    <w:basedOn w:val="DefaultParagraphFont"/>
    <w:rsid w:val="00AE591F"/>
  </w:style>
  <w:style w:type="character" w:customStyle="1" w:styleId="ref-vol">
    <w:name w:val="ref-vol"/>
    <w:basedOn w:val="DefaultParagraphFont"/>
    <w:rsid w:val="00AE591F"/>
  </w:style>
  <w:style w:type="character" w:styleId="Emphasis">
    <w:name w:val="Emphasis"/>
    <w:basedOn w:val="DefaultParagraphFont"/>
    <w:uiPriority w:val="20"/>
    <w:qFormat/>
    <w:rsid w:val="006C3FE8"/>
    <w:rPr>
      <w:i/>
      <w:iCs/>
    </w:rPr>
  </w:style>
  <w:style w:type="paragraph" w:customStyle="1" w:styleId="StyleLatinArial11pt">
    <w:name w:val="Style (Latin) Arial 11 pt"/>
    <w:basedOn w:val="Normal"/>
    <w:link w:val="StyleLatinArial11ptChar"/>
    <w:uiPriority w:val="99"/>
    <w:rsid w:val="00C85237"/>
    <w:pPr>
      <w:spacing w:before="40" w:after="40" w:line="240" w:lineRule="auto"/>
    </w:pPr>
    <w:rPr>
      <w:rFonts w:ascii="Arial" w:eastAsia="Cambria" w:hAnsi="Arial" w:cs="Arial"/>
      <w:lang w:val="en-US"/>
    </w:rPr>
  </w:style>
  <w:style w:type="character" w:customStyle="1" w:styleId="StyleLatinArial11ptChar">
    <w:name w:val="Style (Latin) Arial 11 pt Char"/>
    <w:link w:val="StyleLatinArial11pt"/>
    <w:uiPriority w:val="99"/>
    <w:locked/>
    <w:rsid w:val="00C85237"/>
    <w:rPr>
      <w:rFonts w:ascii="Arial" w:eastAsia="Cambria" w:hAnsi="Arial" w:cs="Arial"/>
      <w:lang w:val="en-US"/>
    </w:rPr>
  </w:style>
  <w:style w:type="paragraph" w:customStyle="1" w:styleId="listssp">
    <w:name w:val="list:ssp"/>
    <w:basedOn w:val="Normal"/>
    <w:rsid w:val="00C85237"/>
    <w:pPr>
      <w:spacing w:after="0" w:line="240" w:lineRule="auto"/>
    </w:pPr>
    <w:rPr>
      <w:rFonts w:ascii="Times New Roman" w:eastAsia="Times New Roman" w:hAnsi="Times New Roman" w:cs="Times New Roman"/>
      <w:sz w:val="24"/>
      <w:szCs w:val="20"/>
      <w:lang w:val="en-GB" w:eastAsia="en-GB"/>
    </w:rPr>
  </w:style>
  <w:style w:type="character" w:customStyle="1" w:styleId="Heading3Char">
    <w:name w:val="Heading 3 Char"/>
    <w:basedOn w:val="DefaultParagraphFont"/>
    <w:link w:val="Heading3"/>
    <w:uiPriority w:val="9"/>
    <w:rsid w:val="00A8654E"/>
    <w:rPr>
      <w:rFonts w:asciiTheme="majorHAnsi" w:eastAsiaTheme="majorEastAsia" w:hAnsiTheme="majorHAnsi" w:cstheme="majorBidi"/>
      <w:b/>
      <w:bCs/>
      <w:color w:val="5B9BD5" w:themeColor="accent1"/>
    </w:rPr>
  </w:style>
  <w:style w:type="character" w:styleId="Strong">
    <w:name w:val="Strong"/>
    <w:uiPriority w:val="22"/>
    <w:qFormat/>
    <w:rsid w:val="00B40AFA"/>
    <w:rPr>
      <w:b/>
      <w:bCs/>
    </w:rPr>
  </w:style>
  <w:style w:type="character" w:customStyle="1" w:styleId="article-headermeta-info-data">
    <w:name w:val="article-header__meta-info-data"/>
    <w:basedOn w:val="DefaultParagraphFont"/>
    <w:rsid w:val="001B6F93"/>
  </w:style>
  <w:style w:type="paragraph" w:customStyle="1" w:styleId="EndNoteBibliographyTitle">
    <w:name w:val="EndNote Bibliography Title"/>
    <w:basedOn w:val="Normal"/>
    <w:link w:val="EndNoteBibliographyTitleChar"/>
    <w:rsid w:val="007009E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09E7"/>
    <w:rPr>
      <w:rFonts w:ascii="Calibri" w:hAnsi="Calibri" w:cs="Calibri"/>
      <w:noProof/>
      <w:lang w:val="en-US"/>
    </w:rPr>
  </w:style>
  <w:style w:type="character" w:customStyle="1" w:styleId="Heading4Char">
    <w:name w:val="Heading 4 Char"/>
    <w:basedOn w:val="DefaultParagraphFont"/>
    <w:link w:val="Heading4"/>
    <w:uiPriority w:val="9"/>
    <w:rsid w:val="003E34C9"/>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1414D1"/>
    <w:rPr>
      <w:color w:val="605E5C"/>
      <w:shd w:val="clear" w:color="auto" w:fill="E1DFDD"/>
    </w:rPr>
  </w:style>
  <w:style w:type="paragraph" w:styleId="TOC3">
    <w:name w:val="toc 3"/>
    <w:basedOn w:val="Normal"/>
    <w:next w:val="Normal"/>
    <w:autoRedefine/>
    <w:uiPriority w:val="39"/>
    <w:unhideWhenUsed/>
    <w:rsid w:val="003513AD"/>
    <w:pPr>
      <w:tabs>
        <w:tab w:val="right" w:leader="dot" w:pos="9016"/>
      </w:tabs>
      <w:spacing w:after="100"/>
      <w:ind w:left="142"/>
    </w:pPr>
  </w:style>
  <w:style w:type="character" w:styleId="FollowedHyperlink">
    <w:name w:val="FollowedHyperlink"/>
    <w:basedOn w:val="DefaultParagraphFont"/>
    <w:uiPriority w:val="99"/>
    <w:semiHidden/>
    <w:unhideWhenUsed/>
    <w:rsid w:val="004F76BC"/>
    <w:rPr>
      <w:color w:val="954F72" w:themeColor="followedHyperlink"/>
      <w:u w:val="single"/>
    </w:rPr>
  </w:style>
  <w:style w:type="paragraph" w:styleId="Bibliography">
    <w:name w:val="Bibliography"/>
    <w:basedOn w:val="Normal"/>
    <w:next w:val="Normal"/>
    <w:uiPriority w:val="37"/>
    <w:unhideWhenUsed/>
    <w:rsid w:val="00764409"/>
  </w:style>
  <w:style w:type="character" w:customStyle="1" w:styleId="UnresolvedMention2">
    <w:name w:val="Unresolved Mention2"/>
    <w:basedOn w:val="DefaultParagraphFont"/>
    <w:uiPriority w:val="99"/>
    <w:semiHidden/>
    <w:unhideWhenUsed/>
    <w:rsid w:val="00A95274"/>
    <w:rPr>
      <w:color w:val="605E5C"/>
      <w:shd w:val="clear" w:color="auto" w:fill="E1DFDD"/>
    </w:rPr>
  </w:style>
  <w:style w:type="character" w:customStyle="1" w:styleId="UnresolvedMention3">
    <w:name w:val="Unresolved Mention3"/>
    <w:basedOn w:val="DefaultParagraphFont"/>
    <w:uiPriority w:val="99"/>
    <w:semiHidden/>
    <w:unhideWhenUsed/>
    <w:rsid w:val="00D11321"/>
    <w:rPr>
      <w:color w:val="605E5C"/>
      <w:shd w:val="clear" w:color="auto" w:fill="E1DFDD"/>
    </w:rPr>
  </w:style>
  <w:style w:type="paragraph" w:customStyle="1" w:styleId="Proposal2">
    <w:name w:val="Proposal 2"/>
    <w:basedOn w:val="Normal"/>
    <w:rsid w:val="00D54FB2"/>
    <w:pPr>
      <w:spacing w:after="0" w:line="240" w:lineRule="auto"/>
    </w:pPr>
    <w:rPr>
      <w:rFonts w:ascii="Times New Roman" w:eastAsia="Times New Roman" w:hAnsi="Times New Roman" w:cs="Times New Roman"/>
      <w:bCs/>
      <w:iCs/>
      <w:szCs w:val="20"/>
      <w:lang w:val="en-AU"/>
    </w:rPr>
  </w:style>
  <w:style w:type="character" w:customStyle="1" w:styleId="UnresolvedMention4">
    <w:name w:val="Unresolved Mention4"/>
    <w:basedOn w:val="DefaultParagraphFont"/>
    <w:uiPriority w:val="99"/>
    <w:semiHidden/>
    <w:unhideWhenUsed/>
    <w:rsid w:val="00880646"/>
    <w:rPr>
      <w:color w:val="605E5C"/>
      <w:shd w:val="clear" w:color="auto" w:fill="E1DFDD"/>
    </w:rPr>
  </w:style>
  <w:style w:type="character" w:customStyle="1" w:styleId="a">
    <w:name w:val="_"/>
    <w:basedOn w:val="DefaultParagraphFont"/>
    <w:rsid w:val="00D36D3B"/>
  </w:style>
  <w:style w:type="character" w:customStyle="1" w:styleId="ff3">
    <w:name w:val="ff3"/>
    <w:basedOn w:val="DefaultParagraphFont"/>
    <w:rsid w:val="00D36D3B"/>
  </w:style>
  <w:style w:type="character" w:customStyle="1" w:styleId="ff1">
    <w:name w:val="ff1"/>
    <w:basedOn w:val="DefaultParagraphFont"/>
    <w:rsid w:val="00D36D3B"/>
  </w:style>
  <w:style w:type="character" w:customStyle="1" w:styleId="ff5">
    <w:name w:val="ff5"/>
    <w:basedOn w:val="DefaultParagraphFont"/>
    <w:rsid w:val="00D36D3B"/>
  </w:style>
  <w:style w:type="paragraph" w:styleId="NormalWeb">
    <w:name w:val="Normal (Web)"/>
    <w:basedOn w:val="Normal"/>
    <w:uiPriority w:val="99"/>
    <w:semiHidden/>
    <w:unhideWhenUsed/>
    <w:rsid w:val="006D7395"/>
    <w:pPr>
      <w:spacing w:before="100" w:beforeAutospacing="1" w:after="100" w:afterAutospacing="1" w:line="240" w:lineRule="auto"/>
    </w:pPr>
    <w:rPr>
      <w:rFonts w:ascii="Times New Roman" w:hAnsi="Times New Roman" w:cs="Times New Roman"/>
      <w:sz w:val="20"/>
      <w:szCs w:val="20"/>
      <w:lang w:val="de-DE" w:eastAsia="de-DE"/>
    </w:rPr>
  </w:style>
  <w:style w:type="character" w:styleId="UnresolvedMention">
    <w:name w:val="Unresolved Mention"/>
    <w:basedOn w:val="DefaultParagraphFont"/>
    <w:uiPriority w:val="99"/>
    <w:semiHidden/>
    <w:unhideWhenUsed/>
    <w:rsid w:val="00B13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5559">
      <w:bodyDiv w:val="1"/>
      <w:marLeft w:val="0"/>
      <w:marRight w:val="0"/>
      <w:marTop w:val="0"/>
      <w:marBottom w:val="0"/>
      <w:divBdr>
        <w:top w:val="none" w:sz="0" w:space="0" w:color="auto"/>
        <w:left w:val="none" w:sz="0" w:space="0" w:color="auto"/>
        <w:bottom w:val="none" w:sz="0" w:space="0" w:color="auto"/>
        <w:right w:val="none" w:sz="0" w:space="0" w:color="auto"/>
      </w:divBdr>
    </w:div>
    <w:div w:id="426730964">
      <w:bodyDiv w:val="1"/>
      <w:marLeft w:val="0"/>
      <w:marRight w:val="0"/>
      <w:marTop w:val="0"/>
      <w:marBottom w:val="0"/>
      <w:divBdr>
        <w:top w:val="none" w:sz="0" w:space="0" w:color="auto"/>
        <w:left w:val="none" w:sz="0" w:space="0" w:color="auto"/>
        <w:bottom w:val="none" w:sz="0" w:space="0" w:color="auto"/>
        <w:right w:val="none" w:sz="0" w:space="0" w:color="auto"/>
      </w:divBdr>
      <w:divsChild>
        <w:div w:id="265770477">
          <w:marLeft w:val="0"/>
          <w:marRight w:val="0"/>
          <w:marTop w:val="0"/>
          <w:marBottom w:val="0"/>
          <w:divBdr>
            <w:top w:val="none" w:sz="0" w:space="0" w:color="auto"/>
            <w:left w:val="none" w:sz="0" w:space="0" w:color="auto"/>
            <w:bottom w:val="none" w:sz="0" w:space="0" w:color="auto"/>
            <w:right w:val="none" w:sz="0" w:space="0" w:color="auto"/>
          </w:divBdr>
          <w:divsChild>
            <w:div w:id="224224921">
              <w:marLeft w:val="0"/>
              <w:marRight w:val="0"/>
              <w:marTop w:val="0"/>
              <w:marBottom w:val="0"/>
              <w:divBdr>
                <w:top w:val="none" w:sz="0" w:space="0" w:color="auto"/>
                <w:left w:val="none" w:sz="0" w:space="0" w:color="auto"/>
                <w:bottom w:val="none" w:sz="0" w:space="0" w:color="auto"/>
                <w:right w:val="none" w:sz="0" w:space="0" w:color="auto"/>
              </w:divBdr>
              <w:divsChild>
                <w:div w:id="2127965918">
                  <w:marLeft w:val="0"/>
                  <w:marRight w:val="0"/>
                  <w:marTop w:val="0"/>
                  <w:marBottom w:val="0"/>
                  <w:divBdr>
                    <w:top w:val="none" w:sz="0" w:space="0" w:color="auto"/>
                    <w:left w:val="none" w:sz="0" w:space="0" w:color="auto"/>
                    <w:bottom w:val="none" w:sz="0" w:space="0" w:color="auto"/>
                    <w:right w:val="none" w:sz="0" w:space="0" w:color="auto"/>
                  </w:divBdr>
                  <w:divsChild>
                    <w:div w:id="450130078">
                      <w:marLeft w:val="0"/>
                      <w:marRight w:val="0"/>
                      <w:marTop w:val="0"/>
                      <w:marBottom w:val="0"/>
                      <w:divBdr>
                        <w:top w:val="none" w:sz="0" w:space="0" w:color="auto"/>
                        <w:left w:val="none" w:sz="0" w:space="0" w:color="auto"/>
                        <w:bottom w:val="none" w:sz="0" w:space="0" w:color="auto"/>
                        <w:right w:val="none" w:sz="0" w:space="0" w:color="auto"/>
                      </w:divBdr>
                      <w:divsChild>
                        <w:div w:id="332224268">
                          <w:marLeft w:val="0"/>
                          <w:marRight w:val="0"/>
                          <w:marTop w:val="0"/>
                          <w:marBottom w:val="0"/>
                          <w:divBdr>
                            <w:top w:val="none" w:sz="0" w:space="0" w:color="auto"/>
                            <w:left w:val="none" w:sz="0" w:space="0" w:color="auto"/>
                            <w:bottom w:val="none" w:sz="0" w:space="0" w:color="auto"/>
                            <w:right w:val="none" w:sz="0" w:space="0" w:color="auto"/>
                          </w:divBdr>
                          <w:divsChild>
                            <w:div w:id="13696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178135">
      <w:bodyDiv w:val="1"/>
      <w:marLeft w:val="0"/>
      <w:marRight w:val="0"/>
      <w:marTop w:val="0"/>
      <w:marBottom w:val="0"/>
      <w:divBdr>
        <w:top w:val="none" w:sz="0" w:space="0" w:color="auto"/>
        <w:left w:val="none" w:sz="0" w:space="0" w:color="auto"/>
        <w:bottom w:val="none" w:sz="0" w:space="0" w:color="auto"/>
        <w:right w:val="none" w:sz="0" w:space="0" w:color="auto"/>
      </w:divBdr>
    </w:div>
    <w:div w:id="591744701">
      <w:bodyDiv w:val="1"/>
      <w:marLeft w:val="0"/>
      <w:marRight w:val="0"/>
      <w:marTop w:val="0"/>
      <w:marBottom w:val="0"/>
      <w:divBdr>
        <w:top w:val="none" w:sz="0" w:space="0" w:color="auto"/>
        <w:left w:val="none" w:sz="0" w:space="0" w:color="auto"/>
        <w:bottom w:val="none" w:sz="0" w:space="0" w:color="auto"/>
        <w:right w:val="none" w:sz="0" w:space="0" w:color="auto"/>
      </w:divBdr>
    </w:div>
    <w:div w:id="636299483">
      <w:bodyDiv w:val="1"/>
      <w:marLeft w:val="0"/>
      <w:marRight w:val="0"/>
      <w:marTop w:val="0"/>
      <w:marBottom w:val="0"/>
      <w:divBdr>
        <w:top w:val="none" w:sz="0" w:space="0" w:color="auto"/>
        <w:left w:val="none" w:sz="0" w:space="0" w:color="auto"/>
        <w:bottom w:val="none" w:sz="0" w:space="0" w:color="auto"/>
        <w:right w:val="none" w:sz="0" w:space="0" w:color="auto"/>
      </w:divBdr>
      <w:divsChild>
        <w:div w:id="1925528004">
          <w:marLeft w:val="0"/>
          <w:marRight w:val="0"/>
          <w:marTop w:val="0"/>
          <w:marBottom w:val="0"/>
          <w:divBdr>
            <w:top w:val="none" w:sz="0" w:space="0" w:color="auto"/>
            <w:left w:val="none" w:sz="0" w:space="0" w:color="auto"/>
            <w:bottom w:val="none" w:sz="0" w:space="0" w:color="auto"/>
            <w:right w:val="none" w:sz="0" w:space="0" w:color="auto"/>
          </w:divBdr>
          <w:divsChild>
            <w:div w:id="2100255066">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320239089">
                      <w:marLeft w:val="0"/>
                      <w:marRight w:val="0"/>
                      <w:marTop w:val="0"/>
                      <w:marBottom w:val="0"/>
                      <w:divBdr>
                        <w:top w:val="none" w:sz="0" w:space="0" w:color="auto"/>
                        <w:left w:val="none" w:sz="0" w:space="0" w:color="auto"/>
                        <w:bottom w:val="none" w:sz="0" w:space="0" w:color="auto"/>
                        <w:right w:val="none" w:sz="0" w:space="0" w:color="auto"/>
                      </w:divBdr>
                      <w:divsChild>
                        <w:div w:id="237329655">
                          <w:marLeft w:val="0"/>
                          <w:marRight w:val="0"/>
                          <w:marTop w:val="0"/>
                          <w:marBottom w:val="0"/>
                          <w:divBdr>
                            <w:top w:val="none" w:sz="0" w:space="0" w:color="auto"/>
                            <w:left w:val="none" w:sz="0" w:space="0" w:color="auto"/>
                            <w:bottom w:val="none" w:sz="0" w:space="0" w:color="auto"/>
                            <w:right w:val="none" w:sz="0" w:space="0" w:color="auto"/>
                          </w:divBdr>
                          <w:divsChild>
                            <w:div w:id="18278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215264">
      <w:bodyDiv w:val="1"/>
      <w:marLeft w:val="0"/>
      <w:marRight w:val="0"/>
      <w:marTop w:val="0"/>
      <w:marBottom w:val="0"/>
      <w:divBdr>
        <w:top w:val="none" w:sz="0" w:space="0" w:color="auto"/>
        <w:left w:val="none" w:sz="0" w:space="0" w:color="auto"/>
        <w:bottom w:val="none" w:sz="0" w:space="0" w:color="auto"/>
        <w:right w:val="none" w:sz="0" w:space="0" w:color="auto"/>
      </w:divBdr>
      <w:divsChild>
        <w:div w:id="514685898">
          <w:marLeft w:val="0"/>
          <w:marRight w:val="0"/>
          <w:marTop w:val="0"/>
          <w:marBottom w:val="0"/>
          <w:divBdr>
            <w:top w:val="none" w:sz="0" w:space="0" w:color="auto"/>
            <w:left w:val="none" w:sz="0" w:space="0" w:color="auto"/>
            <w:bottom w:val="none" w:sz="0" w:space="0" w:color="auto"/>
            <w:right w:val="none" w:sz="0" w:space="0" w:color="auto"/>
          </w:divBdr>
          <w:divsChild>
            <w:div w:id="1938176618">
              <w:marLeft w:val="0"/>
              <w:marRight w:val="0"/>
              <w:marTop w:val="0"/>
              <w:marBottom w:val="0"/>
              <w:divBdr>
                <w:top w:val="none" w:sz="0" w:space="0" w:color="auto"/>
                <w:left w:val="none" w:sz="0" w:space="0" w:color="auto"/>
                <w:bottom w:val="none" w:sz="0" w:space="0" w:color="auto"/>
                <w:right w:val="none" w:sz="0" w:space="0" w:color="auto"/>
              </w:divBdr>
              <w:divsChild>
                <w:div w:id="965544770">
                  <w:marLeft w:val="0"/>
                  <w:marRight w:val="0"/>
                  <w:marTop w:val="0"/>
                  <w:marBottom w:val="0"/>
                  <w:divBdr>
                    <w:top w:val="none" w:sz="0" w:space="0" w:color="auto"/>
                    <w:left w:val="none" w:sz="0" w:space="0" w:color="auto"/>
                    <w:bottom w:val="none" w:sz="0" w:space="0" w:color="auto"/>
                    <w:right w:val="none" w:sz="0" w:space="0" w:color="auto"/>
                  </w:divBdr>
                  <w:divsChild>
                    <w:div w:id="841436747">
                      <w:marLeft w:val="0"/>
                      <w:marRight w:val="0"/>
                      <w:marTop w:val="0"/>
                      <w:marBottom w:val="0"/>
                      <w:divBdr>
                        <w:top w:val="none" w:sz="0" w:space="0" w:color="auto"/>
                        <w:left w:val="none" w:sz="0" w:space="0" w:color="auto"/>
                        <w:bottom w:val="none" w:sz="0" w:space="0" w:color="auto"/>
                        <w:right w:val="none" w:sz="0" w:space="0" w:color="auto"/>
                      </w:divBdr>
                      <w:divsChild>
                        <w:div w:id="959068278">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84825">
      <w:bodyDiv w:val="1"/>
      <w:marLeft w:val="0"/>
      <w:marRight w:val="0"/>
      <w:marTop w:val="0"/>
      <w:marBottom w:val="0"/>
      <w:divBdr>
        <w:top w:val="none" w:sz="0" w:space="0" w:color="auto"/>
        <w:left w:val="none" w:sz="0" w:space="0" w:color="auto"/>
        <w:bottom w:val="none" w:sz="0" w:space="0" w:color="auto"/>
        <w:right w:val="none" w:sz="0" w:space="0" w:color="auto"/>
      </w:divBdr>
      <w:divsChild>
        <w:div w:id="528221983">
          <w:marLeft w:val="0"/>
          <w:marRight w:val="0"/>
          <w:marTop w:val="0"/>
          <w:marBottom w:val="0"/>
          <w:divBdr>
            <w:top w:val="none" w:sz="0" w:space="0" w:color="auto"/>
            <w:left w:val="none" w:sz="0" w:space="0" w:color="auto"/>
            <w:bottom w:val="none" w:sz="0" w:space="0" w:color="auto"/>
            <w:right w:val="none" w:sz="0" w:space="0" w:color="auto"/>
          </w:divBdr>
          <w:divsChild>
            <w:div w:id="63534346">
              <w:marLeft w:val="0"/>
              <w:marRight w:val="0"/>
              <w:marTop w:val="0"/>
              <w:marBottom w:val="0"/>
              <w:divBdr>
                <w:top w:val="none" w:sz="0" w:space="0" w:color="auto"/>
                <w:left w:val="none" w:sz="0" w:space="0" w:color="auto"/>
                <w:bottom w:val="none" w:sz="0" w:space="0" w:color="auto"/>
                <w:right w:val="none" w:sz="0" w:space="0" w:color="auto"/>
              </w:divBdr>
              <w:divsChild>
                <w:div w:id="1731002551">
                  <w:marLeft w:val="0"/>
                  <w:marRight w:val="0"/>
                  <w:marTop w:val="0"/>
                  <w:marBottom w:val="0"/>
                  <w:divBdr>
                    <w:top w:val="none" w:sz="0" w:space="0" w:color="auto"/>
                    <w:left w:val="none" w:sz="0" w:space="0" w:color="auto"/>
                    <w:bottom w:val="none" w:sz="0" w:space="0" w:color="auto"/>
                    <w:right w:val="none" w:sz="0" w:space="0" w:color="auto"/>
                  </w:divBdr>
                  <w:divsChild>
                    <w:div w:id="1450976354">
                      <w:marLeft w:val="0"/>
                      <w:marRight w:val="0"/>
                      <w:marTop w:val="0"/>
                      <w:marBottom w:val="0"/>
                      <w:divBdr>
                        <w:top w:val="none" w:sz="0" w:space="0" w:color="auto"/>
                        <w:left w:val="none" w:sz="0" w:space="0" w:color="auto"/>
                        <w:bottom w:val="none" w:sz="0" w:space="0" w:color="auto"/>
                        <w:right w:val="none" w:sz="0" w:space="0" w:color="auto"/>
                      </w:divBdr>
                      <w:divsChild>
                        <w:div w:id="643433531">
                          <w:marLeft w:val="0"/>
                          <w:marRight w:val="0"/>
                          <w:marTop w:val="0"/>
                          <w:marBottom w:val="0"/>
                          <w:divBdr>
                            <w:top w:val="none" w:sz="0" w:space="0" w:color="auto"/>
                            <w:left w:val="none" w:sz="0" w:space="0" w:color="auto"/>
                            <w:bottom w:val="none" w:sz="0" w:space="0" w:color="auto"/>
                            <w:right w:val="none" w:sz="0" w:space="0" w:color="auto"/>
                          </w:divBdr>
                          <w:divsChild>
                            <w:div w:id="1877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4762">
      <w:bodyDiv w:val="1"/>
      <w:marLeft w:val="0"/>
      <w:marRight w:val="0"/>
      <w:marTop w:val="0"/>
      <w:marBottom w:val="0"/>
      <w:divBdr>
        <w:top w:val="none" w:sz="0" w:space="0" w:color="auto"/>
        <w:left w:val="none" w:sz="0" w:space="0" w:color="auto"/>
        <w:bottom w:val="none" w:sz="0" w:space="0" w:color="auto"/>
        <w:right w:val="none" w:sz="0" w:space="0" w:color="auto"/>
      </w:divBdr>
    </w:div>
    <w:div w:id="855728855">
      <w:bodyDiv w:val="1"/>
      <w:marLeft w:val="0"/>
      <w:marRight w:val="0"/>
      <w:marTop w:val="0"/>
      <w:marBottom w:val="0"/>
      <w:divBdr>
        <w:top w:val="none" w:sz="0" w:space="0" w:color="auto"/>
        <w:left w:val="none" w:sz="0" w:space="0" w:color="auto"/>
        <w:bottom w:val="none" w:sz="0" w:space="0" w:color="auto"/>
        <w:right w:val="none" w:sz="0" w:space="0" w:color="auto"/>
      </w:divBdr>
      <w:divsChild>
        <w:div w:id="1321351407">
          <w:marLeft w:val="0"/>
          <w:marRight w:val="0"/>
          <w:marTop w:val="0"/>
          <w:marBottom w:val="0"/>
          <w:divBdr>
            <w:top w:val="none" w:sz="0" w:space="0" w:color="auto"/>
            <w:left w:val="none" w:sz="0" w:space="0" w:color="auto"/>
            <w:bottom w:val="none" w:sz="0" w:space="0" w:color="auto"/>
            <w:right w:val="none" w:sz="0" w:space="0" w:color="auto"/>
          </w:divBdr>
          <w:divsChild>
            <w:div w:id="1614242758">
              <w:marLeft w:val="0"/>
              <w:marRight w:val="0"/>
              <w:marTop w:val="0"/>
              <w:marBottom w:val="0"/>
              <w:divBdr>
                <w:top w:val="none" w:sz="0" w:space="0" w:color="auto"/>
                <w:left w:val="none" w:sz="0" w:space="0" w:color="auto"/>
                <w:bottom w:val="none" w:sz="0" w:space="0" w:color="auto"/>
                <w:right w:val="none" w:sz="0" w:space="0" w:color="auto"/>
              </w:divBdr>
              <w:divsChild>
                <w:div w:id="729425868">
                  <w:marLeft w:val="0"/>
                  <w:marRight w:val="0"/>
                  <w:marTop w:val="0"/>
                  <w:marBottom w:val="0"/>
                  <w:divBdr>
                    <w:top w:val="none" w:sz="0" w:space="0" w:color="auto"/>
                    <w:left w:val="none" w:sz="0" w:space="0" w:color="auto"/>
                    <w:bottom w:val="none" w:sz="0" w:space="0" w:color="auto"/>
                    <w:right w:val="none" w:sz="0" w:space="0" w:color="auto"/>
                  </w:divBdr>
                  <w:divsChild>
                    <w:div w:id="1814639657">
                      <w:marLeft w:val="0"/>
                      <w:marRight w:val="0"/>
                      <w:marTop w:val="0"/>
                      <w:marBottom w:val="0"/>
                      <w:divBdr>
                        <w:top w:val="none" w:sz="0" w:space="0" w:color="auto"/>
                        <w:left w:val="none" w:sz="0" w:space="0" w:color="auto"/>
                        <w:bottom w:val="none" w:sz="0" w:space="0" w:color="auto"/>
                        <w:right w:val="none" w:sz="0" w:space="0" w:color="auto"/>
                      </w:divBdr>
                      <w:divsChild>
                        <w:div w:id="435950092">
                          <w:marLeft w:val="0"/>
                          <w:marRight w:val="0"/>
                          <w:marTop w:val="0"/>
                          <w:marBottom w:val="0"/>
                          <w:divBdr>
                            <w:top w:val="none" w:sz="0" w:space="0" w:color="auto"/>
                            <w:left w:val="none" w:sz="0" w:space="0" w:color="auto"/>
                            <w:bottom w:val="none" w:sz="0" w:space="0" w:color="auto"/>
                            <w:right w:val="none" w:sz="0" w:space="0" w:color="auto"/>
                          </w:divBdr>
                          <w:divsChild>
                            <w:div w:id="1619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09020">
      <w:bodyDiv w:val="1"/>
      <w:marLeft w:val="0"/>
      <w:marRight w:val="0"/>
      <w:marTop w:val="0"/>
      <w:marBottom w:val="0"/>
      <w:divBdr>
        <w:top w:val="none" w:sz="0" w:space="0" w:color="auto"/>
        <w:left w:val="none" w:sz="0" w:space="0" w:color="auto"/>
        <w:bottom w:val="none" w:sz="0" w:space="0" w:color="auto"/>
        <w:right w:val="none" w:sz="0" w:space="0" w:color="auto"/>
      </w:divBdr>
    </w:div>
    <w:div w:id="921134993">
      <w:bodyDiv w:val="1"/>
      <w:marLeft w:val="0"/>
      <w:marRight w:val="0"/>
      <w:marTop w:val="0"/>
      <w:marBottom w:val="0"/>
      <w:divBdr>
        <w:top w:val="none" w:sz="0" w:space="0" w:color="auto"/>
        <w:left w:val="none" w:sz="0" w:space="0" w:color="auto"/>
        <w:bottom w:val="none" w:sz="0" w:space="0" w:color="auto"/>
        <w:right w:val="none" w:sz="0" w:space="0" w:color="auto"/>
      </w:divBdr>
      <w:divsChild>
        <w:div w:id="565605832">
          <w:marLeft w:val="0"/>
          <w:marRight w:val="0"/>
          <w:marTop w:val="0"/>
          <w:marBottom w:val="0"/>
          <w:divBdr>
            <w:top w:val="none" w:sz="0" w:space="0" w:color="auto"/>
            <w:left w:val="none" w:sz="0" w:space="0" w:color="auto"/>
            <w:bottom w:val="none" w:sz="0" w:space="0" w:color="auto"/>
            <w:right w:val="none" w:sz="0" w:space="0" w:color="auto"/>
          </w:divBdr>
          <w:divsChild>
            <w:div w:id="429619946">
              <w:marLeft w:val="0"/>
              <w:marRight w:val="0"/>
              <w:marTop w:val="0"/>
              <w:marBottom w:val="0"/>
              <w:divBdr>
                <w:top w:val="none" w:sz="0" w:space="0" w:color="auto"/>
                <w:left w:val="none" w:sz="0" w:space="0" w:color="auto"/>
                <w:bottom w:val="none" w:sz="0" w:space="0" w:color="auto"/>
                <w:right w:val="none" w:sz="0" w:space="0" w:color="auto"/>
              </w:divBdr>
              <w:divsChild>
                <w:div w:id="308022350">
                  <w:marLeft w:val="0"/>
                  <w:marRight w:val="0"/>
                  <w:marTop w:val="0"/>
                  <w:marBottom w:val="0"/>
                  <w:divBdr>
                    <w:top w:val="none" w:sz="0" w:space="0" w:color="auto"/>
                    <w:left w:val="none" w:sz="0" w:space="0" w:color="auto"/>
                    <w:bottom w:val="none" w:sz="0" w:space="0" w:color="auto"/>
                    <w:right w:val="none" w:sz="0" w:space="0" w:color="auto"/>
                  </w:divBdr>
                  <w:divsChild>
                    <w:div w:id="2063676103">
                      <w:marLeft w:val="0"/>
                      <w:marRight w:val="0"/>
                      <w:marTop w:val="0"/>
                      <w:marBottom w:val="0"/>
                      <w:divBdr>
                        <w:top w:val="none" w:sz="0" w:space="0" w:color="auto"/>
                        <w:left w:val="none" w:sz="0" w:space="0" w:color="auto"/>
                        <w:bottom w:val="none" w:sz="0" w:space="0" w:color="auto"/>
                        <w:right w:val="none" w:sz="0" w:space="0" w:color="auto"/>
                      </w:divBdr>
                      <w:divsChild>
                        <w:div w:id="1590961925">
                          <w:marLeft w:val="0"/>
                          <w:marRight w:val="0"/>
                          <w:marTop w:val="0"/>
                          <w:marBottom w:val="0"/>
                          <w:divBdr>
                            <w:top w:val="none" w:sz="0" w:space="0" w:color="auto"/>
                            <w:left w:val="none" w:sz="0" w:space="0" w:color="auto"/>
                            <w:bottom w:val="none" w:sz="0" w:space="0" w:color="auto"/>
                            <w:right w:val="none" w:sz="0" w:space="0" w:color="auto"/>
                          </w:divBdr>
                          <w:divsChild>
                            <w:div w:id="18727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787">
      <w:bodyDiv w:val="1"/>
      <w:marLeft w:val="0"/>
      <w:marRight w:val="0"/>
      <w:marTop w:val="0"/>
      <w:marBottom w:val="0"/>
      <w:divBdr>
        <w:top w:val="none" w:sz="0" w:space="0" w:color="auto"/>
        <w:left w:val="none" w:sz="0" w:space="0" w:color="auto"/>
        <w:bottom w:val="none" w:sz="0" w:space="0" w:color="auto"/>
        <w:right w:val="none" w:sz="0" w:space="0" w:color="auto"/>
      </w:divBdr>
      <w:divsChild>
        <w:div w:id="655570175">
          <w:marLeft w:val="0"/>
          <w:marRight w:val="0"/>
          <w:marTop w:val="0"/>
          <w:marBottom w:val="0"/>
          <w:divBdr>
            <w:top w:val="none" w:sz="0" w:space="0" w:color="auto"/>
            <w:left w:val="none" w:sz="0" w:space="0" w:color="auto"/>
            <w:bottom w:val="none" w:sz="0" w:space="0" w:color="auto"/>
            <w:right w:val="none" w:sz="0" w:space="0" w:color="auto"/>
          </w:divBdr>
          <w:divsChild>
            <w:div w:id="726539447">
              <w:marLeft w:val="0"/>
              <w:marRight w:val="0"/>
              <w:marTop w:val="0"/>
              <w:marBottom w:val="0"/>
              <w:divBdr>
                <w:top w:val="none" w:sz="0" w:space="0" w:color="auto"/>
                <w:left w:val="none" w:sz="0" w:space="0" w:color="auto"/>
                <w:bottom w:val="none" w:sz="0" w:space="0" w:color="auto"/>
                <w:right w:val="none" w:sz="0" w:space="0" w:color="auto"/>
              </w:divBdr>
              <w:divsChild>
                <w:div w:id="273221310">
                  <w:marLeft w:val="0"/>
                  <w:marRight w:val="0"/>
                  <w:marTop w:val="0"/>
                  <w:marBottom w:val="0"/>
                  <w:divBdr>
                    <w:top w:val="none" w:sz="0" w:space="0" w:color="auto"/>
                    <w:left w:val="none" w:sz="0" w:space="0" w:color="auto"/>
                    <w:bottom w:val="none" w:sz="0" w:space="0" w:color="auto"/>
                    <w:right w:val="none" w:sz="0" w:space="0" w:color="auto"/>
                  </w:divBdr>
                  <w:divsChild>
                    <w:div w:id="143550095">
                      <w:marLeft w:val="0"/>
                      <w:marRight w:val="0"/>
                      <w:marTop w:val="0"/>
                      <w:marBottom w:val="0"/>
                      <w:divBdr>
                        <w:top w:val="none" w:sz="0" w:space="0" w:color="auto"/>
                        <w:left w:val="none" w:sz="0" w:space="0" w:color="auto"/>
                        <w:bottom w:val="none" w:sz="0" w:space="0" w:color="auto"/>
                        <w:right w:val="none" w:sz="0" w:space="0" w:color="auto"/>
                      </w:divBdr>
                      <w:divsChild>
                        <w:div w:id="1029329859">
                          <w:marLeft w:val="0"/>
                          <w:marRight w:val="0"/>
                          <w:marTop w:val="0"/>
                          <w:marBottom w:val="0"/>
                          <w:divBdr>
                            <w:top w:val="none" w:sz="0" w:space="0" w:color="auto"/>
                            <w:left w:val="none" w:sz="0" w:space="0" w:color="auto"/>
                            <w:bottom w:val="none" w:sz="0" w:space="0" w:color="auto"/>
                            <w:right w:val="none" w:sz="0" w:space="0" w:color="auto"/>
                          </w:divBdr>
                          <w:divsChild>
                            <w:div w:id="1455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90926">
      <w:bodyDiv w:val="1"/>
      <w:marLeft w:val="0"/>
      <w:marRight w:val="0"/>
      <w:marTop w:val="0"/>
      <w:marBottom w:val="0"/>
      <w:divBdr>
        <w:top w:val="none" w:sz="0" w:space="0" w:color="auto"/>
        <w:left w:val="none" w:sz="0" w:space="0" w:color="auto"/>
        <w:bottom w:val="none" w:sz="0" w:space="0" w:color="auto"/>
        <w:right w:val="none" w:sz="0" w:space="0" w:color="auto"/>
      </w:divBdr>
    </w:div>
    <w:div w:id="1298952266">
      <w:bodyDiv w:val="1"/>
      <w:marLeft w:val="0"/>
      <w:marRight w:val="0"/>
      <w:marTop w:val="0"/>
      <w:marBottom w:val="0"/>
      <w:divBdr>
        <w:top w:val="none" w:sz="0" w:space="0" w:color="auto"/>
        <w:left w:val="none" w:sz="0" w:space="0" w:color="auto"/>
        <w:bottom w:val="none" w:sz="0" w:space="0" w:color="auto"/>
        <w:right w:val="none" w:sz="0" w:space="0" w:color="auto"/>
      </w:divBdr>
      <w:divsChild>
        <w:div w:id="476607645">
          <w:marLeft w:val="0"/>
          <w:marRight w:val="0"/>
          <w:marTop w:val="0"/>
          <w:marBottom w:val="0"/>
          <w:divBdr>
            <w:top w:val="none" w:sz="0" w:space="0" w:color="auto"/>
            <w:left w:val="none" w:sz="0" w:space="0" w:color="auto"/>
            <w:bottom w:val="none" w:sz="0" w:space="0" w:color="auto"/>
            <w:right w:val="none" w:sz="0" w:space="0" w:color="auto"/>
          </w:divBdr>
          <w:divsChild>
            <w:div w:id="1098059738">
              <w:marLeft w:val="0"/>
              <w:marRight w:val="0"/>
              <w:marTop w:val="0"/>
              <w:marBottom w:val="0"/>
              <w:divBdr>
                <w:top w:val="none" w:sz="0" w:space="0" w:color="auto"/>
                <w:left w:val="none" w:sz="0" w:space="0" w:color="auto"/>
                <w:bottom w:val="none" w:sz="0" w:space="0" w:color="auto"/>
                <w:right w:val="none" w:sz="0" w:space="0" w:color="auto"/>
              </w:divBdr>
              <w:divsChild>
                <w:div w:id="1742411159">
                  <w:marLeft w:val="0"/>
                  <w:marRight w:val="0"/>
                  <w:marTop w:val="0"/>
                  <w:marBottom w:val="0"/>
                  <w:divBdr>
                    <w:top w:val="none" w:sz="0" w:space="0" w:color="auto"/>
                    <w:left w:val="none" w:sz="0" w:space="0" w:color="auto"/>
                    <w:bottom w:val="none" w:sz="0" w:space="0" w:color="auto"/>
                    <w:right w:val="none" w:sz="0" w:space="0" w:color="auto"/>
                  </w:divBdr>
                  <w:divsChild>
                    <w:div w:id="1265380521">
                      <w:marLeft w:val="0"/>
                      <w:marRight w:val="0"/>
                      <w:marTop w:val="0"/>
                      <w:marBottom w:val="0"/>
                      <w:divBdr>
                        <w:top w:val="none" w:sz="0" w:space="0" w:color="auto"/>
                        <w:left w:val="none" w:sz="0" w:space="0" w:color="auto"/>
                        <w:bottom w:val="none" w:sz="0" w:space="0" w:color="auto"/>
                        <w:right w:val="none" w:sz="0" w:space="0" w:color="auto"/>
                      </w:divBdr>
                      <w:divsChild>
                        <w:div w:id="1352953929">
                          <w:marLeft w:val="0"/>
                          <w:marRight w:val="0"/>
                          <w:marTop w:val="0"/>
                          <w:marBottom w:val="0"/>
                          <w:divBdr>
                            <w:top w:val="none" w:sz="0" w:space="0" w:color="auto"/>
                            <w:left w:val="none" w:sz="0" w:space="0" w:color="auto"/>
                            <w:bottom w:val="none" w:sz="0" w:space="0" w:color="auto"/>
                            <w:right w:val="none" w:sz="0" w:space="0" w:color="auto"/>
                          </w:divBdr>
                          <w:divsChild>
                            <w:div w:id="2860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11969">
      <w:bodyDiv w:val="1"/>
      <w:marLeft w:val="0"/>
      <w:marRight w:val="0"/>
      <w:marTop w:val="0"/>
      <w:marBottom w:val="0"/>
      <w:divBdr>
        <w:top w:val="none" w:sz="0" w:space="0" w:color="auto"/>
        <w:left w:val="none" w:sz="0" w:space="0" w:color="auto"/>
        <w:bottom w:val="none" w:sz="0" w:space="0" w:color="auto"/>
        <w:right w:val="none" w:sz="0" w:space="0" w:color="auto"/>
      </w:divBdr>
      <w:divsChild>
        <w:div w:id="1980378244">
          <w:marLeft w:val="0"/>
          <w:marRight w:val="0"/>
          <w:marTop w:val="0"/>
          <w:marBottom w:val="0"/>
          <w:divBdr>
            <w:top w:val="none" w:sz="0" w:space="0" w:color="auto"/>
            <w:left w:val="none" w:sz="0" w:space="0" w:color="auto"/>
            <w:bottom w:val="none" w:sz="0" w:space="0" w:color="auto"/>
            <w:right w:val="none" w:sz="0" w:space="0" w:color="auto"/>
          </w:divBdr>
          <w:divsChild>
            <w:div w:id="1865822575">
              <w:marLeft w:val="0"/>
              <w:marRight w:val="0"/>
              <w:marTop w:val="0"/>
              <w:marBottom w:val="0"/>
              <w:divBdr>
                <w:top w:val="none" w:sz="0" w:space="0" w:color="auto"/>
                <w:left w:val="none" w:sz="0" w:space="0" w:color="auto"/>
                <w:bottom w:val="none" w:sz="0" w:space="0" w:color="auto"/>
                <w:right w:val="none" w:sz="0" w:space="0" w:color="auto"/>
              </w:divBdr>
              <w:divsChild>
                <w:div w:id="2011247095">
                  <w:marLeft w:val="0"/>
                  <w:marRight w:val="0"/>
                  <w:marTop w:val="0"/>
                  <w:marBottom w:val="0"/>
                  <w:divBdr>
                    <w:top w:val="none" w:sz="0" w:space="0" w:color="auto"/>
                    <w:left w:val="none" w:sz="0" w:space="0" w:color="auto"/>
                    <w:bottom w:val="none" w:sz="0" w:space="0" w:color="auto"/>
                    <w:right w:val="none" w:sz="0" w:space="0" w:color="auto"/>
                  </w:divBdr>
                  <w:divsChild>
                    <w:div w:id="328676886">
                      <w:marLeft w:val="0"/>
                      <w:marRight w:val="0"/>
                      <w:marTop w:val="0"/>
                      <w:marBottom w:val="0"/>
                      <w:divBdr>
                        <w:top w:val="none" w:sz="0" w:space="0" w:color="auto"/>
                        <w:left w:val="none" w:sz="0" w:space="0" w:color="auto"/>
                        <w:bottom w:val="none" w:sz="0" w:space="0" w:color="auto"/>
                        <w:right w:val="none" w:sz="0" w:space="0" w:color="auto"/>
                      </w:divBdr>
                      <w:divsChild>
                        <w:div w:id="1556426389">
                          <w:marLeft w:val="0"/>
                          <w:marRight w:val="0"/>
                          <w:marTop w:val="0"/>
                          <w:marBottom w:val="0"/>
                          <w:divBdr>
                            <w:top w:val="none" w:sz="0" w:space="0" w:color="auto"/>
                            <w:left w:val="none" w:sz="0" w:space="0" w:color="auto"/>
                            <w:bottom w:val="none" w:sz="0" w:space="0" w:color="auto"/>
                            <w:right w:val="none" w:sz="0" w:space="0" w:color="auto"/>
                          </w:divBdr>
                          <w:divsChild>
                            <w:div w:id="1267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116">
      <w:bodyDiv w:val="1"/>
      <w:marLeft w:val="0"/>
      <w:marRight w:val="0"/>
      <w:marTop w:val="0"/>
      <w:marBottom w:val="0"/>
      <w:divBdr>
        <w:top w:val="none" w:sz="0" w:space="0" w:color="auto"/>
        <w:left w:val="none" w:sz="0" w:space="0" w:color="auto"/>
        <w:bottom w:val="none" w:sz="0" w:space="0" w:color="auto"/>
        <w:right w:val="none" w:sz="0" w:space="0" w:color="auto"/>
      </w:divBdr>
      <w:divsChild>
        <w:div w:id="1070732485">
          <w:marLeft w:val="0"/>
          <w:marRight w:val="0"/>
          <w:marTop w:val="0"/>
          <w:marBottom w:val="0"/>
          <w:divBdr>
            <w:top w:val="none" w:sz="0" w:space="0" w:color="auto"/>
            <w:left w:val="none" w:sz="0" w:space="0" w:color="auto"/>
            <w:bottom w:val="none" w:sz="0" w:space="0" w:color="auto"/>
            <w:right w:val="none" w:sz="0" w:space="0" w:color="auto"/>
          </w:divBdr>
          <w:divsChild>
            <w:div w:id="435175834">
              <w:marLeft w:val="0"/>
              <w:marRight w:val="0"/>
              <w:marTop w:val="0"/>
              <w:marBottom w:val="0"/>
              <w:divBdr>
                <w:top w:val="none" w:sz="0" w:space="0" w:color="auto"/>
                <w:left w:val="none" w:sz="0" w:space="0" w:color="auto"/>
                <w:bottom w:val="none" w:sz="0" w:space="0" w:color="auto"/>
                <w:right w:val="none" w:sz="0" w:space="0" w:color="auto"/>
              </w:divBdr>
              <w:divsChild>
                <w:div w:id="1892883045">
                  <w:marLeft w:val="0"/>
                  <w:marRight w:val="0"/>
                  <w:marTop w:val="0"/>
                  <w:marBottom w:val="0"/>
                  <w:divBdr>
                    <w:top w:val="none" w:sz="0" w:space="0" w:color="auto"/>
                    <w:left w:val="none" w:sz="0" w:space="0" w:color="auto"/>
                    <w:bottom w:val="none" w:sz="0" w:space="0" w:color="auto"/>
                    <w:right w:val="none" w:sz="0" w:space="0" w:color="auto"/>
                  </w:divBdr>
                  <w:divsChild>
                    <w:div w:id="1224565803">
                      <w:marLeft w:val="0"/>
                      <w:marRight w:val="0"/>
                      <w:marTop w:val="0"/>
                      <w:marBottom w:val="0"/>
                      <w:divBdr>
                        <w:top w:val="none" w:sz="0" w:space="0" w:color="auto"/>
                        <w:left w:val="none" w:sz="0" w:space="0" w:color="auto"/>
                        <w:bottom w:val="none" w:sz="0" w:space="0" w:color="auto"/>
                        <w:right w:val="none" w:sz="0" w:space="0" w:color="auto"/>
                      </w:divBdr>
                      <w:divsChild>
                        <w:div w:id="136383003">
                          <w:marLeft w:val="0"/>
                          <w:marRight w:val="0"/>
                          <w:marTop w:val="0"/>
                          <w:marBottom w:val="0"/>
                          <w:divBdr>
                            <w:top w:val="none" w:sz="0" w:space="0" w:color="auto"/>
                            <w:left w:val="none" w:sz="0" w:space="0" w:color="auto"/>
                            <w:bottom w:val="none" w:sz="0" w:space="0" w:color="auto"/>
                            <w:right w:val="none" w:sz="0" w:space="0" w:color="auto"/>
                          </w:divBdr>
                          <w:divsChild>
                            <w:div w:id="12028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61065">
      <w:bodyDiv w:val="1"/>
      <w:marLeft w:val="0"/>
      <w:marRight w:val="0"/>
      <w:marTop w:val="0"/>
      <w:marBottom w:val="0"/>
      <w:divBdr>
        <w:top w:val="none" w:sz="0" w:space="0" w:color="auto"/>
        <w:left w:val="none" w:sz="0" w:space="0" w:color="auto"/>
        <w:bottom w:val="none" w:sz="0" w:space="0" w:color="auto"/>
        <w:right w:val="none" w:sz="0" w:space="0" w:color="auto"/>
      </w:divBdr>
      <w:divsChild>
        <w:div w:id="1294367058">
          <w:marLeft w:val="0"/>
          <w:marRight w:val="0"/>
          <w:marTop w:val="0"/>
          <w:marBottom w:val="0"/>
          <w:divBdr>
            <w:top w:val="none" w:sz="0" w:space="0" w:color="auto"/>
            <w:left w:val="none" w:sz="0" w:space="0" w:color="auto"/>
            <w:bottom w:val="none" w:sz="0" w:space="0" w:color="auto"/>
            <w:right w:val="none" w:sz="0" w:space="0" w:color="auto"/>
          </w:divBdr>
          <w:divsChild>
            <w:div w:id="917133297">
              <w:marLeft w:val="0"/>
              <w:marRight w:val="0"/>
              <w:marTop w:val="0"/>
              <w:marBottom w:val="0"/>
              <w:divBdr>
                <w:top w:val="none" w:sz="0" w:space="0" w:color="auto"/>
                <w:left w:val="none" w:sz="0" w:space="0" w:color="auto"/>
                <w:bottom w:val="none" w:sz="0" w:space="0" w:color="auto"/>
                <w:right w:val="none" w:sz="0" w:space="0" w:color="auto"/>
              </w:divBdr>
              <w:divsChild>
                <w:div w:id="1253664036">
                  <w:marLeft w:val="0"/>
                  <w:marRight w:val="0"/>
                  <w:marTop w:val="0"/>
                  <w:marBottom w:val="0"/>
                  <w:divBdr>
                    <w:top w:val="none" w:sz="0" w:space="0" w:color="auto"/>
                    <w:left w:val="none" w:sz="0" w:space="0" w:color="auto"/>
                    <w:bottom w:val="none" w:sz="0" w:space="0" w:color="auto"/>
                    <w:right w:val="none" w:sz="0" w:space="0" w:color="auto"/>
                  </w:divBdr>
                  <w:divsChild>
                    <w:div w:id="1773238669">
                      <w:marLeft w:val="0"/>
                      <w:marRight w:val="0"/>
                      <w:marTop w:val="0"/>
                      <w:marBottom w:val="0"/>
                      <w:divBdr>
                        <w:top w:val="none" w:sz="0" w:space="0" w:color="auto"/>
                        <w:left w:val="none" w:sz="0" w:space="0" w:color="auto"/>
                        <w:bottom w:val="none" w:sz="0" w:space="0" w:color="auto"/>
                        <w:right w:val="none" w:sz="0" w:space="0" w:color="auto"/>
                      </w:divBdr>
                      <w:divsChild>
                        <w:div w:id="542133753">
                          <w:marLeft w:val="0"/>
                          <w:marRight w:val="0"/>
                          <w:marTop w:val="0"/>
                          <w:marBottom w:val="0"/>
                          <w:divBdr>
                            <w:top w:val="none" w:sz="0" w:space="0" w:color="auto"/>
                            <w:left w:val="none" w:sz="0" w:space="0" w:color="auto"/>
                            <w:bottom w:val="none" w:sz="0" w:space="0" w:color="auto"/>
                            <w:right w:val="none" w:sz="0" w:space="0" w:color="auto"/>
                          </w:divBdr>
                          <w:divsChild>
                            <w:div w:id="14645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783378">
      <w:bodyDiv w:val="1"/>
      <w:marLeft w:val="0"/>
      <w:marRight w:val="0"/>
      <w:marTop w:val="0"/>
      <w:marBottom w:val="0"/>
      <w:divBdr>
        <w:top w:val="none" w:sz="0" w:space="0" w:color="auto"/>
        <w:left w:val="none" w:sz="0" w:space="0" w:color="auto"/>
        <w:bottom w:val="none" w:sz="0" w:space="0" w:color="auto"/>
        <w:right w:val="none" w:sz="0" w:space="0" w:color="auto"/>
      </w:divBdr>
      <w:divsChild>
        <w:div w:id="2140800206">
          <w:marLeft w:val="0"/>
          <w:marRight w:val="0"/>
          <w:marTop w:val="0"/>
          <w:marBottom w:val="0"/>
          <w:divBdr>
            <w:top w:val="none" w:sz="0" w:space="0" w:color="auto"/>
            <w:left w:val="none" w:sz="0" w:space="0" w:color="auto"/>
            <w:bottom w:val="none" w:sz="0" w:space="0" w:color="auto"/>
            <w:right w:val="none" w:sz="0" w:space="0" w:color="auto"/>
          </w:divBdr>
          <w:divsChild>
            <w:div w:id="1672249123">
              <w:marLeft w:val="0"/>
              <w:marRight w:val="0"/>
              <w:marTop w:val="0"/>
              <w:marBottom w:val="0"/>
              <w:divBdr>
                <w:top w:val="none" w:sz="0" w:space="0" w:color="auto"/>
                <w:left w:val="none" w:sz="0" w:space="0" w:color="auto"/>
                <w:bottom w:val="none" w:sz="0" w:space="0" w:color="auto"/>
                <w:right w:val="none" w:sz="0" w:space="0" w:color="auto"/>
              </w:divBdr>
              <w:divsChild>
                <w:div w:id="1381831370">
                  <w:marLeft w:val="0"/>
                  <w:marRight w:val="0"/>
                  <w:marTop w:val="0"/>
                  <w:marBottom w:val="0"/>
                  <w:divBdr>
                    <w:top w:val="none" w:sz="0" w:space="0" w:color="auto"/>
                    <w:left w:val="none" w:sz="0" w:space="0" w:color="auto"/>
                    <w:bottom w:val="none" w:sz="0" w:space="0" w:color="auto"/>
                    <w:right w:val="none" w:sz="0" w:space="0" w:color="auto"/>
                  </w:divBdr>
                  <w:divsChild>
                    <w:div w:id="2013489612">
                      <w:marLeft w:val="0"/>
                      <w:marRight w:val="0"/>
                      <w:marTop w:val="0"/>
                      <w:marBottom w:val="0"/>
                      <w:divBdr>
                        <w:top w:val="none" w:sz="0" w:space="0" w:color="auto"/>
                        <w:left w:val="none" w:sz="0" w:space="0" w:color="auto"/>
                        <w:bottom w:val="none" w:sz="0" w:space="0" w:color="auto"/>
                        <w:right w:val="none" w:sz="0" w:space="0" w:color="auto"/>
                      </w:divBdr>
                      <w:divsChild>
                        <w:div w:id="466633752">
                          <w:marLeft w:val="0"/>
                          <w:marRight w:val="0"/>
                          <w:marTop w:val="0"/>
                          <w:marBottom w:val="0"/>
                          <w:divBdr>
                            <w:top w:val="none" w:sz="0" w:space="0" w:color="auto"/>
                            <w:left w:val="none" w:sz="0" w:space="0" w:color="auto"/>
                            <w:bottom w:val="none" w:sz="0" w:space="0" w:color="auto"/>
                            <w:right w:val="none" w:sz="0" w:space="0" w:color="auto"/>
                          </w:divBdr>
                          <w:divsChild>
                            <w:div w:id="965620914">
                              <w:marLeft w:val="0"/>
                              <w:marRight w:val="0"/>
                              <w:marTop w:val="0"/>
                              <w:marBottom w:val="0"/>
                              <w:divBdr>
                                <w:top w:val="none" w:sz="0" w:space="0" w:color="auto"/>
                                <w:left w:val="none" w:sz="0" w:space="0" w:color="auto"/>
                                <w:bottom w:val="none" w:sz="0" w:space="0" w:color="auto"/>
                                <w:right w:val="none" w:sz="0" w:space="0" w:color="auto"/>
                              </w:divBdr>
                              <w:divsChild>
                                <w:div w:id="138614687">
                                  <w:marLeft w:val="0"/>
                                  <w:marRight w:val="0"/>
                                  <w:marTop w:val="0"/>
                                  <w:marBottom w:val="0"/>
                                  <w:divBdr>
                                    <w:top w:val="none" w:sz="0" w:space="0" w:color="auto"/>
                                    <w:left w:val="none" w:sz="0" w:space="0" w:color="auto"/>
                                    <w:bottom w:val="none" w:sz="0" w:space="0" w:color="auto"/>
                                    <w:right w:val="none" w:sz="0" w:space="0" w:color="auto"/>
                                  </w:divBdr>
                                  <w:divsChild>
                                    <w:div w:id="1486553235">
                                      <w:marLeft w:val="0"/>
                                      <w:marRight w:val="0"/>
                                      <w:marTop w:val="0"/>
                                      <w:marBottom w:val="0"/>
                                      <w:divBdr>
                                        <w:top w:val="none" w:sz="0" w:space="0" w:color="auto"/>
                                        <w:left w:val="none" w:sz="0" w:space="0" w:color="auto"/>
                                        <w:bottom w:val="none" w:sz="0" w:space="0" w:color="auto"/>
                                        <w:right w:val="none" w:sz="0" w:space="0" w:color="auto"/>
                                      </w:divBdr>
                                      <w:divsChild>
                                        <w:div w:id="316499043">
                                          <w:marLeft w:val="0"/>
                                          <w:marRight w:val="0"/>
                                          <w:marTop w:val="0"/>
                                          <w:marBottom w:val="0"/>
                                          <w:divBdr>
                                            <w:top w:val="none" w:sz="0" w:space="0" w:color="auto"/>
                                            <w:left w:val="none" w:sz="0" w:space="0" w:color="auto"/>
                                            <w:bottom w:val="none" w:sz="0" w:space="0" w:color="auto"/>
                                            <w:right w:val="none" w:sz="0" w:space="0" w:color="auto"/>
                                          </w:divBdr>
                                          <w:divsChild>
                                            <w:div w:id="1036543394">
                                              <w:marLeft w:val="0"/>
                                              <w:marRight w:val="0"/>
                                              <w:marTop w:val="0"/>
                                              <w:marBottom w:val="0"/>
                                              <w:divBdr>
                                                <w:top w:val="none" w:sz="0" w:space="0" w:color="auto"/>
                                                <w:left w:val="none" w:sz="0" w:space="0" w:color="auto"/>
                                                <w:bottom w:val="none" w:sz="0" w:space="0" w:color="auto"/>
                                                <w:right w:val="none" w:sz="0" w:space="0" w:color="auto"/>
                                              </w:divBdr>
                                              <w:divsChild>
                                                <w:div w:id="431895597">
                                                  <w:marLeft w:val="0"/>
                                                  <w:marRight w:val="0"/>
                                                  <w:marTop w:val="0"/>
                                                  <w:marBottom w:val="0"/>
                                                  <w:divBdr>
                                                    <w:top w:val="none" w:sz="0" w:space="0" w:color="auto"/>
                                                    <w:left w:val="none" w:sz="0" w:space="0" w:color="auto"/>
                                                    <w:bottom w:val="none" w:sz="0" w:space="0" w:color="auto"/>
                                                    <w:right w:val="none" w:sz="0" w:space="0" w:color="auto"/>
                                                  </w:divBdr>
                                                  <w:divsChild>
                                                    <w:div w:id="1584487801">
                                                      <w:marLeft w:val="0"/>
                                                      <w:marRight w:val="0"/>
                                                      <w:marTop w:val="0"/>
                                                      <w:marBottom w:val="0"/>
                                                      <w:divBdr>
                                                        <w:top w:val="none" w:sz="0" w:space="0" w:color="auto"/>
                                                        <w:left w:val="none" w:sz="0" w:space="0" w:color="auto"/>
                                                        <w:bottom w:val="none" w:sz="0" w:space="0" w:color="auto"/>
                                                        <w:right w:val="none" w:sz="0" w:space="0" w:color="auto"/>
                                                      </w:divBdr>
                                                      <w:divsChild>
                                                        <w:div w:id="1488286590">
                                                          <w:marLeft w:val="0"/>
                                                          <w:marRight w:val="0"/>
                                                          <w:marTop w:val="0"/>
                                                          <w:marBottom w:val="0"/>
                                                          <w:divBdr>
                                                            <w:top w:val="none" w:sz="0" w:space="0" w:color="auto"/>
                                                            <w:left w:val="none" w:sz="0" w:space="0" w:color="auto"/>
                                                            <w:bottom w:val="none" w:sz="0" w:space="0" w:color="auto"/>
                                                            <w:right w:val="none" w:sz="0" w:space="0" w:color="auto"/>
                                                          </w:divBdr>
                                                          <w:divsChild>
                                                            <w:div w:id="1436168044">
                                                              <w:marLeft w:val="0"/>
                                                              <w:marRight w:val="150"/>
                                                              <w:marTop w:val="0"/>
                                                              <w:marBottom w:val="150"/>
                                                              <w:divBdr>
                                                                <w:top w:val="none" w:sz="0" w:space="0" w:color="auto"/>
                                                                <w:left w:val="none" w:sz="0" w:space="0" w:color="auto"/>
                                                                <w:bottom w:val="none" w:sz="0" w:space="0" w:color="auto"/>
                                                                <w:right w:val="none" w:sz="0" w:space="0" w:color="auto"/>
                                                              </w:divBdr>
                                                              <w:divsChild>
                                                                <w:div w:id="1849518980">
                                                                  <w:marLeft w:val="0"/>
                                                                  <w:marRight w:val="0"/>
                                                                  <w:marTop w:val="0"/>
                                                                  <w:marBottom w:val="0"/>
                                                                  <w:divBdr>
                                                                    <w:top w:val="none" w:sz="0" w:space="0" w:color="auto"/>
                                                                    <w:left w:val="none" w:sz="0" w:space="0" w:color="auto"/>
                                                                    <w:bottom w:val="none" w:sz="0" w:space="0" w:color="auto"/>
                                                                    <w:right w:val="none" w:sz="0" w:space="0" w:color="auto"/>
                                                                  </w:divBdr>
                                                                  <w:divsChild>
                                                                    <w:div w:id="926108730">
                                                                      <w:marLeft w:val="0"/>
                                                                      <w:marRight w:val="0"/>
                                                                      <w:marTop w:val="0"/>
                                                                      <w:marBottom w:val="0"/>
                                                                      <w:divBdr>
                                                                        <w:top w:val="none" w:sz="0" w:space="0" w:color="auto"/>
                                                                        <w:left w:val="none" w:sz="0" w:space="0" w:color="auto"/>
                                                                        <w:bottom w:val="none" w:sz="0" w:space="0" w:color="auto"/>
                                                                        <w:right w:val="none" w:sz="0" w:space="0" w:color="auto"/>
                                                                      </w:divBdr>
                                                                      <w:divsChild>
                                                                        <w:div w:id="321079302">
                                                                          <w:marLeft w:val="0"/>
                                                                          <w:marRight w:val="0"/>
                                                                          <w:marTop w:val="0"/>
                                                                          <w:marBottom w:val="0"/>
                                                                          <w:divBdr>
                                                                            <w:top w:val="none" w:sz="0" w:space="0" w:color="auto"/>
                                                                            <w:left w:val="none" w:sz="0" w:space="0" w:color="auto"/>
                                                                            <w:bottom w:val="none" w:sz="0" w:space="0" w:color="auto"/>
                                                                            <w:right w:val="none" w:sz="0" w:space="0" w:color="auto"/>
                                                                          </w:divBdr>
                                                                          <w:divsChild>
                                                                            <w:div w:id="1167087823">
                                                                              <w:marLeft w:val="0"/>
                                                                              <w:marRight w:val="0"/>
                                                                              <w:marTop w:val="0"/>
                                                                              <w:marBottom w:val="0"/>
                                                                              <w:divBdr>
                                                                                <w:top w:val="none" w:sz="0" w:space="0" w:color="auto"/>
                                                                                <w:left w:val="none" w:sz="0" w:space="0" w:color="auto"/>
                                                                                <w:bottom w:val="none" w:sz="0" w:space="0" w:color="auto"/>
                                                                                <w:right w:val="none" w:sz="0" w:space="0" w:color="auto"/>
                                                                              </w:divBdr>
                                                                              <w:divsChild>
                                                                                <w:div w:id="1251155461">
                                                                                  <w:marLeft w:val="0"/>
                                                                                  <w:marRight w:val="0"/>
                                                                                  <w:marTop w:val="0"/>
                                                                                  <w:marBottom w:val="0"/>
                                                                                  <w:divBdr>
                                                                                    <w:top w:val="none" w:sz="0" w:space="0" w:color="auto"/>
                                                                                    <w:left w:val="none" w:sz="0" w:space="0" w:color="auto"/>
                                                                                    <w:bottom w:val="none" w:sz="0" w:space="0" w:color="auto"/>
                                                                                    <w:right w:val="none" w:sz="0" w:space="0" w:color="auto"/>
                                                                                  </w:divBdr>
                                                                                  <w:divsChild>
                                                                                    <w:div w:id="298462779">
                                                                                      <w:marLeft w:val="0"/>
                                                                                      <w:marRight w:val="0"/>
                                                                                      <w:marTop w:val="0"/>
                                                                                      <w:marBottom w:val="0"/>
                                                                                      <w:divBdr>
                                                                                        <w:top w:val="none" w:sz="0" w:space="0" w:color="auto"/>
                                                                                        <w:left w:val="none" w:sz="0" w:space="0" w:color="auto"/>
                                                                                        <w:bottom w:val="none" w:sz="0" w:space="0" w:color="auto"/>
                                                                                        <w:right w:val="none" w:sz="0" w:space="0" w:color="auto"/>
                                                                                      </w:divBdr>
                                                                                    </w:div>
                                                                                    <w:div w:id="401609327">
                                                                                      <w:marLeft w:val="0"/>
                                                                                      <w:marRight w:val="0"/>
                                                                                      <w:marTop w:val="0"/>
                                                                                      <w:marBottom w:val="0"/>
                                                                                      <w:divBdr>
                                                                                        <w:top w:val="none" w:sz="0" w:space="0" w:color="auto"/>
                                                                                        <w:left w:val="none" w:sz="0" w:space="0" w:color="auto"/>
                                                                                        <w:bottom w:val="none" w:sz="0" w:space="0" w:color="auto"/>
                                                                                        <w:right w:val="none" w:sz="0" w:space="0" w:color="auto"/>
                                                                                      </w:divBdr>
                                                                                    </w:div>
                                                                                    <w:div w:id="441608825">
                                                                                      <w:marLeft w:val="0"/>
                                                                                      <w:marRight w:val="0"/>
                                                                                      <w:marTop w:val="0"/>
                                                                                      <w:marBottom w:val="0"/>
                                                                                      <w:divBdr>
                                                                                        <w:top w:val="none" w:sz="0" w:space="0" w:color="auto"/>
                                                                                        <w:left w:val="none" w:sz="0" w:space="0" w:color="auto"/>
                                                                                        <w:bottom w:val="none" w:sz="0" w:space="0" w:color="auto"/>
                                                                                        <w:right w:val="none" w:sz="0" w:space="0" w:color="auto"/>
                                                                                      </w:divBdr>
                                                                                    </w:div>
                                                                                    <w:div w:id="575019577">
                                                                                      <w:marLeft w:val="0"/>
                                                                                      <w:marRight w:val="0"/>
                                                                                      <w:marTop w:val="0"/>
                                                                                      <w:marBottom w:val="0"/>
                                                                                      <w:divBdr>
                                                                                        <w:top w:val="none" w:sz="0" w:space="0" w:color="auto"/>
                                                                                        <w:left w:val="none" w:sz="0" w:space="0" w:color="auto"/>
                                                                                        <w:bottom w:val="none" w:sz="0" w:space="0" w:color="auto"/>
                                                                                        <w:right w:val="none" w:sz="0" w:space="0" w:color="auto"/>
                                                                                      </w:divBdr>
                                                                                    </w:div>
                                                                                    <w:div w:id="893615280">
                                                                                      <w:marLeft w:val="0"/>
                                                                                      <w:marRight w:val="0"/>
                                                                                      <w:marTop w:val="0"/>
                                                                                      <w:marBottom w:val="0"/>
                                                                                      <w:divBdr>
                                                                                        <w:top w:val="none" w:sz="0" w:space="0" w:color="auto"/>
                                                                                        <w:left w:val="none" w:sz="0" w:space="0" w:color="auto"/>
                                                                                        <w:bottom w:val="none" w:sz="0" w:space="0" w:color="auto"/>
                                                                                        <w:right w:val="none" w:sz="0" w:space="0" w:color="auto"/>
                                                                                      </w:divBdr>
                                                                                    </w:div>
                                                                                    <w:div w:id="1155994405">
                                                                                      <w:marLeft w:val="0"/>
                                                                                      <w:marRight w:val="0"/>
                                                                                      <w:marTop w:val="0"/>
                                                                                      <w:marBottom w:val="0"/>
                                                                                      <w:divBdr>
                                                                                        <w:top w:val="none" w:sz="0" w:space="0" w:color="auto"/>
                                                                                        <w:left w:val="none" w:sz="0" w:space="0" w:color="auto"/>
                                                                                        <w:bottom w:val="none" w:sz="0" w:space="0" w:color="auto"/>
                                                                                        <w:right w:val="none" w:sz="0" w:space="0" w:color="auto"/>
                                                                                      </w:divBdr>
                                                                                    </w:div>
                                                                                    <w:div w:id="20477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845696">
      <w:bodyDiv w:val="1"/>
      <w:marLeft w:val="0"/>
      <w:marRight w:val="0"/>
      <w:marTop w:val="0"/>
      <w:marBottom w:val="0"/>
      <w:divBdr>
        <w:top w:val="none" w:sz="0" w:space="0" w:color="auto"/>
        <w:left w:val="none" w:sz="0" w:space="0" w:color="auto"/>
        <w:bottom w:val="none" w:sz="0" w:space="0" w:color="auto"/>
        <w:right w:val="none" w:sz="0" w:space="0" w:color="auto"/>
      </w:divBdr>
      <w:divsChild>
        <w:div w:id="1236671382">
          <w:marLeft w:val="0"/>
          <w:marRight w:val="0"/>
          <w:marTop w:val="0"/>
          <w:marBottom w:val="0"/>
          <w:divBdr>
            <w:top w:val="none" w:sz="0" w:space="0" w:color="auto"/>
            <w:left w:val="none" w:sz="0" w:space="0" w:color="auto"/>
            <w:bottom w:val="none" w:sz="0" w:space="0" w:color="auto"/>
            <w:right w:val="none" w:sz="0" w:space="0" w:color="auto"/>
          </w:divBdr>
          <w:divsChild>
            <w:div w:id="1785341623">
              <w:marLeft w:val="0"/>
              <w:marRight w:val="0"/>
              <w:marTop w:val="0"/>
              <w:marBottom w:val="0"/>
              <w:divBdr>
                <w:top w:val="none" w:sz="0" w:space="0" w:color="auto"/>
                <w:left w:val="none" w:sz="0" w:space="0" w:color="auto"/>
                <w:bottom w:val="none" w:sz="0" w:space="0" w:color="auto"/>
                <w:right w:val="none" w:sz="0" w:space="0" w:color="auto"/>
              </w:divBdr>
              <w:divsChild>
                <w:div w:id="1228494683">
                  <w:marLeft w:val="0"/>
                  <w:marRight w:val="0"/>
                  <w:marTop w:val="0"/>
                  <w:marBottom w:val="0"/>
                  <w:divBdr>
                    <w:top w:val="none" w:sz="0" w:space="0" w:color="auto"/>
                    <w:left w:val="none" w:sz="0" w:space="0" w:color="auto"/>
                    <w:bottom w:val="none" w:sz="0" w:space="0" w:color="auto"/>
                    <w:right w:val="none" w:sz="0" w:space="0" w:color="auto"/>
                  </w:divBdr>
                  <w:divsChild>
                    <w:div w:id="1456487907">
                      <w:marLeft w:val="0"/>
                      <w:marRight w:val="0"/>
                      <w:marTop w:val="0"/>
                      <w:marBottom w:val="0"/>
                      <w:divBdr>
                        <w:top w:val="none" w:sz="0" w:space="0" w:color="auto"/>
                        <w:left w:val="none" w:sz="0" w:space="0" w:color="auto"/>
                        <w:bottom w:val="none" w:sz="0" w:space="0" w:color="auto"/>
                        <w:right w:val="none" w:sz="0" w:space="0" w:color="auto"/>
                      </w:divBdr>
                      <w:divsChild>
                        <w:div w:id="1818761397">
                          <w:marLeft w:val="0"/>
                          <w:marRight w:val="0"/>
                          <w:marTop w:val="0"/>
                          <w:marBottom w:val="0"/>
                          <w:divBdr>
                            <w:top w:val="none" w:sz="0" w:space="0" w:color="auto"/>
                            <w:left w:val="none" w:sz="0" w:space="0" w:color="auto"/>
                            <w:bottom w:val="none" w:sz="0" w:space="0" w:color="auto"/>
                            <w:right w:val="none" w:sz="0" w:space="0" w:color="auto"/>
                          </w:divBdr>
                          <w:divsChild>
                            <w:div w:id="1246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767433">
      <w:bodyDiv w:val="1"/>
      <w:marLeft w:val="0"/>
      <w:marRight w:val="0"/>
      <w:marTop w:val="0"/>
      <w:marBottom w:val="0"/>
      <w:divBdr>
        <w:top w:val="none" w:sz="0" w:space="0" w:color="auto"/>
        <w:left w:val="none" w:sz="0" w:space="0" w:color="auto"/>
        <w:bottom w:val="none" w:sz="0" w:space="0" w:color="auto"/>
        <w:right w:val="none" w:sz="0" w:space="0" w:color="auto"/>
      </w:divBdr>
      <w:divsChild>
        <w:div w:id="1229921998">
          <w:marLeft w:val="0"/>
          <w:marRight w:val="0"/>
          <w:marTop w:val="0"/>
          <w:marBottom w:val="0"/>
          <w:divBdr>
            <w:top w:val="none" w:sz="0" w:space="0" w:color="auto"/>
            <w:left w:val="none" w:sz="0" w:space="0" w:color="auto"/>
            <w:bottom w:val="none" w:sz="0" w:space="0" w:color="auto"/>
            <w:right w:val="none" w:sz="0" w:space="0" w:color="auto"/>
          </w:divBdr>
          <w:divsChild>
            <w:div w:id="404424650">
              <w:marLeft w:val="0"/>
              <w:marRight w:val="0"/>
              <w:marTop w:val="0"/>
              <w:marBottom w:val="0"/>
              <w:divBdr>
                <w:top w:val="none" w:sz="0" w:space="0" w:color="auto"/>
                <w:left w:val="none" w:sz="0" w:space="0" w:color="auto"/>
                <w:bottom w:val="none" w:sz="0" w:space="0" w:color="auto"/>
                <w:right w:val="none" w:sz="0" w:space="0" w:color="auto"/>
              </w:divBdr>
              <w:divsChild>
                <w:div w:id="455221768">
                  <w:marLeft w:val="0"/>
                  <w:marRight w:val="0"/>
                  <w:marTop w:val="0"/>
                  <w:marBottom w:val="0"/>
                  <w:divBdr>
                    <w:top w:val="none" w:sz="0" w:space="0" w:color="auto"/>
                    <w:left w:val="none" w:sz="0" w:space="0" w:color="auto"/>
                    <w:bottom w:val="none" w:sz="0" w:space="0" w:color="auto"/>
                    <w:right w:val="none" w:sz="0" w:space="0" w:color="auto"/>
                  </w:divBdr>
                  <w:divsChild>
                    <w:div w:id="1721051480">
                      <w:marLeft w:val="0"/>
                      <w:marRight w:val="0"/>
                      <w:marTop w:val="0"/>
                      <w:marBottom w:val="0"/>
                      <w:divBdr>
                        <w:top w:val="none" w:sz="0" w:space="0" w:color="auto"/>
                        <w:left w:val="none" w:sz="0" w:space="0" w:color="auto"/>
                        <w:bottom w:val="none" w:sz="0" w:space="0" w:color="auto"/>
                        <w:right w:val="none" w:sz="0" w:space="0" w:color="auto"/>
                      </w:divBdr>
                      <w:divsChild>
                        <w:div w:id="1706902879">
                          <w:marLeft w:val="0"/>
                          <w:marRight w:val="0"/>
                          <w:marTop w:val="0"/>
                          <w:marBottom w:val="0"/>
                          <w:divBdr>
                            <w:top w:val="none" w:sz="0" w:space="0" w:color="auto"/>
                            <w:left w:val="none" w:sz="0" w:space="0" w:color="auto"/>
                            <w:bottom w:val="none" w:sz="0" w:space="0" w:color="auto"/>
                            <w:right w:val="none" w:sz="0" w:space="0" w:color="auto"/>
                          </w:divBdr>
                          <w:divsChild>
                            <w:div w:id="8325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033">
      <w:bodyDiv w:val="1"/>
      <w:marLeft w:val="0"/>
      <w:marRight w:val="0"/>
      <w:marTop w:val="0"/>
      <w:marBottom w:val="0"/>
      <w:divBdr>
        <w:top w:val="none" w:sz="0" w:space="0" w:color="auto"/>
        <w:left w:val="none" w:sz="0" w:space="0" w:color="auto"/>
        <w:bottom w:val="none" w:sz="0" w:space="0" w:color="auto"/>
        <w:right w:val="none" w:sz="0" w:space="0" w:color="auto"/>
      </w:divBdr>
      <w:divsChild>
        <w:div w:id="777332748">
          <w:marLeft w:val="0"/>
          <w:marRight w:val="0"/>
          <w:marTop w:val="0"/>
          <w:marBottom w:val="0"/>
          <w:divBdr>
            <w:top w:val="none" w:sz="0" w:space="0" w:color="auto"/>
            <w:left w:val="none" w:sz="0" w:space="0" w:color="auto"/>
            <w:bottom w:val="none" w:sz="0" w:space="0" w:color="auto"/>
            <w:right w:val="none" w:sz="0" w:space="0" w:color="auto"/>
          </w:divBdr>
          <w:divsChild>
            <w:div w:id="515391243">
              <w:marLeft w:val="0"/>
              <w:marRight w:val="0"/>
              <w:marTop w:val="0"/>
              <w:marBottom w:val="0"/>
              <w:divBdr>
                <w:top w:val="none" w:sz="0" w:space="0" w:color="auto"/>
                <w:left w:val="none" w:sz="0" w:space="0" w:color="auto"/>
                <w:bottom w:val="none" w:sz="0" w:space="0" w:color="auto"/>
                <w:right w:val="none" w:sz="0" w:space="0" w:color="auto"/>
              </w:divBdr>
              <w:divsChild>
                <w:div w:id="602149259">
                  <w:marLeft w:val="0"/>
                  <w:marRight w:val="0"/>
                  <w:marTop w:val="0"/>
                  <w:marBottom w:val="0"/>
                  <w:divBdr>
                    <w:top w:val="none" w:sz="0" w:space="0" w:color="auto"/>
                    <w:left w:val="none" w:sz="0" w:space="0" w:color="auto"/>
                    <w:bottom w:val="none" w:sz="0" w:space="0" w:color="auto"/>
                    <w:right w:val="none" w:sz="0" w:space="0" w:color="auto"/>
                  </w:divBdr>
                  <w:divsChild>
                    <w:div w:id="1121800255">
                      <w:marLeft w:val="0"/>
                      <w:marRight w:val="0"/>
                      <w:marTop w:val="0"/>
                      <w:marBottom w:val="0"/>
                      <w:divBdr>
                        <w:top w:val="none" w:sz="0" w:space="0" w:color="auto"/>
                        <w:left w:val="none" w:sz="0" w:space="0" w:color="auto"/>
                        <w:bottom w:val="none" w:sz="0" w:space="0" w:color="auto"/>
                        <w:right w:val="none" w:sz="0" w:space="0" w:color="auto"/>
                      </w:divBdr>
                      <w:divsChild>
                        <w:div w:id="2062358845">
                          <w:marLeft w:val="0"/>
                          <w:marRight w:val="0"/>
                          <w:marTop w:val="0"/>
                          <w:marBottom w:val="0"/>
                          <w:divBdr>
                            <w:top w:val="none" w:sz="0" w:space="0" w:color="auto"/>
                            <w:left w:val="none" w:sz="0" w:space="0" w:color="auto"/>
                            <w:bottom w:val="none" w:sz="0" w:space="0" w:color="auto"/>
                            <w:right w:val="none" w:sz="0" w:space="0" w:color="auto"/>
                          </w:divBdr>
                          <w:divsChild>
                            <w:div w:id="21278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25014">
      <w:bodyDiv w:val="1"/>
      <w:marLeft w:val="0"/>
      <w:marRight w:val="0"/>
      <w:marTop w:val="0"/>
      <w:marBottom w:val="0"/>
      <w:divBdr>
        <w:top w:val="none" w:sz="0" w:space="0" w:color="auto"/>
        <w:left w:val="none" w:sz="0" w:space="0" w:color="auto"/>
        <w:bottom w:val="none" w:sz="0" w:space="0" w:color="auto"/>
        <w:right w:val="none" w:sz="0" w:space="0" w:color="auto"/>
      </w:divBdr>
      <w:divsChild>
        <w:div w:id="1713574015">
          <w:marLeft w:val="0"/>
          <w:marRight w:val="0"/>
          <w:marTop w:val="0"/>
          <w:marBottom w:val="0"/>
          <w:divBdr>
            <w:top w:val="none" w:sz="0" w:space="0" w:color="auto"/>
            <w:left w:val="none" w:sz="0" w:space="0" w:color="auto"/>
            <w:bottom w:val="none" w:sz="0" w:space="0" w:color="auto"/>
            <w:right w:val="none" w:sz="0" w:space="0" w:color="auto"/>
          </w:divBdr>
          <w:divsChild>
            <w:div w:id="1413316272">
              <w:marLeft w:val="0"/>
              <w:marRight w:val="0"/>
              <w:marTop w:val="0"/>
              <w:marBottom w:val="0"/>
              <w:divBdr>
                <w:top w:val="none" w:sz="0" w:space="0" w:color="auto"/>
                <w:left w:val="none" w:sz="0" w:space="0" w:color="auto"/>
                <w:bottom w:val="none" w:sz="0" w:space="0" w:color="auto"/>
                <w:right w:val="none" w:sz="0" w:space="0" w:color="auto"/>
              </w:divBdr>
              <w:divsChild>
                <w:div w:id="1780752902">
                  <w:marLeft w:val="0"/>
                  <w:marRight w:val="0"/>
                  <w:marTop w:val="0"/>
                  <w:marBottom w:val="0"/>
                  <w:divBdr>
                    <w:top w:val="none" w:sz="0" w:space="0" w:color="auto"/>
                    <w:left w:val="none" w:sz="0" w:space="0" w:color="auto"/>
                    <w:bottom w:val="none" w:sz="0" w:space="0" w:color="auto"/>
                    <w:right w:val="none" w:sz="0" w:space="0" w:color="auto"/>
                  </w:divBdr>
                  <w:divsChild>
                    <w:div w:id="80956054">
                      <w:marLeft w:val="0"/>
                      <w:marRight w:val="0"/>
                      <w:marTop w:val="0"/>
                      <w:marBottom w:val="0"/>
                      <w:divBdr>
                        <w:top w:val="none" w:sz="0" w:space="0" w:color="auto"/>
                        <w:left w:val="none" w:sz="0" w:space="0" w:color="auto"/>
                        <w:bottom w:val="none" w:sz="0" w:space="0" w:color="auto"/>
                        <w:right w:val="none" w:sz="0" w:space="0" w:color="auto"/>
                      </w:divBdr>
                      <w:divsChild>
                        <w:div w:id="1074283478">
                          <w:marLeft w:val="0"/>
                          <w:marRight w:val="0"/>
                          <w:marTop w:val="0"/>
                          <w:marBottom w:val="0"/>
                          <w:divBdr>
                            <w:top w:val="none" w:sz="0" w:space="0" w:color="auto"/>
                            <w:left w:val="none" w:sz="0" w:space="0" w:color="auto"/>
                            <w:bottom w:val="none" w:sz="0" w:space="0" w:color="auto"/>
                            <w:right w:val="none" w:sz="0" w:space="0" w:color="auto"/>
                          </w:divBdr>
                          <w:divsChild>
                            <w:div w:id="3220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09791">
      <w:bodyDiv w:val="1"/>
      <w:marLeft w:val="0"/>
      <w:marRight w:val="0"/>
      <w:marTop w:val="0"/>
      <w:marBottom w:val="0"/>
      <w:divBdr>
        <w:top w:val="none" w:sz="0" w:space="0" w:color="auto"/>
        <w:left w:val="none" w:sz="0" w:space="0" w:color="auto"/>
        <w:bottom w:val="none" w:sz="0" w:space="0" w:color="auto"/>
        <w:right w:val="none" w:sz="0" w:space="0" w:color="auto"/>
      </w:divBdr>
      <w:divsChild>
        <w:div w:id="1434130737">
          <w:marLeft w:val="0"/>
          <w:marRight w:val="0"/>
          <w:marTop w:val="0"/>
          <w:marBottom w:val="0"/>
          <w:divBdr>
            <w:top w:val="none" w:sz="0" w:space="0" w:color="auto"/>
            <w:left w:val="none" w:sz="0" w:space="0" w:color="auto"/>
            <w:bottom w:val="none" w:sz="0" w:space="0" w:color="auto"/>
            <w:right w:val="none" w:sz="0" w:space="0" w:color="auto"/>
          </w:divBdr>
          <w:divsChild>
            <w:div w:id="762799573">
              <w:marLeft w:val="0"/>
              <w:marRight w:val="0"/>
              <w:marTop w:val="0"/>
              <w:marBottom w:val="0"/>
              <w:divBdr>
                <w:top w:val="none" w:sz="0" w:space="0" w:color="auto"/>
                <w:left w:val="none" w:sz="0" w:space="0" w:color="auto"/>
                <w:bottom w:val="none" w:sz="0" w:space="0" w:color="auto"/>
                <w:right w:val="none" w:sz="0" w:space="0" w:color="auto"/>
              </w:divBdr>
              <w:divsChild>
                <w:div w:id="1401902344">
                  <w:marLeft w:val="0"/>
                  <w:marRight w:val="0"/>
                  <w:marTop w:val="0"/>
                  <w:marBottom w:val="0"/>
                  <w:divBdr>
                    <w:top w:val="none" w:sz="0" w:space="0" w:color="auto"/>
                    <w:left w:val="none" w:sz="0" w:space="0" w:color="auto"/>
                    <w:bottom w:val="none" w:sz="0" w:space="0" w:color="auto"/>
                    <w:right w:val="none" w:sz="0" w:space="0" w:color="auto"/>
                  </w:divBdr>
                  <w:divsChild>
                    <w:div w:id="2123069177">
                      <w:marLeft w:val="0"/>
                      <w:marRight w:val="0"/>
                      <w:marTop w:val="0"/>
                      <w:marBottom w:val="0"/>
                      <w:divBdr>
                        <w:top w:val="none" w:sz="0" w:space="0" w:color="auto"/>
                        <w:left w:val="none" w:sz="0" w:space="0" w:color="auto"/>
                        <w:bottom w:val="none" w:sz="0" w:space="0" w:color="auto"/>
                        <w:right w:val="none" w:sz="0" w:space="0" w:color="auto"/>
                      </w:divBdr>
                      <w:divsChild>
                        <w:div w:id="983311449">
                          <w:marLeft w:val="0"/>
                          <w:marRight w:val="0"/>
                          <w:marTop w:val="0"/>
                          <w:marBottom w:val="0"/>
                          <w:divBdr>
                            <w:top w:val="none" w:sz="0" w:space="0" w:color="auto"/>
                            <w:left w:val="none" w:sz="0" w:space="0" w:color="auto"/>
                            <w:bottom w:val="none" w:sz="0" w:space="0" w:color="auto"/>
                            <w:right w:val="none" w:sz="0" w:space="0" w:color="auto"/>
                          </w:divBdr>
                          <w:divsChild>
                            <w:div w:id="1977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14004">
      <w:bodyDiv w:val="1"/>
      <w:marLeft w:val="0"/>
      <w:marRight w:val="0"/>
      <w:marTop w:val="0"/>
      <w:marBottom w:val="0"/>
      <w:divBdr>
        <w:top w:val="none" w:sz="0" w:space="0" w:color="auto"/>
        <w:left w:val="none" w:sz="0" w:space="0" w:color="auto"/>
        <w:bottom w:val="none" w:sz="0" w:space="0" w:color="auto"/>
        <w:right w:val="none" w:sz="0" w:space="0" w:color="auto"/>
      </w:divBdr>
    </w:div>
    <w:div w:id="1894080743">
      <w:bodyDiv w:val="1"/>
      <w:marLeft w:val="0"/>
      <w:marRight w:val="0"/>
      <w:marTop w:val="0"/>
      <w:marBottom w:val="0"/>
      <w:divBdr>
        <w:top w:val="none" w:sz="0" w:space="0" w:color="auto"/>
        <w:left w:val="none" w:sz="0" w:space="0" w:color="auto"/>
        <w:bottom w:val="none" w:sz="0" w:space="0" w:color="auto"/>
        <w:right w:val="none" w:sz="0" w:space="0" w:color="auto"/>
      </w:divBdr>
    </w:div>
    <w:div w:id="1906064053">
      <w:bodyDiv w:val="1"/>
      <w:marLeft w:val="0"/>
      <w:marRight w:val="0"/>
      <w:marTop w:val="0"/>
      <w:marBottom w:val="0"/>
      <w:divBdr>
        <w:top w:val="none" w:sz="0" w:space="0" w:color="auto"/>
        <w:left w:val="none" w:sz="0" w:space="0" w:color="auto"/>
        <w:bottom w:val="none" w:sz="0" w:space="0" w:color="auto"/>
        <w:right w:val="none" w:sz="0" w:space="0" w:color="auto"/>
      </w:divBdr>
      <w:divsChild>
        <w:div w:id="636226016">
          <w:marLeft w:val="0"/>
          <w:marRight w:val="0"/>
          <w:marTop w:val="0"/>
          <w:marBottom w:val="0"/>
          <w:divBdr>
            <w:top w:val="none" w:sz="0" w:space="0" w:color="auto"/>
            <w:left w:val="none" w:sz="0" w:space="0" w:color="auto"/>
            <w:bottom w:val="none" w:sz="0" w:space="0" w:color="auto"/>
            <w:right w:val="none" w:sz="0" w:space="0" w:color="auto"/>
          </w:divBdr>
          <w:divsChild>
            <w:div w:id="1455516724">
              <w:marLeft w:val="0"/>
              <w:marRight w:val="0"/>
              <w:marTop w:val="0"/>
              <w:marBottom w:val="0"/>
              <w:divBdr>
                <w:top w:val="none" w:sz="0" w:space="0" w:color="auto"/>
                <w:left w:val="none" w:sz="0" w:space="0" w:color="auto"/>
                <w:bottom w:val="none" w:sz="0" w:space="0" w:color="auto"/>
                <w:right w:val="none" w:sz="0" w:space="0" w:color="auto"/>
              </w:divBdr>
              <w:divsChild>
                <w:div w:id="1515873950">
                  <w:marLeft w:val="0"/>
                  <w:marRight w:val="0"/>
                  <w:marTop w:val="0"/>
                  <w:marBottom w:val="0"/>
                  <w:divBdr>
                    <w:top w:val="none" w:sz="0" w:space="0" w:color="auto"/>
                    <w:left w:val="none" w:sz="0" w:space="0" w:color="auto"/>
                    <w:bottom w:val="none" w:sz="0" w:space="0" w:color="auto"/>
                    <w:right w:val="none" w:sz="0" w:space="0" w:color="auto"/>
                  </w:divBdr>
                  <w:divsChild>
                    <w:div w:id="485978826">
                      <w:marLeft w:val="0"/>
                      <w:marRight w:val="0"/>
                      <w:marTop w:val="0"/>
                      <w:marBottom w:val="0"/>
                      <w:divBdr>
                        <w:top w:val="none" w:sz="0" w:space="0" w:color="auto"/>
                        <w:left w:val="none" w:sz="0" w:space="0" w:color="auto"/>
                        <w:bottom w:val="none" w:sz="0" w:space="0" w:color="auto"/>
                        <w:right w:val="none" w:sz="0" w:space="0" w:color="auto"/>
                      </w:divBdr>
                      <w:divsChild>
                        <w:div w:id="1913157488">
                          <w:marLeft w:val="0"/>
                          <w:marRight w:val="0"/>
                          <w:marTop w:val="0"/>
                          <w:marBottom w:val="0"/>
                          <w:divBdr>
                            <w:top w:val="none" w:sz="0" w:space="0" w:color="auto"/>
                            <w:left w:val="none" w:sz="0" w:space="0" w:color="auto"/>
                            <w:bottom w:val="none" w:sz="0" w:space="0" w:color="auto"/>
                            <w:right w:val="none" w:sz="0" w:space="0" w:color="auto"/>
                          </w:divBdr>
                          <w:divsChild>
                            <w:div w:id="5028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053640">
      <w:bodyDiv w:val="1"/>
      <w:marLeft w:val="0"/>
      <w:marRight w:val="0"/>
      <w:marTop w:val="0"/>
      <w:marBottom w:val="0"/>
      <w:divBdr>
        <w:top w:val="none" w:sz="0" w:space="0" w:color="auto"/>
        <w:left w:val="none" w:sz="0" w:space="0" w:color="auto"/>
        <w:bottom w:val="none" w:sz="0" w:space="0" w:color="auto"/>
        <w:right w:val="none" w:sz="0" w:space="0" w:color="auto"/>
      </w:divBdr>
    </w:div>
    <w:div w:id="1999914912">
      <w:bodyDiv w:val="1"/>
      <w:marLeft w:val="0"/>
      <w:marRight w:val="0"/>
      <w:marTop w:val="0"/>
      <w:marBottom w:val="0"/>
      <w:divBdr>
        <w:top w:val="none" w:sz="0" w:space="0" w:color="auto"/>
        <w:left w:val="none" w:sz="0" w:space="0" w:color="auto"/>
        <w:bottom w:val="none" w:sz="0" w:space="0" w:color="auto"/>
        <w:right w:val="none" w:sz="0" w:space="0" w:color="auto"/>
      </w:divBdr>
      <w:divsChild>
        <w:div w:id="620497807">
          <w:marLeft w:val="0"/>
          <w:marRight w:val="0"/>
          <w:marTop w:val="0"/>
          <w:marBottom w:val="0"/>
          <w:divBdr>
            <w:top w:val="none" w:sz="0" w:space="0" w:color="auto"/>
            <w:left w:val="none" w:sz="0" w:space="0" w:color="auto"/>
            <w:bottom w:val="none" w:sz="0" w:space="0" w:color="auto"/>
            <w:right w:val="none" w:sz="0" w:space="0" w:color="auto"/>
          </w:divBdr>
          <w:divsChild>
            <w:div w:id="1549295110">
              <w:marLeft w:val="0"/>
              <w:marRight w:val="0"/>
              <w:marTop w:val="0"/>
              <w:marBottom w:val="0"/>
              <w:divBdr>
                <w:top w:val="none" w:sz="0" w:space="0" w:color="auto"/>
                <w:left w:val="none" w:sz="0" w:space="0" w:color="auto"/>
                <w:bottom w:val="none" w:sz="0" w:space="0" w:color="auto"/>
                <w:right w:val="none" w:sz="0" w:space="0" w:color="auto"/>
              </w:divBdr>
              <w:divsChild>
                <w:div w:id="1699625603">
                  <w:marLeft w:val="0"/>
                  <w:marRight w:val="0"/>
                  <w:marTop w:val="0"/>
                  <w:marBottom w:val="0"/>
                  <w:divBdr>
                    <w:top w:val="none" w:sz="0" w:space="0" w:color="auto"/>
                    <w:left w:val="none" w:sz="0" w:space="0" w:color="auto"/>
                    <w:bottom w:val="none" w:sz="0" w:space="0" w:color="auto"/>
                    <w:right w:val="none" w:sz="0" w:space="0" w:color="auto"/>
                  </w:divBdr>
                  <w:divsChild>
                    <w:div w:id="871309841">
                      <w:marLeft w:val="0"/>
                      <w:marRight w:val="0"/>
                      <w:marTop w:val="0"/>
                      <w:marBottom w:val="0"/>
                      <w:divBdr>
                        <w:top w:val="none" w:sz="0" w:space="0" w:color="auto"/>
                        <w:left w:val="none" w:sz="0" w:space="0" w:color="auto"/>
                        <w:bottom w:val="none" w:sz="0" w:space="0" w:color="auto"/>
                        <w:right w:val="none" w:sz="0" w:space="0" w:color="auto"/>
                      </w:divBdr>
                      <w:divsChild>
                        <w:div w:id="1617255312">
                          <w:marLeft w:val="0"/>
                          <w:marRight w:val="0"/>
                          <w:marTop w:val="0"/>
                          <w:marBottom w:val="0"/>
                          <w:divBdr>
                            <w:top w:val="none" w:sz="0" w:space="0" w:color="auto"/>
                            <w:left w:val="none" w:sz="0" w:space="0" w:color="auto"/>
                            <w:bottom w:val="none" w:sz="0" w:space="0" w:color="auto"/>
                            <w:right w:val="none" w:sz="0" w:space="0" w:color="auto"/>
                          </w:divBdr>
                          <w:divsChild>
                            <w:div w:id="3223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0395">
      <w:bodyDiv w:val="1"/>
      <w:marLeft w:val="0"/>
      <w:marRight w:val="0"/>
      <w:marTop w:val="0"/>
      <w:marBottom w:val="0"/>
      <w:divBdr>
        <w:top w:val="none" w:sz="0" w:space="0" w:color="auto"/>
        <w:left w:val="none" w:sz="0" w:space="0" w:color="auto"/>
        <w:bottom w:val="none" w:sz="0" w:space="0" w:color="auto"/>
        <w:right w:val="none" w:sz="0" w:space="0" w:color="auto"/>
      </w:divBdr>
      <w:divsChild>
        <w:div w:id="1778862485">
          <w:marLeft w:val="0"/>
          <w:marRight w:val="0"/>
          <w:marTop w:val="0"/>
          <w:marBottom w:val="0"/>
          <w:divBdr>
            <w:top w:val="none" w:sz="0" w:space="0" w:color="auto"/>
            <w:left w:val="none" w:sz="0" w:space="0" w:color="auto"/>
            <w:bottom w:val="none" w:sz="0" w:space="0" w:color="auto"/>
            <w:right w:val="none" w:sz="0" w:space="0" w:color="auto"/>
          </w:divBdr>
          <w:divsChild>
            <w:div w:id="1234701295">
              <w:marLeft w:val="0"/>
              <w:marRight w:val="0"/>
              <w:marTop w:val="0"/>
              <w:marBottom w:val="0"/>
              <w:divBdr>
                <w:top w:val="none" w:sz="0" w:space="0" w:color="auto"/>
                <w:left w:val="none" w:sz="0" w:space="0" w:color="auto"/>
                <w:bottom w:val="none" w:sz="0" w:space="0" w:color="auto"/>
                <w:right w:val="none" w:sz="0" w:space="0" w:color="auto"/>
              </w:divBdr>
              <w:divsChild>
                <w:div w:id="582027677">
                  <w:marLeft w:val="0"/>
                  <w:marRight w:val="0"/>
                  <w:marTop w:val="0"/>
                  <w:marBottom w:val="0"/>
                  <w:divBdr>
                    <w:top w:val="none" w:sz="0" w:space="0" w:color="auto"/>
                    <w:left w:val="none" w:sz="0" w:space="0" w:color="auto"/>
                    <w:bottom w:val="none" w:sz="0" w:space="0" w:color="auto"/>
                    <w:right w:val="none" w:sz="0" w:space="0" w:color="auto"/>
                  </w:divBdr>
                  <w:divsChild>
                    <w:div w:id="2077315662">
                      <w:marLeft w:val="0"/>
                      <w:marRight w:val="0"/>
                      <w:marTop w:val="0"/>
                      <w:marBottom w:val="0"/>
                      <w:divBdr>
                        <w:top w:val="none" w:sz="0" w:space="0" w:color="auto"/>
                        <w:left w:val="none" w:sz="0" w:space="0" w:color="auto"/>
                        <w:bottom w:val="none" w:sz="0" w:space="0" w:color="auto"/>
                        <w:right w:val="none" w:sz="0" w:space="0" w:color="auto"/>
                      </w:divBdr>
                      <w:divsChild>
                        <w:div w:id="603609734">
                          <w:marLeft w:val="0"/>
                          <w:marRight w:val="0"/>
                          <w:marTop w:val="0"/>
                          <w:marBottom w:val="0"/>
                          <w:divBdr>
                            <w:top w:val="none" w:sz="0" w:space="0" w:color="auto"/>
                            <w:left w:val="none" w:sz="0" w:space="0" w:color="auto"/>
                            <w:bottom w:val="none" w:sz="0" w:space="0" w:color="auto"/>
                            <w:right w:val="none" w:sz="0" w:space="0" w:color="auto"/>
                          </w:divBdr>
                          <w:divsChild>
                            <w:div w:id="13336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8251">
      <w:bodyDiv w:val="1"/>
      <w:marLeft w:val="0"/>
      <w:marRight w:val="0"/>
      <w:marTop w:val="0"/>
      <w:marBottom w:val="0"/>
      <w:divBdr>
        <w:top w:val="none" w:sz="0" w:space="0" w:color="auto"/>
        <w:left w:val="none" w:sz="0" w:space="0" w:color="auto"/>
        <w:bottom w:val="none" w:sz="0" w:space="0" w:color="auto"/>
        <w:right w:val="none" w:sz="0" w:space="0" w:color="auto"/>
      </w:divBdr>
      <w:divsChild>
        <w:div w:id="1588030044">
          <w:marLeft w:val="0"/>
          <w:marRight w:val="0"/>
          <w:marTop w:val="0"/>
          <w:marBottom w:val="0"/>
          <w:divBdr>
            <w:top w:val="none" w:sz="0" w:space="0" w:color="auto"/>
            <w:left w:val="none" w:sz="0" w:space="0" w:color="auto"/>
            <w:bottom w:val="none" w:sz="0" w:space="0" w:color="auto"/>
            <w:right w:val="none" w:sz="0" w:space="0" w:color="auto"/>
          </w:divBdr>
          <w:divsChild>
            <w:div w:id="19818342">
              <w:marLeft w:val="0"/>
              <w:marRight w:val="0"/>
              <w:marTop w:val="0"/>
              <w:marBottom w:val="0"/>
              <w:divBdr>
                <w:top w:val="none" w:sz="0" w:space="0" w:color="auto"/>
                <w:left w:val="none" w:sz="0" w:space="0" w:color="auto"/>
                <w:bottom w:val="none" w:sz="0" w:space="0" w:color="auto"/>
                <w:right w:val="none" w:sz="0" w:space="0" w:color="auto"/>
              </w:divBdr>
              <w:divsChild>
                <w:div w:id="462773144">
                  <w:marLeft w:val="0"/>
                  <w:marRight w:val="0"/>
                  <w:marTop w:val="0"/>
                  <w:marBottom w:val="0"/>
                  <w:divBdr>
                    <w:top w:val="none" w:sz="0" w:space="0" w:color="auto"/>
                    <w:left w:val="none" w:sz="0" w:space="0" w:color="auto"/>
                    <w:bottom w:val="none" w:sz="0" w:space="0" w:color="auto"/>
                    <w:right w:val="none" w:sz="0" w:space="0" w:color="auto"/>
                  </w:divBdr>
                  <w:divsChild>
                    <w:div w:id="854612795">
                      <w:marLeft w:val="0"/>
                      <w:marRight w:val="0"/>
                      <w:marTop w:val="0"/>
                      <w:marBottom w:val="0"/>
                      <w:divBdr>
                        <w:top w:val="none" w:sz="0" w:space="0" w:color="auto"/>
                        <w:left w:val="none" w:sz="0" w:space="0" w:color="auto"/>
                        <w:bottom w:val="none" w:sz="0" w:space="0" w:color="auto"/>
                        <w:right w:val="none" w:sz="0" w:space="0" w:color="auto"/>
                      </w:divBdr>
                      <w:divsChild>
                        <w:div w:id="1888030262">
                          <w:marLeft w:val="0"/>
                          <w:marRight w:val="0"/>
                          <w:marTop w:val="0"/>
                          <w:marBottom w:val="0"/>
                          <w:divBdr>
                            <w:top w:val="none" w:sz="0" w:space="0" w:color="auto"/>
                            <w:left w:val="none" w:sz="0" w:space="0" w:color="auto"/>
                            <w:bottom w:val="none" w:sz="0" w:space="0" w:color="auto"/>
                            <w:right w:val="none" w:sz="0" w:space="0" w:color="auto"/>
                          </w:divBdr>
                          <w:divsChild>
                            <w:div w:id="11216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urina.katta@pg.canterbury.ac.nz" TargetMode="External"/><Relationship Id="rId18" Type="http://schemas.openxmlformats.org/officeDocument/2006/relationships/hyperlink" Target="http://www.healthinfo.org.nz/"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tel:0800611116"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depression.org.nz/"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entalhealth.org.nz/" TargetMode="External"/><Relationship Id="rId20" Type="http://schemas.openxmlformats.org/officeDocument/2006/relationships/hyperlink" Target="tel:0800543354"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tel:0800920092"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ealth.govt.nz/your-health/conditions-and-treatments/mental-health" TargetMode="External"/><Relationship Id="rId23" Type="http://schemas.openxmlformats.org/officeDocument/2006/relationships/hyperlink" Target="tel:0508%20828%20865" TargetMode="External"/><Relationship Id="rId28"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yperlink" Target="tel:0800543354"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nterbury.ac.nz/about/health-and-safety/" TargetMode="External"/><Relationship Id="rId22" Type="http://schemas.openxmlformats.org/officeDocument/2006/relationships/hyperlink" Target="tel:0800726666" TargetMode="External"/><Relationship Id="rId27" Type="http://schemas.openxmlformats.org/officeDocument/2006/relationships/header" Target="header2.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NZ</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Kap</b:Tag>
    <b:SourceType>JournalArticle</b:SourceType>
    <b:Guid>{E07C6154-3E10-4E01-A7F6-5F3174314919}</b:Guid>
    <b:Author>
      <b:Author>
        <b:Corporate>Kaplan, B. J., Leaney, C., &amp; Tsatsko, E. (2016). Micronutrient Treatment of Emotional Dyscontrol Following Traumatic Brain Injury. Ment Health, 4(5), 1078.</b:Corporate>
      </b:Author>
    </b:Author>
    <b:RefOrder>1</b:RefOrder>
  </b:Source>
  <b:Source>
    <b:Tag>Zha</b:Tag>
    <b:SourceType>JournalArticle</b:SourceType>
    <b:Guid>{1C5B15E8-27FE-46DD-B74F-6EBA047B40C6}</b:Guid>
    <b:Author>
      <b:Author>
        <b:Corporate>Zhang, S., Faries, D. E., Vowles, M., &amp; Michelson, D. (2005). ADHD rating scale IV: psychometric properties from a multinational study as clinician‐administered instrument. International journal of methods in psychiatric research, 14(4), 186-201.</b:Corporate>
      </b:Author>
    </b:Author>
    <b:RefOrder>2</b:RefOrder>
  </b:Source>
  <b:Source>
    <b:Tag>Ruc</b:Tag>
    <b:SourceType>JournalArticle</b:SourceType>
    <b:Guid>{0906E4BE-A7BC-4F08-B24B-E1BD2ABFB05E}</b:Guid>
    <b:Author>
      <b:Author>
        <b:Corporate>Rucklidge, J. J., Eggleston, M. J., Johnstone, J. M., Darling, K., &amp; Frampton, C. M. (2018). Vitamin‐mineral treatment improves aggression and emotional regulation in children with ADHD: a fully blinded, randomized, placebo‐controlled trial. Journal of Ch</b:Corporate>
      </b:Author>
    </b:Author>
    <b:RefOrder>3</b:RefOrder>
  </b:Source>
  <b:Source>
    <b:Tag>Alt</b:Tag>
    <b:SourceType>JournalArticle</b:SourceType>
    <b:Guid>{F0D5B9E1-01C7-44D1-830D-73AB177220A3}</b:Guid>
    <b:Author>
      <b:Author>
        <b:Corporate>Althoff, R. R., Verhulst, F. C., Rettew, D. C., Hudziak, J. J., &amp; van der Ende, J. (2010). Adult outcomes of childhood dysregulation: a 14-year follow-up study. Journal of the American Academy of Child &amp; Adolescent Psychiatry, 49(11), 1105-1116.</b:Corporate>
      </b:Author>
    </b:Author>
    <b:RefOrder>4</b:RefOrder>
  </b:Source>
  <b:Source>
    <b:Tag>Str</b:Tag>
    <b:SourceType>JournalArticle</b:SourceType>
    <b:Guid>{57B23FE5-0AFE-4802-8B6C-09F0CA0D1259}</b:Guid>
    <b:Author>
      <b:Author>
        <b:Corporate>Stringaris, A., Goodman, R., Ferdinando, S., Razdan, V., Muhrer, E., Leibenluft, E., &amp; Brotman, M. A. (2012). The Affective Reactivity Index: a concise irritability scale for clinical and research settings. Journal of Child Psychology and Psychiatry, 53(1</b:Corporate>
      </b:Author>
    </b:Author>
    <b:RefOrder>5</b:RefOrder>
  </b:Source>
  <b:Source>
    <b:Tag>Ben</b:Tag>
    <b:SourceType>JournalArticle</b:SourceType>
    <b:Guid>{F08A5EFB-763F-4A61-8E95-72653E97467A}</b:Guid>
    <b:Author>
      <b:Author>
        <b:Corporate>Benton, D. (2008). Micronutrient status, cognition and behavioral problems in childhood. European journal of nutrition, 47(3), 38-50.</b:Corporate>
      </b:Author>
    </b:Author>
    <b:RefOrder>6</b:RefOrder>
  </b:Source>
  <b:Source>
    <b:Tag>Kap1</b:Tag>
    <b:SourceType>JournalArticle</b:SourceType>
    <b:Guid>{1FC5565A-792A-49D1-816E-6F33168ADEC0}</b:Guid>
    <b:Author>
      <b:Author>
        <b:Corporate>Kaplan, B. J., Fisher, J. E., Crawford, S. G., Field, C. J., &amp; Kolb, B. (2004). Improved mood and behavior during treatment with a mineral-vitamin supplement: an open-label case series of children. Journal of child and adolescent psychopharmacology, 14(1)</b:Corporate>
      </b:Author>
    </b:Author>
    <b:RefOrder>7</b:RefOrder>
  </b:Source>
  <b:Source>
    <b:Tag>Coo</b:Tag>
    <b:SourceType>JournalArticle</b:SourceType>
    <b:Guid>{82158A2B-723F-4902-A482-8771D85AE058}</b:Guid>
    <b:Author>
      <b:Author>
        <b:Corporate>Cooper, R. E., Tye, C., Kuntsi, J., Vassos, E., &amp; Asherson, P. (2016). The effect of omega-3 polyunsaturated fatty acid supplementation on emotional dysregulation, oppositional behaviour and conduct problems in ADHD: A systematic review and meta-analysis.</b:Corporate>
      </b:Author>
    </b:Author>
    <b:RefOrder>8</b:RefOrder>
  </b:Source>
  <b:Source>
    <b:Tag>Kap2</b:Tag>
    <b:SourceType>JournalArticle</b:SourceType>
    <b:Guid>{4ABBD208-F840-4A7E-A398-94DA9B498596}</b:Guid>
    <b:Author>
      <b:Author>
        <b:Corporate>Kaplan, B. J., Leaney, C., &amp; Tsatsko, E. (2016). Micronutrient Treatment of Emotional Dyscontrol Following Traumatic Brain Injury. Ment Health, 4(5), 1078.</b:Corporate>
      </b:Author>
    </b:Author>
    <b:RefOrder>9</b:RefOrder>
  </b:Source>
  <b:Source>
    <b:Tag>Fic</b:Tag>
    <b:SourceType>JournalArticle</b:SourceType>
    <b:Guid>{4D79CE98-CB2A-497E-9EDC-AD6785F4BC8A}</b:Guid>
    <b:Author>
      <b:Author>
        <b:Corporate>Fichter, M. M., Kohlboeck, G., Quadflieg, N., Wyschkon, A., &amp; Esser, G. (2009). From childhood to adult age: 18-year longitudinal results and prediction of the course of mental disorders in the community. Social Psychiatry and Psychiatric Epidemiology, 44</b:Corporate>
      </b:Author>
    </b:Author>
    <b:RefOrder>10</b:RefOrder>
  </b:Source>
  <b:Source>
    <b:Tag>Fei</b:Tag>
    <b:SourceType>JournalArticle</b:SourceType>
    <b:Guid>{77E15F91-8402-464C-A2E2-C3E624034539}</b:Guid>
    <b:Author>
      <b:Author>
        <b:Corporate>Feigin, V. L., Theadom, A., Barker-Collo, S., Starkey, N. J., McPherson, K., Kahan, M., ... &amp; Jones, K. (2013). Incidence of traumatic brain injury in New Zealand: a population-based study. The Lancet Neurology, 12(1), 53-64.</b:Corporate>
      </b:Author>
    </b:Author>
    <b:RefOrder>11</b:RefOrder>
  </b:Source>
  <b:Source>
    <b:Tag>Ash</b:Tag>
    <b:SourceType>JournalArticle</b:SourceType>
    <b:Guid>{FC56FD87-AB60-44CA-B010-91D54239E0C5}</b:Guid>
    <b:Author>
      <b:Author>
        <b:Corporate>Ashman, T. A., Gordon, W. A., Cantor, J. B., &amp; Hibbard, M. R. (2006). Neurobehavioral consequences of traumatic brain injury. Mount Sinai Journal of Medicine, 73(7), 999-1005.</b:Corporate>
      </b:Author>
    </b:Author>
    <b:RefOrder>12</b:RefOrder>
  </b:Source>
  <b:Source>
    <b:Tag>Sch</b:Tag>
    <b:SourceType>JournalArticle</b:SourceType>
    <b:Guid>{5846CD18-19B9-4324-8E42-688304D45986}</b:Guid>
    <b:Author>
      <b:Author>
        <b:Corporate>Schachar, R. J., Park, L. S., &amp; Dennis, M. (2015). Mental health implications of traumatic brain injury (TBI) in children and youth. Journal of the Canadian Academy of Child and Adolescent Psychiatry, 24(2), 100.</b:Corporate>
      </b:Author>
    </b:Author>
    <b:RefOrder>13</b:RefOrder>
  </b:Source>
  <b:Source>
    <b:Tag>McK</b:Tag>
    <b:SourceType>JournalArticle</b:SourceType>
    <b:Guid>{B0D72B14-543B-4BCC-996B-7AE540224155}</b:Guid>
    <b:Author>
      <b:Author>
        <b:Corporate>McKinlay, A., Grace, R. C., Horwood, L. J., Fergusson, D. M., Ridder, E. M., &amp; MacFarlane, M. R. (2008). Prevalence of traumatic brain injury among children, adolescents and young adults: prospective evidence from a birth cohort. Brain injury, 22(2), 175-</b:Corporate>
      </b:Author>
    </b:Author>
    <b:RefOrder>14</b:RefOrder>
  </b:Source>
  <b:Source>
    <b:Tag>Bro</b:Tag>
    <b:SourceType>JournalArticle</b:SourceType>
    <b:Guid>{7B8B522E-A840-4874-B359-88994897E505}</b:Guid>
    <b:Author>
      <b:Author>
        <b:Corporate>Brotman, M. A., Schmajuk, M., Rich, B. A., Dickstein, D. P., Guyer, A. E., Costello, E. J., ... &amp; Leibenluft, E. (2006). Prevalence, clinical correlates, and longitudinal course of severe mood dysregulation in children. Biological psychiatry, 60(9), 991-9</b:Corporate>
      </b:Author>
    </b:Author>
    <b:RefOrder>15</b:RefOrder>
  </b:Source>
  <b:Source>
    <b:Tag>Gan</b:Tag>
    <b:SourceType>JournalArticle</b:SourceType>
    <b:Guid>{B9AC31D1-C6B1-4661-A26F-D0FBE047AF92}</b:Guid>
    <b:Author>
      <b:Author>
        <b:Corporate>Ganesalingam, K., Sanson, A., Anderson, V., &amp; Yeates, K. O. (2006). Self-regulation and social and behavioral functioning following childhood traumatic brain injury. Journal of the International Neuropsychological Society, 12(5), 609-621.</b:Corporate>
      </b:Author>
    </b:Author>
    <b:RefOrder>16</b:RefOrder>
  </b:Source>
  <b:Source>
    <b:Tag>Cas</b:Tag>
    <b:SourceType>JournalArticle</b:SourceType>
    <b:Guid>{031FDAB5-94E4-4F44-985D-A00F1AC1F4CA}</b:Guid>
    <b:Author>
      <b:Author>
        <b:Corporate>Caspi, A., Harrington, H., Milne, B., Amell, J. W., Theodore, R. F., &amp; Moffitt, T. E. (2003). Children's behavioral styles at age 3 are linked to their adult personality traits at age 26. Journal of personality, 71(4), 495-514.</b:Corporate>
      </b:Author>
    </b:Author>
    <b:RefOrder>17</b:RefOrder>
  </b:Source>
  <b:Source>
    <b:Tag>Rog</b:Tag>
    <b:SourceType>JournalArticle</b:SourceType>
    <b:Guid>{51383474-BDE4-4A52-BE73-6B9126709CEF}</b:Guid>
    <b:Author>
      <b:Author>
        <b:Corporate>Rogers, A., &amp; McKinlay, A. (2019). The long-term effects of childhood traumatic brain injury on adulthood relationship quality. Brain injury, 1-8.</b:Corporate>
      </b:Author>
    </b:Author>
    <b:RefOrder>18</b:RefOrder>
  </b:Source>
  <b:Source>
    <b:Tag>McM</b:Tag>
    <b:SourceType>JournalArticle</b:SourceType>
    <b:Guid>{9D976733-12DE-48D9-80CB-725F0B697C01}</b:Guid>
    <b:Author>
      <b:Author>
        <b:Corporate>McMillan, T. M., Teasdale, G. M., &amp; Stewart, E. (2012). Disability in young people and adults after head injury: 12–14 year follow-up of a prospective cohort. Journal of Neurology, Neurosurgery &amp; Psychiatry, 83(11), 1086-1091.</b:Corporate>
      </b:Author>
    </b:Author>
    <b:RefOrder>19</b:RefOrder>
  </b:Source>
  <b:Source>
    <b:Tag>McL</b:Tag>
    <b:SourceType>JournalArticle</b:SourceType>
    <b:Guid>{E5487821-CD2B-4B22-9003-EB66B89275EE}</b:Guid>
    <b:Author>
      <b:Author>
        <b:Corporate>McLaughlin, K. A., Hatzenbuehler, M. L., Mennin, D. S., &amp; Nolen-Hoeksema, S. (2011). Emotion dysregulation and adolescent psychopathology: A prospective study. Behaviour research and therapy, 49(9), 544-554.</b:Corporate>
      </b:Author>
    </b:Author>
    <b:RefOrder>20</b:RefOrder>
  </b:Source>
  <b:Source>
    <b:Tag>Sch1</b:Tag>
    <b:SourceType>JournalArticle</b:SourceType>
    <b:Guid>{81D76852-C385-491A-B345-601322CF0559}</b:Guid>
    <b:Author>
      <b:Author>
        <b:Corporate>Schwarzbold, M., Diaz, A., Martins, E. T., Rufino, A., Amante, L. N., Thais, M. E., ... &amp; Walz, R. (2008). Psychiatric disorders and traumatic brain injury. Neuropsychiatric disease and treatment.</b:Corporate>
      </b:Author>
    </b:Author>
    <b:RefOrder>21</b:RefOrder>
  </b:Source>
  <b:Source>
    <b:Tag>Sha</b:Tag>
    <b:SourceType>JournalArticle</b:SourceType>
    <b:Guid>{0FAC4259-EA00-40C6-A4FB-8900F468C08C}</b:Guid>
    <b:Author>
      <b:Author>
        <b:Corporate>Shannon Bowen, K. E., Gatzke-Kopp, L. M., Beauchaine, T. P., &amp; Hinshaw, S. P. (2013). Brain injury as a risk factor for psychopathology. Child and adolescent psychopathology, 317-340.</b:Corporate>
      </b:Author>
    </b:Author>
    <b:RefOrder>22</b:RefOrder>
  </b:Source>
  <b:Source>
    <b:Tag>Neu08</b:Tag>
    <b:SourceType>DocumentFromInternetSite</b:SourceType>
    <b:Guid>{851F9DF9-FB0D-4CCE-A6AD-EEC0C9916448}</b:Guid>
    <b:Title>Neurological Disorders: Public Health Challenges</b:Title>
    <b:Year>2008</b:Year>
    <b:InternetSiteTitle>https://www.who.int</b:InternetSiteTitle>
    <b:URL>https://www.who.int/mental_health/neurology/neurodiso/en/</b:URL>
    <b:RefOrder>23</b:RefOrder>
  </b:Source>
  <b:Source>
    <b:Tag>Yea</b:Tag>
    <b:SourceType>DocumentFromInternetSite</b:SourceType>
    <b:Guid>{7AE4A69A-EA3D-4CA0-85F6-BF9BDDC21C5F}</b:Guid>
    <b:Author>
      <b:Author>
        <b:Corporate>Yeates, K. O., Taylor, H. G., Wade, S. L., Drotar, D., Stancin, T., &amp; Minich, N. (2002). A prospective study of short-and long-term neuropsychological outcomes after traumatic brain injury in children. Neuropsychology, 16(4), 514.</b:Corporate>
      </b:Author>
    </b:Author>
    <b:RefOrder>24</b:RefOrder>
  </b:Source>
  <b:Source>
    <b:Tag>Eis</b:Tag>
    <b:SourceType>DocumentFromInternetSite</b:SourceType>
    <b:Guid>{C096F61F-1915-41E7-B7C2-700F2FFFEE9A}</b:Guid>
    <b:Author>
      <b:Author>
        <b:Corporate>Eisenberg, N., Fabes, R. A., Guthrie, I. K., &amp; Reiser, M. (2000). Dispositional emotionality and regulation: their role in predicting quality of social functioning. Journal of personality and social psychology, 78(1), 136.</b:Corporate>
      </b:Author>
    </b:Author>
    <b:RefOrder>25</b:RefOrder>
  </b:Source>
  <b:Source>
    <b:Tag>Rho</b:Tag>
    <b:SourceType>DocumentFromInternetSite</b:SourceType>
    <b:Guid>{55265B2E-FAC0-4313-9C6A-39EB27AA6AE8}</b:Guid>
    <b:Author>
      <b:Author>
        <b:Corporate>Rhoades, B. L., Greenberg, M. T., &amp; Domitrovich, C. E. (2009). The contribution of inhibitory control to preschoolers' social–emotional competence. Journal of Applied Developmental Psychology, 30(3), 310-320.</b:Corporate>
      </b:Author>
    </b:Author>
    <b:RefOrder>26</b:RefOrder>
  </b:Source>
  <b:Source>
    <b:Tag>Yea1</b:Tag>
    <b:SourceType>DocumentFromInternetSite</b:SourceType>
    <b:Guid>{E1EC8187-32F1-4F57-BF52-3FF4768DBA93}</b:Guid>
    <b:Author>
      <b:Author>
        <b:Corporate>Yeates, K. O., Taylor, H. G., Drotar, D., Wade, S. L., Klein, S., Stancin, T., &amp; Schatschneider, C. (1997). Preinjury family environment as a determinant of recovery from traumatic brain injuries in school-age children. Journal of the International Neurop</b:Corporate>
      </b:Author>
    </b:Author>
    <b:RefOrder>27</b:RefOrder>
  </b:Source>
  <b:Source>
    <b:Tag>Kau</b:Tag>
    <b:SourceType>Book</b:SourceType>
    <b:Guid>{EF7446C8-7522-420E-B512-183F757EB250}</b:Guid>
    <b:Author>
      <b:Author>
        <b:Corporate>Kaufman J, Birmaher B, Brent D, Rao U, Flynn C, Moreci P, Williamson D, Ryan N. Schedule for affective disorders and schizophrenia for school-age children-present and lifetime version (K-SADS-PL): Initial reliability and validity data. J Am Acad Child Ado</b:Corporate>
      </b:Author>
    </b:Author>
    <b:RefOrder>28</b:RefOrder>
  </b:Source>
  <b:Source>
    <b:Tag>Dav</b:Tag>
    <b:SourceType>Book</b:SourceType>
    <b:Guid>{25B1CAD2-2308-4E7D-9276-225ED1E171EE}</b:Guid>
    <b:Author>
      <b:Author>
        <b:Corporate>Davis P, McLeod K, Ransom M, Ongley P. The New Zealand Socioeconomic Index of Occupational Status (NZSEI). Wellington: Statistics New Zealand; 1997</b:Corporate>
      </b:Author>
    </b:Author>
    <b:RefOrder>29</b:RefOrder>
  </b:Source>
  <b:Source>
    <b:Tag>Goo</b:Tag>
    <b:SourceType>Book</b:SourceType>
    <b:Guid>{433351B3-55EC-4E68-99FD-8108DABC4DFA}</b:Guid>
    <b:Author>
      <b:Author>
        <b:Corporate>Goodman R. Psychometric properties of the strengths and difficulties questionnaire. J Am Acad Child Adolesc Psychiatry. Nov 2001;40(11):1337-1345.</b:Corporate>
      </b:Author>
    </b:Author>
    <b:RefOrder>30</b:RefOrder>
  </b:Source>
  <b:Source>
    <b:Tag>Sto</b:Tag>
    <b:SourceType>Book</b:SourceType>
    <b:Guid>{45BA2ECA-542D-4196-941F-A370DEF297AB}</b:Guid>
    <b:Author>
      <b:Author>
        <b:Corporate>Stone L, Otten R, Engels R, Vermulst A, Janssens J. Psychometric Properties of the Parent and Teacher Versions of the Strengths and Difficulties Questionnaire for 4- to 12-Year-Olds: A Review. Clin Child Fam Psychol Rev. 2010;13(3):254-274.</b:Corporate>
      </b:Author>
    </b:Author>
    <b:RefOrder>31</b:RefOrder>
  </b:Source>
  <b:Source>
    <b:Tag>Gio</b:Tag>
    <b:SourceType>Book</b:SourceType>
    <b:Guid>{A64A9A3A-C628-4EFD-8939-0D1663314B00}</b:Guid>
    <b:Author>
      <b:Author>
        <b:Corporate>Gioia GA, Isquith PK, Guy SC, Kenworthy L. Behavior rating inventory of executive function. Odessa, FL: Psychological Assessment Resources; 2000.</b:Corporate>
      </b:Author>
    </b:Author>
    <b:RefOrder>32</b:RefOrder>
  </b:Source>
  <b:Source>
    <b:Tag>Pat</b:Tag>
    <b:SourceType>Book</b:SourceType>
    <b:Guid>{5343FED5-1703-4B72-AE54-75CBFABFB37E}</b:Guid>
    <b:Author>
      <b:Author>
        <b:Corporate>Paterson C. Measuring outcomes in primary care: A patient generated measure, MYMOP, compared with the SF-36 health survey. British Medical Journal. 1996;312(7037):1016-1016.</b:Corporate>
      </b:Author>
    </b:Author>
    <b:RefOrder>33</b:RefOrder>
  </b:Source>
  <b:Source>
    <b:Tag>Sol</b:Tag>
    <b:SourceType>JournalArticle</b:SourceType>
    <b:Guid>{6F9B3E16-C7AE-4B49-8F34-0A7D393C7A14}</b:Guid>
    <b:Author>
      <b:Author>
        <b:Corporate>Sole, E. J., Rucklidge, J. J., &amp; Blampied, N. M. (2017). Anxiety and stress in children following an earthquake: clinically beneficial effects of treatment with micronutrients. Journal of child and family studies, 26(5), 1422-1431.</b:Corporate>
      </b:Author>
    </b:Author>
    <b:RefOrder>34</b:RefOrder>
  </b:Source>
  <b:Source>
    <b:Tag>Bla</b:Tag>
    <b:SourceType>JournalArticle</b:SourceType>
    <b:Guid>{99F7B4D8-F314-430B-A3C9-E9D025CB821C}</b:Guid>
    <b:Author>
      <b:Author>
        <b:Corporate>Blampied, N. M. (2017). Analyzing therapeutic change using modified Brinley plots: History, construction, and interpretation. Behavior therapy, 48(1), 115-127.</b:Corporate>
      </b:Author>
    </b:Author>
    <b:RefOrder>35</b:RefOrder>
  </b:Source>
  <b:Source>
    <b:Tag>Bla1</b:Tag>
    <b:SourceType>JournalArticle</b:SourceType>
    <b:Guid>{B09E7A0B-6ABC-4CAD-9300-9D728EBCB3DF}</b:Guid>
    <b:Author>
      <b:Author>
        <b:Corporate>Black, S. R., Blampied, N., Arnold, L. E., &amp; Fristad, M. A. (2019). Is evidence‐based treatment helping my patient? Utilizing modified Brinley plots to measure clinical change. Clinical Psychology: Science and Practice, 26(1), e12272.</b:Corporate>
      </b:Author>
    </b:Author>
    <b:RefOrder>36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659A167D4CC5EC438DE9848E11CBEA3F" ma:contentTypeVersion="7" ma:contentTypeDescription="Create a new document." ma:contentTypeScope="" ma:versionID="baa15a308700ea86fdf3830bc7a7340c">
  <xsd:schema xmlns:xsd="http://www.w3.org/2001/XMLSchema" xmlns:xs="http://www.w3.org/2001/XMLSchema" xmlns:p="http://schemas.microsoft.com/office/2006/metadata/properties" xmlns:ns3="b1af40a2-86c1-4bae-9fd5-ad1d161ccb8d" targetNamespace="http://schemas.microsoft.com/office/2006/metadata/properties" ma:root="true" ma:fieldsID="ae65f112def44b3b20fa20bba6dff0c4" ns3:_="">
    <xsd:import namespace="b1af40a2-86c1-4bae-9fd5-ad1d161cc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f40a2-86c1-4bae-9fd5-ad1d161ccb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04D470-B036-47FA-833B-28E72D264589}">
  <ds:schemaRefs>
    <ds:schemaRef ds:uri="http://schemas.microsoft.com/sharepoint/v3/contenttype/forms"/>
  </ds:schemaRefs>
</ds:datastoreItem>
</file>

<file path=customXml/itemProps3.xml><?xml version="1.0" encoding="utf-8"?>
<ds:datastoreItem xmlns:ds="http://schemas.openxmlformats.org/officeDocument/2006/customXml" ds:itemID="{16800FBA-8E77-4867-AD0B-338BEC74D26C}">
  <ds:schemaRefs>
    <ds:schemaRef ds:uri="http://schemas.openxmlformats.org/officeDocument/2006/bibliography"/>
  </ds:schemaRefs>
</ds:datastoreItem>
</file>

<file path=customXml/itemProps4.xml><?xml version="1.0" encoding="utf-8"?>
<ds:datastoreItem xmlns:ds="http://schemas.openxmlformats.org/officeDocument/2006/customXml" ds:itemID="{D8631E59-BE76-4495-A969-F939843AF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f40a2-86c1-4bae-9fd5-ad1d161cc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891BCD-A997-4658-AF82-138BDB02E9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16904</Words>
  <Characters>96356</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Protocol for micronutrients and emotion dysregulation in children: a two-arm withdrawal single-case design (SUNNY Trial)</vt:lpstr>
    </vt:vector>
  </TitlesOfParts>
  <Company>University of Canterbury</Company>
  <LinksUpToDate>false</LinksUpToDate>
  <CharactersWithSpaces>113034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for micronutrients and emotion dysregulation in children: a two-arm withdrawal single-case design (SUNNY Trial)</dc:title>
  <dc:subject/>
  <dc:creator>Hayley Bradley</dc:creator>
  <cp:keywords/>
  <cp:lastModifiedBy>Nurina Katta</cp:lastModifiedBy>
  <cp:revision>2</cp:revision>
  <cp:lastPrinted>2020-03-13T03:45:00Z</cp:lastPrinted>
  <dcterms:created xsi:type="dcterms:W3CDTF">2022-01-04T12:44:00Z</dcterms:created>
  <dcterms:modified xsi:type="dcterms:W3CDTF">2022-01-04T12:44:00Z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0x010100659A167D4CC5EC438DE9848E11CBEA3F</vt:lpwstr>
  </property>
</Properties>
</file>