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C1EB0" w14:textId="37648036" w:rsidR="003333FD" w:rsidRPr="00715A92" w:rsidRDefault="003333FD" w:rsidP="003333FD">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DIET IN CROHN’S DISEASE STUDY</w:t>
      </w:r>
    </w:p>
    <w:p w14:paraId="243224E0" w14:textId="77777777" w:rsidR="003333FD" w:rsidRPr="00715A92" w:rsidRDefault="003333FD" w:rsidP="003333FD">
      <w:pPr>
        <w:spacing w:line="480" w:lineRule="auto"/>
        <w:rPr>
          <w:rFonts w:ascii="Times New Roman" w:hAnsi="Times New Roman" w:cs="Times New Roman"/>
          <w:b/>
          <w:bCs/>
          <w:sz w:val="24"/>
          <w:szCs w:val="24"/>
        </w:rPr>
      </w:pPr>
    </w:p>
    <w:p w14:paraId="32BD752D" w14:textId="77777777" w:rsidR="003333FD" w:rsidRPr="00715A92" w:rsidRDefault="003333FD" w:rsidP="003333FD">
      <w:pPr>
        <w:spacing w:line="480" w:lineRule="auto"/>
        <w:rPr>
          <w:rFonts w:ascii="Times New Roman" w:hAnsi="Times New Roman" w:cs="Times New Roman"/>
          <w:b/>
          <w:bCs/>
          <w:sz w:val="24"/>
          <w:szCs w:val="24"/>
        </w:rPr>
      </w:pPr>
      <w:r w:rsidRPr="00715A92">
        <w:rPr>
          <w:rFonts w:ascii="Times New Roman" w:hAnsi="Times New Roman" w:cs="Times New Roman"/>
          <w:b/>
          <w:bCs/>
          <w:sz w:val="24"/>
          <w:szCs w:val="24"/>
        </w:rPr>
        <w:t>Principal Investigator</w:t>
      </w:r>
    </w:p>
    <w:p w14:paraId="294503FC" w14:textId="77777777" w:rsidR="003333FD" w:rsidRPr="00715A92" w:rsidRDefault="003333FD" w:rsidP="003333FD">
      <w:pPr>
        <w:spacing w:line="480" w:lineRule="auto"/>
        <w:ind w:left="720"/>
        <w:rPr>
          <w:rFonts w:ascii="Times New Roman" w:hAnsi="Times New Roman" w:cs="Times New Roman"/>
          <w:sz w:val="24"/>
          <w:szCs w:val="24"/>
        </w:rPr>
      </w:pPr>
      <w:r w:rsidRPr="00715A92">
        <w:rPr>
          <w:rFonts w:ascii="Times New Roman" w:hAnsi="Times New Roman" w:cs="Times New Roman"/>
          <w:sz w:val="24"/>
          <w:szCs w:val="24"/>
        </w:rPr>
        <w:t>Professor Simon Keely</w:t>
      </w:r>
    </w:p>
    <w:p w14:paraId="57B69CB5" w14:textId="77777777" w:rsidR="003333FD" w:rsidRPr="00715A92" w:rsidRDefault="003333FD" w:rsidP="003333FD">
      <w:pPr>
        <w:spacing w:line="480" w:lineRule="auto"/>
        <w:ind w:left="720"/>
        <w:rPr>
          <w:rFonts w:ascii="Times New Roman" w:hAnsi="Times New Roman" w:cs="Times New Roman"/>
          <w:sz w:val="24"/>
          <w:szCs w:val="24"/>
        </w:rPr>
      </w:pPr>
    </w:p>
    <w:p w14:paraId="13A6B482" w14:textId="77777777" w:rsidR="003333FD" w:rsidRPr="00715A92" w:rsidRDefault="003333FD" w:rsidP="003333FD">
      <w:pPr>
        <w:spacing w:line="480" w:lineRule="auto"/>
        <w:rPr>
          <w:rFonts w:ascii="Times New Roman" w:hAnsi="Times New Roman" w:cs="Times New Roman"/>
          <w:b/>
          <w:bCs/>
          <w:sz w:val="24"/>
          <w:szCs w:val="24"/>
        </w:rPr>
      </w:pPr>
      <w:r w:rsidRPr="00715A92">
        <w:rPr>
          <w:rFonts w:ascii="Times New Roman" w:hAnsi="Times New Roman" w:cs="Times New Roman"/>
          <w:b/>
          <w:bCs/>
          <w:sz w:val="24"/>
          <w:szCs w:val="24"/>
        </w:rPr>
        <w:t>Associate Investigators:</w:t>
      </w:r>
    </w:p>
    <w:p w14:paraId="7D679027" w14:textId="77777777" w:rsidR="003333FD" w:rsidRPr="00715A92" w:rsidRDefault="003333FD" w:rsidP="003333FD">
      <w:pPr>
        <w:spacing w:line="480" w:lineRule="auto"/>
        <w:ind w:left="720"/>
        <w:rPr>
          <w:rFonts w:ascii="Times New Roman" w:hAnsi="Times New Roman" w:cs="Times New Roman"/>
          <w:sz w:val="24"/>
          <w:szCs w:val="24"/>
        </w:rPr>
      </w:pPr>
      <w:r w:rsidRPr="00715A92">
        <w:rPr>
          <w:rFonts w:ascii="Times New Roman" w:hAnsi="Times New Roman" w:cs="Times New Roman"/>
          <w:sz w:val="24"/>
          <w:szCs w:val="24"/>
        </w:rPr>
        <w:t>Doctor Kerith Duncanson</w:t>
      </w:r>
    </w:p>
    <w:p w14:paraId="09121977" w14:textId="77777777" w:rsidR="003333FD" w:rsidRPr="00715A92" w:rsidRDefault="003333FD" w:rsidP="003333FD">
      <w:pPr>
        <w:spacing w:line="480" w:lineRule="auto"/>
        <w:ind w:left="720"/>
        <w:rPr>
          <w:rFonts w:ascii="Times New Roman" w:hAnsi="Times New Roman" w:cs="Times New Roman"/>
          <w:sz w:val="24"/>
          <w:szCs w:val="24"/>
        </w:rPr>
      </w:pPr>
      <w:r w:rsidRPr="00715A92">
        <w:rPr>
          <w:rFonts w:ascii="Times New Roman" w:hAnsi="Times New Roman" w:cs="Times New Roman"/>
          <w:sz w:val="24"/>
          <w:szCs w:val="24"/>
        </w:rPr>
        <w:t>Doctor Emily Hoedt</w:t>
      </w:r>
    </w:p>
    <w:p w14:paraId="16678FEC" w14:textId="39E5D694" w:rsidR="003333FD" w:rsidRDefault="003333FD" w:rsidP="003333FD">
      <w:pPr>
        <w:spacing w:line="480" w:lineRule="auto"/>
        <w:ind w:left="720"/>
        <w:rPr>
          <w:rFonts w:ascii="Times New Roman" w:hAnsi="Times New Roman" w:cs="Times New Roman"/>
          <w:sz w:val="24"/>
          <w:szCs w:val="24"/>
        </w:rPr>
      </w:pPr>
      <w:r w:rsidRPr="00715A92">
        <w:rPr>
          <w:rFonts w:ascii="Times New Roman" w:hAnsi="Times New Roman" w:cs="Times New Roman"/>
          <w:sz w:val="24"/>
          <w:szCs w:val="24"/>
        </w:rPr>
        <w:t>Doctor Grace Burns</w:t>
      </w:r>
    </w:p>
    <w:p w14:paraId="4165CFF2" w14:textId="4C090460" w:rsidR="003333FD" w:rsidRDefault="003333FD" w:rsidP="003333FD">
      <w:pPr>
        <w:spacing w:line="480" w:lineRule="auto"/>
        <w:ind w:left="720"/>
        <w:rPr>
          <w:rFonts w:ascii="Times New Roman" w:hAnsi="Times New Roman" w:cs="Times New Roman"/>
          <w:sz w:val="24"/>
          <w:szCs w:val="24"/>
        </w:rPr>
      </w:pPr>
      <w:r>
        <w:rPr>
          <w:rFonts w:ascii="Times New Roman" w:hAnsi="Times New Roman" w:cs="Times New Roman"/>
          <w:sz w:val="24"/>
          <w:szCs w:val="24"/>
        </w:rPr>
        <w:t>Doctor Michael Potter</w:t>
      </w:r>
    </w:p>
    <w:p w14:paraId="10F9A76D" w14:textId="3A75D527" w:rsidR="003333FD" w:rsidRDefault="003333FD" w:rsidP="003333FD">
      <w:pPr>
        <w:spacing w:line="480" w:lineRule="auto"/>
        <w:ind w:left="720"/>
        <w:rPr>
          <w:rFonts w:ascii="Times New Roman" w:hAnsi="Times New Roman" w:cs="Times New Roman"/>
          <w:sz w:val="24"/>
          <w:szCs w:val="24"/>
        </w:rPr>
      </w:pPr>
      <w:r>
        <w:rPr>
          <w:rFonts w:ascii="Times New Roman" w:hAnsi="Times New Roman" w:cs="Times New Roman"/>
          <w:sz w:val="24"/>
          <w:szCs w:val="24"/>
        </w:rPr>
        <w:t>Doctor Peter Pockney</w:t>
      </w:r>
    </w:p>
    <w:p w14:paraId="557F0A64" w14:textId="63A4C3AD" w:rsidR="003333FD" w:rsidRDefault="003333FD" w:rsidP="003333FD">
      <w:pPr>
        <w:spacing w:line="480" w:lineRule="auto"/>
        <w:ind w:left="720"/>
        <w:rPr>
          <w:rFonts w:ascii="Times New Roman" w:hAnsi="Times New Roman" w:cs="Times New Roman"/>
          <w:sz w:val="24"/>
          <w:szCs w:val="24"/>
        </w:rPr>
      </w:pPr>
      <w:r>
        <w:rPr>
          <w:rFonts w:ascii="Times New Roman" w:hAnsi="Times New Roman" w:cs="Times New Roman"/>
          <w:sz w:val="24"/>
          <w:szCs w:val="24"/>
        </w:rPr>
        <w:t>Doctor Tom Goodsall</w:t>
      </w:r>
    </w:p>
    <w:p w14:paraId="42F3BA29" w14:textId="4B9254F2" w:rsidR="003333FD" w:rsidRDefault="003333FD" w:rsidP="003333FD">
      <w:pPr>
        <w:spacing w:line="480" w:lineRule="auto"/>
        <w:ind w:left="720"/>
        <w:rPr>
          <w:rFonts w:ascii="Times New Roman" w:hAnsi="Times New Roman" w:cs="Times New Roman"/>
          <w:sz w:val="24"/>
          <w:szCs w:val="24"/>
        </w:rPr>
      </w:pPr>
      <w:r>
        <w:rPr>
          <w:rFonts w:ascii="Times New Roman" w:hAnsi="Times New Roman" w:cs="Times New Roman"/>
          <w:sz w:val="24"/>
          <w:szCs w:val="24"/>
        </w:rPr>
        <w:t>Cheenie Nieva</w:t>
      </w:r>
    </w:p>
    <w:p w14:paraId="0955D6B9" w14:textId="77777777" w:rsidR="003333FD" w:rsidRDefault="003333FD" w:rsidP="003333FD">
      <w:pPr>
        <w:spacing w:line="480" w:lineRule="auto"/>
        <w:rPr>
          <w:rFonts w:ascii="Times New Roman" w:hAnsi="Times New Roman" w:cs="Times New Roman"/>
          <w:b/>
          <w:bCs/>
          <w:sz w:val="24"/>
          <w:szCs w:val="24"/>
        </w:rPr>
      </w:pPr>
    </w:p>
    <w:p w14:paraId="4DE5C450" w14:textId="4033411D" w:rsidR="003333FD" w:rsidRPr="00715A92" w:rsidRDefault="003333FD" w:rsidP="003333FD">
      <w:pPr>
        <w:spacing w:line="480" w:lineRule="auto"/>
        <w:rPr>
          <w:rFonts w:ascii="Times New Roman" w:hAnsi="Times New Roman" w:cs="Times New Roman"/>
          <w:b/>
          <w:bCs/>
          <w:sz w:val="24"/>
          <w:szCs w:val="24"/>
        </w:rPr>
      </w:pPr>
      <w:r w:rsidRPr="00715A92">
        <w:rPr>
          <w:rFonts w:ascii="Times New Roman" w:hAnsi="Times New Roman" w:cs="Times New Roman"/>
          <w:b/>
          <w:bCs/>
          <w:sz w:val="24"/>
          <w:szCs w:val="24"/>
        </w:rPr>
        <w:t>Sites:</w:t>
      </w:r>
    </w:p>
    <w:p w14:paraId="02A91A44" w14:textId="77777777" w:rsidR="003333FD" w:rsidRPr="00715A92" w:rsidRDefault="003333FD" w:rsidP="003333FD">
      <w:pPr>
        <w:spacing w:line="480" w:lineRule="auto"/>
        <w:ind w:left="720"/>
        <w:rPr>
          <w:rFonts w:ascii="Times New Roman" w:hAnsi="Times New Roman" w:cs="Times New Roman"/>
          <w:sz w:val="24"/>
          <w:szCs w:val="24"/>
        </w:rPr>
      </w:pPr>
      <w:r w:rsidRPr="00715A92">
        <w:rPr>
          <w:rFonts w:ascii="Times New Roman" w:hAnsi="Times New Roman" w:cs="Times New Roman"/>
          <w:sz w:val="24"/>
          <w:szCs w:val="24"/>
        </w:rPr>
        <w:t>University of Newcastle</w:t>
      </w:r>
    </w:p>
    <w:p w14:paraId="2C615714" w14:textId="77777777" w:rsidR="003333FD" w:rsidRDefault="003333FD" w:rsidP="003333FD">
      <w:pPr>
        <w:spacing w:line="480" w:lineRule="auto"/>
        <w:ind w:left="720"/>
        <w:rPr>
          <w:rFonts w:ascii="Times New Roman" w:hAnsi="Times New Roman" w:cs="Times New Roman"/>
          <w:sz w:val="24"/>
          <w:szCs w:val="24"/>
        </w:rPr>
      </w:pPr>
      <w:r w:rsidRPr="00715A92">
        <w:rPr>
          <w:rFonts w:ascii="Times New Roman" w:hAnsi="Times New Roman" w:cs="Times New Roman"/>
          <w:sz w:val="24"/>
          <w:szCs w:val="24"/>
        </w:rPr>
        <w:t>John Hunter Hospital</w:t>
      </w:r>
    </w:p>
    <w:p w14:paraId="2D5672D6" w14:textId="285C19C5" w:rsidR="003333FD" w:rsidRDefault="003333FD" w:rsidP="003333FD">
      <w:pPr>
        <w:spacing w:line="480" w:lineRule="auto"/>
        <w:ind w:left="720"/>
        <w:rPr>
          <w:rFonts w:ascii="Times New Roman" w:hAnsi="Times New Roman" w:cs="Times New Roman"/>
          <w:sz w:val="24"/>
          <w:szCs w:val="24"/>
        </w:rPr>
      </w:pPr>
      <w:r>
        <w:rPr>
          <w:rFonts w:ascii="Times New Roman" w:hAnsi="Times New Roman" w:cs="Times New Roman"/>
          <w:sz w:val="24"/>
          <w:szCs w:val="24"/>
        </w:rPr>
        <w:t>Newcastle Endoscopy Centre</w:t>
      </w:r>
    </w:p>
    <w:p w14:paraId="7055729B" w14:textId="191A8E8F" w:rsidR="003333FD" w:rsidRDefault="003333FD" w:rsidP="003333FD">
      <w:pPr>
        <w:spacing w:line="480" w:lineRule="auto"/>
        <w:ind w:left="720"/>
        <w:rPr>
          <w:rFonts w:ascii="Times New Roman" w:hAnsi="Times New Roman" w:cs="Times New Roman"/>
          <w:sz w:val="24"/>
          <w:szCs w:val="24"/>
        </w:rPr>
      </w:pPr>
    </w:p>
    <w:p w14:paraId="2ADBCD4E" w14:textId="4D5FFC81" w:rsidR="003333FD" w:rsidRDefault="003333FD" w:rsidP="003333FD">
      <w:pPr>
        <w:spacing w:line="480" w:lineRule="auto"/>
        <w:ind w:left="720"/>
        <w:rPr>
          <w:rFonts w:ascii="Times New Roman" w:hAnsi="Times New Roman" w:cs="Times New Roman"/>
          <w:sz w:val="24"/>
          <w:szCs w:val="24"/>
        </w:rPr>
      </w:pPr>
    </w:p>
    <w:p w14:paraId="1834F63D" w14:textId="20046F3B" w:rsidR="003333FD" w:rsidRPr="00715A92" w:rsidRDefault="00180173" w:rsidP="002D06BE">
      <w:pPr>
        <w:pStyle w:val="Heading1"/>
      </w:pPr>
      <w:r>
        <w:lastRenderedPageBreak/>
        <w:t xml:space="preserve">1. </w:t>
      </w:r>
      <w:r w:rsidR="003333FD" w:rsidRPr="00715A92">
        <w:t>OVERVIEW</w:t>
      </w:r>
    </w:p>
    <w:p w14:paraId="42D73D21" w14:textId="33031E68" w:rsidR="003333FD" w:rsidRPr="00715A92" w:rsidRDefault="00E17D1C" w:rsidP="002D06BE">
      <w:pPr>
        <w:pStyle w:val="Heading2"/>
      </w:pPr>
      <w:r>
        <w:t xml:space="preserve">1.2 </w:t>
      </w:r>
      <w:r w:rsidR="003333FD" w:rsidRPr="00715A92">
        <w:t xml:space="preserve">Crohn’s </w:t>
      </w:r>
      <w:r w:rsidR="002D06BE">
        <w:t>D</w:t>
      </w:r>
      <w:r w:rsidR="003333FD" w:rsidRPr="00715A92">
        <w:t>isease</w:t>
      </w:r>
    </w:p>
    <w:p w14:paraId="5650F2F4" w14:textId="261C7BA1" w:rsidR="003333FD" w:rsidRPr="00715A92" w:rsidRDefault="003333FD" w:rsidP="003333FD">
      <w:p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Crohn’s disease (CD) is a type of inflammatory bowel disease (IBD</w:t>
      </w:r>
      <w:r>
        <w:rPr>
          <w:rFonts w:ascii="Times New Roman" w:hAnsi="Times New Roman" w:cs="Times New Roman"/>
          <w:sz w:val="24"/>
          <w:szCs w:val="24"/>
        </w:rPr>
        <w:t>)</w:t>
      </w:r>
      <w:r w:rsidRPr="00715A92">
        <w:rPr>
          <w:rFonts w:ascii="Times New Roman" w:hAnsi="Times New Roman" w:cs="Times New Roman"/>
          <w:sz w:val="24"/>
          <w:szCs w:val="24"/>
        </w:rPr>
        <w:t xml:space="preserve"> characterised by chronic inflammation that can affect any part of the gastrointestinal tract, leading to a range of symptoms including abdominal pain, diarrhea, fatigue, reduced appetite, and weight loss </w:t>
      </w:r>
      <w:r w:rsidRPr="00715A92">
        <w:rPr>
          <w:rFonts w:ascii="Times New Roman" w:hAnsi="Times New Roman" w:cs="Times New Roman"/>
          <w:sz w:val="24"/>
          <w:szCs w:val="24"/>
        </w:rPr>
        <w:fldChar w:fldCharType="begin"/>
      </w:r>
      <w:r w:rsidR="000879A2">
        <w:rPr>
          <w:rFonts w:ascii="Times New Roman" w:hAnsi="Times New Roman" w:cs="Times New Roman"/>
          <w:sz w:val="24"/>
          <w:szCs w:val="24"/>
        </w:rPr>
        <w:instrText xml:space="preserve"> ADDIN EN.CITE &lt;EndNote&gt;&lt;Cite&gt;&lt;Author&gt;Ha&lt;/Author&gt;&lt;Year&gt;2015&lt;/Year&gt;&lt;RecNum&gt;40&lt;/RecNum&gt;&lt;DisplayText&gt;(1)&lt;/DisplayText&gt;&lt;record&gt;&lt;rec-number&gt;40&lt;/rec-number&gt;&lt;foreign-keys&gt;&lt;key app="EN" db-id="v9fsxr0xzazsaeefp295v5pjt5p2rwr2vv05" timestamp="1619483637" guid="31f264b7-4c4c-4b98-9d95-a90bde0f79ac"&gt;40&lt;/key&gt;&lt;/foreign-keys&gt;&lt;ref-type name="Journal Article"&gt;17&lt;/ref-type&gt;&lt;contributors&gt;&lt;authors&gt;&lt;author&gt;Ha, Francis&lt;/author&gt;&lt;author&gt;Khalil, Hanan&lt;/author&gt;&lt;/authors&gt;&lt;/contributors&gt;&lt;titles&gt;&lt;title&gt;Crohn’s disease: a clinical update&lt;/title&gt;&lt;secondary-title&gt;Therapeutic advances in gastroenterology&lt;/secondary-title&gt;&lt;/titles&gt;&lt;pages&gt;352-359&lt;/pages&gt;&lt;volume&gt;8&lt;/volume&gt;&lt;number&gt;6&lt;/number&gt;&lt;dates&gt;&lt;year&gt;2015&lt;/year&gt;&lt;/dates&gt;&lt;isbn&gt;1756-283X&lt;/isbn&gt;&lt;urls&gt;&lt;/urls&gt;&lt;/record&gt;&lt;/Cite&gt;&lt;/EndNote&gt;</w:instrText>
      </w:r>
      <w:r w:rsidRPr="00715A92">
        <w:rPr>
          <w:rFonts w:ascii="Times New Roman" w:hAnsi="Times New Roman" w:cs="Times New Roman"/>
          <w:sz w:val="24"/>
          <w:szCs w:val="24"/>
        </w:rPr>
        <w:fldChar w:fldCharType="separate"/>
      </w:r>
      <w:r w:rsidRPr="00715A92">
        <w:rPr>
          <w:rFonts w:ascii="Times New Roman" w:hAnsi="Times New Roman" w:cs="Times New Roman"/>
          <w:noProof/>
          <w:sz w:val="24"/>
          <w:szCs w:val="24"/>
        </w:rPr>
        <w:t>(1)</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xml:space="preserve"> </w:t>
      </w:r>
      <w:r>
        <w:rPr>
          <w:rFonts w:ascii="Times New Roman" w:hAnsi="Times New Roman" w:cs="Times New Roman"/>
          <w:sz w:val="24"/>
          <w:szCs w:val="24"/>
        </w:rPr>
        <w:t>with</w:t>
      </w:r>
      <w:r w:rsidRPr="00715A92">
        <w:rPr>
          <w:rFonts w:ascii="Times New Roman" w:hAnsi="Times New Roman" w:cs="Times New Roman"/>
          <w:sz w:val="24"/>
          <w:szCs w:val="24"/>
        </w:rPr>
        <w:t xml:space="preserve"> negative impacts on quality of life and work productivity </w:t>
      </w:r>
      <w:r w:rsidRPr="00715A92">
        <w:rPr>
          <w:rFonts w:ascii="Times New Roman" w:hAnsi="Times New Roman" w:cs="Times New Roman"/>
          <w:sz w:val="24"/>
          <w:szCs w:val="24"/>
        </w:rPr>
        <w:fldChar w:fldCharType="begin"/>
      </w:r>
      <w:r w:rsidR="000879A2">
        <w:rPr>
          <w:rFonts w:ascii="Times New Roman" w:hAnsi="Times New Roman" w:cs="Times New Roman"/>
          <w:sz w:val="24"/>
          <w:szCs w:val="24"/>
        </w:rPr>
        <w:instrText xml:space="preserve"> ADDIN EN.CITE &lt;EndNote&gt;&lt;Cite&gt;&lt;Author&gt;Barberio&lt;/Author&gt;&lt;Year&gt;2021&lt;/Year&gt;&lt;RecNum&gt;39&lt;/RecNum&gt;&lt;DisplayText&gt;(2)&lt;/DisplayText&gt;&lt;record&gt;&lt;rec-number&gt;39&lt;/rec-number&gt;&lt;foreign-keys&gt;&lt;key app="EN" db-id="v9fsxr0xzazsaeefp295v5pjt5p2rwr2vv05" timestamp="1619482984" guid="741e10e3-8271-402c-a832-732e438e7b56"&gt;39&lt;/key&gt;&lt;/foreign-keys&gt;&lt;ref-type name="Journal Article"&gt;17&lt;/ref-type&gt;&lt;contributors&gt;&lt;authors&gt;&lt;author&gt;Barberio, Brigida&lt;/author&gt;&lt;author&gt;Zamani, Mohammad&lt;/author&gt;&lt;author&gt;Black, Christopher J&lt;/author&gt;&lt;author&gt;Savarino, Edoardo V&lt;/author&gt;&lt;author&gt;Ford, Alexander C&lt;/author&gt;&lt;/authors&gt;&lt;/contributors&gt;&lt;titles&gt;&lt;title&gt;Prevalence of symptoms of anxiety and depression in patients with inflammatory bowel disease: a systematic review and meta-analysis&lt;/title&gt;&lt;secondary-title&gt;The Lancet Gastroenterology &amp;amp; Hepatology&lt;/secondary-title&gt;&lt;/titles&gt;&lt;dates&gt;&lt;year&gt;2021&lt;/year&gt;&lt;/dates&gt;&lt;isbn&gt;2468-1253&lt;/isbn&gt;&lt;urls&gt;&lt;/urls&gt;&lt;/record&gt;&lt;/Cite&gt;&lt;/EndNote&gt;</w:instrText>
      </w:r>
      <w:r w:rsidRPr="00715A92">
        <w:rPr>
          <w:rFonts w:ascii="Times New Roman" w:hAnsi="Times New Roman" w:cs="Times New Roman"/>
          <w:sz w:val="24"/>
          <w:szCs w:val="24"/>
        </w:rPr>
        <w:fldChar w:fldCharType="separate"/>
      </w:r>
      <w:r w:rsidRPr="00715A92">
        <w:rPr>
          <w:rFonts w:ascii="Times New Roman" w:hAnsi="Times New Roman" w:cs="Times New Roman"/>
          <w:noProof/>
          <w:sz w:val="24"/>
          <w:szCs w:val="24"/>
        </w:rPr>
        <w:t>(2)</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In Australia, an estimated 80, 000</w:t>
      </w:r>
      <w:r>
        <w:rPr>
          <w:rFonts w:ascii="Times New Roman" w:hAnsi="Times New Roman" w:cs="Times New Roman"/>
          <w:sz w:val="24"/>
          <w:szCs w:val="24"/>
        </w:rPr>
        <w:t xml:space="preserve"> adults and children </w:t>
      </w:r>
      <w:r w:rsidRPr="00715A92">
        <w:rPr>
          <w:rFonts w:ascii="Times New Roman" w:hAnsi="Times New Roman" w:cs="Times New Roman"/>
          <w:sz w:val="24"/>
          <w:szCs w:val="24"/>
        </w:rPr>
        <w:t xml:space="preserve">are living with IBD and this incidence is projected to rise </w:t>
      </w:r>
      <w:r w:rsidRPr="00715A92">
        <w:rPr>
          <w:rFonts w:ascii="Times New Roman" w:hAnsi="Times New Roman" w:cs="Times New Roman"/>
          <w:sz w:val="24"/>
          <w:szCs w:val="24"/>
        </w:rPr>
        <w:fldChar w:fldCharType="begin"/>
      </w:r>
      <w:r w:rsidR="000879A2">
        <w:rPr>
          <w:rFonts w:ascii="Times New Roman" w:hAnsi="Times New Roman" w:cs="Times New Roman"/>
          <w:sz w:val="24"/>
          <w:szCs w:val="24"/>
        </w:rPr>
        <w:instrText xml:space="preserve"> ADDIN EN.CITE &lt;EndNote&gt;&lt;Cite&gt;&lt;Author&gt;Australia&lt;/Author&gt;&lt;Year&gt;2013&lt;/Year&gt;&lt;RecNum&gt;38&lt;/RecNum&gt;&lt;DisplayText&gt;(3)&lt;/DisplayText&gt;&lt;record&gt;&lt;rec-number&gt;38&lt;/rec-number&gt;&lt;foreign-keys&gt;&lt;key app="EN" db-id="v9fsxr0xzazsaeefp295v5pjt5p2rwr2vv05" timestamp="1619482670" guid="643ed5d8-c6b8-4648-a5ae-5df3d6a19aa6"&gt;38&lt;/key&gt;&lt;/foreign-keys&gt;&lt;ref-type name="Report"&gt;27&lt;/ref-type&gt;&lt;contributors&gt;&lt;authors&gt;&lt;author&gt;PricewaterhouseCoopers (PwC) Australia&lt;/author&gt;&lt;/authors&gt;&lt;/contributors&gt;&lt;titles&gt;&lt;title&gt;Improving Inflammatory Bowel Disease care across Australia&lt;/title&gt;&lt;/titles&gt;&lt;dates&gt;&lt;year&gt;2013&lt;/year&gt;&lt;/dates&gt;&lt;urls&gt;&lt;/urls&gt;&lt;/record&gt;&lt;/Cite&gt;&lt;/EndNote&gt;</w:instrText>
      </w:r>
      <w:r w:rsidRPr="00715A92">
        <w:rPr>
          <w:rFonts w:ascii="Times New Roman" w:hAnsi="Times New Roman" w:cs="Times New Roman"/>
          <w:sz w:val="24"/>
          <w:szCs w:val="24"/>
        </w:rPr>
        <w:fldChar w:fldCharType="separate"/>
      </w:r>
      <w:r w:rsidRPr="00715A92">
        <w:rPr>
          <w:rFonts w:ascii="Times New Roman" w:hAnsi="Times New Roman" w:cs="Times New Roman"/>
          <w:noProof/>
          <w:sz w:val="24"/>
          <w:szCs w:val="24"/>
        </w:rPr>
        <w:t>(3)</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xml:space="preserve">. The burden associated with IBD is high, incurring approximately $2.7 billion in financial and economic costs annually </w:t>
      </w:r>
      <w:r w:rsidRPr="00715A92">
        <w:rPr>
          <w:rFonts w:ascii="Times New Roman" w:hAnsi="Times New Roman" w:cs="Times New Roman"/>
          <w:sz w:val="24"/>
          <w:szCs w:val="24"/>
        </w:rPr>
        <w:fldChar w:fldCharType="begin"/>
      </w:r>
      <w:r w:rsidR="000879A2">
        <w:rPr>
          <w:rFonts w:ascii="Times New Roman" w:hAnsi="Times New Roman" w:cs="Times New Roman"/>
          <w:sz w:val="24"/>
          <w:szCs w:val="24"/>
        </w:rPr>
        <w:instrText xml:space="preserve"> ADDIN EN.CITE &lt;EndNote&gt;&lt;Cite&gt;&lt;Author&gt;(ACCA)&lt;/Author&gt;&lt;Year&gt;2007&lt;/Year&gt;&lt;RecNum&gt;37&lt;/RecNum&gt;&lt;DisplayText&gt;(4)&lt;/DisplayText&gt;&lt;record&gt;&lt;rec-number&gt;37&lt;/rec-number&gt;&lt;foreign-keys&gt;&lt;key app="EN" db-id="v9fsxr0xzazsaeefp295v5pjt5p2rwr2vv05" timestamp="1619481738" guid="c54f56ff-29c8-41b7-868a-492d60000329"&gt;37&lt;/key&gt;&lt;/foreign-keys&gt;&lt;ref-type name="Report"&gt;27&lt;/ref-type&gt;&lt;contributors&gt;&lt;authors&gt;&lt;author&gt;Australian Crohn&amp;apos;s and Colitis Association (ACCA)&lt;/author&gt;&lt;/authors&gt;&lt;tertiary-authors&gt;&lt;author&gt;Access Economics&lt;/author&gt;&lt;/tertiary-authors&gt;&lt;/contributors&gt;&lt;titles&gt;&lt;title&gt;The Economic Costs of Crohn&amp;apos;s Disease and Ulcerative Colitis&lt;/title&gt;&lt;/titles&gt;&lt;dates&gt;&lt;year&gt;2007&lt;/year&gt;&lt;/dates&gt;&lt;urls&gt;&lt;/urls&gt;&lt;/record&gt;&lt;/Cite&gt;&lt;/EndNote&gt;</w:instrText>
      </w:r>
      <w:r w:rsidRPr="00715A92">
        <w:rPr>
          <w:rFonts w:ascii="Times New Roman" w:hAnsi="Times New Roman" w:cs="Times New Roman"/>
          <w:sz w:val="24"/>
          <w:szCs w:val="24"/>
        </w:rPr>
        <w:fldChar w:fldCharType="separate"/>
      </w:r>
      <w:r w:rsidRPr="00715A92">
        <w:rPr>
          <w:rFonts w:ascii="Times New Roman" w:hAnsi="Times New Roman" w:cs="Times New Roman"/>
          <w:noProof/>
          <w:sz w:val="24"/>
          <w:szCs w:val="24"/>
        </w:rPr>
        <w:t>(4)</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Whi</w:t>
      </w:r>
      <w:r>
        <w:rPr>
          <w:rFonts w:ascii="Times New Roman" w:hAnsi="Times New Roman" w:cs="Times New Roman"/>
          <w:sz w:val="24"/>
          <w:szCs w:val="24"/>
        </w:rPr>
        <w:t>le</w:t>
      </w:r>
      <w:r w:rsidRPr="00715A92">
        <w:rPr>
          <w:rFonts w:ascii="Times New Roman" w:hAnsi="Times New Roman" w:cs="Times New Roman"/>
          <w:sz w:val="24"/>
          <w:szCs w:val="24"/>
        </w:rPr>
        <w:t xml:space="preserve"> the disorder is known to have a genetic predisposition, epidemiological studies have implicated several environmental factors in the pathogenesis of CD, and diet is considered as one of the major drivers of the disease </w:t>
      </w:r>
      <w:r w:rsidRPr="00715A92">
        <w:rPr>
          <w:rFonts w:ascii="Times New Roman" w:hAnsi="Times New Roman" w:cs="Times New Roman"/>
          <w:sz w:val="24"/>
          <w:szCs w:val="24"/>
        </w:rPr>
        <w:fldChar w:fldCharType="begin"/>
      </w:r>
      <w:r w:rsidR="000879A2">
        <w:rPr>
          <w:rFonts w:ascii="Times New Roman" w:hAnsi="Times New Roman" w:cs="Times New Roman"/>
          <w:sz w:val="24"/>
          <w:szCs w:val="24"/>
        </w:rPr>
        <w:instrText xml:space="preserve"> ADDIN EN.CITE &lt;EndNote&gt;&lt;Cite&gt;&lt;Author&gt;Lee&lt;/Author&gt;&lt;Year&gt;2015&lt;/Year&gt;&lt;RecNum&gt;1&lt;/RecNum&gt;&lt;DisplayText&gt;(5)&lt;/DisplayText&gt;&lt;record&gt;&lt;rec-number&gt;1&lt;/rec-number&gt;&lt;foreign-keys&gt;&lt;key app="EN" db-id="v9fsxr0xzazsaeefp295v5pjt5p2rwr2vv05" timestamp="1619434722" guid="0ae8a4ae-3db5-4e94-b5c4-c2aa271595c5"&gt;1&lt;/key&gt;&lt;/foreign-keys&gt;&lt;ref-type name="Journal Article"&gt;17&lt;/ref-type&gt;&lt;contributors&gt;&lt;authors&gt;&lt;author&gt;Lee, Dale&lt;/author&gt;&lt;author&gt;Albenberg, Lindsey&lt;/author&gt;&lt;author&gt;Compher, Charlene&lt;/author&gt;&lt;author&gt;Baldassano, Robert&lt;/author&gt;&lt;author&gt;Piccoli, David&lt;/author&gt;&lt;author&gt;Lewis, James D&lt;/author&gt;&lt;author&gt;Wu, Gary D&lt;/author&gt;&lt;/authors&gt;&lt;/contributors&gt;&lt;titles&gt;&lt;title&gt;Diet in the pathogenesis and treatment of inflammatory bowel diseases&lt;/title&gt;&lt;secondary-title&gt;Gastroenterology&lt;/secondary-title&gt;&lt;/titles&gt;&lt;pages&gt;1087-1106&lt;/pages&gt;&lt;volume&gt;148&lt;/volume&gt;&lt;number&gt;6&lt;/number&gt;&lt;dates&gt;&lt;year&gt;2015&lt;/year&gt;&lt;/dates&gt;&lt;isbn&gt;0016-5085&lt;/isbn&gt;&lt;urls&gt;&lt;/urls&gt;&lt;/record&gt;&lt;/Cite&gt;&lt;/EndNote&gt;</w:instrText>
      </w:r>
      <w:r w:rsidRPr="00715A92">
        <w:rPr>
          <w:rFonts w:ascii="Times New Roman" w:hAnsi="Times New Roman" w:cs="Times New Roman"/>
          <w:sz w:val="24"/>
          <w:szCs w:val="24"/>
        </w:rPr>
        <w:fldChar w:fldCharType="separate"/>
      </w:r>
      <w:r w:rsidRPr="00715A92">
        <w:rPr>
          <w:rFonts w:ascii="Times New Roman" w:hAnsi="Times New Roman" w:cs="Times New Roman"/>
          <w:noProof/>
          <w:sz w:val="24"/>
          <w:szCs w:val="24"/>
        </w:rPr>
        <w:t>(5)</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134D3E2" w14:textId="217354C6" w:rsidR="00DA4B32" w:rsidRDefault="00DA4B32" w:rsidP="00DA4B3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Recent surveys have revealed that more than half of IBD patients believe that diet plays an important role in triggering relapse</w:t>
      </w:r>
      <w:r w:rsidR="00D733B1">
        <w:rPr>
          <w:rFonts w:ascii="Times New Roman" w:eastAsia="Times New Roman" w:hAnsi="Times New Roman" w:cs="Times New Roman"/>
          <w:sz w:val="24"/>
          <w:szCs w:val="24"/>
        </w:rPr>
        <w:t xml:space="preserve"> </w:t>
      </w:r>
      <w:r w:rsidR="00D733B1">
        <w:rPr>
          <w:rFonts w:ascii="Times New Roman" w:eastAsia="Times New Roman" w:hAnsi="Times New Roman" w:cs="Times New Roman"/>
          <w:sz w:val="24"/>
          <w:szCs w:val="24"/>
        </w:rPr>
        <w:fldChar w:fldCharType="begin"/>
      </w:r>
      <w:r w:rsidR="00D733B1">
        <w:rPr>
          <w:rFonts w:ascii="Times New Roman" w:eastAsia="Times New Roman" w:hAnsi="Times New Roman" w:cs="Times New Roman"/>
          <w:sz w:val="24"/>
          <w:szCs w:val="24"/>
        </w:rPr>
        <w:instrText xml:space="preserve"> ADDIN EN.CITE &lt;EndNote&gt;&lt;Cite&gt;&lt;Author&gt;Holt&lt;/Author&gt;&lt;Year&gt;2017&lt;/Year&gt;&lt;RecNum&gt;16&lt;/RecNum&gt;&lt;DisplayText&gt;(6)&lt;/DisplayText&gt;&lt;record&gt;&lt;rec-number&gt;16&lt;/rec-number&gt;&lt;foreign-keys&gt;&lt;key app="EN" db-id="v9fsxr0xzazsaeefp295v5pjt5p2rwr2vv05" timestamp="1619438995" guid="956cefba-78ab-4961-ab44-3819581f23d7"&gt;16&lt;/key&gt;&lt;/foreign-keys&gt;&lt;ref-type name="Journal Article"&gt;17&lt;/ref-type&gt;&lt;contributors&gt;&lt;authors&gt;&lt;author&gt;Holt, DQ&lt;/author&gt;&lt;author&gt;Strauss, BJ&lt;/author&gt;&lt;author&gt;Moore, GT&lt;/author&gt;&lt;/authors&gt;&lt;/contributors&gt;&lt;titles&gt;&lt;title&gt;Patients with inflammatory bowel disease and their treating clinicians have different views regarding diet&lt;/title&gt;&lt;secondary-title&gt;Journal of Human Nutrition and Dietetics&lt;/secondary-title&gt;&lt;/titles&gt;&lt;pages&gt;66-72&lt;/pages&gt;&lt;volume&gt;30&lt;/volume&gt;&lt;number&gt;1&lt;/number&gt;&lt;dates&gt;&lt;year&gt;2017&lt;/year&gt;&lt;/dates&gt;&lt;isbn&gt;0952-3871&lt;/isbn&gt;&lt;urls&gt;&lt;/urls&gt;&lt;/record&gt;&lt;/Cite&gt;&lt;/EndNote&gt;</w:instrText>
      </w:r>
      <w:r w:rsidR="00D733B1">
        <w:rPr>
          <w:rFonts w:ascii="Times New Roman" w:eastAsia="Times New Roman" w:hAnsi="Times New Roman" w:cs="Times New Roman"/>
          <w:sz w:val="24"/>
          <w:szCs w:val="24"/>
        </w:rPr>
        <w:fldChar w:fldCharType="separate"/>
      </w:r>
      <w:r w:rsidR="00D733B1">
        <w:rPr>
          <w:rFonts w:ascii="Times New Roman" w:eastAsia="Times New Roman" w:hAnsi="Times New Roman" w:cs="Times New Roman"/>
          <w:noProof/>
          <w:sz w:val="24"/>
          <w:szCs w:val="24"/>
        </w:rPr>
        <w:t>(6)</w:t>
      </w:r>
      <w:r w:rsidR="00D733B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However, despite strong patient interest in diet, the lack of</w:t>
      </w:r>
      <w:r w:rsidRPr="00A869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knowledge among healthcare professionals and credible scientific evidence to support dietary recommendations has led patients to seek information from other sources including lay literature and the internet to address their unmet information needs, leading to self-imposed dietary restrictions with consequent adverse effects such as malnutrition and/or exacerbation of symptoms</w:t>
      </w:r>
      <w:r w:rsidR="003C0425">
        <w:rPr>
          <w:rFonts w:ascii="Times New Roman" w:eastAsia="Times New Roman" w:hAnsi="Times New Roman" w:cs="Times New Roman"/>
          <w:sz w:val="24"/>
          <w:szCs w:val="24"/>
        </w:rPr>
        <w:t xml:space="preserve"> </w:t>
      </w:r>
      <w:r w:rsidR="003C0425">
        <w:rPr>
          <w:rFonts w:ascii="Times New Roman" w:eastAsia="Times New Roman" w:hAnsi="Times New Roman" w:cs="Times New Roman"/>
          <w:sz w:val="24"/>
          <w:szCs w:val="24"/>
        </w:rPr>
        <w:fldChar w:fldCharType="begin"/>
      </w:r>
      <w:r w:rsidR="003C0425">
        <w:rPr>
          <w:rFonts w:ascii="Times New Roman" w:eastAsia="Times New Roman" w:hAnsi="Times New Roman" w:cs="Times New Roman"/>
          <w:sz w:val="24"/>
          <w:szCs w:val="24"/>
        </w:rPr>
        <w:instrText xml:space="preserve"> ADDIN EN.CITE &lt;EndNote&gt;&lt;Cite&gt;&lt;Author&gt;Limdi&lt;/Author&gt;&lt;Year&gt;2016&lt;/Year&gt;&lt;RecNum&gt;91&lt;/RecNum&gt;&lt;DisplayText&gt;(7)&lt;/DisplayText&gt;&lt;record&gt;&lt;rec-number&gt;91&lt;/rec-number&gt;&lt;foreign-keys&gt;&lt;key app="EN" db-id="v9fsxr0xzazsaeefp295v5pjt5p2rwr2vv05" timestamp="1629782362" guid="1b8ce3b3-43cc-4126-b836-446b2a1fec75"&gt;91&lt;/key&gt;&lt;/foreign-keys&gt;&lt;ref-type name="Journal Article"&gt;17&lt;/ref-type&gt;&lt;contributors&gt;&lt;authors&gt;&lt;author&gt;Limdi, Jimmy K&lt;/author&gt;&lt;author&gt;Aggarwal, Divya&lt;/author&gt;&lt;author&gt;McLaughlin, John T&lt;/author&gt;&lt;/authors&gt;&lt;/contributors&gt;&lt;titles&gt;&lt;title&gt;Dietary practices and beliefs in patients with inflammatory bowel disease&lt;/title&gt;&lt;secondary-title&gt;Inflammatory bowel diseases&lt;/secondary-title&gt;&lt;/titles&gt;&lt;periodical&gt;&lt;full-title&gt;Inflammatory bowel diseases&lt;/full-title&gt;&lt;/periodical&gt;&lt;pages&gt;164-170&lt;/pages&gt;&lt;volume&gt;22&lt;/volume&gt;&lt;number&gt;1&lt;/number&gt;&lt;dates&gt;&lt;year&gt;2016&lt;/year&gt;&lt;/dates&gt;&lt;isbn&gt;1078-0998&lt;/isbn&gt;&lt;urls&gt;&lt;/urls&gt;&lt;/record&gt;&lt;/Cite&gt;&lt;/EndNote&gt;</w:instrText>
      </w:r>
      <w:r w:rsidR="003C0425">
        <w:rPr>
          <w:rFonts w:ascii="Times New Roman" w:eastAsia="Times New Roman" w:hAnsi="Times New Roman" w:cs="Times New Roman"/>
          <w:sz w:val="24"/>
          <w:szCs w:val="24"/>
        </w:rPr>
        <w:fldChar w:fldCharType="separate"/>
      </w:r>
      <w:r w:rsidR="003C0425">
        <w:rPr>
          <w:rFonts w:ascii="Times New Roman" w:eastAsia="Times New Roman" w:hAnsi="Times New Roman" w:cs="Times New Roman"/>
          <w:noProof/>
          <w:sz w:val="24"/>
          <w:szCs w:val="24"/>
        </w:rPr>
        <w:t>(7)</w:t>
      </w:r>
      <w:r w:rsidR="003C042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study found that over half of patients appear to modify their diet after diagnosis of IBD to ameliorate symptoms and prevent </w:t>
      </w:r>
      <w:r w:rsidRPr="008148CE">
        <w:rPr>
          <w:rFonts w:ascii="Times New Roman" w:eastAsia="Times New Roman" w:hAnsi="Times New Roman" w:cs="Times New Roman"/>
          <w:sz w:val="24"/>
          <w:szCs w:val="24"/>
        </w:rPr>
        <w:t>relapse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sidR="00D733B1">
        <w:rPr>
          <w:rFonts w:ascii="Times New Roman" w:eastAsia="Times New Roman" w:hAnsi="Times New Roman" w:cs="Times New Roman"/>
          <w:sz w:val="24"/>
          <w:szCs w:val="24"/>
        </w:rPr>
        <w:instrText xml:space="preserve"> ADDIN EN.CITE &lt;EndNote&gt;&lt;Cite&gt;&lt;Author&gt;Limdi&lt;/Author&gt;&lt;Year&gt;2016&lt;/Year&gt;&lt;RecNum&gt;91&lt;/RecNum&gt;&lt;DisplayText&gt;(7)&lt;/DisplayText&gt;&lt;record&gt;&lt;rec-number&gt;91&lt;/rec-number&gt;&lt;foreign-keys&gt;&lt;key app="EN" db-id="v9fsxr0xzazsaeefp295v5pjt5p2rwr2vv05" timestamp="1629782362" guid="1b8ce3b3-43cc-4126-b836-446b2a1fec75"&gt;91&lt;/key&gt;&lt;/foreign-keys&gt;&lt;ref-type name="Journal Article"&gt;17&lt;/ref-type&gt;&lt;contributors&gt;&lt;authors&gt;&lt;author&gt;Limdi, Jimmy K&lt;/author&gt;&lt;author&gt;Aggarwal, Divya&lt;/author&gt;&lt;author&gt;McLaughlin, John T&lt;/author&gt;&lt;/authors&gt;&lt;/contributors&gt;&lt;titles&gt;&lt;title&gt;Dietary practices and beliefs in patients with inflammatory bowel disease&lt;/title&gt;&lt;secondary-title&gt;Inflammatory bowel diseases&lt;/secondary-title&gt;&lt;/titles&gt;&lt;periodical&gt;&lt;full-title&gt;Inflammatory bowel diseases&lt;/full-title&gt;&lt;/periodical&gt;&lt;pages&gt;164-170&lt;/pages&gt;&lt;volume&gt;22&lt;/volume&gt;&lt;number&gt;1&lt;/number&gt;&lt;dates&gt;&lt;year&gt;2016&lt;/year&gt;&lt;/dates&gt;&lt;isbn&gt;1078-0998&lt;/isbn&gt;&lt;urls&gt;&lt;/urls&gt;&lt;/record&gt;&lt;/Cite&gt;&lt;/EndNote&gt;</w:instrText>
      </w:r>
      <w:r>
        <w:rPr>
          <w:rFonts w:ascii="Times New Roman" w:eastAsia="Times New Roman" w:hAnsi="Times New Roman" w:cs="Times New Roman"/>
          <w:sz w:val="24"/>
          <w:szCs w:val="24"/>
        </w:rPr>
        <w:fldChar w:fldCharType="separate"/>
      </w:r>
      <w:r w:rsidR="00D733B1">
        <w:rPr>
          <w:rFonts w:ascii="Times New Roman" w:eastAsia="Times New Roman" w:hAnsi="Times New Roman" w:cs="Times New Roman"/>
          <w:noProof/>
          <w:sz w:val="24"/>
          <w:szCs w:val="24"/>
        </w:rPr>
        <w:t>(7)</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However, many proposed diets involve elimination of specific foods or food groups which may be very restrictive and difficult to follow. Popular diets include specific carbohydrate diet (SCD), anti-inflammatory diet (inflammatory bowel disease anti-inflammatory diet (IBD-AID)), paleolithic diet, gluten-free diet (GFD) and low fermentable oligosaccharide, disaccharide, monosaccharide, and polyol</w:t>
      </w:r>
      <w:r w:rsidRPr="00E947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(FODMAP) </w:t>
      </w:r>
      <w:r w:rsidRPr="008148CE">
        <w:rPr>
          <w:rFonts w:ascii="Times New Roman" w:eastAsia="Times New Roman" w:hAnsi="Times New Roman" w:cs="Times New Roman"/>
          <w:sz w:val="24"/>
          <w:szCs w:val="24"/>
        </w:rPr>
        <w:t>diet</w:t>
      </w:r>
      <w:r w:rsidR="000879A2">
        <w:rPr>
          <w:rFonts w:ascii="Times New Roman" w:eastAsia="Times New Roman" w:hAnsi="Times New Roman" w:cs="Times New Roman"/>
          <w:sz w:val="24"/>
          <w:szCs w:val="24"/>
        </w:rPr>
        <w:t xml:space="preserve"> </w:t>
      </w:r>
      <w:r w:rsidR="00D733B1">
        <w:rPr>
          <w:rFonts w:ascii="Times New Roman" w:eastAsia="Times New Roman" w:hAnsi="Times New Roman" w:cs="Times New Roman"/>
          <w:sz w:val="24"/>
          <w:szCs w:val="24"/>
        </w:rPr>
        <w:fldChar w:fldCharType="begin"/>
      </w:r>
      <w:r w:rsidR="003C0425">
        <w:rPr>
          <w:rFonts w:ascii="Times New Roman" w:eastAsia="Times New Roman" w:hAnsi="Times New Roman" w:cs="Times New Roman"/>
          <w:sz w:val="24"/>
          <w:szCs w:val="24"/>
        </w:rPr>
        <w:instrText xml:space="preserve"> ADDIN EN.CITE &lt;EndNote&gt;&lt;Cite&gt;&lt;Author&gt;Larussa&lt;/Author&gt;&lt;Year&gt;2019&lt;/Year&gt;&lt;RecNum&gt;92&lt;/RecNum&gt;&lt;DisplayText&gt;(8)&lt;/DisplayText&gt;&lt;record&gt;&lt;rec-number&gt;92&lt;/rec-number&gt;&lt;foreign-keys&gt;&lt;key app="EN" db-id="v9fsxr0xzazsaeefp295v5pjt5p2rwr2vv05" timestamp="1629804154" guid="d76a389a-d8be-449a-9482-6341330b708b"&gt;92&lt;/key&gt;&lt;/foreign-keys&gt;&lt;ref-type name="Journal Article"&gt;17&lt;/ref-type&gt;&lt;contributors&gt;&lt;authors&gt;&lt;author&gt;Larussa, Tiziana&lt;/author&gt;&lt;author&gt;Suraci, Evelina&lt;/author&gt;&lt;author&gt;Marasco, Raffaella&lt;/author&gt;&lt;author&gt;Imeneo, Maria&lt;/author&gt;&lt;author&gt;Abenavoli, Ludovico&lt;/author&gt;&lt;author&gt;Luzza, Francesco&lt;/author&gt;&lt;/authors&gt;&lt;/contributors&gt;&lt;titles&gt;&lt;title&gt;Self-prescribed dietary restrictions are common in inflammatory bowel disease patients and are associated with low bone mineralization&lt;/title&gt;&lt;secondary-title&gt;Medicina&lt;/secondary-title&gt;&lt;/titles&gt;&lt;periodical&gt;&lt;full-title&gt;Medicina&lt;/full-title&gt;&lt;/periodical&gt;&lt;pages&gt;507&lt;/pages&gt;&lt;volume&gt;55&lt;/volume&gt;&lt;number&gt;8&lt;/number&gt;&lt;dates&gt;&lt;year&gt;2019&lt;/year&gt;&lt;/dates&gt;&lt;urls&gt;&lt;/urls&gt;&lt;/record&gt;&lt;/Cite&gt;&lt;/EndNote&gt;</w:instrText>
      </w:r>
      <w:r w:rsidR="00D733B1">
        <w:rPr>
          <w:rFonts w:ascii="Times New Roman" w:eastAsia="Times New Roman" w:hAnsi="Times New Roman" w:cs="Times New Roman"/>
          <w:sz w:val="24"/>
          <w:szCs w:val="24"/>
        </w:rPr>
        <w:fldChar w:fldCharType="separate"/>
      </w:r>
      <w:r w:rsidR="00D733B1">
        <w:rPr>
          <w:rFonts w:ascii="Times New Roman" w:eastAsia="Times New Roman" w:hAnsi="Times New Roman" w:cs="Times New Roman"/>
          <w:noProof/>
          <w:sz w:val="24"/>
          <w:szCs w:val="24"/>
        </w:rPr>
        <w:t>(8)</w:t>
      </w:r>
      <w:r w:rsidR="00D733B1">
        <w:rPr>
          <w:rFonts w:ascii="Times New Roman" w:eastAsia="Times New Roman" w:hAnsi="Times New Roman" w:cs="Times New Roman"/>
          <w:sz w:val="24"/>
          <w:szCs w:val="24"/>
        </w:rPr>
        <w:fldChar w:fldCharType="end"/>
      </w:r>
      <w:r w:rsidR="00D733B1">
        <w:rPr>
          <w:rFonts w:ascii="Times New Roman" w:eastAsia="Times New Roman" w:hAnsi="Times New Roman" w:cs="Times New Roman"/>
          <w:sz w:val="24"/>
          <w:szCs w:val="24"/>
        </w:rPr>
        <w:t xml:space="preserve">. </w:t>
      </w:r>
    </w:p>
    <w:p w14:paraId="2D4FCEAC" w14:textId="3A2D7250" w:rsidR="003333FD" w:rsidRPr="00715A92" w:rsidRDefault="003333FD" w:rsidP="003333FD">
      <w:p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lastRenderedPageBreak/>
        <w:t xml:space="preserve">The onset of CD has been strongly associated in observational studies with a ‘Western diet’ pattern, which is typically characterised by a high consumption of animal fats and protein and processed foods, with low intake of fibre from fruits and vegetables. Diets high in fruit and vegetables have been shown to be protective </w:t>
      </w:r>
      <w:r w:rsidRPr="00715A92">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&lt;EndNote&gt;&lt;Cite&gt;&lt;Author&gt;Lewis&lt;/Author&gt;&lt;Year&gt;2017&lt;/Year&gt;&lt;RecNum&gt;15&lt;/RecNum&gt;&lt;DisplayText&gt;(9)&lt;/DisplayText&gt;&lt;record&gt;&lt;rec-number&gt;15&lt;/rec-number&gt;&lt;foreign-keys&gt;&lt;key app="EN" db-id="v9fsxr0xzazsaeefp295v5pjt5p2rwr2vv05" timestamp="1619438770" guid="7da03fb6-cbad-42b6-8a03-ed62cddac51d"&gt;15&lt;/key&gt;&lt;/foreign-keys&gt;&lt;ref-type name="Journal Article"&gt;17&lt;/ref-type&gt;&lt;contributors&gt;&lt;authors&gt;&lt;author&gt;Lewis, James D&lt;/author&gt;&lt;author&gt;Abreu, Maria T&lt;/author&gt;&lt;/authors&gt;&lt;/contributors&gt;&lt;titles&gt;&lt;title&gt;Diet as a trigger or therapy for inflammatory bowel diseases&lt;/title&gt;&lt;secondary-title&gt;Gastroenterology&lt;/secondary-title&gt;&lt;/titles&gt;&lt;pages&gt;398-414. e6&lt;/pages&gt;&lt;volume&gt;152&lt;/volume&gt;&lt;number&gt;2&lt;/number&gt;&lt;dates&gt;&lt;year&gt;2017&lt;/year&gt;&lt;/dates&gt;&lt;isbn&gt;0016-5085&lt;/isbn&gt;&lt;urls&gt;&lt;/urls&gt;&lt;/record&gt;&lt;/Cite&gt;&lt;/EndNote&gt;</w:instrText>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(9)</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Exclusive enteral nutrition (EEN)</w:t>
      </w:r>
      <w:r>
        <w:rPr>
          <w:rFonts w:ascii="Times New Roman" w:hAnsi="Times New Roman" w:cs="Times New Roman"/>
          <w:sz w:val="24"/>
          <w:szCs w:val="24"/>
        </w:rPr>
        <w:t xml:space="preserve"> or elemental diet</w:t>
      </w:r>
      <w:r w:rsidRPr="00715A92">
        <w:rPr>
          <w:rFonts w:ascii="Times New Roman" w:hAnsi="Times New Roman" w:cs="Times New Roman"/>
          <w:sz w:val="24"/>
          <w:szCs w:val="24"/>
        </w:rPr>
        <w:t xml:space="preserve">, where food whole food is eliminated, and all calories are obtained through a nutritionally complete liquid formula containing only amino acids (no intact protein), has been shown to be equally efficacious as corticosteroids in inducing clinical remission in paediatric patients. </w:t>
      </w:r>
      <w:r>
        <w:rPr>
          <w:rFonts w:ascii="Times New Roman" w:hAnsi="Times New Roman" w:cs="Times New Roman"/>
          <w:sz w:val="24"/>
          <w:szCs w:val="24"/>
        </w:rPr>
        <w:t xml:space="preserve">As such, EEN is globally considered as a first-line therapy for remission induction in children with CD (60-80%) </w:t>
      </w:r>
      <w:r>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&lt;EndNote&gt;&lt;Cite&gt;&lt;Author&gt;Limketkai&lt;/Author&gt;&lt;Year&gt;2019&lt;/Year&gt;&lt;RecNum&gt;26&lt;/RecNum&gt;&lt;DisplayText&gt;(10)&lt;/DisplayText&gt;&lt;record&gt;&lt;rec-number&gt;26&lt;/rec-number&gt;&lt;foreign-keys&gt;&lt;key app="EN" db-id="v9fsxr0xzazsaeefp295v5pjt5p2rwr2vv05" timestamp="1619440795" guid="dfb3141d-99a0-47f1-9986-daebb983fa1d"&gt;26&lt;/key&gt;&lt;/foreign-keys&gt;&lt;ref-type name="Journal Article"&gt;17&lt;/ref-type&gt;&lt;contributors&gt;&lt;authors&gt;&lt;author&gt;Limketkai, Berkeley N&lt;/author&gt;&lt;author&gt;Iheozor‐Ejiofor, Zipporah&lt;/author&gt;&lt;author&gt;Gjuladin‐Hellon, Teuta&lt;/author&gt;&lt;author&gt;Parian, Alyssa&lt;/author&gt;&lt;author&gt;Matarese, Laura E&lt;/author&gt;&lt;author&gt;Bracewell, Kelly&lt;/author&gt;&lt;author&gt;MacDonald, John K&lt;/author&gt;&lt;author&gt;Gordon, Morris&lt;/author&gt;&lt;author&gt;Mullin, Gerard E&lt;/author&gt;&lt;/authors&gt;&lt;/contributors&gt;&lt;titles&gt;&lt;title&gt;Dietary interventions for induction and maintenance of remission in inflammatory bowel disease&lt;/title&gt;&lt;secondary-title&gt;Cochrane Database of Systematic Reviews&lt;/secondary-title&gt;&lt;/titles&gt;&lt;number&gt;2&lt;/number&gt;&lt;dates&gt;&lt;year&gt;2019&lt;/year&gt;&lt;/dates&gt;&lt;isbn&gt;1465-1858&lt;/isbn&gt;&lt;urls&gt;&lt;/urls&gt;&lt;/record&gt;&lt;/Cite&gt;&lt;/EndNote&gt;</w:instrText>
      </w:r>
      <w:r>
        <w:rPr>
          <w:rFonts w:ascii="Times New Roman" w:hAnsi="Times New Roman" w:cs="Times New Roman"/>
          <w:sz w:val="24"/>
          <w:szCs w:val="24"/>
        </w:rPr>
        <w:fldChar w:fldCharType="separate"/>
      </w:r>
      <w:r w:rsidR="00D733B1">
        <w:rPr>
          <w:rFonts w:ascii="Times New Roman" w:hAnsi="Times New Roman" w:cs="Times New Roman"/>
          <w:noProof/>
          <w:sz w:val="24"/>
          <w:szCs w:val="24"/>
        </w:rPr>
        <w:t>(10)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15A92">
        <w:rPr>
          <w:rFonts w:ascii="Times New Roman" w:hAnsi="Times New Roman" w:cs="Times New Roman"/>
          <w:sz w:val="24"/>
          <w:szCs w:val="24"/>
        </w:rPr>
        <w:t>Although the efficacy of EEN for the induction of remission in adult populations with active CD is not well-established, th</w:t>
      </w:r>
      <w:r>
        <w:rPr>
          <w:rFonts w:ascii="Times New Roman" w:hAnsi="Times New Roman" w:cs="Times New Roman"/>
          <w:sz w:val="24"/>
          <w:szCs w:val="24"/>
        </w:rPr>
        <w:t>e findings within paediatric patients</w:t>
      </w:r>
      <w:r w:rsidRPr="00715A92">
        <w:rPr>
          <w:rFonts w:ascii="Times New Roman" w:hAnsi="Times New Roman" w:cs="Times New Roman"/>
          <w:sz w:val="24"/>
          <w:szCs w:val="24"/>
        </w:rPr>
        <w:t xml:space="preserve"> suggests that protein antigens in food are linked to the pathogenesis of the disease </w:t>
      </w:r>
      <w:r w:rsidRPr="00715A92">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&lt;EndNote&gt;&lt;Cite&gt;&lt;Author&gt;Swaminath&lt;/Author&gt;&lt;Year&gt;2017&lt;/Year&gt;&lt;RecNum&gt;2&lt;/RecNum&gt;&lt;DisplayText&gt;(11)&lt;/DisplayText&gt;&lt;record&gt;&lt;rec-number&gt;2&lt;/rec-number&gt;&lt;foreign-keys&gt;&lt;key app="EN" db-id="v9fsxr0xzazsaeefp295v5pjt5p2rwr2vv05" timestamp="1619434834" guid="5ba77309-0bef-41fc-ba43-5956e3b326a5"&gt;2&lt;/key&gt;&lt;/foreign-keys&gt;&lt;ref-type name="Journal Article"&gt;17&lt;/ref-type&gt;&lt;contributors&gt;&lt;authors&gt;&lt;author&gt;Swaminath, Arun&lt;/author&gt;&lt;author&gt;Feathers, Alexandra&lt;/author&gt;&lt;author&gt;Ananthakrishnan, AN&lt;/author&gt;&lt;author&gt;Falzon, Louise&lt;/author&gt;&lt;author&gt;Li Ferry, S&lt;/author&gt;&lt;/authors&gt;&lt;/contributors&gt;&lt;titles&gt;&lt;title&gt;Systematic review with meta‐analysis: enteral nutrition therapy for the induction of remission in paediatric Crohn&amp;apos;s disease&lt;/title&gt;&lt;secondary-title&gt;Alimentary pharmacology &amp;amp; therapeutics&lt;/secondary-title&gt;&lt;/titles&gt;&lt;pages&gt;645-656&lt;/pages&gt;&lt;volume&gt;46&lt;/volume&gt;&lt;number&gt;7&lt;/number&gt;&lt;dates&gt;&lt;year&gt;2017&lt;/year&gt;&lt;/dates&gt;&lt;isbn&gt;0269-2813&lt;/isbn&gt;&lt;urls&gt;&lt;/urls&gt;&lt;/record&gt;&lt;/Cite&gt;&lt;/EndNote&gt;</w:instrText>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(11)</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xml:space="preserve">. </w:t>
      </w:r>
    </w:p>
    <w:p w14:paraId="69B8738D" w14:textId="2B07C011" w:rsidR="003333FD" w:rsidRDefault="003333FD" w:rsidP="003333FD">
      <w:p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 xml:space="preserve">A study in which </w:t>
      </w:r>
      <w:r>
        <w:rPr>
          <w:rFonts w:ascii="Times New Roman" w:hAnsi="Times New Roman" w:cs="Times New Roman"/>
          <w:sz w:val="24"/>
          <w:szCs w:val="24"/>
        </w:rPr>
        <w:t xml:space="preserve">adult </w:t>
      </w:r>
      <w:r w:rsidRPr="00C81A09">
        <w:rPr>
          <w:rFonts w:ascii="Times New Roman" w:hAnsi="Times New Roman" w:cs="Times New Roman"/>
          <w:sz w:val="24"/>
          <w:szCs w:val="24"/>
        </w:rPr>
        <w:t>patients</w:t>
      </w:r>
      <w:r w:rsidRPr="00715A92">
        <w:rPr>
          <w:rFonts w:ascii="Times New Roman" w:hAnsi="Times New Roman" w:cs="Times New Roman"/>
          <w:sz w:val="24"/>
          <w:szCs w:val="24"/>
        </w:rPr>
        <w:t xml:space="preserve"> with active CD had remission induce</w:t>
      </w:r>
      <w:r>
        <w:rPr>
          <w:rFonts w:ascii="Times New Roman" w:hAnsi="Times New Roman" w:cs="Times New Roman"/>
          <w:sz w:val="24"/>
          <w:szCs w:val="24"/>
        </w:rPr>
        <w:t>d</w:t>
      </w:r>
      <w:r w:rsidRPr="00715A92">
        <w:rPr>
          <w:rFonts w:ascii="Times New Roman" w:hAnsi="Times New Roman" w:cs="Times New Roman"/>
          <w:sz w:val="24"/>
          <w:szCs w:val="24"/>
        </w:rPr>
        <w:t xml:space="preserve"> with an elemental diet, demonstrated that the subsequent use of an exclusion diet based on symptoms (foods re-introduced sequentially and eliminated if caused symptoms) was more effective than corticosteroids, at maintaining remission, with 62% relapsing by 24 months in the dietary arm, compared with 79% in the corticosteroid group </w:t>
      </w:r>
      <w:r w:rsidRPr="00715A92">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&lt;EndNote&gt;&lt;Cite&gt;&lt;Author&gt;Riordan&lt;/Author&gt;&lt;Year&gt;1993&lt;/Year&gt;&lt;RecNum&gt;3&lt;/RecNum&gt;&lt;DisplayText&gt;(12)&lt;/DisplayText&gt;&lt;record&gt;&lt;rec-number&gt;3&lt;/rec-number&gt;&lt;foreign-keys&gt;&lt;key app="EN" db-id="v9fsxr0xzazsaeefp295v5pjt5p2rwr2vv05" timestamp="1619434937" guid="8adb8a0a-cc82-41ca-922b-3ec05f3a0505"&gt;3&lt;/key&gt;&lt;/foreign-keys&gt;&lt;ref-type name="Journal Article"&gt;17&lt;/ref-type&gt;&lt;contributors&gt;&lt;authors&gt;&lt;author&gt;Riordan, AM&lt;/author&gt;&lt;author&gt;Hunter, JO&lt;/author&gt;&lt;author&gt;Crampton, JR&lt;/author&gt;&lt;author&gt;Neale, G&lt;/author&gt;&lt;author&gt;Cowan, RE&lt;/author&gt;&lt;author&gt;Davidson, AR&lt;/author&gt;&lt;author&gt;Dickinson, RJ&lt;/author&gt;&lt;author&gt;Dronfield, MW&lt;/author&gt;&lt;author&gt;Fellows, IW&lt;/author&gt;&lt;author&gt;Kennedy, HJ&lt;/author&gt;&lt;/authors&gt;&lt;/contributors&gt;&lt;titles&gt;&lt;title&gt;Treatment of active Crohn&amp;apos;s disease by exclusion diet: East Anglian multicentre controlled trial&lt;/title&gt;&lt;secondary-title&gt;The Lancet&lt;/secondary-title&gt;&lt;/titles&gt;&lt;pages&gt;1131-1134&lt;/pages&gt;&lt;volume&gt;342&lt;/volume&gt;&lt;number&gt;8880&lt;/number&gt;&lt;dates&gt;&lt;year&gt;1993&lt;/year&gt;&lt;/dates&gt;&lt;isbn&gt;0140-6736&lt;/isbn&gt;&lt;urls&gt;&lt;/urls&gt;&lt;/record&gt;&lt;/Cite&gt;&lt;/EndNote&gt;</w:instrText>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(12)</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The causal foods identified included most commonly cereals (wheat), dairy products and yeast. More recently, an exclusion diet in conjunction with partial enteral nutrition</w:t>
      </w:r>
      <w:r>
        <w:rPr>
          <w:rFonts w:ascii="Times New Roman" w:hAnsi="Times New Roman" w:cs="Times New Roman"/>
          <w:sz w:val="24"/>
          <w:szCs w:val="24"/>
        </w:rPr>
        <w:t xml:space="preserve"> (PEN)</w:t>
      </w:r>
      <w:r w:rsidRPr="00715A92">
        <w:rPr>
          <w:rFonts w:ascii="Times New Roman" w:hAnsi="Times New Roman" w:cs="Times New Roman"/>
          <w:sz w:val="24"/>
          <w:szCs w:val="24"/>
        </w:rPr>
        <w:t>, eliminating gluten, as well as other proinflammatory foods such as animal fats, sulphites, and emulsifiers, was shown to induce remission in 62% of</w:t>
      </w:r>
      <w:r>
        <w:rPr>
          <w:rFonts w:ascii="Times New Roman" w:hAnsi="Times New Roman" w:cs="Times New Roman"/>
          <w:sz w:val="24"/>
          <w:szCs w:val="24"/>
        </w:rPr>
        <w:t xml:space="preserve"> CD</w:t>
      </w:r>
      <w:r w:rsidRPr="00715A92">
        <w:rPr>
          <w:rFonts w:ascii="Times New Roman" w:hAnsi="Times New Roman" w:cs="Times New Roman"/>
          <w:sz w:val="24"/>
          <w:szCs w:val="24"/>
        </w:rPr>
        <w:t xml:space="preserve"> patients in a cohort study of 21 adults and children refractory to biologic therapy with anti-tumour necrosis factor (anti-TNF) agents </w:t>
      </w:r>
      <w:r w:rsidRPr="00715A92">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&lt;EndNote&gt;&lt;Cite&gt;&lt;Author&gt;Sigall Boneh&lt;/Author&gt;&lt;Year&gt;2017&lt;/Year&gt;&lt;RecNum&gt;4&lt;/RecNum&gt;&lt;DisplayText&gt;(13)&lt;/DisplayText&gt;&lt;record&gt;&lt;rec-number&gt;4&lt;/rec-number&gt;&lt;foreign-keys&gt;&lt;key app="EN" db-id="v9fsxr0xzazsaeefp295v5pjt5p2rwr2vv05" timestamp="1619434990" guid="bf9606d2-f50b-4c12-a773-23c88683be46"&gt;4&lt;/key&gt;&lt;/foreign-keys&gt;&lt;ref-type name="Journal Article"&gt;17&lt;/ref-type&gt;&lt;contributors&gt;&lt;authors&gt;&lt;author&gt;Sigall Boneh, Rotem&lt;/author&gt;&lt;author&gt;Sarbagili Shabat, Chen&lt;/author&gt;&lt;author&gt;Yanai, Henit&lt;/author&gt;&lt;author&gt;Chermesh, Irit&lt;/author&gt;&lt;author&gt;Ben Avraham, Sivan&lt;/author&gt;&lt;author&gt;Boaz, Mona&lt;/author&gt;&lt;author&gt;Levine, Arie&lt;/author&gt;&lt;/authors&gt;&lt;/contributors&gt;&lt;titles&gt;&lt;title&gt;Dietary therapy with the Crohn’s disease exclusion diet is a successful strategy for induction of remission in children and adults failing biological therapy&lt;/title&gt;&lt;secondary-title&gt;Journal of Crohn&amp;apos;s and Colitis&lt;/secondary-title&gt;&lt;/titles&gt;&lt;pages&gt;1205-1212&lt;/pages&gt;&lt;volume&gt;11&lt;/volume&gt;&lt;number&gt;10&lt;/number&gt;&lt;dates&gt;&lt;year&gt;2017&lt;/year&gt;&lt;/dates&gt;&lt;isbn&gt;1873-9946&lt;/isbn&gt;&lt;urls&gt;&lt;/urls&gt;&lt;/record&gt;&lt;/Cite&gt;&lt;/EndNote&gt;</w:instrText>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(13)</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xml:space="preserve">. Levine et al. </w:t>
      </w:r>
      <w:r w:rsidRPr="00715A92">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&lt;EndNote&gt;&lt;Cite&gt;&lt;Author&gt;Levine&lt;/Author&gt;&lt;Year&gt;2019&lt;/Year&gt;&lt;RecNum&gt;5&lt;/RecNum&gt;&lt;DisplayText&gt;(14)&lt;/DisplayText&gt;&lt;record&gt;&lt;rec-number&gt;5&lt;/rec-number&gt;&lt;foreign-keys&gt;&lt;key app="EN" db-id="v9fsxr0xzazsaeefp295v5pjt5p2rwr2vv05" timestamp="1619435046" guid="1bc86004-fc46-4ce8-ad0f-19305402a2a7"&gt;5&lt;/key&gt;&lt;/foreign-keys&gt;&lt;ref-type name="Journal Article"&gt;17&lt;/ref-type&gt;&lt;contributors&gt;&lt;authors&gt;&lt;author&gt;Levine, Arie&lt;/author&gt;&lt;author&gt;Wine, Eytan&lt;/author&gt;&lt;author&gt;Assa, Amit&lt;/author&gt;&lt;author&gt;Boneh, Rotem Sigall&lt;/author&gt;&lt;author&gt;Shaoul, Ron&lt;/author&gt;&lt;author&gt;Kori, Michal&lt;/author&gt;&lt;author&gt;Cohen, Shlomi&lt;/author&gt;&lt;author&gt;Peleg, Sarit&lt;/author&gt;&lt;author&gt;Shamaly, Hussein&lt;/author&gt;&lt;author&gt;On, Avi&lt;/author&gt;&lt;/authors&gt;&lt;/contributors&gt;&lt;titles&gt;&lt;title&gt;Crohn’s disease exclusion diet plus partial enteral nutrition induces sustained remission in a randomized controlled trial&lt;/title&gt;&lt;secondary-title&gt;Gastroenterology&lt;/secondary-title&gt;&lt;/titles&gt;&lt;pages&gt;440-450. e8&lt;/pages&gt;&lt;volume&gt;157&lt;/volume&gt;&lt;number&gt;2&lt;/number&gt;&lt;dates&gt;&lt;year&gt;2019&lt;/year&gt;&lt;/dates&gt;&lt;isbn&gt;0016-5085&lt;/isbn&gt;&lt;urls&gt;&lt;/urls&gt;&lt;/record&gt;&lt;/Cite&gt;&lt;/EndNote&gt;</w:instrText>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(14)</w:t>
      </w:r>
      <w:r w:rsidRPr="00715A92">
        <w:rPr>
          <w:rFonts w:ascii="Times New Roman" w:hAnsi="Times New Roman" w:cs="Times New Roman"/>
          <w:sz w:val="24"/>
          <w:szCs w:val="24"/>
        </w:rPr>
        <w:fldChar w:fldCharType="end"/>
      </w:r>
      <w:r>
        <w:rPr>
          <w:rFonts w:ascii="Times New Roman" w:hAnsi="Times New Roman" w:cs="Times New Roman"/>
          <w:sz w:val="24"/>
          <w:szCs w:val="24"/>
        </w:rPr>
        <w:t xml:space="preserve"> also</w:t>
      </w:r>
      <w:r w:rsidRPr="00715A92">
        <w:rPr>
          <w:rFonts w:ascii="Times New Roman" w:hAnsi="Times New Roman" w:cs="Times New Roman"/>
          <w:sz w:val="24"/>
          <w:szCs w:val="24"/>
        </w:rPr>
        <w:t xml:space="preserve"> reported that when the Crohn’s disease exclusion diet (CDED), which limits or eliminates gluten, dairy products, animal fat, processed meats and products containing emulsifiers, was used in combination with PE</w:t>
      </w:r>
      <w:r>
        <w:rPr>
          <w:rFonts w:ascii="Times New Roman" w:hAnsi="Times New Roman" w:cs="Times New Roman"/>
          <w:sz w:val="24"/>
          <w:szCs w:val="24"/>
        </w:rPr>
        <w:t>N</w:t>
      </w:r>
      <w:r w:rsidRPr="00715A92">
        <w:rPr>
          <w:rFonts w:ascii="Times New Roman" w:hAnsi="Times New Roman" w:cs="Times New Roman"/>
          <w:sz w:val="24"/>
          <w:szCs w:val="24"/>
        </w:rPr>
        <w:t xml:space="preserve">, </w:t>
      </w:r>
      <w:r>
        <w:rPr>
          <w:rFonts w:ascii="Times New Roman" w:hAnsi="Times New Roman" w:cs="Times New Roman"/>
          <w:sz w:val="24"/>
          <w:szCs w:val="24"/>
        </w:rPr>
        <w:t>was</w:t>
      </w:r>
      <w:r w:rsidRPr="00715A92">
        <w:rPr>
          <w:rFonts w:ascii="Times New Roman" w:hAnsi="Times New Roman" w:cs="Times New Roman"/>
          <w:sz w:val="24"/>
          <w:szCs w:val="24"/>
        </w:rPr>
        <w:t xml:space="preserve"> effective in inducing remission in children with mild to moderate CD. CDED</w:t>
      </w:r>
      <w:r>
        <w:rPr>
          <w:rFonts w:ascii="Times New Roman" w:hAnsi="Times New Roman" w:cs="Times New Roman"/>
          <w:sz w:val="24"/>
          <w:szCs w:val="24"/>
        </w:rPr>
        <w:t>, when combined with PEN,</w:t>
      </w:r>
      <w:r w:rsidRPr="00715A92">
        <w:rPr>
          <w:rFonts w:ascii="Times New Roman" w:hAnsi="Times New Roman" w:cs="Times New Roman"/>
          <w:sz w:val="24"/>
          <w:szCs w:val="24"/>
        </w:rPr>
        <w:t xml:space="preserve"> induced sustained remission in significantly </w:t>
      </w:r>
      <w:r w:rsidRPr="00715A92">
        <w:rPr>
          <w:rFonts w:ascii="Times New Roman" w:hAnsi="Times New Roman" w:cs="Times New Roman"/>
          <w:sz w:val="24"/>
          <w:szCs w:val="24"/>
        </w:rPr>
        <w:lastRenderedPageBreak/>
        <w:t>higher proportion of patients than EEN</w:t>
      </w:r>
      <w:r>
        <w:rPr>
          <w:rFonts w:ascii="Times New Roman" w:hAnsi="Times New Roman" w:cs="Times New Roman"/>
          <w:sz w:val="24"/>
          <w:szCs w:val="24"/>
        </w:rPr>
        <w:t xml:space="preserve"> treatment alone and </w:t>
      </w:r>
      <w:r w:rsidRPr="00715A92">
        <w:rPr>
          <w:rFonts w:ascii="Times New Roman" w:hAnsi="Times New Roman" w:cs="Times New Roman"/>
          <w:sz w:val="24"/>
          <w:szCs w:val="24"/>
        </w:rPr>
        <w:t xml:space="preserve">produced changes associated with remission in the faecal microbiome </w:t>
      </w:r>
      <w:r w:rsidRPr="00715A92">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&lt;EndNote&gt;&lt;Cite&gt;&lt;Author&gt;Levine&lt;/Author&gt;&lt;Year&gt;2019&lt;/Year&gt;&lt;RecNum&gt;5&lt;/RecNum&gt;&lt;DisplayText&gt;(14)&lt;/DisplayText&gt;&lt;record&gt;&lt;rec-number&gt;5&lt;/rec-number&gt;&lt;foreign-keys&gt;&lt;key app="EN" db-id="v9fsxr0xzazsaeefp295v5pjt5p2rwr2vv05" timestamp="1619435046" guid="1bc86004-fc46-4ce8-ad0f-19305402a2a7"&gt;5&lt;/key&gt;&lt;/foreign-keys&gt;&lt;ref-type name="Journal Article"&gt;17&lt;/ref-type&gt;&lt;contributors&gt;&lt;authors&gt;&lt;author&gt;Levine, Arie&lt;/author&gt;&lt;author&gt;Wine, Eytan&lt;/author&gt;&lt;author&gt;Assa, Amit&lt;/author&gt;&lt;author&gt;Boneh, Rotem Sigall&lt;/author&gt;&lt;author&gt;Shaoul, Ron&lt;/author&gt;&lt;author&gt;Kori, Michal&lt;/author&gt;&lt;author&gt;Cohen, Shlomi&lt;/author&gt;&lt;author&gt;Peleg, Sarit&lt;/author&gt;&lt;author&gt;Shamaly, Hussein&lt;/author&gt;&lt;author&gt;On, Avi&lt;/author&gt;&lt;/authors&gt;&lt;/contributors&gt;&lt;titles&gt;&lt;title&gt;Crohn’s disease exclusion diet plus partial enteral nutrition induces sustained remission in a randomized controlled trial&lt;/title&gt;&lt;secondary-title&gt;Gastroenterology&lt;/secondary-title&gt;&lt;/titles&gt;&lt;pages&gt;440-450. e8&lt;/pages&gt;&lt;volume&gt;157&lt;/volume&gt;&lt;number&gt;2&lt;/number&gt;&lt;dates&gt;&lt;year&gt;2019&lt;/year&gt;&lt;/dates&gt;&lt;isbn&gt;0016-5085&lt;/isbn&gt;&lt;urls&gt;&lt;/urls&gt;&lt;/record&gt;&lt;/Cite&gt;&lt;/EndNote&gt;</w:instrText>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(14)</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xml:space="preserve">. </w:t>
      </w:r>
      <w:r>
        <w:rPr>
          <w:rFonts w:ascii="Times New Roman" w:hAnsi="Times New Roman" w:cs="Times New Roman"/>
          <w:sz w:val="24"/>
          <w:szCs w:val="24"/>
        </w:rPr>
        <w:t xml:space="preserve">However, EEN is not routinely utilised as a primary therapy in adults outside of Japanese populations </w:t>
      </w:r>
      <w:r>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&lt;EndNote&gt;&lt;Cite&gt;&lt;Author&gt;Takagi&lt;/Author&gt;&lt;Year&gt;2006&lt;/Year&gt;&lt;RecNum&gt;76&lt;/RecNum&gt;&lt;DisplayText&gt;(15)&lt;/DisplayText&gt;&lt;record&gt;&lt;rec-number&gt;76&lt;/rec-number&gt;&lt;foreign-keys&gt;&lt;key app="EN" db-id="v9fsxr0xzazsaeefp295v5pjt5p2rwr2vv05" timestamp="1620617484" guid="060d54be-862e-49ee-be20-deba8bac00f4"&gt;76&lt;/key&gt;&lt;/foreign-keys&gt;&lt;ref-type name="Journal Article"&gt;17&lt;/ref-type&gt;&lt;contributors&gt;&lt;authors&gt;&lt;author&gt;Takagi, S&lt;/author&gt;&lt;author&gt;Utsunomiya, K&lt;/author&gt;&lt;author&gt;Kuriyama, Shinichi&lt;/author&gt;&lt;author&gt;Yokoyama, H&lt;/author&gt;&lt;author&gt;Takahashi, S&lt;/author&gt;&lt;author&gt;Iwabuchi, M&lt;/author&gt;&lt;author&gt;Takahashi, H&lt;/author&gt;&lt;author&gt;Takahashi, S&lt;/author&gt;&lt;author&gt;Kinouchi, Y&lt;/author&gt;&lt;author&gt;Hiwatashi, N&lt;/author&gt;&lt;/authors&gt;&lt;/contributors&gt;&lt;titles&gt;&lt;title&gt;Effectiveness of an ‘half elemental diet’as maintenance therapy for Crohn&amp;apos;s disease: a randomized‐controlled trial&lt;/title&gt;&lt;secondary-title&gt;Alimentary pharmacology &amp;amp; therapeutics&lt;/secondary-title&gt;&lt;/titles&gt;&lt;pages&gt;1333-1340&lt;/pages&gt;&lt;volume&gt;24&lt;/volume&gt;&lt;number&gt;9&lt;/number&gt;&lt;dates&gt;&lt;year&gt;2006&lt;/year&gt;&lt;/dates&gt;&lt;isbn&gt;0269-2813&lt;/isbn&gt;&lt;urls&gt;&lt;/urls&gt;&lt;/record&gt;&lt;/Cite&gt;&lt;/EndNote&gt;</w:instrText>
      </w:r>
      <w:r>
        <w:rPr>
          <w:rFonts w:ascii="Times New Roman" w:hAnsi="Times New Roman" w:cs="Times New Roman"/>
          <w:sz w:val="24"/>
          <w:szCs w:val="24"/>
        </w:rPr>
        <w:fldChar w:fldCharType="separate"/>
      </w:r>
      <w:r w:rsidR="00D733B1">
        <w:rPr>
          <w:rFonts w:ascii="Times New Roman" w:hAnsi="Times New Roman" w:cs="Times New Roman"/>
          <w:noProof/>
          <w:sz w:val="24"/>
          <w:szCs w:val="24"/>
        </w:rPr>
        <w:t>(15)</w:t>
      </w:r>
      <w:r>
        <w:rPr>
          <w:rFonts w:ascii="Times New Roman" w:hAnsi="Times New Roman" w:cs="Times New Roman"/>
          <w:sz w:val="24"/>
          <w:szCs w:val="24"/>
        </w:rPr>
        <w:fldChar w:fldCharType="end"/>
      </w:r>
      <w:r>
        <w:rPr>
          <w:rFonts w:ascii="Times New Roman" w:hAnsi="Times New Roman" w:cs="Times New Roman"/>
          <w:sz w:val="24"/>
          <w:szCs w:val="24"/>
        </w:rPr>
        <w:t xml:space="preserve">, and the discrepancies observed regarding the efficacy of this intervention between paediatric and adult populations can be attributed to low tolerability and poor compliance due to unpalatable </w:t>
      </w:r>
      <w:r w:rsidRPr="005A6503">
        <w:rPr>
          <w:rFonts w:ascii="Times New Roman" w:hAnsi="Times New Roman" w:cs="Times New Roman"/>
          <w:sz w:val="24"/>
          <w:szCs w:val="24"/>
        </w:rPr>
        <w:t>formula</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&lt;EndNote&gt;&lt;Cite&gt;&lt;Author&gt;Ashton&lt;/Author&gt;&lt;Year&gt;2019&lt;/Year&gt;&lt;RecNum&gt;75&lt;/RecNum&gt;&lt;DisplayText&gt;(16)&lt;/DisplayText&gt;&lt;record&gt;&lt;rec-number&gt;75&lt;/rec-number&gt;&lt;foreign-keys&gt;&lt;key app="EN" db-id="v9fsxr0xzazsaeefp295v5pjt5p2rwr2vv05" timestamp="1620612523" guid="79b4225a-2c05-47ad-99a9-6776a8767489"&gt;75&lt;/key&gt;&lt;/foreign-keys&gt;&lt;ref-type name="Journal Article"&gt;17&lt;/ref-type&gt;&lt;contributors&gt;&lt;authors&gt;&lt;author&gt;Ashton, James J&lt;/author&gt;&lt;author&gt;Gavin, Joan&lt;/author&gt;&lt;author&gt;Beattie, R Mark&lt;/author&gt;&lt;/authors&gt;&lt;/contributors&gt;&lt;titles&gt;&lt;title&gt;Exclusive enteral nutrition in Crohn&amp;apos;s disease: Evidence and practicalities&lt;/title&gt;&lt;secondary-title&gt;Clinical nutrition&lt;/secondary-title&gt;&lt;/titles&gt;&lt;pages&gt;80-89&lt;/pages&gt;&lt;volume&gt;38&lt;/volume&gt;&lt;number&gt;1&lt;/number&gt;&lt;dates&gt;&lt;year&gt;2019&lt;/year&gt;&lt;/dates&gt;&lt;isbn&gt;0261-5614&lt;/isbn&gt;&lt;urls&gt;&lt;/urls&gt;&lt;/record&gt;&lt;/Cite&gt;&lt;/EndNote&gt;</w:instrText>
      </w:r>
      <w:r>
        <w:rPr>
          <w:rFonts w:ascii="Times New Roman" w:hAnsi="Times New Roman" w:cs="Times New Roman"/>
          <w:sz w:val="24"/>
          <w:szCs w:val="24"/>
        </w:rPr>
        <w:fldChar w:fldCharType="separate"/>
      </w:r>
      <w:r w:rsidR="00D733B1">
        <w:rPr>
          <w:rFonts w:ascii="Times New Roman" w:hAnsi="Times New Roman" w:cs="Times New Roman"/>
          <w:noProof/>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DC46D15" w14:textId="77777777" w:rsidR="003333FD" w:rsidRDefault="003333FD" w:rsidP="003333FD">
      <w:pPr>
        <w:spacing w:line="480" w:lineRule="auto"/>
        <w:jc w:val="both"/>
        <w:rPr>
          <w:rFonts w:ascii="Times New Roman" w:hAnsi="Times New Roman" w:cs="Times New Roman"/>
          <w:i/>
          <w:iCs/>
          <w:sz w:val="24"/>
          <w:szCs w:val="24"/>
        </w:rPr>
      </w:pPr>
    </w:p>
    <w:p w14:paraId="7399CBB7" w14:textId="34952294" w:rsidR="003333FD" w:rsidRDefault="00E17D1C" w:rsidP="002D06BE">
      <w:pPr>
        <w:pStyle w:val="Heading2"/>
      </w:pPr>
      <w:r>
        <w:t xml:space="preserve">1.2 </w:t>
      </w:r>
      <w:r w:rsidR="000879A2">
        <w:t>Foods likely to trigger relapse in Crohn’s disease</w:t>
      </w:r>
    </w:p>
    <w:p w14:paraId="6E292CE1" w14:textId="30E50FBD" w:rsidR="003333FD" w:rsidRDefault="003333FD" w:rsidP="003333F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increasing incidence of CD in previously low-incidence parts of the world, such as Asia and South America </w:t>
      </w:r>
      <w:r>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&lt;EndNote&gt;&lt;Cite&gt;&lt;Author&gt;Ng&lt;/Author&gt;&lt;Year&gt;2017&lt;/Year&gt;&lt;RecNum&gt;80&lt;/RecNum&gt;&lt;DisplayText&gt;(17,18)&lt;/DisplayText&gt;&lt;record&gt;&lt;rec-number&gt;80&lt;/rec-number&gt;&lt;foreign-keys&gt;&lt;key app="EN" db-id="v9fsxr0xzazsaeefp295v5pjt5p2rwr2vv05" timestamp="1620794913" guid="718d8e88-2024-4cca-8507-618bb8e282c0"&gt;80&lt;/key&gt;&lt;/foreign-keys&gt;&lt;ref-type name="Journal Article"&gt;17&lt;/ref-type&gt;&lt;contributors&gt;&lt;authors&gt;&lt;author&gt;Ng, Siew C&lt;/author&gt;&lt;author&gt;Shi, Hai Yun&lt;/author&gt;&lt;author&gt;Hamidi, Nima&lt;/author&gt;&lt;author&gt;Underwood, Fox E&lt;/author&gt;&lt;author&gt;Tang, Whitney&lt;/author&gt;&lt;author&gt;Benchimol, Eric I&lt;/author&gt;&lt;author&gt;Panaccione, Remo&lt;/author&gt;&lt;author&gt;Ghosh, Subrata&lt;/author&gt;&lt;author&gt;Wu, Justin CY&lt;/author&gt;&lt;author&gt;Chan, Francis KL&lt;/author&gt;&lt;/authors&gt;&lt;/contributors&gt;&lt;titles&gt;&lt;title&gt;Worldwide incidence and prevalence of inflammatory bowel disease in the 21st century: a systematic review of population-based studies&lt;/title&gt;&lt;secondary-title&gt;The Lancet&lt;/secondary-title&gt;&lt;/titles&gt;&lt;pages&gt;2769-2778&lt;/pages&gt;&lt;volume&gt;390&lt;/volume&gt;&lt;number&gt;10114&lt;/number&gt;&lt;dates&gt;&lt;year&gt;2017&lt;/year&gt;&lt;/dates&gt;&lt;isbn&gt;0140-6736&lt;/isbn&gt;&lt;urls&gt;&lt;/urls&gt;&lt;/record&gt;&lt;/Cite&gt;&lt;Cite&gt;&lt;Author&gt;Cui&lt;/Author&gt;&lt;Year&gt;2018&lt;/Year&gt;&lt;RecNum&gt;79&lt;/RecNum&gt;&lt;record&gt;&lt;rec-number&gt;79&lt;/rec-number&gt;&lt;foreign-keys&gt;&lt;key app="EN" db-id="v9fsxr0xzazsaeefp295v5pjt5p2rwr2vv05" timestamp="1620794399" guid="3bf00118-0820-4f74-b375-3b4dde45fa8f"&gt;79&lt;/key&gt;&lt;/foreign-keys&gt;&lt;ref-type name="Journal Article"&gt;17&lt;/ref-type&gt;&lt;contributors&gt;&lt;authors&gt;&lt;author&gt;Cui, Guanglin&lt;/author&gt;&lt;author&gt;Yuan, Aping&lt;/author&gt;&lt;/authors&gt;&lt;/contributors&gt;&lt;titles&gt;&lt;title&gt;A systematic review of epidemiology and risk factors associated with Chinese inflammatory bowel disease&lt;/title&gt;&lt;secondary-title&gt;Frontiers in medicine&lt;/secondary-title&gt;&lt;/titles&gt;&lt;pages&gt;183&lt;/pages&gt;&lt;volume&gt;5&lt;/volume&gt;&lt;dates&gt;&lt;year&gt;2018&lt;/year&gt;&lt;/dates&gt;&lt;isbn&gt;2296-858X&lt;/isbn&gt;&lt;urls&gt;&lt;/urls&gt;&lt;/record&gt;&lt;/Cite&gt;&lt;/EndNote&gt;</w:instrText>
      </w:r>
      <w:r>
        <w:rPr>
          <w:rFonts w:ascii="Times New Roman" w:hAnsi="Times New Roman" w:cs="Times New Roman"/>
          <w:sz w:val="24"/>
          <w:szCs w:val="24"/>
        </w:rPr>
        <w:fldChar w:fldCharType="separate"/>
      </w:r>
      <w:r w:rsidR="00D733B1">
        <w:rPr>
          <w:rFonts w:ascii="Times New Roman" w:hAnsi="Times New Roman" w:cs="Times New Roman"/>
          <w:noProof/>
          <w:sz w:val="24"/>
          <w:szCs w:val="24"/>
        </w:rPr>
        <w:t>(17,18)</w:t>
      </w:r>
      <w:r>
        <w:rPr>
          <w:rFonts w:ascii="Times New Roman" w:hAnsi="Times New Roman" w:cs="Times New Roman"/>
          <w:sz w:val="24"/>
          <w:szCs w:val="24"/>
        </w:rPr>
        <w:fldChar w:fldCharType="end"/>
      </w:r>
      <w:r>
        <w:rPr>
          <w:rFonts w:ascii="Times New Roman" w:hAnsi="Times New Roman" w:cs="Times New Roman"/>
          <w:sz w:val="24"/>
          <w:szCs w:val="24"/>
        </w:rPr>
        <w:t xml:space="preserve">, is paralleled by the Westernisation of dietary habits. Numerous epidemiological and animal studies have demonstrated that changes in diet can induce intestinal inflammation and alterations in the gut microbial composition </w:t>
      </w:r>
      <w:r>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&lt;EndNote&gt;&lt;Cite&gt;&lt;Author&gt;David&lt;/Author&gt;&lt;Year&gt;2014&lt;/Year&gt;&lt;RecNum&gt;82&lt;/RecNum&gt;&lt;DisplayText&gt;(19)&lt;/DisplayText&gt;&lt;record&gt;&lt;rec-number&gt;82&lt;/rec-number&gt;&lt;foreign-keys&gt;&lt;key app="EN" db-id="v9fsxr0xzazsaeefp295v5pjt5p2rwr2vv05" timestamp="1620817191" guid="f5b2267c-4619-4062-9e96-3425b6e8995a"&gt;82&lt;/key&gt;&lt;/foreign-keys&gt;&lt;ref-type name="Journal Article"&gt;17&lt;/ref-type&gt;&lt;contributors&gt;&lt;authors&gt;&lt;author&gt;David, Lawrence A&lt;/author&gt;&lt;author&gt;Maurice, Corinne F&lt;/author&gt;&lt;author&gt;Carmody, Rachel N&lt;/author&gt;&lt;author&gt;Gootenberg, David B&lt;/author&gt;&lt;author&gt;Button, Julie E&lt;/author&gt;&lt;author&gt;Wolfe, Benjamin E&lt;/author&gt;&lt;author&gt;Ling, Alisha V&lt;/author&gt;&lt;author&gt;Devlin, A Sloan&lt;/author&gt;&lt;author&gt;Varma, Yug&lt;/author&gt;&lt;author&gt;Fischbach, Michael A&lt;/author&gt;&lt;/authors&gt;&lt;/contributors&gt;&lt;titles&gt;&lt;title&gt;Diet rapidly and reproducibly alters the human gut microbiome&lt;/title&gt;&lt;secondary-title&gt;Nature&lt;/secondary-title&gt;&lt;/titles&gt;&lt;pages&gt;559-563&lt;/pages&gt;&lt;volume&gt;505&lt;/volume&gt;&lt;number&gt;7484&lt;/number&gt;&lt;dates&gt;&lt;year&gt;2014&lt;/year&gt;&lt;/dates&gt;&lt;isbn&gt;1476-4687&lt;/isbn&gt;&lt;urls&gt;&lt;/urls&gt;&lt;/record&gt;&lt;/Cite&gt;&lt;/EndNote&gt;</w:instrText>
      </w:r>
      <w:r>
        <w:rPr>
          <w:rFonts w:ascii="Times New Roman" w:hAnsi="Times New Roman" w:cs="Times New Roman"/>
          <w:sz w:val="24"/>
          <w:szCs w:val="24"/>
        </w:rPr>
        <w:fldChar w:fldCharType="separate"/>
      </w:r>
      <w:r w:rsidR="00D733B1">
        <w:rPr>
          <w:rFonts w:ascii="Times New Roman" w:hAnsi="Times New Roman" w:cs="Times New Roman"/>
          <w:noProof/>
          <w:sz w:val="24"/>
          <w:szCs w:val="24"/>
        </w:rPr>
        <w:t>(19)</w:t>
      </w:r>
      <w:r>
        <w:rPr>
          <w:rFonts w:ascii="Times New Roman" w:hAnsi="Times New Roman" w:cs="Times New Roman"/>
          <w:sz w:val="24"/>
          <w:szCs w:val="24"/>
        </w:rPr>
        <w:fldChar w:fldCharType="end"/>
      </w:r>
      <w:r>
        <w:rPr>
          <w:rFonts w:ascii="Times New Roman" w:hAnsi="Times New Roman" w:cs="Times New Roman"/>
          <w:sz w:val="24"/>
          <w:szCs w:val="24"/>
        </w:rPr>
        <w:t xml:space="preserve">, however, human-based studies are still lacking. Of the Western diet, animal fats, emulsifiers, and wheat (FEW) have been identified as the three major food components that are associated with disease flares in CD, however, despite reaching consensus, the levels of evidence surrounding patient dietary guidance for CD is low and novel approaches are needed </w:t>
      </w:r>
      <w:r>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&lt;EndNote&gt;&lt;Cite&gt;&lt;Author&gt;Levine&lt;/Author&gt;&lt;Year&gt;2020&lt;/Year&gt;&lt;RecNum&gt;78&lt;/RecNum&gt;&lt;DisplayText&gt;(20)&lt;/DisplayText&gt;&lt;record&gt;&lt;rec-number&gt;78&lt;/rec-number&gt;&lt;foreign-keys&gt;&lt;key app="EN" db-id="v9fsxr0xzazsaeefp295v5pjt5p2rwr2vv05" timestamp="1620643920" guid="410f214b-7326-41ba-b1bb-1918a3467561"&gt;78&lt;/key&gt;&lt;/foreign-keys&gt;&lt;ref-type name="Journal Article"&gt;17&lt;/ref-type&gt;&lt;contributors&gt;&lt;authors&gt;&lt;author&gt;Levine, Arie&lt;/author&gt;&lt;author&gt;Rhodes, Jonathan M&lt;/author&gt;&lt;author&gt;Lindsay, James O&lt;/author&gt;&lt;author&gt;Abreu, Maria T&lt;/author&gt;&lt;author&gt;Kamm, Michael A&lt;/author&gt;&lt;author&gt;Gibson, Peter R&lt;/author&gt;&lt;author&gt;Gasche, Christoph&lt;/author&gt;&lt;author&gt;Silverberg, Mark S&lt;/author&gt;&lt;author&gt;Mahadevan, Uma&lt;/author&gt;&lt;author&gt;Boneh, Rotem Sigall&lt;/author&gt;&lt;/authors&gt;&lt;/contributors&gt;&lt;titles&gt;&lt;title&gt;Dietary guidance from the international organization for the study of inflammatory bowel diseases&lt;/title&gt;&lt;secondary-title&gt;Clinical Gastroenterology and Hepatology&lt;/secondary-title&gt;&lt;/titles&gt;&lt;pages&gt;1381-1392&lt;/pages&gt;&lt;volume&gt;18&lt;/volume&gt;&lt;number&gt;6&lt;/number&gt;&lt;dates&gt;&lt;year&gt;2020&lt;/year&gt;&lt;/dates&gt;&lt;isbn&gt;1542-3565&lt;/isbn&gt;&lt;urls&gt;&lt;/urls&gt;&lt;/record&gt;&lt;/Cite&gt;&lt;/EndNote&gt;</w:instrText>
      </w:r>
      <w:r>
        <w:rPr>
          <w:rFonts w:ascii="Times New Roman" w:hAnsi="Times New Roman" w:cs="Times New Roman"/>
          <w:sz w:val="24"/>
          <w:szCs w:val="24"/>
        </w:rPr>
        <w:fldChar w:fldCharType="separate"/>
      </w:r>
      <w:r w:rsidR="00D733B1">
        <w:rPr>
          <w:rFonts w:ascii="Times New Roman" w:hAnsi="Times New Roman" w:cs="Times New Roman"/>
          <w:noProof/>
          <w:sz w:val="24"/>
          <w:szCs w:val="24"/>
        </w:rPr>
        <w:t>(20)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CABA841" w14:textId="77777777" w:rsidR="003333FD" w:rsidRPr="00BD0087" w:rsidRDefault="003333FD" w:rsidP="003333FD">
      <w:pPr>
        <w:spacing w:line="480" w:lineRule="auto"/>
        <w:jc w:val="both"/>
        <w:rPr>
          <w:rFonts w:ascii="Times New Roman" w:hAnsi="Times New Roman" w:cs="Times New Roman"/>
          <w:sz w:val="24"/>
          <w:szCs w:val="24"/>
        </w:rPr>
      </w:pPr>
    </w:p>
    <w:p w14:paraId="20628A7A" w14:textId="3F98FEEE" w:rsidR="003333FD" w:rsidRPr="00715A92" w:rsidRDefault="00E17D1C" w:rsidP="002D06BE">
      <w:pPr>
        <w:pStyle w:val="Heading2"/>
      </w:pPr>
      <w:r>
        <w:t xml:space="preserve">1.3 </w:t>
      </w:r>
      <w:r w:rsidR="003333FD" w:rsidRPr="00715A92">
        <w:t>Animal Fats</w:t>
      </w:r>
    </w:p>
    <w:p w14:paraId="31849191" w14:textId="6F7717DE" w:rsidR="003333FD" w:rsidRPr="00715A92" w:rsidRDefault="003333FD" w:rsidP="003333FD">
      <w:p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 xml:space="preserve">Several epidemiological studies have found strong associations between consumption of animal fats, which is a significant component of a Western diet, and the development of </w:t>
      </w:r>
      <w:r>
        <w:rPr>
          <w:rFonts w:ascii="Times New Roman" w:hAnsi="Times New Roman" w:cs="Times New Roman"/>
          <w:sz w:val="24"/>
          <w:szCs w:val="24"/>
        </w:rPr>
        <w:t>CD</w:t>
      </w:r>
      <w:r w:rsidRPr="00715A92">
        <w:rPr>
          <w:rFonts w:ascii="Times New Roman" w:hAnsi="Times New Roman" w:cs="Times New Roman"/>
          <w:sz w:val="24"/>
          <w:szCs w:val="24"/>
        </w:rPr>
        <w:t xml:space="preserve"> </w:t>
      </w:r>
      <w:r w:rsidRPr="00715A92">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&lt;EndNote&gt;&lt;Cite&gt;&lt;Author&gt;Shoda&lt;/Author&gt;&lt;Year&gt;1996&lt;/Year&gt;&lt;RecNum&gt;41&lt;/RecNum&gt;&lt;DisplayText&gt;(9,21)&lt;/DisplayText&gt;&lt;record&gt;&lt;rec-number&gt;41&lt;/rec-number&gt;&lt;foreign-keys&gt;&lt;key app="EN" db-id="v9fsxr0xzazsaeefp295v5pjt5p2rwr2vv05" timestamp="1619484374" guid="493abb6c-528e-4d29-8717-4f1816e6f4b0"&gt;41&lt;/key&gt;&lt;/foreign-keys&gt;&lt;ref-type name="Journal Article"&gt;17&lt;/ref-type&gt;&lt;contributors&gt;&lt;authors&gt;&lt;author&gt;Shoda, Ryosuke&lt;/author&gt;&lt;author&gt;Matsueda, Kei&lt;/author&gt;&lt;author&gt;Yamato, Shigeru&lt;/author&gt;&lt;author&gt;Umeda, Noritsugu&lt;/author&gt;&lt;/authors&gt;&lt;/contributors&gt;&lt;titles&gt;&lt;title&gt;Epidemiologic analysis of Crohn disease in Japan: increased dietary intake of n-6 polyunsaturated fatty acids and animal protein relates to the increased incidence of Crohn disease in Japan&lt;/title&gt;&lt;secondary-title&gt;The American journal of clinical nutrition&lt;/secondary-title&gt;&lt;/titles&gt;&lt;pages&gt;741-745&lt;/pages&gt;&lt;volume&gt;63&lt;/volume&gt;&lt;number&gt;5&lt;/number&gt;&lt;dates&gt;&lt;year&gt;1996&lt;/year&gt;&lt;/dates&gt;&lt;isbn&gt;0002-9165&lt;/isbn&gt;&lt;urls&gt;&lt;/urls&gt;&lt;/record&gt;&lt;/Cite&gt;&lt;Cite&gt;&lt;Author&gt;Lewis&lt;/Author&gt;&lt;Year&gt;2017&lt;/Year&gt;&lt;RecNum&gt;15&lt;/RecNum&gt;&lt;record&gt;&lt;rec-number&gt;15&lt;/rec-number&gt;&lt;foreign-keys&gt;&lt;key app="EN" db-id="v9fsxr0xzazsaeefp295v5pjt5p2rwr2vv05" timestamp="1619438770" guid="7da03fb6-cbad-42b6-8a03-ed62cddac51d"&gt;15&lt;/key&gt;&lt;/foreign-keys&gt;&lt;ref-type name="Journal Article"&gt;17&lt;/ref-type&gt;&lt;contributors&gt;&lt;authors&gt;&lt;author&gt;Lewis, James D&lt;/author&gt;&lt;author&gt;Abreu, Maria T&lt;/author&gt;&lt;/authors&gt;&lt;/contributors&gt;&lt;titles&gt;&lt;title&gt;Diet as a trigger or therapy for inflammatory bowel diseases&lt;/title&gt;&lt;secondary-title&gt;Gastroenterology&lt;/secondary-title&gt;&lt;/titles&gt;&lt;pages&gt;398-414. e6&lt;/pages&gt;&lt;volume&gt;152&lt;/volume&gt;&lt;number&gt;2&lt;/number&gt;&lt;dates&gt;&lt;year&gt;2017&lt;/year&gt;&lt;/dates&gt;&lt;isbn&gt;0016-5085&lt;/isbn&gt;&lt;urls&gt;&lt;/urls&gt;&lt;/record&gt;&lt;/Cite&gt;&lt;/EndNote&gt;</w:instrText>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(9,21)</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Consumption of a higher ratio of n-3: n-6 polyunsaturated fatty acids (PUFAs), and diets that are higher in total fats, saturated fats, and monounsaturated fatty acids (MUFAs) ha</w:t>
      </w:r>
      <w:r>
        <w:rPr>
          <w:rFonts w:ascii="Times New Roman" w:hAnsi="Times New Roman" w:cs="Times New Roman"/>
          <w:sz w:val="24"/>
          <w:szCs w:val="24"/>
        </w:rPr>
        <w:t>s</w:t>
      </w:r>
      <w:r w:rsidRPr="00715A92">
        <w:rPr>
          <w:rFonts w:ascii="Times New Roman" w:hAnsi="Times New Roman" w:cs="Times New Roman"/>
          <w:sz w:val="24"/>
          <w:szCs w:val="24"/>
        </w:rPr>
        <w:t xml:space="preserve"> been associated with disease relapses in patients with CD </w:t>
      </w:r>
      <w:r w:rsidRPr="00715A92">
        <w:rPr>
          <w:rFonts w:ascii="Times New Roman" w:hAnsi="Times New Roman" w:cs="Times New Roman"/>
          <w:sz w:val="24"/>
          <w:szCs w:val="24"/>
        </w:rPr>
        <w:fldChar w:fldCharType="begin">
          <w:fldData xml:space="preserve">PEVuZE5vdGU+PENpdGU+PEF1dGhvcj5UYW5ha2E8L0F1dGhvcj48WWVhcj4yMDA3PC9ZZWFyPjxS
ZWNOdW0+NDI8L1JlY051bT48RGlzcGxheVRleHQ+KDIyLTI0KTwvRGlzcGxheVRleHQ+PHJlY29y
ZD48cmVjLW51bWJlcj40MjwvcmVjLW51bWJlcj48Zm9yZWlnbi1rZXlzPjxrZXkgYXBwPSJFTiIg
ZGItaWQ9ImQyd2E5ejkybjB6enR6ZWFkMmF2NXNlYmF3MHdkZnoweDl6ZiIgdGltZXN0YW1wPSIx
NjE5NDg0NTQ5Ij40Mjwva2V5PjwvZm9yZWlnbi1rZXlzPjxyZWYtdHlwZSBuYW1lPSJKb3VybmFs
IEFydGljbGUiPjE3PC9yZWYtdHlwZT48Y29udHJpYnV0b3JzPjxhdXRob3JzPjxhdXRob3I+VGFu
YWthLCBNYWtvdG88L2F1dGhvcj48YXV0aG9yPkl3YW8sIFlhc3VzaGk8L2F1dGhvcj48YXV0aG9y
PlNhc2FraSwgU2F0b3NoaTwvYXV0aG9yPjxhdXRob3I+T2thbW90bywgU3VzdW11PC9hdXRob3I+
PGF1dGhvcj5PZ2F0YSwgSGFydWhpa288L2F1dGhvcj48YXV0aG9yPkhpYmksIFRvc2hpZnVtaTwv
YXV0aG9yPjxhdXRob3I+S2F6dW1hLCBLZWlrbzwvYXV0aG9yPjwvYXV0aG9ycz48L2NvbnRyaWJ1
dG9ycz48dGl0bGVzPjx0aXRsZT5Nb2RlcmF0ZSBkaWV0YXJ5IHRlbXBlcmFuY2UgZWZmZWN0aXZl
bHkgcHJldmVudHMgcmVsYXBzZSBvZiBDcm9obiBkaXNlYXNlOiBhIHByb3NwZWN0aXZlIHN0dWR5
IG9mIHBhdGllbnRzIGluIHJlbWlzc2lvbjwvdGl0bGU+PHNlY29uZGFyeS10aXRsZT5HYXN0cm9l
bnRlcm9sb2d5IE51cnNpbmc8L3NlY29uZGFyeS10aXRsZT48L3RpdGxlcz48cGVyaW9kaWNhbD48
ZnVsbC10aXRsZT5HYXN0cm9lbnRlcm9sb2d5IE51cnNpbmc8L2Z1bGwtdGl0bGU+PC9wZXJpb2Rp
Y2FsPjxwYWdlcz4yMDItMjEwPC9wYWdlcz48dm9sdW1lPjMwPC92b2x1bWU+PG51bWJlcj4zPC9u
dW1iZXI+PGRhdGVzPjx5ZWFyPjIwMDc8L3llYXI+PC9kYXRlcz48aXNibj4xMDQyLTg5NVg8L2lz
Ym4+PHVybHM+PC91cmxzPjwvcmVjb3JkPjwvQ2l0ZT48Q2l0ZT48QXV0aG9yPkd1ZXJyZWlybzwv
QXV0aG9yPjxZZWFyPjIwMDk8L1llYXI+PFJlY051bT40NDwvUmVjTnVtPjxyZWNvcmQ+PHJlYy1u
dW1iZXI+NDQ8L3JlYy1udW1iZXI+PGZvcmVpZ24ta2V5cz48a2V5IGFwcD0iRU4iIGRiLWlkPSJ2
OWZzeHIweHphenNhZWVmcDI5NXY1cGp0NXAycndyMnZ2MDUiIHRpbWVzdGFtcD0iMTYxOTQ4NDYx
OSIgZ3VpZD0iNGRhOTY2NWUtOWZhMC00ODZlLWJlOTItMWY3MWMxZWEzMmZhIj40NDwva2V5Pjwv
Zm9yZWlnbi1rZXlzPjxyZWYtdHlwZSBuYW1lPSJKb3VybmFsIEFydGljbGUiPjE3PC9yZWYtdHlw
ZT48Y29udHJpYnV0b3JzPjxhdXRob3JzPjxhdXRob3I+R3VlcnJlaXJvLCBDYXRhcmluYSBTb3Vz
YTwvYXV0aG9yPjxhdXRob3I+RmVycmVpcmEsIFBhdWxhPC9hdXRob3I+PGF1dGhvcj5UYXZhcmVz
LCBMb3VyZGVzPC9hdXRob3I+PGF1dGhvcj5TYW50b3MsIFBhdWxhIE1vdXJhPC9hdXRob3I+PGF1
dGhvcj5OZXZlcywgTWFudWVsYTwvYXV0aG9yPjxhdXRob3I+QnJpdG8sIE1pZ3VlbDwvYXV0aG9y
PjxhdXRob3I+Q3Jhdm8sIE1hcsOtbGlhPC9hdXRob3I+PC9hdXRob3JzPjwvY29udHJpYnV0b3Jz
Pjx0aXRsZXM+PHRpdGxlPkZhdHR5IGFjaWRzLCBJTDYsIGFuZCBUTkbOsSBwb2x5bW9ycGhpc21z
OiBhbiBleGFtcGxlIG9mIG51dHJpZ2VuZXRpY3MgaW4gQ3JvaG4mYXBvcztzIGRpc2Vhc2U8L3Rp
dGxlPjxzZWNvbmRhcnktdGl0bGU+QW1lcmljYW4gSm91cm5hbCBvZiBHYXN0cm9lbnRlcm9sb2d5
PC9zZWNvbmRhcnktdGl0bGU+PC90aXRsZXM+PHBhZ2VzPjIyNDEtMjI0OTwvcGFnZXM+PHZvbHVt
ZT4xMDQ8L3ZvbHVtZT48bnVtYmVyPjk8L251bWJlcj48ZGF0ZXM+PHllYXI+MjAwOTwveWVhcj48
L2RhdGVzPjxpc2JuPjAwMDItOTI3MDwvaXNibj48dXJscz48L3VybHM+PC9yZWNvcmQ+PC9DaXRl
PjxDaXRlPjxBdXRob3I+RmVycmVpcmE8L0F1dGhvcj48WWVhcj4yMDEwPC9ZZWFyPjxSZWNOdW0+
NDU8L1JlY051bT48cmVjb3JkPjxyZWMtbnVtYmVyPjQ1PC9yZWMtbnVtYmVyPjxmb3JlaWduLWtl
eXM+PGtleSBhcHA9IkVOIiBkYi1pZD0idjlmc3hyMHh6YXpzYWVlZnAyOTV2NXBqdDVwMnJ3cjJ2
djA1IiB0aW1lc3RhbXA9IjE2MTk0ODQ2NTIiIGd1aWQ9IjhiNmY2MzczLTkxMmMtNGJlYS04N2Yx
LWJlODk1YmI4MGIxNCI+NDU8L2tleT48L2ZvcmVpZ24ta2V5cz48cmVmLXR5cGUgbmFtZT0iSm91
cm5hbCBBcnRpY2xlIj4xNzwvcmVmLXR5cGU+PGNvbnRyaWJ1dG9ycz48YXV0aG9ycz48YXV0aG9y
PkZlcnJlaXJhLCBQYXVsYTwvYXV0aG9yPjxhdXRob3I+Q3Jhdm8sIE1hcsOtbGlhPC9hdXRob3I+
PGF1dGhvcj5HdWVycmVpcm8sIENhdGFyaW5hIFNvdXNhPC9hdXRob3I+PGF1dGhvcj5UYXZhcmVz
LCBMb3VyZGVzPC9hdXRob3I+PGF1dGhvcj5TYW50b3MsIFBhdWxhIE1vdXJhPC9hdXRob3I+PGF1
dGhvcj5Ccml0bywgTWlndWVsPC9hdXRob3I+PC9hdXRob3JzPjwvY29udHJpYnV0b3JzPjx0aXRs
ZXM+PHRpdGxlPkZhdCBpbnRha2UgaW50ZXJhY3RzIHdpdGggcG9seW1vcnBoaXNtcyBvZiBDYXNw
YXNlOSwgRmFzTGlnYW5kIGFuZCBQUEFSZ2FtbWEgYXBvcHRvdGljIGdlbmVzIGluIG1vZHVsYXRp
bmcgQ3JvaG7igJlzIGRpc2Vhc2UgYWN0aXZpdHk8L3RpdGxlPjxzZWNvbmRhcnktdGl0bGU+Q2xp
bmljYWwgbnV0cml0aW9uPC9zZWNvbmRhcnktdGl0bGU+PC90aXRsZXM+PHBhZ2VzPjgxOS04MjM8
L3BhZ2VzPjx2b2x1bWU+Mjk8L3ZvbHVtZT48bnVtYmVyPjY8L251bWJlcj48ZGF0ZXM+PHllYXI+
MjAxMDwveWVhcj48L2RhdGVzPjxpc2JuPjAyNjEtNTYxNDwvaXNibj48dXJscz48L3VybHM+PC9y
ZWNvcmQ+PC9DaXRlPjwvRW5kTm90ZT4A
</w:fldData>
        </w:fldChar>
      </w:r>
      <w:r w:rsidR="00D733B1">
        <w:rPr>
          <w:rFonts w:ascii="Times New Roman" w:hAnsi="Times New Roman" w:cs="Times New Roman"/>
          <w:sz w:val="24"/>
          <w:szCs w:val="24"/>
        </w:rPr>
        <w:instrText xml:space="preserve"> ADDIN EN.CITE </w:instrText>
      </w:r>
      <w:r w:rsidR="00D733B1">
        <w:rPr>
          <w:rFonts w:ascii="Times New Roman" w:hAnsi="Times New Roman" w:cs="Times New Roman"/>
          <w:sz w:val="24"/>
          <w:szCs w:val="24"/>
        </w:rPr>
        <w:fldChar w:fldCharType="begin">
          <w:fldData xml:space="preserve">PEVuZE5vdGU+PENpdGU+PEF1dGhvcj5UYW5ha2E8L0F1dGhvcj48WWVhcj4yMDA3PC9ZZWFyPjxS
ZWNOdW0+NDI8L1JlY051bT48RGlzcGxheVRleHQ+KDIyLTI0KTwvRGlzcGxheVRleHQ+PHJlY29y
ZD48cmVjLW51bWJlcj40MjwvcmVjLW51bWJlcj48Zm9yZWlnbi1rZXlzPjxrZXkgYXBwPSJFTiIg
ZGItaWQ9ImQyd2E5ejkybjB6enR6ZWFkMmF2NXNlYmF3MHdkZnoweDl6ZiIgdGltZXN0YW1wPSIx
NjE5NDg0NTQ5Ij40Mjwva2V5PjwvZm9yZWlnbi1rZXlzPjxyZWYtdHlwZSBuYW1lPSJKb3VybmFs
IEFydGljbGUiPjE3PC9yZWYtdHlwZT48Y29udHJpYnV0b3JzPjxhdXRob3JzPjxhdXRob3I+VGFu
YWthLCBNYWtvdG88L2F1dGhvcj48YXV0aG9yPkl3YW8sIFlhc3VzaGk8L2F1dGhvcj48YXV0aG9y
PlNhc2FraSwgU2F0b3NoaTwvYXV0aG9yPjxhdXRob3I+T2thbW90bywgU3VzdW11PC9hdXRob3I+
PGF1dGhvcj5PZ2F0YSwgSGFydWhpa288L2F1dGhvcj48YXV0aG9yPkhpYmksIFRvc2hpZnVtaTwv
YXV0aG9yPjxhdXRob3I+S2F6dW1hLCBLZWlrbzwvYXV0aG9yPjwvYXV0aG9ycz48L2NvbnRyaWJ1
dG9ycz48dGl0bGVzPjx0aXRsZT5Nb2RlcmF0ZSBkaWV0YXJ5IHRlbXBlcmFuY2UgZWZmZWN0aXZl
bHkgcHJldmVudHMgcmVsYXBzZSBvZiBDcm9obiBkaXNlYXNlOiBhIHByb3NwZWN0aXZlIHN0dWR5
IG9mIHBhdGllbnRzIGluIHJlbWlzc2lvbjwvdGl0bGU+PHNlY29uZGFyeS10aXRsZT5HYXN0cm9l
bnRlcm9sb2d5IE51cnNpbmc8L3NlY29uZGFyeS10aXRsZT48L3RpdGxlcz48cGVyaW9kaWNhbD48
ZnVsbC10aXRsZT5HYXN0cm9lbnRlcm9sb2d5IE51cnNpbmc8L2Z1bGwtdGl0bGU+PC9wZXJpb2Rp
Y2FsPjxwYWdlcz4yMDItMjEwPC9wYWdlcz48dm9sdW1lPjMwPC92b2x1bWU+PG51bWJlcj4zPC9u
dW1iZXI+PGRhdGVzPjx5ZWFyPjIwMDc8L3llYXI+PC9kYXRlcz48aXNibj4xMDQyLTg5NVg8L2lz
Ym4+PHVybHM+PC91cmxzPjwvcmVjb3JkPjwvQ2l0ZT48Q2l0ZT48QXV0aG9yPkd1ZXJyZWlybzwv
QXV0aG9yPjxZZWFyPjIwMDk8L1llYXI+PFJlY051bT40NDwvUmVjTnVtPjxyZWNvcmQ+PHJlYy1u
dW1iZXI+NDQ8L3JlYy1udW1iZXI+PGZvcmVpZ24ta2V5cz48a2V5IGFwcD0iRU4iIGRiLWlkPSJ2
OWZzeHIweHphenNhZWVmcDI5NXY1cGp0NXAycndyMnZ2MDUiIHRpbWVzdGFtcD0iMTYxOTQ4NDYx
OSIgZ3VpZD0iNGRhOTY2NWUtOWZhMC00ODZlLWJlOTItMWY3MWMxZWEzMmZhIj40NDwva2V5Pjwv
Zm9yZWlnbi1rZXlzPjxyZWYtdHlwZSBuYW1lPSJKb3VybmFsIEFydGljbGUiPjE3PC9yZWYtdHlw
ZT48Y29udHJpYnV0b3JzPjxhdXRob3JzPjxhdXRob3I+R3VlcnJlaXJvLCBDYXRhcmluYSBTb3Vz
YTwvYXV0aG9yPjxhdXRob3I+RmVycmVpcmEsIFBhdWxhPC9hdXRob3I+PGF1dGhvcj5UYXZhcmVz
LCBMb3VyZGVzPC9hdXRob3I+PGF1dGhvcj5TYW50b3MsIFBhdWxhIE1vdXJhPC9hdXRob3I+PGF1
dGhvcj5OZXZlcywgTWFudWVsYTwvYXV0aG9yPjxhdXRob3I+QnJpdG8sIE1pZ3VlbDwvYXV0aG9y
PjxhdXRob3I+Q3Jhdm8sIE1hcsOtbGlhPC9hdXRob3I+PC9hdXRob3JzPjwvY29udHJpYnV0b3Jz
Pjx0aXRsZXM+PHRpdGxlPkZhdHR5IGFjaWRzLCBJTDYsIGFuZCBUTkbOsSBwb2x5bW9ycGhpc21z
OiBhbiBleGFtcGxlIG9mIG51dHJpZ2VuZXRpY3MgaW4gQ3JvaG4mYXBvcztzIGRpc2Vhc2U8L3Rp
dGxlPjxzZWNvbmRhcnktdGl0bGU+QW1lcmljYW4gSm91cm5hbCBvZiBHYXN0cm9lbnRlcm9sb2d5
PC9zZWNvbmRhcnktdGl0bGU+PC90aXRsZXM+PHBhZ2VzPjIyNDEtMjI0OTwvcGFnZXM+PHZvbHVt
ZT4xMDQ8L3ZvbHVtZT48bnVtYmVyPjk8L251bWJlcj48ZGF0ZXM+PHllYXI+MjAwOTwveWVhcj48
L2RhdGVzPjxpc2JuPjAwMDItOTI3MDwvaXNibj48dXJscz48L3VybHM+PC9yZWNvcmQ+PC9DaXRl
PjxDaXRlPjxBdXRob3I+RmVycmVpcmE8L0F1dGhvcj48WWVhcj4yMDEwPC9ZZWFyPjxSZWNOdW0+
NDU8L1JlY051bT48cmVjb3JkPjxyZWMtbnVtYmVyPjQ1PC9yZWMtbnVtYmVyPjxmb3JlaWduLWtl
eXM+PGtleSBhcHA9IkVOIiBkYi1pZD0idjlmc3hyMHh6YXpzYWVlZnAyOTV2NXBqdDVwMnJ3cjJ2
djA1IiB0aW1lc3RhbXA9IjE2MTk0ODQ2NTIiIGd1aWQ9IjhiNmY2MzczLTkxMmMtNGJlYS04N2Yx
LWJlODk1YmI4MGIxNCI+NDU8L2tleT48L2ZvcmVpZ24ta2V5cz48cmVmLXR5cGUgbmFtZT0iSm91
cm5hbCBBcnRpY2xlIj4xNzwvcmVmLXR5cGU+PGNvbnRyaWJ1dG9ycz48YXV0aG9ycz48YXV0aG9y
PkZlcnJlaXJhLCBQYXVsYTwvYXV0aG9yPjxhdXRob3I+Q3Jhdm8sIE1hcsOtbGlhPC9hdXRob3I+
PGF1dGhvcj5HdWVycmVpcm8sIENhdGFyaW5hIFNvdXNhPC9hdXRob3I+PGF1dGhvcj5UYXZhcmVz
LCBMb3VyZGVzPC9hdXRob3I+PGF1dGhvcj5TYW50b3MsIFBhdWxhIE1vdXJhPC9hdXRob3I+PGF1
dGhvcj5Ccml0bywgTWlndWVsPC9hdXRob3I+PC9hdXRob3JzPjwvY29udHJpYnV0b3JzPjx0aXRs
ZXM+PHRpdGxlPkZhdCBpbnRha2UgaW50ZXJhY3RzIHdpdGggcG9seW1vcnBoaXNtcyBvZiBDYXNw
YXNlOSwgRmFzTGlnYW5kIGFuZCBQUEFSZ2FtbWEgYXBvcHRvdGljIGdlbmVzIGluIG1vZHVsYXRp
bmcgQ3JvaG7igJlzIGRpc2Vhc2UgYWN0aXZpdHk8L3RpdGxlPjxzZWNvbmRhcnktdGl0bGU+Q2xp
bmljYWwgbnV0cml0aW9uPC9zZWNvbmRhcnktdGl0bGU+PC90aXRsZXM+PHBhZ2VzPjgxOS04MjM8
L3BhZ2VzPjx2b2x1bWU+Mjk8L3ZvbHVtZT48bnVtYmVyPjY8L251bWJlcj48ZGF0ZXM+PHllYXI+
MjAxMDwveWVhcj48L2RhdGVzPjxpc2JuPjAyNjEtNTYxNDwvaXNibj48dXJscz48L3VybHM+PC9y
ZWNvcmQ+PC9DaXRlPjwvRW5kTm90ZT4A
</w:fldData>
        </w:fldChar>
      </w:r>
      <w:r w:rsidR="00D733B1">
        <w:rPr>
          <w:rFonts w:ascii="Times New Roman" w:hAnsi="Times New Roman" w:cs="Times New Roman"/>
          <w:sz w:val="24"/>
          <w:szCs w:val="24"/>
        </w:rPr>
        <w:instrText xml:space="preserve"> ADDIN EN.CITE.DATA </w:instrText>
      </w:r>
      <w:r w:rsidR="00D733B1">
        <w:rPr>
          <w:rFonts w:ascii="Times New Roman" w:hAnsi="Times New Roman" w:cs="Times New Roman"/>
          <w:sz w:val="24"/>
          <w:szCs w:val="24"/>
        </w:rPr>
      </w:r>
      <w:r w:rsidR="00D733B1">
        <w:rPr>
          <w:rFonts w:ascii="Times New Roman" w:hAnsi="Times New Roman" w:cs="Times New Roman"/>
          <w:sz w:val="24"/>
          <w:szCs w:val="24"/>
        </w:rPr>
        <w:fldChar w:fldCharType="end"/>
      </w:r>
      <w:r w:rsidRPr="00715A92">
        <w:rPr>
          <w:rFonts w:ascii="Times New Roman" w:hAnsi="Times New Roman" w:cs="Times New Roman"/>
          <w:sz w:val="24"/>
          <w:szCs w:val="24"/>
        </w:rPr>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(22-24)</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xml:space="preserve">. Mice with ileitis or colitis (induced by genetic manipulation or exposure to chemicals) fed a high-fat diet (HFD) were found to have increased small intestinal or colonic inflammation and barrier dysfunction </w:t>
      </w:r>
      <w:r w:rsidRPr="00715A92">
        <w:rPr>
          <w:rFonts w:ascii="Times New Roman" w:hAnsi="Times New Roman" w:cs="Times New Roman"/>
          <w:sz w:val="24"/>
          <w:szCs w:val="24"/>
        </w:rPr>
        <w:fldChar w:fldCharType="begin">
          <w:fldData xml:space="preserve">PEVuZE5vdGU+PENpdGU+PEF1dGhvcj5HcnViZXI8L0F1dGhvcj48WWVhcj4yMDEzPC9ZZWFyPjxS
ZWNOdW0+NDY8L1JlY051bT48RGlzcGxheVRleHQ+KDI1LTI5KTwvRGlzcGxheVRleHQ+PHJlY29y
ZD48cmVjLW51bWJlcj40NjwvcmVjLW51bWJlcj48Zm9yZWlnbi1rZXlzPjxrZXkgYXBwPSJFTiIg
ZGItaWQ9InY5ZnN4cjB4emF6c2FlZWZwMjk1djVwanQ1cDJyd3IydnYwNSIgdGltZXN0YW1wPSIx
NjE5NDg3MjE5IiBndWlkPSI5NTUwMTg1NS1mZjE5LTQ1ZGItYmJhZi04YTQwNjEyOWU5YjUiPjQ2
PC9rZXk+PC9mb3JlaWduLWtleXM+PHJlZi10eXBlIG5hbWU9IkpvdXJuYWwgQXJ0aWNsZSI+MTc8
L3JlZi10eXBlPjxjb250cmlidXRvcnM+PGF1dGhvcnM+PGF1dGhvcj5HcnViZXIsIExpc2E8L2F1
dGhvcj48YXV0aG9yPktpc2xpbmcsIFNpZ3JpZDwvYXV0aG9yPjxhdXRob3I+TGljaHRpLCBQaWE8
L2F1dGhvcj48YXV0aG9yPk1hcnRpbiwgRnJhbsOnb2lzLVBpZXJyZTwvYXV0aG9yPjxhdXRob3I+
TWF5LCBTdGVwaGFuaWU8L2F1dGhvcj48YXV0aG9yPktsaW5nZW5zcG9yLCBNYXJ0aW48L2F1dGhv
cj48YXV0aG9yPkxpY2h0ZW5lZ2dlciwgTWFydGluYTwvYXV0aG9yPjxhdXRob3I+UnljaGxpaywg
TWljaGFlbDwvYXV0aG9yPjxhdXRob3I+SGFsbGVyLCBEaXJrPC9hdXRob3I+PC9hdXRob3JzPjwv
Y29udHJpYnV0b3JzPjx0aXRsZXM+PHRpdGxlPkhpZ2ggZmF0IGRpZXQgYWNjZWxlcmF0ZXMgcGF0
aG9nZW5lc2lzIG9mIG11cmluZSBDcm9obuKAmXMgZGlzZWFzZS1saWtlIGlsZWl0aXMgaW5kZXBl
bmRlbnRseSBvZiBvYmVzaXR5PC90aXRsZT48c2Vjb25kYXJ5LXRpdGxlPlBsb1Mgb25lPC9zZWNv
bmRhcnktdGl0bGU+PC90aXRsZXM+PHBhZ2VzPmU3MTY2MTwvcGFnZXM+PHZvbHVtZT44PC92b2x1
bWU+PG51bWJlcj44PC9udW1iZXI+PGRhdGVzPjx5ZWFyPjIwMTM8L3llYXI+PC9kYXRlcz48aXNi
bj4xOTMyLTYyMDM8L2lzYm4+PHVybHM+PC91cmxzPjwvcmVjb3JkPjwvQ2l0ZT48Q2l0ZT48QXV0
aG9yPlBhaWs8L0F1dGhvcj48WWVhcj4yMDEzPC9ZZWFyPjxSZWNOdW0+NDc8L1JlY051bT48cmVj
b3JkPjxyZWMtbnVtYmVyPjQ3PC9yZWMtbnVtYmVyPjxmb3JlaWduLWtleXM+PGtleSBhcHA9IkVO
IiBkYi1pZD0idjlmc3hyMHh6YXpzYWVlZnAyOTV2NXBqdDVwMnJ3cjJ2djA1IiB0aW1lc3RhbXA9
IjE2MTk0ODcyNTQiIGd1aWQ9IjNkNDg3NGNkLTM4MzQtNGYxMC1hZTJmLTY0ZmZlNmUzYTY1NCI+
NDc8L2tleT48L2ZvcmVpZ24ta2V5cz48cmVmLXR5cGUgbmFtZT0iSm91cm5hbCBBcnRpY2xlIj4x
NzwvcmVmLXR5cGU+PGNvbnRyaWJ1dG9ycz48YXV0aG9ycz48YXV0aG9yPlBhaWssIEppc3VuPC9h
dXRob3I+PGF1dGhvcj5GaWVyY2UsIFl2ZXR0ZTwvYXV0aG9yPjxhdXRob3I+VHJldXRpbmcsIFBp
cGVyIE08L2F1dGhvcj48YXV0aG9yPkJyYWJiLCBUaGVhPC9hdXRob3I+PGF1dGhvcj5NYWdnaW8t
UHJpY2UsIExpbGxpYW48L2F1dGhvcj48L2F1dGhvcnM+PC9jb250cmlidXRvcnM+PHRpdGxlcz48
dGl0bGU+SGlnaC1mYXQgZGlldC1pbmR1Y2VkIG9iZXNpdHkgZXhhY2VyYmF0ZXMgaW5mbGFtbWF0
b3J5IGJvd2VsIGRpc2Vhc2UgaW4gZ2VuZXRpY2FsbHkgc3VzY2VwdGlibGUgTWRyMWHiiJIv4oiS
IG1hbGUgbWljZTwvdGl0bGU+PHNlY29uZGFyeS10aXRsZT5UaGUgSm91cm5hbCBvZiBudXRyaXRp
b248L3NlY29uZGFyeS10aXRsZT48L3RpdGxlcz48cGFnZXM+MTI0MC0xMjQ3PC9wYWdlcz48dm9s
dW1lPjE0Mzwvdm9sdW1lPjxudW1iZXI+ODwvbnVtYmVyPjxkYXRlcz48eWVhcj4yMDEzPC95ZWFy
PjwvZGF0ZXM+PGlzYm4+MDAyMi0zMTY2PC9pc2JuPjx1cmxzPjwvdXJscz48L3JlY29yZD48L0Np
dGU+PENpdGU+PEF1dGhvcj52YW4gZGVyIExvZ3Q8L0F1dGhvcj48WWVhcj4yMDEzPC9ZZWFyPjxS
ZWNOdW0+NDg8L1JlY051bT48cmVjb3JkPjxyZWMtbnVtYmVyPjQ4PC9yZWMtbnVtYmVyPjxmb3Jl
aWduLWtleXM+PGtleSBhcHA9IkVOIiBkYi1pZD0idjlmc3hyMHh6YXpzYWVlZnAyOTV2NXBqdDVw
MnJ3cjJ2djA1IiB0aW1lc3RhbXA9IjE2MTk0ODcyODIiIGd1aWQ9ImY1YjQ0ZTZhLTkyOWEtNDQz
MC04NTA3LWJkMzFhMjNhYzc2ZSI+NDg8L2tleT48L2ZvcmVpZ24ta2V5cz48cmVmLXR5cGUgbmFt
ZT0iSm91cm5hbCBBcnRpY2xlIj4xNzwvcmVmLXR5cGU+PGNvbnRyaWJ1dG9ycz48YXV0aG9ycz48
YXV0aG9yPnZhbiBkZXIgTG9ndCwgRWxpc2UgTUo8L2F1dGhvcj48YXV0aG9yPkJsb2t6aWpsLCBU
amFzc288L2F1dGhvcj48YXV0aG9yPnZhbiBkZXIgTWVlciwgUm9lbG9mPC9hdXRob3I+PGF1dGhv
cj5GYWJlciwgS2xhYXMgTmljbzwvYXV0aG9yPjxhdXRob3I+RGlqa3N0cmEsIEdlcmFyZDwvYXV0
aG9yPjwvYXV0aG9ycz48L2NvbnRyaWJ1dG9ycz48dGl0bGVzPjx0aXRsZT5XZXN0ZXJuaXplZCBo
aWdoLWZhdCBkaWV0IGFjY2VsZXJhdGVzIHdlaWdodCBsb3NzIGluIGRleHRyYW4gc3VsZmF0ZSBz
b2RpdW0taW5kdWNlZCBjb2xpdGlzIGluIG1pY2UsIHdoaWNoIGlzIGZ1cnRoZXIgYWdncmF2YXRl
ZCBieSBzdXBwbGVtZW50YXRpb24gb2YgaGVtZTwvdGl0bGU+PHNlY29uZGFyeS10aXRsZT5UaGUg
Sm91cm5hbCBvZiBudXRyaXRpb25hbCBiaW9jaGVtaXN0cnk8L3NlY29uZGFyeS10aXRsZT48L3Rp
dGxlcz48cGFnZXM+MTE1OS0xMTY1PC9wYWdlcz48dm9sdW1lPjI0PC92b2x1bWU+PG51bWJlcj42
PC9udW1iZXI+PGRhdGVzPjx5ZWFyPjIwMTM8L3llYXI+PC9kYXRlcz48aXNibj4wOTU1LTI4NjM8
L2lzYm4+PHVybHM+PC91cmxzPjwvcmVjb3JkPjwvQ2l0ZT48Q2l0ZT48QXV0aG9yPk1hPC9BdXRo
b3I+PFllYXI+MjAwODwvWWVhcj48UmVjTnVtPjQ5PC9SZWNOdW0+PHJlY29yZD48cmVjLW51bWJl
cj40OTwvcmVjLW51bWJlcj48Zm9yZWlnbi1rZXlzPjxrZXkgYXBwPSJFTiIgZGItaWQ9InY5ZnN4
cjB4emF6c2FlZWZwMjk1djVwanQ1cDJyd3IydnYwNSIgdGltZXN0YW1wPSIxNjE5NDg3MzIwIiBn
dWlkPSJlYjNhOWUwNS05ODAwLTQ0MjAtYTM4MS04NWI3Mjk5NzAxODkiPjQ5PC9rZXk+PC9mb3Jl
aWduLWtleXM+PHJlZi10eXBlIG5hbWU9IkpvdXJuYWwgQXJ0aWNsZSI+MTc8L3JlZi10eXBlPjxj
b250cmlidXRvcnM+PGF1dGhvcnM+PGF1dGhvcj5NYSwgWDwvYXV0aG9yPjxhdXRob3I+VG9yYmVu
c29uLCBNPC9hdXRob3I+PGF1dGhvcj5IYW1hZCwgQVJBPC9hdXRob3I+PGF1dGhvcj5Tb2xvc2tp
LCBNSjwvYXV0aG9yPjxhdXRob3I+TGksIFo8L2F1dGhvcj48L2F1dGhvcnM+PC9jb250cmlidXRv
cnM+PHRpdGxlcz48dGl0bGU+SGlnaOKAkGZhdCBkaWV0IG1vZHVsYXRlcyBub27igJBDRDFk4oCQ
cmVzdHJpY3RlZCBuYXR1cmFsIGtpbGxlciBUIGNlbGxzIGFuZCByZWd1bGF0b3J5IFQgY2VsbHMg
aW4gbW91c2UgY29sb24gYW5kIGV4YWNlcmJhdGVzIGV4cGVyaW1lbnRhbCBjb2xpdGlzPC90aXRs
ZT48c2Vjb25kYXJ5LXRpdGxlPkNsaW5pY2FsICZhbXA7IEV4cGVyaW1lbnRhbCBJbW11bm9sb2d5
PC9zZWNvbmRhcnktdGl0bGU+PC90aXRsZXM+PHBhZ2VzPjEzMC0xMzg8L3BhZ2VzPjx2b2x1bWU+
MTUxPC92b2x1bWU+PG51bWJlcj4xPC9udW1iZXI+PGRhdGVzPjx5ZWFyPjIwMDg8L3llYXI+PC9k
YXRlcz48aXNibj4wMDA5LTkxMDQ8L2lzYm4+PHVybHM+PC91cmxzPjwvcmVjb3JkPjwvQ2l0ZT48
Q2l0ZT48QXV0aG9yPlJvaHI8L0F1dGhvcj48WWVhcj4yMDIwPC9ZZWFyPjxSZWNOdW0+NTE8L1Jl
Y051bT48cmVjb3JkPjxyZWMtbnVtYmVyPjUxPC9yZWMtbnVtYmVyPjxmb3JlaWduLWtleXM+PGtl
eSBhcHA9IkVOIiBkYi1pZD0idjlmc3hyMHh6YXpzYWVlZnAyOTV2NXBqdDVwMnJ3cjJ2djA1IiB0
aW1lc3RhbXA9IjE2MTk0ODc1NDgiIGd1aWQ9IjRmOGMxMzUwLTk2YTktNGM4Mi04MzNkLWI4Y2Fl
M2Y3YzllNCI+NTE8L2tleT48L2ZvcmVpZ24ta2V5cz48cmVmLXR5cGUgbmFtZT0iSm91cm5hbCBB
cnRpY2xlIj4xNzwvcmVmLXR5cGU+PGNvbnRyaWJ1dG9ycz48YXV0aG9ycz48YXV0aG9yPlJvaHIs
IE1pY2hhZWwgVzwvYXV0aG9yPjxhdXRob3I+TmFyYXNpbWh1bHUsIENoYW5kcmFrYWxhIEE8L2F1
dGhvcj48YXV0aG9yPlJ1ZGVza2ktUm9ociwgVHJpbmEgQTwvYXV0aG9yPjxhdXRob3I+UGFydGhh
c2FyYXRoeSwgU2FtcGF0aDwvYXV0aG9yPjwvYXV0aG9ycz48L2NvbnRyaWJ1dG9ycz48dGl0bGVz
Pjx0aXRsZT5OZWdhdGl2ZSBlZmZlY3RzIG9mIGEgaGlnaC1mYXQgZGlldCBvbiBpbnRlc3RpbmFs
IHBlcm1lYWJpbGl0eTogYSByZXZpZXc8L3RpdGxlPjxzZWNvbmRhcnktdGl0bGU+QWR2YW5jZXMg
aW4gTnV0cml0aW9uPC9zZWNvbmRhcnktdGl0bGU+PC90aXRsZXM+PHBhZ2VzPjc3LTkxPC9wYWdl
cz48dm9sdW1lPjExPC92b2x1bWU+PG51bWJlcj4xPC9udW1iZXI+PGRhdGVzPjx5ZWFyPjIwMjA8
L3llYXI+PC9kYXRlcz48aXNibj4yMTYxLTgzMTM8L2lzYm4+PHVybHM+PC91cmxzPjwvcmVjb3Jk
PjwvQ2l0ZT48L0VuZE5vdGU+AG==
</w:fldData>
        </w:fldChar>
      </w:r>
      <w:r w:rsidR="00D733B1">
        <w:rPr>
          <w:rFonts w:ascii="Times New Roman" w:hAnsi="Times New Roman" w:cs="Times New Roman"/>
          <w:sz w:val="24"/>
          <w:szCs w:val="24"/>
        </w:rPr>
        <w:instrText xml:space="preserve"> ADDIN EN.CITE </w:instrText>
      </w:r>
      <w:r w:rsidR="00D733B1">
        <w:rPr>
          <w:rFonts w:ascii="Times New Roman" w:hAnsi="Times New Roman" w:cs="Times New Roman"/>
          <w:sz w:val="24"/>
          <w:szCs w:val="24"/>
        </w:rPr>
        <w:fldChar w:fldCharType="begin">
          <w:fldData xml:space="preserve">PEVuZE5vdGU+PENpdGU+PEF1dGhvcj5HcnViZXI8L0F1dGhvcj48WWVhcj4yMDEzPC9ZZWFyPjxS
ZWNOdW0+NDY8L1JlY051bT48RGlzcGxheVRleHQ+KDI1LTI5KTwvRGlzcGxheVRleHQ+PHJlY29y
ZD48cmVjLW51bWJlcj40NjwvcmVjLW51bWJlcj48Zm9yZWlnbi1rZXlzPjxrZXkgYXBwPSJFTiIg
ZGItaWQ9InY5ZnN4cjB4emF6c2FlZWZwMjk1djVwanQ1cDJyd3IydnYwNSIgdGltZXN0YW1wPSIx
NjE5NDg3MjE5IiBndWlkPSI5NTUwMTg1NS1mZjE5LTQ1ZGItYmJhZi04YTQwNjEyOWU5YjUiPjQ2
PC9rZXk+PC9mb3JlaWduLWtleXM+PHJlZi10eXBlIG5hbWU9IkpvdXJuYWwgQXJ0aWNsZSI+MTc8
L3JlZi10eXBlPjxjb250cmlidXRvcnM+PGF1dGhvcnM+PGF1dGhvcj5HcnViZXIsIExpc2E8L2F1
dGhvcj48YXV0aG9yPktpc2xpbmcsIFNpZ3JpZDwvYXV0aG9yPjxhdXRob3I+TGljaHRpLCBQaWE8
L2F1dGhvcj48YXV0aG9yPk1hcnRpbiwgRnJhbsOnb2lzLVBpZXJyZTwvYXV0aG9yPjxhdXRob3I+
TWF5LCBTdGVwaGFuaWU8L2F1dGhvcj48YXV0aG9yPktsaW5nZW5zcG9yLCBNYXJ0aW48L2F1dGhv
cj48YXV0aG9yPkxpY2h0ZW5lZ2dlciwgTWFydGluYTwvYXV0aG9yPjxhdXRob3I+UnljaGxpaywg
TWljaGFlbDwvYXV0aG9yPjxhdXRob3I+SGFsbGVyLCBEaXJrPC9hdXRob3I+PC9hdXRob3JzPjwv
Y29udHJpYnV0b3JzPjx0aXRsZXM+PHRpdGxlPkhpZ2ggZmF0IGRpZXQgYWNjZWxlcmF0ZXMgcGF0
aG9nZW5lc2lzIG9mIG11cmluZSBDcm9obuKAmXMgZGlzZWFzZS1saWtlIGlsZWl0aXMgaW5kZXBl
bmRlbnRseSBvZiBvYmVzaXR5PC90aXRsZT48c2Vjb25kYXJ5LXRpdGxlPlBsb1Mgb25lPC9zZWNv
bmRhcnktdGl0bGU+PC90aXRsZXM+PHBhZ2VzPmU3MTY2MTwvcGFnZXM+PHZvbHVtZT44PC92b2x1
bWU+PG51bWJlcj44PC9udW1iZXI+PGRhdGVzPjx5ZWFyPjIwMTM8L3llYXI+PC9kYXRlcz48aXNi
bj4xOTMyLTYyMDM8L2lzYm4+PHVybHM+PC91cmxzPjwvcmVjb3JkPjwvQ2l0ZT48Q2l0ZT48QXV0
aG9yPlBhaWs8L0F1dGhvcj48WWVhcj4yMDEzPC9ZZWFyPjxSZWNOdW0+NDc8L1JlY051bT48cmVj
b3JkPjxyZWMtbnVtYmVyPjQ3PC9yZWMtbnVtYmVyPjxmb3JlaWduLWtleXM+PGtleSBhcHA9IkVO
IiBkYi1pZD0idjlmc3hyMHh6YXpzYWVlZnAyOTV2NXBqdDVwMnJ3cjJ2djA1IiB0aW1lc3RhbXA9
IjE2MTk0ODcyNTQiIGd1aWQ9IjNkNDg3NGNkLTM4MzQtNGYxMC1hZTJmLTY0ZmZlNmUzYTY1NCI+
NDc8L2tleT48L2ZvcmVpZ24ta2V5cz48cmVmLXR5cGUgbmFtZT0iSm91cm5hbCBBcnRpY2xlIj4x
NzwvcmVmLXR5cGU+PGNvbnRyaWJ1dG9ycz48YXV0aG9ycz48YXV0aG9yPlBhaWssIEppc3VuPC9h
dXRob3I+PGF1dGhvcj5GaWVyY2UsIFl2ZXR0ZTwvYXV0aG9yPjxhdXRob3I+VHJldXRpbmcsIFBp
cGVyIE08L2F1dGhvcj48YXV0aG9yPkJyYWJiLCBUaGVhPC9hdXRob3I+PGF1dGhvcj5NYWdnaW8t
UHJpY2UsIExpbGxpYW48L2F1dGhvcj48L2F1dGhvcnM+PC9jb250cmlidXRvcnM+PHRpdGxlcz48
dGl0bGU+SGlnaC1mYXQgZGlldC1pbmR1Y2VkIG9iZXNpdHkgZXhhY2VyYmF0ZXMgaW5mbGFtbWF0
b3J5IGJvd2VsIGRpc2Vhc2UgaW4gZ2VuZXRpY2FsbHkgc3VzY2VwdGlibGUgTWRyMWHiiJIv4oiS
IG1hbGUgbWljZTwvdGl0bGU+PHNlY29uZGFyeS10aXRsZT5UaGUgSm91cm5hbCBvZiBudXRyaXRp
b248L3NlY29uZGFyeS10aXRsZT48L3RpdGxlcz48cGFnZXM+MTI0MC0xMjQ3PC9wYWdlcz48dm9s
dW1lPjE0Mzwvdm9sdW1lPjxudW1iZXI+ODwvbnVtYmVyPjxkYXRlcz48eWVhcj4yMDEzPC95ZWFy
PjwvZGF0ZXM+PGlzYm4+MDAyMi0zMTY2PC9pc2JuPjx1cmxzPjwvdXJscz48L3JlY29yZD48L0Np
dGU+PENpdGU+PEF1dGhvcj52YW4gZGVyIExvZ3Q8L0F1dGhvcj48WWVhcj4yMDEzPC9ZZWFyPjxS
ZWNOdW0+NDg8L1JlY051bT48cmVjb3JkPjxyZWMtbnVtYmVyPjQ4PC9yZWMtbnVtYmVyPjxmb3Jl
aWduLWtleXM+PGtleSBhcHA9IkVOIiBkYi1pZD0idjlmc3hyMHh6YXpzYWVlZnAyOTV2NXBqdDVw
MnJ3cjJ2djA1IiB0aW1lc3RhbXA9IjE2MTk0ODcyODIiIGd1aWQ9ImY1YjQ0ZTZhLTkyOWEtNDQz
MC04NTA3LWJkMzFhMjNhYzc2ZSI+NDg8L2tleT48L2ZvcmVpZ24ta2V5cz48cmVmLXR5cGUgbmFt
ZT0iSm91cm5hbCBBcnRpY2xlIj4xNzwvcmVmLXR5cGU+PGNvbnRyaWJ1dG9ycz48YXV0aG9ycz48
YXV0aG9yPnZhbiBkZXIgTG9ndCwgRWxpc2UgTUo8L2F1dGhvcj48YXV0aG9yPkJsb2t6aWpsLCBU
amFzc288L2F1dGhvcj48YXV0aG9yPnZhbiBkZXIgTWVlciwgUm9lbG9mPC9hdXRob3I+PGF1dGhv
cj5GYWJlciwgS2xhYXMgTmljbzwvYXV0aG9yPjxhdXRob3I+RGlqa3N0cmEsIEdlcmFyZDwvYXV0
aG9yPjwvYXV0aG9ycz48L2NvbnRyaWJ1dG9ycz48dGl0bGVzPjx0aXRsZT5XZXN0ZXJuaXplZCBo
aWdoLWZhdCBkaWV0IGFjY2VsZXJhdGVzIHdlaWdodCBsb3NzIGluIGRleHRyYW4gc3VsZmF0ZSBz
b2RpdW0taW5kdWNlZCBjb2xpdGlzIGluIG1pY2UsIHdoaWNoIGlzIGZ1cnRoZXIgYWdncmF2YXRl
ZCBieSBzdXBwbGVtZW50YXRpb24gb2YgaGVtZTwvdGl0bGU+PHNlY29uZGFyeS10aXRsZT5UaGUg
Sm91cm5hbCBvZiBudXRyaXRpb25hbCBiaW9jaGVtaXN0cnk8L3NlY29uZGFyeS10aXRsZT48L3Rp
dGxlcz48cGFnZXM+MTE1OS0xMTY1PC9wYWdlcz48dm9sdW1lPjI0PC92b2x1bWU+PG51bWJlcj42
PC9udW1iZXI+PGRhdGVzPjx5ZWFyPjIwMTM8L3llYXI+PC9kYXRlcz48aXNibj4wOTU1LTI4NjM8
L2lzYm4+PHVybHM+PC91cmxzPjwvcmVjb3JkPjwvQ2l0ZT48Q2l0ZT48QXV0aG9yPk1hPC9BdXRo
b3I+PFllYXI+MjAwODwvWWVhcj48UmVjTnVtPjQ5PC9SZWNOdW0+PHJlY29yZD48cmVjLW51bWJl
cj40OTwvcmVjLW51bWJlcj48Zm9yZWlnbi1rZXlzPjxrZXkgYXBwPSJFTiIgZGItaWQ9InY5ZnN4
cjB4emF6c2FlZWZwMjk1djVwanQ1cDJyd3IydnYwNSIgdGltZXN0YW1wPSIxNjE5NDg3MzIwIiBn
dWlkPSJlYjNhOWUwNS05ODAwLTQ0MjAtYTM4MS04NWI3Mjk5NzAxODkiPjQ5PC9rZXk+PC9mb3Jl
aWduLWtleXM+PHJlZi10eXBlIG5hbWU9IkpvdXJuYWwgQXJ0aWNsZSI+MTc8L3JlZi10eXBlPjxj
b250cmlidXRvcnM+PGF1dGhvcnM+PGF1dGhvcj5NYSwgWDwvYXV0aG9yPjxhdXRob3I+VG9yYmVu
c29uLCBNPC9hdXRob3I+PGF1dGhvcj5IYW1hZCwgQVJBPC9hdXRob3I+PGF1dGhvcj5Tb2xvc2tp
LCBNSjwvYXV0aG9yPjxhdXRob3I+TGksIFo8L2F1dGhvcj48L2F1dGhvcnM+PC9jb250cmlidXRv
cnM+PHRpdGxlcz48dGl0bGU+SGlnaOKAkGZhdCBkaWV0IG1vZHVsYXRlcyBub27igJBDRDFk4oCQ
cmVzdHJpY3RlZCBuYXR1cmFsIGtpbGxlciBUIGNlbGxzIGFuZCByZWd1bGF0b3J5IFQgY2VsbHMg
aW4gbW91c2UgY29sb24gYW5kIGV4YWNlcmJhdGVzIGV4cGVyaW1lbnRhbCBjb2xpdGlzPC90aXRs
ZT48c2Vjb25kYXJ5LXRpdGxlPkNsaW5pY2FsICZhbXA7IEV4cGVyaW1lbnRhbCBJbW11bm9sb2d5
PC9zZWNvbmRhcnktdGl0bGU+PC90aXRsZXM+PHBhZ2VzPjEzMC0xMzg8L3BhZ2VzPjx2b2x1bWU+
MTUxPC92b2x1bWU+PG51bWJlcj4xPC9udW1iZXI+PGRhdGVzPjx5ZWFyPjIwMDg8L3llYXI+PC9k
YXRlcz48aXNibj4wMDA5LTkxMDQ8L2lzYm4+PHVybHM+PC91cmxzPjwvcmVjb3JkPjwvQ2l0ZT48
Q2l0ZT48QXV0aG9yPlJvaHI8L0F1dGhvcj48WWVhcj4yMDIwPC9ZZWFyPjxSZWNOdW0+NTE8L1Jl
Y051bT48cmVjb3JkPjxyZWMtbnVtYmVyPjUxPC9yZWMtbnVtYmVyPjxmb3JlaWduLWtleXM+PGtl
eSBhcHA9IkVOIiBkYi1pZD0idjlmc3hyMHh6YXpzYWVlZnAyOTV2NXBqdDVwMnJ3cjJ2djA1IiB0
aW1lc3RhbXA9IjE2MTk0ODc1NDgiIGd1aWQ9IjRmOGMxMzUwLTk2YTktNGM4Mi04MzNkLWI4Y2Fl
M2Y3YzllNCI+NTE8L2tleT48L2ZvcmVpZ24ta2V5cz48cmVmLXR5cGUgbmFtZT0iSm91cm5hbCBB
cnRpY2xlIj4xNzwvcmVmLXR5cGU+PGNvbnRyaWJ1dG9ycz48YXV0aG9ycz48YXV0aG9yPlJvaHIs
IE1pY2hhZWwgVzwvYXV0aG9yPjxhdXRob3I+TmFyYXNpbWh1bHUsIENoYW5kcmFrYWxhIEE8L2F1
dGhvcj48YXV0aG9yPlJ1ZGVza2ktUm9ociwgVHJpbmEgQTwvYXV0aG9yPjxhdXRob3I+UGFydGhh
c2FyYXRoeSwgU2FtcGF0aDwvYXV0aG9yPjwvYXV0aG9ycz48L2NvbnRyaWJ1dG9ycz48dGl0bGVz
Pjx0aXRsZT5OZWdhdGl2ZSBlZmZlY3RzIG9mIGEgaGlnaC1mYXQgZGlldCBvbiBpbnRlc3RpbmFs
IHBlcm1lYWJpbGl0eTogYSByZXZpZXc8L3RpdGxlPjxzZWNvbmRhcnktdGl0bGU+QWR2YW5jZXMg
aW4gTnV0cml0aW9uPC9zZWNvbmRhcnktdGl0bGU+PC90aXRsZXM+PHBhZ2VzPjc3LTkxPC9wYWdl
cz48dm9sdW1lPjExPC92b2x1bWU+PG51bWJlcj4xPC9udW1iZXI+PGRhdGVzPjx5ZWFyPjIwMjA8
L3llYXI+PC9kYXRlcz48aXNibj4yMTYxLTgzMTM8L2lzYm4+PHVybHM+PC91cmxzPjwvcmVjb3Jk
PjwvQ2l0ZT48L0VuZE5vdGU+AG==
</w:fldData>
        </w:fldChar>
      </w:r>
      <w:r w:rsidR="00D733B1">
        <w:rPr>
          <w:rFonts w:ascii="Times New Roman" w:hAnsi="Times New Roman" w:cs="Times New Roman"/>
          <w:sz w:val="24"/>
          <w:szCs w:val="24"/>
        </w:rPr>
        <w:instrText xml:space="preserve"> ADDIN EN.CITE.DATA </w:instrText>
      </w:r>
      <w:r w:rsidR="00D733B1">
        <w:rPr>
          <w:rFonts w:ascii="Times New Roman" w:hAnsi="Times New Roman" w:cs="Times New Roman"/>
          <w:sz w:val="24"/>
          <w:szCs w:val="24"/>
        </w:rPr>
      </w:r>
      <w:r w:rsidR="00D733B1">
        <w:rPr>
          <w:rFonts w:ascii="Times New Roman" w:hAnsi="Times New Roman" w:cs="Times New Roman"/>
          <w:sz w:val="24"/>
          <w:szCs w:val="24"/>
        </w:rPr>
        <w:fldChar w:fldCharType="end"/>
      </w:r>
      <w:r w:rsidRPr="00715A92">
        <w:rPr>
          <w:rFonts w:ascii="Times New Roman" w:hAnsi="Times New Roman" w:cs="Times New Roman"/>
          <w:sz w:val="24"/>
          <w:szCs w:val="24"/>
        </w:rPr>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(25-</w:t>
      </w:r>
      <w:r w:rsidR="00D733B1">
        <w:rPr>
          <w:rFonts w:ascii="Times New Roman" w:hAnsi="Times New Roman" w:cs="Times New Roman"/>
          <w:noProof/>
          <w:sz w:val="24"/>
          <w:szCs w:val="24"/>
        </w:rPr>
        <w:lastRenderedPageBreak/>
        <w:t>29)</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Furthermore, direct supplementation of γ-linolenic and docosahexaenoic acid (DHA) fatty acids, abundantly found in Western-style diets, to differentiated human colon adenocarcinoma cell line (Caco2) monolayers</w:t>
      </w:r>
      <w:r>
        <w:rPr>
          <w:rFonts w:ascii="Times New Roman" w:hAnsi="Times New Roman" w:cs="Times New Roman"/>
          <w:sz w:val="24"/>
          <w:szCs w:val="24"/>
        </w:rPr>
        <w:t xml:space="preserve"> (well-established enterocyte model)</w:t>
      </w:r>
      <w:r w:rsidRPr="00715A92">
        <w:rPr>
          <w:rFonts w:ascii="Times New Roman" w:hAnsi="Times New Roman" w:cs="Times New Roman"/>
          <w:sz w:val="24"/>
          <w:szCs w:val="24"/>
        </w:rPr>
        <w:t xml:space="preserve">, enhanced intestinal permeability through stimulation of intracellular signalling pathways </w:t>
      </w:r>
      <w:r w:rsidRPr="00715A92">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&lt;EndNote&gt;&lt;Cite&gt;&lt;Author&gt;Usami&lt;/Author&gt;&lt;Year&gt;2003&lt;/Year&gt;&lt;RecNum&gt;56&lt;/RecNum&gt;&lt;DisplayText&gt;(30,31)&lt;/DisplayText&gt;&lt;record&gt;&lt;rec-number&gt;56&lt;/rec-number&gt;&lt;foreign-keys&gt;&lt;key app="EN" db-id="v9fsxr0xzazsaeefp295v5pjt5p2rwr2vv05" timestamp="1619488147" guid="05029493-65f5-4cc4-8b72-b476134cae45"&gt;56&lt;/key&gt;&lt;/foreign-keys&gt;&lt;ref-type name="Journal Article"&gt;17&lt;/ref-type&gt;&lt;contributors&gt;&lt;authors&gt;&lt;author&gt;Usami, Makoto&lt;/author&gt;&lt;author&gt;Komurasaki, Takako&lt;/author&gt;&lt;author&gt;Hanada, Aki&lt;/author&gt;&lt;author&gt;Kinoshita, Kaori&lt;/author&gt;&lt;author&gt;Ohata, Atsushi&lt;/author&gt;&lt;/authors&gt;&lt;/contributors&gt;&lt;titles&gt;&lt;title&gt;Effect of γ-linolenic acid or docosahexaenoic acid on tight junction permeability in intestinal monolayer cells and their mechanism by protein kinase C activation and/or eicosanoid formation&lt;/title&gt;&lt;secondary-title&gt;Nutrition&lt;/secondary-title&gt;&lt;/titles&gt;&lt;pages&gt;150-156&lt;/pages&gt;&lt;volume&gt;19&lt;/volume&gt;&lt;number&gt;2&lt;/number&gt;&lt;dates&gt;&lt;year&gt;2003&lt;/year&gt;&lt;/dates&gt;&lt;isbn&gt;0899-9007&lt;/isbn&gt;&lt;urls&gt;&lt;/urls&gt;&lt;/record&gt;&lt;/Cite&gt;&lt;Cite&gt;&lt;Author&gt;Aspenström-Fagerlund&lt;/Author&gt;&lt;Year&gt;2009&lt;/Year&gt;&lt;RecNum&gt;57&lt;/RecNum&gt;&lt;record&gt;&lt;rec-number&gt;57&lt;/rec-number&gt;&lt;foreign-keys&gt;&lt;key app="EN" db-id="v9fsxr0xzazsaeefp295v5pjt5p2rwr2vv05" timestamp="1619488195" guid="991f6367-d14c-459c-a5d2-f776c94443b1"&gt;57&lt;/key&gt;&lt;/foreign-keys&gt;&lt;ref-type name="Journal Article"&gt;17&lt;/ref-type&gt;&lt;contributors&gt;&lt;authors&gt;&lt;author&gt;Aspenström-Fagerlund, Bitte&lt;/author&gt;&lt;author&gt;Sundström, Birgitta&lt;/author&gt;&lt;author&gt;Tallkvist, Jonas&lt;/author&gt;&lt;author&gt;Ilbäck, Nils-Gunnar&lt;/author&gt;&lt;author&gt;Glynn, Anders W&lt;/author&gt;&lt;/authors&gt;&lt;/contributors&gt;&lt;titles&gt;&lt;title&gt;Fatty acids increase paracellular absorption of aluminium across Caco-2 cell monolayers&lt;/title&gt;&lt;secondary-title&gt;Chemico-biological interactions&lt;/secondary-title&gt;&lt;/titles&gt;&lt;pages&gt;272-278&lt;/pages&gt;&lt;volume&gt;181&lt;/volume&gt;&lt;number&gt;2&lt;/number&gt;&lt;dates&gt;&lt;year&gt;2009&lt;/year&gt;&lt;/dates&gt;&lt;isbn&gt;0009-2797&lt;/isbn&gt;&lt;urls&gt;&lt;/urls&gt;&lt;/record&gt;&lt;/Cite&gt;&lt;/EndNote&gt;</w:instrText>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(30,31)</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xml:space="preserve">. </w:t>
      </w:r>
    </w:p>
    <w:p w14:paraId="079778F5" w14:textId="77777777" w:rsidR="003333FD" w:rsidRPr="0078675B" w:rsidRDefault="003333FD" w:rsidP="003333FD">
      <w:pPr>
        <w:spacing w:line="480" w:lineRule="auto"/>
        <w:jc w:val="both"/>
        <w:rPr>
          <w:rFonts w:ascii="Times New Roman" w:hAnsi="Times New Roman" w:cs="Times New Roman"/>
          <w:sz w:val="24"/>
          <w:szCs w:val="24"/>
        </w:rPr>
      </w:pPr>
    </w:p>
    <w:p w14:paraId="5907FF7B" w14:textId="3BA488C3" w:rsidR="003333FD" w:rsidRPr="00F33716" w:rsidRDefault="00E17D1C" w:rsidP="002D06BE">
      <w:pPr>
        <w:pStyle w:val="Heading2"/>
      </w:pPr>
      <w:r>
        <w:t xml:space="preserve">1.4 </w:t>
      </w:r>
      <w:r w:rsidR="003333FD" w:rsidRPr="00715A92">
        <w:t>Emulsifiers</w:t>
      </w:r>
    </w:p>
    <w:p w14:paraId="22E0FF88" w14:textId="696F48F5" w:rsidR="003333FD" w:rsidRPr="00715A92" w:rsidRDefault="003333FD" w:rsidP="003333FD">
      <w:p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 xml:space="preserve">The use of food additives, particularly emulsifiers, in processed foods which goes hand-in-hand with Western diet have strong preliminary evidence as causal factors or contributors to the inflammatory state in </w:t>
      </w:r>
      <w:r>
        <w:rPr>
          <w:rFonts w:ascii="Times New Roman" w:hAnsi="Times New Roman" w:cs="Times New Roman"/>
          <w:sz w:val="24"/>
          <w:szCs w:val="24"/>
        </w:rPr>
        <w:t>CD</w:t>
      </w:r>
      <w:r w:rsidRPr="00715A92">
        <w:rPr>
          <w:rFonts w:ascii="Times New Roman" w:hAnsi="Times New Roman" w:cs="Times New Roman"/>
          <w:sz w:val="24"/>
          <w:szCs w:val="24"/>
        </w:rPr>
        <w:t xml:space="preserve"> </w:t>
      </w:r>
      <w:r w:rsidRPr="00715A92">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&lt;EndNote&gt;&lt;Cite&gt;&lt;Author&gt;Lewis&lt;/Author&gt;&lt;Year&gt;2017&lt;/Year&gt;&lt;RecNum&gt;15&lt;/RecNum&gt;&lt;DisplayText&gt;(9)&lt;/DisplayText&gt;&lt;record&gt;&lt;rec-number&gt;15&lt;/rec-number&gt;&lt;foreign-keys&gt;&lt;key app="EN" db-id="v9fsxr0xzazsaeefp295v5pjt5p2rwr2vv05" timestamp="1619438770" guid="7da03fb6-cbad-42b6-8a03-ed62cddac51d"&gt;15&lt;/key&gt;&lt;/foreign-keys&gt;&lt;ref-type name="Journal Article"&gt;17&lt;/ref-type&gt;&lt;contributors&gt;&lt;authors&gt;&lt;author&gt;Lewis, James D&lt;/author&gt;&lt;author&gt;Abreu, Maria T&lt;/author&gt;&lt;/authors&gt;&lt;/contributors&gt;&lt;titles&gt;&lt;title&gt;Diet as a trigger or therapy for inflammatory bowel diseases&lt;/title&gt;&lt;secondary-title&gt;Gastroenterology&lt;/secondary-title&gt;&lt;/titles&gt;&lt;pages&gt;398-414. e6&lt;/pages&gt;&lt;volume&gt;152&lt;/volume&gt;&lt;number&gt;2&lt;/number&gt;&lt;dates&gt;&lt;year&gt;2017&lt;/year&gt;&lt;/dates&gt;&lt;isbn&gt;0016-5085&lt;/isbn&gt;&lt;urls&gt;&lt;/urls&gt;&lt;/record&gt;&lt;/Cite&gt;&lt;/EndNote&gt;</w:instrText>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(9)</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xml:space="preserve">. Emulsifiers are widely used to improve texture and extend shelf-life of processed foods, but epidemiological studies show a strong and significant positive correlation between emulsifier consumption/sales with CD incidence </w:t>
      </w:r>
      <w:r w:rsidRPr="00715A92">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&lt;EndNote&gt;&lt;Cite&gt;&lt;Author&gt;Roberts&lt;/Author&gt;&lt;Year&gt;2013&lt;/Year&gt;&lt;RecNum&gt;18&lt;/RecNum&gt;&lt;DisplayText&gt;(32)&lt;/DisplayText&gt;&lt;record&gt;&lt;rec-number&gt;18&lt;/rec-number&gt;&lt;foreign-keys&gt;&lt;key app="EN" db-id="v9fsxr0xzazsaeefp295v5pjt5p2rwr2vv05" timestamp="1619439275" guid="7e4b6f25-fb48-429b-a030-6722503e9c6d"&gt;18&lt;/key&gt;&lt;/foreign-keys&gt;&lt;ref-type name="Journal Article"&gt;17&lt;/ref-type&gt;&lt;contributors&gt;&lt;authors&gt;&lt;author&gt;Roberts, Carol L&lt;/author&gt;&lt;author&gt;Rushworth, Sarah L&lt;/author&gt;&lt;author&gt;Richman, Emile&lt;/author&gt;&lt;author&gt;Rhodes, Jonathan M&lt;/author&gt;&lt;/authors&gt;&lt;/contributors&gt;&lt;titles&gt;&lt;title&gt;Hypothesis: Increased consumption of emulsifiers as an explanation for the rising incidence of Crohn&amp;apos;s disease&lt;/title&gt;&lt;secondary-title&gt;Journal of Crohn&amp;apos;s and Colitis&lt;/secondary-title&gt;&lt;/titles&gt;&lt;pages&gt;338-341&lt;/pages&gt;&lt;volume&gt;7&lt;/volume&gt;&lt;number&gt;4&lt;/number&gt;&lt;dates&gt;&lt;year&gt;2013&lt;/year&gt;&lt;/dates&gt;&lt;isbn&gt;1876-4479&lt;/isbn&gt;&lt;urls&gt;&lt;/urls&gt;&lt;/record&gt;&lt;/Cite&gt;&lt;/EndNote&gt;</w:instrText>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(32)</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xml:space="preserve">. It is hypothesised that these detergent-like emulsifying molecules disrupt the multi-layered mucus structures that cover the intestinal surface, thereby disrupting mucus-bacterial interactions that promote diseases associated with gut inflammation. This hypothesis is supported by the results of a study in which low concentrations of two commonly used emulsifiers, carboxymethylcellulose (CMC) and polysorbate-80 (P80), induced low-grade </w:t>
      </w:r>
      <w:r>
        <w:rPr>
          <w:rFonts w:ascii="Times New Roman" w:hAnsi="Times New Roman" w:cs="Times New Roman"/>
          <w:sz w:val="24"/>
          <w:szCs w:val="24"/>
        </w:rPr>
        <w:t xml:space="preserve">or mild intestinal </w:t>
      </w:r>
      <w:r w:rsidRPr="00715A92">
        <w:rPr>
          <w:rFonts w:ascii="Times New Roman" w:hAnsi="Times New Roman" w:cs="Times New Roman"/>
          <w:sz w:val="24"/>
          <w:szCs w:val="24"/>
        </w:rPr>
        <w:t xml:space="preserve">inflammation and obesity/metabolic syndrome in wild-type hosts and promoted robust colitis in mice predisposed to IBD </w:t>
      </w:r>
      <w:r w:rsidRPr="00715A92">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&lt;EndNote&gt;&lt;Cite&gt;&lt;Author&gt;Chassaing&lt;/Author&gt;&lt;Year&gt;2015&lt;/Year&gt;&lt;RecNum&gt;19&lt;/RecNum&gt;&lt;DisplayText&gt;(33)&lt;/DisplayText&gt;&lt;record&gt;&lt;rec-number&gt;19&lt;/rec-number&gt;&lt;foreign-keys&gt;&lt;key app="EN" db-id="v9fsxr0xzazsaeefp295v5pjt5p2rwr2vv05" timestamp="1619439352" guid="79267e46-e02b-49b0-8de3-c4ccd2bf6bc9"&gt;19&lt;/key&gt;&lt;/foreign-keys&gt;&lt;ref-type name="Journal Article"&gt;17&lt;/ref-type&gt;&lt;contributors&gt;&lt;authors&gt;&lt;author&gt;Chassaing, Benoit&lt;/author&gt;&lt;author&gt;Koren, Omry&lt;/author&gt;&lt;author&gt;Goodrich, Julia K&lt;/author&gt;&lt;author&gt;Poole, Angela C&lt;/author&gt;&lt;author&gt;Srinivasan, Shanthi&lt;/author&gt;&lt;author&gt;Ley, Ruth E&lt;/author&gt;&lt;author&gt;Gewirtz, Andrew T&lt;/author&gt;&lt;/authors&gt;&lt;/contributors&gt;&lt;titles&gt;&lt;title&gt;Dietary emulsifiers impact the mouse gut microbiota promoting colitis and metabolic syndrome&lt;/title&gt;&lt;secondary-title&gt;Nature&lt;/secondary-title&gt;&lt;/titles&gt;&lt;pages&gt;92-96&lt;/pages&gt;&lt;volume&gt;519&lt;/volume&gt;&lt;number&gt;7541&lt;/number&gt;&lt;dates&gt;&lt;year&gt;2015&lt;/year&gt;&lt;/dates&gt;&lt;isbn&gt;1476-4687&lt;/isbn&gt;&lt;urls&gt;&lt;/urls&gt;&lt;/record&gt;&lt;/Cite&gt;&lt;/EndNote&gt;</w:instrText>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(33)</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xml:space="preserve">. </w:t>
      </w:r>
    </w:p>
    <w:p w14:paraId="20B9D7E5" w14:textId="77777777" w:rsidR="003333FD" w:rsidRDefault="003333FD" w:rsidP="003333FD">
      <w:pPr>
        <w:spacing w:line="480" w:lineRule="auto"/>
        <w:jc w:val="both"/>
        <w:rPr>
          <w:rFonts w:ascii="Times New Roman" w:hAnsi="Times New Roman" w:cs="Times New Roman"/>
          <w:i/>
          <w:iCs/>
          <w:sz w:val="24"/>
          <w:szCs w:val="24"/>
        </w:rPr>
      </w:pPr>
    </w:p>
    <w:p w14:paraId="149C2B5C" w14:textId="4AADE840" w:rsidR="003333FD" w:rsidRPr="00715A92" w:rsidRDefault="00E17D1C" w:rsidP="002D06BE">
      <w:pPr>
        <w:pStyle w:val="Heading2"/>
      </w:pPr>
      <w:r>
        <w:t xml:space="preserve">1.5 </w:t>
      </w:r>
      <w:r w:rsidR="003333FD" w:rsidRPr="00715A92">
        <w:t>Wheat</w:t>
      </w:r>
    </w:p>
    <w:p w14:paraId="4638209E" w14:textId="56EE6DB4" w:rsidR="003333FD" w:rsidRPr="00715A92" w:rsidRDefault="003333FD" w:rsidP="003333FD">
      <w:p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 xml:space="preserve">Gluten, a component of wheat, have been linked to symptoms in IBD. Aziz et al. </w:t>
      </w:r>
      <w:r w:rsidRPr="00715A92">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&lt;EndNote&gt;&lt;Cite&gt;&lt;Author&gt;Aziz&lt;/Author&gt;&lt;Year&gt;2015&lt;/Year&gt;&lt;RecNum&gt;6&lt;/RecNum&gt;&lt;DisplayText&gt;(34)&lt;/DisplayText&gt;&lt;record&gt;&lt;rec-number&gt;6&lt;/rec-number&gt;&lt;foreign-keys&gt;&lt;key app="EN" db-id="v9fsxr0xzazsaeefp295v5pjt5p2rwr2vv05" timestamp="1619435670" guid="8fe03f81-f88a-47e5-afa0-3802c70c6f69"&gt;6&lt;/key&gt;&lt;/foreign-keys&gt;&lt;ref-type name="Journal Article"&gt;17&lt;/ref-type&gt;&lt;contributors&gt;&lt;authors&gt;&lt;author&gt;Aziz, Imran&lt;/author&gt;&lt;author&gt;Branchi, Federica&lt;/author&gt;&lt;author&gt;Pearson, Katherine&lt;/author&gt;&lt;author&gt;Priest, Josephine&lt;/author&gt;&lt;author&gt;Sanders, David S&lt;/author&gt;&lt;/authors&gt;&lt;/contributors&gt;&lt;titles&gt;&lt;title&gt;A study evaluating the bidirectional relationship between inflammatory bowel disease and self-reported non-celiac gluten sensitivity&lt;/title&gt;&lt;secondary-title&gt;Inflammatory bowel diseases&lt;/secondary-title&gt;&lt;/titles&gt;&lt;periodical&gt;&lt;full-title&gt;Inflammatory bowel diseases&lt;/full-title&gt;&lt;/periodical&gt;&lt;pages&gt;847-853&lt;/pages&gt;&lt;volume&gt;21&lt;/volume&gt;&lt;number&gt;4&lt;/number&gt;&lt;dates&gt;&lt;year&gt;2015&lt;/year&gt;&lt;/dates&gt;&lt;isbn&gt;1078-0998&lt;/isbn&gt;&lt;urls&gt;&lt;/urls&gt;&lt;/record&gt;&lt;/Cite&gt;&lt;/EndNote&gt;</w:instrText>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(34)</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xml:space="preserve"> performed a cross-sectional study of patients with IBD and compared them to patients with irritable bowel syndrome (IBS) and dyspeptic controls. They reported a prevalence of self-reported wheat sensitivity in the IBD cohort of 27.6%, lower than those with IBS (42.4%) but </w:t>
      </w:r>
      <w:r w:rsidRPr="00715A92">
        <w:rPr>
          <w:rFonts w:ascii="Times New Roman" w:hAnsi="Times New Roman" w:cs="Times New Roman"/>
          <w:sz w:val="24"/>
          <w:szCs w:val="24"/>
        </w:rPr>
        <w:lastRenderedPageBreak/>
        <w:t xml:space="preserve">higher than in dyspeptic controls (17.4%). (p = 0.015). The prevalence was similar for UC, the other major type of IBD, and CD (p = 0.63). Subgroup analysis of the CD cohort revealed that patients with wheat sensitivity were more likely to have structuring (40.9% versus 18.9%, p = 0.046) and more severe disease (CDAI 228.1 versus 133.3, p = 0.002). They also reported that in the clinical work up of patients presenting with self-reported wheat sensitivity, 1.5% were subsequently found to have IBD. These observations are supported by a cross-sectional online questionnaire study of 1647 patients with IBD by Herfarth et al. </w:t>
      </w:r>
      <w:r w:rsidRPr="00715A92">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&lt;EndNote&gt;&lt;Cite&gt;&lt;Author&gt;Herfarth&lt;/Author&gt;&lt;Year&gt;2014&lt;/Year&gt;&lt;RecNum&gt;7&lt;/RecNum&gt;&lt;DisplayText&gt;(35)&lt;/DisplayText&gt;&lt;record&gt;&lt;rec-number&gt;7&lt;/rec-number&gt;&lt;foreign-keys&gt;&lt;key app="EN" db-id="v9fsxr0xzazsaeefp295v5pjt5p2rwr2vv05" timestamp="1619435785" guid="5637d666-97f9-45a0-a189-d5817c8acfae"&gt;7&lt;/key&gt;&lt;/foreign-keys&gt;&lt;ref-type name="Journal Article"&gt;17&lt;/ref-type&gt;&lt;contributors&gt;&lt;authors&gt;&lt;author&gt;Herfarth, Hans H&lt;/author&gt;&lt;author&gt;Martin, Christopher F&lt;/author&gt;&lt;author&gt;Sandler, Robert S&lt;/author&gt;&lt;author&gt;Kappelman, Michael D&lt;/author&gt;&lt;author&gt;Long, Millie D&lt;/author&gt;&lt;/authors&gt;&lt;/contributors&gt;&lt;titles&gt;&lt;title&gt;Prevalence of a gluten-free diet and improvement of clinical symptoms in patients with inflammatory bowel diseases&lt;/title&gt;&lt;secondary-title&gt;Inflammatory bowel diseases&lt;/secondary-title&gt;&lt;/titles&gt;&lt;periodical&gt;&lt;full-title&gt;Inflammatory bowel diseases&lt;/full-title&gt;&lt;/periodical&gt;&lt;pages&gt;1194-1197&lt;/pages&gt;&lt;volume&gt;20&lt;/volume&gt;&lt;number&gt;7&lt;/number&gt;&lt;dates&gt;&lt;year&gt;2014&lt;/year&gt;&lt;/dates&gt;&lt;isbn&gt;1078-0998&lt;/isbn&gt;&lt;urls&gt;&lt;/urls&gt;&lt;/record&gt;&lt;/Cite&gt;&lt;/EndNote&gt;</w:instrText>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(35)</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xml:space="preserve">, in which 19% reported previously trying a gluten-free diet, and 8% reporting current adherence to a gluten-free diet for their chronic gastrointestinal symptoms. Of those who attempted a gluten-free diet, 66% reported an improvement in symptoms and 38% report a decrease in flares. </w:t>
      </w:r>
    </w:p>
    <w:p w14:paraId="124D221B" w14:textId="77777777" w:rsidR="008620B0" w:rsidRDefault="008620B0" w:rsidP="003333FD">
      <w:pPr>
        <w:spacing w:line="480" w:lineRule="auto"/>
        <w:jc w:val="both"/>
        <w:rPr>
          <w:rFonts w:ascii="Times New Roman" w:hAnsi="Times New Roman" w:cs="Times New Roman"/>
          <w:sz w:val="24"/>
          <w:szCs w:val="24"/>
        </w:rPr>
      </w:pPr>
    </w:p>
    <w:p w14:paraId="28B19FB8" w14:textId="0976B174" w:rsidR="003333FD" w:rsidRPr="00715A92" w:rsidRDefault="003333FD" w:rsidP="003333FD">
      <w:p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 xml:space="preserve">Despite </w:t>
      </w:r>
      <w:r>
        <w:rPr>
          <w:rFonts w:ascii="Times New Roman" w:hAnsi="Times New Roman" w:cs="Times New Roman"/>
          <w:sz w:val="24"/>
          <w:szCs w:val="24"/>
        </w:rPr>
        <w:t>findings</w:t>
      </w:r>
      <w:r w:rsidRPr="00715A92">
        <w:rPr>
          <w:rFonts w:ascii="Times New Roman" w:hAnsi="Times New Roman" w:cs="Times New Roman"/>
          <w:sz w:val="24"/>
          <w:szCs w:val="24"/>
        </w:rPr>
        <w:t xml:space="preserve"> suggesting that diet plays a fundamental role in driving symptoms, there is a lack of credible evidence </w:t>
      </w:r>
      <w:r>
        <w:rPr>
          <w:rFonts w:ascii="Times New Roman" w:hAnsi="Times New Roman" w:cs="Times New Roman"/>
          <w:sz w:val="24"/>
          <w:szCs w:val="24"/>
        </w:rPr>
        <w:t>linking laboratory studies to dietary interventions to</w:t>
      </w:r>
      <w:r w:rsidRPr="00715A92">
        <w:rPr>
          <w:rFonts w:ascii="Times New Roman" w:hAnsi="Times New Roman" w:cs="Times New Roman"/>
          <w:sz w:val="24"/>
          <w:szCs w:val="24"/>
        </w:rPr>
        <w:t xml:space="preserve"> support dietary modification or restrictions to prevent relapse in CD. A recent systematic review and meta-analysis concluded that the benefits of dietary interventions for the induction and maintenance of remission in IBD remain</w:t>
      </w:r>
      <w:r>
        <w:rPr>
          <w:rFonts w:ascii="Times New Roman" w:hAnsi="Times New Roman" w:cs="Times New Roman"/>
          <w:sz w:val="24"/>
          <w:szCs w:val="24"/>
        </w:rPr>
        <w:t>s</w:t>
      </w:r>
      <w:r w:rsidRPr="00715A92">
        <w:rPr>
          <w:rFonts w:ascii="Times New Roman" w:hAnsi="Times New Roman" w:cs="Times New Roman"/>
          <w:sz w:val="24"/>
          <w:szCs w:val="24"/>
        </w:rPr>
        <w:t xml:space="preserve"> unclear as the designs of the studies are often flawed, heterogenous and inadequately powered </w:t>
      </w:r>
      <w:r w:rsidRPr="00715A92">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&lt;EndNote&gt;&lt;Cite&gt;&lt;Author&gt;Limketkai&lt;/Author&gt;&lt;Year&gt;2019&lt;/Year&gt;&lt;RecNum&gt;26&lt;/RecNum&gt;&lt;DisplayText&gt;(10)&lt;/DisplayText&gt;&lt;record&gt;&lt;rec-number&gt;26&lt;/rec-number&gt;&lt;foreign-keys&gt;&lt;key app="EN" db-id="v9fsxr0xzazsaeefp295v5pjt5p2rwr2vv05" timestamp="1619440795" guid="dfb3141d-99a0-47f1-9986-daebb983fa1d"&gt;26&lt;/key&gt;&lt;/foreign-keys&gt;&lt;ref-type name="Journal Article"&gt;17&lt;/ref-type&gt;&lt;contributors&gt;&lt;authors&gt;&lt;author&gt;Limketkai, Berkeley N&lt;/author&gt;&lt;author&gt;Iheozor‐Ejiofor, Zipporah&lt;/author&gt;&lt;author&gt;Gjuladin‐Hellon, Teuta&lt;/author&gt;&lt;author&gt;Parian, Alyssa&lt;/author&gt;&lt;author&gt;Matarese, Laura E&lt;/author&gt;&lt;author&gt;Bracewell, Kelly&lt;/author&gt;&lt;author&gt;MacDonald, John K&lt;/author&gt;&lt;author&gt;Gordon, Morris&lt;/author&gt;&lt;author&gt;Mullin, Gerard E&lt;/author&gt;&lt;/authors&gt;&lt;/contributors&gt;&lt;titles&gt;&lt;title&gt;Dietary interventions for induction and maintenance of remission in inflammatory bowel disease&lt;/title&gt;&lt;secondary-title&gt;Cochrane Database of Systematic Reviews&lt;/secondary-title&gt;&lt;/titles&gt;&lt;number&gt;2&lt;/number&gt;&lt;dates&gt;&lt;year&gt;2019&lt;/year&gt;&lt;/dates&gt;&lt;isbn&gt;1465-1858&lt;/isbn&gt;&lt;urls&gt;&lt;/urls&gt;&lt;/record&gt;&lt;/Cite&gt;&lt;/EndNote&gt;</w:instrText>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(10)</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xml:space="preserve">. Personalised approaches to food exclusion in IBD are being explored. A novel dietary treatment approach for CD that has reported symptom improvement in an open-label study is an IgG4-guided in which participants with CD had IgG4 titers tested against 16 common food types using enzyme-linked immunosorbent assay (ELISA) </w:t>
      </w:r>
      <w:r w:rsidRPr="00715A92">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&lt;EndNote&gt;&lt;Cite&gt;&lt;Author&gt;Gunasekeera&lt;/Author&gt;&lt;Year&gt;2016&lt;/Year&gt;&lt;RecNum&gt;27&lt;/RecNum&gt;&lt;DisplayText&gt;(36)&lt;/DisplayText&gt;&lt;record&gt;&lt;rec-number&gt;27&lt;/rec-number&gt;&lt;foreign-keys&gt;&lt;key app="EN" db-id="v9fsxr0xzazsaeefp295v5pjt5p2rwr2vv05" timestamp="1619440858" guid="a674ed25-d43d-479d-930a-d0b28f968c68"&gt;27&lt;/key&gt;&lt;/foreign-keys&gt;&lt;ref-type name="Journal Article"&gt;17&lt;/ref-type&gt;&lt;contributors&gt;&lt;authors&gt;&lt;author&gt;Gunasekeera, Viran&lt;/author&gt;&lt;author&gt;Mendall, Michael A&lt;/author&gt;&lt;author&gt;Chan, Derek&lt;/author&gt;&lt;author&gt;Kumar, Devinder&lt;/author&gt;&lt;/authors&gt;&lt;/contributors&gt;&lt;titles&gt;&lt;title&gt;Treatment of Crohn’s disease with an IgG4-guided exclusion diet: a randomized controlled trial&lt;/title&gt;&lt;secondary-title&gt;Digestive diseases and sciences&lt;/secondary-title&gt;&lt;/titles&gt;&lt;pages&gt;1148-1157&lt;/pages&gt;&lt;volume&gt;61&lt;/volume&gt;&lt;number&gt;4&lt;/number&gt;&lt;dates&gt;&lt;year&gt;2016&lt;/year&gt;&lt;/dates&gt;&lt;isbn&gt;0163-2116&lt;/isbn&gt;&lt;urls&gt;&lt;/urls&gt;&lt;/record&gt;&lt;/Cite&gt;&lt;/EndNote&gt;</w:instrText>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(36)</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The intervention group then excluded the foods with the top four antibody titers (milk, pork, beef, and egg) and the control group excluded the four foods with lowest antibody titers (rice, chicken, tomato, and potato).</w:t>
      </w:r>
    </w:p>
    <w:p w14:paraId="7666D287" w14:textId="03045F38" w:rsidR="003333FD" w:rsidRDefault="003333FD" w:rsidP="008620B0">
      <w:p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lastRenderedPageBreak/>
        <w:t xml:space="preserve">The aim of this study is to evaluate whether exclusion of </w:t>
      </w:r>
      <w:proofErr w:type="gramStart"/>
      <w:r w:rsidRPr="00715A92">
        <w:rPr>
          <w:rFonts w:ascii="Times New Roman" w:hAnsi="Times New Roman" w:cs="Times New Roman"/>
          <w:sz w:val="24"/>
          <w:szCs w:val="24"/>
        </w:rPr>
        <w:t>a number of</w:t>
      </w:r>
      <w:proofErr w:type="gramEnd"/>
      <w:r w:rsidRPr="00715A92">
        <w:rPr>
          <w:rFonts w:ascii="Times New Roman" w:hAnsi="Times New Roman" w:cs="Times New Roman"/>
          <w:sz w:val="24"/>
          <w:szCs w:val="24"/>
        </w:rPr>
        <w:t xml:space="preserve"> culprit foods (animal fat, emulsifiers, and wheat) from the diet of patients with CD improves their disease course, both in terms of symptom improvement as well as inflammatory activity. This proof-of-concept study, where dietary treatment will be used as an adjunct to standard care, with the hypothesis being that FEW food exclusion will</w:t>
      </w:r>
      <w:r>
        <w:rPr>
          <w:rFonts w:ascii="Times New Roman" w:hAnsi="Times New Roman" w:cs="Times New Roman"/>
          <w:sz w:val="24"/>
          <w:szCs w:val="24"/>
        </w:rPr>
        <w:t xml:space="preserve"> reduce the number of flares and increase the duration of remission and response with usual treatment.</w:t>
      </w:r>
    </w:p>
    <w:p w14:paraId="59C5968C" w14:textId="77777777" w:rsidR="008620B0" w:rsidRPr="00715A92" w:rsidRDefault="008620B0" w:rsidP="008620B0">
      <w:pPr>
        <w:spacing w:line="480" w:lineRule="auto"/>
        <w:jc w:val="both"/>
        <w:rPr>
          <w:rFonts w:ascii="Times New Roman" w:hAnsi="Times New Roman" w:cs="Times New Roman"/>
          <w:sz w:val="24"/>
          <w:szCs w:val="24"/>
        </w:rPr>
      </w:pPr>
    </w:p>
    <w:p w14:paraId="0932ADCC" w14:textId="77777777" w:rsidR="008620B0" w:rsidRDefault="008620B0" w:rsidP="008620B0">
      <w:pPr>
        <w:pStyle w:val="Heading2"/>
        <w:spacing w:before="0"/>
        <w:jc w:val="both"/>
      </w:pPr>
      <w:r>
        <w:t>1.6 Funding</w:t>
      </w:r>
    </w:p>
    <w:p w14:paraId="71B58D62" w14:textId="363CCB06" w:rsidR="003333FD" w:rsidRDefault="008620B0" w:rsidP="008620B0">
      <w:pPr>
        <w:spacing w:line="480" w:lineRule="auto"/>
        <w:jc w:val="both"/>
        <w:rPr>
          <w:rFonts w:ascii="Times New Roman" w:hAnsi="Times New Roman" w:cs="Times New Roman"/>
          <w:sz w:val="24"/>
          <w:szCs w:val="24"/>
        </w:rPr>
      </w:pPr>
      <w:r w:rsidRPr="00BF3C57">
        <w:rPr>
          <w:rFonts w:ascii="Times New Roman" w:hAnsi="Times New Roman" w:cs="Times New Roman"/>
          <w:sz w:val="24"/>
          <w:szCs w:val="24"/>
        </w:rPr>
        <w:t xml:space="preserve">This </w:t>
      </w:r>
      <w:r>
        <w:rPr>
          <w:rFonts w:ascii="Times New Roman" w:hAnsi="Times New Roman" w:cs="Times New Roman"/>
          <w:sz w:val="24"/>
          <w:szCs w:val="24"/>
        </w:rPr>
        <w:t xml:space="preserve">project was initiated by HMRI donors who have a family history of Crohn’s disease and are interested in supporting research to progress the understanding of the role of environmental factors such as diet in Crohn’s disease. </w:t>
      </w:r>
      <w:r w:rsidR="002D06BE">
        <w:rPr>
          <w:rFonts w:ascii="Times New Roman" w:hAnsi="Times New Roman" w:cs="Times New Roman"/>
          <w:sz w:val="24"/>
          <w:szCs w:val="24"/>
        </w:rPr>
        <w:br w:type="page"/>
      </w:r>
    </w:p>
    <w:p w14:paraId="21F59A74" w14:textId="500015D2" w:rsidR="003333FD" w:rsidRDefault="00180173" w:rsidP="002D06BE">
      <w:pPr>
        <w:pStyle w:val="Heading1"/>
      </w:pPr>
      <w:r>
        <w:lastRenderedPageBreak/>
        <w:t xml:space="preserve">2. </w:t>
      </w:r>
      <w:r w:rsidR="00E17D1C">
        <w:t>H</w:t>
      </w:r>
      <w:r w:rsidR="002D06BE">
        <w:t>YPOTHESIS AND AIMS</w:t>
      </w:r>
    </w:p>
    <w:p w14:paraId="1E3FDFDE" w14:textId="174662F2" w:rsidR="003333FD" w:rsidRDefault="00E17D1C" w:rsidP="002D06BE">
      <w:pPr>
        <w:pStyle w:val="Heading2"/>
      </w:pPr>
      <w:r>
        <w:t xml:space="preserve">2.1 </w:t>
      </w:r>
      <w:r w:rsidR="003333FD">
        <w:t>HYPOTHESIS</w:t>
      </w:r>
    </w:p>
    <w:p w14:paraId="6FE1131C" w14:textId="7808C917" w:rsidR="003333FD" w:rsidRDefault="003333FD" w:rsidP="003333FD">
      <w:pPr>
        <w:spacing w:line="480" w:lineRule="auto"/>
        <w:rPr>
          <w:rFonts w:ascii="Times New Roman" w:hAnsi="Times New Roman" w:cs="Times New Roman"/>
          <w:sz w:val="24"/>
          <w:szCs w:val="24"/>
        </w:rPr>
      </w:pPr>
      <w:r>
        <w:rPr>
          <w:rFonts w:ascii="Times New Roman" w:hAnsi="Times New Roman" w:cs="Times New Roman"/>
          <w:sz w:val="24"/>
          <w:szCs w:val="24"/>
        </w:rPr>
        <w:t>Dietary exclusion of specific fats, emulsifiers, and wheat (FEW)-containing foods will reduce the number of flares and increase the duration of remission and response with usual treatment in a cohort of CD patients.</w:t>
      </w:r>
    </w:p>
    <w:p w14:paraId="041770E5" w14:textId="77777777" w:rsidR="003333FD" w:rsidRDefault="003333FD" w:rsidP="003333FD">
      <w:pPr>
        <w:spacing w:line="480" w:lineRule="auto"/>
        <w:rPr>
          <w:rFonts w:ascii="Times New Roman" w:hAnsi="Times New Roman" w:cs="Times New Roman"/>
          <w:sz w:val="24"/>
          <w:szCs w:val="24"/>
        </w:rPr>
      </w:pPr>
    </w:p>
    <w:p w14:paraId="1FFBF334" w14:textId="4475501E" w:rsidR="003333FD" w:rsidRPr="00715A92" w:rsidRDefault="00E17D1C" w:rsidP="002D06BE">
      <w:pPr>
        <w:pStyle w:val="Heading2"/>
      </w:pPr>
      <w:r>
        <w:t xml:space="preserve">2.2 </w:t>
      </w:r>
      <w:r w:rsidR="003333FD" w:rsidRPr="00715A92">
        <w:t>AIMS</w:t>
      </w:r>
    </w:p>
    <w:p w14:paraId="1FADDEEB" w14:textId="77777777" w:rsidR="003333FD" w:rsidRPr="00715A92" w:rsidRDefault="003333FD" w:rsidP="003333FD">
      <w:p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Our hypothesis will be addressed through three specific aims:</w:t>
      </w:r>
    </w:p>
    <w:p w14:paraId="6C4DACB8" w14:textId="77777777" w:rsidR="003333FD" w:rsidRDefault="003333FD" w:rsidP="003333FD">
      <w:pPr>
        <w:pStyle w:val="ListParagraph"/>
        <w:numPr>
          <w:ilvl w:val="0"/>
          <w:numId w:val="1"/>
        </w:num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 xml:space="preserve">To examine whether </w:t>
      </w:r>
      <w:r>
        <w:rPr>
          <w:rFonts w:ascii="Times New Roman" w:hAnsi="Times New Roman" w:cs="Times New Roman"/>
          <w:sz w:val="24"/>
          <w:szCs w:val="24"/>
        </w:rPr>
        <w:t>CD</w:t>
      </w:r>
      <w:r w:rsidRPr="00715A92">
        <w:rPr>
          <w:rFonts w:ascii="Times New Roman" w:hAnsi="Times New Roman" w:cs="Times New Roman"/>
          <w:sz w:val="24"/>
          <w:szCs w:val="24"/>
        </w:rPr>
        <w:t xml:space="preserve"> patients exhibit antibodies or immune cell responses against specific FEW food</w:t>
      </w:r>
      <w:r>
        <w:rPr>
          <w:rFonts w:ascii="Times New Roman" w:hAnsi="Times New Roman" w:cs="Times New Roman"/>
          <w:sz w:val="24"/>
          <w:szCs w:val="24"/>
        </w:rPr>
        <w:t xml:space="preserve"> components</w:t>
      </w:r>
      <w:r w:rsidRPr="00715A92">
        <w:rPr>
          <w:rFonts w:ascii="Times New Roman" w:hAnsi="Times New Roman" w:cs="Times New Roman"/>
          <w:sz w:val="24"/>
          <w:szCs w:val="24"/>
        </w:rPr>
        <w:t xml:space="preserve"> that may be predictive of dietary response to exclusion.</w:t>
      </w:r>
    </w:p>
    <w:p w14:paraId="7AE7F664" w14:textId="77777777" w:rsidR="003333FD" w:rsidRPr="00EF48B5" w:rsidRDefault="003333FD" w:rsidP="003333FD">
      <w:pPr>
        <w:pStyle w:val="ListParagraph"/>
        <w:spacing w:line="480" w:lineRule="auto"/>
        <w:jc w:val="both"/>
        <w:rPr>
          <w:rFonts w:ascii="Times New Roman" w:hAnsi="Times New Roman" w:cs="Times New Roman"/>
          <w:sz w:val="24"/>
          <w:szCs w:val="24"/>
        </w:rPr>
      </w:pPr>
    </w:p>
    <w:p w14:paraId="2FE45BBB" w14:textId="77777777" w:rsidR="003333FD" w:rsidRPr="00715A92" w:rsidRDefault="003333FD" w:rsidP="003333FD">
      <w:pPr>
        <w:pStyle w:val="ListParagraph"/>
        <w:numPr>
          <w:ilvl w:val="0"/>
          <w:numId w:val="1"/>
        </w:num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To assess dietary exclusion of FEW</w:t>
      </w:r>
      <w:r>
        <w:rPr>
          <w:rFonts w:ascii="Times New Roman" w:hAnsi="Times New Roman" w:cs="Times New Roman"/>
          <w:sz w:val="24"/>
          <w:szCs w:val="24"/>
        </w:rPr>
        <w:t xml:space="preserve"> foods</w:t>
      </w:r>
      <w:r w:rsidRPr="00715A92">
        <w:rPr>
          <w:rFonts w:ascii="Times New Roman" w:hAnsi="Times New Roman" w:cs="Times New Roman"/>
          <w:sz w:val="24"/>
          <w:szCs w:val="24"/>
        </w:rPr>
        <w:t xml:space="preserve"> as an adjunct therapeutic approach to maintain remission in </w:t>
      </w:r>
      <w:r>
        <w:rPr>
          <w:rFonts w:ascii="Times New Roman" w:hAnsi="Times New Roman" w:cs="Times New Roman"/>
          <w:sz w:val="24"/>
          <w:szCs w:val="24"/>
        </w:rPr>
        <w:t>CD</w:t>
      </w:r>
      <w:r w:rsidRPr="00715A92">
        <w:rPr>
          <w:rFonts w:ascii="Times New Roman" w:hAnsi="Times New Roman" w:cs="Times New Roman"/>
          <w:sz w:val="24"/>
          <w:szCs w:val="24"/>
        </w:rPr>
        <w:t xml:space="preserve"> using a randomised</w:t>
      </w:r>
      <w:r>
        <w:rPr>
          <w:rFonts w:ascii="Times New Roman" w:hAnsi="Times New Roman" w:cs="Times New Roman"/>
          <w:sz w:val="24"/>
          <w:szCs w:val="24"/>
        </w:rPr>
        <w:t xml:space="preserve"> controlled</w:t>
      </w:r>
      <w:r w:rsidRPr="00715A92">
        <w:rPr>
          <w:rFonts w:ascii="Times New Roman" w:hAnsi="Times New Roman" w:cs="Times New Roman"/>
          <w:sz w:val="24"/>
          <w:szCs w:val="24"/>
        </w:rPr>
        <w:t xml:space="preserve"> dietary crossover trial</w:t>
      </w:r>
      <w:r>
        <w:rPr>
          <w:rFonts w:ascii="Times New Roman" w:hAnsi="Times New Roman" w:cs="Times New Roman"/>
          <w:sz w:val="24"/>
          <w:szCs w:val="24"/>
        </w:rPr>
        <w:t>.</w:t>
      </w:r>
      <w:r w:rsidRPr="00715A92">
        <w:rPr>
          <w:rFonts w:ascii="Times New Roman" w:hAnsi="Times New Roman" w:cs="Times New Roman"/>
          <w:sz w:val="24"/>
          <w:szCs w:val="24"/>
        </w:rPr>
        <w:t xml:space="preserve"> </w:t>
      </w:r>
    </w:p>
    <w:p w14:paraId="669FE315" w14:textId="77777777" w:rsidR="003333FD" w:rsidRPr="00715A92" w:rsidRDefault="003333FD" w:rsidP="003333FD">
      <w:pPr>
        <w:pStyle w:val="ListParagraph"/>
        <w:spacing w:line="480" w:lineRule="auto"/>
        <w:jc w:val="both"/>
        <w:rPr>
          <w:rFonts w:ascii="Times New Roman" w:hAnsi="Times New Roman" w:cs="Times New Roman"/>
          <w:sz w:val="24"/>
          <w:szCs w:val="24"/>
        </w:rPr>
      </w:pPr>
    </w:p>
    <w:p w14:paraId="1ED787C7" w14:textId="42A53402" w:rsidR="003333FD" w:rsidRPr="00715A92" w:rsidRDefault="003333FD" w:rsidP="003333FD">
      <w:pPr>
        <w:pStyle w:val="ListParagraph"/>
        <w:numPr>
          <w:ilvl w:val="0"/>
          <w:numId w:val="1"/>
        </w:num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To identify lifestyle and microbiome signatures that may contribute to specific food responsiveness in FEW</w:t>
      </w:r>
      <w:r>
        <w:rPr>
          <w:rFonts w:ascii="Times New Roman" w:hAnsi="Times New Roman" w:cs="Times New Roman"/>
          <w:sz w:val="24"/>
          <w:szCs w:val="24"/>
        </w:rPr>
        <w:t>-</w:t>
      </w:r>
      <w:r w:rsidRPr="00715A92">
        <w:rPr>
          <w:rFonts w:ascii="Times New Roman" w:hAnsi="Times New Roman" w:cs="Times New Roman"/>
          <w:sz w:val="24"/>
          <w:szCs w:val="24"/>
        </w:rPr>
        <w:t>responsive patients.</w:t>
      </w:r>
    </w:p>
    <w:p w14:paraId="106368FB" w14:textId="77777777" w:rsidR="003333FD" w:rsidRDefault="003333FD">
      <w:pPr>
        <w:rPr>
          <w:rFonts w:ascii="Times New Roman" w:hAnsi="Times New Roman" w:cs="Times New Roman"/>
          <w:sz w:val="24"/>
          <w:szCs w:val="24"/>
        </w:rPr>
      </w:pPr>
      <w:r>
        <w:rPr>
          <w:rFonts w:ascii="Times New Roman" w:hAnsi="Times New Roman" w:cs="Times New Roman"/>
          <w:sz w:val="24"/>
          <w:szCs w:val="24"/>
        </w:rPr>
        <w:br w:type="page"/>
      </w:r>
    </w:p>
    <w:p w14:paraId="4D381346" w14:textId="4B70099B" w:rsidR="003333FD" w:rsidRPr="00715A92" w:rsidRDefault="00E17D1C" w:rsidP="002D06BE">
      <w:pPr>
        <w:pStyle w:val="Heading1"/>
      </w:pPr>
      <w:r>
        <w:lastRenderedPageBreak/>
        <w:t xml:space="preserve">3. </w:t>
      </w:r>
      <w:r w:rsidR="003333FD" w:rsidRPr="00715A92">
        <w:t>PRELIMINARY DATA</w:t>
      </w:r>
    </w:p>
    <w:p w14:paraId="7B4832BA" w14:textId="77777777" w:rsidR="003333FD" w:rsidRPr="00715A92" w:rsidRDefault="003333FD" w:rsidP="003333FD">
      <w:p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 xml:space="preserve">We have demonstrated in a large population-based survey in the local Hunter region that patients with IBD </w:t>
      </w:r>
      <w:r>
        <w:rPr>
          <w:rFonts w:ascii="Times New Roman" w:hAnsi="Times New Roman" w:cs="Times New Roman"/>
          <w:sz w:val="24"/>
          <w:szCs w:val="24"/>
        </w:rPr>
        <w:t>self-</w:t>
      </w:r>
      <w:r w:rsidRPr="00715A92">
        <w:rPr>
          <w:rFonts w:ascii="Times New Roman" w:hAnsi="Times New Roman" w:cs="Times New Roman"/>
          <w:sz w:val="24"/>
          <w:szCs w:val="24"/>
        </w:rPr>
        <w:t>associated gluten or wheat ingestion with adverse gastrointestinal symptoms. A total of 3542 people randomly selected from the Australian population returned a mail survey (Digestive Health &amp; Wellbeing Survey, response rate = 43%) which contained questions on gastrointestinal (GI) symptoms (presented in the last 3 month), medical and lifestyle factors including a self-reported physician diagnosis of coeliac disease and IBD as previously described. Response bias was minimal. Wheat sensitivity was defined as people without coeliac disease who reported GI symptoms on wheat ingestion. Associations between categorical variables were evaluated using the Pearson chi-square test.</w:t>
      </w:r>
    </w:p>
    <w:p w14:paraId="533E75F3" w14:textId="01A838F9" w:rsidR="003333FD" w:rsidRDefault="003333FD" w:rsidP="008620B0">
      <w:p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The prevalence of IBD by self-report in our cohort was 2.0% (n = 69, Crohn’s disease = 21, 50% male, mean age 60.3 years). Of those with IBD, 26% reported wheat sensitivity, compared with only 15.5% of the unaffected cohort (OR 1.9, 95% CI 1.1-3.4) There was no significant association between wheat sensitivity in IBD and age (p = 0.28), gender (p = 0.43) or psychological distress (p = 0.11). Symptoms significantly associated with wheat sensitivity in the IBD cohort included epigastric pain, post prandial fullness, and constipation.</w:t>
      </w:r>
      <w:r>
        <w:rPr>
          <w:rFonts w:ascii="Times New Roman" w:hAnsi="Times New Roman" w:cs="Times New Roman"/>
          <w:sz w:val="24"/>
          <w:szCs w:val="24"/>
        </w:rPr>
        <w:t xml:space="preserve"> </w:t>
      </w:r>
      <w:r w:rsidRPr="00715A92">
        <w:rPr>
          <w:rFonts w:ascii="Times New Roman" w:hAnsi="Times New Roman" w:cs="Times New Roman"/>
          <w:sz w:val="24"/>
          <w:szCs w:val="24"/>
        </w:rPr>
        <w:t xml:space="preserve"> </w:t>
      </w:r>
    </w:p>
    <w:p w14:paraId="2D9E4980" w14:textId="77777777" w:rsidR="003333FD" w:rsidRDefault="003333FD">
      <w:pPr>
        <w:rPr>
          <w:rFonts w:ascii="Times New Roman" w:hAnsi="Times New Roman" w:cs="Times New Roman"/>
          <w:sz w:val="24"/>
          <w:szCs w:val="24"/>
        </w:rPr>
      </w:pPr>
      <w:r>
        <w:rPr>
          <w:rFonts w:ascii="Times New Roman" w:hAnsi="Times New Roman" w:cs="Times New Roman"/>
          <w:sz w:val="24"/>
          <w:szCs w:val="24"/>
        </w:rPr>
        <w:br w:type="page"/>
      </w:r>
    </w:p>
    <w:p w14:paraId="4278E989" w14:textId="2597613C" w:rsidR="003333FD" w:rsidRPr="00715A92" w:rsidRDefault="00E17D1C" w:rsidP="002D06BE">
      <w:pPr>
        <w:pStyle w:val="Heading1"/>
      </w:pPr>
      <w:r>
        <w:lastRenderedPageBreak/>
        <w:t xml:space="preserve">4. </w:t>
      </w:r>
      <w:r w:rsidR="003333FD" w:rsidRPr="00715A92">
        <w:t xml:space="preserve">RESEARCH PLAN </w:t>
      </w:r>
    </w:p>
    <w:p w14:paraId="516097B1" w14:textId="30C1E060" w:rsidR="003333FD" w:rsidRDefault="003333FD" w:rsidP="003333FD">
      <w:pPr>
        <w:spacing w:line="480" w:lineRule="auto"/>
        <w:rPr>
          <w:rFonts w:ascii="Times New Roman" w:hAnsi="Times New Roman" w:cs="Times New Roman"/>
          <w:sz w:val="24"/>
          <w:szCs w:val="24"/>
        </w:rPr>
      </w:pPr>
      <w:r>
        <w:rPr>
          <w:rFonts w:ascii="Times New Roman" w:hAnsi="Times New Roman" w:cs="Times New Roman"/>
          <w:sz w:val="24"/>
          <w:szCs w:val="24"/>
        </w:rPr>
        <w:t>This study will be conducted in three phases corresponding with three different studies.</w:t>
      </w:r>
    </w:p>
    <w:p w14:paraId="18C99706" w14:textId="1C1CF307" w:rsidR="003333FD" w:rsidRDefault="003333FD" w:rsidP="003333FD">
      <w:pPr>
        <w:spacing w:line="480" w:lineRule="auto"/>
        <w:rPr>
          <w:rFonts w:ascii="Times New Roman" w:hAnsi="Times New Roman" w:cs="Times New Roman"/>
          <w:sz w:val="24"/>
          <w:szCs w:val="24"/>
        </w:rPr>
      </w:pPr>
      <w:r w:rsidRPr="003333FD">
        <w:rPr>
          <w:rFonts w:ascii="Times New Roman" w:hAnsi="Times New Roman" w:cs="Times New Roman"/>
          <w:b/>
          <w:bCs/>
          <w:sz w:val="24"/>
          <w:szCs w:val="24"/>
        </w:rPr>
        <w:t>Study 1:</w:t>
      </w:r>
      <w:r>
        <w:rPr>
          <w:rFonts w:ascii="Times New Roman" w:hAnsi="Times New Roman" w:cs="Times New Roman"/>
          <w:sz w:val="24"/>
          <w:szCs w:val="24"/>
        </w:rPr>
        <w:t xml:space="preserve"> Cross-sectional Study </w:t>
      </w:r>
    </w:p>
    <w:p w14:paraId="1DA4279E" w14:textId="48F420BD" w:rsidR="003333FD" w:rsidRDefault="003333FD" w:rsidP="003333FD">
      <w:pPr>
        <w:spacing w:line="480" w:lineRule="auto"/>
        <w:rPr>
          <w:rFonts w:ascii="Times New Roman" w:hAnsi="Times New Roman" w:cs="Times New Roman"/>
          <w:sz w:val="24"/>
          <w:szCs w:val="24"/>
        </w:rPr>
      </w:pPr>
      <w:r w:rsidRPr="003333FD">
        <w:rPr>
          <w:rFonts w:ascii="Times New Roman" w:hAnsi="Times New Roman" w:cs="Times New Roman"/>
          <w:b/>
          <w:bCs/>
          <w:sz w:val="24"/>
          <w:szCs w:val="24"/>
        </w:rPr>
        <w:t>Study 2:</w:t>
      </w:r>
      <w:r>
        <w:rPr>
          <w:rFonts w:ascii="Times New Roman" w:hAnsi="Times New Roman" w:cs="Times New Roman"/>
          <w:sz w:val="24"/>
          <w:szCs w:val="24"/>
        </w:rPr>
        <w:t xml:space="preserve"> Dietary Trial</w:t>
      </w:r>
    </w:p>
    <w:p w14:paraId="7BFC47A7" w14:textId="0555F9BB" w:rsidR="003333FD" w:rsidRDefault="003333FD" w:rsidP="002D06BE">
      <w:pPr>
        <w:spacing w:line="480" w:lineRule="auto"/>
        <w:rPr>
          <w:rFonts w:ascii="Times New Roman" w:hAnsi="Times New Roman" w:cs="Times New Roman"/>
          <w:sz w:val="24"/>
          <w:szCs w:val="24"/>
        </w:rPr>
      </w:pPr>
      <w:r w:rsidRPr="003333FD">
        <w:rPr>
          <w:rFonts w:ascii="Times New Roman" w:hAnsi="Times New Roman" w:cs="Times New Roman"/>
          <w:b/>
          <w:bCs/>
          <w:sz w:val="24"/>
          <w:szCs w:val="24"/>
        </w:rPr>
        <w:t>Study 3:</w:t>
      </w:r>
      <w:r>
        <w:rPr>
          <w:rFonts w:ascii="Times New Roman" w:hAnsi="Times New Roman" w:cs="Times New Roman"/>
          <w:sz w:val="24"/>
          <w:szCs w:val="24"/>
        </w:rPr>
        <w:t xml:space="preserve"> Microbiome Analysis</w:t>
      </w:r>
    </w:p>
    <w:p w14:paraId="4E5A409E" w14:textId="77777777" w:rsidR="002D06BE" w:rsidRPr="002D06BE" w:rsidRDefault="002D06BE" w:rsidP="002D06BE">
      <w:pPr>
        <w:spacing w:line="480" w:lineRule="auto"/>
        <w:rPr>
          <w:rFonts w:ascii="Times New Roman" w:hAnsi="Times New Roman" w:cs="Times New Roman"/>
          <w:sz w:val="24"/>
          <w:szCs w:val="24"/>
        </w:rPr>
      </w:pPr>
    </w:p>
    <w:p w14:paraId="2DE7B61B" w14:textId="25A0762E" w:rsidR="003333FD" w:rsidRDefault="00E17D1C" w:rsidP="002D06BE">
      <w:pPr>
        <w:pStyle w:val="Heading1"/>
      </w:pPr>
      <w:r>
        <w:t xml:space="preserve">5. </w:t>
      </w:r>
      <w:r w:rsidR="003333FD">
        <w:t>PARTICIPANTS</w:t>
      </w:r>
    </w:p>
    <w:p w14:paraId="2D41FD5B" w14:textId="69AD9531" w:rsidR="003333FD" w:rsidRDefault="00E17D1C" w:rsidP="002D06BE">
      <w:pPr>
        <w:pStyle w:val="Heading2"/>
      </w:pPr>
      <w:r>
        <w:t xml:space="preserve">5.1 </w:t>
      </w:r>
      <w:r w:rsidR="003333FD">
        <w:t>STUDY 1 – Cross-sectional Study</w:t>
      </w:r>
    </w:p>
    <w:p w14:paraId="4E00F0B5" w14:textId="3554CED0" w:rsidR="005B3A8E" w:rsidRDefault="005B3A8E" w:rsidP="005B3A8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will access retrospectively collected samples/data (see section 6) of 150 CD patients and 20 age and sex-matched controls from the Digestive Health Biobank (DHB) 2020/ETH01635 (for recruitment) and 2020/ETH03303 (for analysis of samples), who have already consented to their samples/data being used for research purposes.</w:t>
      </w:r>
    </w:p>
    <w:p w14:paraId="0018ACD0" w14:textId="77777777" w:rsidR="003333FD" w:rsidRPr="00715A92" w:rsidRDefault="003333FD" w:rsidP="003333F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CD i</w:t>
      </w:r>
      <w:r w:rsidRPr="00715A92">
        <w:rPr>
          <w:rFonts w:ascii="Times New Roman" w:hAnsi="Times New Roman" w:cs="Times New Roman"/>
          <w:b/>
          <w:bCs/>
          <w:sz w:val="24"/>
          <w:szCs w:val="24"/>
        </w:rPr>
        <w:t>nclusion criteria:</w:t>
      </w:r>
    </w:p>
    <w:p w14:paraId="4DAA683A" w14:textId="77777777" w:rsidR="003333FD" w:rsidRPr="003B5B63" w:rsidRDefault="003333FD" w:rsidP="003333FD">
      <w:pPr>
        <w:pStyle w:val="ListParagraph"/>
        <w:numPr>
          <w:ilvl w:val="0"/>
          <w:numId w:val="2"/>
        </w:num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 xml:space="preserve">Adults aged 18 </w:t>
      </w:r>
      <w:r>
        <w:rPr>
          <w:rFonts w:ascii="Times New Roman" w:hAnsi="Times New Roman" w:cs="Times New Roman"/>
          <w:sz w:val="24"/>
          <w:szCs w:val="24"/>
        </w:rPr>
        <w:t xml:space="preserve">to 50 </w:t>
      </w:r>
      <w:r w:rsidRPr="00715A92">
        <w:rPr>
          <w:rFonts w:ascii="Times New Roman" w:hAnsi="Times New Roman" w:cs="Times New Roman"/>
          <w:sz w:val="24"/>
          <w:szCs w:val="24"/>
        </w:rPr>
        <w:t>years</w:t>
      </w:r>
    </w:p>
    <w:p w14:paraId="1D6D498C" w14:textId="77777777" w:rsidR="003333FD" w:rsidRPr="003B5B63" w:rsidRDefault="003333FD" w:rsidP="003333FD">
      <w:pPr>
        <w:pStyle w:val="ListParagraph"/>
        <w:numPr>
          <w:ilvl w:val="0"/>
          <w:numId w:val="2"/>
        </w:num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Males and females</w:t>
      </w:r>
    </w:p>
    <w:p w14:paraId="04AB441F" w14:textId="74E707EB" w:rsidR="003333FD" w:rsidRDefault="003333FD" w:rsidP="003333FD">
      <w:pPr>
        <w:pStyle w:val="ListParagraph"/>
        <w:numPr>
          <w:ilvl w:val="0"/>
          <w:numId w:val="2"/>
        </w:num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 xml:space="preserve">Crohn’s disease; a new diagnosis (within the last 2 years) of mild to moderate </w:t>
      </w:r>
      <w:r>
        <w:rPr>
          <w:rFonts w:ascii="Times New Roman" w:hAnsi="Times New Roman" w:cs="Times New Roman"/>
          <w:sz w:val="24"/>
          <w:szCs w:val="24"/>
        </w:rPr>
        <w:t xml:space="preserve">ileal or </w:t>
      </w:r>
      <w:r w:rsidRPr="00715A92">
        <w:rPr>
          <w:rFonts w:ascii="Times New Roman" w:hAnsi="Times New Roman" w:cs="Times New Roman"/>
          <w:sz w:val="24"/>
          <w:szCs w:val="24"/>
        </w:rPr>
        <w:t>ileo-colonic disease (</w:t>
      </w:r>
      <w:r>
        <w:rPr>
          <w:rFonts w:ascii="Times New Roman" w:hAnsi="Times New Roman" w:cs="Times New Roman"/>
          <w:sz w:val="24"/>
          <w:szCs w:val="24"/>
        </w:rPr>
        <w:t xml:space="preserve">Crohn’s Disease </w:t>
      </w:r>
      <w:r w:rsidR="006A4F3D">
        <w:rPr>
          <w:rFonts w:ascii="Times New Roman" w:eastAsia="Times New Roman" w:hAnsi="Times New Roman" w:cs="Times New Roman"/>
          <w:color w:val="000000"/>
          <w:sz w:val="24"/>
          <w:szCs w:val="24"/>
        </w:rPr>
        <w:t>Activity</w:t>
      </w:r>
      <w:r>
        <w:rPr>
          <w:rFonts w:ascii="Times New Roman" w:hAnsi="Times New Roman" w:cs="Times New Roman"/>
          <w:sz w:val="24"/>
          <w:szCs w:val="24"/>
        </w:rPr>
        <w:t xml:space="preserve"> Index (</w:t>
      </w:r>
      <w:r w:rsidRPr="00715A92">
        <w:rPr>
          <w:rFonts w:ascii="Times New Roman" w:hAnsi="Times New Roman" w:cs="Times New Roman"/>
          <w:sz w:val="24"/>
          <w:szCs w:val="24"/>
        </w:rPr>
        <w:t>CDAI</w:t>
      </w:r>
      <w:r>
        <w:rPr>
          <w:rFonts w:ascii="Times New Roman" w:hAnsi="Times New Roman" w:cs="Times New Roman"/>
          <w:sz w:val="24"/>
          <w:szCs w:val="24"/>
        </w:rPr>
        <w:t>)</w:t>
      </w:r>
      <w:r w:rsidRPr="00715A92">
        <w:rPr>
          <w:rFonts w:ascii="Times New Roman" w:hAnsi="Times New Roman" w:cs="Times New Roman"/>
          <w:sz w:val="24"/>
          <w:szCs w:val="24"/>
        </w:rPr>
        <w:t xml:space="preserve"> 150 – 450)</w:t>
      </w:r>
      <w:r w:rsidR="006A4F3D">
        <w:rPr>
          <w:rFonts w:ascii="Times New Roman" w:hAnsi="Times New Roman" w:cs="Times New Roman"/>
          <w:sz w:val="24"/>
          <w:szCs w:val="24"/>
        </w:rPr>
        <w:t xml:space="preserve"> </w:t>
      </w:r>
      <w:r w:rsidR="00773D60">
        <w:rPr>
          <w:rFonts w:ascii="Times New Roman" w:hAnsi="Times New Roman" w:cs="Times New Roman"/>
          <w:sz w:val="24"/>
          <w:szCs w:val="24"/>
        </w:rPr>
        <w:t>and faecal calprotectin (FC)</w:t>
      </w:r>
    </w:p>
    <w:p w14:paraId="0955F2B1" w14:textId="77777777" w:rsidR="003333FD" w:rsidRDefault="003333FD" w:rsidP="003333FD">
      <w:pPr>
        <w:spacing w:line="480" w:lineRule="auto"/>
        <w:jc w:val="both"/>
        <w:rPr>
          <w:rFonts w:ascii="Times New Roman" w:hAnsi="Times New Roman" w:cs="Times New Roman"/>
          <w:b/>
          <w:bCs/>
          <w:sz w:val="24"/>
          <w:szCs w:val="24"/>
        </w:rPr>
      </w:pPr>
    </w:p>
    <w:p w14:paraId="51946B0B" w14:textId="30CED1DE" w:rsidR="003333FD" w:rsidRPr="00715A92" w:rsidRDefault="003333FD" w:rsidP="003333F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CD e</w:t>
      </w:r>
      <w:r w:rsidRPr="00715A92">
        <w:rPr>
          <w:rFonts w:ascii="Times New Roman" w:hAnsi="Times New Roman" w:cs="Times New Roman"/>
          <w:b/>
          <w:bCs/>
          <w:sz w:val="24"/>
          <w:szCs w:val="24"/>
        </w:rPr>
        <w:t>xclusion criteria:</w:t>
      </w:r>
    </w:p>
    <w:p w14:paraId="45DB6FEB" w14:textId="77777777" w:rsidR="003333FD" w:rsidRPr="003B5B63" w:rsidRDefault="003333FD" w:rsidP="003333F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Pregnancy</w:t>
      </w:r>
    </w:p>
    <w:p w14:paraId="0E616BEE" w14:textId="77777777" w:rsidR="003333FD" w:rsidRPr="003B5B63" w:rsidRDefault="003333FD" w:rsidP="003333FD">
      <w:pPr>
        <w:pStyle w:val="ListParagraph"/>
        <w:numPr>
          <w:ilvl w:val="0"/>
          <w:numId w:val="3"/>
        </w:num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Post-resection surgery</w:t>
      </w:r>
    </w:p>
    <w:p w14:paraId="4A764FF8" w14:textId="77777777" w:rsidR="003333FD" w:rsidRDefault="003333FD" w:rsidP="003333FD">
      <w:pPr>
        <w:pStyle w:val="ListParagraph"/>
        <w:numPr>
          <w:ilvl w:val="0"/>
          <w:numId w:val="3"/>
        </w:num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lastRenderedPageBreak/>
        <w:t>Smokers</w:t>
      </w:r>
    </w:p>
    <w:p w14:paraId="37E6B403" w14:textId="77777777" w:rsidR="003333FD" w:rsidRDefault="003333FD" w:rsidP="003333F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BMI greater than or equal to 30</w:t>
      </w:r>
    </w:p>
    <w:p w14:paraId="2894A58B" w14:textId="77777777" w:rsidR="003333FD" w:rsidRDefault="003333FD" w:rsidP="003333F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Other autoimmune or atopic conditions</w:t>
      </w:r>
    </w:p>
    <w:p w14:paraId="699F7FCA" w14:textId="77777777" w:rsidR="003333FD" w:rsidRDefault="003333FD" w:rsidP="003333F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Other dietary restrictions or modifications that would prevent individual from completing dietary intervention (e.g., coeliac disease)</w:t>
      </w:r>
    </w:p>
    <w:p w14:paraId="26F64E5D" w14:textId="77777777" w:rsidR="003333FD" w:rsidRPr="00715A92" w:rsidRDefault="003333FD" w:rsidP="003333F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Unable to complete the study participation requirements</w:t>
      </w:r>
    </w:p>
    <w:p w14:paraId="5229016D" w14:textId="77777777" w:rsidR="003333FD" w:rsidRDefault="003333FD" w:rsidP="003333FD">
      <w:pPr>
        <w:spacing w:line="480" w:lineRule="auto"/>
        <w:jc w:val="both"/>
        <w:rPr>
          <w:rFonts w:ascii="Times New Roman" w:hAnsi="Times New Roman" w:cs="Times New Roman"/>
          <w:b/>
          <w:bCs/>
          <w:sz w:val="24"/>
          <w:szCs w:val="24"/>
          <w:u w:val="single"/>
        </w:rPr>
      </w:pPr>
    </w:p>
    <w:p w14:paraId="0A28A2EB" w14:textId="77777777" w:rsidR="003333FD" w:rsidRDefault="003333FD" w:rsidP="003333FD">
      <w:pPr>
        <w:spacing w:line="48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Healthy control inclusion criteria:</w:t>
      </w:r>
    </w:p>
    <w:p w14:paraId="53FECF90" w14:textId="77777777" w:rsidR="003333FD" w:rsidRPr="003333FD" w:rsidRDefault="003333FD" w:rsidP="003333FD">
      <w:pPr>
        <w:pStyle w:val="ListParagraph"/>
        <w:numPr>
          <w:ilvl w:val="0"/>
          <w:numId w:val="5"/>
        </w:numPr>
        <w:spacing w:line="480" w:lineRule="auto"/>
        <w:jc w:val="both"/>
        <w:rPr>
          <w:rFonts w:ascii="Times New Roman" w:hAnsi="Times New Roman" w:cs="Times New Roman"/>
          <w:sz w:val="24"/>
          <w:szCs w:val="24"/>
        </w:rPr>
      </w:pPr>
      <w:r w:rsidRPr="003333FD">
        <w:rPr>
          <w:rFonts w:ascii="Times New Roman" w:hAnsi="Times New Roman" w:cs="Times New Roman"/>
          <w:sz w:val="24"/>
          <w:szCs w:val="24"/>
        </w:rPr>
        <w:t>Adults aged 18 to 50 years</w:t>
      </w:r>
    </w:p>
    <w:p w14:paraId="716D9802" w14:textId="77777777" w:rsidR="003333FD" w:rsidRPr="003333FD" w:rsidRDefault="003333FD" w:rsidP="003333FD">
      <w:pPr>
        <w:pStyle w:val="ListParagraph"/>
        <w:numPr>
          <w:ilvl w:val="0"/>
          <w:numId w:val="5"/>
        </w:numPr>
        <w:spacing w:line="480" w:lineRule="auto"/>
        <w:jc w:val="both"/>
        <w:rPr>
          <w:rFonts w:ascii="Times New Roman" w:hAnsi="Times New Roman" w:cs="Times New Roman"/>
          <w:sz w:val="24"/>
          <w:szCs w:val="24"/>
        </w:rPr>
      </w:pPr>
      <w:r w:rsidRPr="003333FD">
        <w:rPr>
          <w:rFonts w:ascii="Times New Roman" w:hAnsi="Times New Roman" w:cs="Times New Roman"/>
          <w:sz w:val="24"/>
          <w:szCs w:val="24"/>
        </w:rPr>
        <w:t>Males and females</w:t>
      </w:r>
    </w:p>
    <w:p w14:paraId="146D769F" w14:textId="77777777" w:rsidR="003333FD" w:rsidRPr="00A75126" w:rsidRDefault="003333FD" w:rsidP="003333FD">
      <w:pPr>
        <w:pStyle w:val="ListParagraph"/>
        <w:numPr>
          <w:ilvl w:val="0"/>
          <w:numId w:val="5"/>
        </w:numPr>
        <w:spacing w:line="480" w:lineRule="auto"/>
        <w:jc w:val="both"/>
        <w:rPr>
          <w:rFonts w:ascii="Times New Roman" w:hAnsi="Times New Roman" w:cs="Times New Roman"/>
          <w:sz w:val="24"/>
          <w:szCs w:val="24"/>
          <w:u w:val="single"/>
        </w:rPr>
      </w:pPr>
      <w:r w:rsidRPr="00A75126">
        <w:rPr>
          <w:rFonts w:ascii="Times New Roman" w:hAnsi="Times New Roman" w:cs="Times New Roman"/>
          <w:sz w:val="24"/>
          <w:szCs w:val="24"/>
        </w:rPr>
        <w:t>Presented for investigation of iron deficiency with normal results</w:t>
      </w:r>
    </w:p>
    <w:p w14:paraId="466C68D5" w14:textId="77777777" w:rsidR="003333FD" w:rsidRDefault="003333FD" w:rsidP="003333FD">
      <w:pPr>
        <w:spacing w:line="480" w:lineRule="auto"/>
        <w:jc w:val="both"/>
        <w:rPr>
          <w:rFonts w:ascii="Times New Roman" w:hAnsi="Times New Roman" w:cs="Times New Roman"/>
          <w:b/>
          <w:bCs/>
          <w:sz w:val="24"/>
          <w:szCs w:val="24"/>
          <w:u w:val="single"/>
        </w:rPr>
      </w:pPr>
    </w:p>
    <w:p w14:paraId="47FEA0A0" w14:textId="77777777" w:rsidR="003333FD" w:rsidRDefault="003333FD" w:rsidP="003333FD">
      <w:pPr>
        <w:spacing w:line="48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Healthy control exclusion criteria:</w:t>
      </w:r>
    </w:p>
    <w:p w14:paraId="0E64ED86" w14:textId="77777777" w:rsidR="003333FD" w:rsidRDefault="003333FD" w:rsidP="003333F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BMI greater than or equal to 30</w:t>
      </w:r>
    </w:p>
    <w:p w14:paraId="50F8E786" w14:textId="77777777" w:rsidR="003333FD" w:rsidRDefault="003333FD" w:rsidP="003333F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Diagnosis of GI disease, inflammatory or autoimmune disease, cancer, or metabolic syndrome</w:t>
      </w:r>
    </w:p>
    <w:p w14:paraId="77D6E235" w14:textId="77777777" w:rsidR="003333FD" w:rsidRDefault="003333FD" w:rsidP="003333F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Smokers</w:t>
      </w:r>
    </w:p>
    <w:p w14:paraId="09B105FD" w14:textId="0E5D8A7B" w:rsidR="003333FD" w:rsidRDefault="003333FD" w:rsidP="003333FD">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Pregnancy </w:t>
      </w:r>
    </w:p>
    <w:p w14:paraId="35964609" w14:textId="77777777" w:rsidR="002D04EC" w:rsidRDefault="002D04EC" w:rsidP="002D04EC">
      <w:pPr>
        <w:pStyle w:val="ListParagraph"/>
        <w:spacing w:line="480" w:lineRule="auto"/>
        <w:jc w:val="both"/>
        <w:rPr>
          <w:rFonts w:ascii="Times New Roman" w:hAnsi="Times New Roman" w:cs="Times New Roman"/>
          <w:sz w:val="24"/>
          <w:szCs w:val="24"/>
        </w:rPr>
      </w:pPr>
    </w:p>
    <w:p w14:paraId="09863498" w14:textId="4C417C29" w:rsidR="003333FD" w:rsidRDefault="00E17D1C" w:rsidP="002D06BE">
      <w:pPr>
        <w:pStyle w:val="Heading2"/>
      </w:pPr>
      <w:r>
        <w:t xml:space="preserve">5.2 </w:t>
      </w:r>
      <w:r w:rsidR="003333FD">
        <w:t>STUDY 2 – Dietary Trial</w:t>
      </w:r>
    </w:p>
    <w:p w14:paraId="3175453A" w14:textId="29F665E4" w:rsidR="005B3A8E" w:rsidRDefault="005B3A8E" w:rsidP="005B3A8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aim to recruit 100 patients with CD, meeting the inclusion criteria above, to the dietary trial phase of this study. </w:t>
      </w:r>
      <w:proofErr w:type="gramStart"/>
      <w:r w:rsidRPr="00E13DA6">
        <w:rPr>
          <w:rFonts w:ascii="Times New Roman" w:hAnsi="Times New Roman" w:cs="Times New Roman"/>
          <w:sz w:val="24"/>
          <w:szCs w:val="24"/>
          <w:lang w:val="en-US"/>
        </w:rPr>
        <w:t>The majority of</w:t>
      </w:r>
      <w:proofErr w:type="gramEnd"/>
      <w:r w:rsidRPr="00E13DA6">
        <w:rPr>
          <w:rFonts w:ascii="Times New Roman" w:hAnsi="Times New Roman" w:cs="Times New Roman"/>
          <w:sz w:val="24"/>
          <w:szCs w:val="24"/>
          <w:lang w:val="en-US"/>
        </w:rPr>
        <w:t xml:space="preserve"> participants will be</w:t>
      </w:r>
      <w:r w:rsidR="00673BA4">
        <w:rPr>
          <w:rFonts w:ascii="Times New Roman" w:hAnsi="Times New Roman" w:cs="Times New Roman"/>
          <w:sz w:val="24"/>
          <w:szCs w:val="24"/>
          <w:lang w:val="en-US"/>
        </w:rPr>
        <w:t xml:space="preserve"> people who have previously </w:t>
      </w:r>
      <w:r w:rsidR="00A5469D">
        <w:rPr>
          <w:rFonts w:ascii="Times New Roman" w:hAnsi="Times New Roman" w:cs="Times New Roman"/>
          <w:sz w:val="24"/>
          <w:szCs w:val="24"/>
          <w:lang w:val="en-US"/>
        </w:rPr>
        <w:t>donated samples to the DHB and agreed to be contacted</w:t>
      </w:r>
      <w:r w:rsidRPr="00E13DA6">
        <w:rPr>
          <w:rFonts w:ascii="Times New Roman" w:hAnsi="Times New Roman" w:cs="Times New Roman"/>
          <w:sz w:val="24"/>
          <w:szCs w:val="24"/>
          <w:lang w:val="en-US"/>
        </w:rPr>
        <w:t xml:space="preserve"> for future </w:t>
      </w:r>
      <w:r w:rsidR="00A5469D">
        <w:rPr>
          <w:rFonts w:ascii="Times New Roman" w:hAnsi="Times New Roman" w:cs="Times New Roman"/>
          <w:sz w:val="24"/>
          <w:szCs w:val="24"/>
          <w:lang w:val="en-US"/>
        </w:rPr>
        <w:t>research projects</w:t>
      </w:r>
      <w:r w:rsidRPr="00E13DA6">
        <w:rPr>
          <w:rFonts w:ascii="Times New Roman" w:hAnsi="Times New Roman" w:cs="Times New Roman"/>
          <w:sz w:val="24"/>
          <w:szCs w:val="24"/>
          <w:lang w:val="en-US"/>
        </w:rPr>
        <w:t xml:space="preserve">. </w:t>
      </w:r>
      <w:r w:rsidR="00A5469D">
        <w:rPr>
          <w:rFonts w:ascii="Times New Roman" w:hAnsi="Times New Roman" w:cs="Times New Roman"/>
          <w:sz w:val="24"/>
          <w:szCs w:val="24"/>
          <w:lang w:val="en-US"/>
        </w:rPr>
        <w:t xml:space="preserve">Also </w:t>
      </w:r>
      <w:r w:rsidR="00A5469D">
        <w:rPr>
          <w:rFonts w:ascii="Times New Roman" w:hAnsi="Times New Roman" w:cs="Times New Roman"/>
          <w:sz w:val="24"/>
          <w:szCs w:val="24"/>
          <w:lang w:val="en-US"/>
        </w:rPr>
        <w:lastRenderedPageBreak/>
        <w:t>treating gastroenterologists who see patients</w:t>
      </w:r>
      <w:r w:rsidRPr="00E13DA6">
        <w:rPr>
          <w:rFonts w:ascii="Times New Roman" w:hAnsi="Times New Roman" w:cs="Times New Roman"/>
          <w:sz w:val="24"/>
          <w:szCs w:val="24"/>
          <w:lang w:val="en-US"/>
        </w:rPr>
        <w:t xml:space="preserve"> at clinic appointment</w:t>
      </w:r>
      <w:r w:rsidR="009B4206">
        <w:rPr>
          <w:rFonts w:ascii="Times New Roman" w:hAnsi="Times New Roman" w:cs="Times New Roman"/>
          <w:sz w:val="24"/>
          <w:szCs w:val="24"/>
          <w:lang w:val="en-US"/>
        </w:rPr>
        <w:t xml:space="preserve"> that may be suitable for this study</w:t>
      </w:r>
      <w:r w:rsidRPr="00E13DA6">
        <w:rPr>
          <w:rFonts w:ascii="Times New Roman" w:hAnsi="Times New Roman" w:cs="Times New Roman"/>
          <w:sz w:val="24"/>
          <w:szCs w:val="24"/>
          <w:lang w:val="en-US"/>
        </w:rPr>
        <w:t xml:space="preserve"> will mention the study and advise the research assistant</w:t>
      </w:r>
      <w:r>
        <w:rPr>
          <w:rFonts w:ascii="Times New Roman" w:hAnsi="Times New Roman" w:cs="Times New Roman"/>
          <w:sz w:val="24"/>
          <w:szCs w:val="24"/>
          <w:lang w:val="en-US"/>
        </w:rPr>
        <w:t xml:space="preserve"> (RA)</w:t>
      </w:r>
      <w:r w:rsidRPr="00E13DA6">
        <w:rPr>
          <w:rFonts w:ascii="Times New Roman" w:hAnsi="Times New Roman" w:cs="Times New Roman"/>
          <w:sz w:val="24"/>
          <w:szCs w:val="24"/>
          <w:lang w:val="en-US"/>
        </w:rPr>
        <w:t xml:space="preserve"> </w:t>
      </w:r>
      <w:r w:rsidR="00F81413">
        <w:rPr>
          <w:rFonts w:ascii="Times New Roman" w:hAnsi="Times New Roman" w:cs="Times New Roman"/>
          <w:sz w:val="24"/>
          <w:szCs w:val="24"/>
          <w:lang w:val="en-US"/>
        </w:rPr>
        <w:t>if the patient is interested</w:t>
      </w:r>
      <w:r w:rsidR="00BE5500">
        <w:rPr>
          <w:rFonts w:ascii="Times New Roman" w:hAnsi="Times New Roman" w:cs="Times New Roman"/>
          <w:sz w:val="24"/>
          <w:szCs w:val="24"/>
          <w:lang w:val="en-US"/>
        </w:rPr>
        <w:t xml:space="preserve"> </w:t>
      </w:r>
      <w:r w:rsidRPr="00E13DA6">
        <w:rPr>
          <w:rFonts w:ascii="Times New Roman" w:hAnsi="Times New Roman" w:cs="Times New Roman"/>
          <w:sz w:val="24"/>
          <w:szCs w:val="24"/>
          <w:lang w:val="en-US"/>
        </w:rPr>
        <w:t>so they can follow up</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rPr>
        <w:t>The RA will contact the potential participant to provide a participant information sheet (PIS) (Attachment A) and explain the study. If participants are interested, they will be provided with a consent form (CF) (Attachment B). Potential participants will be reassured that their decision whether to participate in this research will not influence their current or future treatment.</w:t>
      </w:r>
    </w:p>
    <w:p w14:paraId="1611E287" w14:textId="77777777" w:rsidR="003333FD" w:rsidRDefault="003333FD" w:rsidP="003333FD">
      <w:pPr>
        <w:spacing w:line="480" w:lineRule="auto"/>
        <w:jc w:val="both"/>
        <w:rPr>
          <w:rFonts w:ascii="Times New Roman" w:hAnsi="Times New Roman" w:cs="Times New Roman"/>
          <w:b/>
          <w:bCs/>
          <w:sz w:val="24"/>
          <w:szCs w:val="24"/>
          <w:u w:val="single"/>
        </w:rPr>
      </w:pPr>
    </w:p>
    <w:p w14:paraId="472C1B1A" w14:textId="48CD8D41" w:rsidR="003333FD" w:rsidRDefault="00E17D1C" w:rsidP="002D06BE">
      <w:pPr>
        <w:pStyle w:val="Heading2"/>
      </w:pPr>
      <w:r>
        <w:t xml:space="preserve">5.3 </w:t>
      </w:r>
      <w:r w:rsidR="003333FD">
        <w:t>STUDY 3 – Microbiome Analysis</w:t>
      </w:r>
    </w:p>
    <w:p w14:paraId="021887EB" w14:textId="4D215D92" w:rsidR="003333FD" w:rsidRDefault="003333FD" w:rsidP="003333FD">
      <w:pPr>
        <w:spacing w:line="480" w:lineRule="auto"/>
        <w:jc w:val="both"/>
        <w:rPr>
          <w:rFonts w:ascii="Times New Roman" w:hAnsi="Times New Roman" w:cs="Times New Roman"/>
          <w:sz w:val="24"/>
          <w:szCs w:val="24"/>
        </w:rPr>
      </w:pPr>
      <w:r w:rsidRPr="002E6614">
        <w:rPr>
          <w:rFonts w:ascii="Times New Roman" w:hAnsi="Times New Roman" w:cs="Times New Roman"/>
          <w:sz w:val="24"/>
          <w:szCs w:val="24"/>
        </w:rPr>
        <w:t>Retrospectively collected samples from CD patients and controls, sourced from the DHB</w:t>
      </w:r>
      <w:r w:rsidR="00E17D1C" w:rsidRPr="002E6614">
        <w:rPr>
          <w:rFonts w:ascii="Times New Roman" w:hAnsi="Times New Roman" w:cs="Times New Roman"/>
          <w:sz w:val="24"/>
          <w:szCs w:val="24"/>
        </w:rPr>
        <w:t xml:space="preserve"> (see section 6)</w:t>
      </w:r>
      <w:r w:rsidRPr="002E6614">
        <w:rPr>
          <w:rFonts w:ascii="Times New Roman" w:hAnsi="Times New Roman" w:cs="Times New Roman"/>
          <w:sz w:val="24"/>
          <w:szCs w:val="24"/>
        </w:rPr>
        <w:t>, will again be used in Study 3. Study 3 will also utilise samples collected</w:t>
      </w:r>
      <w:r w:rsidR="002E6614">
        <w:rPr>
          <w:rFonts w:ascii="Times New Roman" w:hAnsi="Times New Roman" w:cs="Times New Roman"/>
          <w:sz w:val="24"/>
          <w:szCs w:val="24"/>
        </w:rPr>
        <w:t xml:space="preserve"> </w:t>
      </w:r>
      <w:r w:rsidR="0054380A">
        <w:rPr>
          <w:rFonts w:ascii="Times New Roman" w:hAnsi="Times New Roman" w:cs="Times New Roman"/>
          <w:sz w:val="24"/>
          <w:szCs w:val="24"/>
        </w:rPr>
        <w:t>during</w:t>
      </w:r>
      <w:r w:rsidR="002E6614" w:rsidRPr="002E6614">
        <w:rPr>
          <w:rFonts w:ascii="Times New Roman" w:hAnsi="Times New Roman" w:cs="Times New Roman"/>
          <w:sz w:val="24"/>
          <w:szCs w:val="24"/>
        </w:rPr>
        <w:t xml:space="preserve"> the</w:t>
      </w:r>
      <w:r w:rsidRPr="002E6614">
        <w:rPr>
          <w:rFonts w:ascii="Times New Roman" w:hAnsi="Times New Roman" w:cs="Times New Roman"/>
          <w:sz w:val="24"/>
          <w:szCs w:val="24"/>
        </w:rPr>
        <w:t xml:space="preserve"> dietary trial in Study 2</w:t>
      </w:r>
      <w:r w:rsidR="002E6614" w:rsidRPr="002E6614">
        <w:rPr>
          <w:rFonts w:ascii="Times New Roman" w:hAnsi="Times New Roman" w:cs="Times New Roman"/>
          <w:sz w:val="24"/>
          <w:szCs w:val="24"/>
        </w:rPr>
        <w:t>.</w:t>
      </w:r>
    </w:p>
    <w:p w14:paraId="02230330" w14:textId="77777777" w:rsidR="003333FD" w:rsidRDefault="003333FD" w:rsidP="003333FD">
      <w:pPr>
        <w:spacing w:line="480" w:lineRule="auto"/>
        <w:jc w:val="both"/>
        <w:rPr>
          <w:rFonts w:ascii="Times New Roman" w:hAnsi="Times New Roman" w:cs="Times New Roman"/>
          <w:sz w:val="24"/>
          <w:szCs w:val="24"/>
        </w:rPr>
      </w:pPr>
    </w:p>
    <w:p w14:paraId="143E007D" w14:textId="0EFEA28E" w:rsidR="003333FD" w:rsidRDefault="00E17D1C" w:rsidP="002D06BE">
      <w:pPr>
        <w:pStyle w:val="Heading1"/>
      </w:pPr>
      <w:bookmarkStart w:id="0" w:name="_Hlk75708164"/>
      <w:r>
        <w:t xml:space="preserve">6. </w:t>
      </w:r>
      <w:r w:rsidR="003333FD" w:rsidRPr="00B238D2">
        <w:t>AVAILABLE SAMPLES</w:t>
      </w:r>
    </w:p>
    <w:p w14:paraId="4A2C6425" w14:textId="77777777" w:rsidR="003333FD" w:rsidRPr="00B238D2" w:rsidRDefault="003333FD" w:rsidP="0097142F">
      <w:pPr>
        <w:spacing w:after="0"/>
        <w:rPr>
          <w:rFonts w:ascii="Times New Roman" w:hAnsi="Times New Roman" w:cs="Times New Roman"/>
          <w:b/>
          <w:bCs/>
          <w:sz w:val="24"/>
          <w:szCs w:val="24"/>
          <w:u w:val="single"/>
        </w:rPr>
      </w:pPr>
    </w:p>
    <w:p w14:paraId="29A580CA" w14:textId="6C6AF89F" w:rsidR="003333FD" w:rsidRDefault="003333FD" w:rsidP="0097142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following information and samples for CD and control patients will already be available from the DHB (2020/ETH01635</w:t>
      </w:r>
      <w:r w:rsidR="005B3A8E" w:rsidRPr="005B3A8E">
        <w:rPr>
          <w:rFonts w:ascii="Times New Roman" w:eastAsia="Times New Roman" w:hAnsi="Times New Roman" w:cs="Times New Roman"/>
          <w:sz w:val="24"/>
          <w:szCs w:val="24"/>
        </w:rPr>
        <w:t xml:space="preserve"> </w:t>
      </w:r>
      <w:r w:rsidR="005B3A8E">
        <w:rPr>
          <w:rFonts w:ascii="Times New Roman" w:eastAsia="Times New Roman" w:hAnsi="Times New Roman" w:cs="Times New Roman"/>
          <w:sz w:val="24"/>
          <w:szCs w:val="24"/>
        </w:rPr>
        <w:t>and 2020/ETH03303</w:t>
      </w:r>
      <w:r>
        <w:rPr>
          <w:rFonts w:ascii="Times New Roman" w:hAnsi="Times New Roman" w:cs="Times New Roman"/>
          <w:sz w:val="24"/>
          <w:szCs w:val="24"/>
        </w:rPr>
        <w:t>) for use in Stud</w:t>
      </w:r>
      <w:r w:rsidR="002D04EC">
        <w:rPr>
          <w:rFonts w:ascii="Times New Roman" w:hAnsi="Times New Roman" w:cs="Times New Roman"/>
          <w:sz w:val="24"/>
          <w:szCs w:val="24"/>
        </w:rPr>
        <w:t>y 1</w:t>
      </w:r>
      <w:r>
        <w:rPr>
          <w:rFonts w:ascii="Times New Roman" w:hAnsi="Times New Roman" w:cs="Times New Roman"/>
          <w:sz w:val="24"/>
          <w:szCs w:val="24"/>
        </w:rPr>
        <w:t>:</w:t>
      </w:r>
      <w:r w:rsidR="005B3A8E">
        <w:rPr>
          <w:rFonts w:ascii="Times New Roman" w:hAnsi="Times New Roman" w:cs="Times New Roman"/>
          <w:sz w:val="24"/>
          <w:szCs w:val="24"/>
        </w:rPr>
        <w:t xml:space="preserve"> </w:t>
      </w:r>
    </w:p>
    <w:p w14:paraId="4D4A9F3D" w14:textId="5931D0AF" w:rsidR="003333FD" w:rsidRDefault="003333FD" w:rsidP="003333F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Demographic and medical information (from a medical interview </w:t>
      </w:r>
      <w:r w:rsidRPr="00715A92">
        <w:rPr>
          <w:rFonts w:ascii="Times New Roman" w:hAnsi="Times New Roman" w:cs="Times New Roman"/>
          <w:sz w:val="24"/>
          <w:szCs w:val="24"/>
        </w:rPr>
        <w:t>including a detailed medical history (to include allergies) and other pathologies, medication usage</w:t>
      </w:r>
      <w:r>
        <w:rPr>
          <w:rFonts w:ascii="Times New Roman" w:hAnsi="Times New Roman" w:cs="Times New Roman"/>
          <w:sz w:val="24"/>
          <w:szCs w:val="24"/>
        </w:rPr>
        <w:t xml:space="preserve"> (e.g., UBD biologics)</w:t>
      </w:r>
      <w:r w:rsidRPr="00715A92">
        <w:rPr>
          <w:rFonts w:ascii="Times New Roman" w:hAnsi="Times New Roman" w:cs="Times New Roman"/>
          <w:sz w:val="24"/>
          <w:szCs w:val="24"/>
        </w:rPr>
        <w:t>, surgical history, family medical history and demographics</w:t>
      </w:r>
      <w:r>
        <w:rPr>
          <w:rFonts w:ascii="Times New Roman" w:hAnsi="Times New Roman" w:cs="Times New Roman"/>
          <w:sz w:val="24"/>
          <w:szCs w:val="24"/>
        </w:rPr>
        <w:t>)</w:t>
      </w:r>
    </w:p>
    <w:p w14:paraId="42CBD754" w14:textId="77777777" w:rsidR="003333FD" w:rsidRPr="00B238D2" w:rsidRDefault="003333FD" w:rsidP="003333FD">
      <w:pPr>
        <w:pStyle w:val="ListParagraph"/>
        <w:spacing w:line="480" w:lineRule="auto"/>
        <w:jc w:val="both"/>
        <w:rPr>
          <w:rFonts w:ascii="Times New Roman" w:hAnsi="Times New Roman" w:cs="Times New Roman"/>
          <w:sz w:val="24"/>
          <w:szCs w:val="24"/>
        </w:rPr>
      </w:pPr>
    </w:p>
    <w:p w14:paraId="21108823" w14:textId="656289C8" w:rsidR="003333FD" w:rsidRDefault="003333FD" w:rsidP="003333F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Gastrointestinal symptoms (from the validated </w:t>
      </w:r>
      <w:r w:rsidRPr="00715A92">
        <w:rPr>
          <w:rFonts w:ascii="Times New Roman" w:hAnsi="Times New Roman" w:cs="Times New Roman"/>
          <w:sz w:val="24"/>
          <w:szCs w:val="24"/>
        </w:rPr>
        <w:t xml:space="preserve">Digestive Health and Wellbeing Survey (DHWS) </w:t>
      </w:r>
      <w:r>
        <w:rPr>
          <w:rFonts w:ascii="Times New Roman" w:hAnsi="Times New Roman" w:cs="Times New Roman"/>
          <w:sz w:val="24"/>
          <w:szCs w:val="24"/>
        </w:rPr>
        <w:t xml:space="preserve">which assesses </w:t>
      </w:r>
      <w:r w:rsidRPr="00715A92">
        <w:rPr>
          <w:rFonts w:ascii="Times New Roman" w:hAnsi="Times New Roman" w:cs="Times New Roman"/>
          <w:sz w:val="24"/>
          <w:szCs w:val="24"/>
        </w:rPr>
        <w:t>gastrointestinal symptoms, anxiety and depression, sleep, smoking and alcohol intake</w:t>
      </w:r>
      <w:r>
        <w:rPr>
          <w:rFonts w:ascii="Times New Roman" w:hAnsi="Times New Roman" w:cs="Times New Roman"/>
          <w:sz w:val="24"/>
          <w:szCs w:val="24"/>
        </w:rPr>
        <w:t>)</w:t>
      </w:r>
    </w:p>
    <w:p w14:paraId="1243594B" w14:textId="77777777" w:rsidR="003333FD" w:rsidRPr="00B238D2" w:rsidRDefault="003333FD" w:rsidP="003333FD">
      <w:pPr>
        <w:pStyle w:val="ListParagraph"/>
        <w:spacing w:line="480" w:lineRule="auto"/>
        <w:jc w:val="both"/>
        <w:rPr>
          <w:rFonts w:ascii="Times New Roman" w:hAnsi="Times New Roman" w:cs="Times New Roman"/>
          <w:sz w:val="24"/>
          <w:szCs w:val="24"/>
        </w:rPr>
      </w:pPr>
    </w:p>
    <w:p w14:paraId="3CC55D06" w14:textId="5BE35A53" w:rsidR="003333FD" w:rsidRDefault="003333FD" w:rsidP="003333F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Dietary history (from </w:t>
      </w:r>
      <w:r w:rsidRPr="00715A92">
        <w:rPr>
          <w:rFonts w:ascii="Times New Roman" w:hAnsi="Times New Roman" w:cs="Times New Roman"/>
          <w:sz w:val="24"/>
          <w:szCs w:val="24"/>
        </w:rPr>
        <w:t>food frequency questionnaire</w:t>
      </w:r>
      <w:r>
        <w:rPr>
          <w:rFonts w:ascii="Times New Roman" w:hAnsi="Times New Roman" w:cs="Times New Roman"/>
          <w:sz w:val="24"/>
          <w:szCs w:val="24"/>
        </w:rPr>
        <w:t>s (FFQ) or 24-hour food recalls</w:t>
      </w:r>
      <w:r w:rsidR="00903609">
        <w:rPr>
          <w:rFonts w:ascii="Times New Roman" w:hAnsi="Times New Roman" w:cs="Times New Roman"/>
          <w:sz w:val="24"/>
          <w:szCs w:val="24"/>
        </w:rPr>
        <w:t>)</w:t>
      </w:r>
    </w:p>
    <w:p w14:paraId="7A8E93A8" w14:textId="77777777" w:rsidR="003333FD" w:rsidRPr="00B238D2" w:rsidRDefault="003333FD" w:rsidP="003333FD">
      <w:pPr>
        <w:pStyle w:val="ListParagraph"/>
        <w:rPr>
          <w:rFonts w:ascii="Times New Roman" w:hAnsi="Times New Roman" w:cs="Times New Roman"/>
          <w:sz w:val="24"/>
          <w:szCs w:val="24"/>
        </w:rPr>
      </w:pPr>
    </w:p>
    <w:p w14:paraId="4AC38420" w14:textId="77777777" w:rsidR="003333FD" w:rsidRDefault="003333FD" w:rsidP="003333F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Stool samples</w:t>
      </w:r>
    </w:p>
    <w:p w14:paraId="49B08F46" w14:textId="77777777" w:rsidR="003333FD" w:rsidRPr="00B238D2" w:rsidRDefault="003333FD" w:rsidP="003333FD">
      <w:pPr>
        <w:pStyle w:val="ListParagraph"/>
        <w:rPr>
          <w:rFonts w:ascii="Times New Roman" w:hAnsi="Times New Roman" w:cs="Times New Roman"/>
          <w:sz w:val="24"/>
          <w:szCs w:val="24"/>
        </w:rPr>
      </w:pPr>
    </w:p>
    <w:p w14:paraId="15754D7E" w14:textId="77777777" w:rsidR="003333FD" w:rsidRDefault="003333FD" w:rsidP="003333F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Endoscopic samples</w:t>
      </w:r>
    </w:p>
    <w:p w14:paraId="502AA52D" w14:textId="77777777" w:rsidR="003333FD" w:rsidRPr="00A94907" w:rsidRDefault="003333FD" w:rsidP="003333FD">
      <w:pPr>
        <w:spacing w:line="480" w:lineRule="auto"/>
        <w:jc w:val="both"/>
        <w:rPr>
          <w:rFonts w:ascii="Times New Roman" w:hAnsi="Times New Roman" w:cs="Times New Roman"/>
          <w:sz w:val="24"/>
          <w:szCs w:val="24"/>
        </w:rPr>
      </w:pPr>
      <w:bookmarkStart w:id="1" w:name="_Hlk75708202"/>
      <w:bookmarkEnd w:id="0"/>
      <w:r>
        <w:rPr>
          <w:rFonts w:ascii="Times New Roman" w:hAnsi="Times New Roman" w:cs="Times New Roman"/>
          <w:sz w:val="24"/>
          <w:szCs w:val="24"/>
        </w:rPr>
        <w:t xml:space="preserve">            </w:t>
      </w:r>
      <w:r w:rsidRPr="00A94907">
        <w:rPr>
          <w:rFonts w:ascii="Times New Roman" w:hAnsi="Times New Roman" w:cs="Times New Roman"/>
          <w:sz w:val="24"/>
          <w:szCs w:val="24"/>
        </w:rPr>
        <w:t>8 biopsy samples from the terminal ileum to the rectosigmoid tract</w:t>
      </w:r>
      <w:r>
        <w:rPr>
          <w:rFonts w:ascii="Times New Roman" w:hAnsi="Times New Roman" w:cs="Times New Roman"/>
          <w:sz w:val="24"/>
          <w:szCs w:val="24"/>
        </w:rPr>
        <w:t xml:space="preserve">: </w:t>
      </w:r>
    </w:p>
    <w:p w14:paraId="0F0F975A" w14:textId="77777777" w:rsidR="003333FD" w:rsidRPr="00057415" w:rsidRDefault="003333FD" w:rsidP="003333FD">
      <w:pPr>
        <w:pStyle w:val="ListParagraph"/>
        <w:numPr>
          <w:ilvl w:val="0"/>
          <w:numId w:val="7"/>
        </w:numPr>
        <w:spacing w:line="480" w:lineRule="auto"/>
        <w:jc w:val="both"/>
        <w:rPr>
          <w:rFonts w:ascii="Times New Roman" w:hAnsi="Times New Roman" w:cs="Times New Roman"/>
          <w:sz w:val="24"/>
          <w:szCs w:val="24"/>
        </w:rPr>
      </w:pPr>
      <w:r w:rsidRPr="00057415">
        <w:rPr>
          <w:rFonts w:ascii="Times New Roman" w:hAnsi="Times New Roman" w:cs="Times New Roman"/>
          <w:sz w:val="24"/>
          <w:szCs w:val="24"/>
        </w:rPr>
        <w:t xml:space="preserve">3 x </w:t>
      </w:r>
      <w:r>
        <w:rPr>
          <w:rFonts w:ascii="Times New Roman" w:hAnsi="Times New Roman" w:cs="Times New Roman"/>
          <w:sz w:val="24"/>
          <w:szCs w:val="24"/>
        </w:rPr>
        <w:t xml:space="preserve">processed by collagenase digestion to liberate immune cells for </w:t>
      </w:r>
      <w:r w:rsidRPr="00057415">
        <w:rPr>
          <w:rFonts w:ascii="Times New Roman" w:hAnsi="Times New Roman" w:cs="Times New Roman"/>
          <w:i/>
          <w:iCs/>
          <w:sz w:val="24"/>
          <w:szCs w:val="24"/>
        </w:rPr>
        <w:t>in vitro</w:t>
      </w:r>
      <w:r>
        <w:rPr>
          <w:rFonts w:ascii="Times New Roman" w:hAnsi="Times New Roman" w:cs="Times New Roman"/>
          <w:sz w:val="24"/>
          <w:szCs w:val="24"/>
        </w:rPr>
        <w:t xml:space="preserve"> stimulation with specific FEW food components and for local immune cell phenotyping by flow cytometry</w:t>
      </w:r>
    </w:p>
    <w:p w14:paraId="642E0FAA" w14:textId="77777777" w:rsidR="003333FD" w:rsidRPr="00E178E1" w:rsidRDefault="003333FD" w:rsidP="003333FD">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1 x collected in formalin and processed for histopathological staining and immunohistochemistry (IHC)</w:t>
      </w:r>
    </w:p>
    <w:p w14:paraId="561BE0E5" w14:textId="77777777" w:rsidR="003333FD" w:rsidRPr="00E178E1" w:rsidRDefault="003333FD" w:rsidP="003333FD">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1 x snap frozen into RNAlater for analysis of specific gene expression</w:t>
      </w:r>
    </w:p>
    <w:p w14:paraId="068F9FDD" w14:textId="77777777" w:rsidR="003333FD" w:rsidRPr="00E178E1" w:rsidRDefault="003333FD" w:rsidP="003333FD">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1 x collected for quantitative protein analysis</w:t>
      </w:r>
    </w:p>
    <w:bookmarkEnd w:id="1"/>
    <w:p w14:paraId="4EF49FA0" w14:textId="77777777" w:rsidR="003333FD" w:rsidRPr="00B238D2" w:rsidRDefault="003333FD" w:rsidP="003333FD">
      <w:pPr>
        <w:pStyle w:val="ListParagraph"/>
        <w:rPr>
          <w:rFonts w:ascii="Times New Roman" w:hAnsi="Times New Roman" w:cs="Times New Roman"/>
          <w:sz w:val="24"/>
          <w:szCs w:val="24"/>
        </w:rPr>
      </w:pPr>
    </w:p>
    <w:p w14:paraId="199C9BC3" w14:textId="77777777" w:rsidR="003333FD" w:rsidRDefault="003333FD" w:rsidP="003333F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Blood samples (42 mL)</w:t>
      </w:r>
    </w:p>
    <w:p w14:paraId="28104B21" w14:textId="77777777" w:rsidR="003333FD" w:rsidRPr="00B238D2" w:rsidRDefault="003333FD" w:rsidP="003333FD">
      <w:pPr>
        <w:pStyle w:val="ListParagraph"/>
        <w:rPr>
          <w:rFonts w:ascii="Times New Roman" w:hAnsi="Times New Roman" w:cs="Times New Roman"/>
          <w:sz w:val="24"/>
          <w:szCs w:val="24"/>
        </w:rPr>
      </w:pPr>
    </w:p>
    <w:p w14:paraId="141EE8D0" w14:textId="41AB361C" w:rsidR="003333FD" w:rsidRDefault="003333FD" w:rsidP="003333F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Peripheral blood mononuclear cells (PBMCs) isolated for </w:t>
      </w:r>
      <w:r w:rsidRPr="00B238D2">
        <w:rPr>
          <w:rFonts w:ascii="Times New Roman" w:hAnsi="Times New Roman" w:cs="Times New Roman"/>
          <w:i/>
          <w:iCs/>
          <w:sz w:val="24"/>
          <w:szCs w:val="24"/>
        </w:rPr>
        <w:t>in vitro</w:t>
      </w:r>
      <w:r>
        <w:rPr>
          <w:rFonts w:ascii="Times New Roman" w:hAnsi="Times New Roman" w:cs="Times New Roman"/>
          <w:sz w:val="24"/>
          <w:szCs w:val="24"/>
        </w:rPr>
        <w:t xml:space="preserve"> stimulation with specific FEW food components and for peripheral immune cell phenotyping by flow cytometry.</w:t>
      </w:r>
    </w:p>
    <w:p w14:paraId="00D63368" w14:textId="77777777" w:rsidR="003333FD" w:rsidRDefault="003333FD" w:rsidP="003333F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Serum and plasma will be analysed for circulating antibody levels and antibody reactivity towards specific FEW food components.</w:t>
      </w:r>
    </w:p>
    <w:p w14:paraId="347EC6F8" w14:textId="77777777" w:rsidR="003333FD" w:rsidRPr="00B238D2" w:rsidRDefault="003333FD" w:rsidP="003333FD">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Whole blood gene expression will be assessed for differences in expression of inflammatory mediators.</w:t>
      </w:r>
    </w:p>
    <w:p w14:paraId="16834003" w14:textId="3659974E" w:rsidR="0097142F" w:rsidRDefault="0097142F">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443B5EEC" w14:textId="6A61065F" w:rsidR="003333FD" w:rsidRPr="00715A92" w:rsidRDefault="00E17D1C" w:rsidP="002D06BE">
      <w:pPr>
        <w:pStyle w:val="Heading1"/>
      </w:pPr>
      <w:r>
        <w:lastRenderedPageBreak/>
        <w:t xml:space="preserve">7. </w:t>
      </w:r>
      <w:r w:rsidR="003333FD">
        <w:t>STUDY</w:t>
      </w:r>
      <w:r w:rsidR="003333FD" w:rsidRPr="00715A92">
        <w:t xml:space="preserve"> 1</w:t>
      </w:r>
      <w:r w:rsidR="003333FD">
        <w:t xml:space="preserve"> – Cross-sectional</w:t>
      </w:r>
    </w:p>
    <w:p w14:paraId="34B5678A" w14:textId="77777777" w:rsidR="003333FD" w:rsidRPr="00715A92" w:rsidRDefault="003333FD" w:rsidP="003333FD">
      <w:pPr>
        <w:spacing w:line="480" w:lineRule="auto"/>
        <w:jc w:val="both"/>
        <w:rPr>
          <w:rFonts w:ascii="Times New Roman" w:hAnsi="Times New Roman" w:cs="Times New Roman"/>
          <w:i/>
          <w:iCs/>
          <w:sz w:val="24"/>
          <w:szCs w:val="24"/>
        </w:rPr>
      </w:pPr>
      <w:r w:rsidRPr="00715A92">
        <w:rPr>
          <w:rFonts w:ascii="Times New Roman" w:hAnsi="Times New Roman" w:cs="Times New Roman"/>
          <w:sz w:val="24"/>
          <w:szCs w:val="24"/>
        </w:rPr>
        <w:t>We will fully characterise the</w:t>
      </w:r>
      <w:r>
        <w:rPr>
          <w:rFonts w:ascii="Times New Roman" w:hAnsi="Times New Roman" w:cs="Times New Roman"/>
          <w:sz w:val="24"/>
          <w:szCs w:val="24"/>
        </w:rPr>
        <w:t xml:space="preserve"> systemic and gastrointestinal</w:t>
      </w:r>
      <w:r w:rsidRPr="00715A92">
        <w:rPr>
          <w:rFonts w:ascii="Times New Roman" w:hAnsi="Times New Roman" w:cs="Times New Roman"/>
          <w:sz w:val="24"/>
          <w:szCs w:val="24"/>
        </w:rPr>
        <w:t xml:space="preserve"> immunological profiles of the CD patients</w:t>
      </w:r>
      <w:r>
        <w:rPr>
          <w:rFonts w:ascii="Times New Roman" w:hAnsi="Times New Roman" w:cs="Times New Roman"/>
          <w:sz w:val="24"/>
          <w:szCs w:val="24"/>
        </w:rPr>
        <w:t xml:space="preserve"> and healthy controls</w:t>
      </w:r>
      <w:r w:rsidRPr="00715A92">
        <w:rPr>
          <w:rFonts w:ascii="Times New Roman" w:hAnsi="Times New Roman" w:cs="Times New Roman"/>
          <w:sz w:val="24"/>
          <w:szCs w:val="24"/>
        </w:rPr>
        <w:t xml:space="preserve"> using a combination of flow cytometry, cell culture, histology, immunohistochemistry, microbiota</w:t>
      </w:r>
      <w:r>
        <w:rPr>
          <w:rFonts w:ascii="Times New Roman" w:hAnsi="Times New Roman" w:cs="Times New Roman"/>
          <w:sz w:val="24"/>
          <w:szCs w:val="24"/>
        </w:rPr>
        <w:t xml:space="preserve"> profiling</w:t>
      </w:r>
      <w:r w:rsidRPr="00715A92">
        <w:rPr>
          <w:rFonts w:ascii="Times New Roman" w:hAnsi="Times New Roman" w:cs="Times New Roman"/>
          <w:sz w:val="24"/>
          <w:szCs w:val="24"/>
        </w:rPr>
        <w:t>, protein, and gene expression analyses. All experimental techniques proposed are established in our laboratories.</w:t>
      </w:r>
    </w:p>
    <w:p w14:paraId="1F16F136" w14:textId="3401B366" w:rsidR="003333FD" w:rsidRDefault="009E079B" w:rsidP="003333FD">
      <w:pPr>
        <w:spacing w:line="480" w:lineRule="auto"/>
        <w:jc w:val="both"/>
        <w:rPr>
          <w:rFonts w:ascii="Times New Roman" w:hAnsi="Times New Roman" w:cs="Times New Roman"/>
          <w:sz w:val="24"/>
          <w:szCs w:val="24"/>
        </w:rPr>
      </w:pPr>
      <w:r>
        <w:rPr>
          <w:rFonts w:ascii="Times New Roman" w:hAnsi="Times New Roman" w:cs="Times New Roman"/>
          <w:sz w:val="24"/>
          <w:szCs w:val="24"/>
        </w:rPr>
        <w:t>R</w:t>
      </w:r>
      <w:r w:rsidRPr="009E079B">
        <w:rPr>
          <w:rFonts w:ascii="Times New Roman" w:hAnsi="Times New Roman" w:cs="Times New Roman"/>
          <w:sz w:val="24"/>
          <w:szCs w:val="24"/>
        </w:rPr>
        <w:t xml:space="preserve">etrospectively collected samples/data of 150 CD patients and 20 age and sex-matched controls from the </w:t>
      </w:r>
      <w:r>
        <w:rPr>
          <w:rFonts w:ascii="Times New Roman" w:hAnsi="Times New Roman" w:cs="Times New Roman"/>
          <w:sz w:val="24"/>
          <w:szCs w:val="24"/>
        </w:rPr>
        <w:t>DHB</w:t>
      </w:r>
      <w:r w:rsidRPr="009E079B">
        <w:rPr>
          <w:rFonts w:ascii="Times New Roman" w:hAnsi="Times New Roman" w:cs="Times New Roman"/>
          <w:sz w:val="24"/>
          <w:szCs w:val="24"/>
        </w:rPr>
        <w:t xml:space="preserve"> (2020/ETH01635</w:t>
      </w:r>
      <w:r w:rsidR="005B3A8E" w:rsidRPr="005B3A8E">
        <w:rPr>
          <w:rFonts w:ascii="Times New Roman" w:eastAsia="Times New Roman" w:hAnsi="Times New Roman" w:cs="Times New Roman"/>
          <w:sz w:val="24"/>
          <w:szCs w:val="24"/>
        </w:rPr>
        <w:t xml:space="preserve"> </w:t>
      </w:r>
      <w:r w:rsidR="005B3A8E">
        <w:rPr>
          <w:rFonts w:ascii="Times New Roman" w:eastAsia="Times New Roman" w:hAnsi="Times New Roman" w:cs="Times New Roman"/>
          <w:sz w:val="24"/>
          <w:szCs w:val="24"/>
        </w:rPr>
        <w:t>and 2020/ETH03303</w:t>
      </w:r>
      <w:r>
        <w:rPr>
          <w:rFonts w:ascii="Times New Roman" w:hAnsi="Times New Roman" w:cs="Times New Roman"/>
          <w:sz w:val="24"/>
          <w:szCs w:val="24"/>
        </w:rPr>
        <w:t xml:space="preserve">) will be used in this aim, as outlined in the section </w:t>
      </w:r>
      <w:r w:rsidR="00E17D1C">
        <w:rPr>
          <w:rFonts w:ascii="Times New Roman" w:hAnsi="Times New Roman" w:cs="Times New Roman"/>
          <w:sz w:val="24"/>
          <w:szCs w:val="24"/>
        </w:rPr>
        <w:t>5</w:t>
      </w:r>
      <w:r>
        <w:rPr>
          <w:rFonts w:ascii="Times New Roman" w:hAnsi="Times New Roman" w:cs="Times New Roman"/>
          <w:sz w:val="24"/>
          <w:szCs w:val="24"/>
        </w:rPr>
        <w:t xml:space="preserve"> above. </w:t>
      </w:r>
    </w:p>
    <w:p w14:paraId="5386B431" w14:textId="23061A99" w:rsidR="00BF02D6" w:rsidRPr="00BF02D6" w:rsidRDefault="00BF02D6" w:rsidP="00BF02D6">
      <w:pPr>
        <w:spacing w:line="360" w:lineRule="auto"/>
        <w:jc w:val="both"/>
        <w:rPr>
          <w:rFonts w:ascii="Times New Roman" w:hAnsi="Times New Roman" w:cs="Times New Roman"/>
          <w:sz w:val="24"/>
          <w:szCs w:val="24"/>
        </w:rPr>
      </w:pPr>
    </w:p>
    <w:p w14:paraId="71BB9AF5" w14:textId="6EB0A98D" w:rsidR="00BF02D6" w:rsidRPr="00C23F56" w:rsidRDefault="00C74D00" w:rsidP="002D06BE">
      <w:pPr>
        <w:pStyle w:val="Heading2"/>
      </w:pPr>
      <w:bookmarkStart w:id="2" w:name="_Hlk80779583"/>
      <w:r>
        <w:t xml:space="preserve">7.1 </w:t>
      </w:r>
      <w:r w:rsidR="00BF02D6" w:rsidRPr="00C23F56">
        <w:t>STUDY 1 METHODS</w:t>
      </w:r>
    </w:p>
    <w:bookmarkEnd w:id="2"/>
    <w:p w14:paraId="1FFA12F1" w14:textId="57B56F68" w:rsidR="00BF02D6" w:rsidRPr="00715A92" w:rsidRDefault="00BF02D6" w:rsidP="00BF02D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STUDY</w:t>
      </w:r>
      <w:r w:rsidRPr="00715A92">
        <w:rPr>
          <w:rFonts w:ascii="Times New Roman" w:hAnsi="Times New Roman" w:cs="Times New Roman"/>
          <w:b/>
          <w:bCs/>
          <w:sz w:val="24"/>
          <w:szCs w:val="24"/>
        </w:rPr>
        <w:t xml:space="preserve"> 1:</w:t>
      </w:r>
      <w:r w:rsidRPr="00715A92">
        <w:rPr>
          <w:rFonts w:ascii="Times New Roman" w:hAnsi="Times New Roman" w:cs="Times New Roman"/>
          <w:sz w:val="24"/>
          <w:szCs w:val="24"/>
        </w:rPr>
        <w:t xml:space="preserve"> </w:t>
      </w:r>
      <w:r w:rsidRPr="00715A92">
        <w:rPr>
          <w:rFonts w:ascii="Times New Roman" w:hAnsi="Times New Roman" w:cs="Times New Roman"/>
          <w:b/>
          <w:bCs/>
          <w:sz w:val="24"/>
          <w:szCs w:val="24"/>
        </w:rPr>
        <w:t xml:space="preserve">To examine whether </w:t>
      </w:r>
      <w:r>
        <w:rPr>
          <w:rFonts w:ascii="Times New Roman" w:hAnsi="Times New Roman" w:cs="Times New Roman"/>
          <w:b/>
          <w:bCs/>
          <w:sz w:val="24"/>
          <w:szCs w:val="24"/>
        </w:rPr>
        <w:t>CD</w:t>
      </w:r>
      <w:r w:rsidRPr="00715A92">
        <w:rPr>
          <w:rFonts w:ascii="Times New Roman" w:hAnsi="Times New Roman" w:cs="Times New Roman"/>
          <w:b/>
          <w:bCs/>
          <w:sz w:val="24"/>
          <w:szCs w:val="24"/>
        </w:rPr>
        <w:t xml:space="preserve"> patient</w:t>
      </w:r>
      <w:r>
        <w:rPr>
          <w:rFonts w:ascii="Times New Roman" w:hAnsi="Times New Roman" w:cs="Times New Roman"/>
          <w:b/>
          <w:bCs/>
          <w:sz w:val="24"/>
          <w:szCs w:val="24"/>
        </w:rPr>
        <w:t xml:space="preserve"> blood and intestinal biopsies </w:t>
      </w:r>
      <w:r w:rsidRPr="00715A92">
        <w:rPr>
          <w:rFonts w:ascii="Times New Roman" w:hAnsi="Times New Roman" w:cs="Times New Roman"/>
          <w:b/>
          <w:bCs/>
          <w:sz w:val="24"/>
          <w:szCs w:val="24"/>
        </w:rPr>
        <w:t>exhibit antibodies or immune cell responses against specific FEW foods that may be predictive of dietary response to exclusion.</w:t>
      </w:r>
    </w:p>
    <w:p w14:paraId="0E7A7CF4" w14:textId="17351294" w:rsidR="00BF02D6" w:rsidRPr="00715A92" w:rsidRDefault="00BF02D6" w:rsidP="00BF02D6">
      <w:pPr>
        <w:spacing w:line="480" w:lineRule="auto"/>
        <w:jc w:val="both"/>
        <w:rPr>
          <w:rFonts w:ascii="Times New Roman" w:hAnsi="Times New Roman" w:cs="Times New Roman"/>
          <w:sz w:val="24"/>
          <w:szCs w:val="24"/>
        </w:rPr>
      </w:pPr>
      <w:r>
        <w:rPr>
          <w:rFonts w:ascii="Times New Roman" w:hAnsi="Times New Roman" w:cs="Times New Roman"/>
          <w:b/>
          <w:bCs/>
          <w:i/>
          <w:iCs/>
          <w:sz w:val="24"/>
          <w:szCs w:val="24"/>
        </w:rPr>
        <w:t>STUDY</w:t>
      </w:r>
      <w:r w:rsidRPr="00715A92">
        <w:rPr>
          <w:rFonts w:ascii="Times New Roman" w:hAnsi="Times New Roman" w:cs="Times New Roman"/>
          <w:b/>
          <w:bCs/>
          <w:i/>
          <w:iCs/>
          <w:sz w:val="24"/>
          <w:szCs w:val="24"/>
        </w:rPr>
        <w:t xml:space="preserve"> 1</w:t>
      </w:r>
      <w:r>
        <w:rPr>
          <w:rFonts w:ascii="Times New Roman" w:hAnsi="Times New Roman" w:cs="Times New Roman"/>
          <w:b/>
          <w:bCs/>
          <w:i/>
          <w:iCs/>
          <w:sz w:val="24"/>
          <w:szCs w:val="24"/>
        </w:rPr>
        <w:t>.1</w:t>
      </w:r>
      <w:r w:rsidRPr="00715A92">
        <w:rPr>
          <w:rFonts w:ascii="Times New Roman" w:hAnsi="Times New Roman" w:cs="Times New Roman"/>
          <w:b/>
          <w:bCs/>
          <w:i/>
          <w:iCs/>
          <w:sz w:val="24"/>
          <w:szCs w:val="24"/>
        </w:rPr>
        <w:t xml:space="preserve">: </w:t>
      </w:r>
      <w:r w:rsidR="005B3A8E">
        <w:rPr>
          <w:rFonts w:ascii="Times New Roman" w:eastAsia="Times New Roman" w:hAnsi="Times New Roman" w:cs="Times New Roman"/>
          <w:b/>
          <w:i/>
          <w:sz w:val="24"/>
          <w:szCs w:val="24"/>
        </w:rPr>
        <w:t>To identify whether CD patients’ blood samples exhibit immune responses against specific FEW food components.</w:t>
      </w:r>
    </w:p>
    <w:p w14:paraId="0C186613" w14:textId="1A95DE5E" w:rsidR="00BF02D6" w:rsidRPr="00715A92" w:rsidRDefault="00BF02D6" w:rsidP="00BF02D6">
      <w:p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 xml:space="preserve">Given that </w:t>
      </w:r>
      <w:r>
        <w:rPr>
          <w:rFonts w:ascii="Times New Roman" w:hAnsi="Times New Roman" w:cs="Times New Roman"/>
          <w:sz w:val="24"/>
          <w:szCs w:val="24"/>
        </w:rPr>
        <w:t>CD</w:t>
      </w:r>
      <w:r w:rsidRPr="00715A92">
        <w:rPr>
          <w:rFonts w:ascii="Times New Roman" w:hAnsi="Times New Roman" w:cs="Times New Roman"/>
          <w:sz w:val="24"/>
          <w:szCs w:val="24"/>
        </w:rPr>
        <w:t xml:space="preserve"> is an immune-driven disorder, we will independently assess immune phenotypes of the participants to examine whether dietary triggers can be independently predicted in our cohorts. To examine if these group of patients exhibit systemic immune responses against specific FEW food components, blood samples will be analysed using various techniques including flow cytometry, cell stimulation assays and seroreactivity analyses. Blood samples</w:t>
      </w:r>
      <w:r w:rsidR="0054380A">
        <w:rPr>
          <w:rFonts w:ascii="Times New Roman" w:hAnsi="Times New Roman" w:cs="Times New Roman"/>
          <w:sz w:val="24"/>
          <w:szCs w:val="24"/>
        </w:rPr>
        <w:t xml:space="preserve"> </w:t>
      </w:r>
      <w:r w:rsidRPr="00715A92">
        <w:rPr>
          <w:rFonts w:ascii="Times New Roman" w:hAnsi="Times New Roman" w:cs="Times New Roman"/>
          <w:sz w:val="24"/>
          <w:szCs w:val="24"/>
        </w:rPr>
        <w:t xml:space="preserve">collected from patients </w:t>
      </w:r>
      <w:r w:rsidR="0054380A">
        <w:rPr>
          <w:rFonts w:ascii="Times New Roman" w:hAnsi="Times New Roman" w:cs="Times New Roman"/>
          <w:sz w:val="24"/>
          <w:szCs w:val="24"/>
        </w:rPr>
        <w:t xml:space="preserve">were </w:t>
      </w:r>
      <w:r w:rsidRPr="00715A92">
        <w:rPr>
          <w:rFonts w:ascii="Times New Roman" w:hAnsi="Times New Roman" w:cs="Times New Roman"/>
          <w:sz w:val="24"/>
          <w:szCs w:val="24"/>
        </w:rPr>
        <w:t xml:space="preserve">processed by density gradient centrifugation to isolate peripheral mononuclear cells (PBMCs), plasma and serum. </w:t>
      </w:r>
    </w:p>
    <w:p w14:paraId="1F109AAE" w14:textId="667FCA09" w:rsidR="00BF02D6" w:rsidRPr="00715A92" w:rsidRDefault="00BF02D6" w:rsidP="00BF02D6">
      <w:pPr>
        <w:spacing w:line="480" w:lineRule="auto"/>
        <w:jc w:val="both"/>
        <w:rPr>
          <w:rFonts w:ascii="Times New Roman" w:hAnsi="Times New Roman" w:cs="Times New Roman"/>
          <w:b/>
          <w:bCs/>
          <w:sz w:val="24"/>
          <w:szCs w:val="24"/>
          <w:u w:val="single"/>
        </w:rPr>
      </w:pPr>
      <w:r w:rsidRPr="00715A92">
        <w:rPr>
          <w:rFonts w:ascii="Times New Roman" w:hAnsi="Times New Roman" w:cs="Times New Roman"/>
          <w:b/>
          <w:bCs/>
          <w:sz w:val="24"/>
          <w:szCs w:val="24"/>
          <w:u w:val="single"/>
        </w:rPr>
        <w:t>Blood response</w:t>
      </w:r>
    </w:p>
    <w:p w14:paraId="5B0ACC64" w14:textId="77777777" w:rsidR="00BF02D6" w:rsidRPr="00053D40" w:rsidRDefault="00BF02D6" w:rsidP="00BF02D6">
      <w:pPr>
        <w:pStyle w:val="ListParagraph"/>
        <w:numPr>
          <w:ilvl w:val="0"/>
          <w:numId w:val="11"/>
        </w:numPr>
        <w:spacing w:line="480" w:lineRule="auto"/>
        <w:jc w:val="both"/>
        <w:rPr>
          <w:rFonts w:ascii="Times New Roman" w:hAnsi="Times New Roman" w:cs="Times New Roman"/>
          <w:b/>
          <w:bCs/>
          <w:sz w:val="24"/>
          <w:szCs w:val="24"/>
        </w:rPr>
      </w:pPr>
      <w:r w:rsidRPr="00053D40">
        <w:rPr>
          <w:rFonts w:ascii="Times New Roman" w:hAnsi="Times New Roman" w:cs="Times New Roman"/>
          <w:b/>
          <w:bCs/>
          <w:sz w:val="24"/>
          <w:szCs w:val="24"/>
        </w:rPr>
        <w:t>Flow cytometry</w:t>
      </w:r>
    </w:p>
    <w:p w14:paraId="48500799" w14:textId="7FAA0A72" w:rsidR="00BF02D6" w:rsidRDefault="00BF02D6" w:rsidP="00BF02D6">
      <w:pPr>
        <w:pStyle w:val="ListParagraph"/>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lastRenderedPageBreak/>
        <w:t>PBMCs will be used to examine different cell populations and characterise each patient’s immune cell profile.</w:t>
      </w:r>
      <w:r>
        <w:rPr>
          <w:rFonts w:ascii="Times New Roman" w:hAnsi="Times New Roman" w:cs="Times New Roman"/>
          <w:sz w:val="24"/>
          <w:szCs w:val="24"/>
        </w:rPr>
        <w:t xml:space="preserve"> Unstimulated samples will be used to characterise the general PBMC populations of our groups which will provide a broad overview of T cells, monocytes, natural killer (NK) cells, eosinophils, basophils, and other immune cells. Given </w:t>
      </w:r>
      <w:r w:rsidR="002D04EC">
        <w:rPr>
          <w:rFonts w:ascii="Times New Roman" w:hAnsi="Times New Roman" w:cs="Times New Roman"/>
          <w:sz w:val="24"/>
          <w:szCs w:val="24"/>
        </w:rPr>
        <w:t>that responses</w:t>
      </w:r>
      <w:r>
        <w:rPr>
          <w:rFonts w:ascii="Times New Roman" w:hAnsi="Times New Roman" w:cs="Times New Roman"/>
          <w:sz w:val="24"/>
          <w:szCs w:val="24"/>
        </w:rPr>
        <w:t xml:space="preserve"> to food antigens are driven by adaptive processes to produce antibodies, deep T cell phenotyping will be used on FEW-stimulated and non-stimulated cells to specifically characterise T cells.</w:t>
      </w:r>
    </w:p>
    <w:p w14:paraId="4140484E" w14:textId="77777777" w:rsidR="00BF02D6" w:rsidRPr="00715A92" w:rsidRDefault="00BF02D6" w:rsidP="00BF02D6">
      <w:pPr>
        <w:pStyle w:val="ListParagraph"/>
        <w:spacing w:line="480" w:lineRule="auto"/>
        <w:jc w:val="both"/>
        <w:rPr>
          <w:rFonts w:ascii="Times New Roman" w:hAnsi="Times New Roman" w:cs="Times New Roman"/>
          <w:sz w:val="24"/>
          <w:szCs w:val="24"/>
        </w:rPr>
      </w:pPr>
    </w:p>
    <w:p w14:paraId="5A22BC5D" w14:textId="77777777" w:rsidR="00BF02D6" w:rsidRPr="00715A92" w:rsidRDefault="00BF02D6" w:rsidP="00BF02D6">
      <w:pPr>
        <w:pStyle w:val="ListParagraph"/>
        <w:numPr>
          <w:ilvl w:val="0"/>
          <w:numId w:val="11"/>
        </w:numPr>
        <w:spacing w:line="480" w:lineRule="auto"/>
        <w:jc w:val="both"/>
        <w:rPr>
          <w:rFonts w:ascii="Times New Roman" w:hAnsi="Times New Roman" w:cs="Times New Roman"/>
          <w:b/>
          <w:bCs/>
          <w:sz w:val="24"/>
          <w:szCs w:val="24"/>
        </w:rPr>
      </w:pPr>
      <w:r w:rsidRPr="00715A92">
        <w:rPr>
          <w:rFonts w:ascii="Times New Roman" w:hAnsi="Times New Roman" w:cs="Times New Roman"/>
          <w:b/>
          <w:bCs/>
          <w:sz w:val="24"/>
          <w:szCs w:val="24"/>
        </w:rPr>
        <w:t>Cell stimulation assay</w:t>
      </w:r>
    </w:p>
    <w:p w14:paraId="01A1286F" w14:textId="77777777" w:rsidR="00BF02D6" w:rsidRPr="00715A92" w:rsidRDefault="00BF02D6" w:rsidP="00BF02D6">
      <w:pPr>
        <w:pStyle w:val="ListParagraph"/>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PBMCs will be resuspended in complete medium (RPMI-1640 media supplemented with foetal calf serum,</w:t>
      </w:r>
      <w:r>
        <w:rPr>
          <w:rFonts w:ascii="Times New Roman" w:hAnsi="Times New Roman" w:cs="Times New Roman"/>
          <w:sz w:val="24"/>
          <w:szCs w:val="24"/>
        </w:rPr>
        <w:t xml:space="preserve"> HEPES, sodium pyruvate,</w:t>
      </w:r>
      <w:r w:rsidRPr="00715A92">
        <w:rPr>
          <w:rFonts w:ascii="Times New Roman" w:hAnsi="Times New Roman" w:cs="Times New Roman"/>
          <w:sz w:val="24"/>
          <w:szCs w:val="24"/>
        </w:rPr>
        <w:t xml:space="preserve"> penicillin, streptomycin, and L-Glutamine) and cultured in 24 well-plates (either stimulated or non-stimulated with different FEW food components) for 24 h at 37ºC in a humidified 5% CO</w:t>
      </w:r>
      <w:r w:rsidRPr="00715A92">
        <w:rPr>
          <w:rFonts w:ascii="Times New Roman" w:hAnsi="Times New Roman" w:cs="Times New Roman"/>
          <w:sz w:val="24"/>
          <w:szCs w:val="24"/>
          <w:vertAlign w:val="subscript"/>
        </w:rPr>
        <w:t>2</w:t>
      </w:r>
      <w:r w:rsidRPr="00715A92">
        <w:rPr>
          <w:rFonts w:ascii="Times New Roman" w:hAnsi="Times New Roman" w:cs="Times New Roman"/>
          <w:sz w:val="24"/>
          <w:szCs w:val="24"/>
        </w:rPr>
        <w:t xml:space="preserve"> atmosphere. </w:t>
      </w:r>
      <w:r>
        <w:rPr>
          <w:rFonts w:ascii="Times New Roman" w:hAnsi="Times New Roman" w:cs="Times New Roman"/>
          <w:sz w:val="24"/>
          <w:szCs w:val="24"/>
        </w:rPr>
        <w:t>Timepoint collection of c</w:t>
      </w:r>
      <w:r w:rsidRPr="00715A92">
        <w:rPr>
          <w:rFonts w:ascii="Times New Roman" w:hAnsi="Times New Roman" w:cs="Times New Roman"/>
          <w:sz w:val="24"/>
          <w:szCs w:val="24"/>
        </w:rPr>
        <w:t>ultured cells and cultured supernatants</w:t>
      </w:r>
      <w:r>
        <w:rPr>
          <w:rFonts w:ascii="Times New Roman" w:hAnsi="Times New Roman" w:cs="Times New Roman"/>
          <w:sz w:val="24"/>
          <w:szCs w:val="24"/>
        </w:rPr>
        <w:t xml:space="preserve"> will be carried out </w:t>
      </w:r>
      <w:r w:rsidRPr="00715A92">
        <w:rPr>
          <w:rFonts w:ascii="Times New Roman" w:hAnsi="Times New Roman" w:cs="Times New Roman"/>
          <w:sz w:val="24"/>
          <w:szCs w:val="24"/>
        </w:rPr>
        <w:t>for (a) detection of cell lineage by flow cytometry; (b) analysis of cytokines/inflammatory mediators by ELISA or cytometric bead array (CBA); and (c) detection of cell lineage-specific gene expression by real time qua</w:t>
      </w:r>
      <w:r>
        <w:rPr>
          <w:rFonts w:ascii="Times New Roman" w:hAnsi="Times New Roman" w:cs="Times New Roman"/>
          <w:sz w:val="24"/>
          <w:szCs w:val="24"/>
        </w:rPr>
        <w:t>nti</w:t>
      </w:r>
      <w:r w:rsidRPr="00715A92">
        <w:rPr>
          <w:rFonts w:ascii="Times New Roman" w:hAnsi="Times New Roman" w:cs="Times New Roman"/>
          <w:sz w:val="24"/>
          <w:szCs w:val="24"/>
        </w:rPr>
        <w:t xml:space="preserve">tative polymerase chain reaction (qPCR). </w:t>
      </w:r>
      <w:r>
        <w:rPr>
          <w:rFonts w:ascii="Times New Roman" w:hAnsi="Times New Roman" w:cs="Times New Roman"/>
          <w:sz w:val="24"/>
          <w:szCs w:val="24"/>
        </w:rPr>
        <w:t xml:space="preserve"> </w:t>
      </w:r>
    </w:p>
    <w:p w14:paraId="1E98EC57" w14:textId="77777777" w:rsidR="00BF02D6" w:rsidRPr="00715A92" w:rsidRDefault="00BF02D6" w:rsidP="00BF02D6">
      <w:pPr>
        <w:pStyle w:val="ListParagraph"/>
        <w:spacing w:line="480" w:lineRule="auto"/>
        <w:jc w:val="both"/>
        <w:rPr>
          <w:rFonts w:ascii="Times New Roman" w:hAnsi="Times New Roman" w:cs="Times New Roman"/>
          <w:b/>
          <w:bCs/>
          <w:sz w:val="24"/>
          <w:szCs w:val="24"/>
        </w:rPr>
      </w:pPr>
    </w:p>
    <w:p w14:paraId="6BAF7A0E" w14:textId="77777777" w:rsidR="00BF02D6" w:rsidRPr="00715A92" w:rsidRDefault="00BF02D6" w:rsidP="00BF02D6">
      <w:pPr>
        <w:pStyle w:val="ListParagraph"/>
        <w:numPr>
          <w:ilvl w:val="0"/>
          <w:numId w:val="11"/>
        </w:numPr>
        <w:spacing w:line="480" w:lineRule="auto"/>
        <w:jc w:val="both"/>
        <w:rPr>
          <w:rFonts w:ascii="Times New Roman" w:hAnsi="Times New Roman" w:cs="Times New Roman"/>
          <w:b/>
          <w:bCs/>
          <w:sz w:val="24"/>
          <w:szCs w:val="24"/>
        </w:rPr>
      </w:pPr>
      <w:r w:rsidRPr="00715A92">
        <w:rPr>
          <w:rFonts w:ascii="Times New Roman" w:hAnsi="Times New Roman" w:cs="Times New Roman"/>
          <w:b/>
          <w:bCs/>
          <w:sz w:val="24"/>
          <w:szCs w:val="24"/>
        </w:rPr>
        <w:t>Seroreactivity assay</w:t>
      </w:r>
    </w:p>
    <w:p w14:paraId="45EA561F" w14:textId="36E41D21" w:rsidR="00BF02D6" w:rsidRDefault="00BF02D6" w:rsidP="00BF02D6">
      <w:pPr>
        <w:pStyle w:val="ListParagraph"/>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Patient plasma will be screened for specific immunoglobulins (IgG, IgE, IgA</w:t>
      </w:r>
      <w:r>
        <w:rPr>
          <w:rFonts w:ascii="Times New Roman" w:hAnsi="Times New Roman" w:cs="Times New Roman"/>
          <w:sz w:val="24"/>
          <w:szCs w:val="24"/>
        </w:rPr>
        <w:t>, IgM and IgD</w:t>
      </w:r>
      <w:r w:rsidRPr="00715A92">
        <w:rPr>
          <w:rFonts w:ascii="Times New Roman" w:hAnsi="Times New Roman" w:cs="Times New Roman"/>
          <w:sz w:val="24"/>
          <w:szCs w:val="24"/>
        </w:rPr>
        <w:t xml:space="preserve"> subtypes) against FEW food components to assess whether patients exhibit immune responses against specific wheat protein components. Various protein components of </w:t>
      </w:r>
      <w:r w:rsidRPr="00E511B0">
        <w:rPr>
          <w:rFonts w:ascii="Times New Roman" w:hAnsi="Times New Roman" w:cs="Times New Roman"/>
          <w:sz w:val="24"/>
          <w:szCs w:val="24"/>
        </w:rPr>
        <w:t>wheat</w:t>
      </w:r>
      <w:r w:rsidRPr="00715A92">
        <w:rPr>
          <w:rFonts w:ascii="Times New Roman" w:hAnsi="Times New Roman" w:cs="Times New Roman"/>
          <w:sz w:val="24"/>
          <w:szCs w:val="24"/>
        </w:rPr>
        <w:t xml:space="preserve"> (e.g., gluten, gliadin, amalyse trypsin inhibitors (ATIs) etc.)</w:t>
      </w:r>
      <w:r>
        <w:rPr>
          <w:rFonts w:ascii="Times New Roman" w:hAnsi="Times New Roman" w:cs="Times New Roman"/>
          <w:sz w:val="24"/>
          <w:szCs w:val="24"/>
        </w:rPr>
        <w:t xml:space="preserve">, </w:t>
      </w:r>
      <w:r w:rsidRPr="00715A92">
        <w:rPr>
          <w:rFonts w:ascii="Times New Roman" w:hAnsi="Times New Roman" w:cs="Times New Roman"/>
          <w:sz w:val="24"/>
          <w:szCs w:val="24"/>
        </w:rPr>
        <w:t xml:space="preserve">will be separated by gel electrophoresis. Proteins on the gel will be transferred onto a nitrocellulose membrane (blot) and blocked before incubating with patient plasma or </w:t>
      </w:r>
      <w:r w:rsidRPr="00715A92">
        <w:rPr>
          <w:rFonts w:ascii="Times New Roman" w:hAnsi="Times New Roman" w:cs="Times New Roman"/>
          <w:sz w:val="24"/>
          <w:szCs w:val="24"/>
        </w:rPr>
        <w:lastRenderedPageBreak/>
        <w:t>serum. The blots will be probed with horseradish peroxidase (HRP)-conjugated anti-human secondary antibodies (IgG, IgE, IgA</w:t>
      </w:r>
      <w:r>
        <w:rPr>
          <w:rFonts w:ascii="Times New Roman" w:hAnsi="Times New Roman" w:cs="Times New Roman"/>
          <w:sz w:val="24"/>
          <w:szCs w:val="24"/>
        </w:rPr>
        <w:t>, IgM and IgD</w:t>
      </w:r>
      <w:r w:rsidRPr="00715A92">
        <w:rPr>
          <w:rFonts w:ascii="Times New Roman" w:hAnsi="Times New Roman" w:cs="Times New Roman"/>
          <w:sz w:val="24"/>
          <w:szCs w:val="24"/>
        </w:rPr>
        <w:t>) and proteins on the blot are visualised using a ChemiDoc Imaging System. The presence of patient antibodies bound to specific wheat proteins will be identified, indicative of a systemic response against these wheat constituents.</w:t>
      </w:r>
    </w:p>
    <w:p w14:paraId="683E4FE1" w14:textId="5467D24A" w:rsidR="005B3A8E" w:rsidRPr="005B3A8E" w:rsidRDefault="005B3A8E" w:rsidP="005B3A8E">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 Section 10 for Analysis.</w:t>
      </w:r>
    </w:p>
    <w:p w14:paraId="44C8CDCD" w14:textId="77777777" w:rsidR="00BF02D6" w:rsidRPr="00715A92" w:rsidRDefault="00BF02D6" w:rsidP="00BF02D6">
      <w:pPr>
        <w:pStyle w:val="ListParagraph"/>
        <w:spacing w:line="480" w:lineRule="auto"/>
        <w:jc w:val="both"/>
        <w:rPr>
          <w:rFonts w:ascii="Times New Roman" w:hAnsi="Times New Roman" w:cs="Times New Roman"/>
          <w:b/>
          <w:bCs/>
          <w:sz w:val="24"/>
          <w:szCs w:val="24"/>
        </w:rPr>
      </w:pPr>
    </w:p>
    <w:p w14:paraId="49F6BC34" w14:textId="43DA7354" w:rsidR="00BF02D6" w:rsidRPr="00715A92" w:rsidRDefault="00BF02D6" w:rsidP="00BF02D6">
      <w:pPr>
        <w:spacing w:line="480" w:lineRule="auto"/>
        <w:jc w:val="both"/>
        <w:rPr>
          <w:rFonts w:ascii="Times New Roman" w:hAnsi="Times New Roman" w:cs="Times New Roman"/>
          <w:sz w:val="24"/>
          <w:szCs w:val="24"/>
        </w:rPr>
      </w:pPr>
      <w:r>
        <w:rPr>
          <w:rFonts w:ascii="Times New Roman" w:hAnsi="Times New Roman" w:cs="Times New Roman"/>
          <w:b/>
          <w:bCs/>
          <w:i/>
          <w:iCs/>
          <w:sz w:val="24"/>
          <w:szCs w:val="24"/>
        </w:rPr>
        <w:t>STUDY</w:t>
      </w:r>
      <w:r w:rsidRPr="00715A92">
        <w:rPr>
          <w:rFonts w:ascii="Times New Roman" w:hAnsi="Times New Roman" w:cs="Times New Roman"/>
          <w:b/>
          <w:bCs/>
          <w:i/>
          <w:iCs/>
          <w:sz w:val="24"/>
          <w:szCs w:val="24"/>
        </w:rPr>
        <w:t xml:space="preserve"> 1</w:t>
      </w:r>
      <w:r>
        <w:rPr>
          <w:rFonts w:ascii="Times New Roman" w:hAnsi="Times New Roman" w:cs="Times New Roman"/>
          <w:b/>
          <w:bCs/>
          <w:i/>
          <w:iCs/>
          <w:sz w:val="24"/>
          <w:szCs w:val="24"/>
        </w:rPr>
        <w:t>.2</w:t>
      </w:r>
      <w:r w:rsidRPr="00715A92">
        <w:rPr>
          <w:rFonts w:ascii="Times New Roman" w:hAnsi="Times New Roman" w:cs="Times New Roman"/>
          <w:b/>
          <w:bCs/>
          <w:i/>
          <w:iCs/>
          <w:sz w:val="24"/>
          <w:szCs w:val="24"/>
        </w:rPr>
        <w:t xml:space="preserve">: </w:t>
      </w:r>
      <w:r w:rsidR="005B3A8E">
        <w:rPr>
          <w:rFonts w:ascii="Times New Roman" w:eastAsia="Times New Roman" w:hAnsi="Times New Roman" w:cs="Times New Roman"/>
          <w:b/>
          <w:i/>
          <w:sz w:val="24"/>
          <w:szCs w:val="24"/>
        </w:rPr>
        <w:t xml:space="preserve">To identify whether CD patients’ intestinal mucosa samples exhibit immune responses against specific FEW food components. </w:t>
      </w:r>
    </w:p>
    <w:p w14:paraId="199EE1AC" w14:textId="0937B614" w:rsidR="00BF02D6" w:rsidRPr="00715A92" w:rsidRDefault="00BF02D6" w:rsidP="00BF02D6">
      <w:p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 xml:space="preserve">To determine whether these groups of CD patients display a local immune response to FEW food components, various techniques will be used including </w:t>
      </w:r>
      <w:r>
        <w:rPr>
          <w:rFonts w:ascii="Times New Roman" w:hAnsi="Times New Roman" w:cs="Times New Roman"/>
          <w:sz w:val="24"/>
          <w:szCs w:val="24"/>
        </w:rPr>
        <w:t>haematoxylin and eosin (</w:t>
      </w:r>
      <w:r w:rsidRPr="00715A92">
        <w:rPr>
          <w:rFonts w:ascii="Times New Roman" w:hAnsi="Times New Roman" w:cs="Times New Roman"/>
          <w:sz w:val="24"/>
          <w:szCs w:val="24"/>
        </w:rPr>
        <w:t>H&amp;E</w:t>
      </w:r>
      <w:r>
        <w:rPr>
          <w:rFonts w:ascii="Times New Roman" w:hAnsi="Times New Roman" w:cs="Times New Roman"/>
          <w:sz w:val="24"/>
          <w:szCs w:val="24"/>
        </w:rPr>
        <w:t>)</w:t>
      </w:r>
      <w:r w:rsidRPr="00715A92">
        <w:rPr>
          <w:rFonts w:ascii="Times New Roman" w:hAnsi="Times New Roman" w:cs="Times New Roman"/>
          <w:sz w:val="24"/>
          <w:szCs w:val="24"/>
        </w:rPr>
        <w:t xml:space="preserve"> staining, IHC, flow cytometry and cell stimulation assays. Lamina propria mononuclear cells (LPMCs) </w:t>
      </w:r>
      <w:r w:rsidR="0054380A">
        <w:rPr>
          <w:rFonts w:ascii="Times New Roman" w:hAnsi="Times New Roman" w:cs="Times New Roman"/>
          <w:sz w:val="24"/>
          <w:szCs w:val="24"/>
        </w:rPr>
        <w:t xml:space="preserve">were </w:t>
      </w:r>
      <w:r w:rsidRPr="00715A92">
        <w:rPr>
          <w:rFonts w:ascii="Times New Roman" w:hAnsi="Times New Roman" w:cs="Times New Roman"/>
          <w:sz w:val="24"/>
          <w:szCs w:val="24"/>
        </w:rPr>
        <w:t>isolated from intestinal biopsies by collagenase</w:t>
      </w:r>
      <w:r>
        <w:rPr>
          <w:rFonts w:ascii="Times New Roman" w:hAnsi="Times New Roman" w:cs="Times New Roman"/>
          <w:sz w:val="24"/>
          <w:szCs w:val="24"/>
        </w:rPr>
        <w:t xml:space="preserve"> and DNase II</w:t>
      </w:r>
      <w:r w:rsidRPr="00715A92">
        <w:rPr>
          <w:rFonts w:ascii="Times New Roman" w:hAnsi="Times New Roman" w:cs="Times New Roman"/>
          <w:sz w:val="24"/>
          <w:szCs w:val="24"/>
        </w:rPr>
        <w:t xml:space="preserve"> digestion. </w:t>
      </w:r>
    </w:p>
    <w:p w14:paraId="7F444199" w14:textId="77777777" w:rsidR="00BF02D6" w:rsidRPr="00715A92" w:rsidRDefault="00BF02D6" w:rsidP="00BF02D6">
      <w:pPr>
        <w:spacing w:line="480" w:lineRule="auto"/>
        <w:jc w:val="both"/>
        <w:rPr>
          <w:rFonts w:ascii="Times New Roman" w:hAnsi="Times New Roman" w:cs="Times New Roman"/>
          <w:b/>
          <w:bCs/>
          <w:sz w:val="24"/>
          <w:szCs w:val="24"/>
          <w:u w:val="single"/>
        </w:rPr>
      </w:pPr>
      <w:r w:rsidRPr="00715A92">
        <w:rPr>
          <w:rFonts w:ascii="Times New Roman" w:hAnsi="Times New Roman" w:cs="Times New Roman"/>
          <w:b/>
          <w:bCs/>
          <w:sz w:val="24"/>
          <w:szCs w:val="24"/>
          <w:u w:val="single"/>
        </w:rPr>
        <w:t>Mucosal response</w:t>
      </w:r>
    </w:p>
    <w:p w14:paraId="78957AAC" w14:textId="77777777" w:rsidR="00BF02D6" w:rsidRPr="00715A92" w:rsidRDefault="00BF02D6" w:rsidP="00BF02D6">
      <w:pPr>
        <w:pStyle w:val="ListParagraph"/>
        <w:numPr>
          <w:ilvl w:val="0"/>
          <w:numId w:val="12"/>
        </w:numPr>
        <w:spacing w:line="480" w:lineRule="auto"/>
        <w:jc w:val="both"/>
        <w:rPr>
          <w:rFonts w:ascii="Times New Roman" w:hAnsi="Times New Roman" w:cs="Times New Roman"/>
          <w:b/>
          <w:bCs/>
          <w:sz w:val="24"/>
          <w:szCs w:val="24"/>
        </w:rPr>
      </w:pPr>
      <w:r w:rsidRPr="00715A92">
        <w:rPr>
          <w:rFonts w:ascii="Times New Roman" w:hAnsi="Times New Roman" w:cs="Times New Roman"/>
          <w:b/>
          <w:bCs/>
          <w:sz w:val="24"/>
          <w:szCs w:val="24"/>
        </w:rPr>
        <w:t>Histology and IHC</w:t>
      </w:r>
    </w:p>
    <w:p w14:paraId="19900E80" w14:textId="77777777" w:rsidR="00BF02D6" w:rsidRPr="00715A92" w:rsidRDefault="00BF02D6" w:rsidP="00BF02D6">
      <w:pPr>
        <w:pStyle w:val="ListParagraph"/>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 xml:space="preserve">Intestinal biopsies will </w:t>
      </w:r>
      <w:r>
        <w:rPr>
          <w:rFonts w:ascii="Times New Roman" w:hAnsi="Times New Roman" w:cs="Times New Roman"/>
          <w:sz w:val="24"/>
          <w:szCs w:val="24"/>
        </w:rPr>
        <w:t xml:space="preserve">be formalin fixed and paraffin embedded prior to sectioning and H&amp;E staining </w:t>
      </w:r>
      <w:r w:rsidRPr="00715A92">
        <w:rPr>
          <w:rFonts w:ascii="Times New Roman" w:hAnsi="Times New Roman" w:cs="Times New Roman"/>
          <w:sz w:val="24"/>
          <w:szCs w:val="24"/>
        </w:rPr>
        <w:t>to evaluate cell localisation, tissue architecture and histological changes. IHC staining will also be performed for specific targets/markers and immune cells implicated in the immune response of the patients to FEW foods.</w:t>
      </w:r>
    </w:p>
    <w:p w14:paraId="4688FB46" w14:textId="77777777" w:rsidR="00BF02D6" w:rsidRPr="00715A92" w:rsidRDefault="00BF02D6" w:rsidP="00BF02D6">
      <w:pPr>
        <w:pStyle w:val="ListParagraph"/>
        <w:spacing w:line="480" w:lineRule="auto"/>
        <w:jc w:val="both"/>
        <w:rPr>
          <w:rFonts w:ascii="Times New Roman" w:hAnsi="Times New Roman" w:cs="Times New Roman"/>
          <w:b/>
          <w:bCs/>
          <w:sz w:val="24"/>
          <w:szCs w:val="24"/>
        </w:rPr>
      </w:pPr>
    </w:p>
    <w:p w14:paraId="101C7DCE" w14:textId="77777777" w:rsidR="00BF02D6" w:rsidRPr="00053D40" w:rsidRDefault="00BF02D6" w:rsidP="00BF02D6">
      <w:pPr>
        <w:pStyle w:val="ListParagraph"/>
        <w:numPr>
          <w:ilvl w:val="0"/>
          <w:numId w:val="12"/>
        </w:numPr>
        <w:spacing w:line="480" w:lineRule="auto"/>
        <w:jc w:val="both"/>
        <w:rPr>
          <w:rFonts w:ascii="Times New Roman" w:hAnsi="Times New Roman" w:cs="Times New Roman"/>
          <w:b/>
          <w:bCs/>
          <w:sz w:val="24"/>
          <w:szCs w:val="24"/>
        </w:rPr>
      </w:pPr>
      <w:r w:rsidRPr="00053D40">
        <w:rPr>
          <w:rFonts w:ascii="Times New Roman" w:hAnsi="Times New Roman" w:cs="Times New Roman"/>
          <w:b/>
          <w:bCs/>
          <w:sz w:val="24"/>
          <w:szCs w:val="24"/>
        </w:rPr>
        <w:t>Flow Cytometry</w:t>
      </w:r>
    </w:p>
    <w:p w14:paraId="3013055A" w14:textId="77777777" w:rsidR="00BF02D6" w:rsidRPr="00715A92" w:rsidRDefault="00BF02D6" w:rsidP="00BF02D6">
      <w:pPr>
        <w:pStyle w:val="ListParagraph"/>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LPMCs will be used to examine different cell populations and characterise each patient’s</w:t>
      </w:r>
      <w:r>
        <w:rPr>
          <w:rFonts w:ascii="Times New Roman" w:hAnsi="Times New Roman" w:cs="Times New Roman"/>
          <w:sz w:val="24"/>
          <w:szCs w:val="24"/>
        </w:rPr>
        <w:t xml:space="preserve"> T</w:t>
      </w:r>
      <w:r w:rsidRPr="00715A92">
        <w:rPr>
          <w:rFonts w:ascii="Times New Roman" w:hAnsi="Times New Roman" w:cs="Times New Roman"/>
          <w:sz w:val="24"/>
          <w:szCs w:val="24"/>
        </w:rPr>
        <w:t xml:space="preserve"> cell profile</w:t>
      </w:r>
      <w:r>
        <w:rPr>
          <w:rFonts w:ascii="Times New Roman" w:hAnsi="Times New Roman" w:cs="Times New Roman"/>
          <w:sz w:val="24"/>
          <w:szCs w:val="24"/>
        </w:rPr>
        <w:t>s to characterise the phenotype of the T cell populations involved in the response to FEW components</w:t>
      </w:r>
      <w:r w:rsidRPr="00715A92">
        <w:rPr>
          <w:rFonts w:ascii="Times New Roman" w:hAnsi="Times New Roman" w:cs="Times New Roman"/>
          <w:sz w:val="24"/>
          <w:szCs w:val="24"/>
        </w:rPr>
        <w:t>.</w:t>
      </w:r>
    </w:p>
    <w:p w14:paraId="64C12C67" w14:textId="77777777" w:rsidR="00BF02D6" w:rsidRPr="00715A92" w:rsidRDefault="00BF02D6" w:rsidP="00BF02D6">
      <w:pPr>
        <w:pStyle w:val="ListParagraph"/>
        <w:spacing w:line="480" w:lineRule="auto"/>
        <w:jc w:val="both"/>
        <w:rPr>
          <w:rFonts w:ascii="Times New Roman" w:hAnsi="Times New Roman" w:cs="Times New Roman"/>
          <w:sz w:val="24"/>
          <w:szCs w:val="24"/>
        </w:rPr>
      </w:pPr>
    </w:p>
    <w:p w14:paraId="61D15C09" w14:textId="77777777" w:rsidR="00BF02D6" w:rsidRPr="00715A92" w:rsidRDefault="00BF02D6" w:rsidP="00BF02D6">
      <w:pPr>
        <w:pStyle w:val="ListParagraph"/>
        <w:numPr>
          <w:ilvl w:val="0"/>
          <w:numId w:val="12"/>
        </w:numPr>
        <w:spacing w:line="480" w:lineRule="auto"/>
        <w:jc w:val="both"/>
        <w:rPr>
          <w:rFonts w:ascii="Times New Roman" w:hAnsi="Times New Roman" w:cs="Times New Roman"/>
          <w:b/>
          <w:bCs/>
          <w:sz w:val="24"/>
          <w:szCs w:val="24"/>
        </w:rPr>
      </w:pPr>
      <w:r w:rsidRPr="00715A92">
        <w:rPr>
          <w:rFonts w:ascii="Times New Roman" w:hAnsi="Times New Roman" w:cs="Times New Roman"/>
          <w:b/>
          <w:bCs/>
          <w:sz w:val="24"/>
          <w:szCs w:val="24"/>
        </w:rPr>
        <w:t>Cell stimulation assay</w:t>
      </w:r>
    </w:p>
    <w:p w14:paraId="37C49F56" w14:textId="77777777" w:rsidR="00BF02D6" w:rsidRPr="00715A92" w:rsidRDefault="00BF02D6" w:rsidP="00BF02D6">
      <w:pPr>
        <w:pStyle w:val="ListParagraph"/>
        <w:spacing w:line="480" w:lineRule="auto"/>
        <w:jc w:val="both"/>
        <w:rPr>
          <w:rFonts w:ascii="Times New Roman" w:hAnsi="Times New Roman" w:cs="Times New Roman"/>
          <w:b/>
          <w:bCs/>
          <w:sz w:val="24"/>
          <w:szCs w:val="24"/>
        </w:rPr>
      </w:pPr>
      <w:r w:rsidRPr="00715A92">
        <w:rPr>
          <w:rFonts w:ascii="Times New Roman" w:hAnsi="Times New Roman" w:cs="Times New Roman"/>
          <w:sz w:val="24"/>
          <w:szCs w:val="24"/>
        </w:rPr>
        <w:t>LPMCs are resuspended in complete medium (RPMI-1640 media supplemented with foetal calf serum, penicillin, streptomycin, and L-Glutamine) and cultured in 24 well-plates (either stimulated or non-stimulated with different FEW food components) for 24 h at 37ºC in a humidified 5% CO</w:t>
      </w:r>
      <w:r w:rsidRPr="00715A92">
        <w:rPr>
          <w:rFonts w:ascii="Times New Roman" w:hAnsi="Times New Roman" w:cs="Times New Roman"/>
          <w:sz w:val="24"/>
          <w:szCs w:val="24"/>
          <w:vertAlign w:val="subscript"/>
        </w:rPr>
        <w:t>2</w:t>
      </w:r>
      <w:r w:rsidRPr="00715A92">
        <w:rPr>
          <w:rFonts w:ascii="Times New Roman" w:hAnsi="Times New Roman" w:cs="Times New Roman"/>
          <w:sz w:val="24"/>
          <w:szCs w:val="24"/>
        </w:rPr>
        <w:t xml:space="preserve"> atmosphere</w:t>
      </w:r>
      <w:r>
        <w:rPr>
          <w:rFonts w:ascii="Times New Roman" w:hAnsi="Times New Roman" w:cs="Times New Roman"/>
          <w:sz w:val="24"/>
          <w:szCs w:val="24"/>
        </w:rPr>
        <w:t>. Timepoint collection of c</w:t>
      </w:r>
      <w:r w:rsidRPr="00715A92">
        <w:rPr>
          <w:rFonts w:ascii="Times New Roman" w:hAnsi="Times New Roman" w:cs="Times New Roman"/>
          <w:sz w:val="24"/>
          <w:szCs w:val="24"/>
        </w:rPr>
        <w:t>ultured cells and cultured supernatants</w:t>
      </w:r>
      <w:r>
        <w:rPr>
          <w:rFonts w:ascii="Times New Roman" w:hAnsi="Times New Roman" w:cs="Times New Roman"/>
          <w:sz w:val="24"/>
          <w:szCs w:val="24"/>
        </w:rPr>
        <w:t xml:space="preserve"> </w:t>
      </w:r>
      <w:r w:rsidRPr="00715A92">
        <w:rPr>
          <w:rFonts w:ascii="Times New Roman" w:hAnsi="Times New Roman" w:cs="Times New Roman"/>
          <w:sz w:val="24"/>
          <w:szCs w:val="24"/>
        </w:rPr>
        <w:t xml:space="preserve">will </w:t>
      </w:r>
      <w:r>
        <w:rPr>
          <w:rFonts w:ascii="Times New Roman" w:hAnsi="Times New Roman" w:cs="Times New Roman"/>
          <w:sz w:val="24"/>
          <w:szCs w:val="24"/>
        </w:rPr>
        <w:t xml:space="preserve">carried out </w:t>
      </w:r>
      <w:r w:rsidRPr="00715A92">
        <w:rPr>
          <w:rFonts w:ascii="Times New Roman" w:hAnsi="Times New Roman" w:cs="Times New Roman"/>
          <w:sz w:val="24"/>
          <w:szCs w:val="24"/>
        </w:rPr>
        <w:t xml:space="preserve">for (a) detection of cell lineage by flow cytometry; (b) analysis of cytokines/inflammatory mediators by ELISA or CBA; and (c) detection of cell lineage-specific gene expression by qPCR. </w:t>
      </w:r>
    </w:p>
    <w:p w14:paraId="0D216676" w14:textId="77777777" w:rsidR="00BF02D6" w:rsidRPr="00715A92" w:rsidRDefault="00BF02D6" w:rsidP="00BF02D6">
      <w:pPr>
        <w:spacing w:line="480" w:lineRule="auto"/>
        <w:jc w:val="both"/>
        <w:rPr>
          <w:rFonts w:ascii="Times New Roman" w:hAnsi="Times New Roman" w:cs="Times New Roman"/>
          <w:sz w:val="24"/>
          <w:szCs w:val="24"/>
        </w:rPr>
      </w:pPr>
    </w:p>
    <w:p w14:paraId="55646387" w14:textId="77777777" w:rsidR="00BF02D6" w:rsidRPr="00715A92" w:rsidRDefault="00BF02D6" w:rsidP="00BF02D6">
      <w:pPr>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STUDY</w:t>
      </w:r>
      <w:r w:rsidRPr="00715A92">
        <w:rPr>
          <w:rFonts w:ascii="Times New Roman" w:hAnsi="Times New Roman" w:cs="Times New Roman"/>
          <w:b/>
          <w:bCs/>
          <w:i/>
          <w:iCs/>
          <w:sz w:val="24"/>
          <w:szCs w:val="24"/>
        </w:rPr>
        <w:t xml:space="preserve"> 1</w:t>
      </w:r>
      <w:r>
        <w:rPr>
          <w:rFonts w:ascii="Times New Roman" w:hAnsi="Times New Roman" w:cs="Times New Roman"/>
          <w:b/>
          <w:bCs/>
          <w:i/>
          <w:iCs/>
          <w:sz w:val="24"/>
          <w:szCs w:val="24"/>
        </w:rPr>
        <w:t>.3</w:t>
      </w:r>
      <w:r w:rsidRPr="00715A92">
        <w:rPr>
          <w:rFonts w:ascii="Times New Roman" w:hAnsi="Times New Roman" w:cs="Times New Roman"/>
          <w:b/>
          <w:bCs/>
          <w:i/>
          <w:iCs/>
          <w:sz w:val="24"/>
          <w:szCs w:val="24"/>
        </w:rPr>
        <w:t xml:space="preserve">: To understand immune responses against FEW foods in </w:t>
      </w:r>
      <w:r>
        <w:rPr>
          <w:rFonts w:ascii="Times New Roman" w:hAnsi="Times New Roman" w:cs="Times New Roman"/>
          <w:b/>
          <w:bCs/>
          <w:i/>
          <w:iCs/>
          <w:sz w:val="24"/>
          <w:szCs w:val="24"/>
        </w:rPr>
        <w:t>CD</w:t>
      </w:r>
      <w:r w:rsidRPr="00715A92">
        <w:rPr>
          <w:rFonts w:ascii="Times New Roman" w:hAnsi="Times New Roman" w:cs="Times New Roman"/>
          <w:b/>
          <w:bCs/>
          <w:i/>
          <w:iCs/>
          <w:sz w:val="24"/>
          <w:szCs w:val="24"/>
        </w:rPr>
        <w:t xml:space="preserve"> patients at a protein and gene level. </w:t>
      </w:r>
    </w:p>
    <w:p w14:paraId="074B27C2" w14:textId="68E94918" w:rsidR="00BF02D6" w:rsidRPr="00715A92" w:rsidRDefault="00BF02D6" w:rsidP="00BF02D6">
      <w:p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 xml:space="preserve">To gain an understanding of the immune responses of CD patients against specific FEW food </w:t>
      </w:r>
      <w:r w:rsidR="005B3A8E">
        <w:rPr>
          <w:rFonts w:ascii="Times New Roman" w:hAnsi="Times New Roman" w:cs="Times New Roman"/>
          <w:sz w:val="24"/>
          <w:szCs w:val="24"/>
        </w:rPr>
        <w:t>components</w:t>
      </w:r>
      <w:r w:rsidRPr="00715A92">
        <w:rPr>
          <w:rFonts w:ascii="Times New Roman" w:hAnsi="Times New Roman" w:cs="Times New Roman"/>
          <w:sz w:val="24"/>
          <w:szCs w:val="24"/>
        </w:rPr>
        <w:t xml:space="preserve"> (as observed from our immunoassays) at the gene and protein level, we will employ techniques such as qPCR and western blot, respectively. We will assess differences in protein and gene expression in these patients and controls, as well as validate our findings from </w:t>
      </w:r>
      <w:r>
        <w:rPr>
          <w:rFonts w:ascii="Times New Roman" w:hAnsi="Times New Roman" w:cs="Times New Roman"/>
          <w:sz w:val="24"/>
          <w:szCs w:val="24"/>
        </w:rPr>
        <w:t>Studies</w:t>
      </w:r>
      <w:r w:rsidRPr="00715A92">
        <w:rPr>
          <w:rFonts w:ascii="Times New Roman" w:hAnsi="Times New Roman" w:cs="Times New Roman"/>
          <w:sz w:val="24"/>
          <w:szCs w:val="24"/>
        </w:rPr>
        <w:t xml:space="preserve"> 1</w:t>
      </w:r>
      <w:r>
        <w:rPr>
          <w:rFonts w:ascii="Times New Roman" w:hAnsi="Times New Roman" w:cs="Times New Roman"/>
          <w:sz w:val="24"/>
          <w:szCs w:val="24"/>
        </w:rPr>
        <w:t>.1</w:t>
      </w:r>
      <w:r w:rsidRPr="00715A92">
        <w:rPr>
          <w:rFonts w:ascii="Times New Roman" w:hAnsi="Times New Roman" w:cs="Times New Roman"/>
          <w:sz w:val="24"/>
          <w:szCs w:val="24"/>
        </w:rPr>
        <w:t xml:space="preserve"> and 1</w:t>
      </w:r>
      <w:r>
        <w:rPr>
          <w:rFonts w:ascii="Times New Roman" w:hAnsi="Times New Roman" w:cs="Times New Roman"/>
          <w:sz w:val="24"/>
          <w:szCs w:val="24"/>
        </w:rPr>
        <w:t>.2</w:t>
      </w:r>
      <w:r w:rsidRPr="00715A92">
        <w:rPr>
          <w:rFonts w:ascii="Times New Roman" w:hAnsi="Times New Roman" w:cs="Times New Roman"/>
          <w:sz w:val="24"/>
          <w:szCs w:val="24"/>
        </w:rPr>
        <w:t>.</w:t>
      </w:r>
    </w:p>
    <w:p w14:paraId="6940FEA9" w14:textId="77777777" w:rsidR="00BF02D6" w:rsidRPr="00715A92" w:rsidRDefault="00BF02D6" w:rsidP="00BF02D6">
      <w:pPr>
        <w:pStyle w:val="ListParagraph"/>
        <w:numPr>
          <w:ilvl w:val="0"/>
          <w:numId w:val="14"/>
        </w:numPr>
        <w:spacing w:line="480" w:lineRule="auto"/>
        <w:jc w:val="both"/>
        <w:rPr>
          <w:rFonts w:ascii="Times New Roman" w:hAnsi="Times New Roman" w:cs="Times New Roman"/>
          <w:b/>
          <w:bCs/>
          <w:sz w:val="24"/>
          <w:szCs w:val="24"/>
        </w:rPr>
      </w:pPr>
      <w:r w:rsidRPr="00715A92">
        <w:rPr>
          <w:rFonts w:ascii="Times New Roman" w:hAnsi="Times New Roman" w:cs="Times New Roman"/>
          <w:b/>
          <w:bCs/>
          <w:sz w:val="24"/>
          <w:szCs w:val="24"/>
        </w:rPr>
        <w:t>qPCR</w:t>
      </w:r>
    </w:p>
    <w:p w14:paraId="7D769AA4" w14:textId="77777777" w:rsidR="00BF02D6" w:rsidRPr="00A424D2" w:rsidRDefault="00BF02D6" w:rsidP="00BF02D6">
      <w:pPr>
        <w:pStyle w:val="ListParagraph"/>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 xml:space="preserve">To characterise immune response genes differentially expressed in </w:t>
      </w:r>
      <w:r>
        <w:rPr>
          <w:rFonts w:ascii="Times New Roman" w:hAnsi="Times New Roman" w:cs="Times New Roman"/>
          <w:sz w:val="24"/>
          <w:szCs w:val="24"/>
        </w:rPr>
        <w:t>our cohort of CD</w:t>
      </w:r>
      <w:r w:rsidRPr="00715A92">
        <w:rPr>
          <w:rFonts w:ascii="Times New Roman" w:hAnsi="Times New Roman" w:cs="Times New Roman"/>
          <w:sz w:val="24"/>
          <w:szCs w:val="24"/>
        </w:rPr>
        <w:t xml:space="preserve"> patients, RNA will be extracted from </w:t>
      </w:r>
      <w:r>
        <w:rPr>
          <w:rFonts w:ascii="Times New Roman" w:hAnsi="Times New Roman" w:cs="Times New Roman"/>
          <w:sz w:val="24"/>
          <w:szCs w:val="24"/>
        </w:rPr>
        <w:t xml:space="preserve">biopsy </w:t>
      </w:r>
      <w:r w:rsidRPr="00715A92">
        <w:rPr>
          <w:rFonts w:ascii="Times New Roman" w:hAnsi="Times New Roman" w:cs="Times New Roman"/>
          <w:sz w:val="24"/>
          <w:szCs w:val="24"/>
        </w:rPr>
        <w:t xml:space="preserve">using the </w:t>
      </w:r>
      <w:r w:rsidRPr="00162C5B">
        <w:rPr>
          <w:rFonts w:ascii="Times New Roman" w:hAnsi="Times New Roman" w:cs="Times New Roman"/>
          <w:sz w:val="24"/>
          <w:szCs w:val="24"/>
        </w:rPr>
        <w:t>Maxwell</w:t>
      </w:r>
      <w:r>
        <w:rPr>
          <w:rFonts w:ascii="Times New Roman" w:hAnsi="Times New Roman" w:cs="Times New Roman"/>
          <w:sz w:val="24"/>
          <w:szCs w:val="24"/>
        </w:rPr>
        <w:t xml:space="preserve"> (Promega Corporation, Australia)</w:t>
      </w:r>
      <w:r w:rsidRPr="00715A92">
        <w:rPr>
          <w:rFonts w:ascii="Times New Roman" w:hAnsi="Times New Roman" w:cs="Times New Roman"/>
          <w:sz w:val="24"/>
          <w:szCs w:val="24"/>
        </w:rPr>
        <w:t>, an automated nucleic acid purification platform, to be reverse transcribed into complementary DNA (cDNA).</w:t>
      </w:r>
      <w:r>
        <w:rPr>
          <w:rFonts w:ascii="Times New Roman" w:hAnsi="Times New Roman" w:cs="Times New Roman"/>
          <w:sz w:val="24"/>
          <w:szCs w:val="24"/>
        </w:rPr>
        <w:t xml:space="preserve"> Nutritional modulation</w:t>
      </w:r>
      <w:r w:rsidRPr="00A424D2">
        <w:rPr>
          <w:rFonts w:ascii="Times New Roman" w:hAnsi="Times New Roman" w:cs="Times New Roman"/>
          <w:sz w:val="24"/>
          <w:szCs w:val="24"/>
        </w:rPr>
        <w:t xml:space="preserve"> of gene</w:t>
      </w:r>
      <w:r>
        <w:rPr>
          <w:rFonts w:ascii="Times New Roman" w:hAnsi="Times New Roman" w:cs="Times New Roman"/>
          <w:sz w:val="24"/>
          <w:szCs w:val="24"/>
        </w:rPr>
        <w:t xml:space="preserve"> expression </w:t>
      </w:r>
      <w:r w:rsidRPr="007C0C0E">
        <w:rPr>
          <w:rFonts w:ascii="Times New Roman" w:hAnsi="Times New Roman" w:cs="Times New Roman"/>
          <w:sz w:val="24"/>
          <w:szCs w:val="24"/>
        </w:rPr>
        <w:t>(e.g., NOS3 and DEFB1)</w:t>
      </w:r>
      <w:r w:rsidRPr="00A424D2">
        <w:rPr>
          <w:rFonts w:ascii="Times New Roman" w:hAnsi="Times New Roman" w:cs="Times New Roman"/>
          <w:sz w:val="24"/>
          <w:szCs w:val="24"/>
        </w:rPr>
        <w:t xml:space="preserve"> will be determined by qPCR.</w:t>
      </w:r>
    </w:p>
    <w:p w14:paraId="4A179271" w14:textId="77777777" w:rsidR="00BF02D6" w:rsidRPr="00715A92" w:rsidRDefault="00BF02D6" w:rsidP="00BF02D6">
      <w:pPr>
        <w:pStyle w:val="ListParagraph"/>
        <w:spacing w:line="480" w:lineRule="auto"/>
        <w:jc w:val="both"/>
        <w:rPr>
          <w:rFonts w:ascii="Times New Roman" w:hAnsi="Times New Roman" w:cs="Times New Roman"/>
          <w:b/>
          <w:bCs/>
          <w:sz w:val="24"/>
          <w:szCs w:val="24"/>
        </w:rPr>
      </w:pPr>
    </w:p>
    <w:p w14:paraId="0559E57A" w14:textId="77777777" w:rsidR="00BF02D6" w:rsidRPr="00715A92" w:rsidRDefault="00BF02D6" w:rsidP="00BF02D6">
      <w:pPr>
        <w:pStyle w:val="ListParagraph"/>
        <w:numPr>
          <w:ilvl w:val="0"/>
          <w:numId w:val="13"/>
        </w:numPr>
        <w:spacing w:line="480" w:lineRule="auto"/>
        <w:jc w:val="both"/>
        <w:rPr>
          <w:rFonts w:ascii="Times New Roman" w:hAnsi="Times New Roman" w:cs="Times New Roman"/>
          <w:b/>
          <w:bCs/>
          <w:sz w:val="24"/>
          <w:szCs w:val="24"/>
        </w:rPr>
      </w:pPr>
      <w:r w:rsidRPr="00715A92">
        <w:rPr>
          <w:rFonts w:ascii="Times New Roman" w:hAnsi="Times New Roman" w:cs="Times New Roman"/>
          <w:b/>
          <w:bCs/>
          <w:sz w:val="24"/>
          <w:szCs w:val="24"/>
        </w:rPr>
        <w:lastRenderedPageBreak/>
        <w:t>Western blot</w:t>
      </w:r>
    </w:p>
    <w:p w14:paraId="64C5266D" w14:textId="0A140A30" w:rsidR="00BF02D6" w:rsidRDefault="00BF02D6" w:rsidP="00BF02D6">
      <w:pPr>
        <w:pStyle w:val="ListParagraph"/>
        <w:spacing w:line="480" w:lineRule="auto"/>
        <w:jc w:val="both"/>
        <w:rPr>
          <w:rFonts w:ascii="Times New Roman" w:hAnsi="Times New Roman" w:cs="Times New Roman"/>
          <w:sz w:val="24"/>
          <w:szCs w:val="24"/>
        </w:rPr>
      </w:pPr>
      <w:bookmarkStart w:id="3" w:name="_Hlk80779604"/>
      <w:r w:rsidRPr="00715A92">
        <w:rPr>
          <w:rFonts w:ascii="Times New Roman" w:hAnsi="Times New Roman" w:cs="Times New Roman"/>
          <w:sz w:val="24"/>
          <w:szCs w:val="24"/>
        </w:rPr>
        <w:t xml:space="preserve">Protein expression will be determined using western blotting. PBMCs or LPMCs will be </w:t>
      </w:r>
      <w:bookmarkEnd w:id="3"/>
      <w:r w:rsidRPr="00715A92">
        <w:rPr>
          <w:rFonts w:ascii="Times New Roman" w:hAnsi="Times New Roman" w:cs="Times New Roman"/>
          <w:sz w:val="24"/>
          <w:szCs w:val="24"/>
        </w:rPr>
        <w:t xml:space="preserve">enzymatically lysed to release proteins from the cells. Proteins will be separated using gel electrophoresis and then transferred onto a nitrocellulose membrane. Membranes will be incubated in blocking buffer and then probed with primary antibodies against our proteins of interest. The blots will be incubated in HRP-conjugated secondary antibodies and protein bands are detected and visualised using a ChemiDoc Imaging </w:t>
      </w:r>
      <w:r w:rsidR="005B3A8E">
        <w:rPr>
          <w:rFonts w:ascii="Times New Roman" w:eastAsia="Times New Roman" w:hAnsi="Times New Roman" w:cs="Times New Roman"/>
          <w:color w:val="000000"/>
          <w:sz w:val="24"/>
          <w:szCs w:val="24"/>
        </w:rPr>
        <w:t>System</w:t>
      </w:r>
      <w:r w:rsidRPr="00715A92">
        <w:rPr>
          <w:rFonts w:ascii="Times New Roman" w:hAnsi="Times New Roman" w:cs="Times New Roman"/>
          <w:sz w:val="24"/>
          <w:szCs w:val="24"/>
        </w:rPr>
        <w:t>.</w:t>
      </w:r>
    </w:p>
    <w:p w14:paraId="3DD78C29" w14:textId="77777777" w:rsidR="00956710" w:rsidRDefault="00956710" w:rsidP="00BF02D6">
      <w:pPr>
        <w:pStyle w:val="ListParagraph"/>
        <w:spacing w:line="480" w:lineRule="auto"/>
        <w:jc w:val="both"/>
        <w:rPr>
          <w:rFonts w:ascii="Times New Roman" w:hAnsi="Times New Roman" w:cs="Times New Roman"/>
          <w:sz w:val="24"/>
          <w:szCs w:val="24"/>
        </w:rPr>
      </w:pPr>
    </w:p>
    <w:p w14:paraId="56CD995D" w14:textId="1128C7A1" w:rsidR="00773D60" w:rsidRPr="00C23F56" w:rsidRDefault="00773D60" w:rsidP="00773D60">
      <w:pPr>
        <w:pStyle w:val="Heading2"/>
      </w:pPr>
      <w:r>
        <w:t xml:space="preserve">7.2 </w:t>
      </w:r>
      <w:r w:rsidRPr="00C23F56">
        <w:t xml:space="preserve">STUDY 1 </w:t>
      </w:r>
      <w:r>
        <w:t>ANALYSIS AND PUBLICATION</w:t>
      </w:r>
    </w:p>
    <w:p w14:paraId="7A600AC5" w14:textId="581A0354" w:rsidR="00BF02D6" w:rsidRPr="004E12A3" w:rsidRDefault="00773D60" w:rsidP="00BF02D6">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The data from studies 1.1, 1.2 and 1.3 will be compared with data from studies 2 and 3 once study 2 is unblinded. See Section 10 of protocol for details of analysis. The methods and findings from this study are both novel, with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literature published on this topic relating to animal or epidemiological studies in humans. We plan to submit a methodology and </w:t>
      </w:r>
      <w:r w:rsidR="003878F7">
        <w:rPr>
          <w:rFonts w:ascii="Times New Roman" w:hAnsi="Times New Roman" w:cs="Times New Roman"/>
          <w:sz w:val="24"/>
          <w:szCs w:val="24"/>
        </w:rPr>
        <w:t xml:space="preserve">an </w:t>
      </w:r>
      <w:r>
        <w:rPr>
          <w:rFonts w:ascii="Times New Roman" w:hAnsi="Times New Roman" w:cs="Times New Roman"/>
          <w:sz w:val="24"/>
          <w:szCs w:val="24"/>
        </w:rPr>
        <w:t xml:space="preserve">outcomes manuscript </w:t>
      </w:r>
      <w:r w:rsidR="003878F7">
        <w:rPr>
          <w:rFonts w:ascii="Times New Roman" w:hAnsi="Times New Roman" w:cs="Times New Roman"/>
          <w:sz w:val="24"/>
          <w:szCs w:val="24"/>
        </w:rPr>
        <w:t>for publication.</w:t>
      </w:r>
    </w:p>
    <w:p w14:paraId="2D1F8597" w14:textId="77777777" w:rsidR="00BF02D6" w:rsidRDefault="00BF02D6">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518A2C57" w14:textId="25D99458" w:rsidR="00BF02D6" w:rsidRPr="00FB1471" w:rsidRDefault="00C74D00" w:rsidP="002D06BE">
      <w:pPr>
        <w:pStyle w:val="Heading1"/>
      </w:pPr>
      <w:r>
        <w:lastRenderedPageBreak/>
        <w:t xml:space="preserve">8. </w:t>
      </w:r>
      <w:r w:rsidR="00BF02D6" w:rsidRPr="00B563CF">
        <w:t xml:space="preserve">STUDY 2 - Dietary </w:t>
      </w:r>
      <w:r w:rsidR="00BF02D6">
        <w:t>T</w:t>
      </w:r>
      <w:r w:rsidR="00BF02D6" w:rsidRPr="00FB1471">
        <w:t xml:space="preserve">rial </w:t>
      </w:r>
    </w:p>
    <w:p w14:paraId="3CD3DA5A" w14:textId="37572FA0" w:rsidR="00BF02D6" w:rsidRDefault="005B3A8E" w:rsidP="00BF02D6">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Participants identified from the DHB who meet the inclusion criteria as outlined in section 5.2 above will be invited to enter the dietary trial component of the study. We will evaluate, in a proof-of-concept trial, whether exclusion of FEW-containing foods which are commonly reported as triggers in CD is efficacious in maintaining remission in patients. The study design will be a randomised controlled trial of the FEW foods exclusion diet compared to standard IBD dietary management. </w:t>
      </w:r>
      <w:r w:rsidRPr="005D152B">
        <w:rPr>
          <w:rFonts w:ascii="Times New Roman" w:eastAsia="Times New Roman" w:hAnsi="Times New Roman" w:cs="Times New Roman"/>
          <w:sz w:val="24"/>
          <w:szCs w:val="24"/>
        </w:rPr>
        <w:t>The primary outcome for this study is the maintenance of remission (time to flare in days).</w:t>
      </w:r>
      <w:r>
        <w:rPr>
          <w:rFonts w:ascii="Times New Roman" w:eastAsia="Times New Roman" w:hAnsi="Times New Roman" w:cs="Times New Roman"/>
          <w:sz w:val="24"/>
          <w:szCs w:val="24"/>
        </w:rPr>
        <w:t xml:space="preserve"> An overview of this process is shown in Figure 1 and Table 1 below</w:t>
      </w:r>
      <w:r w:rsidR="00BF02D6" w:rsidRPr="00715A92">
        <w:rPr>
          <w:rFonts w:ascii="Times New Roman" w:hAnsi="Times New Roman" w:cs="Times New Roman"/>
          <w:sz w:val="24"/>
          <w:szCs w:val="24"/>
        </w:rPr>
        <w:t xml:space="preserve">. </w:t>
      </w:r>
    </w:p>
    <w:p w14:paraId="0E624669" w14:textId="5DB28FA0" w:rsidR="00BF02D6" w:rsidRDefault="005B3A8E" w:rsidP="00BF02D6">
      <w:pPr>
        <w:rPr>
          <w:rFonts w:ascii="Times New Roman" w:hAnsi="Times New Roman" w:cs="Times New Roman"/>
          <w:b/>
          <w:bCs/>
          <w:sz w:val="24"/>
          <w:szCs w:val="24"/>
        </w:rPr>
      </w:pPr>
      <w:r>
        <w:rPr>
          <w:rFonts w:ascii="Times New Roman" w:eastAsia="Times New Roman" w:hAnsi="Times New Roman" w:cs="Times New Roman"/>
          <w:b/>
          <w:noProof/>
          <w:sz w:val="24"/>
          <w:szCs w:val="24"/>
        </w:rPr>
        <w:drawing>
          <wp:anchor distT="0" distB="0" distL="114300" distR="114300" simplePos="0" relativeHeight="251665408" behindDoc="1" locked="0" layoutInCell="1" allowOverlap="1" wp14:anchorId="263CC970" wp14:editId="05089F23">
            <wp:simplePos x="0" y="0"/>
            <wp:positionH relativeFrom="margin">
              <wp:posOffset>0</wp:posOffset>
            </wp:positionH>
            <wp:positionV relativeFrom="paragraph">
              <wp:posOffset>285115</wp:posOffset>
            </wp:positionV>
            <wp:extent cx="5862955" cy="4295140"/>
            <wp:effectExtent l="0" t="0" r="4445" b="0"/>
            <wp:wrapTight wrapText="bothSides">
              <wp:wrapPolygon edited="0">
                <wp:start x="0" y="0"/>
                <wp:lineTo x="0" y="21459"/>
                <wp:lineTo x="21546" y="21459"/>
                <wp:lineTo x="21546" y="0"/>
                <wp:lineTo x="0" y="0"/>
              </wp:wrapPolygon>
            </wp:wrapTight>
            <wp:docPr id="5" name="Picture 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l="5409" t="7645" b="23056"/>
                    <a:stretch/>
                  </pic:blipFill>
                  <pic:spPr bwMode="auto">
                    <a:xfrm>
                      <a:off x="0" y="0"/>
                      <a:ext cx="5862955" cy="4295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34CC80" w14:textId="0BD2DE0A" w:rsidR="00BF02D6" w:rsidRDefault="00BF02D6" w:rsidP="00BF02D6">
      <w:pPr>
        <w:rPr>
          <w:rFonts w:ascii="Times New Roman" w:hAnsi="Times New Roman" w:cs="Times New Roman"/>
          <w:b/>
          <w:bCs/>
          <w:sz w:val="24"/>
          <w:szCs w:val="24"/>
        </w:rPr>
      </w:pPr>
      <w:r w:rsidRPr="00715A92">
        <w:rPr>
          <w:rFonts w:ascii="Times New Roman" w:hAnsi="Times New Roman" w:cs="Times New Roman"/>
          <w:b/>
          <w:bCs/>
          <w:sz w:val="24"/>
          <w:szCs w:val="24"/>
        </w:rPr>
        <w:t xml:space="preserve">Figure </w:t>
      </w:r>
      <w:r>
        <w:rPr>
          <w:rFonts w:ascii="Times New Roman" w:hAnsi="Times New Roman" w:cs="Times New Roman"/>
          <w:b/>
          <w:bCs/>
          <w:sz w:val="24"/>
          <w:szCs w:val="24"/>
        </w:rPr>
        <w:t>3</w:t>
      </w:r>
      <w:r w:rsidRPr="00715A92">
        <w:rPr>
          <w:rFonts w:ascii="Times New Roman" w:hAnsi="Times New Roman" w:cs="Times New Roman"/>
          <w:b/>
          <w:bCs/>
          <w:sz w:val="24"/>
          <w:szCs w:val="24"/>
        </w:rPr>
        <w:t>.</w:t>
      </w:r>
      <w:r w:rsidRPr="00715A92">
        <w:rPr>
          <w:rFonts w:ascii="Times New Roman" w:hAnsi="Times New Roman" w:cs="Times New Roman"/>
          <w:sz w:val="24"/>
          <w:szCs w:val="24"/>
        </w:rPr>
        <w:t xml:space="preserve"> Summary and flow diagram of the FEW foods exclusion dietary trial.</w:t>
      </w:r>
    </w:p>
    <w:p w14:paraId="179D2EC5" w14:textId="3926C043" w:rsidR="00BF02D6" w:rsidRDefault="00BF02D6" w:rsidP="00BF02D6">
      <w:pPr>
        <w:spacing w:line="480" w:lineRule="auto"/>
        <w:jc w:val="both"/>
        <w:rPr>
          <w:rFonts w:ascii="Times New Roman" w:hAnsi="Times New Roman" w:cs="Times New Roman"/>
          <w:sz w:val="24"/>
          <w:szCs w:val="24"/>
        </w:rPr>
      </w:pPr>
    </w:p>
    <w:p w14:paraId="1B79AAD6" w14:textId="7142C0CF" w:rsidR="00A327AE" w:rsidRDefault="00A327AE" w:rsidP="00BF02D6">
      <w:pPr>
        <w:spacing w:line="480" w:lineRule="auto"/>
        <w:jc w:val="both"/>
        <w:rPr>
          <w:rFonts w:ascii="Times New Roman" w:hAnsi="Times New Roman" w:cs="Times New Roman"/>
          <w:sz w:val="24"/>
          <w:szCs w:val="24"/>
        </w:rPr>
      </w:pPr>
    </w:p>
    <w:p w14:paraId="378B2F71" w14:textId="5912B848" w:rsidR="000D5378" w:rsidRDefault="00BF02D6" w:rsidP="00A44DE7">
      <w:pPr>
        <w:spacing w:after="0" w:line="480" w:lineRule="auto"/>
        <w:jc w:val="both"/>
        <w:rPr>
          <w:rFonts w:ascii="Times New Roman" w:hAnsi="Times New Roman" w:cs="Times New Roman"/>
          <w:sz w:val="24"/>
          <w:szCs w:val="24"/>
        </w:rPr>
      </w:pPr>
      <w:r w:rsidRPr="00DA4B32">
        <w:rPr>
          <w:rFonts w:ascii="Times New Roman" w:hAnsi="Times New Roman" w:cs="Times New Roman"/>
          <w:b/>
          <w:bCs/>
          <w:sz w:val="24"/>
          <w:szCs w:val="24"/>
        </w:rPr>
        <w:lastRenderedPageBreak/>
        <w:t>Table 1.</w:t>
      </w:r>
      <w:r w:rsidRPr="00DA4B32">
        <w:rPr>
          <w:rFonts w:ascii="Times New Roman" w:hAnsi="Times New Roman" w:cs="Times New Roman"/>
          <w:sz w:val="24"/>
          <w:szCs w:val="24"/>
        </w:rPr>
        <w:t xml:space="preserve"> Time and events schedule of the FEW foods exclu</w:t>
      </w:r>
      <w:r w:rsidR="00DA4B32">
        <w:rPr>
          <w:rFonts w:ascii="Times New Roman" w:hAnsi="Times New Roman" w:cs="Times New Roman"/>
          <w:sz w:val="24"/>
          <w:szCs w:val="24"/>
        </w:rPr>
        <w:t>si</w:t>
      </w:r>
      <w:r w:rsidRPr="00DA4B32">
        <w:rPr>
          <w:rFonts w:ascii="Times New Roman" w:hAnsi="Times New Roman" w:cs="Times New Roman"/>
          <w:sz w:val="24"/>
          <w:szCs w:val="24"/>
        </w:rPr>
        <w:t>on dietary trial.</w:t>
      </w:r>
    </w:p>
    <w:tbl>
      <w:tblPr>
        <w:tblStyle w:val="TableGrid"/>
        <w:tblW w:w="9555" w:type="dxa"/>
        <w:jc w:val="center"/>
        <w:tblLayout w:type="fixed"/>
        <w:tblLook w:val="04A0" w:firstRow="1" w:lastRow="0" w:firstColumn="1" w:lastColumn="0" w:noHBand="0" w:noVBand="1"/>
      </w:tblPr>
      <w:tblGrid>
        <w:gridCol w:w="1569"/>
        <w:gridCol w:w="1970"/>
        <w:gridCol w:w="851"/>
        <w:gridCol w:w="822"/>
        <w:gridCol w:w="788"/>
        <w:gridCol w:w="726"/>
        <w:gridCol w:w="726"/>
        <w:gridCol w:w="728"/>
        <w:gridCol w:w="726"/>
        <w:gridCol w:w="649"/>
      </w:tblGrid>
      <w:tr w:rsidR="00694CFC" w14:paraId="08EF2EAB" w14:textId="77777777" w:rsidTr="00505D53">
        <w:trPr>
          <w:jc w:val="center"/>
        </w:trPr>
        <w:tc>
          <w:tcPr>
            <w:tcW w:w="1569" w:type="dxa"/>
            <w:vMerge w:val="restart"/>
            <w:shd w:val="clear" w:color="auto" w:fill="E7E6E6" w:themeFill="background2"/>
            <w:vAlign w:val="center"/>
          </w:tcPr>
          <w:p w14:paraId="3C660560" w14:textId="7CEFDC6D" w:rsidR="00694CFC" w:rsidRPr="0016779C" w:rsidRDefault="00A44DE7" w:rsidP="00505D53">
            <w:pPr>
              <w:jc w:val="center"/>
              <w:rPr>
                <w:b/>
              </w:rPr>
            </w:pPr>
            <w:r>
              <w:rPr>
                <w:b/>
              </w:rPr>
              <w:t>Assessment</w:t>
            </w:r>
          </w:p>
        </w:tc>
        <w:tc>
          <w:tcPr>
            <w:tcW w:w="1970" w:type="dxa"/>
            <w:vMerge w:val="restart"/>
            <w:shd w:val="clear" w:color="auto" w:fill="E7E6E6" w:themeFill="background2"/>
            <w:vAlign w:val="center"/>
          </w:tcPr>
          <w:p w14:paraId="30E90C37" w14:textId="77777777" w:rsidR="00694CFC" w:rsidRPr="0016779C" w:rsidRDefault="00694CFC" w:rsidP="00505D53">
            <w:pPr>
              <w:jc w:val="center"/>
              <w:rPr>
                <w:b/>
              </w:rPr>
            </w:pPr>
            <w:r w:rsidRPr="0016779C">
              <w:rPr>
                <w:b/>
              </w:rPr>
              <w:t>How long it should take me?</w:t>
            </w:r>
          </w:p>
        </w:tc>
        <w:tc>
          <w:tcPr>
            <w:tcW w:w="851" w:type="dxa"/>
            <w:vMerge w:val="restart"/>
            <w:shd w:val="clear" w:color="auto" w:fill="E7E6E6" w:themeFill="background2"/>
            <w:vAlign w:val="center"/>
          </w:tcPr>
          <w:p w14:paraId="778679BC" w14:textId="77777777" w:rsidR="00694CFC" w:rsidRDefault="00694CFC" w:rsidP="00505D53">
            <w:pPr>
              <w:jc w:val="center"/>
              <w:rPr>
                <w:b/>
              </w:rPr>
            </w:pPr>
          </w:p>
          <w:p w14:paraId="7CF926BE" w14:textId="77777777" w:rsidR="00694CFC" w:rsidRPr="0016779C" w:rsidRDefault="00694CFC" w:rsidP="00505D53">
            <w:pPr>
              <w:jc w:val="center"/>
              <w:rPr>
                <w:b/>
              </w:rPr>
            </w:pPr>
            <w:r>
              <w:rPr>
                <w:b/>
              </w:rPr>
              <w:t>0</w:t>
            </w:r>
          </w:p>
        </w:tc>
        <w:tc>
          <w:tcPr>
            <w:tcW w:w="5165" w:type="dxa"/>
            <w:gridSpan w:val="7"/>
            <w:shd w:val="clear" w:color="auto" w:fill="E7E6E6" w:themeFill="background2"/>
            <w:vAlign w:val="center"/>
          </w:tcPr>
          <w:p w14:paraId="7D503431" w14:textId="77777777" w:rsidR="00694CFC" w:rsidRPr="0016779C" w:rsidRDefault="00694CFC" w:rsidP="00505D53">
            <w:pPr>
              <w:jc w:val="center"/>
              <w:rPr>
                <w:b/>
              </w:rPr>
            </w:pPr>
            <w:r w:rsidRPr="0016779C">
              <w:rPr>
                <w:b/>
              </w:rPr>
              <w:t>Month</w:t>
            </w:r>
          </w:p>
        </w:tc>
      </w:tr>
      <w:tr w:rsidR="00694CFC" w14:paraId="4B98D107" w14:textId="77777777" w:rsidTr="00505D53">
        <w:trPr>
          <w:trHeight w:val="553"/>
          <w:jc w:val="center"/>
        </w:trPr>
        <w:tc>
          <w:tcPr>
            <w:tcW w:w="1569" w:type="dxa"/>
            <w:vMerge/>
            <w:shd w:val="clear" w:color="auto" w:fill="E7E6E6" w:themeFill="background2"/>
            <w:vAlign w:val="center"/>
          </w:tcPr>
          <w:p w14:paraId="5ADE1B21" w14:textId="77777777" w:rsidR="00694CFC" w:rsidRPr="0016779C" w:rsidRDefault="00694CFC" w:rsidP="00505D53">
            <w:pPr>
              <w:jc w:val="center"/>
              <w:rPr>
                <w:b/>
              </w:rPr>
            </w:pPr>
          </w:p>
        </w:tc>
        <w:tc>
          <w:tcPr>
            <w:tcW w:w="1970" w:type="dxa"/>
            <w:vMerge/>
            <w:shd w:val="clear" w:color="auto" w:fill="E7E6E6" w:themeFill="background2"/>
            <w:vAlign w:val="center"/>
          </w:tcPr>
          <w:p w14:paraId="15C3A5FF" w14:textId="77777777" w:rsidR="00694CFC" w:rsidRPr="0016779C" w:rsidRDefault="00694CFC" w:rsidP="00505D53">
            <w:pPr>
              <w:jc w:val="center"/>
              <w:rPr>
                <w:b/>
              </w:rPr>
            </w:pPr>
          </w:p>
        </w:tc>
        <w:tc>
          <w:tcPr>
            <w:tcW w:w="851" w:type="dxa"/>
            <w:vMerge/>
            <w:shd w:val="clear" w:color="auto" w:fill="E7E6E6" w:themeFill="background2"/>
          </w:tcPr>
          <w:p w14:paraId="0DC3D56C" w14:textId="77777777" w:rsidR="00694CFC" w:rsidRPr="0016779C" w:rsidRDefault="00694CFC" w:rsidP="00505D53">
            <w:pPr>
              <w:jc w:val="center"/>
              <w:rPr>
                <w:b/>
              </w:rPr>
            </w:pPr>
          </w:p>
        </w:tc>
        <w:tc>
          <w:tcPr>
            <w:tcW w:w="822" w:type="dxa"/>
            <w:shd w:val="clear" w:color="auto" w:fill="E7E6E6" w:themeFill="background2"/>
            <w:vAlign w:val="center"/>
          </w:tcPr>
          <w:p w14:paraId="2CDF430A" w14:textId="77777777" w:rsidR="00694CFC" w:rsidRPr="0016779C" w:rsidRDefault="00694CFC" w:rsidP="00505D53">
            <w:pPr>
              <w:jc w:val="center"/>
              <w:rPr>
                <w:b/>
              </w:rPr>
            </w:pPr>
            <w:r w:rsidRPr="0016779C">
              <w:rPr>
                <w:b/>
              </w:rPr>
              <w:t>1</w:t>
            </w:r>
          </w:p>
        </w:tc>
        <w:tc>
          <w:tcPr>
            <w:tcW w:w="788" w:type="dxa"/>
            <w:shd w:val="clear" w:color="auto" w:fill="E7E6E6" w:themeFill="background2"/>
            <w:vAlign w:val="center"/>
          </w:tcPr>
          <w:p w14:paraId="0C1B8FF5" w14:textId="77777777" w:rsidR="00694CFC" w:rsidRPr="0016779C" w:rsidRDefault="00694CFC" w:rsidP="00505D53">
            <w:pPr>
              <w:jc w:val="center"/>
              <w:rPr>
                <w:b/>
              </w:rPr>
            </w:pPr>
            <w:r w:rsidRPr="0016779C">
              <w:rPr>
                <w:b/>
              </w:rPr>
              <w:t>2</w:t>
            </w:r>
          </w:p>
        </w:tc>
        <w:tc>
          <w:tcPr>
            <w:tcW w:w="726" w:type="dxa"/>
            <w:shd w:val="clear" w:color="auto" w:fill="E7E6E6" w:themeFill="background2"/>
            <w:vAlign w:val="center"/>
          </w:tcPr>
          <w:p w14:paraId="186E5BC2" w14:textId="77777777" w:rsidR="00694CFC" w:rsidRPr="0016779C" w:rsidRDefault="00694CFC" w:rsidP="00505D53">
            <w:pPr>
              <w:jc w:val="center"/>
              <w:rPr>
                <w:b/>
              </w:rPr>
            </w:pPr>
            <w:r w:rsidRPr="0016779C">
              <w:rPr>
                <w:b/>
              </w:rPr>
              <w:t>3</w:t>
            </w:r>
          </w:p>
        </w:tc>
        <w:tc>
          <w:tcPr>
            <w:tcW w:w="726" w:type="dxa"/>
            <w:shd w:val="clear" w:color="auto" w:fill="E7E6E6" w:themeFill="background2"/>
            <w:vAlign w:val="center"/>
          </w:tcPr>
          <w:p w14:paraId="5CC2EC54" w14:textId="77777777" w:rsidR="00694CFC" w:rsidRPr="0016779C" w:rsidRDefault="00694CFC" w:rsidP="00505D53">
            <w:pPr>
              <w:jc w:val="center"/>
              <w:rPr>
                <w:b/>
              </w:rPr>
            </w:pPr>
            <w:r w:rsidRPr="0016779C">
              <w:rPr>
                <w:b/>
              </w:rPr>
              <w:t>4</w:t>
            </w:r>
          </w:p>
        </w:tc>
        <w:tc>
          <w:tcPr>
            <w:tcW w:w="728" w:type="dxa"/>
            <w:shd w:val="clear" w:color="auto" w:fill="E7E6E6" w:themeFill="background2"/>
            <w:vAlign w:val="center"/>
          </w:tcPr>
          <w:p w14:paraId="3CF13DF7" w14:textId="77777777" w:rsidR="00694CFC" w:rsidRPr="0016779C" w:rsidRDefault="00694CFC" w:rsidP="00505D53">
            <w:pPr>
              <w:jc w:val="center"/>
              <w:rPr>
                <w:b/>
              </w:rPr>
            </w:pPr>
            <w:r w:rsidRPr="0016779C">
              <w:rPr>
                <w:b/>
              </w:rPr>
              <w:t>5</w:t>
            </w:r>
          </w:p>
        </w:tc>
        <w:tc>
          <w:tcPr>
            <w:tcW w:w="726" w:type="dxa"/>
            <w:shd w:val="clear" w:color="auto" w:fill="E7E6E6" w:themeFill="background2"/>
            <w:vAlign w:val="center"/>
          </w:tcPr>
          <w:p w14:paraId="0DE2F258" w14:textId="77777777" w:rsidR="00694CFC" w:rsidRPr="0016779C" w:rsidRDefault="00694CFC" w:rsidP="00505D53">
            <w:pPr>
              <w:jc w:val="center"/>
              <w:rPr>
                <w:b/>
              </w:rPr>
            </w:pPr>
            <w:r w:rsidRPr="0016779C">
              <w:rPr>
                <w:b/>
              </w:rPr>
              <w:t>6</w:t>
            </w:r>
          </w:p>
        </w:tc>
        <w:tc>
          <w:tcPr>
            <w:tcW w:w="649" w:type="dxa"/>
            <w:shd w:val="clear" w:color="auto" w:fill="E7E6E6" w:themeFill="background2"/>
            <w:vAlign w:val="center"/>
          </w:tcPr>
          <w:p w14:paraId="5677C3A1" w14:textId="77777777" w:rsidR="00694CFC" w:rsidRPr="0016779C" w:rsidRDefault="00694CFC" w:rsidP="00505D53">
            <w:pPr>
              <w:tabs>
                <w:tab w:val="left" w:pos="383"/>
                <w:tab w:val="center" w:pos="684"/>
              </w:tabs>
              <w:jc w:val="center"/>
              <w:rPr>
                <w:b/>
              </w:rPr>
            </w:pPr>
            <w:r>
              <w:rPr>
                <w:b/>
              </w:rPr>
              <w:t>12</w:t>
            </w:r>
          </w:p>
        </w:tc>
      </w:tr>
      <w:tr w:rsidR="00694CFC" w14:paraId="5F5BF184" w14:textId="77777777" w:rsidTr="00505D53">
        <w:trPr>
          <w:jc w:val="center"/>
        </w:trPr>
        <w:tc>
          <w:tcPr>
            <w:tcW w:w="1569" w:type="dxa"/>
            <w:vAlign w:val="center"/>
          </w:tcPr>
          <w:p w14:paraId="4097D5B4" w14:textId="77777777" w:rsidR="00694CFC" w:rsidRDefault="00694CFC" w:rsidP="00505D53">
            <w:pPr>
              <w:jc w:val="center"/>
            </w:pPr>
            <w:r>
              <w:t>Initial appointment</w:t>
            </w:r>
          </w:p>
        </w:tc>
        <w:tc>
          <w:tcPr>
            <w:tcW w:w="1970" w:type="dxa"/>
            <w:vAlign w:val="center"/>
          </w:tcPr>
          <w:p w14:paraId="1BEE4444" w14:textId="77777777" w:rsidR="00694CFC" w:rsidRDefault="00694CFC" w:rsidP="00505D53">
            <w:pPr>
              <w:jc w:val="center"/>
            </w:pPr>
            <w:r>
              <w:t>1 hour</w:t>
            </w:r>
          </w:p>
        </w:tc>
        <w:tc>
          <w:tcPr>
            <w:tcW w:w="851" w:type="dxa"/>
            <w:vAlign w:val="center"/>
          </w:tcPr>
          <w:p w14:paraId="1EBDB16F" w14:textId="77777777" w:rsidR="00694CFC" w:rsidRDefault="00694CFC" w:rsidP="00505D53">
            <w:pPr>
              <w:jc w:val="center"/>
            </w:pPr>
            <w:r>
              <w:sym w:font="Wingdings" w:char="F0FC"/>
            </w:r>
          </w:p>
        </w:tc>
        <w:tc>
          <w:tcPr>
            <w:tcW w:w="822" w:type="dxa"/>
            <w:vAlign w:val="center"/>
          </w:tcPr>
          <w:p w14:paraId="6E4CA2CC" w14:textId="77777777" w:rsidR="00694CFC" w:rsidRDefault="00694CFC" w:rsidP="00505D53">
            <w:pPr>
              <w:jc w:val="center"/>
            </w:pPr>
          </w:p>
        </w:tc>
        <w:tc>
          <w:tcPr>
            <w:tcW w:w="788" w:type="dxa"/>
            <w:vAlign w:val="center"/>
          </w:tcPr>
          <w:p w14:paraId="0D0E6426" w14:textId="77777777" w:rsidR="00694CFC" w:rsidRDefault="00694CFC" w:rsidP="00505D53">
            <w:pPr>
              <w:jc w:val="center"/>
            </w:pPr>
          </w:p>
        </w:tc>
        <w:tc>
          <w:tcPr>
            <w:tcW w:w="726" w:type="dxa"/>
            <w:vAlign w:val="center"/>
          </w:tcPr>
          <w:p w14:paraId="7C24B8FA" w14:textId="77777777" w:rsidR="00694CFC" w:rsidRDefault="00694CFC" w:rsidP="00505D53">
            <w:pPr>
              <w:jc w:val="center"/>
            </w:pPr>
          </w:p>
        </w:tc>
        <w:tc>
          <w:tcPr>
            <w:tcW w:w="726" w:type="dxa"/>
            <w:vAlign w:val="center"/>
          </w:tcPr>
          <w:p w14:paraId="27D95159" w14:textId="77777777" w:rsidR="00694CFC" w:rsidRDefault="00694CFC" w:rsidP="00505D53">
            <w:pPr>
              <w:jc w:val="center"/>
            </w:pPr>
          </w:p>
        </w:tc>
        <w:tc>
          <w:tcPr>
            <w:tcW w:w="728" w:type="dxa"/>
            <w:vAlign w:val="center"/>
          </w:tcPr>
          <w:p w14:paraId="571286FE" w14:textId="77777777" w:rsidR="00694CFC" w:rsidRDefault="00694CFC" w:rsidP="00505D53">
            <w:pPr>
              <w:jc w:val="center"/>
            </w:pPr>
          </w:p>
        </w:tc>
        <w:tc>
          <w:tcPr>
            <w:tcW w:w="726" w:type="dxa"/>
            <w:vAlign w:val="center"/>
          </w:tcPr>
          <w:p w14:paraId="7CD198EF" w14:textId="77777777" w:rsidR="00694CFC" w:rsidRDefault="00694CFC" w:rsidP="00505D53">
            <w:pPr>
              <w:jc w:val="center"/>
            </w:pPr>
          </w:p>
        </w:tc>
        <w:tc>
          <w:tcPr>
            <w:tcW w:w="649" w:type="dxa"/>
          </w:tcPr>
          <w:p w14:paraId="0FE500CA" w14:textId="77777777" w:rsidR="00694CFC" w:rsidRDefault="00694CFC" w:rsidP="00505D53">
            <w:pPr>
              <w:jc w:val="center"/>
            </w:pPr>
          </w:p>
        </w:tc>
      </w:tr>
      <w:tr w:rsidR="00694CFC" w14:paraId="63046934" w14:textId="77777777" w:rsidTr="00505D53">
        <w:trPr>
          <w:jc w:val="center"/>
        </w:trPr>
        <w:tc>
          <w:tcPr>
            <w:tcW w:w="1569" w:type="dxa"/>
            <w:vAlign w:val="center"/>
          </w:tcPr>
          <w:p w14:paraId="654D2E44" w14:textId="768246DE" w:rsidR="00694CFC" w:rsidRDefault="00694CFC" w:rsidP="00505D53">
            <w:pPr>
              <w:jc w:val="center"/>
            </w:pPr>
            <w:r>
              <w:t>Food frequency questionnaire</w:t>
            </w:r>
            <w:r w:rsidR="00FD0AB5">
              <w:t xml:space="preserve"> (CNAQ)</w:t>
            </w:r>
            <w:r w:rsidR="00A44DE7">
              <w:t xml:space="preserve"> </w:t>
            </w:r>
          </w:p>
        </w:tc>
        <w:tc>
          <w:tcPr>
            <w:tcW w:w="1970" w:type="dxa"/>
            <w:vAlign w:val="center"/>
          </w:tcPr>
          <w:p w14:paraId="5CF4D452" w14:textId="77777777" w:rsidR="00694CFC" w:rsidRDefault="00694CFC" w:rsidP="00505D53">
            <w:pPr>
              <w:jc w:val="center"/>
            </w:pPr>
            <w:r>
              <w:t>20 minutes</w:t>
            </w:r>
          </w:p>
        </w:tc>
        <w:tc>
          <w:tcPr>
            <w:tcW w:w="851" w:type="dxa"/>
            <w:vAlign w:val="center"/>
          </w:tcPr>
          <w:p w14:paraId="37824407" w14:textId="77777777" w:rsidR="00694CFC" w:rsidRDefault="00694CFC" w:rsidP="00505D53">
            <w:pPr>
              <w:jc w:val="center"/>
            </w:pPr>
            <w:r>
              <w:sym w:font="Wingdings" w:char="F0FC"/>
            </w:r>
          </w:p>
        </w:tc>
        <w:tc>
          <w:tcPr>
            <w:tcW w:w="822" w:type="dxa"/>
            <w:vAlign w:val="center"/>
          </w:tcPr>
          <w:p w14:paraId="1B788C26" w14:textId="77777777" w:rsidR="00694CFC" w:rsidRDefault="00694CFC" w:rsidP="00505D53">
            <w:pPr>
              <w:jc w:val="center"/>
            </w:pPr>
          </w:p>
        </w:tc>
        <w:tc>
          <w:tcPr>
            <w:tcW w:w="788" w:type="dxa"/>
            <w:vAlign w:val="center"/>
          </w:tcPr>
          <w:p w14:paraId="7AA54BD8" w14:textId="77777777" w:rsidR="00694CFC" w:rsidRDefault="00694CFC" w:rsidP="00505D53">
            <w:pPr>
              <w:jc w:val="center"/>
            </w:pPr>
          </w:p>
        </w:tc>
        <w:tc>
          <w:tcPr>
            <w:tcW w:w="726" w:type="dxa"/>
            <w:vAlign w:val="center"/>
          </w:tcPr>
          <w:p w14:paraId="325B8698" w14:textId="77777777" w:rsidR="00694CFC" w:rsidRDefault="00694CFC" w:rsidP="00505D53">
            <w:pPr>
              <w:jc w:val="center"/>
            </w:pPr>
            <w:r>
              <w:sym w:font="Wingdings" w:char="F0FC"/>
            </w:r>
          </w:p>
        </w:tc>
        <w:tc>
          <w:tcPr>
            <w:tcW w:w="726" w:type="dxa"/>
            <w:vAlign w:val="center"/>
          </w:tcPr>
          <w:p w14:paraId="7C47490F" w14:textId="77777777" w:rsidR="00694CFC" w:rsidRDefault="00694CFC" w:rsidP="00505D53">
            <w:pPr>
              <w:jc w:val="center"/>
            </w:pPr>
          </w:p>
        </w:tc>
        <w:tc>
          <w:tcPr>
            <w:tcW w:w="728" w:type="dxa"/>
            <w:vAlign w:val="center"/>
          </w:tcPr>
          <w:p w14:paraId="55CACE77" w14:textId="77777777" w:rsidR="00694CFC" w:rsidRDefault="00694CFC" w:rsidP="00505D53">
            <w:pPr>
              <w:jc w:val="center"/>
            </w:pPr>
          </w:p>
        </w:tc>
        <w:tc>
          <w:tcPr>
            <w:tcW w:w="726" w:type="dxa"/>
            <w:vAlign w:val="center"/>
          </w:tcPr>
          <w:p w14:paraId="605F9B8C" w14:textId="77777777" w:rsidR="00694CFC" w:rsidRDefault="00694CFC" w:rsidP="00505D53">
            <w:pPr>
              <w:jc w:val="center"/>
            </w:pPr>
            <w:r>
              <w:sym w:font="Wingdings" w:char="F0FC"/>
            </w:r>
          </w:p>
        </w:tc>
        <w:tc>
          <w:tcPr>
            <w:tcW w:w="649" w:type="dxa"/>
          </w:tcPr>
          <w:p w14:paraId="4EDF2E6A" w14:textId="77777777" w:rsidR="00694CFC" w:rsidRDefault="00694CFC" w:rsidP="00505D53">
            <w:pPr>
              <w:jc w:val="center"/>
            </w:pPr>
          </w:p>
        </w:tc>
      </w:tr>
      <w:tr w:rsidR="00694CFC" w14:paraId="1478F0B9" w14:textId="77777777" w:rsidTr="00505D53">
        <w:trPr>
          <w:jc w:val="center"/>
        </w:trPr>
        <w:tc>
          <w:tcPr>
            <w:tcW w:w="1569" w:type="dxa"/>
            <w:vAlign w:val="center"/>
          </w:tcPr>
          <w:p w14:paraId="3B44E1C8" w14:textId="77777777" w:rsidR="00694CFC" w:rsidRDefault="00694CFC" w:rsidP="00505D53">
            <w:pPr>
              <w:jc w:val="center"/>
            </w:pPr>
            <w:r>
              <w:t>Daily food checklist</w:t>
            </w:r>
          </w:p>
        </w:tc>
        <w:tc>
          <w:tcPr>
            <w:tcW w:w="1970" w:type="dxa"/>
            <w:vAlign w:val="center"/>
          </w:tcPr>
          <w:p w14:paraId="5C969317" w14:textId="77777777" w:rsidR="00694CFC" w:rsidRDefault="00694CFC" w:rsidP="00505D53">
            <w:pPr>
              <w:jc w:val="center"/>
            </w:pPr>
            <w:r>
              <w:t>5 minutes per day, totalling 2.5 hours per month</w:t>
            </w:r>
          </w:p>
        </w:tc>
        <w:tc>
          <w:tcPr>
            <w:tcW w:w="851" w:type="dxa"/>
            <w:vAlign w:val="center"/>
          </w:tcPr>
          <w:p w14:paraId="1795C69B" w14:textId="77777777" w:rsidR="00694CFC" w:rsidRDefault="00694CFC" w:rsidP="00505D53">
            <w:pPr>
              <w:jc w:val="center"/>
            </w:pPr>
          </w:p>
        </w:tc>
        <w:tc>
          <w:tcPr>
            <w:tcW w:w="822" w:type="dxa"/>
            <w:vAlign w:val="center"/>
          </w:tcPr>
          <w:p w14:paraId="67F0D557" w14:textId="77777777" w:rsidR="00694CFC" w:rsidRDefault="00694CFC" w:rsidP="00505D53">
            <w:pPr>
              <w:jc w:val="center"/>
            </w:pPr>
            <w:r>
              <w:sym w:font="Wingdings" w:char="F0FC"/>
            </w:r>
          </w:p>
        </w:tc>
        <w:tc>
          <w:tcPr>
            <w:tcW w:w="788" w:type="dxa"/>
            <w:vAlign w:val="center"/>
          </w:tcPr>
          <w:p w14:paraId="1D354AD1" w14:textId="77777777" w:rsidR="00694CFC" w:rsidRDefault="00694CFC" w:rsidP="00505D53">
            <w:pPr>
              <w:jc w:val="center"/>
            </w:pPr>
            <w:r>
              <w:sym w:font="Wingdings" w:char="F0FC"/>
            </w:r>
          </w:p>
        </w:tc>
        <w:tc>
          <w:tcPr>
            <w:tcW w:w="726" w:type="dxa"/>
            <w:vAlign w:val="center"/>
          </w:tcPr>
          <w:p w14:paraId="2083F018" w14:textId="77777777" w:rsidR="00694CFC" w:rsidRDefault="00694CFC" w:rsidP="00505D53">
            <w:pPr>
              <w:jc w:val="center"/>
            </w:pPr>
            <w:r>
              <w:sym w:font="Wingdings" w:char="F0FC"/>
            </w:r>
          </w:p>
        </w:tc>
        <w:tc>
          <w:tcPr>
            <w:tcW w:w="726" w:type="dxa"/>
            <w:vAlign w:val="center"/>
          </w:tcPr>
          <w:p w14:paraId="009E9D18" w14:textId="77777777" w:rsidR="00694CFC" w:rsidRDefault="00694CFC" w:rsidP="00505D53">
            <w:pPr>
              <w:jc w:val="center"/>
            </w:pPr>
            <w:r>
              <w:sym w:font="Wingdings" w:char="F0FC"/>
            </w:r>
          </w:p>
        </w:tc>
        <w:tc>
          <w:tcPr>
            <w:tcW w:w="728" w:type="dxa"/>
            <w:vAlign w:val="center"/>
          </w:tcPr>
          <w:p w14:paraId="5FFD430F" w14:textId="77777777" w:rsidR="00694CFC" w:rsidRDefault="00694CFC" w:rsidP="00505D53">
            <w:pPr>
              <w:jc w:val="center"/>
            </w:pPr>
            <w:r>
              <w:sym w:font="Wingdings" w:char="F0FC"/>
            </w:r>
          </w:p>
        </w:tc>
        <w:tc>
          <w:tcPr>
            <w:tcW w:w="726" w:type="dxa"/>
            <w:vAlign w:val="center"/>
          </w:tcPr>
          <w:p w14:paraId="12029023" w14:textId="77777777" w:rsidR="00694CFC" w:rsidRDefault="00694CFC" w:rsidP="00505D53">
            <w:pPr>
              <w:jc w:val="center"/>
            </w:pPr>
            <w:r>
              <w:sym w:font="Wingdings" w:char="F0FC"/>
            </w:r>
          </w:p>
        </w:tc>
        <w:tc>
          <w:tcPr>
            <w:tcW w:w="649" w:type="dxa"/>
          </w:tcPr>
          <w:p w14:paraId="07604D0F" w14:textId="77777777" w:rsidR="00694CFC" w:rsidRDefault="00694CFC" w:rsidP="00505D53">
            <w:pPr>
              <w:jc w:val="center"/>
            </w:pPr>
          </w:p>
        </w:tc>
      </w:tr>
      <w:tr w:rsidR="00694CFC" w14:paraId="3F4981F4" w14:textId="77777777" w:rsidTr="00505D53">
        <w:trPr>
          <w:jc w:val="center"/>
        </w:trPr>
        <w:tc>
          <w:tcPr>
            <w:tcW w:w="1569" w:type="dxa"/>
            <w:vAlign w:val="center"/>
          </w:tcPr>
          <w:p w14:paraId="7EB7AC7D" w14:textId="6CF84856" w:rsidR="00694CFC" w:rsidRDefault="00694CFC" w:rsidP="00505D53">
            <w:pPr>
              <w:jc w:val="center"/>
            </w:pPr>
            <w:r>
              <w:t>Weekly 24-hour food recall</w:t>
            </w:r>
            <w:r w:rsidR="00FD0AB5">
              <w:t xml:space="preserve"> (ASA-24)</w:t>
            </w:r>
          </w:p>
        </w:tc>
        <w:tc>
          <w:tcPr>
            <w:tcW w:w="1970" w:type="dxa"/>
            <w:vAlign w:val="center"/>
          </w:tcPr>
          <w:p w14:paraId="67613BF5" w14:textId="77777777" w:rsidR="00694CFC" w:rsidRDefault="00694CFC" w:rsidP="00505D53">
            <w:pPr>
              <w:jc w:val="center"/>
            </w:pPr>
            <w:r>
              <w:t>15 minutes per week, totalling 1 hour per month</w:t>
            </w:r>
          </w:p>
        </w:tc>
        <w:tc>
          <w:tcPr>
            <w:tcW w:w="851" w:type="dxa"/>
            <w:vAlign w:val="center"/>
          </w:tcPr>
          <w:p w14:paraId="18460C49" w14:textId="77777777" w:rsidR="00694CFC" w:rsidRDefault="00694CFC" w:rsidP="00505D53">
            <w:pPr>
              <w:jc w:val="center"/>
            </w:pPr>
            <w:r>
              <w:sym w:font="Wingdings" w:char="F0FC"/>
            </w:r>
          </w:p>
        </w:tc>
        <w:tc>
          <w:tcPr>
            <w:tcW w:w="822" w:type="dxa"/>
            <w:vAlign w:val="center"/>
          </w:tcPr>
          <w:p w14:paraId="5251FDAC" w14:textId="77777777" w:rsidR="00694CFC" w:rsidRDefault="00694CFC" w:rsidP="00505D53">
            <w:pPr>
              <w:jc w:val="center"/>
            </w:pPr>
            <w:r>
              <w:sym w:font="Wingdings" w:char="F0FC"/>
            </w:r>
          </w:p>
        </w:tc>
        <w:tc>
          <w:tcPr>
            <w:tcW w:w="788" w:type="dxa"/>
            <w:vAlign w:val="center"/>
          </w:tcPr>
          <w:p w14:paraId="2E7D8F52" w14:textId="77777777" w:rsidR="00694CFC" w:rsidRDefault="00694CFC" w:rsidP="00505D53">
            <w:pPr>
              <w:jc w:val="center"/>
            </w:pPr>
            <w:r>
              <w:sym w:font="Wingdings" w:char="F0FC"/>
            </w:r>
          </w:p>
        </w:tc>
        <w:tc>
          <w:tcPr>
            <w:tcW w:w="726" w:type="dxa"/>
            <w:vAlign w:val="center"/>
          </w:tcPr>
          <w:p w14:paraId="21EFFC7B" w14:textId="77777777" w:rsidR="00694CFC" w:rsidRDefault="00694CFC" w:rsidP="00505D53">
            <w:pPr>
              <w:jc w:val="center"/>
            </w:pPr>
            <w:r>
              <w:sym w:font="Wingdings" w:char="F0FC"/>
            </w:r>
          </w:p>
        </w:tc>
        <w:tc>
          <w:tcPr>
            <w:tcW w:w="726" w:type="dxa"/>
            <w:vAlign w:val="center"/>
          </w:tcPr>
          <w:p w14:paraId="0EB5BD4C" w14:textId="77777777" w:rsidR="00694CFC" w:rsidRDefault="00694CFC" w:rsidP="00505D53">
            <w:pPr>
              <w:jc w:val="center"/>
            </w:pPr>
            <w:r>
              <w:sym w:font="Wingdings" w:char="F0FC"/>
            </w:r>
          </w:p>
        </w:tc>
        <w:tc>
          <w:tcPr>
            <w:tcW w:w="728" w:type="dxa"/>
            <w:vAlign w:val="center"/>
          </w:tcPr>
          <w:p w14:paraId="6D2BD271" w14:textId="77777777" w:rsidR="00694CFC" w:rsidRDefault="00694CFC" w:rsidP="00505D53">
            <w:pPr>
              <w:jc w:val="center"/>
            </w:pPr>
            <w:r>
              <w:sym w:font="Wingdings" w:char="F0FC"/>
            </w:r>
          </w:p>
        </w:tc>
        <w:tc>
          <w:tcPr>
            <w:tcW w:w="726" w:type="dxa"/>
            <w:vAlign w:val="center"/>
          </w:tcPr>
          <w:p w14:paraId="45351DFB" w14:textId="77777777" w:rsidR="00694CFC" w:rsidRDefault="00694CFC" w:rsidP="00505D53">
            <w:pPr>
              <w:jc w:val="center"/>
            </w:pPr>
            <w:r>
              <w:sym w:font="Wingdings" w:char="F0FC"/>
            </w:r>
          </w:p>
        </w:tc>
        <w:tc>
          <w:tcPr>
            <w:tcW w:w="649" w:type="dxa"/>
          </w:tcPr>
          <w:p w14:paraId="21CBF370" w14:textId="77777777" w:rsidR="00694CFC" w:rsidRDefault="00694CFC" w:rsidP="00505D53">
            <w:pPr>
              <w:jc w:val="center"/>
            </w:pPr>
          </w:p>
          <w:p w14:paraId="2846CD94" w14:textId="77777777" w:rsidR="00694CFC" w:rsidRDefault="00694CFC" w:rsidP="00505D53">
            <w:pPr>
              <w:jc w:val="center"/>
            </w:pPr>
          </w:p>
        </w:tc>
      </w:tr>
      <w:tr w:rsidR="00694CFC" w14:paraId="25EF6847" w14:textId="77777777" w:rsidTr="00505D53">
        <w:trPr>
          <w:jc w:val="center"/>
        </w:trPr>
        <w:tc>
          <w:tcPr>
            <w:tcW w:w="1569" w:type="dxa"/>
            <w:vAlign w:val="center"/>
          </w:tcPr>
          <w:p w14:paraId="020B49A8" w14:textId="52FCD9D7" w:rsidR="00694CFC" w:rsidRDefault="00A44DE7" w:rsidP="00505D53">
            <w:pPr>
              <w:jc w:val="center"/>
            </w:pPr>
            <w:r>
              <w:t>Monthly</w:t>
            </w:r>
            <w:r w:rsidR="00694CFC">
              <w:t xml:space="preserve"> </w:t>
            </w:r>
            <w:r>
              <w:t>S</w:t>
            </w:r>
            <w:r w:rsidR="00694CFC">
              <w:t>IBD</w:t>
            </w:r>
            <w:r>
              <w:t>Q</w:t>
            </w:r>
          </w:p>
        </w:tc>
        <w:tc>
          <w:tcPr>
            <w:tcW w:w="1970" w:type="dxa"/>
            <w:vAlign w:val="center"/>
          </w:tcPr>
          <w:p w14:paraId="0615679C" w14:textId="56C717E7" w:rsidR="00694CFC" w:rsidRDefault="00694CFC" w:rsidP="00505D53">
            <w:pPr>
              <w:jc w:val="center"/>
            </w:pPr>
            <w:r>
              <w:t xml:space="preserve">5 minutes per </w:t>
            </w:r>
            <w:r w:rsidR="00467239">
              <w:t>month</w:t>
            </w:r>
          </w:p>
        </w:tc>
        <w:tc>
          <w:tcPr>
            <w:tcW w:w="851" w:type="dxa"/>
            <w:vAlign w:val="center"/>
          </w:tcPr>
          <w:p w14:paraId="7E347A47" w14:textId="77777777" w:rsidR="00694CFC" w:rsidRDefault="00694CFC" w:rsidP="00505D53">
            <w:pPr>
              <w:jc w:val="center"/>
            </w:pPr>
          </w:p>
        </w:tc>
        <w:tc>
          <w:tcPr>
            <w:tcW w:w="822" w:type="dxa"/>
            <w:vAlign w:val="center"/>
          </w:tcPr>
          <w:p w14:paraId="3E43E5E0" w14:textId="77777777" w:rsidR="00694CFC" w:rsidRDefault="00694CFC" w:rsidP="00505D53">
            <w:pPr>
              <w:jc w:val="center"/>
            </w:pPr>
            <w:r>
              <w:sym w:font="Wingdings" w:char="F0FC"/>
            </w:r>
          </w:p>
        </w:tc>
        <w:tc>
          <w:tcPr>
            <w:tcW w:w="788" w:type="dxa"/>
            <w:vAlign w:val="center"/>
          </w:tcPr>
          <w:p w14:paraId="4DD6A940" w14:textId="77777777" w:rsidR="00694CFC" w:rsidRDefault="00694CFC" w:rsidP="00505D53">
            <w:pPr>
              <w:jc w:val="center"/>
            </w:pPr>
            <w:r>
              <w:sym w:font="Wingdings" w:char="F0FC"/>
            </w:r>
          </w:p>
        </w:tc>
        <w:tc>
          <w:tcPr>
            <w:tcW w:w="726" w:type="dxa"/>
            <w:vAlign w:val="center"/>
          </w:tcPr>
          <w:p w14:paraId="3F27E526" w14:textId="77777777" w:rsidR="00694CFC" w:rsidRDefault="00694CFC" w:rsidP="00505D53">
            <w:pPr>
              <w:jc w:val="center"/>
            </w:pPr>
            <w:r>
              <w:sym w:font="Wingdings" w:char="F0FC"/>
            </w:r>
          </w:p>
        </w:tc>
        <w:tc>
          <w:tcPr>
            <w:tcW w:w="726" w:type="dxa"/>
            <w:vAlign w:val="center"/>
          </w:tcPr>
          <w:p w14:paraId="788EC808" w14:textId="77777777" w:rsidR="00694CFC" w:rsidRDefault="00694CFC" w:rsidP="00505D53">
            <w:pPr>
              <w:jc w:val="center"/>
            </w:pPr>
            <w:r>
              <w:sym w:font="Wingdings" w:char="F0FC"/>
            </w:r>
          </w:p>
        </w:tc>
        <w:tc>
          <w:tcPr>
            <w:tcW w:w="728" w:type="dxa"/>
            <w:vAlign w:val="center"/>
          </w:tcPr>
          <w:p w14:paraId="189CC3F5" w14:textId="77777777" w:rsidR="00694CFC" w:rsidRDefault="00694CFC" w:rsidP="00505D53">
            <w:pPr>
              <w:jc w:val="center"/>
            </w:pPr>
            <w:r>
              <w:sym w:font="Wingdings" w:char="F0FC"/>
            </w:r>
          </w:p>
        </w:tc>
        <w:tc>
          <w:tcPr>
            <w:tcW w:w="726" w:type="dxa"/>
            <w:vAlign w:val="center"/>
          </w:tcPr>
          <w:p w14:paraId="51165AF4" w14:textId="77777777" w:rsidR="00694CFC" w:rsidRDefault="00694CFC" w:rsidP="00505D53">
            <w:pPr>
              <w:jc w:val="center"/>
            </w:pPr>
            <w:r>
              <w:sym w:font="Wingdings" w:char="F0FC"/>
            </w:r>
          </w:p>
        </w:tc>
        <w:tc>
          <w:tcPr>
            <w:tcW w:w="649" w:type="dxa"/>
          </w:tcPr>
          <w:p w14:paraId="61AC3162" w14:textId="77777777" w:rsidR="00694CFC" w:rsidRDefault="00694CFC" w:rsidP="00505D53"/>
        </w:tc>
      </w:tr>
      <w:tr w:rsidR="00694CFC" w14:paraId="348E77C6" w14:textId="77777777" w:rsidTr="00505D53">
        <w:trPr>
          <w:trHeight w:val="445"/>
          <w:jc w:val="center"/>
        </w:trPr>
        <w:tc>
          <w:tcPr>
            <w:tcW w:w="1569" w:type="dxa"/>
            <w:tcBorders>
              <w:bottom w:val="single" w:sz="4" w:space="0" w:color="auto"/>
            </w:tcBorders>
            <w:vAlign w:val="center"/>
          </w:tcPr>
          <w:p w14:paraId="7316B607" w14:textId="77777777" w:rsidR="00716F1B" w:rsidRDefault="00716F1B" w:rsidP="00505D53">
            <w:pPr>
              <w:jc w:val="center"/>
            </w:pPr>
            <w:r>
              <w:t>Monthly</w:t>
            </w:r>
          </w:p>
          <w:p w14:paraId="6C801FF1" w14:textId="40D1111D" w:rsidR="00694CFC" w:rsidRDefault="00716F1B" w:rsidP="00505D53">
            <w:pPr>
              <w:jc w:val="center"/>
            </w:pPr>
            <w:r>
              <w:t>d</w:t>
            </w:r>
            <w:r w:rsidR="00694CFC">
              <w:t>ietitian appointment</w:t>
            </w:r>
          </w:p>
        </w:tc>
        <w:tc>
          <w:tcPr>
            <w:tcW w:w="1970" w:type="dxa"/>
            <w:tcBorders>
              <w:bottom w:val="single" w:sz="4" w:space="0" w:color="auto"/>
            </w:tcBorders>
            <w:vAlign w:val="center"/>
          </w:tcPr>
          <w:p w14:paraId="0A564A94" w14:textId="77777777" w:rsidR="00694CFC" w:rsidRDefault="00694CFC" w:rsidP="00505D53">
            <w:pPr>
              <w:jc w:val="center"/>
            </w:pPr>
            <w:r>
              <w:t xml:space="preserve">30 minutes            </w:t>
            </w:r>
          </w:p>
        </w:tc>
        <w:tc>
          <w:tcPr>
            <w:tcW w:w="851" w:type="dxa"/>
            <w:tcBorders>
              <w:bottom w:val="single" w:sz="4" w:space="0" w:color="auto"/>
            </w:tcBorders>
            <w:vAlign w:val="center"/>
          </w:tcPr>
          <w:p w14:paraId="2B77C424" w14:textId="77777777" w:rsidR="00694CFC" w:rsidRDefault="00694CFC" w:rsidP="00505D53">
            <w:pPr>
              <w:jc w:val="center"/>
            </w:pPr>
          </w:p>
        </w:tc>
        <w:tc>
          <w:tcPr>
            <w:tcW w:w="822" w:type="dxa"/>
            <w:tcBorders>
              <w:bottom w:val="single" w:sz="4" w:space="0" w:color="auto"/>
            </w:tcBorders>
            <w:vAlign w:val="center"/>
          </w:tcPr>
          <w:p w14:paraId="2CAC71A5" w14:textId="77777777" w:rsidR="00694CFC" w:rsidRDefault="00694CFC" w:rsidP="00505D53">
            <w:pPr>
              <w:jc w:val="center"/>
            </w:pPr>
            <w:r>
              <w:sym w:font="Wingdings" w:char="F0FC"/>
            </w:r>
          </w:p>
        </w:tc>
        <w:tc>
          <w:tcPr>
            <w:tcW w:w="788" w:type="dxa"/>
            <w:tcBorders>
              <w:bottom w:val="single" w:sz="4" w:space="0" w:color="auto"/>
            </w:tcBorders>
            <w:vAlign w:val="center"/>
          </w:tcPr>
          <w:p w14:paraId="6E90953D" w14:textId="77777777" w:rsidR="00694CFC" w:rsidRDefault="00694CFC" w:rsidP="00505D53">
            <w:pPr>
              <w:jc w:val="center"/>
            </w:pPr>
            <w:r>
              <w:sym w:font="Wingdings" w:char="F0FC"/>
            </w:r>
          </w:p>
        </w:tc>
        <w:tc>
          <w:tcPr>
            <w:tcW w:w="726" w:type="dxa"/>
            <w:tcBorders>
              <w:bottom w:val="single" w:sz="4" w:space="0" w:color="auto"/>
            </w:tcBorders>
            <w:vAlign w:val="center"/>
          </w:tcPr>
          <w:p w14:paraId="3BBA3E3F" w14:textId="77777777" w:rsidR="00694CFC" w:rsidRDefault="00694CFC" w:rsidP="00505D53">
            <w:pPr>
              <w:jc w:val="center"/>
            </w:pPr>
            <w:r>
              <w:sym w:font="Wingdings" w:char="F0FC"/>
            </w:r>
          </w:p>
        </w:tc>
        <w:tc>
          <w:tcPr>
            <w:tcW w:w="726" w:type="dxa"/>
            <w:tcBorders>
              <w:bottom w:val="single" w:sz="4" w:space="0" w:color="auto"/>
            </w:tcBorders>
            <w:vAlign w:val="center"/>
          </w:tcPr>
          <w:p w14:paraId="72F2BEBD" w14:textId="77777777" w:rsidR="00694CFC" w:rsidRDefault="00694CFC" w:rsidP="00505D53">
            <w:pPr>
              <w:jc w:val="center"/>
            </w:pPr>
            <w:r>
              <w:sym w:font="Wingdings" w:char="F0FC"/>
            </w:r>
          </w:p>
        </w:tc>
        <w:tc>
          <w:tcPr>
            <w:tcW w:w="728" w:type="dxa"/>
            <w:tcBorders>
              <w:bottom w:val="single" w:sz="4" w:space="0" w:color="auto"/>
            </w:tcBorders>
            <w:vAlign w:val="center"/>
          </w:tcPr>
          <w:p w14:paraId="658C6047" w14:textId="77777777" w:rsidR="00694CFC" w:rsidRDefault="00694CFC" w:rsidP="00505D53">
            <w:pPr>
              <w:jc w:val="center"/>
            </w:pPr>
            <w:r>
              <w:sym w:font="Wingdings" w:char="F0FC"/>
            </w:r>
          </w:p>
        </w:tc>
        <w:tc>
          <w:tcPr>
            <w:tcW w:w="726" w:type="dxa"/>
            <w:tcBorders>
              <w:bottom w:val="single" w:sz="4" w:space="0" w:color="auto"/>
            </w:tcBorders>
            <w:vAlign w:val="center"/>
          </w:tcPr>
          <w:p w14:paraId="55567B4D" w14:textId="77777777" w:rsidR="00694CFC" w:rsidRDefault="00694CFC" w:rsidP="00505D53">
            <w:pPr>
              <w:jc w:val="center"/>
            </w:pPr>
            <w:r>
              <w:sym w:font="Wingdings" w:char="F0FC"/>
            </w:r>
          </w:p>
        </w:tc>
        <w:tc>
          <w:tcPr>
            <w:tcW w:w="649" w:type="dxa"/>
            <w:tcBorders>
              <w:bottom w:val="single" w:sz="4" w:space="0" w:color="auto"/>
            </w:tcBorders>
          </w:tcPr>
          <w:p w14:paraId="71C52E4F" w14:textId="77777777" w:rsidR="00694CFC" w:rsidRDefault="00694CFC" w:rsidP="00505D53">
            <w:pPr>
              <w:jc w:val="center"/>
            </w:pPr>
          </w:p>
        </w:tc>
      </w:tr>
      <w:tr w:rsidR="00694CFC" w14:paraId="51E55A6F" w14:textId="77777777" w:rsidTr="00505D53">
        <w:trPr>
          <w:jc w:val="center"/>
        </w:trPr>
        <w:tc>
          <w:tcPr>
            <w:tcW w:w="1569" w:type="dxa"/>
            <w:shd w:val="clear" w:color="auto" w:fill="E7E6E6" w:themeFill="background2"/>
            <w:vAlign w:val="center"/>
          </w:tcPr>
          <w:p w14:paraId="5895B022" w14:textId="77777777" w:rsidR="00694CFC" w:rsidRPr="0016779C" w:rsidRDefault="00694CFC" w:rsidP="00505D53">
            <w:pPr>
              <w:jc w:val="center"/>
              <w:rPr>
                <w:b/>
              </w:rPr>
            </w:pPr>
            <w:r w:rsidRPr="0016779C">
              <w:rPr>
                <w:b/>
              </w:rPr>
              <w:t>What samples will I be asked to provide</w:t>
            </w:r>
            <w:r>
              <w:rPr>
                <w:b/>
              </w:rPr>
              <w:t>?</w:t>
            </w:r>
          </w:p>
        </w:tc>
        <w:tc>
          <w:tcPr>
            <w:tcW w:w="1970" w:type="dxa"/>
            <w:shd w:val="clear" w:color="auto" w:fill="E7E6E6" w:themeFill="background2"/>
            <w:vAlign w:val="center"/>
          </w:tcPr>
          <w:p w14:paraId="0192F3F4" w14:textId="77777777" w:rsidR="00694CFC" w:rsidRPr="0016779C" w:rsidRDefault="00694CFC" w:rsidP="00505D53">
            <w:pPr>
              <w:jc w:val="center"/>
              <w:rPr>
                <w:b/>
              </w:rPr>
            </w:pPr>
            <w:r w:rsidRPr="0016779C">
              <w:rPr>
                <w:b/>
              </w:rPr>
              <w:t>How long will it take</w:t>
            </w:r>
            <w:r>
              <w:rPr>
                <w:b/>
              </w:rPr>
              <w:t>?</w:t>
            </w:r>
          </w:p>
        </w:tc>
        <w:tc>
          <w:tcPr>
            <w:tcW w:w="6016" w:type="dxa"/>
            <w:gridSpan w:val="8"/>
            <w:shd w:val="clear" w:color="auto" w:fill="E7E6E6" w:themeFill="background2"/>
            <w:vAlign w:val="center"/>
          </w:tcPr>
          <w:p w14:paraId="7DA584D2" w14:textId="77777777" w:rsidR="00694CFC" w:rsidRPr="0016779C" w:rsidRDefault="00694CFC" w:rsidP="00505D53">
            <w:pPr>
              <w:jc w:val="center"/>
              <w:rPr>
                <w:b/>
              </w:rPr>
            </w:pPr>
          </w:p>
        </w:tc>
      </w:tr>
      <w:tr w:rsidR="00694CFC" w14:paraId="51D2B90C" w14:textId="77777777" w:rsidTr="00505D53">
        <w:trPr>
          <w:jc w:val="center"/>
        </w:trPr>
        <w:tc>
          <w:tcPr>
            <w:tcW w:w="1569" w:type="dxa"/>
            <w:vAlign w:val="center"/>
          </w:tcPr>
          <w:p w14:paraId="66CB3A26" w14:textId="77777777" w:rsidR="00694CFC" w:rsidRDefault="00694CFC" w:rsidP="00505D53">
            <w:pPr>
              <w:jc w:val="center"/>
            </w:pPr>
            <w:r>
              <w:t>Biopsies *</w:t>
            </w:r>
          </w:p>
        </w:tc>
        <w:tc>
          <w:tcPr>
            <w:tcW w:w="1970" w:type="dxa"/>
            <w:vAlign w:val="center"/>
          </w:tcPr>
          <w:p w14:paraId="1D82BE3D" w14:textId="77777777" w:rsidR="00694CFC" w:rsidRDefault="00694CFC" w:rsidP="00505D53">
            <w:pPr>
              <w:jc w:val="center"/>
            </w:pPr>
            <w:r>
              <w:t>15 minutes</w:t>
            </w:r>
          </w:p>
        </w:tc>
        <w:tc>
          <w:tcPr>
            <w:tcW w:w="851" w:type="dxa"/>
            <w:vAlign w:val="center"/>
          </w:tcPr>
          <w:p w14:paraId="3BC8FC5B" w14:textId="77777777" w:rsidR="00694CFC" w:rsidRDefault="00694CFC" w:rsidP="00505D53">
            <w:pPr>
              <w:jc w:val="center"/>
            </w:pPr>
            <w:r>
              <w:sym w:font="Wingdings" w:char="F0FC"/>
            </w:r>
          </w:p>
        </w:tc>
        <w:tc>
          <w:tcPr>
            <w:tcW w:w="822" w:type="dxa"/>
            <w:vAlign w:val="center"/>
          </w:tcPr>
          <w:p w14:paraId="288612DD" w14:textId="77777777" w:rsidR="00694CFC" w:rsidRDefault="00694CFC" w:rsidP="00505D53">
            <w:pPr>
              <w:jc w:val="center"/>
            </w:pPr>
          </w:p>
        </w:tc>
        <w:tc>
          <w:tcPr>
            <w:tcW w:w="788" w:type="dxa"/>
            <w:vAlign w:val="center"/>
          </w:tcPr>
          <w:p w14:paraId="3A8E8007" w14:textId="77777777" w:rsidR="00694CFC" w:rsidRDefault="00694CFC" w:rsidP="00505D53">
            <w:pPr>
              <w:jc w:val="center"/>
            </w:pPr>
          </w:p>
        </w:tc>
        <w:tc>
          <w:tcPr>
            <w:tcW w:w="726" w:type="dxa"/>
            <w:vAlign w:val="center"/>
          </w:tcPr>
          <w:p w14:paraId="07D25AEC" w14:textId="77777777" w:rsidR="00694CFC" w:rsidRDefault="00694CFC" w:rsidP="00505D53">
            <w:pPr>
              <w:jc w:val="center"/>
            </w:pPr>
          </w:p>
        </w:tc>
        <w:tc>
          <w:tcPr>
            <w:tcW w:w="726" w:type="dxa"/>
            <w:vAlign w:val="center"/>
          </w:tcPr>
          <w:p w14:paraId="2BF6C310" w14:textId="77777777" w:rsidR="00694CFC" w:rsidRDefault="00694CFC" w:rsidP="00505D53">
            <w:pPr>
              <w:jc w:val="center"/>
            </w:pPr>
          </w:p>
        </w:tc>
        <w:tc>
          <w:tcPr>
            <w:tcW w:w="728" w:type="dxa"/>
            <w:vAlign w:val="center"/>
          </w:tcPr>
          <w:p w14:paraId="34A6008C" w14:textId="77777777" w:rsidR="00694CFC" w:rsidRDefault="00694CFC" w:rsidP="00505D53">
            <w:pPr>
              <w:jc w:val="center"/>
            </w:pPr>
          </w:p>
        </w:tc>
        <w:tc>
          <w:tcPr>
            <w:tcW w:w="726" w:type="dxa"/>
            <w:vAlign w:val="center"/>
          </w:tcPr>
          <w:p w14:paraId="5F6FDC7D" w14:textId="77777777" w:rsidR="00694CFC" w:rsidRDefault="00694CFC" w:rsidP="00505D53">
            <w:pPr>
              <w:jc w:val="center"/>
            </w:pPr>
          </w:p>
        </w:tc>
        <w:tc>
          <w:tcPr>
            <w:tcW w:w="649" w:type="dxa"/>
          </w:tcPr>
          <w:p w14:paraId="616A9B3F" w14:textId="77777777" w:rsidR="00694CFC" w:rsidRDefault="00694CFC" w:rsidP="00505D53">
            <w:pPr>
              <w:jc w:val="center"/>
            </w:pPr>
            <w:r>
              <w:sym w:font="Wingdings" w:char="F0FC"/>
            </w:r>
          </w:p>
        </w:tc>
      </w:tr>
      <w:tr w:rsidR="00694CFC" w14:paraId="12BF5F84" w14:textId="77777777" w:rsidTr="00505D53">
        <w:trPr>
          <w:jc w:val="center"/>
        </w:trPr>
        <w:tc>
          <w:tcPr>
            <w:tcW w:w="1569" w:type="dxa"/>
            <w:vAlign w:val="center"/>
          </w:tcPr>
          <w:p w14:paraId="1C11D030" w14:textId="77777777" w:rsidR="00694CFC" w:rsidRDefault="00694CFC" w:rsidP="00505D53">
            <w:pPr>
              <w:jc w:val="center"/>
            </w:pPr>
            <w:r>
              <w:t>Blood</w:t>
            </w:r>
          </w:p>
        </w:tc>
        <w:tc>
          <w:tcPr>
            <w:tcW w:w="1970" w:type="dxa"/>
            <w:vAlign w:val="center"/>
          </w:tcPr>
          <w:p w14:paraId="726C7835" w14:textId="77777777" w:rsidR="00694CFC" w:rsidRDefault="00694CFC" w:rsidP="00505D53">
            <w:pPr>
              <w:jc w:val="center"/>
            </w:pPr>
            <w:r>
              <w:t>30 minutes</w:t>
            </w:r>
          </w:p>
        </w:tc>
        <w:tc>
          <w:tcPr>
            <w:tcW w:w="851" w:type="dxa"/>
            <w:vAlign w:val="center"/>
          </w:tcPr>
          <w:p w14:paraId="464C80FD" w14:textId="77777777" w:rsidR="00694CFC" w:rsidRDefault="00694CFC" w:rsidP="00505D53">
            <w:pPr>
              <w:jc w:val="center"/>
            </w:pPr>
            <w:r>
              <w:sym w:font="Wingdings" w:char="F0FC"/>
            </w:r>
          </w:p>
        </w:tc>
        <w:tc>
          <w:tcPr>
            <w:tcW w:w="822" w:type="dxa"/>
            <w:tcBorders>
              <w:bottom w:val="single" w:sz="4" w:space="0" w:color="auto"/>
            </w:tcBorders>
            <w:vAlign w:val="center"/>
          </w:tcPr>
          <w:p w14:paraId="7FFD4DF0" w14:textId="77777777" w:rsidR="00694CFC" w:rsidRDefault="00694CFC" w:rsidP="00505D53">
            <w:pPr>
              <w:jc w:val="center"/>
            </w:pPr>
          </w:p>
        </w:tc>
        <w:tc>
          <w:tcPr>
            <w:tcW w:w="788" w:type="dxa"/>
            <w:tcBorders>
              <w:bottom w:val="single" w:sz="4" w:space="0" w:color="auto"/>
            </w:tcBorders>
            <w:vAlign w:val="center"/>
          </w:tcPr>
          <w:p w14:paraId="33A3DCD6" w14:textId="77777777" w:rsidR="00694CFC" w:rsidRDefault="00694CFC" w:rsidP="00505D53">
            <w:pPr>
              <w:jc w:val="center"/>
            </w:pPr>
            <w:r>
              <w:t xml:space="preserve"> </w:t>
            </w:r>
          </w:p>
        </w:tc>
        <w:tc>
          <w:tcPr>
            <w:tcW w:w="726" w:type="dxa"/>
            <w:tcBorders>
              <w:bottom w:val="single" w:sz="4" w:space="0" w:color="auto"/>
            </w:tcBorders>
            <w:vAlign w:val="center"/>
          </w:tcPr>
          <w:p w14:paraId="305BBFE8" w14:textId="77777777" w:rsidR="00694CFC" w:rsidRDefault="00694CFC" w:rsidP="00505D53">
            <w:pPr>
              <w:jc w:val="center"/>
            </w:pPr>
            <w:r>
              <w:sym w:font="Wingdings" w:char="F0FC"/>
            </w:r>
          </w:p>
        </w:tc>
        <w:tc>
          <w:tcPr>
            <w:tcW w:w="726" w:type="dxa"/>
            <w:tcBorders>
              <w:bottom w:val="single" w:sz="4" w:space="0" w:color="auto"/>
            </w:tcBorders>
            <w:vAlign w:val="center"/>
          </w:tcPr>
          <w:p w14:paraId="4ADDE9AB" w14:textId="77777777" w:rsidR="00694CFC" w:rsidRDefault="00694CFC" w:rsidP="00505D53">
            <w:pPr>
              <w:jc w:val="center"/>
            </w:pPr>
          </w:p>
        </w:tc>
        <w:tc>
          <w:tcPr>
            <w:tcW w:w="728" w:type="dxa"/>
            <w:tcBorders>
              <w:bottom w:val="single" w:sz="4" w:space="0" w:color="auto"/>
            </w:tcBorders>
            <w:vAlign w:val="center"/>
          </w:tcPr>
          <w:p w14:paraId="3E5A1C6A" w14:textId="77777777" w:rsidR="00694CFC" w:rsidRDefault="00694CFC" w:rsidP="00505D53">
            <w:pPr>
              <w:jc w:val="center"/>
            </w:pPr>
          </w:p>
        </w:tc>
        <w:tc>
          <w:tcPr>
            <w:tcW w:w="726" w:type="dxa"/>
            <w:tcBorders>
              <w:bottom w:val="single" w:sz="4" w:space="0" w:color="auto"/>
            </w:tcBorders>
            <w:vAlign w:val="center"/>
          </w:tcPr>
          <w:p w14:paraId="2200D970" w14:textId="77777777" w:rsidR="00694CFC" w:rsidRDefault="00694CFC" w:rsidP="00505D53">
            <w:pPr>
              <w:jc w:val="center"/>
            </w:pPr>
            <w:r>
              <w:sym w:font="Wingdings" w:char="F0FC"/>
            </w:r>
          </w:p>
        </w:tc>
        <w:tc>
          <w:tcPr>
            <w:tcW w:w="649" w:type="dxa"/>
            <w:tcBorders>
              <w:bottom w:val="single" w:sz="4" w:space="0" w:color="auto"/>
            </w:tcBorders>
          </w:tcPr>
          <w:p w14:paraId="15A269BE" w14:textId="77777777" w:rsidR="00694CFC" w:rsidRDefault="00694CFC" w:rsidP="00505D53">
            <w:pPr>
              <w:jc w:val="center"/>
            </w:pPr>
            <w:r>
              <w:sym w:font="Wingdings" w:char="F0FC"/>
            </w:r>
          </w:p>
        </w:tc>
      </w:tr>
      <w:tr w:rsidR="00694CFC" w14:paraId="4FA2BE61" w14:textId="77777777" w:rsidTr="00505D53">
        <w:trPr>
          <w:jc w:val="center"/>
        </w:trPr>
        <w:tc>
          <w:tcPr>
            <w:tcW w:w="1569" w:type="dxa"/>
            <w:vAlign w:val="center"/>
          </w:tcPr>
          <w:p w14:paraId="52BFF4FD" w14:textId="08A9A923" w:rsidR="00694CFC" w:rsidRDefault="00A44DE7" w:rsidP="00505D53">
            <w:pPr>
              <w:jc w:val="center"/>
            </w:pPr>
            <w:r>
              <w:t>Stool</w:t>
            </w:r>
          </w:p>
        </w:tc>
        <w:tc>
          <w:tcPr>
            <w:tcW w:w="1970" w:type="dxa"/>
            <w:vAlign w:val="center"/>
          </w:tcPr>
          <w:p w14:paraId="292663EE" w14:textId="77777777" w:rsidR="00694CFC" w:rsidRDefault="00694CFC" w:rsidP="00505D53">
            <w:pPr>
              <w:jc w:val="center"/>
            </w:pPr>
            <w:r>
              <w:t>10 minutes</w:t>
            </w:r>
          </w:p>
        </w:tc>
        <w:tc>
          <w:tcPr>
            <w:tcW w:w="851" w:type="dxa"/>
            <w:vAlign w:val="center"/>
          </w:tcPr>
          <w:p w14:paraId="40D46905" w14:textId="77777777" w:rsidR="00694CFC" w:rsidRDefault="00694CFC" w:rsidP="00505D53">
            <w:pPr>
              <w:jc w:val="center"/>
            </w:pPr>
            <w:r>
              <w:sym w:font="Wingdings" w:char="F0FC"/>
            </w:r>
          </w:p>
        </w:tc>
        <w:tc>
          <w:tcPr>
            <w:tcW w:w="822" w:type="dxa"/>
            <w:vAlign w:val="center"/>
          </w:tcPr>
          <w:p w14:paraId="2FCDAA34" w14:textId="77777777" w:rsidR="00694CFC" w:rsidRDefault="00694CFC" w:rsidP="00505D53">
            <w:pPr>
              <w:jc w:val="center"/>
            </w:pPr>
            <w:r>
              <w:sym w:font="Wingdings" w:char="F0FC"/>
            </w:r>
          </w:p>
        </w:tc>
        <w:tc>
          <w:tcPr>
            <w:tcW w:w="788" w:type="dxa"/>
            <w:vAlign w:val="center"/>
          </w:tcPr>
          <w:p w14:paraId="00074803" w14:textId="77777777" w:rsidR="00694CFC" w:rsidRDefault="00694CFC" w:rsidP="00505D53">
            <w:pPr>
              <w:jc w:val="center"/>
            </w:pPr>
            <w:r>
              <w:sym w:font="Wingdings" w:char="F0FC"/>
            </w:r>
          </w:p>
        </w:tc>
        <w:tc>
          <w:tcPr>
            <w:tcW w:w="726" w:type="dxa"/>
            <w:vAlign w:val="center"/>
          </w:tcPr>
          <w:p w14:paraId="32625AA1" w14:textId="77777777" w:rsidR="00694CFC" w:rsidRDefault="00694CFC" w:rsidP="00505D53">
            <w:pPr>
              <w:jc w:val="center"/>
            </w:pPr>
            <w:r>
              <w:sym w:font="Wingdings" w:char="F0FC"/>
            </w:r>
          </w:p>
        </w:tc>
        <w:tc>
          <w:tcPr>
            <w:tcW w:w="726" w:type="dxa"/>
            <w:vAlign w:val="center"/>
          </w:tcPr>
          <w:p w14:paraId="023BAD88" w14:textId="77777777" w:rsidR="00694CFC" w:rsidRDefault="00694CFC" w:rsidP="00505D53">
            <w:pPr>
              <w:jc w:val="center"/>
            </w:pPr>
            <w:r>
              <w:sym w:font="Wingdings" w:char="F0FC"/>
            </w:r>
          </w:p>
        </w:tc>
        <w:tc>
          <w:tcPr>
            <w:tcW w:w="728" w:type="dxa"/>
            <w:vAlign w:val="center"/>
          </w:tcPr>
          <w:p w14:paraId="467CEFC1" w14:textId="77777777" w:rsidR="00694CFC" w:rsidRDefault="00694CFC" w:rsidP="00505D53">
            <w:pPr>
              <w:jc w:val="center"/>
            </w:pPr>
            <w:r>
              <w:sym w:font="Wingdings" w:char="F0FC"/>
            </w:r>
          </w:p>
        </w:tc>
        <w:tc>
          <w:tcPr>
            <w:tcW w:w="726" w:type="dxa"/>
            <w:vAlign w:val="center"/>
          </w:tcPr>
          <w:p w14:paraId="4206A58B" w14:textId="77777777" w:rsidR="00694CFC" w:rsidRDefault="00694CFC" w:rsidP="00505D53">
            <w:pPr>
              <w:jc w:val="center"/>
            </w:pPr>
            <w:r>
              <w:sym w:font="Wingdings" w:char="F0FC"/>
            </w:r>
          </w:p>
        </w:tc>
        <w:tc>
          <w:tcPr>
            <w:tcW w:w="649" w:type="dxa"/>
          </w:tcPr>
          <w:p w14:paraId="14099B97" w14:textId="77777777" w:rsidR="00694CFC" w:rsidRDefault="00694CFC" w:rsidP="00505D53">
            <w:pPr>
              <w:jc w:val="center"/>
            </w:pPr>
            <w:r>
              <w:sym w:font="Wingdings" w:char="F0FC"/>
            </w:r>
          </w:p>
        </w:tc>
      </w:tr>
      <w:tr w:rsidR="00694CFC" w14:paraId="0474194B" w14:textId="77777777" w:rsidTr="00505D53">
        <w:trPr>
          <w:jc w:val="center"/>
        </w:trPr>
        <w:tc>
          <w:tcPr>
            <w:tcW w:w="3539" w:type="dxa"/>
            <w:gridSpan w:val="2"/>
            <w:shd w:val="clear" w:color="auto" w:fill="EDEDED" w:themeFill="accent3" w:themeFillTint="33"/>
            <w:vAlign w:val="center"/>
          </w:tcPr>
          <w:p w14:paraId="316E76DE" w14:textId="77AF0F0B" w:rsidR="00694CFC" w:rsidRPr="0016779C" w:rsidRDefault="00A44DE7" w:rsidP="00505D53">
            <w:pPr>
              <w:jc w:val="center"/>
              <w:rPr>
                <w:b/>
              </w:rPr>
            </w:pPr>
            <w:r>
              <w:rPr>
                <w:b/>
              </w:rPr>
              <w:t>Total monthly time commitment</w:t>
            </w:r>
          </w:p>
        </w:tc>
        <w:tc>
          <w:tcPr>
            <w:tcW w:w="851" w:type="dxa"/>
            <w:shd w:val="clear" w:color="auto" w:fill="EDEDED" w:themeFill="accent3" w:themeFillTint="33"/>
          </w:tcPr>
          <w:p w14:paraId="75D2DE23" w14:textId="77777777" w:rsidR="00694CFC" w:rsidRDefault="00694CFC" w:rsidP="00505D53">
            <w:pPr>
              <w:jc w:val="center"/>
            </w:pPr>
            <w:r>
              <w:t>2.5</w:t>
            </w:r>
          </w:p>
          <w:p w14:paraId="35A0ED76" w14:textId="77777777" w:rsidR="00694CFC" w:rsidRDefault="00694CFC" w:rsidP="00505D53">
            <w:pPr>
              <w:jc w:val="center"/>
            </w:pPr>
            <w:r>
              <w:t>hours</w:t>
            </w:r>
          </w:p>
        </w:tc>
        <w:tc>
          <w:tcPr>
            <w:tcW w:w="822" w:type="dxa"/>
            <w:tcBorders>
              <w:bottom w:val="single" w:sz="4" w:space="0" w:color="auto"/>
            </w:tcBorders>
            <w:shd w:val="clear" w:color="auto" w:fill="EDEDED" w:themeFill="accent3" w:themeFillTint="33"/>
            <w:vAlign w:val="center"/>
          </w:tcPr>
          <w:p w14:paraId="79C28E5F" w14:textId="0ADE74CD" w:rsidR="00694CFC" w:rsidRDefault="00694CFC" w:rsidP="00505D53">
            <w:pPr>
              <w:jc w:val="center"/>
            </w:pPr>
            <w:r>
              <w:t>4.</w:t>
            </w:r>
            <w:r w:rsidR="00BE149C">
              <w:t>2</w:t>
            </w:r>
            <w:r>
              <w:t xml:space="preserve">5 </w:t>
            </w:r>
          </w:p>
          <w:p w14:paraId="37DCCFCB" w14:textId="77777777" w:rsidR="00694CFC" w:rsidRDefault="00694CFC" w:rsidP="00505D53">
            <w:pPr>
              <w:jc w:val="center"/>
            </w:pPr>
            <w:r>
              <w:t>hours</w:t>
            </w:r>
          </w:p>
        </w:tc>
        <w:tc>
          <w:tcPr>
            <w:tcW w:w="788" w:type="dxa"/>
            <w:tcBorders>
              <w:bottom w:val="single" w:sz="4" w:space="0" w:color="auto"/>
            </w:tcBorders>
            <w:shd w:val="clear" w:color="auto" w:fill="EDEDED" w:themeFill="accent3" w:themeFillTint="33"/>
            <w:vAlign w:val="center"/>
          </w:tcPr>
          <w:p w14:paraId="2D1C6D33" w14:textId="13339CB0" w:rsidR="00694CFC" w:rsidRDefault="00694CFC" w:rsidP="00505D53">
            <w:pPr>
              <w:jc w:val="center"/>
            </w:pPr>
            <w:r>
              <w:t>4.</w:t>
            </w:r>
            <w:r w:rsidR="00BE149C">
              <w:t>2</w:t>
            </w:r>
            <w:r>
              <w:t>5 hours</w:t>
            </w:r>
          </w:p>
        </w:tc>
        <w:tc>
          <w:tcPr>
            <w:tcW w:w="726" w:type="dxa"/>
            <w:tcBorders>
              <w:bottom w:val="single" w:sz="4" w:space="0" w:color="auto"/>
            </w:tcBorders>
            <w:shd w:val="clear" w:color="auto" w:fill="EDEDED" w:themeFill="accent3" w:themeFillTint="33"/>
            <w:vAlign w:val="center"/>
          </w:tcPr>
          <w:p w14:paraId="3695F7D3" w14:textId="5AA64B14" w:rsidR="00694CFC" w:rsidRDefault="00694CFC" w:rsidP="00505D53">
            <w:pPr>
              <w:jc w:val="center"/>
            </w:pPr>
            <w:r>
              <w:t>5 hours</w:t>
            </w:r>
          </w:p>
        </w:tc>
        <w:tc>
          <w:tcPr>
            <w:tcW w:w="726" w:type="dxa"/>
            <w:tcBorders>
              <w:bottom w:val="single" w:sz="4" w:space="0" w:color="auto"/>
            </w:tcBorders>
            <w:shd w:val="clear" w:color="auto" w:fill="EDEDED" w:themeFill="accent3" w:themeFillTint="33"/>
            <w:vAlign w:val="center"/>
          </w:tcPr>
          <w:p w14:paraId="32511945" w14:textId="389B25D1" w:rsidR="00694CFC" w:rsidRDefault="00694CFC" w:rsidP="00505D53">
            <w:pPr>
              <w:jc w:val="center"/>
            </w:pPr>
            <w:r>
              <w:t>4.</w:t>
            </w:r>
            <w:r w:rsidR="00BE149C">
              <w:t>2</w:t>
            </w:r>
            <w:r>
              <w:t>5 hours</w:t>
            </w:r>
          </w:p>
        </w:tc>
        <w:tc>
          <w:tcPr>
            <w:tcW w:w="728" w:type="dxa"/>
            <w:tcBorders>
              <w:bottom w:val="single" w:sz="4" w:space="0" w:color="auto"/>
            </w:tcBorders>
            <w:shd w:val="clear" w:color="auto" w:fill="EDEDED" w:themeFill="accent3" w:themeFillTint="33"/>
            <w:vAlign w:val="center"/>
          </w:tcPr>
          <w:p w14:paraId="6C4327B5" w14:textId="4A758ACC" w:rsidR="00694CFC" w:rsidRDefault="00694CFC" w:rsidP="00505D53">
            <w:pPr>
              <w:jc w:val="center"/>
            </w:pPr>
            <w:r>
              <w:t>4.</w:t>
            </w:r>
            <w:r w:rsidR="009D4A7E">
              <w:t>25</w:t>
            </w:r>
            <w:r>
              <w:t xml:space="preserve"> hours</w:t>
            </w:r>
          </w:p>
        </w:tc>
        <w:tc>
          <w:tcPr>
            <w:tcW w:w="726" w:type="dxa"/>
            <w:tcBorders>
              <w:bottom w:val="single" w:sz="4" w:space="0" w:color="auto"/>
            </w:tcBorders>
            <w:shd w:val="clear" w:color="auto" w:fill="EDEDED" w:themeFill="accent3" w:themeFillTint="33"/>
            <w:vAlign w:val="center"/>
          </w:tcPr>
          <w:p w14:paraId="21D30808" w14:textId="77777777" w:rsidR="009D4A7E" w:rsidRDefault="00694CFC" w:rsidP="00505D53">
            <w:pPr>
              <w:jc w:val="center"/>
            </w:pPr>
            <w:r>
              <w:t>5</w:t>
            </w:r>
          </w:p>
          <w:p w14:paraId="67573B12" w14:textId="4097FD09" w:rsidR="00694CFC" w:rsidRDefault="00694CFC" w:rsidP="00505D53">
            <w:pPr>
              <w:jc w:val="center"/>
            </w:pPr>
            <w:r>
              <w:t>hours</w:t>
            </w:r>
          </w:p>
        </w:tc>
        <w:tc>
          <w:tcPr>
            <w:tcW w:w="649" w:type="dxa"/>
            <w:tcBorders>
              <w:bottom w:val="single" w:sz="4" w:space="0" w:color="auto"/>
            </w:tcBorders>
            <w:shd w:val="clear" w:color="auto" w:fill="EDEDED" w:themeFill="accent3" w:themeFillTint="33"/>
          </w:tcPr>
          <w:p w14:paraId="1882062C" w14:textId="77777777" w:rsidR="00694CFC" w:rsidRDefault="00694CFC" w:rsidP="00505D53">
            <w:pPr>
              <w:jc w:val="center"/>
            </w:pPr>
            <w:r>
              <w:t>&lt;1</w:t>
            </w:r>
          </w:p>
          <w:p w14:paraId="4F337749" w14:textId="77777777" w:rsidR="00694CFC" w:rsidRDefault="00694CFC" w:rsidP="00505D53">
            <w:pPr>
              <w:jc w:val="center"/>
            </w:pPr>
            <w:r>
              <w:t>hour</w:t>
            </w:r>
          </w:p>
        </w:tc>
      </w:tr>
    </w:tbl>
    <w:p w14:paraId="3E53C6BE" w14:textId="51DB9277" w:rsidR="004734DF" w:rsidRPr="00D70524" w:rsidRDefault="005B3A8E" w:rsidP="00D70524">
      <w:pPr>
        <w:spacing w:line="360" w:lineRule="auto"/>
        <w:jc w:val="both"/>
        <w:rPr>
          <w:rFonts w:ascii="Times New Roman" w:eastAsia="Times New Roman" w:hAnsi="Times New Roman" w:cs="Times New Roman"/>
          <w:sz w:val="28"/>
          <w:szCs w:val="28"/>
        </w:rPr>
      </w:pPr>
      <w:r w:rsidRPr="00D70524">
        <w:rPr>
          <w:rFonts w:ascii="Times New Roman" w:eastAsia="Times New Roman" w:hAnsi="Times New Roman" w:cs="Times New Roman"/>
          <w:sz w:val="24"/>
          <w:szCs w:val="24"/>
        </w:rPr>
        <w:t>* If the participant is scheduled for a routine endoscopy within 12 months following dietary trial commencement, up to 8 additional tissue biopsies will requested.</w:t>
      </w:r>
    </w:p>
    <w:p w14:paraId="50EA9178" w14:textId="77777777" w:rsidR="005B3A8E" w:rsidRPr="005B3A8E" w:rsidRDefault="005B3A8E" w:rsidP="00BF02D6">
      <w:pPr>
        <w:spacing w:line="480" w:lineRule="auto"/>
        <w:jc w:val="both"/>
        <w:rPr>
          <w:rFonts w:ascii="Times New Roman" w:eastAsia="Times New Roman" w:hAnsi="Times New Roman" w:cs="Times New Roman"/>
          <w:sz w:val="24"/>
          <w:szCs w:val="24"/>
        </w:rPr>
      </w:pPr>
    </w:p>
    <w:p w14:paraId="38C9CEE2" w14:textId="76C4F419" w:rsidR="00BF02D6" w:rsidRPr="00B563CF" w:rsidRDefault="00C74D00" w:rsidP="002D06BE">
      <w:pPr>
        <w:pStyle w:val="Heading2"/>
      </w:pPr>
      <w:r>
        <w:t xml:space="preserve">8.1 </w:t>
      </w:r>
      <w:r w:rsidR="00BF02D6" w:rsidRPr="00B563CF">
        <w:t>STUDY 2 METHODS</w:t>
      </w:r>
    </w:p>
    <w:p w14:paraId="311284CD" w14:textId="77777777" w:rsidR="00BF02D6" w:rsidRPr="00715A92" w:rsidRDefault="00BF02D6" w:rsidP="00BF02D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STUDY</w:t>
      </w:r>
      <w:r w:rsidRPr="00715A92">
        <w:rPr>
          <w:rFonts w:ascii="Times New Roman" w:hAnsi="Times New Roman" w:cs="Times New Roman"/>
          <w:b/>
          <w:bCs/>
          <w:sz w:val="24"/>
          <w:szCs w:val="24"/>
        </w:rPr>
        <w:t xml:space="preserve"> 2: To assess dietary exclusion of FEW as an adjunct therapeutic approach to maintain remission in </w:t>
      </w:r>
      <w:r>
        <w:rPr>
          <w:rFonts w:ascii="Times New Roman" w:hAnsi="Times New Roman" w:cs="Times New Roman"/>
          <w:b/>
          <w:bCs/>
          <w:sz w:val="24"/>
          <w:szCs w:val="24"/>
        </w:rPr>
        <w:t>CD</w:t>
      </w:r>
      <w:r w:rsidRPr="00715A92">
        <w:rPr>
          <w:rFonts w:ascii="Times New Roman" w:hAnsi="Times New Roman" w:cs="Times New Roman"/>
          <w:b/>
          <w:bCs/>
          <w:sz w:val="24"/>
          <w:szCs w:val="24"/>
        </w:rPr>
        <w:t xml:space="preserve"> using a randomised</w:t>
      </w:r>
      <w:r>
        <w:rPr>
          <w:rFonts w:ascii="Times New Roman" w:hAnsi="Times New Roman" w:cs="Times New Roman"/>
          <w:b/>
          <w:bCs/>
          <w:sz w:val="24"/>
          <w:szCs w:val="24"/>
        </w:rPr>
        <w:t xml:space="preserve"> controlled</w:t>
      </w:r>
      <w:r w:rsidRPr="00715A92">
        <w:rPr>
          <w:rFonts w:ascii="Times New Roman" w:hAnsi="Times New Roman" w:cs="Times New Roman"/>
          <w:b/>
          <w:bCs/>
          <w:sz w:val="24"/>
          <w:szCs w:val="24"/>
        </w:rPr>
        <w:t xml:space="preserve"> dietary crossover trial. </w:t>
      </w:r>
    </w:p>
    <w:p w14:paraId="24B39984" w14:textId="77777777" w:rsidR="00C70B2F" w:rsidRDefault="00BF02D6" w:rsidP="00C70B2F">
      <w:pPr>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STUDY</w:t>
      </w:r>
      <w:r w:rsidRPr="00715A92">
        <w:rPr>
          <w:rFonts w:ascii="Times New Roman" w:hAnsi="Times New Roman" w:cs="Times New Roman"/>
          <w:b/>
          <w:bCs/>
          <w:i/>
          <w:iCs/>
          <w:sz w:val="24"/>
          <w:szCs w:val="24"/>
        </w:rPr>
        <w:t xml:space="preserve"> 2.</w:t>
      </w:r>
      <w:r>
        <w:rPr>
          <w:rFonts w:ascii="Times New Roman" w:hAnsi="Times New Roman" w:cs="Times New Roman"/>
          <w:b/>
          <w:bCs/>
          <w:i/>
          <w:iCs/>
          <w:sz w:val="24"/>
          <w:szCs w:val="24"/>
        </w:rPr>
        <w:t>1</w:t>
      </w:r>
      <w:r w:rsidRPr="00715A92">
        <w:rPr>
          <w:rFonts w:ascii="Times New Roman" w:hAnsi="Times New Roman" w:cs="Times New Roman"/>
          <w:b/>
          <w:bCs/>
          <w:i/>
          <w:iCs/>
          <w:sz w:val="24"/>
          <w:szCs w:val="24"/>
        </w:rPr>
        <w:t>: To assess, in a controlle</w:t>
      </w:r>
      <w:r>
        <w:rPr>
          <w:rFonts w:ascii="Times New Roman" w:hAnsi="Times New Roman" w:cs="Times New Roman"/>
          <w:b/>
          <w:bCs/>
          <w:i/>
          <w:iCs/>
          <w:sz w:val="24"/>
          <w:szCs w:val="24"/>
        </w:rPr>
        <w:t>d</w:t>
      </w:r>
      <w:r w:rsidRPr="00715A92">
        <w:rPr>
          <w:rFonts w:ascii="Times New Roman" w:hAnsi="Times New Roman" w:cs="Times New Roman"/>
          <w:b/>
          <w:bCs/>
          <w:i/>
          <w:iCs/>
          <w:sz w:val="24"/>
          <w:szCs w:val="24"/>
        </w:rPr>
        <w:t xml:space="preserve"> randomised trial, the dietary exclusion of FEW as an adjunct therapeutic approach to maintain remission in </w:t>
      </w:r>
      <w:r>
        <w:rPr>
          <w:rFonts w:ascii="Times New Roman" w:hAnsi="Times New Roman" w:cs="Times New Roman"/>
          <w:b/>
          <w:bCs/>
          <w:i/>
          <w:iCs/>
          <w:sz w:val="24"/>
          <w:szCs w:val="24"/>
        </w:rPr>
        <w:t>CD</w:t>
      </w:r>
      <w:r w:rsidRPr="00715A92">
        <w:rPr>
          <w:rFonts w:ascii="Times New Roman" w:hAnsi="Times New Roman" w:cs="Times New Roman"/>
          <w:b/>
          <w:bCs/>
          <w:i/>
          <w:iCs/>
          <w:sz w:val="24"/>
          <w:szCs w:val="24"/>
        </w:rPr>
        <w:t xml:space="preserve"> patients</w:t>
      </w:r>
      <w:r w:rsidR="00C70B2F">
        <w:rPr>
          <w:rFonts w:ascii="Times New Roman" w:hAnsi="Times New Roman" w:cs="Times New Roman"/>
          <w:b/>
          <w:bCs/>
          <w:i/>
          <w:iCs/>
          <w:sz w:val="24"/>
          <w:szCs w:val="24"/>
        </w:rPr>
        <w:t xml:space="preserve">. </w:t>
      </w:r>
    </w:p>
    <w:p w14:paraId="1DE888DD" w14:textId="55276DA1" w:rsidR="00C70B2F" w:rsidRDefault="00C70B2F" w:rsidP="00C70B2F">
      <w:pPr>
        <w:spacing w:line="480" w:lineRule="auto"/>
        <w:jc w:val="both"/>
        <w:rPr>
          <w:rFonts w:ascii="Times New Roman" w:hAnsi="Times New Roman" w:cs="Times New Roman"/>
          <w:sz w:val="24"/>
          <w:szCs w:val="24"/>
        </w:rPr>
      </w:pPr>
      <w:r w:rsidRPr="00C70B2F">
        <w:rPr>
          <w:rFonts w:ascii="Times New Roman" w:hAnsi="Times New Roman" w:cs="Times New Roman"/>
          <w:b/>
          <w:bCs/>
          <w:sz w:val="24"/>
          <w:szCs w:val="24"/>
        </w:rPr>
        <w:t>Intervention</w:t>
      </w:r>
    </w:p>
    <w:p w14:paraId="71140594" w14:textId="27A8776F" w:rsidR="00664ABB" w:rsidRPr="008D5FEF" w:rsidRDefault="005B3A8E" w:rsidP="00C70B2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study design is a randomised controlled dietary crossover trial in which participants will be partially blinded to diet for 6 months. Participants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100) will be randomly allocated to either the standard care control arm (</w:t>
      </w:r>
      <w:r>
        <w:rPr>
          <w:rFonts w:ascii="Times New Roman" w:eastAsia="Times New Roman" w:hAnsi="Times New Roman" w:cs="Times New Roman"/>
          <w:i/>
          <w:sz w:val="24"/>
          <w:szCs w:val="24"/>
        </w:rPr>
        <w:t xml:space="preserve">n </w:t>
      </w:r>
      <w:r>
        <w:rPr>
          <w:rFonts w:ascii="Times New Roman" w:eastAsia="Times New Roman" w:hAnsi="Times New Roman" w:cs="Times New Roman"/>
          <w:sz w:val="24"/>
          <w:szCs w:val="24"/>
        </w:rPr>
        <w:t>= 30) or the intervention arm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70). The control arm will receive a standardised healthy diet consistent with the Nutrition Education Materials Online (NEMO) IBD guidelines (</w:t>
      </w:r>
      <w:r w:rsidRPr="0097726E">
        <w:rPr>
          <w:rFonts w:ascii="Times New Roman" w:eastAsia="Times New Roman" w:hAnsi="Times New Roman" w:cs="Times New Roman"/>
          <w:sz w:val="24"/>
          <w:szCs w:val="24"/>
        </w:rPr>
        <w:t xml:space="preserve">Attachment </w:t>
      </w:r>
      <w:r>
        <w:rPr>
          <w:rFonts w:ascii="Times New Roman" w:eastAsia="Times New Roman" w:hAnsi="Times New Roman" w:cs="Times New Roman"/>
          <w:sz w:val="24"/>
          <w:szCs w:val="24"/>
        </w:rPr>
        <w:t>C) whereas the intervention arm will be prescribed a diet that excludes FEW-containing foods (</w:t>
      </w:r>
      <w:r w:rsidRPr="0097726E">
        <w:rPr>
          <w:rFonts w:ascii="Times New Roman" w:eastAsia="Times New Roman" w:hAnsi="Times New Roman" w:cs="Times New Roman"/>
          <w:sz w:val="24"/>
          <w:szCs w:val="24"/>
        </w:rPr>
        <w:t xml:space="preserve">Attachment </w:t>
      </w:r>
      <w:r>
        <w:rPr>
          <w:rFonts w:ascii="Times New Roman" w:eastAsia="Times New Roman" w:hAnsi="Times New Roman" w:cs="Times New Roman"/>
          <w:sz w:val="24"/>
          <w:szCs w:val="24"/>
        </w:rPr>
        <w:t>D).</w:t>
      </w:r>
    </w:p>
    <w:p w14:paraId="6FAE482D" w14:textId="77777777" w:rsidR="008D5FEF" w:rsidRDefault="008D5FEF" w:rsidP="00C70B2F">
      <w:pPr>
        <w:pStyle w:val="ListParagraph"/>
        <w:spacing w:line="480" w:lineRule="auto"/>
        <w:ind w:left="0"/>
        <w:jc w:val="both"/>
        <w:rPr>
          <w:rFonts w:ascii="Times New Roman" w:hAnsi="Times New Roman" w:cs="Times New Roman"/>
          <w:b/>
          <w:bCs/>
          <w:sz w:val="24"/>
          <w:szCs w:val="24"/>
        </w:rPr>
      </w:pPr>
    </w:p>
    <w:p w14:paraId="3A10A03B" w14:textId="6B4C7841" w:rsidR="00C70B2F" w:rsidRPr="00C70B2F" w:rsidRDefault="00C70B2F" w:rsidP="00C70B2F">
      <w:pPr>
        <w:pStyle w:val="ListParagraph"/>
        <w:spacing w:line="480" w:lineRule="auto"/>
        <w:ind w:left="0"/>
        <w:jc w:val="both"/>
        <w:rPr>
          <w:rFonts w:ascii="Times New Roman" w:hAnsi="Times New Roman" w:cs="Times New Roman"/>
          <w:b/>
          <w:bCs/>
          <w:sz w:val="24"/>
          <w:szCs w:val="24"/>
        </w:rPr>
      </w:pPr>
      <w:r w:rsidRPr="00C70B2F">
        <w:rPr>
          <w:rFonts w:ascii="Times New Roman" w:hAnsi="Times New Roman" w:cs="Times New Roman"/>
          <w:b/>
          <w:bCs/>
          <w:sz w:val="24"/>
          <w:szCs w:val="24"/>
        </w:rPr>
        <w:t>Randomisation</w:t>
      </w:r>
    </w:p>
    <w:p w14:paraId="2C4838F1" w14:textId="1A0291B0" w:rsidR="00BF02D6" w:rsidRPr="00C70B2F" w:rsidRDefault="00C70B2F" w:rsidP="00C70B2F">
      <w:pPr>
        <w:pStyle w:val="ListParagraph"/>
        <w:spacing w:line="480" w:lineRule="auto"/>
        <w:ind w:left="0"/>
        <w:jc w:val="both"/>
        <w:rPr>
          <w:rFonts w:ascii="Times New Roman" w:hAnsi="Times New Roman" w:cs="Times New Roman"/>
          <w:sz w:val="24"/>
          <w:szCs w:val="24"/>
        </w:rPr>
      </w:pPr>
      <w:r w:rsidRPr="00715A92">
        <w:rPr>
          <w:rFonts w:ascii="Times New Roman" w:hAnsi="Times New Roman" w:cs="Times New Roman"/>
          <w:sz w:val="24"/>
          <w:szCs w:val="24"/>
        </w:rPr>
        <w:t>Study participants will be randomised into age</w:t>
      </w:r>
      <w:r>
        <w:rPr>
          <w:rFonts w:ascii="Times New Roman" w:hAnsi="Times New Roman" w:cs="Times New Roman"/>
          <w:sz w:val="24"/>
          <w:szCs w:val="24"/>
        </w:rPr>
        <w:t xml:space="preserve"> (5 or 10-year age bracket)</w:t>
      </w:r>
      <w:r w:rsidRPr="00715A92">
        <w:rPr>
          <w:rFonts w:ascii="Times New Roman" w:hAnsi="Times New Roman" w:cs="Times New Roman"/>
          <w:sz w:val="24"/>
          <w:szCs w:val="24"/>
        </w:rPr>
        <w:t xml:space="preserve"> and sex-matched </w:t>
      </w:r>
      <w:r>
        <w:rPr>
          <w:rFonts w:ascii="Times New Roman" w:hAnsi="Times New Roman" w:cs="Times New Roman"/>
          <w:sz w:val="24"/>
          <w:szCs w:val="24"/>
        </w:rPr>
        <w:t xml:space="preserve">standard care </w:t>
      </w:r>
      <w:r w:rsidRPr="00715A92">
        <w:rPr>
          <w:rFonts w:ascii="Times New Roman" w:hAnsi="Times New Roman" w:cs="Times New Roman"/>
          <w:sz w:val="24"/>
          <w:szCs w:val="24"/>
        </w:rPr>
        <w:t xml:space="preserve">control and intervention </w:t>
      </w:r>
      <w:r>
        <w:rPr>
          <w:rFonts w:ascii="Times New Roman" w:hAnsi="Times New Roman" w:cs="Times New Roman"/>
          <w:sz w:val="24"/>
          <w:szCs w:val="24"/>
        </w:rPr>
        <w:t>arms</w:t>
      </w:r>
      <w:r w:rsidRPr="00715A92">
        <w:rPr>
          <w:rFonts w:ascii="Times New Roman" w:hAnsi="Times New Roman" w:cs="Times New Roman"/>
          <w:sz w:val="24"/>
          <w:szCs w:val="24"/>
        </w:rPr>
        <w:t xml:space="preserve">. </w:t>
      </w:r>
      <w:r w:rsidR="00BF02D6" w:rsidRPr="00C70B2F">
        <w:rPr>
          <w:rFonts w:ascii="Times New Roman" w:hAnsi="Times New Roman" w:cs="Times New Roman"/>
          <w:sz w:val="24"/>
          <w:szCs w:val="24"/>
        </w:rPr>
        <w:t>Randomisation will be stratified to address the need to control for covariates. This method will be used to achieve balance among groups in terms of participants’ baseline characteristics. Specific covariates that may influence study outcomes include medication regime, time since diagnosis, disease severity. A separate bloc</w:t>
      </w:r>
      <w:r w:rsidR="004C3558" w:rsidRPr="00C70B2F">
        <w:rPr>
          <w:rFonts w:ascii="Times New Roman" w:hAnsi="Times New Roman" w:cs="Times New Roman"/>
          <w:sz w:val="24"/>
          <w:szCs w:val="24"/>
        </w:rPr>
        <w:t xml:space="preserve">k </w:t>
      </w:r>
      <w:r w:rsidR="00BF02D6" w:rsidRPr="00C70B2F">
        <w:rPr>
          <w:rFonts w:ascii="Times New Roman" w:hAnsi="Times New Roman" w:cs="Times New Roman"/>
          <w:sz w:val="24"/>
          <w:szCs w:val="24"/>
        </w:rPr>
        <w:t>will be created for each combination of covariates, and participants will be assigned to the appropriate block of covariates. After all participants have been assigned into blocks, simple computer-generate</w:t>
      </w:r>
      <w:r w:rsidR="003F109C" w:rsidRPr="00C70B2F">
        <w:rPr>
          <w:rFonts w:ascii="Times New Roman" w:hAnsi="Times New Roman" w:cs="Times New Roman"/>
          <w:sz w:val="24"/>
          <w:szCs w:val="24"/>
        </w:rPr>
        <w:t>d</w:t>
      </w:r>
      <w:r w:rsidR="00BF02D6" w:rsidRPr="00C70B2F">
        <w:rPr>
          <w:rFonts w:ascii="Times New Roman" w:hAnsi="Times New Roman" w:cs="Times New Roman"/>
          <w:sz w:val="24"/>
          <w:szCs w:val="24"/>
        </w:rPr>
        <w:t xml:space="preserve"> randomisation will be performed within each block.</w:t>
      </w:r>
    </w:p>
    <w:p w14:paraId="354809B0" w14:textId="77777777" w:rsidR="008D5FEF" w:rsidRPr="00FB601B" w:rsidRDefault="008D5FEF" w:rsidP="00C70B2F">
      <w:pPr>
        <w:pStyle w:val="ListParagraph"/>
        <w:spacing w:line="480" w:lineRule="auto"/>
        <w:ind w:left="1080"/>
        <w:jc w:val="both"/>
        <w:rPr>
          <w:rFonts w:ascii="Times New Roman" w:hAnsi="Times New Roman" w:cs="Times New Roman"/>
          <w:sz w:val="24"/>
          <w:szCs w:val="24"/>
        </w:rPr>
      </w:pPr>
    </w:p>
    <w:p w14:paraId="3530DAE7" w14:textId="080F6251" w:rsidR="00BF02D6" w:rsidRPr="00C70B2F" w:rsidRDefault="00BF02D6" w:rsidP="00C70B2F">
      <w:pPr>
        <w:pStyle w:val="ListParagraph"/>
        <w:spacing w:line="480" w:lineRule="auto"/>
        <w:ind w:left="0"/>
        <w:jc w:val="both"/>
        <w:rPr>
          <w:rFonts w:ascii="Times New Roman" w:hAnsi="Times New Roman" w:cs="Times New Roman"/>
          <w:b/>
          <w:bCs/>
          <w:sz w:val="24"/>
          <w:szCs w:val="24"/>
        </w:rPr>
      </w:pPr>
      <w:r w:rsidRPr="00C70B2F">
        <w:rPr>
          <w:rFonts w:ascii="Times New Roman" w:hAnsi="Times New Roman" w:cs="Times New Roman"/>
          <w:b/>
          <w:bCs/>
          <w:sz w:val="24"/>
          <w:szCs w:val="24"/>
        </w:rPr>
        <w:t>Blinding</w:t>
      </w:r>
    </w:p>
    <w:p w14:paraId="2E4A99F3" w14:textId="77777777" w:rsidR="00BF02D6" w:rsidRDefault="00BF02D6" w:rsidP="00BF02D6">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Participant – partially blinded (whether their diet is standard care or FEW food exclusion)</w:t>
      </w:r>
    </w:p>
    <w:p w14:paraId="7F00C46F" w14:textId="77777777" w:rsidR="00BF02D6" w:rsidRDefault="00BF02D6" w:rsidP="00BF02D6">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Intervention administrator (dietitian) – blinded to lab results but not intervention allocation</w:t>
      </w:r>
    </w:p>
    <w:p w14:paraId="5B7CC943" w14:textId="77777777" w:rsidR="00BF02D6" w:rsidRDefault="00BF02D6" w:rsidP="00BF02D6">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Research assistant – </w:t>
      </w:r>
      <w:r w:rsidRPr="00DB5739">
        <w:rPr>
          <w:rFonts w:ascii="Times New Roman" w:hAnsi="Times New Roman" w:cs="Times New Roman"/>
          <w:sz w:val="24"/>
          <w:szCs w:val="24"/>
        </w:rPr>
        <w:t xml:space="preserve">blinded to </w:t>
      </w:r>
      <w:r>
        <w:rPr>
          <w:rFonts w:ascii="Times New Roman" w:hAnsi="Times New Roman" w:cs="Times New Roman"/>
          <w:sz w:val="24"/>
          <w:szCs w:val="24"/>
        </w:rPr>
        <w:t>lab results</w:t>
      </w:r>
      <w:r w:rsidRPr="00DB5739">
        <w:rPr>
          <w:rFonts w:ascii="Times New Roman" w:hAnsi="Times New Roman" w:cs="Times New Roman"/>
          <w:sz w:val="24"/>
          <w:szCs w:val="24"/>
        </w:rPr>
        <w:t>, unblinded to</w:t>
      </w:r>
      <w:r>
        <w:rPr>
          <w:rFonts w:ascii="Times New Roman" w:hAnsi="Times New Roman" w:cs="Times New Roman"/>
          <w:sz w:val="24"/>
          <w:szCs w:val="24"/>
        </w:rPr>
        <w:t xml:space="preserve"> intervention allocation</w:t>
      </w:r>
    </w:p>
    <w:p w14:paraId="5D4201C1" w14:textId="77777777" w:rsidR="00BF02D6" w:rsidRDefault="00BF02D6" w:rsidP="00BF02D6">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Laboratory staff – blinded to intervention allocation but not lab results</w:t>
      </w:r>
    </w:p>
    <w:p w14:paraId="464846CA" w14:textId="296EB7D2" w:rsidR="002214EA" w:rsidRPr="008D5FEF" w:rsidRDefault="00BF02D6" w:rsidP="00650DB1">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Data analyst – blinded to lab results and intervention allocation</w:t>
      </w:r>
    </w:p>
    <w:p w14:paraId="2E3CCB79" w14:textId="15959AC5" w:rsidR="00BB4CA9" w:rsidRDefault="00650DB1" w:rsidP="00C70B2F">
      <w:pPr>
        <w:spacing w:line="480" w:lineRule="auto"/>
        <w:jc w:val="both"/>
        <w:rPr>
          <w:rFonts w:ascii="Times New Roman" w:hAnsi="Times New Roman" w:cs="Times New Roman"/>
          <w:b/>
          <w:bCs/>
          <w:sz w:val="24"/>
          <w:szCs w:val="24"/>
        </w:rPr>
      </w:pPr>
      <w:r w:rsidRPr="00650DB1">
        <w:rPr>
          <w:rFonts w:ascii="Times New Roman" w:hAnsi="Times New Roman" w:cs="Times New Roman"/>
          <w:b/>
          <w:bCs/>
          <w:sz w:val="24"/>
          <w:szCs w:val="24"/>
        </w:rPr>
        <w:lastRenderedPageBreak/>
        <w:t>Follow-up</w:t>
      </w:r>
    </w:p>
    <w:p w14:paraId="0952E15A" w14:textId="77777777" w:rsidR="005B3A8E" w:rsidRDefault="005B3A8E" w:rsidP="005B3A8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Nutritional assessment and dietary management are important for all people with IBD. As most individuals with IBD already follow a restricted diet or monitor their diet to a similar extent, this study does not present considerable additional participant burden in this regard. The NEMO guide will be provided to the standard care participants at the first dietetics consult and then referred to throughout the follow-up. The intervention group participants will also be provided with an equivalent resource (FEW-diet information sheet), the only difference will be that the intervention arm will receive additional instructions around the FEW-exclusion diet. Both standard care and intervention arm participants will be provided with dietary advice (as per group allocation) and specific instructions, personalised instructions based on food preferences and to alleviate symptoms or to meet caloric and micronutrient requirements.</w:t>
      </w:r>
    </w:p>
    <w:p w14:paraId="4B9BE7A0" w14:textId="77777777" w:rsidR="005B3A8E" w:rsidRDefault="005B3A8E" w:rsidP="005B3A8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participants will receive a monthly </w:t>
      </w:r>
      <w:sdt>
        <w:sdtPr>
          <w:tag w:val="goog_rdk_1"/>
          <w:id w:val="-1976132700"/>
        </w:sdtPr>
        <w:sdtEndPr/>
        <w:sdtContent/>
      </w:sdt>
      <w:r>
        <w:rPr>
          <w:rFonts w:ascii="Times New Roman" w:eastAsia="Times New Roman" w:hAnsi="Times New Roman" w:cs="Times New Roman"/>
          <w:sz w:val="24"/>
          <w:szCs w:val="24"/>
        </w:rPr>
        <w:t xml:space="preserve">face-to-face or telehealth visit from a dietitian with experience in IBD management, at a time that suits the participants, to check on their progress and ensure compliance. A dietitian consultation also routinely includes assessment of nutritional adequacy as per the Nutrition Care Processes guidelines followed by an Accredited Practising Dietitian. </w:t>
      </w:r>
    </w:p>
    <w:p w14:paraId="605B9074" w14:textId="77777777" w:rsidR="008D5FEF" w:rsidRDefault="008D5FEF" w:rsidP="008D5FEF">
      <w:pPr>
        <w:spacing w:line="480" w:lineRule="auto"/>
        <w:jc w:val="both"/>
        <w:rPr>
          <w:rFonts w:ascii="Times New Roman" w:eastAsia="Times New Roman" w:hAnsi="Times New Roman" w:cs="Times New Roman"/>
          <w:b/>
          <w:sz w:val="24"/>
          <w:szCs w:val="24"/>
        </w:rPr>
      </w:pPr>
    </w:p>
    <w:p w14:paraId="33C18CE1" w14:textId="77777777" w:rsidR="008D5FEF" w:rsidRDefault="008D5FEF" w:rsidP="008D5FEF">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Questionnaires</w:t>
      </w:r>
    </w:p>
    <w:p w14:paraId="23466C4E" w14:textId="77777777" w:rsidR="008D5FEF" w:rsidRDefault="008D5FEF" w:rsidP="008D5FE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 complete the following checklist and questionnaires throughout the duration of the dietary study:</w:t>
      </w:r>
    </w:p>
    <w:p w14:paraId="5FB5BAA2" w14:textId="77777777" w:rsidR="008D5FEF" w:rsidRDefault="008D5FEF" w:rsidP="008D5FEF">
      <w:pPr>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Daily food checklist (5 minutes) – a daily FEW or NEMO diet checklist (as per group allocation) using a phone application to monitor adherence and ensure regular diet (Attachment E).</w:t>
      </w:r>
    </w:p>
    <w:p w14:paraId="59C5D1EF" w14:textId="77777777" w:rsidR="008D5FEF" w:rsidRDefault="008D5FEF" w:rsidP="008D5FEF">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14:paraId="1513AC0C" w14:textId="77777777" w:rsidR="008D5FEF" w:rsidRDefault="008D5FEF" w:rsidP="008D5FEF">
      <w:pPr>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Automated Self-Administered 24-hour (ASA-24) (15 minutes) – a once-weekly 24-hour food recall which takes 15-20 minutes to complete on first administration and 10-15 minutes on subsequent occasions when the participant is familiar with the content. The day of the 24-hour recall will be randomised each week to capture maximum diet diversity, and the participant will receive a text message or email as a reminder to complete the recall. For participants who would prefer, a researcher administered version of the ASA-24 is available and will be conducted by a trained research assistant or dietitian using standard methods (</w:t>
      </w:r>
      <w:r w:rsidRPr="0097726E">
        <w:rPr>
          <w:rFonts w:ascii="Times New Roman" w:eastAsia="Times New Roman" w:hAnsi="Times New Roman" w:cs="Times New Roman"/>
          <w:color w:val="000000"/>
          <w:sz w:val="24"/>
          <w:szCs w:val="24"/>
        </w:rPr>
        <w:t xml:space="preserve">Attachment </w:t>
      </w:r>
      <w:r>
        <w:rPr>
          <w:rFonts w:ascii="Times New Roman" w:eastAsia="Times New Roman" w:hAnsi="Times New Roman" w:cs="Times New Roman"/>
          <w:color w:val="000000"/>
          <w:sz w:val="24"/>
          <w:szCs w:val="24"/>
        </w:rPr>
        <w:t>F).</w:t>
      </w:r>
    </w:p>
    <w:p w14:paraId="2EBC0341" w14:textId="77777777" w:rsidR="008D5FEF" w:rsidRDefault="008D5FEF" w:rsidP="008D5FE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83F3914" w14:textId="78FE8195" w:rsidR="008D5FEF" w:rsidRDefault="008D5FEF" w:rsidP="008D5FEF">
      <w:pPr>
        <w:numPr>
          <w:ilvl w:val="0"/>
          <w:numId w:val="26"/>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Short Inflammatory Bowel Disease Questionnaire (SIBDQ) (5 minutes) – administered monthly during their monthly dietitian visits. </w:t>
      </w:r>
      <w:r w:rsidRPr="00CD6D14">
        <w:rPr>
          <w:rFonts w:ascii="Times New Roman" w:eastAsia="Times New Roman" w:hAnsi="Times New Roman" w:cs="Times New Roman"/>
          <w:color w:val="000000"/>
          <w:sz w:val="24"/>
          <w:szCs w:val="24"/>
        </w:rPr>
        <w:t>This 10-item shortened version of the IBDQ (32-items) has been validated for use in CD patients to assess Health-Related Quality of Life (HRQoL) as measured in bowel symptoms, emotional and social domains (61) (</w:t>
      </w:r>
      <w:r w:rsidRPr="0097726E">
        <w:rPr>
          <w:rFonts w:ascii="Times New Roman" w:eastAsia="Times New Roman" w:hAnsi="Times New Roman" w:cs="Times New Roman"/>
          <w:color w:val="000000"/>
          <w:sz w:val="24"/>
          <w:szCs w:val="24"/>
        </w:rPr>
        <w:t xml:space="preserve">Attachment </w:t>
      </w:r>
      <w:r>
        <w:rPr>
          <w:rFonts w:ascii="Times New Roman" w:eastAsia="Times New Roman" w:hAnsi="Times New Roman" w:cs="Times New Roman"/>
          <w:color w:val="000000"/>
          <w:sz w:val="24"/>
          <w:szCs w:val="24"/>
        </w:rPr>
        <w:t>G</w:t>
      </w:r>
      <w:r w:rsidRPr="00CD6D14">
        <w:rPr>
          <w:rFonts w:ascii="Times New Roman" w:eastAsia="Times New Roman" w:hAnsi="Times New Roman" w:cs="Times New Roman"/>
          <w:color w:val="000000"/>
          <w:sz w:val="24"/>
          <w:szCs w:val="24"/>
        </w:rPr>
        <w:t>).</w:t>
      </w:r>
    </w:p>
    <w:p w14:paraId="56BE29B0" w14:textId="77777777" w:rsidR="003878F7" w:rsidRPr="00CD6D14" w:rsidRDefault="003878F7" w:rsidP="003878F7">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70134BF0" w14:textId="77777777" w:rsidR="008D5FEF" w:rsidRDefault="008D5FEF" w:rsidP="008D5FEF">
      <w:pPr>
        <w:numPr>
          <w:ilvl w:val="0"/>
          <w:numId w:val="26"/>
        </w:numPr>
        <w:pBdr>
          <w:top w:val="nil"/>
          <w:left w:val="nil"/>
          <w:bottom w:val="nil"/>
          <w:right w:val="nil"/>
          <w:between w:val="nil"/>
        </w:pBd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Comprehensive Nutrition Assessment Questionnaire (CNAQ) (20 minutes) – a food frequency questionnaire to assess diet will be administered at baseline, at 3 months, and at 6 months (</w:t>
      </w:r>
      <w:r w:rsidRPr="0097726E">
        <w:rPr>
          <w:rFonts w:ascii="Times New Roman" w:eastAsia="Times New Roman" w:hAnsi="Times New Roman" w:cs="Times New Roman"/>
          <w:color w:val="000000"/>
          <w:sz w:val="24"/>
          <w:szCs w:val="24"/>
        </w:rPr>
        <w:t xml:space="preserve">Attachment </w:t>
      </w:r>
      <w:r>
        <w:rPr>
          <w:rFonts w:ascii="Times New Roman" w:eastAsia="Times New Roman" w:hAnsi="Times New Roman" w:cs="Times New Roman"/>
          <w:color w:val="000000"/>
          <w:sz w:val="24"/>
          <w:szCs w:val="24"/>
        </w:rPr>
        <w:t>H).</w:t>
      </w:r>
    </w:p>
    <w:p w14:paraId="2F552203" w14:textId="77777777" w:rsidR="008D5FEF" w:rsidRDefault="008D5FEF" w:rsidP="008D5FE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people without reliable access to a device with an internet connection, we will provide printed hard copies of the questionnaires which will be kept in the same format as the online version for the participants to </w:t>
      </w:r>
      <w:sdt>
        <w:sdtPr>
          <w:tag w:val="goog_rdk_2"/>
          <w:id w:val="479505975"/>
        </w:sdtPr>
        <w:sdtEndPr/>
        <w:sdtContent/>
      </w:sdt>
      <w:r>
        <w:rPr>
          <w:rFonts w:ascii="Times New Roman" w:eastAsia="Times New Roman" w:hAnsi="Times New Roman" w:cs="Times New Roman"/>
          <w:sz w:val="24"/>
          <w:szCs w:val="24"/>
        </w:rPr>
        <w:t xml:space="preserve">complete. </w:t>
      </w:r>
    </w:p>
    <w:p w14:paraId="1A6F4BF6" w14:textId="77777777" w:rsidR="003878F7" w:rsidRDefault="003878F7" w:rsidP="008D5FEF">
      <w:pPr>
        <w:spacing w:line="480" w:lineRule="auto"/>
        <w:jc w:val="both"/>
        <w:rPr>
          <w:rFonts w:ascii="Times New Roman" w:eastAsia="Times New Roman" w:hAnsi="Times New Roman" w:cs="Times New Roman"/>
          <w:b/>
          <w:sz w:val="24"/>
          <w:szCs w:val="24"/>
        </w:rPr>
      </w:pPr>
    </w:p>
    <w:p w14:paraId="38D354A0" w14:textId="24242A16" w:rsidR="008D5FEF" w:rsidRDefault="008D5FEF" w:rsidP="008D5FEF">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Sample collection</w:t>
      </w:r>
    </w:p>
    <w:p w14:paraId="1E62600F" w14:textId="27DEA9C8" w:rsidR="008D5FEF" w:rsidRDefault="008D5FEF" w:rsidP="008D5FEF">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following information and samples will be collected after </w:t>
      </w:r>
      <w:r w:rsidR="003878F7">
        <w:rPr>
          <w:rFonts w:ascii="Times New Roman" w:eastAsia="Times New Roman" w:hAnsi="Times New Roman" w:cs="Times New Roman"/>
          <w:sz w:val="24"/>
          <w:szCs w:val="24"/>
        </w:rPr>
        <w:t>t</w:t>
      </w:r>
      <w:r>
        <w:rPr>
          <w:rFonts w:ascii="Times New Roman" w:eastAsia="Times New Roman" w:hAnsi="Times New Roman" w:cs="Times New Roman"/>
          <w:sz w:val="24"/>
          <w:szCs w:val="24"/>
        </w:rPr>
        <w:t>he dietary trial</w:t>
      </w:r>
      <w:r w:rsidR="003878F7">
        <w:rPr>
          <w:rFonts w:ascii="Times New Roman" w:eastAsia="Times New Roman" w:hAnsi="Times New Roman" w:cs="Times New Roman"/>
          <w:sz w:val="24"/>
          <w:szCs w:val="24"/>
        </w:rPr>
        <w:t xml:space="preserve"> commences</w:t>
      </w:r>
      <w:r>
        <w:rPr>
          <w:rFonts w:ascii="Times New Roman" w:eastAsia="Times New Roman" w:hAnsi="Times New Roman" w:cs="Times New Roman"/>
          <w:sz w:val="24"/>
          <w:szCs w:val="24"/>
        </w:rPr>
        <w:t>:</w:t>
      </w:r>
    </w:p>
    <w:p w14:paraId="3F0BE26F" w14:textId="77777777" w:rsidR="008D5FEF" w:rsidRDefault="008D5FEF" w:rsidP="008D5FEF">
      <w:pPr>
        <w:numPr>
          <w:ilvl w:val="0"/>
          <w:numId w:val="2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Blood samples (42 mL at each timepoint)</w:t>
      </w:r>
    </w:p>
    <w:p w14:paraId="45FAA500" w14:textId="77777777" w:rsidR="008D5FEF" w:rsidRDefault="008D5FEF" w:rsidP="008D5FEF">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Participants will be requested to provide blood samples at the 3-month, 6-month, and 12-month timepoints of the dietary trial. Blood draws will be separate from clinic appointments and will be conducted at HMRI, where parking can be arranged for participants at no cost, and times can be scheduled to suit the participant. Early morning and late afternoon appointments will be possible to accommodate fulltime workers.  Blood will be collected by a staff trained in venepuncture and a total of 42mL of blood will be collected per scheduled visit. </w:t>
      </w:r>
    </w:p>
    <w:p w14:paraId="3B98C153" w14:textId="77777777" w:rsidR="008D5FEF" w:rsidRDefault="008D5FEF" w:rsidP="008D5FEF">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14:paraId="7EFA6032" w14:textId="332EBD3E" w:rsidR="008D5FEF" w:rsidRDefault="008D5FEF" w:rsidP="008D5FEF">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Bloods will be used to assess the patients’ immune responses to specific food components from the FEW food groups, using the same methods outlined in Section 7.1, at each timepoint. Blood will be collected in five 6 mL lithium heparin tubes and then processed to isolate PBMCs and plasma. PBMCs will be used for </w:t>
      </w:r>
      <w:r>
        <w:rPr>
          <w:rFonts w:ascii="Times New Roman" w:eastAsia="Times New Roman" w:hAnsi="Times New Roman" w:cs="Times New Roman"/>
          <w:i/>
          <w:color w:val="000000"/>
          <w:sz w:val="24"/>
          <w:szCs w:val="24"/>
        </w:rPr>
        <w:t>in vitro</w:t>
      </w:r>
      <w:r>
        <w:rPr>
          <w:rFonts w:ascii="Times New Roman" w:eastAsia="Times New Roman" w:hAnsi="Times New Roman" w:cs="Times New Roman"/>
          <w:color w:val="000000"/>
          <w:sz w:val="24"/>
          <w:szCs w:val="24"/>
        </w:rPr>
        <w:t xml:space="preserve"> stimulation with specific FEW food components and for peripheral immune cell phenotyping by flow cytometry. Blood will also be collected in one 4 mL serum-separating tube (SST) tube to isolate serum and one 6 mL EDTA tube for DNA/RNA extraction and plasma. Patient plasma and serum will be screened for circulating antibody levels (IgG, IgE, IgA, IgM and IgD subtypes) and antibody reactivity against specific FEW food components using seroreactivity assays. Whole blood gene expression will be assessed for differences in expression of inflammatory mediators.</w:t>
      </w:r>
    </w:p>
    <w:p w14:paraId="231EBCBB" w14:textId="6D3B172A" w:rsidR="002E5401" w:rsidRDefault="002E5401" w:rsidP="008D5FEF">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14:paraId="6649511A" w14:textId="77777777" w:rsidR="008D5FEF" w:rsidRDefault="008D5FEF" w:rsidP="008D5FEF">
      <w:pPr>
        <w:numPr>
          <w:ilvl w:val="0"/>
          <w:numId w:val="2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Stool samples </w:t>
      </w:r>
    </w:p>
    <w:p w14:paraId="25B944DD" w14:textId="6D135F88" w:rsidR="008D5FEF" w:rsidRDefault="008D5FEF" w:rsidP="008D5FEF">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Participants will be requested to provide a </w:t>
      </w:r>
      <w:r w:rsidR="003878F7">
        <w:rPr>
          <w:rFonts w:ascii="Times New Roman" w:eastAsia="Times New Roman" w:hAnsi="Times New Roman" w:cs="Times New Roman"/>
          <w:color w:val="000000"/>
          <w:sz w:val="24"/>
          <w:szCs w:val="24"/>
        </w:rPr>
        <w:t xml:space="preserve">very small </w:t>
      </w:r>
      <w:r>
        <w:rPr>
          <w:rFonts w:ascii="Times New Roman" w:eastAsia="Times New Roman" w:hAnsi="Times New Roman" w:cs="Times New Roman"/>
          <w:color w:val="000000"/>
          <w:sz w:val="24"/>
          <w:szCs w:val="24"/>
        </w:rPr>
        <w:t xml:space="preserve">sample of stool every month (at home at their convenience) for 6 months and one final sample at the 12-month timepoint. The participant will collect stool swab using a Microba faecal collection kit </w:t>
      </w:r>
      <w:r>
        <w:rPr>
          <w:rFonts w:ascii="Times New Roman" w:eastAsia="Times New Roman" w:hAnsi="Times New Roman" w:cs="Times New Roman"/>
          <w:color w:val="000000"/>
          <w:sz w:val="24"/>
          <w:szCs w:val="24"/>
        </w:rPr>
        <w:lastRenderedPageBreak/>
        <w:t>with possible second sample collected using a separate collection kit</w:t>
      </w:r>
      <w:r w:rsidR="003878F7">
        <w:rPr>
          <w:rFonts w:ascii="Times New Roman" w:eastAsia="Times New Roman" w:hAnsi="Times New Roman" w:cs="Times New Roman"/>
          <w:color w:val="000000"/>
          <w:sz w:val="24"/>
          <w:szCs w:val="24"/>
        </w:rPr>
        <w:t xml:space="preserve"> to measure faecal calprotectin</w:t>
      </w:r>
      <w:r>
        <w:rPr>
          <w:rFonts w:ascii="Times New Roman" w:eastAsia="Times New Roman" w:hAnsi="Times New Roman" w:cs="Times New Roman"/>
          <w:color w:val="000000"/>
          <w:sz w:val="24"/>
          <w:szCs w:val="24"/>
        </w:rPr>
        <w:t>. The kit/s will be returned to HMRI for collection by research staff; or returned in a pre-paid mail envelope (will be provided) if a HMRI visit is not scheduled. The faecal collection tubes take a microbial snapshot of a sample while inactivating viruses making samples safe and ready for transport. Samples stored in faecal collection tubes are stable at ambient temperature</w:t>
      </w:r>
      <w:r w:rsidR="003878F7">
        <w:rPr>
          <w:rFonts w:ascii="Times New Roman" w:eastAsia="Times New Roman" w:hAnsi="Times New Roman" w:cs="Times New Roman"/>
          <w:color w:val="000000"/>
          <w:sz w:val="24"/>
          <w:szCs w:val="24"/>
        </w:rPr>
        <w:t>, can be used to measure faecal calprotectin</w:t>
      </w:r>
      <w:r>
        <w:rPr>
          <w:rFonts w:ascii="Times New Roman" w:eastAsia="Times New Roman" w:hAnsi="Times New Roman" w:cs="Times New Roman"/>
          <w:color w:val="000000"/>
          <w:sz w:val="24"/>
          <w:szCs w:val="24"/>
        </w:rPr>
        <w:t xml:space="preserve"> and can be frozen for longer-term storage. </w:t>
      </w:r>
    </w:p>
    <w:p w14:paraId="4F9393C6" w14:textId="77777777" w:rsidR="008D5FEF" w:rsidRDefault="008D5FEF" w:rsidP="008D5FEF">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p>
    <w:p w14:paraId="6B98E353" w14:textId="77777777" w:rsidR="008D5FEF" w:rsidRDefault="008D5FEF" w:rsidP="008D5FEF">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kits will be sent for sequencing and laboratory analysis of microbial profile (see Study 3) and the other stool sample will be utilised to detect and monitor disease activity and risk of relapse in patients undergoing the dietary trial using FC testing. FC testing is a non-invasive, clinically employed tool for assessing intestinal inflammation in IBD patients (62). Calprotectin extracted from stool can be detected easily using standard ELISA. Monthly FC test results will be compared to baseline and each subsequent FC test results throughout the dietary trial </w:t>
      </w:r>
      <w:proofErr w:type="gramStart"/>
      <w:r>
        <w:rPr>
          <w:rFonts w:ascii="Times New Roman" w:eastAsia="Times New Roman" w:hAnsi="Times New Roman" w:cs="Times New Roman"/>
          <w:color w:val="000000"/>
          <w:sz w:val="24"/>
          <w:szCs w:val="24"/>
        </w:rPr>
        <w:t>as a way to</w:t>
      </w:r>
      <w:proofErr w:type="gramEnd"/>
      <w:r>
        <w:rPr>
          <w:rFonts w:ascii="Times New Roman" w:eastAsia="Times New Roman" w:hAnsi="Times New Roman" w:cs="Times New Roman"/>
          <w:color w:val="000000"/>
          <w:sz w:val="24"/>
          <w:szCs w:val="24"/>
        </w:rPr>
        <w:t xml:space="preserve"> monitor each patients’ intestinal inflammatory activity or risk of relapse.</w:t>
      </w:r>
    </w:p>
    <w:p w14:paraId="6355E388" w14:textId="77777777" w:rsidR="008D5FEF" w:rsidRDefault="008D5FEF" w:rsidP="008D5FEF">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7106C653" w14:textId="77777777" w:rsidR="008D5FEF" w:rsidRDefault="008D5FEF" w:rsidP="008D5FEF">
      <w:pPr>
        <w:numPr>
          <w:ilvl w:val="0"/>
          <w:numId w:val="27"/>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Endoscopic samples</w:t>
      </w:r>
    </w:p>
    <w:p w14:paraId="2BF349E7" w14:textId="77777777" w:rsidR="008D5FEF" w:rsidRDefault="008D5FEF" w:rsidP="008D5FEF">
      <w:pPr>
        <w:pBdr>
          <w:top w:val="nil"/>
          <w:left w:val="nil"/>
          <w:bottom w:val="nil"/>
          <w:right w:val="nil"/>
          <w:between w:val="nil"/>
        </w:pBdr>
        <w:spacing w:line="48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Opportunistic biopsy samples will be requested if the participant is scheduled for routine endoscopy within the study timeframe (within 12 months following commencement of the dietary trial). Using </w:t>
      </w:r>
      <w:proofErr w:type="gramStart"/>
      <w:r>
        <w:rPr>
          <w:rFonts w:ascii="Times New Roman" w:eastAsia="Times New Roman" w:hAnsi="Times New Roman" w:cs="Times New Roman"/>
          <w:color w:val="000000"/>
          <w:sz w:val="24"/>
          <w:szCs w:val="24"/>
        </w:rPr>
        <w:t>exactly the same</w:t>
      </w:r>
      <w:proofErr w:type="gramEnd"/>
      <w:r>
        <w:rPr>
          <w:rFonts w:ascii="Times New Roman" w:eastAsia="Times New Roman" w:hAnsi="Times New Roman" w:cs="Times New Roman"/>
          <w:color w:val="000000"/>
          <w:sz w:val="24"/>
          <w:szCs w:val="24"/>
        </w:rPr>
        <w:t xml:space="preserve"> methods as used for CD patients in DHB, up to 8 biopsies from the ileo-colonic region of the digestive tract will be taken during endoscopy. Biopsies will be used to assess mucosal responses to specific food components from the FEW food groups using the same methods as Section 7.1. Where there is active inflammation, 6 biopsies will be taken from inflamed </w:t>
      </w:r>
      <w:r>
        <w:rPr>
          <w:rFonts w:ascii="Times New Roman" w:eastAsia="Times New Roman" w:hAnsi="Times New Roman" w:cs="Times New Roman"/>
          <w:color w:val="000000"/>
          <w:sz w:val="24"/>
          <w:szCs w:val="24"/>
        </w:rPr>
        <w:lastRenderedPageBreak/>
        <w:t>tissue and 2 biopsies from adjacent healthy tissue from each subject (</w:t>
      </w:r>
      <w:r w:rsidRPr="00650BB6">
        <w:rPr>
          <w:rFonts w:ascii="Times New Roman" w:eastAsia="Times New Roman" w:hAnsi="Times New Roman" w:cs="Times New Roman"/>
          <w:color w:val="000000"/>
          <w:sz w:val="24"/>
          <w:szCs w:val="24"/>
        </w:rPr>
        <w:t xml:space="preserve">Figure </w:t>
      </w:r>
      <w:r>
        <w:rPr>
          <w:rFonts w:ascii="Times New Roman" w:eastAsia="Times New Roman" w:hAnsi="Times New Roman" w:cs="Times New Roman"/>
          <w:color w:val="000000"/>
          <w:sz w:val="24"/>
          <w:szCs w:val="24"/>
        </w:rPr>
        <w:t xml:space="preserve">2). Of these, 3 inflamed tissue biopsies will be processed by collagenase and DNase II digestion to liberate lamina propria mononuclear cells (LPMCs) for flow cytometry and cell stimulation assays. One inflamed tissue biopsy will be collected in formalin and processed for routine histopathology staining and immunohistochemistry (IHC). The remaining inflamed tissue biopsies and matched healthy adjacent tissues will be stored in RNAlater and processed for RNA/Protein (1 x) and microbiome analysis (1 x). </w:t>
      </w:r>
    </w:p>
    <w:p w14:paraId="48BBB961" w14:textId="61F1DE3D" w:rsidR="00D63A1D" w:rsidRPr="00D63A1D" w:rsidRDefault="000E1932" w:rsidP="00D63A1D">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14:anchorId="507610D9" wp14:editId="488D7111">
            <wp:simplePos x="0" y="0"/>
            <wp:positionH relativeFrom="margin">
              <wp:posOffset>414020</wp:posOffset>
            </wp:positionH>
            <wp:positionV relativeFrom="paragraph">
              <wp:posOffset>80010</wp:posOffset>
            </wp:positionV>
            <wp:extent cx="5238750" cy="4657725"/>
            <wp:effectExtent l="19050" t="19050" r="19050" b="28575"/>
            <wp:wrapTight wrapText="bothSides">
              <wp:wrapPolygon edited="0">
                <wp:start x="-79" y="-88"/>
                <wp:lineTo x="-79" y="21644"/>
                <wp:lineTo x="21600" y="21644"/>
                <wp:lineTo x="21600" y="-88"/>
                <wp:lineTo x="-79" y="-88"/>
              </wp:wrapPolygon>
            </wp:wrapTight>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0" cy="4657725"/>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p>
    <w:p w14:paraId="3C1F8297" w14:textId="77777777" w:rsidR="00BF02D6" w:rsidRDefault="00BF02D6" w:rsidP="00BF02D6">
      <w:pPr>
        <w:spacing w:line="480" w:lineRule="auto"/>
        <w:jc w:val="both"/>
        <w:rPr>
          <w:rFonts w:ascii="Times New Roman" w:hAnsi="Times New Roman" w:cs="Times New Roman"/>
          <w:sz w:val="24"/>
          <w:szCs w:val="24"/>
        </w:rPr>
      </w:pPr>
    </w:p>
    <w:p w14:paraId="7ABB7881" w14:textId="77777777" w:rsidR="000E1932" w:rsidRDefault="000E1932" w:rsidP="00BF02D6">
      <w:pPr>
        <w:spacing w:line="480" w:lineRule="auto"/>
        <w:jc w:val="both"/>
        <w:rPr>
          <w:rFonts w:ascii="Times New Roman" w:hAnsi="Times New Roman" w:cs="Times New Roman"/>
          <w:b/>
          <w:bCs/>
          <w:sz w:val="24"/>
          <w:szCs w:val="24"/>
        </w:rPr>
      </w:pPr>
    </w:p>
    <w:p w14:paraId="10DEE3C9" w14:textId="77777777" w:rsidR="000E1932" w:rsidRDefault="000E1932" w:rsidP="00BF02D6">
      <w:pPr>
        <w:spacing w:line="480" w:lineRule="auto"/>
        <w:jc w:val="both"/>
        <w:rPr>
          <w:rFonts w:ascii="Times New Roman" w:hAnsi="Times New Roman" w:cs="Times New Roman"/>
          <w:b/>
          <w:bCs/>
          <w:sz w:val="24"/>
          <w:szCs w:val="24"/>
        </w:rPr>
      </w:pPr>
    </w:p>
    <w:p w14:paraId="0000ECD6" w14:textId="77777777" w:rsidR="000E1932" w:rsidRDefault="000E1932" w:rsidP="00BF02D6">
      <w:pPr>
        <w:spacing w:line="480" w:lineRule="auto"/>
        <w:jc w:val="both"/>
        <w:rPr>
          <w:rFonts w:ascii="Times New Roman" w:hAnsi="Times New Roman" w:cs="Times New Roman"/>
          <w:b/>
          <w:bCs/>
          <w:sz w:val="24"/>
          <w:szCs w:val="24"/>
        </w:rPr>
      </w:pPr>
    </w:p>
    <w:p w14:paraId="62DF6F44" w14:textId="77777777" w:rsidR="000E1932" w:rsidRDefault="000E1932" w:rsidP="00BF02D6">
      <w:pPr>
        <w:spacing w:line="480" w:lineRule="auto"/>
        <w:jc w:val="both"/>
        <w:rPr>
          <w:rFonts w:ascii="Times New Roman" w:hAnsi="Times New Roman" w:cs="Times New Roman"/>
          <w:b/>
          <w:bCs/>
          <w:sz w:val="24"/>
          <w:szCs w:val="24"/>
        </w:rPr>
      </w:pPr>
    </w:p>
    <w:p w14:paraId="46B37FC7" w14:textId="77777777" w:rsidR="000E1932" w:rsidRDefault="000E1932" w:rsidP="00BF02D6">
      <w:pPr>
        <w:spacing w:line="480" w:lineRule="auto"/>
        <w:jc w:val="both"/>
        <w:rPr>
          <w:rFonts w:ascii="Times New Roman" w:hAnsi="Times New Roman" w:cs="Times New Roman"/>
          <w:b/>
          <w:bCs/>
          <w:sz w:val="24"/>
          <w:szCs w:val="24"/>
        </w:rPr>
      </w:pPr>
    </w:p>
    <w:p w14:paraId="18F9EF72" w14:textId="77777777" w:rsidR="000E1932" w:rsidRDefault="000E1932" w:rsidP="00BF02D6">
      <w:pPr>
        <w:spacing w:line="480" w:lineRule="auto"/>
        <w:jc w:val="both"/>
        <w:rPr>
          <w:rFonts w:ascii="Times New Roman" w:hAnsi="Times New Roman" w:cs="Times New Roman"/>
          <w:b/>
          <w:bCs/>
          <w:sz w:val="24"/>
          <w:szCs w:val="24"/>
        </w:rPr>
      </w:pPr>
    </w:p>
    <w:p w14:paraId="57769C6D" w14:textId="77777777" w:rsidR="000E1932" w:rsidRDefault="000E1932" w:rsidP="00BF02D6">
      <w:pPr>
        <w:spacing w:line="480" w:lineRule="auto"/>
        <w:jc w:val="both"/>
        <w:rPr>
          <w:rFonts w:ascii="Times New Roman" w:hAnsi="Times New Roman" w:cs="Times New Roman"/>
          <w:b/>
          <w:bCs/>
          <w:sz w:val="24"/>
          <w:szCs w:val="24"/>
        </w:rPr>
      </w:pPr>
    </w:p>
    <w:p w14:paraId="6E189188" w14:textId="77777777" w:rsidR="000E1932" w:rsidRDefault="000E1932" w:rsidP="00BF02D6">
      <w:pPr>
        <w:spacing w:line="480" w:lineRule="auto"/>
        <w:jc w:val="both"/>
        <w:rPr>
          <w:rFonts w:ascii="Times New Roman" w:hAnsi="Times New Roman" w:cs="Times New Roman"/>
          <w:b/>
          <w:bCs/>
          <w:sz w:val="24"/>
          <w:szCs w:val="24"/>
        </w:rPr>
      </w:pPr>
    </w:p>
    <w:p w14:paraId="2D8E4D98" w14:textId="77777777" w:rsidR="000E1932" w:rsidRDefault="000E1932" w:rsidP="00BF02D6">
      <w:pPr>
        <w:spacing w:line="480" w:lineRule="auto"/>
        <w:jc w:val="both"/>
        <w:rPr>
          <w:rFonts w:ascii="Times New Roman" w:hAnsi="Times New Roman" w:cs="Times New Roman"/>
          <w:b/>
          <w:bCs/>
          <w:sz w:val="24"/>
          <w:szCs w:val="24"/>
        </w:rPr>
      </w:pPr>
    </w:p>
    <w:p w14:paraId="7D478217" w14:textId="118C4730" w:rsidR="000E1932" w:rsidRPr="008D5FEF" w:rsidRDefault="008D5FEF" w:rsidP="008D5FEF">
      <w:pPr>
        <w:pBdr>
          <w:top w:val="nil"/>
          <w:left w:val="nil"/>
          <w:bottom w:val="nil"/>
          <w:right w:val="nil"/>
          <w:between w:val="nil"/>
        </w:pBdr>
        <w:spacing w:line="480" w:lineRule="auto"/>
        <w:ind w:left="720"/>
        <w:jc w:val="both"/>
        <w:rPr>
          <w:rFonts w:ascii="Times New Roman" w:eastAsia="Times New Roman" w:hAnsi="Times New Roman" w:cs="Times New Roman"/>
          <w:color w:val="000000"/>
          <w:sz w:val="24"/>
          <w:szCs w:val="24"/>
        </w:rPr>
      </w:pPr>
      <w:r w:rsidRPr="00650BB6">
        <w:rPr>
          <w:rFonts w:ascii="Times New Roman" w:eastAsia="Times New Roman" w:hAnsi="Times New Roman" w:cs="Times New Roman"/>
          <w:b/>
          <w:color w:val="000000"/>
          <w:sz w:val="24"/>
          <w:szCs w:val="24"/>
        </w:rPr>
        <w:t>Figure 2.</w:t>
      </w:r>
      <w:r>
        <w:rPr>
          <w:rFonts w:ascii="Times New Roman" w:eastAsia="Times New Roman" w:hAnsi="Times New Roman" w:cs="Times New Roman"/>
          <w:color w:val="000000"/>
          <w:sz w:val="24"/>
          <w:szCs w:val="24"/>
        </w:rPr>
        <w:t xml:space="preserve"> Biopsy collection flowchart if there is active inflammation.</w:t>
      </w:r>
      <w:r w:rsidR="000E1932">
        <w:rPr>
          <w:rFonts w:ascii="Times New Roman" w:hAnsi="Times New Roman" w:cs="Times New Roman"/>
          <w:sz w:val="24"/>
          <w:szCs w:val="24"/>
        </w:rPr>
        <w:br w:type="page"/>
      </w:r>
    </w:p>
    <w:p w14:paraId="0469466E" w14:textId="678B8D9A" w:rsidR="000E1932" w:rsidRPr="000E1932" w:rsidRDefault="000E1932" w:rsidP="00BF02D6">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3360" behindDoc="1" locked="0" layoutInCell="1" allowOverlap="1" wp14:anchorId="56B9ECA3" wp14:editId="46C18BFE">
            <wp:simplePos x="0" y="0"/>
            <wp:positionH relativeFrom="margin">
              <wp:align>center</wp:align>
            </wp:positionH>
            <wp:positionV relativeFrom="paragraph">
              <wp:posOffset>1631950</wp:posOffset>
            </wp:positionV>
            <wp:extent cx="5257800" cy="4673600"/>
            <wp:effectExtent l="19050" t="19050" r="19050" b="12700"/>
            <wp:wrapTight wrapText="bothSides">
              <wp:wrapPolygon edited="0">
                <wp:start x="-78" y="-88"/>
                <wp:lineTo x="-78" y="21571"/>
                <wp:lineTo x="21600" y="21571"/>
                <wp:lineTo x="21600" y="-88"/>
                <wp:lineTo x="-78" y="-88"/>
              </wp:wrapPolygon>
            </wp:wrapTight>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57800" cy="4673600"/>
                    </a:xfrm>
                    <a:prstGeom prst="rect">
                      <a:avLst/>
                    </a:prstGeom>
                    <a:ln>
                      <a:solidFill>
                        <a:schemeClr val="bg1"/>
                      </a:solidFill>
                    </a:ln>
                  </pic:spPr>
                </pic:pic>
              </a:graphicData>
            </a:graphic>
            <wp14:sizeRelH relativeFrom="page">
              <wp14:pctWidth>0</wp14:pctWidth>
            </wp14:sizeRelH>
            <wp14:sizeRelV relativeFrom="page">
              <wp14:pctHeight>0</wp14:pctHeight>
            </wp14:sizeRelV>
          </wp:anchor>
        </w:drawing>
      </w:r>
      <w:r w:rsidRPr="000E1932">
        <w:rPr>
          <w:rFonts w:ascii="Times New Roman" w:hAnsi="Times New Roman" w:cs="Times New Roman"/>
          <w:sz w:val="24"/>
          <w:szCs w:val="24"/>
        </w:rPr>
        <w:t>If there is no inflamed tissue at the time of endoscopy, 6 biopsies will be taken from the inflammation-involved area observed at last endoscopy/diagnosis. Of these, 3 biopsies will be processed for LPMCs, 1 biopsy will be processed for each of histopathology, RNA/Protein analysis and microbiome analysis</w:t>
      </w:r>
      <w:r>
        <w:rPr>
          <w:rFonts w:ascii="Times New Roman" w:hAnsi="Times New Roman" w:cs="Times New Roman"/>
          <w:sz w:val="24"/>
          <w:szCs w:val="24"/>
        </w:rPr>
        <w:t xml:space="preserve"> (</w:t>
      </w:r>
      <w:r w:rsidR="008D5FEF" w:rsidRPr="00650BB6">
        <w:rPr>
          <w:rFonts w:ascii="Times New Roman" w:eastAsia="Times New Roman" w:hAnsi="Times New Roman" w:cs="Times New Roman"/>
          <w:sz w:val="24"/>
          <w:szCs w:val="24"/>
        </w:rPr>
        <w:t>Figure 3</w:t>
      </w:r>
      <w:r w:rsidR="008D5FEF">
        <w:rPr>
          <w:rFonts w:ascii="Times New Roman" w:eastAsia="Times New Roman" w:hAnsi="Times New Roman" w:cs="Times New Roman"/>
          <w:sz w:val="24"/>
          <w:szCs w:val="24"/>
        </w:rPr>
        <w:t>)</w:t>
      </w:r>
      <w:r w:rsidRPr="000E1932">
        <w:rPr>
          <w:rFonts w:ascii="Times New Roman" w:hAnsi="Times New Roman" w:cs="Times New Roman"/>
          <w:sz w:val="24"/>
          <w:szCs w:val="24"/>
        </w:rPr>
        <w:t>.</w:t>
      </w:r>
    </w:p>
    <w:p w14:paraId="79D65D22" w14:textId="5F217D0C" w:rsidR="000E1932" w:rsidRPr="00937BB8" w:rsidRDefault="008D5FEF" w:rsidP="000E1932">
      <w:pPr>
        <w:pStyle w:val="ListParagraph"/>
        <w:spacing w:line="480" w:lineRule="auto"/>
        <w:jc w:val="both"/>
        <w:rPr>
          <w:rFonts w:ascii="Times New Roman" w:hAnsi="Times New Roman" w:cs="Times New Roman"/>
          <w:sz w:val="24"/>
          <w:szCs w:val="24"/>
        </w:rPr>
      </w:pPr>
      <w:r w:rsidRPr="00650BB6">
        <w:rPr>
          <w:rFonts w:ascii="Times New Roman" w:eastAsia="Times New Roman" w:hAnsi="Times New Roman" w:cs="Times New Roman"/>
          <w:b/>
          <w:color w:val="000000"/>
          <w:sz w:val="24"/>
          <w:szCs w:val="24"/>
        </w:rPr>
        <w:t>Figure 3.</w:t>
      </w:r>
      <w:r>
        <w:rPr>
          <w:rFonts w:ascii="Times New Roman" w:eastAsia="Times New Roman" w:hAnsi="Times New Roman" w:cs="Times New Roman"/>
          <w:color w:val="000000"/>
          <w:sz w:val="24"/>
          <w:szCs w:val="24"/>
        </w:rPr>
        <w:t xml:space="preserve"> </w:t>
      </w:r>
      <w:r w:rsidR="000E1932">
        <w:rPr>
          <w:rFonts w:ascii="Times New Roman" w:hAnsi="Times New Roman" w:cs="Times New Roman"/>
          <w:sz w:val="24"/>
          <w:szCs w:val="24"/>
        </w:rPr>
        <w:t xml:space="preserve">Biopsy collection flowchart if there is no active inflammation. </w:t>
      </w:r>
      <w:r>
        <w:rPr>
          <w:rFonts w:ascii="Times New Roman" w:hAnsi="Times New Roman" w:cs="Times New Roman"/>
          <w:sz w:val="24"/>
          <w:szCs w:val="24"/>
        </w:rPr>
        <w:t xml:space="preserve"> </w:t>
      </w:r>
    </w:p>
    <w:p w14:paraId="34D66E8A" w14:textId="05BED4A2" w:rsidR="000E1932" w:rsidRDefault="000E1932" w:rsidP="00BF02D6">
      <w:pPr>
        <w:spacing w:line="480" w:lineRule="auto"/>
        <w:jc w:val="both"/>
        <w:rPr>
          <w:rFonts w:ascii="Times New Roman" w:hAnsi="Times New Roman" w:cs="Times New Roman"/>
          <w:b/>
          <w:bCs/>
          <w:sz w:val="24"/>
          <w:szCs w:val="24"/>
        </w:rPr>
      </w:pPr>
    </w:p>
    <w:p w14:paraId="4C393F6F" w14:textId="77777777" w:rsidR="000E1932" w:rsidRDefault="000E1932">
      <w:pPr>
        <w:rPr>
          <w:rFonts w:ascii="Times New Roman" w:hAnsi="Times New Roman" w:cs="Times New Roman"/>
          <w:b/>
          <w:bCs/>
          <w:sz w:val="24"/>
          <w:szCs w:val="24"/>
        </w:rPr>
      </w:pPr>
      <w:r>
        <w:rPr>
          <w:rFonts w:ascii="Times New Roman" w:hAnsi="Times New Roman" w:cs="Times New Roman"/>
          <w:b/>
          <w:bCs/>
          <w:sz w:val="24"/>
          <w:szCs w:val="24"/>
        </w:rPr>
        <w:br w:type="page"/>
      </w:r>
    </w:p>
    <w:p w14:paraId="1FE1AB1B" w14:textId="215B7236" w:rsidR="00BF02D6" w:rsidRDefault="00BF02D6" w:rsidP="00BF02D6">
      <w:pPr>
        <w:spacing w:line="480" w:lineRule="auto"/>
        <w:jc w:val="both"/>
        <w:rPr>
          <w:rFonts w:ascii="Times New Roman" w:hAnsi="Times New Roman" w:cs="Times New Roman"/>
          <w:sz w:val="24"/>
          <w:szCs w:val="24"/>
        </w:rPr>
      </w:pPr>
      <w:r w:rsidRPr="00EB43AA">
        <w:rPr>
          <w:rFonts w:ascii="Times New Roman" w:hAnsi="Times New Roman" w:cs="Times New Roman"/>
          <w:b/>
          <w:bCs/>
          <w:sz w:val="24"/>
          <w:szCs w:val="24"/>
        </w:rPr>
        <w:lastRenderedPageBreak/>
        <w:t>Criteria for research suspension/cessation</w:t>
      </w:r>
      <w:r w:rsidRPr="00EB43AA">
        <w:rPr>
          <w:rFonts w:ascii="Times New Roman" w:hAnsi="Times New Roman" w:cs="Times New Roman"/>
          <w:sz w:val="24"/>
          <w:szCs w:val="24"/>
        </w:rPr>
        <w:t>:</w:t>
      </w:r>
    </w:p>
    <w:p w14:paraId="6FF6D5F9" w14:textId="77777777" w:rsidR="008D5FEF" w:rsidRDefault="008D5FEF" w:rsidP="008D5FE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 will be discontinued or suspended if adverse effects of unexpected type, severity or frequency are encountered during the dietary trial (i.e., if the participants in the intervention group (FEW diet) experience more flares) or if there is evidence that the continuation of the trial would disadvantage some of the participants.  </w:t>
      </w:r>
    </w:p>
    <w:p w14:paraId="6B7B9FAD" w14:textId="77777777" w:rsidR="008D5FEF" w:rsidRDefault="008D5FEF" w:rsidP="008D5FE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Interim analysis will be conducted each month following the dietitian consultation with the participant to determine relative number of flares in standard care control and intervention groups. If a statistically significant number of flares are reported in the intervention group compared to control for two consecutive months or if</w:t>
      </w:r>
      <w:r w:rsidRPr="002231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FC results demonstrate an elevated calprotectin level indicating the presence of high-level intestinal inflammation, the trial will be suspended. It is highly unlikely that these diets could worsen any symptoms and are more likely going to improve patients quality of life especially since they are having regular meetings with a dietitian to help maintain a healthy diet.</w:t>
      </w:r>
    </w:p>
    <w:p w14:paraId="6B4EB91F" w14:textId="77777777" w:rsidR="00BF02D6" w:rsidRPr="00A67CE3" w:rsidRDefault="00BF02D6" w:rsidP="00BF02D6">
      <w:pPr>
        <w:rPr>
          <w:rFonts w:ascii="Segoe UI Light" w:hAnsi="Segoe UI Light" w:cs="Segoe UI Light"/>
          <w:sz w:val="20"/>
          <w:szCs w:val="20"/>
        </w:rPr>
      </w:pPr>
    </w:p>
    <w:p w14:paraId="4620C2C9" w14:textId="77777777" w:rsidR="00BF02D6" w:rsidRPr="00715A92" w:rsidRDefault="00BF02D6" w:rsidP="00BF02D6">
      <w:pPr>
        <w:spacing w:line="48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STUDY</w:t>
      </w:r>
      <w:r w:rsidRPr="00715A92">
        <w:rPr>
          <w:rFonts w:ascii="Times New Roman" w:hAnsi="Times New Roman" w:cs="Times New Roman"/>
          <w:b/>
          <w:bCs/>
          <w:i/>
          <w:iCs/>
          <w:sz w:val="24"/>
          <w:szCs w:val="24"/>
        </w:rPr>
        <w:t xml:space="preserve"> 2.</w:t>
      </w:r>
      <w:r>
        <w:rPr>
          <w:rFonts w:ascii="Times New Roman" w:hAnsi="Times New Roman" w:cs="Times New Roman"/>
          <w:b/>
          <w:bCs/>
          <w:i/>
          <w:iCs/>
          <w:sz w:val="24"/>
          <w:szCs w:val="24"/>
        </w:rPr>
        <w:t>2</w:t>
      </w:r>
      <w:r w:rsidRPr="00715A92">
        <w:rPr>
          <w:rFonts w:ascii="Times New Roman" w:hAnsi="Times New Roman" w:cs="Times New Roman"/>
          <w:b/>
          <w:bCs/>
          <w:i/>
          <w:iCs/>
          <w:sz w:val="24"/>
          <w:szCs w:val="24"/>
        </w:rPr>
        <w:t xml:space="preserve">: To confirm </w:t>
      </w:r>
      <w:r>
        <w:rPr>
          <w:rFonts w:ascii="Times New Roman" w:hAnsi="Times New Roman" w:cs="Times New Roman"/>
          <w:b/>
          <w:bCs/>
          <w:i/>
          <w:iCs/>
          <w:sz w:val="24"/>
          <w:szCs w:val="24"/>
        </w:rPr>
        <w:t>CD</w:t>
      </w:r>
      <w:r w:rsidRPr="00715A92">
        <w:rPr>
          <w:rFonts w:ascii="Times New Roman" w:hAnsi="Times New Roman" w:cs="Times New Roman"/>
          <w:b/>
          <w:bCs/>
          <w:i/>
          <w:iCs/>
          <w:sz w:val="24"/>
          <w:szCs w:val="24"/>
        </w:rPr>
        <w:t xml:space="preserve"> patients’ response to FEW foods in a crossover dietary trial.</w:t>
      </w:r>
    </w:p>
    <w:p w14:paraId="71DD81D7" w14:textId="77777777" w:rsidR="00BF02D6" w:rsidRPr="00715A92" w:rsidRDefault="00BF02D6" w:rsidP="00BF02D6">
      <w:pPr>
        <w:spacing w:line="480" w:lineRule="auto"/>
        <w:jc w:val="both"/>
        <w:rPr>
          <w:rFonts w:ascii="Times New Roman" w:hAnsi="Times New Roman" w:cs="Times New Roman"/>
          <w:b/>
          <w:bCs/>
          <w:sz w:val="24"/>
          <w:szCs w:val="24"/>
        </w:rPr>
      </w:pPr>
      <w:r w:rsidRPr="00715A92">
        <w:rPr>
          <w:rFonts w:ascii="Times New Roman" w:hAnsi="Times New Roman" w:cs="Times New Roman"/>
          <w:b/>
          <w:bCs/>
          <w:sz w:val="24"/>
          <w:szCs w:val="24"/>
        </w:rPr>
        <w:t>Confirmation of FEW food response:</w:t>
      </w:r>
    </w:p>
    <w:p w14:paraId="0AFD06AC" w14:textId="77777777" w:rsidR="008D5FEF" w:rsidRPr="003034CA" w:rsidRDefault="008D5FEF" w:rsidP="008D5FEF">
      <w:pPr>
        <w:spacing w:line="480" w:lineRule="auto"/>
        <w:jc w:val="both"/>
        <w:rPr>
          <w:rFonts w:ascii="Times" w:eastAsia="Times New Roman" w:hAnsi="Times" w:cs="Times"/>
          <w:sz w:val="32"/>
          <w:szCs w:val="32"/>
        </w:rPr>
      </w:pPr>
      <w:r>
        <w:rPr>
          <w:rFonts w:ascii="Times" w:hAnsi="Times" w:cs="Times"/>
          <w:color w:val="201F1E"/>
          <w:sz w:val="24"/>
          <w:szCs w:val="24"/>
          <w:shd w:val="clear" w:color="auto" w:fill="FFFFFF"/>
        </w:rPr>
        <w:t>The</w:t>
      </w:r>
      <w:r w:rsidRPr="008F517A">
        <w:rPr>
          <w:rFonts w:ascii="Times" w:hAnsi="Times" w:cs="Times"/>
          <w:color w:val="201F1E"/>
          <w:sz w:val="24"/>
          <w:szCs w:val="24"/>
          <w:shd w:val="clear" w:color="auto" w:fill="FFFFFF"/>
        </w:rPr>
        <w:t xml:space="preserve"> initial</w:t>
      </w:r>
      <w:r>
        <w:rPr>
          <w:rFonts w:ascii="Times" w:hAnsi="Times" w:cs="Times"/>
          <w:color w:val="201F1E"/>
          <w:sz w:val="24"/>
          <w:szCs w:val="24"/>
          <w:shd w:val="clear" w:color="auto" w:fill="FFFFFF"/>
        </w:rPr>
        <w:t xml:space="preserve"> 6-month</w:t>
      </w:r>
      <w:r w:rsidRPr="008F517A">
        <w:rPr>
          <w:rFonts w:ascii="Times" w:hAnsi="Times" w:cs="Times"/>
          <w:color w:val="201F1E"/>
          <w:sz w:val="24"/>
          <w:szCs w:val="24"/>
          <w:shd w:val="clear" w:color="auto" w:fill="FFFFFF"/>
        </w:rPr>
        <w:t xml:space="preserve"> </w:t>
      </w:r>
      <w:r>
        <w:rPr>
          <w:rFonts w:ascii="Times" w:hAnsi="Times" w:cs="Times"/>
          <w:color w:val="201F1E"/>
          <w:sz w:val="24"/>
          <w:szCs w:val="24"/>
          <w:shd w:val="clear" w:color="auto" w:fill="FFFFFF"/>
        </w:rPr>
        <w:t xml:space="preserve">dietary </w:t>
      </w:r>
      <w:r w:rsidRPr="008F517A">
        <w:rPr>
          <w:rFonts w:ascii="Times" w:hAnsi="Times" w:cs="Times"/>
          <w:color w:val="201F1E"/>
          <w:sz w:val="24"/>
          <w:szCs w:val="24"/>
          <w:shd w:val="clear" w:color="auto" w:fill="FFFFFF"/>
        </w:rPr>
        <w:t>trial will assess whether 1) dietary reduction of FEW</w:t>
      </w:r>
      <w:r>
        <w:rPr>
          <w:rFonts w:ascii="Times" w:hAnsi="Times" w:cs="Times"/>
          <w:color w:val="201F1E"/>
          <w:sz w:val="24"/>
          <w:szCs w:val="24"/>
          <w:shd w:val="clear" w:color="auto" w:fill="FFFFFF"/>
        </w:rPr>
        <w:t>-</w:t>
      </w:r>
      <w:r w:rsidRPr="008F517A">
        <w:rPr>
          <w:rFonts w:ascii="Times" w:hAnsi="Times" w:cs="Times"/>
          <w:color w:val="201F1E"/>
          <w:sz w:val="24"/>
          <w:szCs w:val="24"/>
          <w:shd w:val="clear" w:color="auto" w:fill="FFFFFF"/>
        </w:rPr>
        <w:t xml:space="preserve">containing foods </w:t>
      </w:r>
      <w:r>
        <w:rPr>
          <w:rFonts w:ascii="Times" w:hAnsi="Times" w:cs="Times"/>
          <w:color w:val="201F1E"/>
          <w:sz w:val="24"/>
          <w:szCs w:val="24"/>
          <w:shd w:val="clear" w:color="auto" w:fill="FFFFFF"/>
        </w:rPr>
        <w:t xml:space="preserve">are likely to provide </w:t>
      </w:r>
      <w:r w:rsidRPr="008F517A">
        <w:rPr>
          <w:rFonts w:ascii="Times" w:hAnsi="Times" w:cs="Times"/>
          <w:color w:val="201F1E"/>
          <w:sz w:val="24"/>
          <w:szCs w:val="24"/>
          <w:shd w:val="clear" w:color="auto" w:fill="FFFFFF"/>
        </w:rPr>
        <w:t>better outcomes for CD patients</w:t>
      </w:r>
      <w:r>
        <w:rPr>
          <w:rFonts w:ascii="Times" w:hAnsi="Times" w:cs="Times"/>
          <w:color w:val="201F1E"/>
          <w:sz w:val="24"/>
          <w:szCs w:val="24"/>
          <w:shd w:val="clear" w:color="auto" w:fill="FFFFFF"/>
        </w:rPr>
        <w:t>, both in terms of symptom improvement as well as inflammatory activity</w:t>
      </w:r>
      <w:r w:rsidRPr="008F517A">
        <w:rPr>
          <w:rFonts w:ascii="Times" w:hAnsi="Times" w:cs="Times"/>
          <w:color w:val="201F1E"/>
          <w:sz w:val="24"/>
          <w:szCs w:val="24"/>
          <w:shd w:val="clear" w:color="auto" w:fill="FFFFFF"/>
        </w:rPr>
        <w:t xml:space="preserve"> (as measured by our immunoassays, questionnaires</w:t>
      </w:r>
      <w:r>
        <w:rPr>
          <w:rFonts w:ascii="Times" w:hAnsi="Times" w:cs="Times"/>
          <w:color w:val="201F1E"/>
          <w:sz w:val="24"/>
          <w:szCs w:val="24"/>
          <w:shd w:val="clear" w:color="auto" w:fill="FFFFFF"/>
        </w:rPr>
        <w:t>,</w:t>
      </w:r>
      <w:r w:rsidRPr="008F517A">
        <w:rPr>
          <w:rFonts w:ascii="Times" w:hAnsi="Times" w:cs="Times"/>
          <w:color w:val="201F1E"/>
          <w:sz w:val="24"/>
          <w:szCs w:val="24"/>
          <w:shd w:val="clear" w:color="auto" w:fill="FFFFFF"/>
        </w:rPr>
        <w:t xml:space="preserve"> and faecal calprotectin tests) than standard dietetics counselling; and 2) whether laboratory assays can predict outcomes by assessing immune responses to FEW food antigens. If </w:t>
      </w:r>
      <w:r>
        <w:rPr>
          <w:rFonts w:ascii="Times" w:hAnsi="Times" w:cs="Times"/>
          <w:color w:val="201F1E"/>
          <w:sz w:val="24"/>
          <w:szCs w:val="24"/>
          <w:shd w:val="clear" w:color="auto" w:fill="FFFFFF"/>
        </w:rPr>
        <w:t>S</w:t>
      </w:r>
      <w:r w:rsidRPr="008F517A">
        <w:rPr>
          <w:rFonts w:ascii="Times" w:hAnsi="Times" w:cs="Times"/>
          <w:color w:val="201F1E"/>
          <w:sz w:val="24"/>
          <w:szCs w:val="24"/>
          <w:shd w:val="clear" w:color="auto" w:fill="FFFFFF"/>
        </w:rPr>
        <w:t>tudy 2</w:t>
      </w:r>
      <w:r>
        <w:rPr>
          <w:rFonts w:ascii="Times" w:hAnsi="Times" w:cs="Times"/>
          <w:color w:val="201F1E"/>
          <w:sz w:val="24"/>
          <w:szCs w:val="24"/>
          <w:shd w:val="clear" w:color="auto" w:fill="FFFFFF"/>
        </w:rPr>
        <w:t xml:space="preserve">.1 results in longer mean remission duration (longer time to flare) or significant improvement in symptoms scores, </w:t>
      </w:r>
      <w:r>
        <w:rPr>
          <w:rFonts w:ascii="Times New Roman" w:eastAsia="Times New Roman" w:hAnsi="Times New Roman" w:cs="Times New Roman"/>
          <w:sz w:val="24"/>
          <w:szCs w:val="24"/>
        </w:rPr>
        <w:t xml:space="preserve">participants in the control arm will be crossed over to the FEW diets as per the intervention arm. The intervention cohort will be asked to maintain their </w:t>
      </w:r>
      <w:r>
        <w:rPr>
          <w:rFonts w:ascii="Times New Roman" w:eastAsia="Times New Roman" w:hAnsi="Times New Roman" w:cs="Times New Roman"/>
          <w:sz w:val="24"/>
          <w:szCs w:val="24"/>
        </w:rPr>
        <w:lastRenderedPageBreak/>
        <w:t xml:space="preserve">diet for an additional six months </w:t>
      </w:r>
      <w:r w:rsidRPr="00C30F91">
        <w:rPr>
          <w:rFonts w:ascii="Times New Roman" w:eastAsia="Times New Roman" w:hAnsi="Times New Roman" w:cs="Times New Roman"/>
          <w:sz w:val="24"/>
          <w:szCs w:val="24"/>
        </w:rPr>
        <w:t xml:space="preserve">(see Figure </w:t>
      </w:r>
      <w:r>
        <w:rPr>
          <w:rFonts w:ascii="Times New Roman" w:eastAsia="Times New Roman" w:hAnsi="Times New Roman" w:cs="Times New Roman"/>
          <w:sz w:val="24"/>
          <w:szCs w:val="24"/>
        </w:rPr>
        <w:t>1) but will focus on excluding food antigens identified for each individual patient (from Study 1 laboratory stimulation) to assess whether specific food triggers have been identified. At the conclusion of the additional six-month period (12-month timepoint), participants will be requested to provide a final sample of blood (42 mL) and stool.</w:t>
      </w:r>
      <w:r>
        <w:rPr>
          <w:rFonts w:ascii="Times" w:eastAsia="Times New Roman" w:hAnsi="Times" w:cs="Times"/>
          <w:sz w:val="32"/>
          <w:szCs w:val="32"/>
        </w:rPr>
        <w:t xml:space="preserve"> </w:t>
      </w:r>
      <w:r>
        <w:rPr>
          <w:rFonts w:ascii="Times New Roman" w:eastAsia="Times New Roman" w:hAnsi="Times New Roman" w:cs="Times New Roman"/>
          <w:sz w:val="24"/>
          <w:szCs w:val="24"/>
        </w:rPr>
        <w:t xml:space="preserve">Opportunistic post-study biopsy sampling will be conducted if clinically indicated, as outlined in Section 2.1. If this is not indicated, blood samples will be used as a proxy measure. </w:t>
      </w:r>
      <w:r>
        <w:rPr>
          <w:rFonts w:ascii="Times New Roman" w:eastAsia="Times New Roman" w:hAnsi="Times New Roman" w:cs="Times New Roman"/>
          <w:color w:val="000000"/>
          <w:sz w:val="24"/>
          <w:szCs w:val="24"/>
        </w:rPr>
        <w:t>Whilst investigation of the localised immune response through immune cell isolation from biopsies (LPMCs) is preferable to generate clinically relevant results, the peripheral immune response can instead be investigated through isolation of immune cells from blood (PBMCs). These PBMCs can be phenotyped by flow cytometry and used in stimulation assays as an alternative to LPMCs and compared to baseline peripheral responses.</w:t>
      </w:r>
      <w:r>
        <w:rPr>
          <w:rFonts w:ascii="Quattrocento Sans" w:eastAsia="Quattrocento Sans" w:hAnsi="Quattrocento Sans" w:cs="Quattrocento Sans"/>
          <w:color w:val="000000"/>
          <w:sz w:val="20"/>
          <w:szCs w:val="20"/>
        </w:rPr>
        <w:t xml:space="preserve"> </w:t>
      </w:r>
      <w:r>
        <w:rPr>
          <w:rFonts w:ascii="Times New Roman" w:eastAsia="Times New Roman" w:hAnsi="Times New Roman" w:cs="Times New Roman"/>
          <w:sz w:val="24"/>
          <w:szCs w:val="24"/>
        </w:rPr>
        <w:t xml:space="preserve">See Section 10 for Analysis. </w:t>
      </w:r>
    </w:p>
    <w:p w14:paraId="27F5A484" w14:textId="77777777" w:rsidR="008D5FEF" w:rsidRDefault="008D5FEF" w:rsidP="008D5FE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anticipate that the FEW foods exclusion diet will reduce the number of flares and increase the duration of maintaining remission in our intervention cohort. Diet analysis from 24-hour recalls and FFQ will be analysed (nutrients and FEW food components) using existing methods of the study team for associations with CD symptom and clinical outcomes (flares and FC levels) to measure primary study outcome. Dietary responsiveness in Study 2 will be correlated with data from Study 1 and Study 3 (see below) to examine whether these immunoassays can independently predict food triggers and dietary response. </w:t>
      </w:r>
    </w:p>
    <w:p w14:paraId="450FA435" w14:textId="77777777" w:rsidR="002D0713" w:rsidRDefault="002D0713" w:rsidP="00BF02D6">
      <w:pPr>
        <w:spacing w:line="480" w:lineRule="auto"/>
        <w:jc w:val="both"/>
        <w:rPr>
          <w:rFonts w:ascii="Times New Roman" w:hAnsi="Times New Roman" w:cs="Times New Roman"/>
          <w:b/>
          <w:bCs/>
          <w:sz w:val="24"/>
          <w:szCs w:val="24"/>
          <w:u w:val="single"/>
        </w:rPr>
      </w:pPr>
    </w:p>
    <w:p w14:paraId="29A796B8" w14:textId="076AD120" w:rsidR="00BF02D6" w:rsidRPr="00C23F56" w:rsidRDefault="00C74D00" w:rsidP="002D06BE">
      <w:pPr>
        <w:pStyle w:val="Heading1"/>
      </w:pPr>
      <w:r>
        <w:t xml:space="preserve">9. </w:t>
      </w:r>
      <w:r w:rsidR="00BF02D6" w:rsidRPr="00C23F56">
        <w:t>STUDY 3 – Microbiome Analysis</w:t>
      </w:r>
    </w:p>
    <w:p w14:paraId="6F4FB58F" w14:textId="585BC82A" w:rsidR="008D5FEF" w:rsidRDefault="00BF02D6" w:rsidP="00BF02D6">
      <w:p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 xml:space="preserve">We will compare the microbiome in intestinal biopsies and stool samples from CD patients in </w:t>
      </w:r>
      <w:r>
        <w:rPr>
          <w:rFonts w:ascii="Times New Roman" w:hAnsi="Times New Roman" w:cs="Times New Roman"/>
          <w:sz w:val="24"/>
          <w:szCs w:val="24"/>
        </w:rPr>
        <w:t>STUDY 2 standard care</w:t>
      </w:r>
      <w:r w:rsidRPr="00715A92">
        <w:rPr>
          <w:rFonts w:ascii="Times New Roman" w:hAnsi="Times New Roman" w:cs="Times New Roman"/>
          <w:sz w:val="24"/>
          <w:szCs w:val="24"/>
        </w:rPr>
        <w:t xml:space="preserve"> control and intervention groups as well as healthy controls to study </w:t>
      </w:r>
      <w:r w:rsidRPr="00715A92">
        <w:rPr>
          <w:rFonts w:ascii="Times New Roman" w:hAnsi="Times New Roman" w:cs="Times New Roman"/>
          <w:sz w:val="24"/>
          <w:szCs w:val="24"/>
        </w:rPr>
        <w:lastRenderedPageBreak/>
        <w:t xml:space="preserve">the relationship between the diversity of microbiome, lifestyle, and dietary composition. </w:t>
      </w:r>
      <w:r w:rsidR="00E17D1C">
        <w:rPr>
          <w:rFonts w:ascii="Times New Roman" w:hAnsi="Times New Roman" w:cs="Times New Roman"/>
          <w:sz w:val="24"/>
          <w:szCs w:val="24"/>
        </w:rPr>
        <w:t xml:space="preserve">Baseline samples for this analysis will be accessed from the DHB as described in section </w:t>
      </w:r>
      <w:r w:rsidR="00842B42">
        <w:rPr>
          <w:rFonts w:ascii="Times New Roman" w:hAnsi="Times New Roman" w:cs="Times New Roman"/>
          <w:sz w:val="24"/>
          <w:szCs w:val="24"/>
        </w:rPr>
        <w:t>6</w:t>
      </w:r>
      <w:r w:rsidR="00E17D1C">
        <w:rPr>
          <w:rFonts w:ascii="Times New Roman" w:hAnsi="Times New Roman" w:cs="Times New Roman"/>
          <w:sz w:val="24"/>
          <w:szCs w:val="24"/>
        </w:rPr>
        <w:t xml:space="preserve">. </w:t>
      </w:r>
    </w:p>
    <w:p w14:paraId="541ACC1F" w14:textId="77777777" w:rsidR="008D5FEF" w:rsidRDefault="008D5FEF" w:rsidP="00BF02D6">
      <w:pPr>
        <w:spacing w:line="480" w:lineRule="auto"/>
        <w:jc w:val="both"/>
        <w:rPr>
          <w:rFonts w:ascii="Times New Roman" w:hAnsi="Times New Roman" w:cs="Times New Roman"/>
          <w:sz w:val="24"/>
          <w:szCs w:val="24"/>
        </w:rPr>
      </w:pPr>
    </w:p>
    <w:p w14:paraId="4D7C77EC" w14:textId="14B98D1C" w:rsidR="00BF02D6" w:rsidRPr="008C037C" w:rsidRDefault="00C74D00" w:rsidP="002D06BE">
      <w:pPr>
        <w:pStyle w:val="Heading2"/>
      </w:pPr>
      <w:r>
        <w:t xml:space="preserve">9.1 </w:t>
      </w:r>
      <w:r w:rsidR="00BF02D6" w:rsidRPr="008C037C">
        <w:t>STUDY 3 METHODS</w:t>
      </w:r>
    </w:p>
    <w:p w14:paraId="3B11835C" w14:textId="6FA90E81" w:rsidR="00BF02D6" w:rsidRPr="00715A92" w:rsidRDefault="00BF02D6" w:rsidP="00BF02D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STUDY</w:t>
      </w:r>
      <w:r w:rsidRPr="00715A92">
        <w:rPr>
          <w:rFonts w:ascii="Times New Roman" w:hAnsi="Times New Roman" w:cs="Times New Roman"/>
          <w:b/>
          <w:bCs/>
          <w:sz w:val="24"/>
          <w:szCs w:val="24"/>
        </w:rPr>
        <w:t xml:space="preserve"> 3: To identify lifestyle and microbiome signatures that may contribute to specific food responsiveness in FEW</w:t>
      </w:r>
      <w:r w:rsidR="00BF7FE9">
        <w:rPr>
          <w:rFonts w:ascii="Times New Roman" w:hAnsi="Times New Roman" w:cs="Times New Roman"/>
          <w:b/>
          <w:bCs/>
          <w:sz w:val="24"/>
          <w:szCs w:val="24"/>
        </w:rPr>
        <w:t>-</w:t>
      </w:r>
      <w:r w:rsidRPr="00715A92">
        <w:rPr>
          <w:rFonts w:ascii="Times New Roman" w:hAnsi="Times New Roman" w:cs="Times New Roman"/>
          <w:b/>
          <w:bCs/>
          <w:sz w:val="24"/>
          <w:szCs w:val="24"/>
        </w:rPr>
        <w:t>responsive patients.</w:t>
      </w:r>
    </w:p>
    <w:p w14:paraId="29E9261B" w14:textId="77777777" w:rsidR="00BF02D6" w:rsidRPr="00715A92" w:rsidRDefault="00BF02D6" w:rsidP="00BF02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Metagenomic shotgun sequencing (MGS) will be used to </w:t>
      </w:r>
      <w:r w:rsidRPr="00715A92">
        <w:rPr>
          <w:rFonts w:ascii="Times New Roman" w:hAnsi="Times New Roman" w:cs="Times New Roman"/>
          <w:sz w:val="24"/>
          <w:szCs w:val="24"/>
        </w:rPr>
        <w:t>characteris</w:t>
      </w:r>
      <w:r>
        <w:rPr>
          <w:rFonts w:ascii="Times New Roman" w:hAnsi="Times New Roman" w:cs="Times New Roman"/>
          <w:sz w:val="24"/>
          <w:szCs w:val="24"/>
        </w:rPr>
        <w:t>e</w:t>
      </w:r>
      <w:r w:rsidRPr="00715A92">
        <w:rPr>
          <w:rFonts w:ascii="Times New Roman" w:hAnsi="Times New Roman" w:cs="Times New Roman"/>
          <w:sz w:val="24"/>
          <w:szCs w:val="24"/>
        </w:rPr>
        <w:t xml:space="preserve"> the </w:t>
      </w:r>
      <w:r>
        <w:rPr>
          <w:rFonts w:ascii="Times New Roman" w:hAnsi="Times New Roman" w:cs="Times New Roman"/>
          <w:sz w:val="24"/>
          <w:szCs w:val="24"/>
        </w:rPr>
        <w:t>microbial profile</w:t>
      </w:r>
      <w:r w:rsidRPr="00715A92">
        <w:rPr>
          <w:rFonts w:ascii="Times New Roman" w:hAnsi="Times New Roman" w:cs="Times New Roman"/>
          <w:sz w:val="24"/>
          <w:szCs w:val="24"/>
        </w:rPr>
        <w:t xml:space="preserve"> from stool and biopsies. Detailed lifestyle information will be obtained from patients using the Digestive Health and Wellbeing Surveys used by the University of Newcastle Centre for Research Excellence (CRE) Digestive Health Biobank. Statistical analysis will assess correlations between lifestyle factors</w:t>
      </w:r>
      <w:r>
        <w:rPr>
          <w:rFonts w:ascii="Times New Roman" w:hAnsi="Times New Roman" w:cs="Times New Roman"/>
          <w:sz w:val="24"/>
          <w:szCs w:val="24"/>
        </w:rPr>
        <w:t xml:space="preserve">, </w:t>
      </w:r>
      <w:r w:rsidRPr="00715A92">
        <w:rPr>
          <w:rFonts w:ascii="Times New Roman" w:hAnsi="Times New Roman" w:cs="Times New Roman"/>
          <w:sz w:val="24"/>
          <w:szCs w:val="24"/>
        </w:rPr>
        <w:t xml:space="preserve">microbiome </w:t>
      </w:r>
      <w:r>
        <w:rPr>
          <w:rFonts w:ascii="Times New Roman" w:hAnsi="Times New Roman" w:cs="Times New Roman"/>
          <w:sz w:val="24"/>
          <w:szCs w:val="24"/>
        </w:rPr>
        <w:t>profiles,</w:t>
      </w:r>
      <w:r w:rsidRPr="00715A92">
        <w:rPr>
          <w:rFonts w:ascii="Times New Roman" w:hAnsi="Times New Roman" w:cs="Times New Roman"/>
          <w:sz w:val="24"/>
          <w:szCs w:val="24"/>
        </w:rPr>
        <w:t xml:space="preserve"> immune response (</w:t>
      </w:r>
      <w:r>
        <w:rPr>
          <w:rFonts w:ascii="Times New Roman" w:hAnsi="Times New Roman" w:cs="Times New Roman"/>
          <w:sz w:val="24"/>
          <w:szCs w:val="24"/>
        </w:rPr>
        <w:t>Study</w:t>
      </w:r>
      <w:r w:rsidRPr="00715A92">
        <w:rPr>
          <w:rFonts w:ascii="Times New Roman" w:hAnsi="Times New Roman" w:cs="Times New Roman"/>
          <w:sz w:val="24"/>
          <w:szCs w:val="24"/>
        </w:rPr>
        <w:t xml:space="preserve"> 1) and dietary response (</w:t>
      </w:r>
      <w:r>
        <w:rPr>
          <w:rFonts w:ascii="Times New Roman" w:hAnsi="Times New Roman" w:cs="Times New Roman"/>
          <w:sz w:val="24"/>
          <w:szCs w:val="24"/>
        </w:rPr>
        <w:t>Study</w:t>
      </w:r>
      <w:r w:rsidRPr="00715A92">
        <w:rPr>
          <w:rFonts w:ascii="Times New Roman" w:hAnsi="Times New Roman" w:cs="Times New Roman"/>
          <w:sz w:val="24"/>
          <w:szCs w:val="24"/>
        </w:rPr>
        <w:t xml:space="preserve"> 2)</w:t>
      </w:r>
      <w:r>
        <w:rPr>
          <w:rFonts w:ascii="Times New Roman" w:hAnsi="Times New Roman" w:cs="Times New Roman"/>
          <w:sz w:val="24"/>
          <w:szCs w:val="24"/>
        </w:rPr>
        <w:t>,</w:t>
      </w:r>
      <w:r w:rsidRPr="00715A92">
        <w:rPr>
          <w:rFonts w:ascii="Times New Roman" w:hAnsi="Times New Roman" w:cs="Times New Roman"/>
          <w:sz w:val="24"/>
          <w:szCs w:val="24"/>
        </w:rPr>
        <w:t xml:space="preserve"> to determine whether aetiological factors can be identified. </w:t>
      </w:r>
    </w:p>
    <w:p w14:paraId="7067B0CC" w14:textId="77777777" w:rsidR="00BF02D6" w:rsidRPr="00715A92" w:rsidRDefault="00BF02D6" w:rsidP="00BF02D6">
      <w:pPr>
        <w:pStyle w:val="ListParagraph"/>
        <w:numPr>
          <w:ilvl w:val="0"/>
          <w:numId w:val="18"/>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Metagenomic s</w:t>
      </w:r>
      <w:r w:rsidRPr="00715A92">
        <w:rPr>
          <w:rFonts w:ascii="Times New Roman" w:hAnsi="Times New Roman" w:cs="Times New Roman"/>
          <w:b/>
          <w:bCs/>
          <w:sz w:val="24"/>
          <w:szCs w:val="24"/>
        </w:rPr>
        <w:t>hotgun sequencing</w:t>
      </w:r>
    </w:p>
    <w:p w14:paraId="54F67DE4" w14:textId="77777777" w:rsidR="00BF02D6" w:rsidRDefault="00BF02D6" w:rsidP="00BF02D6">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Microbial DNA will be extracted from p</w:t>
      </w:r>
      <w:r w:rsidRPr="00715A92">
        <w:rPr>
          <w:rFonts w:ascii="Times New Roman" w:hAnsi="Times New Roman" w:cs="Times New Roman"/>
          <w:sz w:val="24"/>
          <w:szCs w:val="24"/>
        </w:rPr>
        <w:t>atient stool and biops</w:t>
      </w:r>
      <w:r>
        <w:rPr>
          <w:rFonts w:ascii="Times New Roman" w:hAnsi="Times New Roman" w:cs="Times New Roman"/>
          <w:sz w:val="24"/>
          <w:szCs w:val="24"/>
        </w:rPr>
        <w:t xml:space="preserve">y through a combination of bead-beating homogenisation and Maxwell (Promega) automated nucleic purification system, this will ensure adequate lysis of the microbial community and standardised DNA recovery for all samples. MGS will be performed out of house with either </w:t>
      </w:r>
      <w:r w:rsidRPr="002709A6">
        <w:rPr>
          <w:rFonts w:ascii="Times New Roman" w:hAnsi="Times New Roman" w:cs="Times New Roman"/>
          <w:sz w:val="24"/>
          <w:szCs w:val="24"/>
        </w:rPr>
        <w:t>Australian Centre of Ecogenomics (ACE) or Microba. Short</w:t>
      </w:r>
      <w:r>
        <w:rPr>
          <w:rFonts w:ascii="Times New Roman" w:hAnsi="Times New Roman" w:cs="Times New Roman"/>
          <w:sz w:val="24"/>
          <w:szCs w:val="24"/>
        </w:rPr>
        <w:t>/</w:t>
      </w:r>
      <w:r w:rsidRPr="002709A6">
        <w:rPr>
          <w:rFonts w:ascii="Times New Roman" w:hAnsi="Times New Roman" w:cs="Times New Roman"/>
          <w:sz w:val="24"/>
          <w:szCs w:val="24"/>
        </w:rPr>
        <w:t>long read metagenomic sequencing will be completed on either the Illumina NovoSeq6000 or Nanopore PromethION</w:t>
      </w:r>
      <w:r>
        <w:rPr>
          <w:rFonts w:ascii="Times New Roman" w:hAnsi="Times New Roman" w:cs="Times New Roman"/>
          <w:sz w:val="24"/>
          <w:szCs w:val="24"/>
        </w:rPr>
        <w:t>. MGS will provide microbiome taxonomic composition as well as functional data, with strain level resolution.</w:t>
      </w:r>
    </w:p>
    <w:p w14:paraId="0F48705E" w14:textId="77777777" w:rsidR="00BF02D6" w:rsidRDefault="00BF02D6" w:rsidP="00BF02D6">
      <w:pPr>
        <w:pStyle w:val="ListParagraph"/>
        <w:spacing w:line="480" w:lineRule="auto"/>
        <w:jc w:val="both"/>
        <w:rPr>
          <w:rFonts w:ascii="Times New Roman" w:hAnsi="Times New Roman" w:cs="Times New Roman"/>
          <w:sz w:val="24"/>
          <w:szCs w:val="24"/>
        </w:rPr>
      </w:pPr>
    </w:p>
    <w:p w14:paraId="690B8623" w14:textId="77777777" w:rsidR="00BF02D6" w:rsidRPr="002709A6" w:rsidRDefault="00BF02D6" w:rsidP="00BF02D6">
      <w:pPr>
        <w:pStyle w:val="ListParagraph"/>
        <w:numPr>
          <w:ilvl w:val="0"/>
          <w:numId w:val="18"/>
        </w:numPr>
        <w:spacing w:line="480" w:lineRule="auto"/>
        <w:jc w:val="both"/>
        <w:rPr>
          <w:rFonts w:ascii="Times New Roman" w:hAnsi="Times New Roman" w:cs="Times New Roman"/>
          <w:b/>
          <w:bCs/>
          <w:sz w:val="24"/>
          <w:szCs w:val="24"/>
        </w:rPr>
      </w:pPr>
      <w:r w:rsidRPr="002709A6">
        <w:rPr>
          <w:rFonts w:ascii="Times New Roman" w:hAnsi="Times New Roman" w:cs="Times New Roman"/>
          <w:b/>
          <w:bCs/>
          <w:sz w:val="24"/>
          <w:szCs w:val="24"/>
        </w:rPr>
        <w:t>MGS analysis</w:t>
      </w:r>
    </w:p>
    <w:p w14:paraId="7A25CB32" w14:textId="2315AB70" w:rsidR="00BF02D6" w:rsidRDefault="00BF02D6" w:rsidP="00BF02D6">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Bioinformatics workflow will be applied to resulting MGS data, briefly bioinformatics packages (such as HUManN2) will be used to identify taxonomical and functional changes between groups, while R software (i.e., phyloseq and vegan) will be used to determine diversity metrics (both alpha, beta) and investigate correlations between the microbiome, immune responses, diet, and intervention outcomes. </w:t>
      </w:r>
    </w:p>
    <w:p w14:paraId="115EA9ED" w14:textId="77777777" w:rsidR="008D5FEF" w:rsidRPr="002709A6" w:rsidRDefault="008D5FEF" w:rsidP="00BF02D6">
      <w:pPr>
        <w:spacing w:line="480" w:lineRule="auto"/>
        <w:ind w:left="720"/>
        <w:jc w:val="both"/>
        <w:rPr>
          <w:rFonts w:ascii="Times New Roman" w:hAnsi="Times New Roman" w:cs="Times New Roman"/>
          <w:sz w:val="24"/>
          <w:szCs w:val="24"/>
        </w:rPr>
      </w:pPr>
    </w:p>
    <w:p w14:paraId="16F13F3E" w14:textId="15CB891E" w:rsidR="00BF02D6" w:rsidRDefault="00962032" w:rsidP="00962032">
      <w:pPr>
        <w:pStyle w:val="Heading1"/>
        <w:rPr>
          <w:bdr w:val="none" w:sz="0" w:space="0" w:color="auto" w:frame="1"/>
          <w:shd w:val="clear" w:color="auto" w:fill="FFFFFF"/>
        </w:rPr>
      </w:pPr>
      <w:r>
        <w:rPr>
          <w:bdr w:val="none" w:sz="0" w:space="0" w:color="auto" w:frame="1"/>
          <w:shd w:val="clear" w:color="auto" w:fill="FFFFFF"/>
        </w:rPr>
        <w:t>10. DATA ANALYSIS</w:t>
      </w:r>
    </w:p>
    <w:p w14:paraId="578E78F2" w14:textId="3F170A80" w:rsidR="00BF02D6" w:rsidRDefault="00BF02D6" w:rsidP="00BF02D6">
      <w:pPr>
        <w:spacing w:line="480" w:lineRule="auto"/>
        <w:jc w:val="both"/>
        <w:rPr>
          <w:rFonts w:ascii="Times New Roman" w:hAnsi="Times New Roman" w:cs="Times New Roman"/>
          <w:color w:val="201F1E"/>
          <w:sz w:val="24"/>
          <w:szCs w:val="24"/>
          <w:bdr w:val="none" w:sz="0" w:space="0" w:color="auto" w:frame="1"/>
          <w:shd w:val="clear" w:color="auto" w:fill="FFFFFF"/>
        </w:rPr>
      </w:pPr>
      <w:r w:rsidRPr="004E12A3">
        <w:rPr>
          <w:rFonts w:ascii="Times New Roman" w:hAnsi="Times New Roman" w:cs="Times New Roman"/>
          <w:color w:val="201F1E"/>
          <w:sz w:val="24"/>
          <w:szCs w:val="24"/>
          <w:bdr w:val="none" w:sz="0" w:space="0" w:color="auto" w:frame="1"/>
          <w:shd w:val="clear" w:color="auto" w:fill="FFFFFF"/>
        </w:rPr>
        <w:t>Datasets w</w:t>
      </w:r>
      <w:r>
        <w:rPr>
          <w:rFonts w:ascii="Times New Roman" w:hAnsi="Times New Roman" w:cs="Times New Roman"/>
          <w:color w:val="201F1E"/>
          <w:sz w:val="24"/>
          <w:szCs w:val="24"/>
          <w:bdr w:val="none" w:sz="0" w:space="0" w:color="auto" w:frame="1"/>
          <w:shd w:val="clear" w:color="auto" w:fill="FFFFFF"/>
        </w:rPr>
        <w:t>ill be</w:t>
      </w:r>
      <w:r w:rsidRPr="004E12A3">
        <w:rPr>
          <w:rFonts w:ascii="Times New Roman" w:hAnsi="Times New Roman" w:cs="Times New Roman"/>
          <w:color w:val="201F1E"/>
          <w:sz w:val="24"/>
          <w:szCs w:val="24"/>
          <w:bdr w:val="none" w:sz="0" w:space="0" w:color="auto" w:frame="1"/>
          <w:shd w:val="clear" w:color="auto" w:fill="FFFFFF"/>
        </w:rPr>
        <w:t xml:space="preserve"> analysed and graphed using GraphPad Prism 8 software version 8.1 (GraphPad Software Inc., La Jolla, USA).</w:t>
      </w:r>
      <w:r>
        <w:rPr>
          <w:rFonts w:ascii="Times New Roman" w:hAnsi="Times New Roman" w:cs="Times New Roman"/>
          <w:color w:val="201F1E"/>
          <w:sz w:val="24"/>
          <w:szCs w:val="24"/>
          <w:bdr w:val="none" w:sz="0" w:space="0" w:color="auto" w:frame="1"/>
          <w:shd w:val="clear" w:color="auto" w:fill="FFFFFF"/>
        </w:rPr>
        <w:t xml:space="preserve"> For Study 1, the comparators are healthy controls versus CD patients, and then for Study 2, the comparators are pre- versus post- samples for the CD patients in the dietary trial. </w:t>
      </w:r>
      <w:r w:rsidRPr="004E12A3">
        <w:rPr>
          <w:rFonts w:ascii="Times New Roman" w:hAnsi="Times New Roman" w:cs="Times New Roman"/>
          <w:color w:val="201F1E"/>
          <w:sz w:val="24"/>
          <w:szCs w:val="24"/>
          <w:bdr w:val="none" w:sz="0" w:space="0" w:color="auto" w:frame="1"/>
          <w:shd w:val="clear" w:color="auto" w:fill="FFFFFF"/>
        </w:rPr>
        <w:t xml:space="preserve"> Data </w:t>
      </w:r>
      <w:r>
        <w:rPr>
          <w:rFonts w:ascii="Times New Roman" w:hAnsi="Times New Roman" w:cs="Times New Roman"/>
          <w:color w:val="201F1E"/>
          <w:sz w:val="24"/>
          <w:szCs w:val="24"/>
          <w:bdr w:val="none" w:sz="0" w:space="0" w:color="auto" w:frame="1"/>
          <w:shd w:val="clear" w:color="auto" w:fill="FFFFFF"/>
        </w:rPr>
        <w:t xml:space="preserve">will be </w:t>
      </w:r>
      <w:r w:rsidRPr="004E12A3">
        <w:rPr>
          <w:rFonts w:ascii="Times New Roman" w:hAnsi="Times New Roman" w:cs="Times New Roman"/>
          <w:color w:val="201F1E"/>
          <w:sz w:val="24"/>
          <w:szCs w:val="24"/>
          <w:bdr w:val="none" w:sz="0" w:space="0" w:color="auto" w:frame="1"/>
          <w:shd w:val="clear" w:color="auto" w:fill="FFFFFF"/>
        </w:rPr>
        <w:t>analysed for normality of distribution using the D'Agostino &amp; Pearson test, where p&lt;0.05 indicate</w:t>
      </w:r>
      <w:r>
        <w:rPr>
          <w:rFonts w:ascii="Times New Roman" w:hAnsi="Times New Roman" w:cs="Times New Roman"/>
          <w:color w:val="201F1E"/>
          <w:sz w:val="24"/>
          <w:szCs w:val="24"/>
          <w:bdr w:val="none" w:sz="0" w:space="0" w:color="auto" w:frame="1"/>
          <w:shd w:val="clear" w:color="auto" w:fill="FFFFFF"/>
        </w:rPr>
        <w:t>s</w:t>
      </w:r>
      <w:r w:rsidRPr="004E12A3">
        <w:rPr>
          <w:rFonts w:ascii="Times New Roman" w:hAnsi="Times New Roman" w:cs="Times New Roman"/>
          <w:color w:val="201F1E"/>
          <w:sz w:val="24"/>
          <w:szCs w:val="24"/>
          <w:bdr w:val="none" w:sz="0" w:space="0" w:color="auto" w:frame="1"/>
          <w:shd w:val="clear" w:color="auto" w:fill="FFFFFF"/>
        </w:rPr>
        <w:t xml:space="preserve"> data that </w:t>
      </w:r>
      <w:r>
        <w:rPr>
          <w:rFonts w:ascii="Times New Roman" w:hAnsi="Times New Roman" w:cs="Times New Roman"/>
          <w:color w:val="201F1E"/>
          <w:sz w:val="24"/>
          <w:szCs w:val="24"/>
          <w:bdr w:val="none" w:sz="0" w:space="0" w:color="auto" w:frame="1"/>
          <w:shd w:val="clear" w:color="auto" w:fill="FFFFFF"/>
        </w:rPr>
        <w:t>is</w:t>
      </w:r>
      <w:r w:rsidRPr="004E12A3">
        <w:rPr>
          <w:rFonts w:ascii="Times New Roman" w:hAnsi="Times New Roman" w:cs="Times New Roman"/>
          <w:color w:val="201F1E"/>
          <w:sz w:val="24"/>
          <w:szCs w:val="24"/>
          <w:bdr w:val="none" w:sz="0" w:space="0" w:color="auto" w:frame="1"/>
          <w:shd w:val="clear" w:color="auto" w:fill="FFFFFF"/>
        </w:rPr>
        <w:t xml:space="preserve"> not normally distributed. The mean demographic characteristics of the </w:t>
      </w:r>
      <w:r>
        <w:rPr>
          <w:rFonts w:ascii="Times New Roman" w:hAnsi="Times New Roman" w:cs="Times New Roman"/>
          <w:color w:val="201F1E"/>
          <w:sz w:val="24"/>
          <w:szCs w:val="24"/>
          <w:bdr w:val="none" w:sz="0" w:space="0" w:color="auto" w:frame="1"/>
          <w:shd w:val="clear" w:color="auto" w:fill="FFFFFF"/>
        </w:rPr>
        <w:t>CD</w:t>
      </w:r>
      <w:r w:rsidRPr="004E12A3">
        <w:rPr>
          <w:rFonts w:ascii="Times New Roman" w:hAnsi="Times New Roman" w:cs="Times New Roman"/>
          <w:color w:val="201F1E"/>
          <w:sz w:val="24"/>
          <w:szCs w:val="24"/>
          <w:bdr w:val="none" w:sz="0" w:space="0" w:color="auto" w:frame="1"/>
          <w:shd w:val="clear" w:color="auto" w:fill="FFFFFF"/>
        </w:rPr>
        <w:t xml:space="preserve"> patients versus controls</w:t>
      </w:r>
      <w:r>
        <w:rPr>
          <w:rFonts w:ascii="Times New Roman" w:hAnsi="Times New Roman" w:cs="Times New Roman"/>
          <w:color w:val="201F1E"/>
          <w:sz w:val="24"/>
          <w:szCs w:val="24"/>
          <w:bdr w:val="none" w:sz="0" w:space="0" w:color="auto" w:frame="1"/>
          <w:shd w:val="clear" w:color="auto" w:fill="FFFFFF"/>
        </w:rPr>
        <w:t xml:space="preserve"> (Study 1) and pre- versus post- samples for CD patients in the dietary trial (Study 2)</w:t>
      </w:r>
      <w:r w:rsidRPr="004E12A3">
        <w:rPr>
          <w:rFonts w:ascii="Times New Roman" w:hAnsi="Times New Roman" w:cs="Times New Roman"/>
          <w:color w:val="201F1E"/>
          <w:sz w:val="24"/>
          <w:szCs w:val="24"/>
          <w:bdr w:val="none" w:sz="0" w:space="0" w:color="auto" w:frame="1"/>
          <w:shd w:val="clear" w:color="auto" w:fill="FFFFFF"/>
        </w:rPr>
        <w:t xml:space="preserve"> </w:t>
      </w:r>
      <w:r>
        <w:rPr>
          <w:rFonts w:ascii="Times New Roman" w:hAnsi="Times New Roman" w:cs="Times New Roman"/>
          <w:color w:val="201F1E"/>
          <w:sz w:val="24"/>
          <w:szCs w:val="24"/>
          <w:bdr w:val="none" w:sz="0" w:space="0" w:color="auto" w:frame="1"/>
          <w:shd w:val="clear" w:color="auto" w:fill="FFFFFF"/>
        </w:rPr>
        <w:t>will be</w:t>
      </w:r>
      <w:r w:rsidRPr="004E12A3">
        <w:rPr>
          <w:rFonts w:ascii="Times New Roman" w:hAnsi="Times New Roman" w:cs="Times New Roman"/>
          <w:color w:val="201F1E"/>
          <w:sz w:val="24"/>
          <w:szCs w:val="24"/>
          <w:bdr w:val="none" w:sz="0" w:space="0" w:color="auto" w:frame="1"/>
          <w:shd w:val="clear" w:color="auto" w:fill="FFFFFF"/>
        </w:rPr>
        <w:t xml:space="preserve"> analysed by parametric t tests where the data </w:t>
      </w:r>
      <w:r>
        <w:rPr>
          <w:rFonts w:ascii="Times New Roman" w:hAnsi="Times New Roman" w:cs="Times New Roman"/>
          <w:color w:val="201F1E"/>
          <w:sz w:val="24"/>
          <w:szCs w:val="24"/>
          <w:bdr w:val="none" w:sz="0" w:space="0" w:color="auto" w:frame="1"/>
          <w:shd w:val="clear" w:color="auto" w:fill="FFFFFF"/>
        </w:rPr>
        <w:t>is</w:t>
      </w:r>
      <w:r w:rsidRPr="004E12A3">
        <w:rPr>
          <w:rFonts w:ascii="Times New Roman" w:hAnsi="Times New Roman" w:cs="Times New Roman"/>
          <w:color w:val="201F1E"/>
          <w:sz w:val="24"/>
          <w:szCs w:val="24"/>
          <w:bdr w:val="none" w:sz="0" w:space="0" w:color="auto" w:frame="1"/>
          <w:shd w:val="clear" w:color="auto" w:fill="FFFFFF"/>
        </w:rPr>
        <w:t xml:space="preserve"> normally distributed and by the equivalent nonparametric t test where the distribution </w:t>
      </w:r>
      <w:r>
        <w:rPr>
          <w:rFonts w:ascii="Times New Roman" w:hAnsi="Times New Roman" w:cs="Times New Roman"/>
          <w:color w:val="201F1E"/>
          <w:sz w:val="24"/>
          <w:szCs w:val="24"/>
          <w:bdr w:val="none" w:sz="0" w:space="0" w:color="auto" w:frame="1"/>
          <w:shd w:val="clear" w:color="auto" w:fill="FFFFFF"/>
        </w:rPr>
        <w:t>is</w:t>
      </w:r>
      <w:r w:rsidRPr="004E12A3">
        <w:rPr>
          <w:rFonts w:ascii="Times New Roman" w:hAnsi="Times New Roman" w:cs="Times New Roman"/>
          <w:color w:val="201F1E"/>
          <w:sz w:val="24"/>
          <w:szCs w:val="24"/>
          <w:bdr w:val="none" w:sz="0" w:space="0" w:color="auto" w:frame="1"/>
          <w:shd w:val="clear" w:color="auto" w:fill="FFFFFF"/>
        </w:rPr>
        <w:t xml:space="preserve"> not normal. This cohort data </w:t>
      </w:r>
      <w:r>
        <w:rPr>
          <w:rFonts w:ascii="Times New Roman" w:hAnsi="Times New Roman" w:cs="Times New Roman"/>
          <w:color w:val="201F1E"/>
          <w:sz w:val="24"/>
          <w:szCs w:val="24"/>
          <w:bdr w:val="none" w:sz="0" w:space="0" w:color="auto" w:frame="1"/>
          <w:shd w:val="clear" w:color="auto" w:fill="FFFFFF"/>
        </w:rPr>
        <w:t xml:space="preserve">will be </w:t>
      </w:r>
      <w:r w:rsidRPr="004E12A3">
        <w:rPr>
          <w:rFonts w:ascii="Times New Roman" w:hAnsi="Times New Roman" w:cs="Times New Roman"/>
          <w:color w:val="201F1E"/>
          <w:sz w:val="24"/>
          <w:szCs w:val="24"/>
          <w:bdr w:val="none" w:sz="0" w:space="0" w:color="auto" w:frame="1"/>
          <w:shd w:val="clear" w:color="auto" w:fill="FFFFFF"/>
        </w:rPr>
        <w:t>presented as mean</w:t>
      </w:r>
      <w:r>
        <w:rPr>
          <w:rFonts w:ascii="Times New Roman" w:hAnsi="Times New Roman" w:cs="Times New Roman"/>
          <w:color w:val="201F1E"/>
          <w:sz w:val="24"/>
          <w:szCs w:val="24"/>
          <w:bdr w:val="none" w:sz="0" w:space="0" w:color="auto" w:frame="1"/>
          <w:shd w:val="clear" w:color="auto" w:fill="FFFFFF"/>
        </w:rPr>
        <w:t xml:space="preserve"> standard deviation</w:t>
      </w:r>
      <w:r w:rsidRPr="004E12A3">
        <w:rPr>
          <w:rFonts w:ascii="Times New Roman" w:hAnsi="Times New Roman" w:cs="Times New Roman"/>
          <w:color w:val="201F1E"/>
          <w:sz w:val="24"/>
          <w:szCs w:val="24"/>
          <w:bdr w:val="none" w:sz="0" w:space="0" w:color="auto" w:frame="1"/>
          <w:shd w:val="clear" w:color="auto" w:fill="FFFFFF"/>
        </w:rPr>
        <w:t> </w:t>
      </w:r>
      <w:r>
        <w:rPr>
          <w:rFonts w:ascii="Times New Roman" w:hAnsi="Times New Roman" w:cs="Times New Roman"/>
          <w:color w:val="201F1E"/>
          <w:sz w:val="24"/>
          <w:szCs w:val="24"/>
          <w:bdr w:val="none" w:sz="0" w:space="0" w:color="auto" w:frame="1"/>
          <w:shd w:val="clear" w:color="auto" w:fill="FFFFFF"/>
        </w:rPr>
        <w:t>(</w:t>
      </w:r>
      <w:r w:rsidRPr="004E12A3">
        <w:rPr>
          <w:rFonts w:ascii="Times New Roman" w:hAnsi="Times New Roman" w:cs="Times New Roman"/>
          <w:color w:val="201F1E"/>
          <w:sz w:val="24"/>
          <w:szCs w:val="24"/>
          <w:bdr w:val="none" w:sz="0" w:space="0" w:color="auto" w:frame="1"/>
          <w:shd w:val="clear" w:color="auto" w:fill="FFFFFF"/>
        </w:rPr>
        <w:t>SD</w:t>
      </w:r>
      <w:r>
        <w:rPr>
          <w:rFonts w:ascii="Times New Roman" w:hAnsi="Times New Roman" w:cs="Times New Roman"/>
          <w:color w:val="201F1E"/>
          <w:sz w:val="24"/>
          <w:szCs w:val="24"/>
          <w:bdr w:val="none" w:sz="0" w:space="0" w:color="auto" w:frame="1"/>
          <w:shd w:val="clear" w:color="auto" w:fill="FFFFFF"/>
        </w:rPr>
        <w:t>)</w:t>
      </w:r>
      <w:r w:rsidRPr="004E12A3">
        <w:rPr>
          <w:rFonts w:ascii="Times New Roman" w:hAnsi="Times New Roman" w:cs="Times New Roman"/>
          <w:color w:val="201F1E"/>
          <w:sz w:val="24"/>
          <w:szCs w:val="24"/>
          <w:bdr w:val="none" w:sz="0" w:space="0" w:color="auto" w:frame="1"/>
          <w:shd w:val="clear" w:color="auto" w:fill="FFFFFF"/>
        </w:rPr>
        <w:t xml:space="preserve"> and p&lt;0.05 </w:t>
      </w:r>
      <w:r>
        <w:rPr>
          <w:rFonts w:ascii="Times New Roman" w:hAnsi="Times New Roman" w:cs="Times New Roman"/>
          <w:color w:val="201F1E"/>
          <w:sz w:val="24"/>
          <w:szCs w:val="24"/>
          <w:bdr w:val="none" w:sz="0" w:space="0" w:color="auto" w:frame="1"/>
          <w:shd w:val="clear" w:color="auto" w:fill="FFFFFF"/>
        </w:rPr>
        <w:t>will be</w:t>
      </w:r>
      <w:r w:rsidRPr="004E12A3">
        <w:rPr>
          <w:rFonts w:ascii="Times New Roman" w:hAnsi="Times New Roman" w:cs="Times New Roman"/>
          <w:color w:val="201F1E"/>
          <w:sz w:val="24"/>
          <w:szCs w:val="24"/>
          <w:bdr w:val="none" w:sz="0" w:space="0" w:color="auto" w:frame="1"/>
          <w:shd w:val="clear" w:color="auto" w:fill="FFFFFF"/>
        </w:rPr>
        <w:t xml:space="preserve"> considered significant. Fisher’s exact test </w:t>
      </w:r>
      <w:r>
        <w:rPr>
          <w:rFonts w:ascii="Times New Roman" w:hAnsi="Times New Roman" w:cs="Times New Roman"/>
          <w:color w:val="201F1E"/>
          <w:sz w:val="24"/>
          <w:szCs w:val="24"/>
          <w:bdr w:val="none" w:sz="0" w:space="0" w:color="auto" w:frame="1"/>
          <w:shd w:val="clear" w:color="auto" w:fill="FFFFFF"/>
        </w:rPr>
        <w:t>will be</w:t>
      </w:r>
      <w:r w:rsidRPr="004E12A3">
        <w:rPr>
          <w:rFonts w:ascii="Times New Roman" w:hAnsi="Times New Roman" w:cs="Times New Roman"/>
          <w:color w:val="201F1E"/>
          <w:sz w:val="24"/>
          <w:szCs w:val="24"/>
          <w:bdr w:val="none" w:sz="0" w:space="0" w:color="auto" w:frame="1"/>
          <w:shd w:val="clear" w:color="auto" w:fill="FFFFFF"/>
        </w:rPr>
        <w:t xml:space="preserve"> used to analyse potential effects of co-morbidities and confounders between the</w:t>
      </w:r>
      <w:r>
        <w:rPr>
          <w:rFonts w:ascii="Times New Roman" w:hAnsi="Times New Roman" w:cs="Times New Roman"/>
          <w:color w:val="201F1E"/>
          <w:sz w:val="24"/>
          <w:szCs w:val="24"/>
          <w:bdr w:val="none" w:sz="0" w:space="0" w:color="auto" w:frame="1"/>
          <w:shd w:val="clear" w:color="auto" w:fill="FFFFFF"/>
        </w:rPr>
        <w:t xml:space="preserve"> comparators in Study 1 and in Study 2</w:t>
      </w:r>
      <w:r w:rsidRPr="004E12A3">
        <w:rPr>
          <w:rFonts w:ascii="Times New Roman" w:hAnsi="Times New Roman" w:cs="Times New Roman"/>
          <w:color w:val="201F1E"/>
          <w:sz w:val="24"/>
          <w:szCs w:val="24"/>
          <w:bdr w:val="none" w:sz="0" w:space="0" w:color="auto" w:frame="1"/>
          <w:shd w:val="clear" w:color="auto" w:fill="FFFFFF"/>
        </w:rPr>
        <w:t xml:space="preserve">, as well as between </w:t>
      </w:r>
      <w:r>
        <w:rPr>
          <w:rFonts w:ascii="Times New Roman" w:hAnsi="Times New Roman" w:cs="Times New Roman"/>
          <w:color w:val="201F1E"/>
          <w:sz w:val="24"/>
          <w:szCs w:val="24"/>
          <w:bdr w:val="none" w:sz="0" w:space="0" w:color="auto" w:frame="1"/>
          <w:shd w:val="clear" w:color="auto" w:fill="FFFFFF"/>
        </w:rPr>
        <w:t>CD</w:t>
      </w:r>
      <w:r w:rsidRPr="004E12A3">
        <w:rPr>
          <w:rFonts w:ascii="Times New Roman" w:hAnsi="Times New Roman" w:cs="Times New Roman"/>
          <w:color w:val="201F1E"/>
          <w:sz w:val="24"/>
          <w:szCs w:val="24"/>
          <w:bdr w:val="none" w:sz="0" w:space="0" w:color="auto" w:frame="1"/>
          <w:shd w:val="clear" w:color="auto" w:fill="FFFFFF"/>
        </w:rPr>
        <w:t xml:space="preserve"> patients identified as sero-positive and those identified as</w:t>
      </w:r>
      <w:r w:rsidRPr="004E12A3">
        <w:rPr>
          <w:rFonts w:ascii="Times New Roman" w:hAnsi="Times New Roman" w:cs="Times New Roman"/>
          <w:color w:val="201F1E"/>
          <w:sz w:val="24"/>
          <w:szCs w:val="24"/>
          <w:shd w:val="clear" w:color="auto" w:fill="FFFFFF"/>
        </w:rPr>
        <w:t> </w:t>
      </w:r>
      <w:r w:rsidRPr="004E12A3">
        <w:rPr>
          <w:rFonts w:ascii="Times New Roman" w:hAnsi="Times New Roman" w:cs="Times New Roman"/>
          <w:color w:val="201F1E"/>
          <w:sz w:val="24"/>
          <w:szCs w:val="24"/>
          <w:bdr w:val="none" w:sz="0" w:space="0" w:color="auto" w:frame="1"/>
          <w:shd w:val="clear" w:color="auto" w:fill="FFFFFF"/>
        </w:rPr>
        <w:t xml:space="preserve">sero-negative. This data </w:t>
      </w:r>
      <w:r>
        <w:rPr>
          <w:rFonts w:ascii="Times New Roman" w:hAnsi="Times New Roman" w:cs="Times New Roman"/>
          <w:color w:val="201F1E"/>
          <w:sz w:val="24"/>
          <w:szCs w:val="24"/>
          <w:bdr w:val="none" w:sz="0" w:space="0" w:color="auto" w:frame="1"/>
          <w:shd w:val="clear" w:color="auto" w:fill="FFFFFF"/>
        </w:rPr>
        <w:t>will be</w:t>
      </w:r>
      <w:r w:rsidRPr="004E12A3">
        <w:rPr>
          <w:rFonts w:ascii="Times New Roman" w:hAnsi="Times New Roman" w:cs="Times New Roman"/>
          <w:color w:val="201F1E"/>
          <w:sz w:val="24"/>
          <w:szCs w:val="24"/>
          <w:bdr w:val="none" w:sz="0" w:space="0" w:color="auto" w:frame="1"/>
          <w:shd w:val="clear" w:color="auto" w:fill="FFFFFF"/>
        </w:rPr>
        <w:t xml:space="preserve"> presented as percentage of total cohort positive for tested variable and p&lt;0.05 </w:t>
      </w:r>
      <w:r>
        <w:rPr>
          <w:rFonts w:ascii="Times New Roman" w:hAnsi="Times New Roman" w:cs="Times New Roman"/>
          <w:color w:val="201F1E"/>
          <w:sz w:val="24"/>
          <w:szCs w:val="24"/>
          <w:bdr w:val="none" w:sz="0" w:space="0" w:color="auto" w:frame="1"/>
          <w:shd w:val="clear" w:color="auto" w:fill="FFFFFF"/>
        </w:rPr>
        <w:t>will be</w:t>
      </w:r>
      <w:r w:rsidRPr="004E12A3">
        <w:rPr>
          <w:rFonts w:ascii="Times New Roman" w:hAnsi="Times New Roman" w:cs="Times New Roman"/>
          <w:color w:val="201F1E"/>
          <w:sz w:val="24"/>
          <w:szCs w:val="24"/>
          <w:bdr w:val="none" w:sz="0" w:space="0" w:color="auto" w:frame="1"/>
          <w:shd w:val="clear" w:color="auto" w:fill="FFFFFF"/>
        </w:rPr>
        <w:t xml:space="preserve"> considered significant. Relationships between the presence or absence of a sero</w:t>
      </w:r>
      <w:r w:rsidR="00035CCE">
        <w:rPr>
          <w:rFonts w:ascii="Times New Roman" w:hAnsi="Times New Roman" w:cs="Times New Roman"/>
          <w:color w:val="201F1E"/>
          <w:sz w:val="24"/>
          <w:szCs w:val="24"/>
          <w:bdr w:val="none" w:sz="0" w:space="0" w:color="auto" w:frame="1"/>
          <w:shd w:val="clear" w:color="auto" w:fill="FFFFFF"/>
        </w:rPr>
        <w:t>-</w:t>
      </w:r>
      <w:r w:rsidRPr="004E12A3">
        <w:rPr>
          <w:rFonts w:ascii="Times New Roman" w:hAnsi="Times New Roman" w:cs="Times New Roman"/>
          <w:color w:val="201F1E"/>
          <w:sz w:val="24"/>
          <w:szCs w:val="24"/>
          <w:bdr w:val="none" w:sz="0" w:space="0" w:color="auto" w:frame="1"/>
          <w:shd w:val="clear" w:color="auto" w:fill="FFFFFF"/>
        </w:rPr>
        <w:t>reactive response between</w:t>
      </w:r>
      <w:r>
        <w:rPr>
          <w:rFonts w:ascii="Times New Roman" w:hAnsi="Times New Roman" w:cs="Times New Roman"/>
          <w:color w:val="201F1E"/>
          <w:sz w:val="24"/>
          <w:szCs w:val="24"/>
          <w:bdr w:val="none" w:sz="0" w:space="0" w:color="auto" w:frame="1"/>
          <w:shd w:val="clear" w:color="auto" w:fill="FFFFFF"/>
        </w:rPr>
        <w:t xml:space="preserve"> the comparators in</w:t>
      </w:r>
      <w:r w:rsidRPr="004E12A3">
        <w:rPr>
          <w:rFonts w:ascii="Times New Roman" w:hAnsi="Times New Roman" w:cs="Times New Roman"/>
          <w:color w:val="201F1E"/>
          <w:sz w:val="24"/>
          <w:szCs w:val="24"/>
          <w:bdr w:val="none" w:sz="0" w:space="0" w:color="auto" w:frame="1"/>
          <w:shd w:val="clear" w:color="auto" w:fill="FFFFFF"/>
        </w:rPr>
        <w:t xml:space="preserve"> </w:t>
      </w:r>
      <w:r>
        <w:rPr>
          <w:rFonts w:ascii="Times New Roman" w:hAnsi="Times New Roman" w:cs="Times New Roman"/>
          <w:color w:val="201F1E"/>
          <w:sz w:val="24"/>
          <w:szCs w:val="24"/>
          <w:bdr w:val="none" w:sz="0" w:space="0" w:color="auto" w:frame="1"/>
          <w:shd w:val="clear" w:color="auto" w:fill="FFFFFF"/>
        </w:rPr>
        <w:t>Study 1 and Study 2 will be</w:t>
      </w:r>
      <w:r w:rsidRPr="004E12A3">
        <w:rPr>
          <w:rFonts w:ascii="Times New Roman" w:hAnsi="Times New Roman" w:cs="Times New Roman"/>
          <w:color w:val="201F1E"/>
          <w:sz w:val="24"/>
          <w:szCs w:val="24"/>
          <w:bdr w:val="none" w:sz="0" w:space="0" w:color="auto" w:frame="1"/>
          <w:shd w:val="clear" w:color="auto" w:fill="FFFFFF"/>
        </w:rPr>
        <w:t xml:space="preserve"> analysed by Chi-square testing. This data </w:t>
      </w:r>
      <w:r>
        <w:rPr>
          <w:rFonts w:ascii="Times New Roman" w:hAnsi="Times New Roman" w:cs="Times New Roman"/>
          <w:color w:val="201F1E"/>
          <w:sz w:val="24"/>
          <w:szCs w:val="24"/>
          <w:bdr w:val="none" w:sz="0" w:space="0" w:color="auto" w:frame="1"/>
          <w:shd w:val="clear" w:color="auto" w:fill="FFFFFF"/>
        </w:rPr>
        <w:t>will be</w:t>
      </w:r>
      <w:r w:rsidRPr="004E12A3">
        <w:rPr>
          <w:rFonts w:ascii="Times New Roman" w:hAnsi="Times New Roman" w:cs="Times New Roman"/>
          <w:color w:val="201F1E"/>
          <w:sz w:val="24"/>
          <w:szCs w:val="24"/>
          <w:bdr w:val="none" w:sz="0" w:space="0" w:color="auto" w:frame="1"/>
          <w:shd w:val="clear" w:color="auto" w:fill="FFFFFF"/>
        </w:rPr>
        <w:t xml:space="preserve"> presented as percentage of total cohort positive for tested variable and p&lt;0.05 </w:t>
      </w:r>
      <w:r>
        <w:rPr>
          <w:rFonts w:ascii="Times New Roman" w:hAnsi="Times New Roman" w:cs="Times New Roman"/>
          <w:color w:val="201F1E"/>
          <w:sz w:val="24"/>
          <w:szCs w:val="24"/>
          <w:bdr w:val="none" w:sz="0" w:space="0" w:color="auto" w:frame="1"/>
          <w:shd w:val="clear" w:color="auto" w:fill="FFFFFF"/>
        </w:rPr>
        <w:t>will be</w:t>
      </w:r>
      <w:r w:rsidRPr="004E12A3">
        <w:rPr>
          <w:rFonts w:ascii="Times New Roman" w:hAnsi="Times New Roman" w:cs="Times New Roman"/>
          <w:color w:val="201F1E"/>
          <w:sz w:val="24"/>
          <w:szCs w:val="24"/>
          <w:bdr w:val="none" w:sz="0" w:space="0" w:color="auto" w:frame="1"/>
          <w:shd w:val="clear" w:color="auto" w:fill="FFFFFF"/>
        </w:rPr>
        <w:t xml:space="preserve"> considered significant. Potential associations between seroreactivity status and </w:t>
      </w:r>
      <w:r w:rsidRPr="004E12A3">
        <w:rPr>
          <w:rFonts w:ascii="Times New Roman" w:hAnsi="Times New Roman" w:cs="Times New Roman"/>
          <w:color w:val="201F1E"/>
          <w:sz w:val="24"/>
          <w:szCs w:val="24"/>
          <w:bdr w:val="none" w:sz="0" w:space="0" w:color="auto" w:frame="1"/>
          <w:shd w:val="clear" w:color="auto" w:fill="FFFFFF"/>
        </w:rPr>
        <w:lastRenderedPageBreak/>
        <w:t xml:space="preserve">other immune parameters </w:t>
      </w:r>
      <w:r>
        <w:rPr>
          <w:rFonts w:ascii="Times New Roman" w:hAnsi="Times New Roman" w:cs="Times New Roman"/>
          <w:color w:val="201F1E"/>
          <w:sz w:val="24"/>
          <w:szCs w:val="24"/>
          <w:bdr w:val="none" w:sz="0" w:space="0" w:color="auto" w:frame="1"/>
          <w:shd w:val="clear" w:color="auto" w:fill="FFFFFF"/>
        </w:rPr>
        <w:t>will be</w:t>
      </w:r>
      <w:r w:rsidRPr="004E12A3">
        <w:rPr>
          <w:rFonts w:ascii="Times New Roman" w:hAnsi="Times New Roman" w:cs="Times New Roman"/>
          <w:color w:val="201F1E"/>
          <w:sz w:val="24"/>
          <w:szCs w:val="24"/>
          <w:bdr w:val="none" w:sz="0" w:space="0" w:color="auto" w:frame="1"/>
          <w:shd w:val="clear" w:color="auto" w:fill="FFFFFF"/>
        </w:rPr>
        <w:t xml:space="preserve"> evaluated by ordinary one-way ANOVA for normally distributed datasets, while nonparametric ANOVA (Kruskal-Wallis test) with Dunn’s multiple comparisons testing </w:t>
      </w:r>
      <w:r>
        <w:rPr>
          <w:rFonts w:ascii="Times New Roman" w:hAnsi="Times New Roman" w:cs="Times New Roman"/>
          <w:color w:val="201F1E"/>
          <w:sz w:val="24"/>
          <w:szCs w:val="24"/>
          <w:bdr w:val="none" w:sz="0" w:space="0" w:color="auto" w:frame="1"/>
          <w:shd w:val="clear" w:color="auto" w:fill="FFFFFF"/>
        </w:rPr>
        <w:t>will be</w:t>
      </w:r>
      <w:r w:rsidRPr="004E12A3">
        <w:rPr>
          <w:rFonts w:ascii="Times New Roman" w:hAnsi="Times New Roman" w:cs="Times New Roman"/>
          <w:color w:val="201F1E"/>
          <w:sz w:val="24"/>
          <w:szCs w:val="24"/>
          <w:bdr w:val="none" w:sz="0" w:space="0" w:color="auto" w:frame="1"/>
          <w:shd w:val="clear" w:color="auto" w:fill="FFFFFF"/>
        </w:rPr>
        <w:t xml:space="preserve"> used for data without a normal distribution. This cohort data </w:t>
      </w:r>
      <w:r>
        <w:rPr>
          <w:rFonts w:ascii="Times New Roman" w:hAnsi="Times New Roman" w:cs="Times New Roman"/>
          <w:color w:val="201F1E"/>
          <w:sz w:val="24"/>
          <w:szCs w:val="24"/>
          <w:bdr w:val="none" w:sz="0" w:space="0" w:color="auto" w:frame="1"/>
          <w:shd w:val="clear" w:color="auto" w:fill="FFFFFF"/>
        </w:rPr>
        <w:t>will be</w:t>
      </w:r>
      <w:r w:rsidRPr="004E12A3">
        <w:rPr>
          <w:rFonts w:ascii="Times New Roman" w:hAnsi="Times New Roman" w:cs="Times New Roman"/>
          <w:color w:val="201F1E"/>
          <w:sz w:val="24"/>
          <w:szCs w:val="24"/>
          <w:bdr w:val="none" w:sz="0" w:space="0" w:color="auto" w:frame="1"/>
          <w:shd w:val="clear" w:color="auto" w:fill="FFFFFF"/>
        </w:rPr>
        <w:t xml:space="preserve"> presented as mean</w:t>
      </w:r>
      <w:r>
        <w:rPr>
          <w:rFonts w:ascii="Times New Roman" w:hAnsi="Times New Roman" w:cs="Times New Roman"/>
          <w:color w:val="201F1E"/>
          <w:sz w:val="24"/>
          <w:szCs w:val="24"/>
          <w:bdr w:val="none" w:sz="0" w:space="0" w:color="auto" w:frame="1"/>
          <w:shd w:val="clear" w:color="auto" w:fill="FFFFFF"/>
        </w:rPr>
        <w:t xml:space="preserve"> standard error of the mean (</w:t>
      </w:r>
      <w:r w:rsidRPr="004E12A3">
        <w:rPr>
          <w:rFonts w:ascii="Times New Roman" w:hAnsi="Times New Roman" w:cs="Times New Roman"/>
          <w:color w:val="201F1E"/>
          <w:sz w:val="24"/>
          <w:szCs w:val="24"/>
          <w:bdr w:val="none" w:sz="0" w:space="0" w:color="auto" w:frame="1"/>
          <w:shd w:val="clear" w:color="auto" w:fill="FFFFFF"/>
        </w:rPr>
        <w:t>SEM</w:t>
      </w:r>
      <w:r>
        <w:rPr>
          <w:rFonts w:ascii="Times New Roman" w:hAnsi="Times New Roman" w:cs="Times New Roman"/>
          <w:color w:val="201F1E"/>
          <w:sz w:val="24"/>
          <w:szCs w:val="24"/>
          <w:bdr w:val="none" w:sz="0" w:space="0" w:color="auto" w:frame="1"/>
          <w:shd w:val="clear" w:color="auto" w:fill="FFFFFF"/>
        </w:rPr>
        <w:t>)</w:t>
      </w:r>
      <w:r w:rsidRPr="004E12A3">
        <w:rPr>
          <w:rFonts w:ascii="Times New Roman" w:hAnsi="Times New Roman" w:cs="Times New Roman"/>
          <w:color w:val="201F1E"/>
          <w:sz w:val="24"/>
          <w:szCs w:val="24"/>
          <w:bdr w:val="none" w:sz="0" w:space="0" w:color="auto" w:frame="1"/>
          <w:shd w:val="clear" w:color="auto" w:fill="FFFFFF"/>
        </w:rPr>
        <w:t xml:space="preserve"> and p&lt;0.05 </w:t>
      </w:r>
      <w:r>
        <w:rPr>
          <w:rFonts w:ascii="Times New Roman" w:hAnsi="Times New Roman" w:cs="Times New Roman"/>
          <w:color w:val="201F1E"/>
          <w:sz w:val="24"/>
          <w:szCs w:val="24"/>
          <w:bdr w:val="none" w:sz="0" w:space="0" w:color="auto" w:frame="1"/>
          <w:shd w:val="clear" w:color="auto" w:fill="FFFFFF"/>
        </w:rPr>
        <w:t>will be</w:t>
      </w:r>
      <w:r w:rsidRPr="004E12A3">
        <w:rPr>
          <w:rFonts w:ascii="Times New Roman" w:hAnsi="Times New Roman" w:cs="Times New Roman"/>
          <w:color w:val="201F1E"/>
          <w:sz w:val="24"/>
          <w:szCs w:val="24"/>
          <w:bdr w:val="none" w:sz="0" w:space="0" w:color="auto" w:frame="1"/>
          <w:shd w:val="clear" w:color="auto" w:fill="FFFFFF"/>
        </w:rPr>
        <w:t xml:space="preserve"> considered significant.</w:t>
      </w:r>
      <w:r w:rsidR="008D5FEF">
        <w:rPr>
          <w:rFonts w:ascii="Times New Roman" w:hAnsi="Times New Roman" w:cs="Times New Roman"/>
          <w:color w:val="201F1E"/>
          <w:sz w:val="24"/>
          <w:szCs w:val="24"/>
          <w:bdr w:val="none" w:sz="0" w:space="0" w:color="auto" w:frame="1"/>
          <w:shd w:val="clear" w:color="auto" w:fill="FFFFFF"/>
        </w:rPr>
        <w:t xml:space="preserve"> </w:t>
      </w:r>
    </w:p>
    <w:p w14:paraId="71FAB1E7" w14:textId="3987F037" w:rsidR="008D5FEF" w:rsidRDefault="008D5FEF" w:rsidP="00BF02D6">
      <w:pPr>
        <w:spacing w:line="480" w:lineRule="auto"/>
        <w:jc w:val="both"/>
        <w:rPr>
          <w:rFonts w:ascii="Times New Roman" w:hAnsi="Times New Roman" w:cs="Times New Roman"/>
          <w:color w:val="201F1E"/>
          <w:sz w:val="24"/>
          <w:szCs w:val="24"/>
          <w:bdr w:val="none" w:sz="0" w:space="0" w:color="auto" w:frame="1"/>
          <w:shd w:val="clear" w:color="auto" w:fill="FFFFFF"/>
        </w:rPr>
      </w:pPr>
    </w:p>
    <w:p w14:paraId="2F174D37" w14:textId="5774414F" w:rsidR="008D5FEF" w:rsidRDefault="008D5FEF" w:rsidP="008D5FEF">
      <w:pPr>
        <w:pStyle w:val="Heading1"/>
        <w:rPr>
          <w:bdr w:val="none" w:sz="0" w:space="0" w:color="auto" w:frame="1"/>
          <w:shd w:val="clear" w:color="auto" w:fill="FFFFFF"/>
        </w:rPr>
      </w:pPr>
      <w:r>
        <w:rPr>
          <w:bdr w:val="none" w:sz="0" w:space="0" w:color="auto" w:frame="1"/>
          <w:shd w:val="clear" w:color="auto" w:fill="FFFFFF"/>
        </w:rPr>
        <w:t>11. DATA MANAGEMENT</w:t>
      </w:r>
    </w:p>
    <w:p w14:paraId="548FAF7E" w14:textId="77777777" w:rsidR="008D5FEF" w:rsidRDefault="008D5FEF" w:rsidP="008D5FEF">
      <w:pPr>
        <w:spacing w:line="480" w:lineRule="auto"/>
        <w:jc w:val="both"/>
        <w:rPr>
          <w:rFonts w:ascii="Times New Roman" w:hAnsi="Times New Roman" w:cs="Times New Roman"/>
          <w:sz w:val="24"/>
          <w:szCs w:val="24"/>
          <w:lang w:val="en-US"/>
        </w:rPr>
      </w:pPr>
      <w:r w:rsidRPr="000745DA">
        <w:rPr>
          <w:rFonts w:ascii="Times New Roman" w:hAnsi="Times New Roman" w:cs="Times New Roman"/>
          <w:sz w:val="24"/>
          <w:szCs w:val="24"/>
          <w:lang w:val="en-US"/>
        </w:rPr>
        <w:t xml:space="preserve">All data </w:t>
      </w:r>
      <w:r>
        <w:rPr>
          <w:rFonts w:ascii="Times New Roman" w:hAnsi="Times New Roman" w:cs="Times New Roman"/>
          <w:sz w:val="24"/>
          <w:szCs w:val="24"/>
          <w:lang w:val="en-US"/>
        </w:rPr>
        <w:t>will be deidentified and names and re-identifiable data will be kept in a separate database accessed only by team members named on the ethics application. All information in this study will be kept strictly confidential and in accordance with NSW privacy laws. All information included from the participants including survey data or medical records will have been consented for use by the participant. Any research projects utilising data collected by the DHB will have been approved by a human research ethics committee.</w:t>
      </w:r>
    </w:p>
    <w:p w14:paraId="274C641E" w14:textId="77777777" w:rsidR="008D5FEF" w:rsidRDefault="008D5FEF" w:rsidP="008D5FE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Biological samples will be stored indefinitely or until they are used in research or until quality checks show they have deteriorated and are no longer suitable for research, in which case the samples will be handled according to human tissue disposal regulations. Associated data will be deleted. The stored biological samples will be coded with a unique number and therefore be re-identifiable. It may be possible for participants to request their samples be destroyed if they wish to withdraw by contacting the DHB manager. </w:t>
      </w:r>
    </w:p>
    <w:p w14:paraId="0FC2B382" w14:textId="21FA65E4" w:rsidR="00BF02D6" w:rsidRPr="008D5FEF" w:rsidRDefault="008D5FEF" w:rsidP="00BF02D6">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All data collected will be stored in a password-protected program REDCap on a password-protected University of Newcastle computer. Only investigators involved in the project will have access to raw data. Data/information that has consent from participant to be stored in the DHB for future use will be stored under biobank storage protocols. Any other data will be stored in REDCap for five years, then destroyed.</w:t>
      </w:r>
    </w:p>
    <w:p w14:paraId="3B6D42AA" w14:textId="4EFEA2C6" w:rsidR="00BF02D6" w:rsidRPr="00715A92" w:rsidRDefault="00C74D00" w:rsidP="002D06BE">
      <w:pPr>
        <w:pStyle w:val="Heading1"/>
      </w:pPr>
      <w:r>
        <w:lastRenderedPageBreak/>
        <w:t>1</w:t>
      </w:r>
      <w:r w:rsidR="008D5FEF">
        <w:t>2</w:t>
      </w:r>
      <w:r>
        <w:t xml:space="preserve">. </w:t>
      </w:r>
      <w:r w:rsidR="008D5FEF">
        <w:t>SAFETY</w:t>
      </w:r>
    </w:p>
    <w:p w14:paraId="69A355B0" w14:textId="77777777" w:rsidR="00BF02D6" w:rsidRDefault="00BF02D6" w:rsidP="00BF02D6">
      <w:pPr>
        <w:spacing w:line="480" w:lineRule="auto"/>
        <w:jc w:val="both"/>
        <w:rPr>
          <w:rFonts w:ascii="Times New Roman" w:hAnsi="Times New Roman" w:cs="Times New Roman"/>
          <w:sz w:val="24"/>
          <w:szCs w:val="24"/>
        </w:rPr>
      </w:pPr>
      <w:r>
        <w:rPr>
          <w:rFonts w:ascii="Times New Roman" w:hAnsi="Times New Roman" w:cs="Times New Roman"/>
          <w:sz w:val="24"/>
          <w:szCs w:val="24"/>
        </w:rPr>
        <w:t>Participants in this study will continue to be provided with routine medical care and treatment throughout the trial. Intervention and control group participants will all receive monthly dietetic counselling during the trial to ensure nutritional adequacy while adhering to the FEW-modified food exclusion diet. Participants will receive nutritional advice to follow a standardised healthy dietary pattern which emphasises a balanced intake of fruits, vegetables, and protein, with the intervention group also specifically limiting the consumption of animal-based fats, emulsifier-containing processed foods, and wheat, which are potential triggers of flares in CD patients. All other safety issues relate to routine care, with the study contributing no additional risk.</w:t>
      </w:r>
    </w:p>
    <w:p w14:paraId="3A1B2A4A" w14:textId="77777777" w:rsidR="00BF02D6" w:rsidRDefault="00BF02D6" w:rsidP="00BF02D6">
      <w:pPr>
        <w:spacing w:line="480" w:lineRule="auto"/>
        <w:jc w:val="both"/>
        <w:rPr>
          <w:rFonts w:ascii="Times New Roman" w:hAnsi="Times New Roman" w:cs="Times New Roman"/>
          <w:sz w:val="24"/>
          <w:szCs w:val="24"/>
        </w:rPr>
      </w:pPr>
      <w:r>
        <w:rPr>
          <w:rFonts w:ascii="Times New Roman" w:hAnsi="Times New Roman" w:cs="Times New Roman"/>
          <w:sz w:val="24"/>
          <w:szCs w:val="24"/>
        </w:rPr>
        <w:t>The plan for adverse event management is as follows:</w:t>
      </w:r>
    </w:p>
    <w:p w14:paraId="3F321B32" w14:textId="77777777" w:rsidR="00BF02D6" w:rsidRDefault="00BF02D6" w:rsidP="00BF02D6">
      <w:pPr>
        <w:pStyle w:val="ListParagraph"/>
        <w:numPr>
          <w:ilvl w:val="0"/>
          <w:numId w:val="19"/>
        </w:numPr>
        <w:spacing w:line="480" w:lineRule="auto"/>
        <w:jc w:val="both"/>
        <w:rPr>
          <w:rFonts w:ascii="Times New Roman" w:hAnsi="Times New Roman" w:cs="Times New Roman"/>
          <w:sz w:val="24"/>
          <w:szCs w:val="24"/>
        </w:rPr>
      </w:pPr>
      <w:r w:rsidRPr="00DB7DAE">
        <w:rPr>
          <w:rFonts w:ascii="Times New Roman" w:hAnsi="Times New Roman" w:cs="Times New Roman"/>
          <w:sz w:val="24"/>
          <w:szCs w:val="24"/>
        </w:rPr>
        <w:t>Laboratory: Adverse events are not expected because the challenge components relate to tissue and blood samples from human participants, not to the participants themselves. Standard procedures documents are covered under laboratory safety authorisation for all aspects of laboratory work.</w:t>
      </w:r>
    </w:p>
    <w:p w14:paraId="004A1D7E" w14:textId="77777777" w:rsidR="00BF02D6" w:rsidRPr="00DB7DAE" w:rsidRDefault="00BF02D6" w:rsidP="00BF02D6">
      <w:pPr>
        <w:pStyle w:val="ListParagraph"/>
        <w:spacing w:line="480" w:lineRule="auto"/>
        <w:jc w:val="both"/>
        <w:rPr>
          <w:rFonts w:ascii="Times New Roman" w:hAnsi="Times New Roman" w:cs="Times New Roman"/>
          <w:sz w:val="24"/>
          <w:szCs w:val="24"/>
        </w:rPr>
      </w:pPr>
    </w:p>
    <w:p w14:paraId="365A1376" w14:textId="77777777" w:rsidR="00BF02D6" w:rsidRPr="00DB7DAE" w:rsidRDefault="00BF02D6" w:rsidP="00BF02D6">
      <w:pPr>
        <w:pStyle w:val="ListParagraph"/>
        <w:numPr>
          <w:ilvl w:val="0"/>
          <w:numId w:val="19"/>
        </w:numPr>
        <w:spacing w:line="480" w:lineRule="auto"/>
        <w:jc w:val="both"/>
        <w:rPr>
          <w:rFonts w:ascii="Times New Roman" w:hAnsi="Times New Roman" w:cs="Times New Roman"/>
          <w:sz w:val="24"/>
          <w:szCs w:val="24"/>
        </w:rPr>
      </w:pPr>
      <w:r w:rsidRPr="00DB7DAE">
        <w:rPr>
          <w:rFonts w:ascii="Times New Roman" w:hAnsi="Times New Roman" w:cs="Times New Roman"/>
          <w:sz w:val="24"/>
          <w:szCs w:val="24"/>
        </w:rPr>
        <w:t>Dietary intervention: Adverse responses to the dietary trial are not expected due to removal of foods suspected to be associated with IBD flare. Nutrition Care processes by Accredited Practising Dietitian will be followed in the event of an adverse event, with referral to medical profession if indicated.</w:t>
      </w:r>
    </w:p>
    <w:p w14:paraId="38A9618C" w14:textId="77777777" w:rsidR="00BF02D6" w:rsidRPr="00DB7DAE" w:rsidRDefault="00BF02D6" w:rsidP="00BF02D6">
      <w:pPr>
        <w:pStyle w:val="ListParagraph"/>
        <w:spacing w:line="480" w:lineRule="auto"/>
        <w:jc w:val="both"/>
        <w:rPr>
          <w:rFonts w:ascii="Times New Roman" w:hAnsi="Times New Roman" w:cs="Times New Roman"/>
          <w:sz w:val="24"/>
          <w:szCs w:val="24"/>
        </w:rPr>
      </w:pPr>
    </w:p>
    <w:p w14:paraId="76705064" w14:textId="77777777" w:rsidR="00BC3865" w:rsidRDefault="00BF02D6" w:rsidP="00BF02D6">
      <w:pPr>
        <w:pStyle w:val="ListParagraph"/>
        <w:numPr>
          <w:ilvl w:val="0"/>
          <w:numId w:val="19"/>
        </w:numPr>
        <w:spacing w:line="480" w:lineRule="auto"/>
        <w:jc w:val="both"/>
        <w:rPr>
          <w:rFonts w:ascii="Times New Roman" w:hAnsi="Times New Roman" w:cs="Times New Roman"/>
          <w:sz w:val="24"/>
          <w:szCs w:val="24"/>
        </w:rPr>
      </w:pPr>
      <w:r w:rsidRPr="00DB7DAE">
        <w:rPr>
          <w:rFonts w:ascii="Times New Roman" w:hAnsi="Times New Roman" w:cs="Times New Roman"/>
          <w:sz w:val="24"/>
          <w:szCs w:val="24"/>
        </w:rPr>
        <w:t xml:space="preserve">Colonoscopy: There is a rare (less than one in 10,000 cases) risk of injury to the bowel wall that can require further procedures or even surgery to treat. This risk is slightly increased with an increased number of biopsies for research purposes. The gastroenterologists involved in this study have extensive experience in colonoscopy, </w:t>
      </w:r>
      <w:r w:rsidRPr="00DB7DAE">
        <w:rPr>
          <w:rFonts w:ascii="Times New Roman" w:hAnsi="Times New Roman" w:cs="Times New Roman"/>
          <w:sz w:val="24"/>
          <w:szCs w:val="24"/>
        </w:rPr>
        <w:lastRenderedPageBreak/>
        <w:t>but if any adverse events result from the procedure associated with this study, all the indicated clinical care procedures will be followed.</w:t>
      </w:r>
    </w:p>
    <w:p w14:paraId="4DC8F1DB" w14:textId="77777777" w:rsidR="00BC3865" w:rsidRPr="00BC3865" w:rsidRDefault="00BC3865" w:rsidP="00BC3865">
      <w:pPr>
        <w:pStyle w:val="ListParagraph"/>
        <w:rPr>
          <w:rFonts w:ascii="Times New Roman" w:hAnsi="Times New Roman" w:cs="Times New Roman"/>
          <w:b/>
          <w:bCs/>
          <w:sz w:val="24"/>
          <w:szCs w:val="24"/>
        </w:rPr>
      </w:pPr>
    </w:p>
    <w:p w14:paraId="638C9CD2" w14:textId="660F9E42" w:rsidR="00BF02D6" w:rsidRPr="00BC3865" w:rsidRDefault="00BC3865" w:rsidP="00BF02D6">
      <w:pPr>
        <w:pStyle w:val="ListParagraph"/>
        <w:numPr>
          <w:ilvl w:val="0"/>
          <w:numId w:val="19"/>
        </w:numPr>
        <w:spacing w:line="480" w:lineRule="auto"/>
        <w:jc w:val="both"/>
        <w:rPr>
          <w:rFonts w:ascii="Times New Roman" w:hAnsi="Times New Roman" w:cs="Times New Roman"/>
          <w:sz w:val="24"/>
          <w:szCs w:val="24"/>
        </w:rPr>
      </w:pPr>
      <w:r w:rsidRPr="00BC3865">
        <w:rPr>
          <w:rFonts w:ascii="Times New Roman" w:hAnsi="Times New Roman" w:cs="Times New Roman"/>
          <w:sz w:val="24"/>
          <w:szCs w:val="24"/>
        </w:rPr>
        <w:t xml:space="preserve">Dietary trial related adverse events: As </w:t>
      </w:r>
      <w:r>
        <w:rPr>
          <w:rFonts w:ascii="Times New Roman" w:hAnsi="Times New Roman" w:cs="Times New Roman"/>
          <w:sz w:val="24"/>
          <w:szCs w:val="24"/>
        </w:rPr>
        <w:t xml:space="preserve">standard IBD medical care will be provided in parallel with the trial, the JHH gastroenterology department and treating gastroenterologist will </w:t>
      </w:r>
      <w:r w:rsidRPr="00BC3865">
        <w:rPr>
          <w:rFonts w:ascii="Times New Roman" w:hAnsi="Times New Roman" w:cs="Times New Roman"/>
          <w:sz w:val="24"/>
          <w:szCs w:val="24"/>
        </w:rPr>
        <w:t>determine if adverse events (blood tests or disease</w:t>
      </w:r>
      <w:r>
        <w:rPr>
          <w:rFonts w:ascii="Times New Roman" w:hAnsi="Times New Roman" w:cs="Times New Roman"/>
          <w:sz w:val="24"/>
          <w:szCs w:val="24"/>
        </w:rPr>
        <w:t xml:space="preserve"> flare</w:t>
      </w:r>
      <w:r w:rsidRPr="00BC3865">
        <w:rPr>
          <w:rFonts w:ascii="Times New Roman" w:hAnsi="Times New Roman" w:cs="Times New Roman"/>
          <w:sz w:val="24"/>
          <w:szCs w:val="24"/>
        </w:rPr>
        <w:t xml:space="preserve">) are </w:t>
      </w:r>
      <w:r w:rsidRPr="00BC3865">
        <w:rPr>
          <w:rFonts w:ascii="Times New Roman" w:hAnsi="Times New Roman" w:cs="Times New Roman"/>
          <w:sz w:val="24"/>
          <w:szCs w:val="24"/>
        </w:rPr>
        <w:t>intervention</w:t>
      </w:r>
      <w:r>
        <w:rPr>
          <w:rFonts w:ascii="Times New Roman" w:hAnsi="Times New Roman" w:cs="Times New Roman"/>
          <w:sz w:val="24"/>
          <w:szCs w:val="24"/>
        </w:rPr>
        <w:t xml:space="preserve"> related.</w:t>
      </w:r>
      <w:bookmarkStart w:id="4" w:name="_GoBack"/>
      <w:bookmarkEnd w:id="4"/>
    </w:p>
    <w:p w14:paraId="246906D2" w14:textId="7FEDD8C0" w:rsidR="00BF02D6" w:rsidRPr="00715A92" w:rsidRDefault="00C74D00" w:rsidP="002D06BE">
      <w:pPr>
        <w:pStyle w:val="Heading1"/>
      </w:pPr>
      <w:r>
        <w:t>1</w:t>
      </w:r>
      <w:r w:rsidR="00962032">
        <w:t>3</w:t>
      </w:r>
      <w:r>
        <w:t xml:space="preserve">. </w:t>
      </w:r>
      <w:r w:rsidR="00BF02D6" w:rsidRPr="00091A73">
        <w:t>E</w:t>
      </w:r>
      <w:r w:rsidR="008D5FEF">
        <w:t>THICAL CONSIDERATIONS</w:t>
      </w:r>
      <w:r w:rsidR="00BF02D6" w:rsidRPr="00715A92">
        <w:t xml:space="preserve"> </w:t>
      </w:r>
    </w:p>
    <w:p w14:paraId="6C377AA8" w14:textId="77777777" w:rsidR="00BF02D6" w:rsidRDefault="00BF02D6" w:rsidP="00BF02D6">
      <w:pPr>
        <w:spacing w:line="480" w:lineRule="auto"/>
        <w:jc w:val="both"/>
        <w:rPr>
          <w:rFonts w:ascii="Times New Roman" w:hAnsi="Times New Roman" w:cs="Times New Roman"/>
          <w:sz w:val="24"/>
          <w:szCs w:val="24"/>
        </w:rPr>
      </w:pPr>
      <w:r>
        <w:rPr>
          <w:rFonts w:ascii="Times New Roman" w:hAnsi="Times New Roman" w:cs="Times New Roman"/>
          <w:sz w:val="24"/>
          <w:szCs w:val="24"/>
        </w:rPr>
        <w:t>Human biospecimens such as biopsies, blood, and stool, will be prospectively collected for research which may inflict burden, inconvenience, or harm upon the participants involved in the study. However, before biospecimens are collected, participants will be sufficiently informed about what their biospecimens will be used for and proper consent will be sought. To ensure the burdens are justified and potential harm is minimised, collection of biospecimens will be conducted by suitably qualified or experienced staff members who will follow current best practice and ensure appropriate processing, storage, distribution and/or use, and disposal of the biospecimens. Furthermore, the burden of biospecimen collection on the participants are justified by the potential benefits of the proposed research. Any laboratory methods/techniques that will be used in this research are not likely to lead to any additional risks.</w:t>
      </w:r>
    </w:p>
    <w:p w14:paraId="27696D1A" w14:textId="77777777" w:rsidR="00BF02D6" w:rsidRDefault="00BF02D6" w:rsidP="00BF02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Patients and ethicists may have concerns regarding the use of biospecimens for genetic testing which may reveal disease susceptibilities and lead to harmful information about the patient and potentially the patient’s family. In the rare event that incidental findings are identified, the researcher will communicate back to DHB. The DHB will refer this on to a genetics specialist who will determine the clinical significance of the findings, including verifying the findings through clinically accredited genetic testing. If a clinical condition is found that is untreatable </w:t>
      </w:r>
      <w:r>
        <w:rPr>
          <w:rFonts w:ascii="Times New Roman" w:hAnsi="Times New Roman" w:cs="Times New Roman"/>
          <w:sz w:val="24"/>
          <w:szCs w:val="24"/>
        </w:rPr>
        <w:lastRenderedPageBreak/>
        <w:t>or preventable, patients can specify on the consent form if they want to be informed about such a finding.</w:t>
      </w:r>
    </w:p>
    <w:p w14:paraId="128B51D8" w14:textId="77777777" w:rsidR="00BF02D6" w:rsidRDefault="00BF02D6" w:rsidP="00BF02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Unrealistic expectations or misconceptions as to the extent of benefits gained from participating in the research will be initially addressed by the gastroenterology research nurse, GP or research staff who will inform the patients that they will not be receiving additional benefits other than standard care. This will be reinforced by the dietitian who will provide patients with monthly follow-up dietary advice and monitor compliance. Our participants will be asked to follow a diet for 6-12 months (whether it is the FEW food exclusion diet or standard care) and will be made aware from the beginning that that they will not be informed of their lab results until the end of the study as a strategy to manage participants’ expectations. </w:t>
      </w:r>
    </w:p>
    <w:p w14:paraId="05CF8551" w14:textId="77777777" w:rsidR="00BF02D6" w:rsidRDefault="00BF02D6" w:rsidP="00BF02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Given that the participants will be required to follow a diet for up to 12 months and frequently monitor their food and symptoms, this may be perceived as inconvenient or costly (especially for the intervention group). However, they may gain benefits by receiving consistent dietary support, follow-up, and diet advice from a dietitian at a higher level than other people with CD receiving usual care. Furthermore, these are recommended guidelines (for control) and possible intervention benefit with very minimal additional health risk (for intervention group). The age cut-off of 50 years was defined to reduce the burden associated with the trial in older adults. </w:t>
      </w:r>
      <w:r w:rsidRPr="00715A92">
        <w:rPr>
          <w:rFonts w:ascii="Times New Roman" w:hAnsi="Times New Roman" w:cs="Times New Roman"/>
          <w:sz w:val="24"/>
          <w:szCs w:val="24"/>
        </w:rPr>
        <w:t xml:space="preserve">Apart from the ethical considerations which stem from the potential drawbacks of the </w:t>
      </w:r>
      <w:r>
        <w:rPr>
          <w:rFonts w:ascii="Times New Roman" w:hAnsi="Times New Roman" w:cs="Times New Roman"/>
          <w:sz w:val="24"/>
          <w:szCs w:val="24"/>
        </w:rPr>
        <w:t xml:space="preserve">FEW food exclusion </w:t>
      </w:r>
      <w:r w:rsidRPr="00715A92">
        <w:rPr>
          <w:rFonts w:ascii="Times New Roman" w:hAnsi="Times New Roman" w:cs="Times New Roman"/>
          <w:sz w:val="24"/>
          <w:szCs w:val="24"/>
        </w:rPr>
        <w:t>diet, we foresee no other ethical consideration</w:t>
      </w:r>
      <w:r>
        <w:rPr>
          <w:rFonts w:ascii="Times New Roman" w:hAnsi="Times New Roman" w:cs="Times New Roman"/>
          <w:sz w:val="24"/>
          <w:szCs w:val="24"/>
        </w:rPr>
        <w:t xml:space="preserve"> associated with this dietary intervention trial. </w:t>
      </w:r>
    </w:p>
    <w:p w14:paraId="053A3099" w14:textId="77777777" w:rsidR="00BF02D6" w:rsidRDefault="00BF02D6" w:rsidP="00BF02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Information derived from this study has the potential to improve knowledge, insight and understanding of the efficacy of dietary interventions in CD, which thus far has been limited. Based on our findings, this may help prompt researchers to further investigate FEW foods or other foods/food components that have been implicated in CD. Identification of specific food </w:t>
      </w:r>
      <w:r>
        <w:rPr>
          <w:rFonts w:ascii="Times New Roman" w:hAnsi="Times New Roman" w:cs="Times New Roman"/>
          <w:sz w:val="24"/>
          <w:szCs w:val="24"/>
        </w:rPr>
        <w:lastRenderedPageBreak/>
        <w:t>components that can cause a disease flare in CD can assist doctors, dietitians, and other health professionals in guiding patients to avoid food triggers, and therefore, prevent the burdensome trial and error dietary approach for patients and more importantly, disease relapse.</w:t>
      </w:r>
    </w:p>
    <w:p w14:paraId="24670B97" w14:textId="77777777" w:rsidR="00BF02D6" w:rsidRPr="00912FEC" w:rsidRDefault="00BF02D6" w:rsidP="00BF02D6">
      <w:pPr>
        <w:spacing w:line="480" w:lineRule="auto"/>
        <w:jc w:val="both"/>
        <w:rPr>
          <w:rFonts w:ascii="Times New Roman" w:hAnsi="Times New Roman" w:cs="Times New Roman"/>
          <w:sz w:val="24"/>
          <w:szCs w:val="24"/>
        </w:rPr>
      </w:pPr>
    </w:p>
    <w:p w14:paraId="20346790" w14:textId="32CA1503" w:rsidR="00BF02D6" w:rsidRPr="00715A92" w:rsidRDefault="00C74D00" w:rsidP="002D06BE">
      <w:pPr>
        <w:pStyle w:val="Heading1"/>
      </w:pPr>
      <w:r>
        <w:t>1</w:t>
      </w:r>
      <w:r w:rsidR="00962032">
        <w:t>4</w:t>
      </w:r>
      <w:r>
        <w:t xml:space="preserve">. </w:t>
      </w:r>
      <w:r w:rsidR="00BF02D6" w:rsidRPr="00715A92">
        <w:t>I</w:t>
      </w:r>
      <w:r w:rsidR="008D5FEF">
        <w:t>MPACT</w:t>
      </w:r>
    </w:p>
    <w:p w14:paraId="1575D2A3" w14:textId="77777777" w:rsidR="00BF02D6" w:rsidRDefault="00BF02D6" w:rsidP="00BF02D6">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may result in the reduction of the frequency and/or duration of flares experienced by the participants and the potential identification of certain foods/food components that contribute worse disease outcomes. Characterisation of the systemic and gastrointestinal immunological profiles of CD patients, in parallel with their participation in the dietary trial, may allow for the prediction of each patient’s response against specific food triggers. The significance of this study is that we may be able to help deliver the goal of personalised medicine to identifying individual triggers for patients to avoid burdensome trial and error dietary approaches and potentially contribute to developing dietary guidelines for management of CD. Clinical applications may include conducting a simple blood test to predict immune responses in CD patients against specific foods or food constituents, which would allow health professionals to provide consulting patients with evidence-based dietary recommendations. Furthermore, dietary management of CD may eliminate adverse side-effects and/or long-term health risks associated with biological treatments.</w:t>
      </w:r>
    </w:p>
    <w:p w14:paraId="641E6A17" w14:textId="6284184B" w:rsidR="00BF02D6" w:rsidRDefault="00BF02D6" w:rsidP="00BF02D6">
      <w:pPr>
        <w:spacing w:line="480" w:lineRule="auto"/>
        <w:jc w:val="both"/>
        <w:rPr>
          <w:rFonts w:ascii="Times New Roman" w:hAnsi="Times New Roman" w:cs="Times New Roman"/>
          <w:sz w:val="24"/>
          <w:szCs w:val="24"/>
        </w:rPr>
      </w:pPr>
      <w:r w:rsidRPr="00715A92">
        <w:rPr>
          <w:rFonts w:ascii="Times New Roman" w:hAnsi="Times New Roman" w:cs="Times New Roman"/>
          <w:sz w:val="24"/>
          <w:szCs w:val="24"/>
        </w:rPr>
        <w:t xml:space="preserve">With the rise of coeliac disease incidence, gluten-free foods are readily available in supermarkets and restaurants </w:t>
      </w:r>
      <w:r w:rsidRPr="00715A92">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&lt;EndNote&gt;&lt;Cite&gt;&lt;Author&gt;Potter&lt;/Author&gt;&lt;Year&gt;2018&lt;/Year&gt;&lt;RecNum&gt;9&lt;/RecNum&gt;&lt;DisplayText&gt;(37)&lt;/DisplayText&gt;&lt;record&gt;&lt;rec-number&gt;9&lt;/rec-number&gt;&lt;foreign-keys&gt;&lt;key app="EN" db-id="v9fsxr0xzazsaeefp295v5pjt5p2rwr2vv05" timestamp="1619435961" guid="6d890d91-a00c-4468-a74a-c459343fc795"&gt;9&lt;/key&gt;&lt;/foreign-keys&gt;&lt;ref-type name="Journal Article"&gt;17&lt;/ref-type&gt;&lt;contributors&gt;&lt;authors&gt;&lt;author&gt;Potter, Michael DE&lt;/author&gt;&lt;author&gt;Walker, Marjorie M&lt;/author&gt;&lt;author&gt;Jones, Michael P&lt;/author&gt;&lt;author&gt;Koloski, Natasha A&lt;/author&gt;&lt;author&gt;Keely, Simon&lt;/author&gt;&lt;author&gt;Talley, Nicholas J&lt;/author&gt;&lt;/authors&gt;&lt;/contributors&gt;&lt;titles&gt;&lt;title&gt;Wheat intolerance and chronic gastrointestinal symptoms in an Australian population-based study: association between wheat sensitivity, celiac disease and functional gastrointestinal disorders&lt;/title&gt;&lt;secondary-title&gt;American Journal of Gastroenterology&lt;/secondary-title&gt;&lt;/titles&gt;&lt;pages&gt;1036-1044&lt;/pages&gt;&lt;volume&gt;113&lt;/volume&gt;&lt;number&gt;7&lt;/number&gt;&lt;dates&gt;&lt;year&gt;2018&lt;/year&gt;&lt;/dates&gt;&lt;isbn&gt;0002-9270&lt;/isbn&gt;&lt;urls&gt;&lt;/urls&gt;&lt;/record&gt;&lt;/Cite&gt;&lt;/EndNote&gt;</w:instrText>
      </w:r>
      <w:r w:rsidRPr="00715A92">
        <w:rPr>
          <w:rFonts w:ascii="Times New Roman" w:hAnsi="Times New Roman" w:cs="Times New Roman"/>
          <w:sz w:val="24"/>
          <w:szCs w:val="24"/>
        </w:rPr>
        <w:fldChar w:fldCharType="separate"/>
      </w:r>
      <w:r w:rsidR="00D733B1">
        <w:rPr>
          <w:rFonts w:ascii="Times New Roman" w:hAnsi="Times New Roman" w:cs="Times New Roman"/>
          <w:noProof/>
          <w:sz w:val="24"/>
          <w:szCs w:val="24"/>
        </w:rPr>
        <w:t>(37)</w:t>
      </w:r>
      <w:r w:rsidRPr="00715A92">
        <w:rPr>
          <w:rFonts w:ascii="Times New Roman" w:hAnsi="Times New Roman" w:cs="Times New Roman"/>
          <w:sz w:val="24"/>
          <w:szCs w:val="24"/>
        </w:rPr>
        <w:fldChar w:fldCharType="end"/>
      </w:r>
      <w:r w:rsidRPr="00715A92">
        <w:rPr>
          <w:rFonts w:ascii="Times New Roman" w:hAnsi="Times New Roman" w:cs="Times New Roman"/>
          <w:sz w:val="24"/>
          <w:szCs w:val="24"/>
        </w:rPr>
        <w:t xml:space="preserve">. </w:t>
      </w:r>
      <w:r>
        <w:rPr>
          <w:rFonts w:ascii="Times New Roman" w:hAnsi="Times New Roman" w:cs="Times New Roman"/>
          <w:sz w:val="24"/>
          <w:szCs w:val="24"/>
        </w:rPr>
        <w:t xml:space="preserve">Similarly, plant-based diets have garnered much interest and popularity in recent years, therefore, if animal fats were to be identified as triggers of flares in CD patients, plant-derived fat alternatives will be a cost-effective and readily available intervention to improve health outcomes </w:t>
      </w:r>
      <w:r>
        <w:rPr>
          <w:rFonts w:ascii="Times New Roman" w:hAnsi="Times New Roman" w:cs="Times New Roman"/>
          <w:sz w:val="24"/>
          <w:szCs w:val="24"/>
        </w:rPr>
        <w:fldChar w:fldCharType="begin"/>
      </w:r>
      <w:r w:rsidR="00D733B1">
        <w:rPr>
          <w:rFonts w:ascii="Times New Roman" w:hAnsi="Times New Roman" w:cs="Times New Roman"/>
          <w:sz w:val="24"/>
          <w:szCs w:val="24"/>
        </w:rPr>
        <w:instrText xml:space="preserve"> ADDIN EN.CITE &lt;EndNote&gt;&lt;Cite&gt;&lt;Author&gt;Tuso&lt;/Author&gt;&lt;Year&gt;2013&lt;/Year&gt;&lt;RecNum&gt;74&lt;/RecNum&gt;&lt;DisplayText&gt;(38)&lt;/DisplayText&gt;&lt;record&gt;&lt;rec-number&gt;74&lt;/rec-number&gt;&lt;foreign-keys&gt;&lt;key app="EN" db-id="v9fsxr0xzazsaeefp295v5pjt5p2rwr2vv05" timestamp="1619561730" guid="5780ed71-635c-4f8f-93a0-8eef9083825d"&gt;74&lt;/key&gt;&lt;/foreign-keys&gt;&lt;ref-type name="Journal Article"&gt;17&lt;/ref-type&gt;&lt;contributors&gt;&lt;authors&gt;&lt;author&gt;Tuso, Philip J&lt;/author&gt;&lt;author&gt;Ismail, Mohamed H&lt;/author&gt;&lt;author&gt;Ha, Benjamin P&lt;/author&gt;&lt;author&gt;Bartolotto, Carole&lt;/author&gt;&lt;/authors&gt;&lt;/contributors&gt;&lt;titles&gt;&lt;title&gt;Nutritional update for physicians: plant-based diets&lt;/title&gt;&lt;secondary-title&gt;The Permanente Journal&lt;/secondary-title&gt;&lt;/titles&gt;&lt;pages&gt;61&lt;/pages&gt;&lt;volume&gt;17&lt;/volume&gt;&lt;number&gt;2&lt;/number&gt;&lt;dates&gt;&lt;year&gt;2013&lt;/year&gt;&lt;/dates&gt;&lt;urls&gt;&lt;/urls&gt;&lt;/record&gt;&lt;/Cite&gt;&lt;/EndNote&gt;</w:instrText>
      </w:r>
      <w:r>
        <w:rPr>
          <w:rFonts w:ascii="Times New Roman" w:hAnsi="Times New Roman" w:cs="Times New Roman"/>
          <w:sz w:val="24"/>
          <w:szCs w:val="24"/>
        </w:rPr>
        <w:fldChar w:fldCharType="separate"/>
      </w:r>
      <w:r w:rsidR="00D733B1">
        <w:rPr>
          <w:rFonts w:ascii="Times New Roman" w:hAnsi="Times New Roman" w:cs="Times New Roman"/>
          <w:noProof/>
          <w:sz w:val="24"/>
          <w:szCs w:val="24"/>
        </w:rPr>
        <w:t>(38)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15A92">
        <w:rPr>
          <w:rFonts w:ascii="Times New Roman" w:hAnsi="Times New Roman" w:cs="Times New Roman"/>
          <w:sz w:val="24"/>
          <w:szCs w:val="24"/>
        </w:rPr>
        <w:t xml:space="preserve">Furthermore, with high numbers of people in the general population as well as in IBD populations self-prescribing a gluten-free diet for their </w:t>
      </w:r>
      <w:r w:rsidRPr="00715A92">
        <w:rPr>
          <w:rFonts w:ascii="Times New Roman" w:hAnsi="Times New Roman" w:cs="Times New Roman"/>
          <w:sz w:val="24"/>
          <w:szCs w:val="24"/>
        </w:rPr>
        <w:lastRenderedPageBreak/>
        <w:t xml:space="preserve">gastrointestinal symptoms, it is imperative that this is evaluated in the therapeutic trial so clinicians can advise patients </w:t>
      </w:r>
      <w:proofErr w:type="gramStart"/>
      <w:r w:rsidRPr="00715A92">
        <w:rPr>
          <w:rFonts w:ascii="Times New Roman" w:hAnsi="Times New Roman" w:cs="Times New Roman"/>
          <w:sz w:val="24"/>
          <w:szCs w:val="24"/>
        </w:rPr>
        <w:t>whether or not</w:t>
      </w:r>
      <w:proofErr w:type="gramEnd"/>
      <w:r w:rsidRPr="00715A92">
        <w:rPr>
          <w:rFonts w:ascii="Times New Roman" w:hAnsi="Times New Roman" w:cs="Times New Roman"/>
          <w:sz w:val="24"/>
          <w:szCs w:val="24"/>
        </w:rPr>
        <w:t xml:space="preserve"> this is an effective treatment. </w:t>
      </w:r>
    </w:p>
    <w:p w14:paraId="27AF197F" w14:textId="68891DBD" w:rsidR="00BF02D6" w:rsidRDefault="00BF02D6" w:rsidP="00BF02D6">
      <w:pPr>
        <w:spacing w:line="480" w:lineRule="auto"/>
        <w:jc w:val="both"/>
        <w:rPr>
          <w:rFonts w:ascii="Times New Roman" w:hAnsi="Times New Roman" w:cs="Times New Roman"/>
          <w:sz w:val="24"/>
          <w:szCs w:val="24"/>
        </w:rPr>
      </w:pPr>
    </w:p>
    <w:p w14:paraId="4D99638E" w14:textId="77777777" w:rsidR="00BF02D6" w:rsidRPr="00053D40" w:rsidRDefault="00BF02D6" w:rsidP="00BF02D6">
      <w:pPr>
        <w:spacing w:line="480" w:lineRule="auto"/>
        <w:jc w:val="both"/>
        <w:rPr>
          <w:rFonts w:ascii="Times New Roman" w:hAnsi="Times New Roman" w:cs="Times New Roman"/>
          <w:sz w:val="24"/>
          <w:szCs w:val="24"/>
        </w:rPr>
      </w:pPr>
    </w:p>
    <w:p w14:paraId="327780D7" w14:textId="7EA453E0" w:rsidR="00BF02D6" w:rsidRPr="00BF02D6" w:rsidRDefault="00C74D00" w:rsidP="002D06BE">
      <w:pPr>
        <w:pStyle w:val="Heading1"/>
      </w:pPr>
      <w:r>
        <w:t>1</w:t>
      </w:r>
      <w:r w:rsidR="00962032">
        <w:t>5</w:t>
      </w:r>
      <w:r>
        <w:t xml:space="preserve">. </w:t>
      </w:r>
      <w:r w:rsidR="008D5FEF">
        <w:t>REFERENCES</w:t>
      </w:r>
    </w:p>
    <w:p w14:paraId="01B4E991" w14:textId="77777777" w:rsidR="003C0425" w:rsidRPr="003C0425" w:rsidRDefault="00BF02D6" w:rsidP="003C0425">
      <w:pPr>
        <w:pStyle w:val="EndNoteBibliography"/>
        <w:spacing w:after="0"/>
        <w:ind w:left="720" w:hanging="720"/>
      </w:pPr>
      <w:r w:rsidRPr="00BF02D6">
        <w:rPr>
          <w:sz w:val="24"/>
          <w:szCs w:val="24"/>
        </w:rPr>
        <w:fldChar w:fldCharType="begin"/>
      </w:r>
      <w:r w:rsidRPr="00BF02D6">
        <w:rPr>
          <w:sz w:val="24"/>
          <w:szCs w:val="24"/>
        </w:rPr>
        <w:instrText xml:space="preserve"> ADDIN EN.REFLIST </w:instrText>
      </w:r>
      <w:r w:rsidRPr="00BF02D6">
        <w:rPr>
          <w:sz w:val="24"/>
          <w:szCs w:val="24"/>
        </w:rPr>
        <w:fldChar w:fldCharType="separate"/>
      </w:r>
      <w:r w:rsidR="003C0425" w:rsidRPr="003C0425">
        <w:t>1.</w:t>
      </w:r>
      <w:r w:rsidR="003C0425" w:rsidRPr="003C0425">
        <w:tab/>
        <w:t xml:space="preserve">Ha, F., and Khalil, H. (2015) Crohn’s disease: a clinical update. </w:t>
      </w:r>
      <w:r w:rsidR="003C0425" w:rsidRPr="003C0425">
        <w:rPr>
          <w:i/>
        </w:rPr>
        <w:t>Therapeutic advances in gastroenterology</w:t>
      </w:r>
      <w:r w:rsidR="003C0425" w:rsidRPr="003C0425">
        <w:t xml:space="preserve"> </w:t>
      </w:r>
      <w:r w:rsidR="003C0425" w:rsidRPr="003C0425">
        <w:rPr>
          <w:b/>
        </w:rPr>
        <w:t>8</w:t>
      </w:r>
      <w:r w:rsidR="003C0425" w:rsidRPr="003C0425">
        <w:t>, 352-359</w:t>
      </w:r>
    </w:p>
    <w:p w14:paraId="3D676388" w14:textId="77777777" w:rsidR="003C0425" w:rsidRPr="003C0425" w:rsidRDefault="003C0425" w:rsidP="003C0425">
      <w:pPr>
        <w:pStyle w:val="EndNoteBibliography"/>
        <w:spacing w:after="0"/>
        <w:ind w:left="720" w:hanging="720"/>
      </w:pPr>
      <w:r w:rsidRPr="003C0425">
        <w:t>2.</w:t>
      </w:r>
      <w:r w:rsidRPr="003C0425">
        <w:tab/>
        <w:t xml:space="preserve">Barberio, B., Zamani, M., Black, C. J., Savarino, E. V., and Ford, A. C. (2021) Prevalence of symptoms of anxiety and depression in patients with inflammatory bowel disease: a systematic review and meta-analysis. </w:t>
      </w:r>
      <w:r w:rsidRPr="003C0425">
        <w:rPr>
          <w:i/>
        </w:rPr>
        <w:t>The Lancet Gastroenterology &amp; Hepatology</w:t>
      </w:r>
      <w:r w:rsidRPr="003C0425">
        <w:t xml:space="preserve"> </w:t>
      </w:r>
    </w:p>
    <w:p w14:paraId="4DAF9B3A" w14:textId="77777777" w:rsidR="003C0425" w:rsidRPr="003C0425" w:rsidRDefault="003C0425" w:rsidP="003C0425">
      <w:pPr>
        <w:pStyle w:val="EndNoteBibliography"/>
        <w:spacing w:after="0"/>
        <w:ind w:left="720" w:hanging="720"/>
        <w:rPr>
          <w:i/>
        </w:rPr>
      </w:pPr>
      <w:r w:rsidRPr="003C0425">
        <w:t>3.</w:t>
      </w:r>
      <w:r w:rsidRPr="003C0425">
        <w:tab/>
        <w:t xml:space="preserve">Australia, P. P. (2013) Improving Inflammatory Bowel Disease care across Australia. </w:t>
      </w:r>
      <w:r w:rsidRPr="003C0425">
        <w:rPr>
          <w:i/>
        </w:rPr>
        <w:t xml:space="preserve"> </w:t>
      </w:r>
    </w:p>
    <w:p w14:paraId="1C476894" w14:textId="77777777" w:rsidR="003C0425" w:rsidRPr="003C0425" w:rsidRDefault="003C0425" w:rsidP="003C0425">
      <w:pPr>
        <w:pStyle w:val="EndNoteBibliography"/>
        <w:spacing w:after="0"/>
        <w:ind w:left="720" w:hanging="720"/>
        <w:rPr>
          <w:i/>
        </w:rPr>
      </w:pPr>
      <w:r w:rsidRPr="003C0425">
        <w:t>4.</w:t>
      </w:r>
      <w:r w:rsidRPr="003C0425">
        <w:tab/>
        <w:t xml:space="preserve">(ACCA), A. C. s. a. C. A. (2007) The Economic Costs of Crohn's Disease and Ulcerative Colitis. </w:t>
      </w:r>
      <w:r w:rsidRPr="003C0425">
        <w:rPr>
          <w:i/>
        </w:rPr>
        <w:t xml:space="preserve"> </w:t>
      </w:r>
    </w:p>
    <w:p w14:paraId="087AAB2A" w14:textId="77777777" w:rsidR="003C0425" w:rsidRPr="003C0425" w:rsidRDefault="003C0425" w:rsidP="003C0425">
      <w:pPr>
        <w:pStyle w:val="EndNoteBibliography"/>
        <w:spacing w:after="0"/>
        <w:ind w:left="720" w:hanging="720"/>
      </w:pPr>
      <w:r w:rsidRPr="003C0425">
        <w:t>5.</w:t>
      </w:r>
      <w:r w:rsidRPr="003C0425">
        <w:tab/>
        <w:t xml:space="preserve">Lee, D., Albenberg, L., Compher, C., Baldassano, R., Piccoli, D., Lewis, J. D., and Wu, G. D. (2015) Diet in the pathogenesis and treatment of inflammatory bowel diseases. </w:t>
      </w:r>
      <w:r w:rsidRPr="003C0425">
        <w:rPr>
          <w:i/>
        </w:rPr>
        <w:t>Gastroenterology</w:t>
      </w:r>
      <w:r w:rsidRPr="003C0425">
        <w:t xml:space="preserve"> </w:t>
      </w:r>
      <w:r w:rsidRPr="003C0425">
        <w:rPr>
          <w:b/>
        </w:rPr>
        <w:t>148</w:t>
      </w:r>
      <w:r w:rsidRPr="003C0425">
        <w:t>, 1087-1106</w:t>
      </w:r>
    </w:p>
    <w:p w14:paraId="10892484" w14:textId="77777777" w:rsidR="003C0425" w:rsidRPr="003C0425" w:rsidRDefault="003C0425" w:rsidP="003C0425">
      <w:pPr>
        <w:pStyle w:val="EndNoteBibliography"/>
        <w:spacing w:after="0"/>
        <w:ind w:left="720" w:hanging="720"/>
      </w:pPr>
      <w:r w:rsidRPr="003C0425">
        <w:t>6.</w:t>
      </w:r>
      <w:r w:rsidRPr="003C0425">
        <w:tab/>
        <w:t xml:space="preserve">Holt, D., Strauss, B., and Moore, G. (2017) Patients with inflammatory bowel disease and their treating clinicians have different views regarding diet. </w:t>
      </w:r>
      <w:r w:rsidRPr="003C0425">
        <w:rPr>
          <w:i/>
        </w:rPr>
        <w:t>Journal of Human Nutrition and Dietetics</w:t>
      </w:r>
      <w:r w:rsidRPr="003C0425">
        <w:t xml:space="preserve"> </w:t>
      </w:r>
      <w:r w:rsidRPr="003C0425">
        <w:rPr>
          <w:b/>
        </w:rPr>
        <w:t>30</w:t>
      </w:r>
      <w:r w:rsidRPr="003C0425">
        <w:t>, 66-72</w:t>
      </w:r>
    </w:p>
    <w:p w14:paraId="5BE83544" w14:textId="77777777" w:rsidR="003C0425" w:rsidRPr="003C0425" w:rsidRDefault="003C0425" w:rsidP="003C0425">
      <w:pPr>
        <w:pStyle w:val="EndNoteBibliography"/>
        <w:spacing w:after="0"/>
        <w:ind w:left="720" w:hanging="720"/>
      </w:pPr>
      <w:r w:rsidRPr="003C0425">
        <w:t>7.</w:t>
      </w:r>
      <w:r w:rsidRPr="003C0425">
        <w:tab/>
        <w:t xml:space="preserve">Limdi, J. K., Aggarwal, D., and McLaughlin, J. T. (2016) Dietary practices and beliefs in patients with inflammatory bowel disease. </w:t>
      </w:r>
      <w:r w:rsidRPr="003C0425">
        <w:rPr>
          <w:i/>
        </w:rPr>
        <w:t>Inflammatory bowel diseases</w:t>
      </w:r>
      <w:r w:rsidRPr="003C0425">
        <w:t xml:space="preserve"> </w:t>
      </w:r>
      <w:r w:rsidRPr="003C0425">
        <w:rPr>
          <w:b/>
        </w:rPr>
        <w:t>22</w:t>
      </w:r>
      <w:r w:rsidRPr="003C0425">
        <w:t>, 164-170</w:t>
      </w:r>
    </w:p>
    <w:p w14:paraId="46FEC7A5" w14:textId="77777777" w:rsidR="003C0425" w:rsidRPr="003C0425" w:rsidRDefault="003C0425" w:rsidP="003C0425">
      <w:pPr>
        <w:pStyle w:val="EndNoteBibliography"/>
        <w:spacing w:after="0"/>
        <w:ind w:left="720" w:hanging="720"/>
      </w:pPr>
      <w:r w:rsidRPr="003C0425">
        <w:t>8.</w:t>
      </w:r>
      <w:r w:rsidRPr="003C0425">
        <w:tab/>
        <w:t xml:space="preserve">Larussa, T., Suraci, E., Marasco, R., Imeneo, M., Abenavoli, L., and Luzza, F. (2019) Self-prescribed dietary restrictions are common in inflammatory bowel disease patients and are associated with low bone mineralization. </w:t>
      </w:r>
      <w:r w:rsidRPr="003C0425">
        <w:rPr>
          <w:i/>
        </w:rPr>
        <w:t>Medicina</w:t>
      </w:r>
      <w:r w:rsidRPr="003C0425">
        <w:t xml:space="preserve"> </w:t>
      </w:r>
      <w:r w:rsidRPr="003C0425">
        <w:rPr>
          <w:b/>
        </w:rPr>
        <w:t>55</w:t>
      </w:r>
      <w:r w:rsidRPr="003C0425">
        <w:t>, 507</w:t>
      </w:r>
    </w:p>
    <w:p w14:paraId="19C69C6C" w14:textId="77777777" w:rsidR="003C0425" w:rsidRPr="003C0425" w:rsidRDefault="003C0425" w:rsidP="003C0425">
      <w:pPr>
        <w:pStyle w:val="EndNoteBibliography"/>
        <w:spacing w:after="0"/>
        <w:ind w:left="720" w:hanging="720"/>
      </w:pPr>
      <w:r w:rsidRPr="003C0425">
        <w:t>9.</w:t>
      </w:r>
      <w:r w:rsidRPr="003C0425">
        <w:tab/>
        <w:t xml:space="preserve">Lewis, J. D., and Abreu, M. T. (2017) Diet as a trigger or therapy for inflammatory bowel diseases. </w:t>
      </w:r>
      <w:r w:rsidRPr="003C0425">
        <w:rPr>
          <w:i/>
        </w:rPr>
        <w:t>Gastroenterology</w:t>
      </w:r>
      <w:r w:rsidRPr="003C0425">
        <w:t xml:space="preserve"> </w:t>
      </w:r>
      <w:r w:rsidRPr="003C0425">
        <w:rPr>
          <w:b/>
        </w:rPr>
        <w:t>152</w:t>
      </w:r>
      <w:r w:rsidRPr="003C0425">
        <w:t>, 398-414. e396</w:t>
      </w:r>
    </w:p>
    <w:p w14:paraId="23FE1151" w14:textId="77777777" w:rsidR="003C0425" w:rsidRPr="003C0425" w:rsidRDefault="003C0425" w:rsidP="003C0425">
      <w:pPr>
        <w:pStyle w:val="EndNoteBibliography"/>
        <w:spacing w:after="0"/>
        <w:ind w:left="720" w:hanging="720"/>
      </w:pPr>
      <w:r w:rsidRPr="003C0425">
        <w:t>10.</w:t>
      </w:r>
      <w:r w:rsidRPr="003C0425">
        <w:tab/>
        <w:t xml:space="preserve">Limketkai, B. N., Iheozor‐Ejiofor, Z., Gjuladin‐Hellon, T., Parian, A., Matarese, L. E., Bracewell, K., MacDonald, J. K., Gordon, M., and Mullin, G. E. (2019) Dietary interventions for induction and maintenance of remission in inflammatory bowel disease. </w:t>
      </w:r>
      <w:r w:rsidRPr="003C0425">
        <w:rPr>
          <w:i/>
        </w:rPr>
        <w:t>Cochrane Database of Systematic Reviews</w:t>
      </w:r>
      <w:r w:rsidRPr="003C0425">
        <w:t xml:space="preserve"> </w:t>
      </w:r>
    </w:p>
    <w:p w14:paraId="5E8E7327" w14:textId="77777777" w:rsidR="003C0425" w:rsidRPr="003C0425" w:rsidRDefault="003C0425" w:rsidP="003C0425">
      <w:pPr>
        <w:pStyle w:val="EndNoteBibliography"/>
        <w:spacing w:after="0"/>
        <w:ind w:left="720" w:hanging="720"/>
      </w:pPr>
      <w:r w:rsidRPr="003C0425">
        <w:t>11.</w:t>
      </w:r>
      <w:r w:rsidRPr="003C0425">
        <w:tab/>
        <w:t xml:space="preserve">Swaminath, A., Feathers, A., Ananthakrishnan, A., Falzon, L., and Li Ferry, S. (2017) Systematic review with meta‐analysis: enteral nutrition therapy for the induction of remission in paediatric Crohn's disease. </w:t>
      </w:r>
      <w:r w:rsidRPr="003C0425">
        <w:rPr>
          <w:i/>
        </w:rPr>
        <w:t>Alimentary pharmacology &amp; therapeutics</w:t>
      </w:r>
      <w:r w:rsidRPr="003C0425">
        <w:t xml:space="preserve"> </w:t>
      </w:r>
      <w:r w:rsidRPr="003C0425">
        <w:rPr>
          <w:b/>
        </w:rPr>
        <w:t>46</w:t>
      </w:r>
      <w:r w:rsidRPr="003C0425">
        <w:t>, 645-656</w:t>
      </w:r>
    </w:p>
    <w:p w14:paraId="6712963D" w14:textId="77777777" w:rsidR="003C0425" w:rsidRPr="003C0425" w:rsidRDefault="003C0425" w:rsidP="003C0425">
      <w:pPr>
        <w:pStyle w:val="EndNoteBibliography"/>
        <w:spacing w:after="0"/>
        <w:ind w:left="720" w:hanging="720"/>
      </w:pPr>
      <w:r w:rsidRPr="003C0425">
        <w:t>12.</w:t>
      </w:r>
      <w:r w:rsidRPr="003C0425">
        <w:tab/>
        <w:t xml:space="preserve">Riordan, A., Hunter, J., Crampton, J., Neale, G., Cowan, R., Davidson, A., Dickinson, R., Dronfield, M., Fellows, I., and Kennedy, H. (1993) Treatment of active Crohn's disease by exclusion diet: East Anglian multicentre controlled trial. </w:t>
      </w:r>
      <w:r w:rsidRPr="003C0425">
        <w:rPr>
          <w:i/>
        </w:rPr>
        <w:t>The Lancet</w:t>
      </w:r>
      <w:r w:rsidRPr="003C0425">
        <w:t xml:space="preserve"> </w:t>
      </w:r>
      <w:r w:rsidRPr="003C0425">
        <w:rPr>
          <w:b/>
        </w:rPr>
        <w:t>342</w:t>
      </w:r>
      <w:r w:rsidRPr="003C0425">
        <w:t>, 1131-1134</w:t>
      </w:r>
    </w:p>
    <w:p w14:paraId="7C7E53D3" w14:textId="77777777" w:rsidR="003C0425" w:rsidRPr="003C0425" w:rsidRDefault="003C0425" w:rsidP="003C0425">
      <w:pPr>
        <w:pStyle w:val="EndNoteBibliography"/>
        <w:spacing w:after="0"/>
        <w:ind w:left="720" w:hanging="720"/>
      </w:pPr>
      <w:r w:rsidRPr="003C0425">
        <w:t>13.</w:t>
      </w:r>
      <w:r w:rsidRPr="003C0425">
        <w:tab/>
        <w:t xml:space="preserve">Sigall Boneh, R., Sarbagili Shabat, C., Yanai, H., Chermesh, I., Ben Avraham, S., Boaz, M., and Levine, A. (2017) Dietary therapy with the Crohn’s disease exclusion diet is a successful strategy for induction of remission in children and adults failing biological therapy. </w:t>
      </w:r>
      <w:r w:rsidRPr="003C0425">
        <w:rPr>
          <w:i/>
        </w:rPr>
        <w:t>Journal of Crohn's and Colitis</w:t>
      </w:r>
      <w:r w:rsidRPr="003C0425">
        <w:t xml:space="preserve"> </w:t>
      </w:r>
      <w:r w:rsidRPr="003C0425">
        <w:rPr>
          <w:b/>
        </w:rPr>
        <w:t>11</w:t>
      </w:r>
      <w:r w:rsidRPr="003C0425">
        <w:t>, 1205-1212</w:t>
      </w:r>
    </w:p>
    <w:p w14:paraId="58846E75" w14:textId="77777777" w:rsidR="003C0425" w:rsidRPr="003C0425" w:rsidRDefault="003C0425" w:rsidP="003C0425">
      <w:pPr>
        <w:pStyle w:val="EndNoteBibliography"/>
        <w:spacing w:after="0"/>
        <w:ind w:left="720" w:hanging="720"/>
      </w:pPr>
      <w:r w:rsidRPr="003C0425">
        <w:t>14.</w:t>
      </w:r>
      <w:r w:rsidRPr="003C0425">
        <w:tab/>
        <w:t xml:space="preserve">Levine, A., Wine, E., Assa, A., Boneh, R. S., Shaoul, R., Kori, M., Cohen, S., Peleg, S., Shamaly, H., and On, A. (2019) Crohn’s disease exclusion diet plus partial enteral nutrition induces sustained remission in a randomized controlled trial. </w:t>
      </w:r>
      <w:r w:rsidRPr="003C0425">
        <w:rPr>
          <w:i/>
        </w:rPr>
        <w:t>Gastroenterology</w:t>
      </w:r>
      <w:r w:rsidRPr="003C0425">
        <w:t xml:space="preserve"> </w:t>
      </w:r>
      <w:r w:rsidRPr="003C0425">
        <w:rPr>
          <w:b/>
        </w:rPr>
        <w:t>157</w:t>
      </w:r>
      <w:r w:rsidRPr="003C0425">
        <w:t>, 440-450. e448</w:t>
      </w:r>
    </w:p>
    <w:p w14:paraId="57D49521" w14:textId="77777777" w:rsidR="003C0425" w:rsidRPr="003C0425" w:rsidRDefault="003C0425" w:rsidP="003C0425">
      <w:pPr>
        <w:pStyle w:val="EndNoteBibliography"/>
        <w:spacing w:after="0"/>
        <w:ind w:left="720" w:hanging="720"/>
      </w:pPr>
      <w:r w:rsidRPr="003C0425">
        <w:lastRenderedPageBreak/>
        <w:t>15.</w:t>
      </w:r>
      <w:r w:rsidRPr="003C0425">
        <w:tab/>
        <w:t xml:space="preserve">Takagi, S., Utsunomiya, K., Kuriyama, S., Yokoyama, H., Takahashi, S., Iwabuchi, M., Takahashi, H., Takahashi, S., Kinouchi, Y., and Hiwatashi, N. (2006) Effectiveness of an ‘half elemental diet’as maintenance therapy for Crohn's disease: a randomized‐controlled trial. </w:t>
      </w:r>
      <w:r w:rsidRPr="003C0425">
        <w:rPr>
          <w:i/>
        </w:rPr>
        <w:t>Alimentary pharmacology &amp; therapeutics</w:t>
      </w:r>
      <w:r w:rsidRPr="003C0425">
        <w:t xml:space="preserve"> </w:t>
      </w:r>
      <w:r w:rsidRPr="003C0425">
        <w:rPr>
          <w:b/>
        </w:rPr>
        <w:t>24</w:t>
      </w:r>
      <w:r w:rsidRPr="003C0425">
        <w:t>, 1333-1340</w:t>
      </w:r>
    </w:p>
    <w:p w14:paraId="6A589E10" w14:textId="77777777" w:rsidR="003C0425" w:rsidRPr="003C0425" w:rsidRDefault="003C0425" w:rsidP="003C0425">
      <w:pPr>
        <w:pStyle w:val="EndNoteBibliography"/>
        <w:spacing w:after="0"/>
        <w:ind w:left="720" w:hanging="720"/>
      </w:pPr>
      <w:r w:rsidRPr="003C0425">
        <w:t>16.</w:t>
      </w:r>
      <w:r w:rsidRPr="003C0425">
        <w:tab/>
        <w:t xml:space="preserve">Ashton, J. J., Gavin, J., and Beattie, R. M. (2019) Exclusive enteral nutrition in Crohn's disease: Evidence and practicalities. </w:t>
      </w:r>
      <w:r w:rsidRPr="003C0425">
        <w:rPr>
          <w:i/>
        </w:rPr>
        <w:t>Clinical nutrition</w:t>
      </w:r>
      <w:r w:rsidRPr="003C0425">
        <w:t xml:space="preserve"> </w:t>
      </w:r>
      <w:r w:rsidRPr="003C0425">
        <w:rPr>
          <w:b/>
        </w:rPr>
        <w:t>38</w:t>
      </w:r>
      <w:r w:rsidRPr="003C0425">
        <w:t>, 80-89</w:t>
      </w:r>
    </w:p>
    <w:p w14:paraId="3394D0A2" w14:textId="77777777" w:rsidR="003C0425" w:rsidRPr="003C0425" w:rsidRDefault="003C0425" w:rsidP="003C0425">
      <w:pPr>
        <w:pStyle w:val="EndNoteBibliography"/>
        <w:spacing w:after="0"/>
        <w:ind w:left="720" w:hanging="720"/>
      </w:pPr>
      <w:r w:rsidRPr="003C0425">
        <w:t>17.</w:t>
      </w:r>
      <w:r w:rsidRPr="003C0425">
        <w:tab/>
        <w:t xml:space="preserve">Ng, S. C., Shi, H. Y., Hamidi, N., Underwood, F. E., Tang, W., Benchimol, E. I., Panaccione, R., Ghosh, S., Wu, J. C., and Chan, F. K. (2017) Worldwide incidence and prevalence of inflammatory bowel disease in the 21st century: a systematic review of population-based studies. </w:t>
      </w:r>
      <w:r w:rsidRPr="003C0425">
        <w:rPr>
          <w:i/>
        </w:rPr>
        <w:t>The Lancet</w:t>
      </w:r>
      <w:r w:rsidRPr="003C0425">
        <w:t xml:space="preserve"> </w:t>
      </w:r>
      <w:r w:rsidRPr="003C0425">
        <w:rPr>
          <w:b/>
        </w:rPr>
        <w:t>390</w:t>
      </w:r>
      <w:r w:rsidRPr="003C0425">
        <w:t>, 2769-2778</w:t>
      </w:r>
    </w:p>
    <w:p w14:paraId="10900B02" w14:textId="77777777" w:rsidR="003C0425" w:rsidRPr="003C0425" w:rsidRDefault="003C0425" w:rsidP="003C0425">
      <w:pPr>
        <w:pStyle w:val="EndNoteBibliography"/>
        <w:spacing w:after="0"/>
        <w:ind w:left="720" w:hanging="720"/>
      </w:pPr>
      <w:r w:rsidRPr="003C0425">
        <w:t>18.</w:t>
      </w:r>
      <w:r w:rsidRPr="003C0425">
        <w:tab/>
        <w:t xml:space="preserve">Cui, G., and Yuan, A. (2018) A systematic review of epidemiology and risk factors associated with Chinese inflammatory bowel disease. </w:t>
      </w:r>
      <w:r w:rsidRPr="003C0425">
        <w:rPr>
          <w:i/>
        </w:rPr>
        <w:t>Frontiers in medicine</w:t>
      </w:r>
      <w:r w:rsidRPr="003C0425">
        <w:t xml:space="preserve"> </w:t>
      </w:r>
      <w:r w:rsidRPr="003C0425">
        <w:rPr>
          <w:b/>
        </w:rPr>
        <w:t>5</w:t>
      </w:r>
      <w:r w:rsidRPr="003C0425">
        <w:t>, 183</w:t>
      </w:r>
    </w:p>
    <w:p w14:paraId="456A51E0" w14:textId="77777777" w:rsidR="003C0425" w:rsidRPr="003C0425" w:rsidRDefault="003C0425" w:rsidP="003C0425">
      <w:pPr>
        <w:pStyle w:val="EndNoteBibliography"/>
        <w:spacing w:after="0"/>
        <w:ind w:left="720" w:hanging="720"/>
      </w:pPr>
      <w:r w:rsidRPr="003C0425">
        <w:t>19.</w:t>
      </w:r>
      <w:r w:rsidRPr="003C0425">
        <w:tab/>
        <w:t xml:space="preserve">David, L. A., Maurice, C. F., Carmody, R. N., Gootenberg, D. B., Button, J. E., Wolfe, B. E., Ling, A. V., Devlin, A. S., Varma, Y., and Fischbach, M. A. (2014) Diet rapidly and reproducibly alters the human gut microbiome. </w:t>
      </w:r>
      <w:r w:rsidRPr="003C0425">
        <w:rPr>
          <w:i/>
        </w:rPr>
        <w:t>Nature</w:t>
      </w:r>
      <w:r w:rsidRPr="003C0425">
        <w:t xml:space="preserve"> </w:t>
      </w:r>
      <w:r w:rsidRPr="003C0425">
        <w:rPr>
          <w:b/>
        </w:rPr>
        <w:t>505</w:t>
      </w:r>
      <w:r w:rsidRPr="003C0425">
        <w:t>, 559-563</w:t>
      </w:r>
    </w:p>
    <w:p w14:paraId="5E641D21" w14:textId="77777777" w:rsidR="003C0425" w:rsidRPr="003C0425" w:rsidRDefault="003C0425" w:rsidP="003C0425">
      <w:pPr>
        <w:pStyle w:val="EndNoteBibliography"/>
        <w:spacing w:after="0"/>
        <w:ind w:left="720" w:hanging="720"/>
      </w:pPr>
      <w:r w:rsidRPr="003C0425">
        <w:t>20.</w:t>
      </w:r>
      <w:r w:rsidRPr="003C0425">
        <w:tab/>
        <w:t xml:space="preserve">Levine, A., Rhodes, J. M., Lindsay, J. O., Abreu, M. T., Kamm, M. A., Gibson, P. R., Gasche, C., Silverberg, M. S., Mahadevan, U., and Boneh, R. S. (2020) Dietary guidance from the international organization for the study of inflammatory bowel diseases. </w:t>
      </w:r>
      <w:r w:rsidRPr="003C0425">
        <w:rPr>
          <w:i/>
        </w:rPr>
        <w:t>Clinical Gastroenterology and Hepatology</w:t>
      </w:r>
      <w:r w:rsidRPr="003C0425">
        <w:t xml:space="preserve"> </w:t>
      </w:r>
      <w:r w:rsidRPr="003C0425">
        <w:rPr>
          <w:b/>
        </w:rPr>
        <w:t>18</w:t>
      </w:r>
      <w:r w:rsidRPr="003C0425">
        <w:t>, 1381-1392</w:t>
      </w:r>
    </w:p>
    <w:p w14:paraId="1FED18AE" w14:textId="77777777" w:rsidR="003C0425" w:rsidRPr="003C0425" w:rsidRDefault="003C0425" w:rsidP="003C0425">
      <w:pPr>
        <w:pStyle w:val="EndNoteBibliography"/>
        <w:spacing w:after="0"/>
        <w:ind w:left="720" w:hanging="720"/>
      </w:pPr>
      <w:r w:rsidRPr="003C0425">
        <w:t>21.</w:t>
      </w:r>
      <w:r w:rsidRPr="003C0425">
        <w:tab/>
        <w:t xml:space="preserve">Shoda, R., Matsueda, K., Yamato, S., and Umeda, N. (1996) Epidemiologic analysis of Crohn disease in Japan: increased dietary intake of n-6 polyunsaturated fatty acids and animal protein relates to the increased incidence of Crohn disease in Japan. </w:t>
      </w:r>
      <w:r w:rsidRPr="003C0425">
        <w:rPr>
          <w:i/>
        </w:rPr>
        <w:t>The American journal of clinical nutrition</w:t>
      </w:r>
      <w:r w:rsidRPr="003C0425">
        <w:t xml:space="preserve"> </w:t>
      </w:r>
      <w:r w:rsidRPr="003C0425">
        <w:rPr>
          <w:b/>
        </w:rPr>
        <w:t>63</w:t>
      </w:r>
      <w:r w:rsidRPr="003C0425">
        <w:t>, 741-745</w:t>
      </w:r>
    </w:p>
    <w:p w14:paraId="627B32BB" w14:textId="77777777" w:rsidR="003C0425" w:rsidRPr="003C0425" w:rsidRDefault="003C0425" w:rsidP="003C0425">
      <w:pPr>
        <w:pStyle w:val="EndNoteBibliography"/>
        <w:spacing w:after="0"/>
        <w:ind w:left="720" w:hanging="720"/>
      </w:pPr>
      <w:r w:rsidRPr="003C0425">
        <w:t>22.</w:t>
      </w:r>
      <w:r w:rsidRPr="003C0425">
        <w:tab/>
        <w:t xml:space="preserve">Tanaka, M., Iwao, Y., Sasaki, S., Okamoto, S., Ogata, H., Hibi, T., and Kazuma, K. (2007) Moderate dietary temperance effectively prevents relapse of Crohn disease: a prospective study of patients in remission. </w:t>
      </w:r>
      <w:r w:rsidRPr="003C0425">
        <w:rPr>
          <w:i/>
        </w:rPr>
        <w:t>Gastroenterology Nursing</w:t>
      </w:r>
      <w:r w:rsidRPr="003C0425">
        <w:t xml:space="preserve"> </w:t>
      </w:r>
      <w:r w:rsidRPr="003C0425">
        <w:rPr>
          <w:b/>
        </w:rPr>
        <w:t>30</w:t>
      </w:r>
      <w:r w:rsidRPr="003C0425">
        <w:t>, 202-210</w:t>
      </w:r>
    </w:p>
    <w:p w14:paraId="48A546A9" w14:textId="77777777" w:rsidR="003C0425" w:rsidRPr="003C0425" w:rsidRDefault="003C0425" w:rsidP="003C0425">
      <w:pPr>
        <w:pStyle w:val="EndNoteBibliography"/>
        <w:spacing w:after="0"/>
        <w:ind w:left="720" w:hanging="720"/>
      </w:pPr>
      <w:r w:rsidRPr="003C0425">
        <w:t>23.</w:t>
      </w:r>
      <w:r w:rsidRPr="003C0425">
        <w:tab/>
        <w:t xml:space="preserve">Guerreiro, C. S., Ferreira, P., Tavares, L., Santos, P. M., Neves, M., Brito, M., and Cravo, M. (2009) Fatty acids, IL6, and TNFα polymorphisms: an example of nutrigenetics in Crohn's disease. </w:t>
      </w:r>
      <w:r w:rsidRPr="003C0425">
        <w:rPr>
          <w:i/>
        </w:rPr>
        <w:t>American Journal of Gastroenterology</w:t>
      </w:r>
      <w:r w:rsidRPr="003C0425">
        <w:t xml:space="preserve"> </w:t>
      </w:r>
      <w:r w:rsidRPr="003C0425">
        <w:rPr>
          <w:b/>
        </w:rPr>
        <w:t>104</w:t>
      </w:r>
      <w:r w:rsidRPr="003C0425">
        <w:t>, 2241-2249</w:t>
      </w:r>
    </w:p>
    <w:p w14:paraId="4A5DA281" w14:textId="77777777" w:rsidR="003C0425" w:rsidRPr="003C0425" w:rsidRDefault="003C0425" w:rsidP="003C0425">
      <w:pPr>
        <w:pStyle w:val="EndNoteBibliography"/>
        <w:spacing w:after="0"/>
        <w:ind w:left="720" w:hanging="720"/>
      </w:pPr>
      <w:r w:rsidRPr="003C0425">
        <w:t>24.</w:t>
      </w:r>
      <w:r w:rsidRPr="003C0425">
        <w:tab/>
        <w:t xml:space="preserve">Ferreira, P., Cravo, M., Guerreiro, C. S., Tavares, L., Santos, P. M., and Brito, M. (2010) Fat intake interacts with polymorphisms of Caspase9, FasLigand and PPARgamma apoptotic genes in modulating Crohn’s disease activity. </w:t>
      </w:r>
      <w:r w:rsidRPr="003C0425">
        <w:rPr>
          <w:i/>
        </w:rPr>
        <w:t>Clinical nutrition</w:t>
      </w:r>
      <w:r w:rsidRPr="003C0425">
        <w:t xml:space="preserve"> </w:t>
      </w:r>
      <w:r w:rsidRPr="003C0425">
        <w:rPr>
          <w:b/>
        </w:rPr>
        <w:t>29</w:t>
      </w:r>
      <w:r w:rsidRPr="003C0425">
        <w:t>, 819-823</w:t>
      </w:r>
    </w:p>
    <w:p w14:paraId="6AC6BA85" w14:textId="77777777" w:rsidR="003C0425" w:rsidRPr="003C0425" w:rsidRDefault="003C0425" w:rsidP="003C0425">
      <w:pPr>
        <w:pStyle w:val="EndNoteBibliography"/>
        <w:spacing w:after="0"/>
        <w:ind w:left="720" w:hanging="720"/>
      </w:pPr>
      <w:r w:rsidRPr="003C0425">
        <w:t>25.</w:t>
      </w:r>
      <w:r w:rsidRPr="003C0425">
        <w:tab/>
        <w:t xml:space="preserve">Gruber, L., Kisling, S., Lichti, P., Martin, F.-P., May, S., Klingenspor, M., Lichtenegger, M., Rychlik, M., and Haller, D. (2013) High fat diet accelerates pathogenesis of murine Crohn’s disease-like ileitis independently of obesity. </w:t>
      </w:r>
      <w:r w:rsidRPr="003C0425">
        <w:rPr>
          <w:i/>
        </w:rPr>
        <w:t>PloS one</w:t>
      </w:r>
      <w:r w:rsidRPr="003C0425">
        <w:t xml:space="preserve"> </w:t>
      </w:r>
      <w:r w:rsidRPr="003C0425">
        <w:rPr>
          <w:b/>
        </w:rPr>
        <w:t>8</w:t>
      </w:r>
      <w:r w:rsidRPr="003C0425">
        <w:t>, e71661</w:t>
      </w:r>
    </w:p>
    <w:p w14:paraId="77773ECD" w14:textId="77777777" w:rsidR="003C0425" w:rsidRPr="003C0425" w:rsidRDefault="003C0425" w:rsidP="003C0425">
      <w:pPr>
        <w:pStyle w:val="EndNoteBibliography"/>
        <w:spacing w:after="0"/>
        <w:ind w:left="720" w:hanging="720"/>
      </w:pPr>
      <w:r w:rsidRPr="003C0425">
        <w:t>26.</w:t>
      </w:r>
      <w:r w:rsidRPr="003C0425">
        <w:tab/>
        <w:t xml:space="preserve">Paik, J., Fierce, Y., Treuting, P. M., Brabb, T., and Maggio-Price, L. (2013) High-fat diet-induced obesity exacerbates inflammatory bowel disease in genetically susceptible Mdr1a−/− male mice. </w:t>
      </w:r>
      <w:r w:rsidRPr="003C0425">
        <w:rPr>
          <w:i/>
        </w:rPr>
        <w:t>The Journal of nutrition</w:t>
      </w:r>
      <w:r w:rsidRPr="003C0425">
        <w:t xml:space="preserve"> </w:t>
      </w:r>
      <w:r w:rsidRPr="003C0425">
        <w:rPr>
          <w:b/>
        </w:rPr>
        <w:t>143</w:t>
      </w:r>
      <w:r w:rsidRPr="003C0425">
        <w:t>, 1240-1247</w:t>
      </w:r>
    </w:p>
    <w:p w14:paraId="2C80911C" w14:textId="77777777" w:rsidR="003C0425" w:rsidRPr="003C0425" w:rsidRDefault="003C0425" w:rsidP="003C0425">
      <w:pPr>
        <w:pStyle w:val="EndNoteBibliography"/>
        <w:spacing w:after="0"/>
        <w:ind w:left="720" w:hanging="720"/>
      </w:pPr>
      <w:r w:rsidRPr="003C0425">
        <w:t>27.</w:t>
      </w:r>
      <w:r w:rsidRPr="003C0425">
        <w:tab/>
        <w:t xml:space="preserve">van der Logt, E. M., Blokzijl, T., van der Meer, R., Faber, K. N., and Dijkstra, G. (2013) Westernized high-fat diet accelerates weight loss in dextran sulfate sodium-induced colitis in mice, which is further aggravated by supplementation of heme. </w:t>
      </w:r>
      <w:r w:rsidRPr="003C0425">
        <w:rPr>
          <w:i/>
        </w:rPr>
        <w:t>The Journal of nutritional biochemistry</w:t>
      </w:r>
      <w:r w:rsidRPr="003C0425">
        <w:t xml:space="preserve"> </w:t>
      </w:r>
      <w:r w:rsidRPr="003C0425">
        <w:rPr>
          <w:b/>
        </w:rPr>
        <w:t>24</w:t>
      </w:r>
      <w:r w:rsidRPr="003C0425">
        <w:t>, 1159-1165</w:t>
      </w:r>
    </w:p>
    <w:p w14:paraId="671935D7" w14:textId="77777777" w:rsidR="003C0425" w:rsidRPr="003C0425" w:rsidRDefault="003C0425" w:rsidP="003C0425">
      <w:pPr>
        <w:pStyle w:val="EndNoteBibliography"/>
        <w:spacing w:after="0"/>
        <w:ind w:left="720" w:hanging="720"/>
      </w:pPr>
      <w:r w:rsidRPr="003C0425">
        <w:t>28.</w:t>
      </w:r>
      <w:r w:rsidRPr="003C0425">
        <w:tab/>
        <w:t xml:space="preserve">Ma, X., Torbenson, M., Hamad, A., Soloski, M., and Li, Z. (2008) High‐fat diet modulates non‐CD1d‐restricted natural killer T cells and regulatory T cells in mouse colon and exacerbates experimental colitis. </w:t>
      </w:r>
      <w:r w:rsidRPr="003C0425">
        <w:rPr>
          <w:i/>
        </w:rPr>
        <w:t>Clinical &amp; Experimental Immunology</w:t>
      </w:r>
      <w:r w:rsidRPr="003C0425">
        <w:t xml:space="preserve"> </w:t>
      </w:r>
      <w:r w:rsidRPr="003C0425">
        <w:rPr>
          <w:b/>
        </w:rPr>
        <w:t>151</w:t>
      </w:r>
      <w:r w:rsidRPr="003C0425">
        <w:t>, 130-138</w:t>
      </w:r>
    </w:p>
    <w:p w14:paraId="4A8DDFB3" w14:textId="77777777" w:rsidR="003C0425" w:rsidRPr="003C0425" w:rsidRDefault="003C0425" w:rsidP="003C0425">
      <w:pPr>
        <w:pStyle w:val="EndNoteBibliography"/>
        <w:spacing w:after="0"/>
        <w:ind w:left="720" w:hanging="720"/>
      </w:pPr>
      <w:r w:rsidRPr="003C0425">
        <w:t>29.</w:t>
      </w:r>
      <w:r w:rsidRPr="003C0425">
        <w:tab/>
        <w:t xml:space="preserve">Rohr, M. W., Narasimhulu, C. A., Rudeski-Rohr, T. A., and Parthasarathy, S. (2020) Negative effects of a high-fat diet on intestinal permeability: a review. </w:t>
      </w:r>
      <w:r w:rsidRPr="003C0425">
        <w:rPr>
          <w:i/>
        </w:rPr>
        <w:t>Advances in Nutrition</w:t>
      </w:r>
      <w:r w:rsidRPr="003C0425">
        <w:t xml:space="preserve"> </w:t>
      </w:r>
      <w:r w:rsidRPr="003C0425">
        <w:rPr>
          <w:b/>
        </w:rPr>
        <w:t>11</w:t>
      </w:r>
      <w:r w:rsidRPr="003C0425">
        <w:t>, 77-91</w:t>
      </w:r>
    </w:p>
    <w:p w14:paraId="1F39FC8E" w14:textId="77777777" w:rsidR="003C0425" w:rsidRPr="003C0425" w:rsidRDefault="003C0425" w:rsidP="003C0425">
      <w:pPr>
        <w:pStyle w:val="EndNoteBibliography"/>
        <w:spacing w:after="0"/>
        <w:ind w:left="720" w:hanging="720"/>
      </w:pPr>
      <w:r w:rsidRPr="003C0425">
        <w:t>30.</w:t>
      </w:r>
      <w:r w:rsidRPr="003C0425">
        <w:tab/>
        <w:t xml:space="preserve">Usami, M., Komurasaki, T., Hanada, A., Kinoshita, K., and Ohata, A. (2003) Effect of γ-linolenic acid or docosahexaenoic acid on tight junction permeability in intestinal monolayer cells and their mechanism by protein kinase C activation and/or eicosanoid formation. </w:t>
      </w:r>
      <w:r w:rsidRPr="003C0425">
        <w:rPr>
          <w:i/>
        </w:rPr>
        <w:t>Nutrition</w:t>
      </w:r>
      <w:r w:rsidRPr="003C0425">
        <w:t xml:space="preserve"> </w:t>
      </w:r>
      <w:r w:rsidRPr="003C0425">
        <w:rPr>
          <w:b/>
        </w:rPr>
        <w:t>19</w:t>
      </w:r>
      <w:r w:rsidRPr="003C0425">
        <w:t>, 150-156</w:t>
      </w:r>
    </w:p>
    <w:p w14:paraId="18FE5946" w14:textId="77777777" w:rsidR="003C0425" w:rsidRPr="003C0425" w:rsidRDefault="003C0425" w:rsidP="003C0425">
      <w:pPr>
        <w:pStyle w:val="EndNoteBibliography"/>
        <w:spacing w:after="0"/>
        <w:ind w:left="720" w:hanging="720"/>
      </w:pPr>
      <w:r w:rsidRPr="003C0425">
        <w:lastRenderedPageBreak/>
        <w:t>31.</w:t>
      </w:r>
      <w:r w:rsidRPr="003C0425">
        <w:tab/>
        <w:t xml:space="preserve">Aspenström-Fagerlund, B., Sundström, B., Tallkvist, J., Ilbäck, N.-G., and Glynn, A. W. (2009) Fatty acids increase paracellular absorption of aluminium across Caco-2 cell monolayers. </w:t>
      </w:r>
      <w:r w:rsidRPr="003C0425">
        <w:rPr>
          <w:i/>
        </w:rPr>
        <w:t>Chemico-biological interactions</w:t>
      </w:r>
      <w:r w:rsidRPr="003C0425">
        <w:t xml:space="preserve"> </w:t>
      </w:r>
      <w:r w:rsidRPr="003C0425">
        <w:rPr>
          <w:b/>
        </w:rPr>
        <w:t>181</w:t>
      </w:r>
      <w:r w:rsidRPr="003C0425">
        <w:t>, 272-278</w:t>
      </w:r>
    </w:p>
    <w:p w14:paraId="2131C721" w14:textId="77777777" w:rsidR="003C0425" w:rsidRPr="003C0425" w:rsidRDefault="003C0425" w:rsidP="003C0425">
      <w:pPr>
        <w:pStyle w:val="EndNoteBibliography"/>
        <w:spacing w:after="0"/>
        <w:ind w:left="720" w:hanging="720"/>
      </w:pPr>
      <w:r w:rsidRPr="003C0425">
        <w:t>32.</w:t>
      </w:r>
      <w:r w:rsidRPr="003C0425">
        <w:tab/>
        <w:t xml:space="preserve">Roberts, C. L., Rushworth, S. L., Richman, E., and Rhodes, J. M. (2013) Hypothesis: Increased consumption of emulsifiers as an explanation for the rising incidence of Crohn's disease. </w:t>
      </w:r>
      <w:r w:rsidRPr="003C0425">
        <w:rPr>
          <w:i/>
        </w:rPr>
        <w:t>Journal of Crohn's and Colitis</w:t>
      </w:r>
      <w:r w:rsidRPr="003C0425">
        <w:t xml:space="preserve"> </w:t>
      </w:r>
      <w:r w:rsidRPr="003C0425">
        <w:rPr>
          <w:b/>
        </w:rPr>
        <w:t>7</w:t>
      </w:r>
      <w:r w:rsidRPr="003C0425">
        <w:t>, 338-341</w:t>
      </w:r>
    </w:p>
    <w:p w14:paraId="54B823BF" w14:textId="77777777" w:rsidR="003C0425" w:rsidRPr="003C0425" w:rsidRDefault="003C0425" w:rsidP="003C0425">
      <w:pPr>
        <w:pStyle w:val="EndNoteBibliography"/>
        <w:spacing w:after="0"/>
        <w:ind w:left="720" w:hanging="720"/>
      </w:pPr>
      <w:r w:rsidRPr="003C0425">
        <w:t>33.</w:t>
      </w:r>
      <w:r w:rsidRPr="003C0425">
        <w:tab/>
        <w:t xml:space="preserve">Chassaing, B., Koren, O., Goodrich, J. K., Poole, A. C., Srinivasan, S., Ley, R. E., and Gewirtz, A. T. (2015) Dietary emulsifiers impact the mouse gut microbiota promoting colitis and metabolic syndrome. </w:t>
      </w:r>
      <w:r w:rsidRPr="003C0425">
        <w:rPr>
          <w:i/>
        </w:rPr>
        <w:t>Nature</w:t>
      </w:r>
      <w:r w:rsidRPr="003C0425">
        <w:t xml:space="preserve"> </w:t>
      </w:r>
      <w:r w:rsidRPr="003C0425">
        <w:rPr>
          <w:b/>
        </w:rPr>
        <w:t>519</w:t>
      </w:r>
      <w:r w:rsidRPr="003C0425">
        <w:t>, 92-96</w:t>
      </w:r>
    </w:p>
    <w:p w14:paraId="2867A77A" w14:textId="77777777" w:rsidR="003C0425" w:rsidRPr="003C0425" w:rsidRDefault="003C0425" w:rsidP="003C0425">
      <w:pPr>
        <w:pStyle w:val="EndNoteBibliography"/>
        <w:spacing w:after="0"/>
        <w:ind w:left="720" w:hanging="720"/>
      </w:pPr>
      <w:r w:rsidRPr="003C0425">
        <w:t>34.</w:t>
      </w:r>
      <w:r w:rsidRPr="003C0425">
        <w:tab/>
        <w:t xml:space="preserve">Aziz, I., Branchi, F., Pearson, K., Priest, J., and Sanders, D. S. (2015) A study evaluating the bidirectional relationship between inflammatory bowel disease and self-reported non-celiac gluten sensitivity. </w:t>
      </w:r>
      <w:r w:rsidRPr="003C0425">
        <w:rPr>
          <w:i/>
        </w:rPr>
        <w:t>Inflammatory bowel diseases</w:t>
      </w:r>
      <w:r w:rsidRPr="003C0425">
        <w:t xml:space="preserve"> </w:t>
      </w:r>
      <w:r w:rsidRPr="003C0425">
        <w:rPr>
          <w:b/>
        </w:rPr>
        <w:t>21</w:t>
      </w:r>
      <w:r w:rsidRPr="003C0425">
        <w:t>, 847-853</w:t>
      </w:r>
    </w:p>
    <w:p w14:paraId="3D6FE152" w14:textId="77777777" w:rsidR="003C0425" w:rsidRPr="003C0425" w:rsidRDefault="003C0425" w:rsidP="003C0425">
      <w:pPr>
        <w:pStyle w:val="EndNoteBibliography"/>
        <w:spacing w:after="0"/>
        <w:ind w:left="720" w:hanging="720"/>
      </w:pPr>
      <w:r w:rsidRPr="003C0425">
        <w:t>35.</w:t>
      </w:r>
      <w:r w:rsidRPr="003C0425">
        <w:tab/>
        <w:t xml:space="preserve">Herfarth, H. H., Martin, C. F., Sandler, R. S., Kappelman, M. D., and Long, M. D. (2014) Prevalence of a gluten-free diet and improvement of clinical symptoms in patients with inflammatory bowel diseases. </w:t>
      </w:r>
      <w:r w:rsidRPr="003C0425">
        <w:rPr>
          <w:i/>
        </w:rPr>
        <w:t>Inflammatory bowel diseases</w:t>
      </w:r>
      <w:r w:rsidRPr="003C0425">
        <w:t xml:space="preserve"> </w:t>
      </w:r>
      <w:r w:rsidRPr="003C0425">
        <w:rPr>
          <w:b/>
        </w:rPr>
        <w:t>20</w:t>
      </w:r>
      <w:r w:rsidRPr="003C0425">
        <w:t>, 1194-1197</w:t>
      </w:r>
    </w:p>
    <w:p w14:paraId="761AE68F" w14:textId="77777777" w:rsidR="003C0425" w:rsidRPr="003C0425" w:rsidRDefault="003C0425" w:rsidP="003C0425">
      <w:pPr>
        <w:pStyle w:val="EndNoteBibliography"/>
        <w:spacing w:after="0"/>
        <w:ind w:left="720" w:hanging="720"/>
      </w:pPr>
      <w:r w:rsidRPr="003C0425">
        <w:t>36.</w:t>
      </w:r>
      <w:r w:rsidRPr="003C0425">
        <w:tab/>
        <w:t xml:space="preserve">Gunasekeera, V., Mendall, M. A., Chan, D., and Kumar, D. (2016) Treatment of Crohn’s disease with an IgG4-guided exclusion diet: a randomized controlled trial. </w:t>
      </w:r>
      <w:r w:rsidRPr="003C0425">
        <w:rPr>
          <w:i/>
        </w:rPr>
        <w:t>Digestive diseases and sciences</w:t>
      </w:r>
      <w:r w:rsidRPr="003C0425">
        <w:t xml:space="preserve"> </w:t>
      </w:r>
      <w:r w:rsidRPr="003C0425">
        <w:rPr>
          <w:b/>
        </w:rPr>
        <w:t>61</w:t>
      </w:r>
      <w:r w:rsidRPr="003C0425">
        <w:t>, 1148-1157</w:t>
      </w:r>
    </w:p>
    <w:p w14:paraId="38705498" w14:textId="77777777" w:rsidR="003C0425" w:rsidRPr="003C0425" w:rsidRDefault="003C0425" w:rsidP="003C0425">
      <w:pPr>
        <w:pStyle w:val="EndNoteBibliography"/>
        <w:spacing w:after="0"/>
        <w:ind w:left="720" w:hanging="720"/>
      </w:pPr>
      <w:r w:rsidRPr="003C0425">
        <w:t>37.</w:t>
      </w:r>
      <w:r w:rsidRPr="003C0425">
        <w:tab/>
        <w:t xml:space="preserve">Potter, M. D., Walker, M. M., Jones, M. P., Koloski, N. A., Keely, S., and Talley, N. J. (2018) Wheat intolerance and chronic gastrointestinal symptoms in an Australian population-based study: association between wheat sensitivity, celiac disease and functional gastrointestinal disorders. </w:t>
      </w:r>
      <w:r w:rsidRPr="003C0425">
        <w:rPr>
          <w:i/>
        </w:rPr>
        <w:t>American Journal of Gastroenterology</w:t>
      </w:r>
      <w:r w:rsidRPr="003C0425">
        <w:t xml:space="preserve"> </w:t>
      </w:r>
      <w:r w:rsidRPr="003C0425">
        <w:rPr>
          <w:b/>
        </w:rPr>
        <w:t>113</w:t>
      </w:r>
      <w:r w:rsidRPr="003C0425">
        <w:t>, 1036-1044</w:t>
      </w:r>
    </w:p>
    <w:p w14:paraId="6C5678B0" w14:textId="77777777" w:rsidR="003C0425" w:rsidRPr="003C0425" w:rsidRDefault="003C0425" w:rsidP="003C0425">
      <w:pPr>
        <w:pStyle w:val="EndNoteBibliography"/>
        <w:ind w:left="720" w:hanging="720"/>
      </w:pPr>
      <w:r w:rsidRPr="003C0425">
        <w:t>38.</w:t>
      </w:r>
      <w:r w:rsidRPr="003C0425">
        <w:tab/>
        <w:t xml:space="preserve">Tuso, P. J., Ismail, M. H., Ha, B. P., and Bartolotto, C. (2013) Nutritional update for physicians: plant-based diets. </w:t>
      </w:r>
      <w:r w:rsidRPr="003C0425">
        <w:rPr>
          <w:i/>
        </w:rPr>
        <w:t>The Permanente Journal</w:t>
      </w:r>
      <w:r w:rsidRPr="003C0425">
        <w:t xml:space="preserve"> </w:t>
      </w:r>
      <w:r w:rsidRPr="003C0425">
        <w:rPr>
          <w:b/>
        </w:rPr>
        <w:t>17</w:t>
      </w:r>
      <w:r w:rsidRPr="003C0425">
        <w:t>, 61</w:t>
      </w:r>
    </w:p>
    <w:p w14:paraId="0EB5122B" w14:textId="1D316578" w:rsidR="00BF02D6" w:rsidRPr="0097142F" w:rsidRDefault="00BF02D6" w:rsidP="0097142F">
      <w:pPr>
        <w:ind w:firstLine="720"/>
      </w:pPr>
      <w:r w:rsidRPr="00BF02D6">
        <w:rPr>
          <w:sz w:val="24"/>
          <w:szCs w:val="24"/>
        </w:rPr>
        <w:fldChar w:fldCharType="end"/>
      </w:r>
    </w:p>
    <w:sectPr w:rsidR="00BF02D6" w:rsidRPr="0097142F" w:rsidSect="00773D60">
      <w:headerReference w:type="default" r:id="rId11"/>
      <w:footerReference w:type="default" r:id="rId12"/>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711F5" w14:textId="77777777" w:rsidR="00D85448" w:rsidRDefault="00D85448" w:rsidP="003333FD">
      <w:pPr>
        <w:spacing w:after="0" w:line="240" w:lineRule="auto"/>
      </w:pPr>
      <w:r>
        <w:separator/>
      </w:r>
    </w:p>
  </w:endnote>
  <w:endnote w:type="continuationSeparator" w:id="0">
    <w:p w14:paraId="2972301B" w14:textId="77777777" w:rsidR="00D85448" w:rsidRDefault="00D85448" w:rsidP="0033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aunPenh">
    <w:panose1 w:val="01010101010101010101"/>
    <w:charset w:val="00"/>
    <w:family w:val="auto"/>
    <w:pitch w:val="variable"/>
    <w:sig w:usb0="80000003" w:usb1="00000000" w:usb2="00010000" w:usb3="00000000" w:csb0="00000001" w:csb1="00000000"/>
  </w:font>
  <w:font w:name="Times">
    <w:panose1 w:val="02020603050405020304"/>
    <w:charset w:val="00"/>
    <w:family w:val="roman"/>
    <w:pitch w:val="variable"/>
    <w:sig w:usb0="E0002EFF" w:usb1="C000785B" w:usb2="00000009" w:usb3="00000000" w:csb0="000001FF" w:csb1="00000000"/>
  </w:font>
  <w:font w:name="MoolBoran">
    <w:panose1 w:val="020B0100010101010101"/>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382325"/>
      <w:docPartObj>
        <w:docPartGallery w:val="Page Numbers (Bottom of Page)"/>
        <w:docPartUnique/>
      </w:docPartObj>
    </w:sdtPr>
    <w:sdtEndPr>
      <w:rPr>
        <w:rFonts w:ascii="Times New Roman" w:hAnsi="Times New Roman" w:cs="Times New Roman"/>
        <w:noProof/>
        <w:sz w:val="24"/>
        <w:szCs w:val="24"/>
      </w:rPr>
    </w:sdtEndPr>
    <w:sdtContent>
      <w:p w14:paraId="17D2FA79" w14:textId="77777777" w:rsidR="002D06BE" w:rsidRPr="004800BB" w:rsidRDefault="002D06BE" w:rsidP="00773D60">
        <w:pPr>
          <w:pStyle w:val="Footer"/>
          <w:ind w:left="4127" w:firstLine="4513"/>
          <w:rPr>
            <w:rFonts w:ascii="Times New Roman" w:hAnsi="Times New Roman" w:cs="Times New Roman"/>
            <w:sz w:val="24"/>
            <w:szCs w:val="24"/>
          </w:rPr>
        </w:pPr>
        <w:r w:rsidRPr="004800BB">
          <w:rPr>
            <w:rFonts w:ascii="Times New Roman" w:hAnsi="Times New Roman" w:cs="Times New Roman"/>
            <w:sz w:val="24"/>
            <w:szCs w:val="24"/>
          </w:rPr>
          <w:fldChar w:fldCharType="begin"/>
        </w:r>
        <w:r w:rsidRPr="004800BB">
          <w:rPr>
            <w:rFonts w:ascii="Times New Roman" w:hAnsi="Times New Roman" w:cs="Times New Roman"/>
            <w:sz w:val="24"/>
            <w:szCs w:val="24"/>
          </w:rPr>
          <w:instrText xml:space="preserve"> PAGE   \* MERGEFORMAT </w:instrText>
        </w:r>
        <w:r w:rsidRPr="004800BB">
          <w:rPr>
            <w:rFonts w:ascii="Times New Roman" w:hAnsi="Times New Roman" w:cs="Times New Roman"/>
            <w:sz w:val="24"/>
            <w:szCs w:val="24"/>
          </w:rPr>
          <w:fldChar w:fldCharType="separate"/>
        </w:r>
        <w:r>
          <w:rPr>
            <w:rFonts w:ascii="Times New Roman" w:hAnsi="Times New Roman" w:cs="Times New Roman"/>
            <w:sz w:val="24"/>
            <w:szCs w:val="24"/>
          </w:rPr>
          <w:t>1</w:t>
        </w:r>
        <w:r w:rsidRPr="004800BB">
          <w:rPr>
            <w:rFonts w:ascii="Times New Roman" w:hAnsi="Times New Roman" w:cs="Times New Roman"/>
            <w:noProof/>
            <w:sz w:val="24"/>
            <w:szCs w:val="24"/>
          </w:rPr>
          <w:fldChar w:fldCharType="end"/>
        </w:r>
      </w:p>
    </w:sdtContent>
  </w:sdt>
  <w:p w14:paraId="13DFAEB4" w14:textId="243250AB" w:rsidR="002D06BE" w:rsidRPr="004800BB" w:rsidRDefault="002D06BE" w:rsidP="003333FD">
    <w:pPr>
      <w:pStyle w:val="Footer"/>
      <w:rPr>
        <w:rFonts w:ascii="Times New Roman" w:hAnsi="Times New Roman" w:cs="Times New Roman"/>
        <w:sz w:val="24"/>
        <w:szCs w:val="24"/>
      </w:rPr>
    </w:pPr>
    <w:r>
      <w:rPr>
        <w:rFonts w:ascii="Times New Roman" w:hAnsi="Times New Roman" w:cs="Times New Roman"/>
        <w:sz w:val="24"/>
        <w:szCs w:val="24"/>
      </w:rPr>
      <w:t xml:space="preserve">Diet in </w:t>
    </w:r>
    <w:r w:rsidRPr="004800BB">
      <w:rPr>
        <w:rFonts w:ascii="Times New Roman" w:hAnsi="Times New Roman" w:cs="Times New Roman"/>
        <w:sz w:val="24"/>
        <w:szCs w:val="24"/>
      </w:rPr>
      <w:t>C</w:t>
    </w:r>
    <w:r>
      <w:rPr>
        <w:rFonts w:ascii="Times New Roman" w:hAnsi="Times New Roman" w:cs="Times New Roman"/>
        <w:sz w:val="24"/>
        <w:szCs w:val="24"/>
      </w:rPr>
      <w:t>rohn’s Disease Study</w:t>
    </w:r>
    <w:r w:rsidRPr="004800BB">
      <w:rPr>
        <w:rFonts w:ascii="Times New Roman" w:hAnsi="Times New Roman" w:cs="Times New Roman"/>
        <w:sz w:val="24"/>
        <w:szCs w:val="24"/>
      </w:rPr>
      <w:t xml:space="preserve"> Protocol V</w:t>
    </w:r>
    <w:r>
      <w:rPr>
        <w:rFonts w:ascii="Times New Roman" w:hAnsi="Times New Roman" w:cs="Times New Roman"/>
        <w:sz w:val="24"/>
        <w:szCs w:val="24"/>
      </w:rPr>
      <w:t>3</w:t>
    </w:r>
    <w:r w:rsidRPr="004800BB">
      <w:rPr>
        <w:rFonts w:ascii="Times New Roman" w:hAnsi="Times New Roman" w:cs="Times New Roman"/>
        <w:sz w:val="24"/>
        <w:szCs w:val="24"/>
      </w:rPr>
      <w:t xml:space="preserve"> </w:t>
    </w:r>
    <w:r w:rsidR="00773D60">
      <w:rPr>
        <w:rFonts w:ascii="Times New Roman" w:hAnsi="Times New Roman" w:cs="Times New Roman"/>
        <w:sz w:val="24"/>
        <w:szCs w:val="24"/>
      </w:rPr>
      <w:t>25</w:t>
    </w:r>
    <w:r w:rsidRPr="004800BB">
      <w:rPr>
        <w:rFonts w:ascii="Times New Roman" w:hAnsi="Times New Roman" w:cs="Times New Roman"/>
        <w:sz w:val="24"/>
        <w:szCs w:val="24"/>
      </w:rPr>
      <w:t>/0</w:t>
    </w:r>
    <w:r>
      <w:rPr>
        <w:rFonts w:ascii="Times New Roman" w:hAnsi="Times New Roman" w:cs="Times New Roman"/>
        <w:sz w:val="24"/>
        <w:szCs w:val="24"/>
      </w:rPr>
      <w:t>8</w:t>
    </w:r>
    <w:r w:rsidRPr="004800BB">
      <w:rPr>
        <w:rFonts w:ascii="Times New Roman" w:hAnsi="Times New Roman" w:cs="Times New Roman"/>
        <w:sz w:val="24"/>
        <w:szCs w:val="24"/>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BB394" w14:textId="77777777" w:rsidR="00D85448" w:rsidRDefault="00D85448" w:rsidP="003333FD">
      <w:pPr>
        <w:spacing w:after="0" w:line="240" w:lineRule="auto"/>
      </w:pPr>
      <w:r>
        <w:separator/>
      </w:r>
    </w:p>
  </w:footnote>
  <w:footnote w:type="continuationSeparator" w:id="0">
    <w:p w14:paraId="1843103A" w14:textId="77777777" w:rsidR="00D85448" w:rsidRDefault="00D85448" w:rsidP="00333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8F533" w14:textId="77777777" w:rsidR="002D06BE" w:rsidRPr="00650F64" w:rsidRDefault="002D06BE" w:rsidP="003333FD">
    <w:pPr>
      <w:pStyle w:val="Header"/>
      <w:rPr>
        <w:rFonts w:ascii="Times" w:hAnsi="Times" w:cs="Times"/>
      </w:rPr>
    </w:pPr>
    <w:r w:rsidRPr="00650F64">
      <w:rPr>
        <w:rFonts w:ascii="Times" w:hAnsi="Times" w:cs="Times"/>
      </w:rPr>
      <w:t>Study Protocol</w:t>
    </w:r>
    <w:r>
      <w:rPr>
        <w:rFonts w:ascii="Times" w:hAnsi="Times" w:cs="Times"/>
      </w:rPr>
      <w:t xml:space="preserve">: Diet in </w:t>
    </w:r>
    <w:r w:rsidRPr="00650F64">
      <w:rPr>
        <w:rFonts w:ascii="Times" w:hAnsi="Times" w:cs="Times"/>
      </w:rPr>
      <w:t>Crohn’s Disease</w:t>
    </w:r>
  </w:p>
  <w:p w14:paraId="5DAC4A42" w14:textId="727AD4F7" w:rsidR="002D06BE" w:rsidRPr="003333FD" w:rsidRDefault="002D06BE" w:rsidP="00333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09D"/>
    <w:multiLevelType w:val="hybridMultilevel"/>
    <w:tmpl w:val="10D290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E84B77"/>
    <w:multiLevelType w:val="hybridMultilevel"/>
    <w:tmpl w:val="027A57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C67F69"/>
    <w:multiLevelType w:val="hybridMultilevel"/>
    <w:tmpl w:val="E0304C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A8570E"/>
    <w:multiLevelType w:val="hybridMultilevel"/>
    <w:tmpl w:val="9926AF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6E0B31"/>
    <w:multiLevelType w:val="hybridMultilevel"/>
    <w:tmpl w:val="590E07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B87FDB"/>
    <w:multiLevelType w:val="hybridMultilevel"/>
    <w:tmpl w:val="045E0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4305F0"/>
    <w:multiLevelType w:val="hybridMultilevel"/>
    <w:tmpl w:val="55E0D6A8"/>
    <w:lvl w:ilvl="0" w:tplc="9BC0A8E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86D2048"/>
    <w:multiLevelType w:val="hybridMultilevel"/>
    <w:tmpl w:val="8E68AD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695246F"/>
    <w:multiLevelType w:val="hybridMultilevel"/>
    <w:tmpl w:val="30524314"/>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9B33A52"/>
    <w:multiLevelType w:val="hybridMultilevel"/>
    <w:tmpl w:val="11E043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A3075D"/>
    <w:multiLevelType w:val="hybridMultilevel"/>
    <w:tmpl w:val="552E26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E1C076D"/>
    <w:multiLevelType w:val="hybridMultilevel"/>
    <w:tmpl w:val="2A14C5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D544D14"/>
    <w:multiLevelType w:val="hybridMultilevel"/>
    <w:tmpl w:val="CF26823C"/>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117AB0"/>
    <w:multiLevelType w:val="hybridMultilevel"/>
    <w:tmpl w:val="AC608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FC69DE"/>
    <w:multiLevelType w:val="multilevel"/>
    <w:tmpl w:val="587AA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482FEB"/>
    <w:multiLevelType w:val="hybridMultilevel"/>
    <w:tmpl w:val="04C67C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5FE0695D"/>
    <w:multiLevelType w:val="hybridMultilevel"/>
    <w:tmpl w:val="BAA4C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287E43"/>
    <w:multiLevelType w:val="hybridMultilevel"/>
    <w:tmpl w:val="3F6A29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9022A7"/>
    <w:multiLevelType w:val="hybridMultilevel"/>
    <w:tmpl w:val="217276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AB2C90"/>
    <w:multiLevelType w:val="hybridMultilevel"/>
    <w:tmpl w:val="6344A3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95523D4"/>
    <w:multiLevelType w:val="hybridMultilevel"/>
    <w:tmpl w:val="97B6A0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3632D3"/>
    <w:multiLevelType w:val="hybridMultilevel"/>
    <w:tmpl w:val="F886E32A"/>
    <w:lvl w:ilvl="0" w:tplc="49CA1D40">
      <w:start w:val="1"/>
      <w:numFmt w:val="decimal"/>
      <w:lvlText w:val="%1."/>
      <w:lvlJc w:val="left"/>
      <w:pPr>
        <w:ind w:left="1080" w:hanging="360"/>
      </w:pPr>
      <w:rPr>
        <w:rFonts w:ascii="Times New Roman" w:hAnsi="Times New Roman" w:cs="Times New Roman" w:hint="default"/>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E3F3DD4"/>
    <w:multiLevelType w:val="hybridMultilevel"/>
    <w:tmpl w:val="1116F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6A2A60"/>
    <w:multiLevelType w:val="hybridMultilevel"/>
    <w:tmpl w:val="CBF408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0C16C0"/>
    <w:multiLevelType w:val="hybridMultilevel"/>
    <w:tmpl w:val="0E5E9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612AF3"/>
    <w:multiLevelType w:val="multilevel"/>
    <w:tmpl w:val="C5CA5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E749E8"/>
    <w:multiLevelType w:val="hybridMultilevel"/>
    <w:tmpl w:val="41025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7"/>
  </w:num>
  <w:num w:numId="3">
    <w:abstractNumId w:val="23"/>
  </w:num>
  <w:num w:numId="4">
    <w:abstractNumId w:val="9"/>
  </w:num>
  <w:num w:numId="5">
    <w:abstractNumId w:val="20"/>
  </w:num>
  <w:num w:numId="6">
    <w:abstractNumId w:val="4"/>
  </w:num>
  <w:num w:numId="7">
    <w:abstractNumId w:val="10"/>
  </w:num>
  <w:num w:numId="8">
    <w:abstractNumId w:val="15"/>
  </w:num>
  <w:num w:numId="9">
    <w:abstractNumId w:val="22"/>
  </w:num>
  <w:num w:numId="10">
    <w:abstractNumId w:val="3"/>
  </w:num>
  <w:num w:numId="11">
    <w:abstractNumId w:val="13"/>
  </w:num>
  <w:num w:numId="12">
    <w:abstractNumId w:val="24"/>
  </w:num>
  <w:num w:numId="13">
    <w:abstractNumId w:val="12"/>
  </w:num>
  <w:num w:numId="14">
    <w:abstractNumId w:val="1"/>
  </w:num>
  <w:num w:numId="15">
    <w:abstractNumId w:val="26"/>
  </w:num>
  <w:num w:numId="16">
    <w:abstractNumId w:val="21"/>
  </w:num>
  <w:num w:numId="17">
    <w:abstractNumId w:val="11"/>
  </w:num>
  <w:num w:numId="18">
    <w:abstractNumId w:val="6"/>
  </w:num>
  <w:num w:numId="19">
    <w:abstractNumId w:val="5"/>
  </w:num>
  <w:num w:numId="20">
    <w:abstractNumId w:val="0"/>
  </w:num>
  <w:num w:numId="21">
    <w:abstractNumId w:val="2"/>
  </w:num>
  <w:num w:numId="22">
    <w:abstractNumId w:val="7"/>
  </w:num>
  <w:num w:numId="23">
    <w:abstractNumId w:val="8"/>
  </w:num>
  <w:num w:numId="24">
    <w:abstractNumId w:val="16"/>
  </w:num>
  <w:num w:numId="25">
    <w:abstractNumId w:val="19"/>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Biological Che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fsxr0xzazsaeefp295v5pjt5p2rwr2vv05&quot;&gt;My EndNote Library Protocol&lt;record-ids&gt;&lt;item&gt;1&lt;/item&gt;&lt;item&gt;2&lt;/item&gt;&lt;item&gt;3&lt;/item&gt;&lt;item&gt;4&lt;/item&gt;&lt;item&gt;5&lt;/item&gt;&lt;item&gt;6&lt;/item&gt;&lt;item&gt;7&lt;/item&gt;&lt;item&gt;9&lt;/item&gt;&lt;item&gt;15&lt;/item&gt;&lt;item&gt;16&lt;/item&gt;&lt;item&gt;18&lt;/item&gt;&lt;item&gt;19&lt;/item&gt;&lt;item&gt;26&lt;/item&gt;&lt;item&gt;27&lt;/item&gt;&lt;item&gt;37&lt;/item&gt;&lt;item&gt;38&lt;/item&gt;&lt;item&gt;39&lt;/item&gt;&lt;item&gt;40&lt;/item&gt;&lt;item&gt;41&lt;/item&gt;&lt;item&gt;44&lt;/item&gt;&lt;item&gt;45&lt;/item&gt;&lt;item&gt;46&lt;/item&gt;&lt;item&gt;47&lt;/item&gt;&lt;item&gt;48&lt;/item&gt;&lt;item&gt;49&lt;/item&gt;&lt;item&gt;51&lt;/item&gt;&lt;item&gt;56&lt;/item&gt;&lt;item&gt;57&lt;/item&gt;&lt;item&gt;74&lt;/item&gt;&lt;item&gt;75&lt;/item&gt;&lt;item&gt;76&lt;/item&gt;&lt;item&gt;78&lt;/item&gt;&lt;item&gt;79&lt;/item&gt;&lt;item&gt;80&lt;/item&gt;&lt;item&gt;82&lt;/item&gt;&lt;item&gt;91&lt;/item&gt;&lt;item&gt;92&lt;/item&gt;&lt;/record-ids&gt;&lt;/item&gt;&lt;/Libraries&gt;"/>
  </w:docVars>
  <w:rsids>
    <w:rsidRoot w:val="003333FD"/>
    <w:rsid w:val="00035CCE"/>
    <w:rsid w:val="000879A2"/>
    <w:rsid w:val="0009161F"/>
    <w:rsid w:val="000D5378"/>
    <w:rsid w:val="000E1932"/>
    <w:rsid w:val="00121E60"/>
    <w:rsid w:val="00147C3D"/>
    <w:rsid w:val="00150932"/>
    <w:rsid w:val="00180173"/>
    <w:rsid w:val="001F139A"/>
    <w:rsid w:val="001F29A5"/>
    <w:rsid w:val="002172D1"/>
    <w:rsid w:val="002214EA"/>
    <w:rsid w:val="00243E2F"/>
    <w:rsid w:val="00255F96"/>
    <w:rsid w:val="002872DB"/>
    <w:rsid w:val="002917D5"/>
    <w:rsid w:val="0029703F"/>
    <w:rsid w:val="002A234D"/>
    <w:rsid w:val="002C600A"/>
    <w:rsid w:val="002D04EC"/>
    <w:rsid w:val="002D06BE"/>
    <w:rsid w:val="002D0713"/>
    <w:rsid w:val="002E1A37"/>
    <w:rsid w:val="002E5401"/>
    <w:rsid w:val="002E6614"/>
    <w:rsid w:val="003333FD"/>
    <w:rsid w:val="003453DA"/>
    <w:rsid w:val="003541F7"/>
    <w:rsid w:val="00360E94"/>
    <w:rsid w:val="003878F7"/>
    <w:rsid w:val="003C0425"/>
    <w:rsid w:val="003F109C"/>
    <w:rsid w:val="00431D2E"/>
    <w:rsid w:val="00467239"/>
    <w:rsid w:val="004734DF"/>
    <w:rsid w:val="004C3558"/>
    <w:rsid w:val="00511852"/>
    <w:rsid w:val="0054380A"/>
    <w:rsid w:val="00560784"/>
    <w:rsid w:val="005A209F"/>
    <w:rsid w:val="005B3A8E"/>
    <w:rsid w:val="00650DB1"/>
    <w:rsid w:val="00664ABB"/>
    <w:rsid w:val="00673BA4"/>
    <w:rsid w:val="00694CFC"/>
    <w:rsid w:val="006A3105"/>
    <w:rsid w:val="006A4F3D"/>
    <w:rsid w:val="006C006E"/>
    <w:rsid w:val="0071661E"/>
    <w:rsid w:val="00716F1B"/>
    <w:rsid w:val="00733AF8"/>
    <w:rsid w:val="00773D60"/>
    <w:rsid w:val="00794D16"/>
    <w:rsid w:val="007E2B84"/>
    <w:rsid w:val="0080262B"/>
    <w:rsid w:val="00842B42"/>
    <w:rsid w:val="00860D54"/>
    <w:rsid w:val="008620B0"/>
    <w:rsid w:val="00887CB4"/>
    <w:rsid w:val="008B403F"/>
    <w:rsid w:val="008D2F7B"/>
    <w:rsid w:val="008D5FEF"/>
    <w:rsid w:val="008E2E91"/>
    <w:rsid w:val="00903609"/>
    <w:rsid w:val="00954F7A"/>
    <w:rsid w:val="00956710"/>
    <w:rsid w:val="00962032"/>
    <w:rsid w:val="0097142F"/>
    <w:rsid w:val="009A147F"/>
    <w:rsid w:val="009B4206"/>
    <w:rsid w:val="009D4A7E"/>
    <w:rsid w:val="009E079B"/>
    <w:rsid w:val="00A25985"/>
    <w:rsid w:val="00A327AE"/>
    <w:rsid w:val="00A44DE7"/>
    <w:rsid w:val="00A5469D"/>
    <w:rsid w:val="00A85310"/>
    <w:rsid w:val="00AB3A50"/>
    <w:rsid w:val="00AE0BD6"/>
    <w:rsid w:val="00AF612D"/>
    <w:rsid w:val="00B2400F"/>
    <w:rsid w:val="00B61706"/>
    <w:rsid w:val="00BB4CA9"/>
    <w:rsid w:val="00BC3865"/>
    <w:rsid w:val="00BE149C"/>
    <w:rsid w:val="00BE5500"/>
    <w:rsid w:val="00BF02D6"/>
    <w:rsid w:val="00BF7FE9"/>
    <w:rsid w:val="00C11FFD"/>
    <w:rsid w:val="00C34C7E"/>
    <w:rsid w:val="00C63700"/>
    <w:rsid w:val="00C70B2F"/>
    <w:rsid w:val="00C74D00"/>
    <w:rsid w:val="00C750C6"/>
    <w:rsid w:val="00C86E66"/>
    <w:rsid w:val="00CA37EB"/>
    <w:rsid w:val="00CE4588"/>
    <w:rsid w:val="00D023F9"/>
    <w:rsid w:val="00D365EC"/>
    <w:rsid w:val="00D63A1D"/>
    <w:rsid w:val="00D70524"/>
    <w:rsid w:val="00D733B1"/>
    <w:rsid w:val="00D85448"/>
    <w:rsid w:val="00DA4B32"/>
    <w:rsid w:val="00DB0E50"/>
    <w:rsid w:val="00DC1585"/>
    <w:rsid w:val="00DC304E"/>
    <w:rsid w:val="00E11A6C"/>
    <w:rsid w:val="00E14F3A"/>
    <w:rsid w:val="00E17D1C"/>
    <w:rsid w:val="00E25F5E"/>
    <w:rsid w:val="00E2653B"/>
    <w:rsid w:val="00E33861"/>
    <w:rsid w:val="00E35069"/>
    <w:rsid w:val="00E4352B"/>
    <w:rsid w:val="00E67757"/>
    <w:rsid w:val="00E74954"/>
    <w:rsid w:val="00EF177F"/>
    <w:rsid w:val="00F12EA7"/>
    <w:rsid w:val="00F17770"/>
    <w:rsid w:val="00F81413"/>
    <w:rsid w:val="00F91061"/>
    <w:rsid w:val="00FA3AAF"/>
    <w:rsid w:val="00FC572C"/>
    <w:rsid w:val="00FD0AB5"/>
    <w:rsid w:val="00FE61F5"/>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01DC7"/>
  <w15:chartTrackingRefBased/>
  <w15:docId w15:val="{04A2DB0D-4566-4477-B270-2C591739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33FD"/>
  </w:style>
  <w:style w:type="paragraph" w:styleId="Heading1">
    <w:name w:val="heading 1"/>
    <w:basedOn w:val="Normal"/>
    <w:next w:val="Normal"/>
    <w:link w:val="Heading1Char"/>
    <w:uiPriority w:val="9"/>
    <w:qFormat/>
    <w:rsid w:val="002D06BE"/>
    <w:pPr>
      <w:keepNext/>
      <w:keepLines/>
      <w:spacing w:before="360" w:after="120"/>
      <w:outlineLvl w:val="0"/>
    </w:pPr>
    <w:rPr>
      <w:rFonts w:ascii="Times" w:eastAsiaTheme="majorEastAsia" w:hAnsi="Times"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2D06BE"/>
    <w:pPr>
      <w:keepNext/>
      <w:keepLines/>
      <w:spacing w:before="160" w:after="120"/>
      <w:outlineLvl w:val="1"/>
    </w:pPr>
    <w:rPr>
      <w:rFonts w:ascii="Times" w:eastAsiaTheme="majorEastAsia" w:hAnsi="Times" w:cstheme="majorBidi"/>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3FD"/>
  </w:style>
  <w:style w:type="paragraph" w:styleId="Footer">
    <w:name w:val="footer"/>
    <w:basedOn w:val="Normal"/>
    <w:link w:val="FooterChar"/>
    <w:uiPriority w:val="99"/>
    <w:unhideWhenUsed/>
    <w:rsid w:val="00333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3FD"/>
  </w:style>
  <w:style w:type="paragraph" w:styleId="ListParagraph">
    <w:name w:val="List Paragraph"/>
    <w:basedOn w:val="Normal"/>
    <w:uiPriority w:val="34"/>
    <w:qFormat/>
    <w:rsid w:val="003333FD"/>
    <w:pPr>
      <w:ind w:left="720"/>
      <w:contextualSpacing/>
    </w:pPr>
  </w:style>
  <w:style w:type="character" w:customStyle="1" w:styleId="Heading1Char">
    <w:name w:val="Heading 1 Char"/>
    <w:basedOn w:val="DefaultParagraphFont"/>
    <w:link w:val="Heading1"/>
    <w:uiPriority w:val="9"/>
    <w:rsid w:val="002D06BE"/>
    <w:rPr>
      <w:rFonts w:ascii="Times" w:eastAsiaTheme="majorEastAsia" w:hAnsi="Times" w:cstheme="majorBidi"/>
      <w:color w:val="2F5496" w:themeColor="accent1" w:themeShade="BF"/>
      <w:sz w:val="32"/>
      <w:szCs w:val="32"/>
      <w:lang w:val="en-US"/>
    </w:rPr>
  </w:style>
  <w:style w:type="paragraph" w:customStyle="1" w:styleId="EndNoteBibliographyTitle">
    <w:name w:val="EndNote Bibliography Title"/>
    <w:basedOn w:val="Normal"/>
    <w:link w:val="EndNoteBibliographyTitleChar"/>
    <w:rsid w:val="00BF02D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F02D6"/>
    <w:rPr>
      <w:rFonts w:ascii="Calibri" w:hAnsi="Calibri" w:cs="Calibri"/>
      <w:noProof/>
      <w:lang w:val="en-US"/>
    </w:rPr>
  </w:style>
  <w:style w:type="paragraph" w:customStyle="1" w:styleId="EndNoteBibliography">
    <w:name w:val="EndNote Bibliography"/>
    <w:basedOn w:val="Normal"/>
    <w:link w:val="EndNoteBibliographyChar"/>
    <w:rsid w:val="00BF02D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F02D6"/>
    <w:rPr>
      <w:rFonts w:ascii="Calibri" w:hAnsi="Calibri" w:cs="Calibri"/>
      <w:noProof/>
      <w:lang w:val="en-US"/>
    </w:rPr>
  </w:style>
  <w:style w:type="character" w:styleId="CommentReference">
    <w:name w:val="annotation reference"/>
    <w:basedOn w:val="DefaultParagraphFont"/>
    <w:uiPriority w:val="99"/>
    <w:semiHidden/>
    <w:unhideWhenUsed/>
    <w:rsid w:val="009E079B"/>
    <w:rPr>
      <w:sz w:val="16"/>
      <w:szCs w:val="16"/>
    </w:rPr>
  </w:style>
  <w:style w:type="paragraph" w:styleId="CommentText">
    <w:name w:val="annotation text"/>
    <w:basedOn w:val="Normal"/>
    <w:link w:val="CommentTextChar"/>
    <w:uiPriority w:val="99"/>
    <w:semiHidden/>
    <w:unhideWhenUsed/>
    <w:rsid w:val="009E079B"/>
    <w:pPr>
      <w:spacing w:line="240" w:lineRule="auto"/>
    </w:pPr>
    <w:rPr>
      <w:sz w:val="20"/>
      <w:szCs w:val="20"/>
    </w:rPr>
  </w:style>
  <w:style w:type="character" w:customStyle="1" w:styleId="CommentTextChar">
    <w:name w:val="Comment Text Char"/>
    <w:basedOn w:val="DefaultParagraphFont"/>
    <w:link w:val="CommentText"/>
    <w:uiPriority w:val="99"/>
    <w:semiHidden/>
    <w:rsid w:val="009E079B"/>
    <w:rPr>
      <w:sz w:val="20"/>
      <w:szCs w:val="20"/>
    </w:rPr>
  </w:style>
  <w:style w:type="paragraph" w:styleId="CommentSubject">
    <w:name w:val="annotation subject"/>
    <w:basedOn w:val="CommentText"/>
    <w:next w:val="CommentText"/>
    <w:link w:val="CommentSubjectChar"/>
    <w:uiPriority w:val="99"/>
    <w:semiHidden/>
    <w:unhideWhenUsed/>
    <w:rsid w:val="009E079B"/>
    <w:rPr>
      <w:b/>
      <w:bCs/>
    </w:rPr>
  </w:style>
  <w:style w:type="character" w:customStyle="1" w:styleId="CommentSubjectChar">
    <w:name w:val="Comment Subject Char"/>
    <w:basedOn w:val="CommentTextChar"/>
    <w:link w:val="CommentSubject"/>
    <w:uiPriority w:val="99"/>
    <w:semiHidden/>
    <w:rsid w:val="009E079B"/>
    <w:rPr>
      <w:b/>
      <w:bCs/>
      <w:sz w:val="20"/>
      <w:szCs w:val="20"/>
    </w:rPr>
  </w:style>
  <w:style w:type="character" w:customStyle="1" w:styleId="Heading2Char">
    <w:name w:val="Heading 2 Char"/>
    <w:basedOn w:val="DefaultParagraphFont"/>
    <w:link w:val="Heading2"/>
    <w:uiPriority w:val="9"/>
    <w:rsid w:val="002D06BE"/>
    <w:rPr>
      <w:rFonts w:ascii="Times" w:eastAsiaTheme="majorEastAsia" w:hAnsi="Times" w:cstheme="majorBidi"/>
      <w:color w:val="2F5496" w:themeColor="accent1" w:themeShade="BF"/>
      <w:sz w:val="28"/>
      <w:szCs w:val="26"/>
    </w:rPr>
  </w:style>
  <w:style w:type="paragraph" w:styleId="BalloonText">
    <w:name w:val="Balloon Text"/>
    <w:basedOn w:val="Normal"/>
    <w:link w:val="BalloonTextChar"/>
    <w:uiPriority w:val="99"/>
    <w:semiHidden/>
    <w:unhideWhenUsed/>
    <w:rsid w:val="00773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D60"/>
    <w:rPr>
      <w:rFonts w:ascii="Segoe UI" w:hAnsi="Segoe UI" w:cs="Segoe UI"/>
      <w:sz w:val="18"/>
      <w:szCs w:val="18"/>
    </w:rPr>
  </w:style>
  <w:style w:type="table" w:styleId="TableGrid">
    <w:name w:val="Table Grid"/>
    <w:basedOn w:val="TableNormal"/>
    <w:uiPriority w:val="39"/>
    <w:rsid w:val="00694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A175-8716-433F-8BB6-3EC6D901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14202</Words>
  <Characters>80956</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Cheenie Nieva</dc:creator>
  <cp:keywords/>
  <dc:description/>
  <cp:lastModifiedBy>Kerith</cp:lastModifiedBy>
  <cp:revision>2</cp:revision>
  <dcterms:created xsi:type="dcterms:W3CDTF">2021-08-30T04:02:00Z</dcterms:created>
  <dcterms:modified xsi:type="dcterms:W3CDTF">2021-08-30T04:02:00Z</dcterms:modified>
</cp:coreProperties>
</file>