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E172" w14:textId="41991EED" w:rsidR="00D67E19" w:rsidRDefault="000F776E" w:rsidP="000938E7">
      <w:pPr>
        <w:pStyle w:val="ListParagraph"/>
        <w:spacing w:before="120" w:after="120" w:line="360" w:lineRule="auto"/>
        <w:jc w:val="center"/>
        <w:rPr>
          <w:b/>
          <w:bCs/>
        </w:rPr>
      </w:pPr>
      <w:r>
        <w:rPr>
          <w:b/>
          <w:bCs/>
        </w:rPr>
        <w:t xml:space="preserve">CLINICAL </w:t>
      </w:r>
      <w:r w:rsidRPr="000938E7">
        <w:rPr>
          <w:b/>
        </w:rPr>
        <w:t>EFFICACY AND SAFETY OF INTRA-ARTICULAR</w:t>
      </w:r>
      <w:r>
        <w:rPr>
          <w:b/>
          <w:bCs/>
        </w:rPr>
        <w:t xml:space="preserve"> BOTULINUM TOXIN </w:t>
      </w:r>
      <w:proofErr w:type="gramStart"/>
      <w:r>
        <w:rPr>
          <w:b/>
          <w:bCs/>
        </w:rPr>
        <w:t>A</w:t>
      </w:r>
      <w:proofErr w:type="gramEnd"/>
      <w:r>
        <w:rPr>
          <w:b/>
          <w:bCs/>
        </w:rPr>
        <w:t xml:space="preserve"> INJECTIONS FOR KNEE OSTEOARTHRITIS – A RANDOMISED CONTROL TRIAL (STUDY PROTOCOL)</w:t>
      </w:r>
    </w:p>
    <w:p w14:paraId="2973174E" w14:textId="3F51C255" w:rsidR="00696FD6" w:rsidRDefault="00696FD6" w:rsidP="000938E7">
      <w:pPr>
        <w:pStyle w:val="ListParagraph"/>
        <w:spacing w:before="120" w:after="120" w:line="360" w:lineRule="auto"/>
        <w:jc w:val="center"/>
        <w:rPr>
          <w:b/>
          <w:bCs/>
        </w:rPr>
      </w:pPr>
    </w:p>
    <w:p w14:paraId="3E991D28" w14:textId="1B375571" w:rsidR="00696FD6" w:rsidRDefault="00696FD6" w:rsidP="000938E7">
      <w:pPr>
        <w:pStyle w:val="ListParagraph"/>
        <w:spacing w:before="120" w:after="120" w:line="360" w:lineRule="auto"/>
        <w:jc w:val="center"/>
        <w:rPr>
          <w:b/>
          <w:bCs/>
        </w:rPr>
      </w:pPr>
      <w:r w:rsidRPr="000938E7">
        <w:rPr>
          <w:b/>
          <w:highlight w:val="yellow"/>
        </w:rPr>
        <w:t>ABSTRACT</w:t>
      </w:r>
    </w:p>
    <w:p w14:paraId="34D58553" w14:textId="7E68A09C" w:rsidR="00696FD6" w:rsidRDefault="00696FD6" w:rsidP="000F776E">
      <w:pPr>
        <w:pStyle w:val="ListParagraph"/>
        <w:spacing w:before="120" w:after="120" w:line="360" w:lineRule="auto"/>
        <w:jc w:val="center"/>
        <w:rPr>
          <w:b/>
          <w:bCs/>
        </w:rPr>
      </w:pPr>
    </w:p>
    <w:p w14:paraId="0EE66A40" w14:textId="43DD342A" w:rsidR="00696FD6" w:rsidRDefault="00696FD6" w:rsidP="000938E7">
      <w:pPr>
        <w:pStyle w:val="ListParagraph"/>
        <w:spacing w:before="120" w:after="120" w:line="360" w:lineRule="auto"/>
        <w:jc w:val="center"/>
        <w:rPr>
          <w:b/>
          <w:bCs/>
        </w:rPr>
      </w:pPr>
      <w:r>
        <w:rPr>
          <w:b/>
          <w:bCs/>
        </w:rPr>
        <w:t>INTRODUCTION</w:t>
      </w:r>
    </w:p>
    <w:p w14:paraId="2D7E890E" w14:textId="4E7E7CA6" w:rsidR="00B84E89" w:rsidRDefault="00D67E19" w:rsidP="000F776E">
      <w:pPr>
        <w:spacing w:before="120" w:after="120" w:line="360" w:lineRule="auto"/>
        <w:contextualSpacing/>
        <w:jc w:val="both"/>
      </w:pPr>
      <w:r>
        <w:t>The burden of osteoarthritis (OA) in Australia is growing steadily due to our ageing population, rising rates of obesity and a growth in sports-related injuries.</w:t>
      </w:r>
      <w:r>
        <w:rPr>
          <w:rStyle w:val="FootnoteReference"/>
        </w:rPr>
        <w:footnoteReference w:id="2"/>
      </w:r>
      <w:r>
        <w:t xml:space="preserve"> The most recent figures from the Australian Institute of Health and Welfare (AIHW) show that 9.3 percent of Australians have some form of OA.</w:t>
      </w:r>
      <w:r>
        <w:rPr>
          <w:rStyle w:val="FootnoteReference"/>
        </w:rPr>
        <w:footnoteReference w:id="3"/>
      </w:r>
      <w:r>
        <w:t xml:space="preserve"> </w:t>
      </w:r>
      <w:r w:rsidR="00B84E89">
        <w:t>More specifically, knee OA is an increasing issue with the rate of total knee replacements (TKRs) growing exponentially in Australia and other developed countries over the past two decades.</w:t>
      </w:r>
      <w:r w:rsidR="00B84E89">
        <w:rPr>
          <w:rStyle w:val="FootnoteReference"/>
        </w:rPr>
        <w:footnoteReference w:id="4"/>
      </w:r>
      <w:r w:rsidR="00B84E89">
        <w:t xml:space="preserve"> The AIHW states a 38 percent rise in TKRs from 2005-06 to 2017-18.</w:t>
      </w:r>
      <w:r w:rsidR="00B84E89">
        <w:rPr>
          <w:rStyle w:val="FootnoteReference"/>
        </w:rPr>
        <w:footnoteReference w:id="5"/>
      </w:r>
      <w:r w:rsidR="00B84E89">
        <w:t xml:space="preserve"> The average TKR costs between $19,000 to $30,000 per patient and the total estimated cost of TKRs increased from $448 million to $905 million from 2003 to 2013.</w:t>
      </w:r>
      <w:r w:rsidR="00B84E89">
        <w:rPr>
          <w:rStyle w:val="FootnoteReference"/>
        </w:rPr>
        <w:footnoteReference w:id="6"/>
      </w:r>
      <w:r w:rsidR="00B84E89">
        <w:t xml:space="preserve"> It is forecasted that the annual economic burden stemming from TKRs in Australia will sit between $1.38 billion to $3.40 billion by 2030.</w:t>
      </w:r>
      <w:r w:rsidR="00B84E89">
        <w:rPr>
          <w:rStyle w:val="FootnoteReference"/>
        </w:rPr>
        <w:footnoteReference w:id="7"/>
      </w:r>
      <w:r w:rsidR="00B84E89">
        <w:t xml:space="preserve"> These figures render it vital that there is new research into non-operative treatment options for knee OA in Australia. This is particularly the case for</w:t>
      </w:r>
      <w:r w:rsidR="00A92FF0">
        <w:t xml:space="preserve"> the</w:t>
      </w:r>
      <w:r w:rsidR="00B84E89">
        <w:t xml:space="preserve"> younger patient</w:t>
      </w:r>
      <w:r w:rsidR="00A92FF0">
        <w:t xml:space="preserve"> population </w:t>
      </w:r>
      <w:r w:rsidR="00B84E89">
        <w:t xml:space="preserve">given the risk of </w:t>
      </w:r>
      <w:r w:rsidR="00A92FF0">
        <w:t xml:space="preserve">this population requiring </w:t>
      </w:r>
      <w:r w:rsidR="00B84E89">
        <w:t xml:space="preserve">multiple revision procedures. </w:t>
      </w:r>
    </w:p>
    <w:p w14:paraId="5A53532F" w14:textId="77777777" w:rsidR="000F776E" w:rsidRDefault="000F776E" w:rsidP="000F776E">
      <w:pPr>
        <w:spacing w:before="120" w:after="120" w:line="360" w:lineRule="auto"/>
        <w:contextualSpacing/>
        <w:jc w:val="both"/>
      </w:pPr>
    </w:p>
    <w:p w14:paraId="62B63EBE" w14:textId="1AC394ED" w:rsidR="00073EF4" w:rsidRDefault="004E2EB2" w:rsidP="000F776E">
      <w:pPr>
        <w:spacing w:before="120" w:after="120" w:line="360" w:lineRule="auto"/>
        <w:contextualSpacing/>
        <w:jc w:val="both"/>
      </w:pPr>
      <w:r>
        <w:t>The two primary ten</w:t>
      </w:r>
      <w:r w:rsidR="00D71152">
        <w:t>e</w:t>
      </w:r>
      <w:r>
        <w:t>ts of treatment for knee OA are (a) alleviation of pain and (b) improvement in function.</w:t>
      </w:r>
      <w:r w:rsidR="00A92FF0">
        <w:rPr>
          <w:rStyle w:val="FootnoteReference"/>
        </w:rPr>
        <w:footnoteReference w:id="8"/>
      </w:r>
      <w:r>
        <w:t xml:space="preserve"> The </w:t>
      </w:r>
      <w:r w:rsidR="00A92FF0">
        <w:t xml:space="preserve">general framework for </w:t>
      </w:r>
      <w:r>
        <w:t xml:space="preserve">the </w:t>
      </w:r>
      <w:r w:rsidR="00A92FF0">
        <w:t xml:space="preserve">management </w:t>
      </w:r>
      <w:r>
        <w:t xml:space="preserve">of knee OA exists as a multimodal and stepwise </w:t>
      </w:r>
      <w:r w:rsidR="00A92FF0">
        <w:lastRenderedPageBreak/>
        <w:t>approach. The non-operative management options include non-pharmacological interventions, such as exercise, weight loss and bracing, and pharmacological interventions such as oral analgesia, topical analgesia and intra-articular (IA) injections.</w:t>
      </w:r>
      <w:r w:rsidR="00A92FF0">
        <w:rPr>
          <w:rStyle w:val="FootnoteReference"/>
        </w:rPr>
        <w:footnoteReference w:id="9"/>
      </w:r>
      <w:r w:rsidR="00A92FF0">
        <w:t xml:space="preserve"> </w:t>
      </w:r>
      <w:r w:rsidR="00073EF4">
        <w:t>Several</w:t>
      </w:r>
      <w:r w:rsidR="00DE5B2C">
        <w:t xml:space="preserve"> IA injection options have been studied over recent years, including botulinum toxin type A (BTA), corticosteroids</w:t>
      </w:r>
      <w:r w:rsidR="00742369">
        <w:t xml:space="preserve"> (CS)</w:t>
      </w:r>
      <w:r w:rsidR="00DE5B2C">
        <w:t xml:space="preserve">, hyaluronic acid (HA), dextrose prolotherapy and platelet-rich plasma (PRP). </w:t>
      </w:r>
    </w:p>
    <w:p w14:paraId="43F76A88" w14:textId="77777777" w:rsidR="000F776E" w:rsidRDefault="000F776E" w:rsidP="000F776E">
      <w:pPr>
        <w:spacing w:before="120" w:after="120" w:line="360" w:lineRule="auto"/>
        <w:contextualSpacing/>
        <w:jc w:val="both"/>
      </w:pPr>
    </w:p>
    <w:p w14:paraId="6CD16A15" w14:textId="4E996EB3" w:rsidR="00073EF4" w:rsidRDefault="00073EF4" w:rsidP="000F776E">
      <w:pPr>
        <w:spacing w:before="120" w:after="120" w:line="360" w:lineRule="auto"/>
        <w:contextualSpacing/>
        <w:jc w:val="both"/>
      </w:pPr>
      <w:r>
        <w:t>IA BTA injections have become a particular source of research interest in the management of knee OA due to an evolving understanding of the various mechanisms of action of BTA.</w:t>
      </w:r>
      <w:r w:rsidR="0001709C">
        <w:rPr>
          <w:rStyle w:val="FootnoteReference"/>
        </w:rPr>
        <w:footnoteReference w:id="10"/>
      </w:r>
      <w:r>
        <w:t xml:space="preserve"> </w:t>
      </w:r>
      <w:r w:rsidR="00DE4F2A">
        <w:t xml:space="preserve">Botulinum toxin (Botox) is produced by the anaerobic </w:t>
      </w:r>
      <w:r w:rsidR="00DE4F2A" w:rsidRPr="00DE4F2A">
        <w:t xml:space="preserve">bacterium </w:t>
      </w:r>
      <w:r w:rsidR="00DE4F2A">
        <w:rPr>
          <w:i/>
          <w:iCs/>
        </w:rPr>
        <w:t>Clostridium botulinum</w:t>
      </w:r>
      <w:r w:rsidR="00DE4F2A">
        <w:t xml:space="preserve"> and there are seven therapeutic serotypes of Botox ranging from A to G, of which only A and B are used as therapeutics.</w:t>
      </w:r>
      <w:r w:rsidR="00DE4F2A">
        <w:rPr>
          <w:rStyle w:val="FootnoteReference"/>
        </w:rPr>
        <w:footnoteReference w:id="11"/>
      </w:r>
      <w:r w:rsidR="00DE4F2A">
        <w:t>The pain in OA involves both nociceptive and neuropathic mechanisms and affects both peripheral and central pain pathways.</w:t>
      </w:r>
      <w:r w:rsidR="00DE4F2A">
        <w:rPr>
          <w:rStyle w:val="FootnoteReference"/>
        </w:rPr>
        <w:footnoteReference w:id="12"/>
      </w:r>
      <w:r w:rsidR="00DE4F2A">
        <w:t>Botox inhibits acetylcholine release into the synaptic cleft cholinergic nerve terminals and thereby causes muscle paralysis.</w:t>
      </w:r>
      <w:r w:rsidR="00DE4F2A">
        <w:rPr>
          <w:rStyle w:val="FootnoteReference"/>
        </w:rPr>
        <w:footnoteReference w:id="13"/>
      </w:r>
      <w:r w:rsidR="00DE4F2A">
        <w:t xml:space="preserve"> It was originally used in neuromuscular disorders, such as spasticity and torticollis, to relieve pain by inducing muscle paralysis. However, it was noted that the pain-relief from Botox preceded paralysis effects and so other mechanisms of action were investigated.</w:t>
      </w:r>
      <w:r w:rsidR="00DE4F2A">
        <w:rPr>
          <w:rStyle w:val="FootnoteReference"/>
        </w:rPr>
        <w:footnoteReference w:id="14"/>
      </w:r>
      <w:r w:rsidR="00DE4F2A">
        <w:t xml:space="preserve"> It is suggested that Botox also suppresses excitatory and nociceptive neurotransmitter</w:t>
      </w:r>
      <w:r w:rsidR="00D71152">
        <w:t>s</w:t>
      </w:r>
      <w:r w:rsidR="00DE4F2A">
        <w:t>, thereby reducing peripheral sensitisation but also indirectly acting on central sensitisation.</w:t>
      </w:r>
      <w:r w:rsidR="00DE4F2A">
        <w:rPr>
          <w:rStyle w:val="FootnoteReference"/>
        </w:rPr>
        <w:footnoteReference w:id="15"/>
      </w:r>
      <w:r w:rsidR="00DE4F2A">
        <w:t xml:space="preserve"> </w:t>
      </w:r>
    </w:p>
    <w:p w14:paraId="000D5B78" w14:textId="77777777" w:rsidR="000F776E" w:rsidRDefault="000F776E" w:rsidP="000F776E">
      <w:pPr>
        <w:spacing w:before="120" w:after="120" w:line="360" w:lineRule="auto"/>
        <w:contextualSpacing/>
        <w:jc w:val="both"/>
      </w:pPr>
    </w:p>
    <w:p w14:paraId="0974FFF8" w14:textId="03F1D8E0" w:rsidR="0001709C" w:rsidRDefault="00D71152" w:rsidP="000F776E">
      <w:pPr>
        <w:spacing w:before="120" w:after="120" w:line="360" w:lineRule="auto"/>
        <w:contextualSpacing/>
        <w:jc w:val="both"/>
      </w:pPr>
      <w:r>
        <w:lastRenderedPageBreak/>
        <w:t>The mechanisms of action of Botox for OA pain are promising but the clinical evidence for IA BTA injections is still lacking. There have been several randomised control trials (RCTs) assessing the impact of IA BTA injections on pain and function in knee OA</w:t>
      </w:r>
      <w:r w:rsidR="0001709C">
        <w:t>. However, the RCTs are often lacklustre due to small sample sizes, short follow-up periods and significant discrepancies in baseline patient demographics.</w:t>
      </w:r>
      <w:r w:rsidR="0001709C">
        <w:rPr>
          <w:rStyle w:val="FootnoteReference"/>
        </w:rPr>
        <w:footnoteReference w:id="16"/>
      </w:r>
      <w:r w:rsidR="0001709C">
        <w:t xml:space="preserve"> Hsieh et al. published a prospective RCT in 2016 assessing the efficacy of IA BTA 100U injections in knee OA compared to a control group who received education only.</w:t>
      </w:r>
      <w:r w:rsidR="0001709C">
        <w:rPr>
          <w:rStyle w:val="FootnoteReference"/>
        </w:rPr>
        <w:footnoteReference w:id="17"/>
      </w:r>
      <w:r w:rsidR="0001709C">
        <w:t xml:space="preserve"> Their results showed a significant reduction in pain using the Visual Analogue Scale (VAS) and a significant improvement in function using the </w:t>
      </w:r>
      <w:r w:rsidR="0001709C" w:rsidRPr="0001709C">
        <w:t>Western Ontario and McMaster Universities Arthritis Index</w:t>
      </w:r>
      <w:r w:rsidR="0001709C">
        <w:t xml:space="preserve"> (WOMAC) compared with the control group. However, their study was limited by a small sample size (46 participants), </w:t>
      </w:r>
      <w:proofErr w:type="gramStart"/>
      <w:r w:rsidR="0001709C">
        <w:t>single-blinding</w:t>
      </w:r>
      <w:proofErr w:type="gramEnd"/>
      <w:r w:rsidR="0001709C">
        <w:t>, a lack of injection placebo and the fact that the IA injections were not administered using ultrasound guidance. Another example is a RCT published by Najafi et al. in 2019 of 30 participants all of whom received an IA BTA 100U injection.</w:t>
      </w:r>
      <w:r w:rsidR="00C17CD7">
        <w:rPr>
          <w:rStyle w:val="FootnoteReference"/>
        </w:rPr>
        <w:footnoteReference w:id="18"/>
      </w:r>
      <w:r w:rsidR="0001709C">
        <w:t xml:space="preserve"> Their results showed a significant decrease in pain using the VAS and a significant improvement in function using the Knee Injury and Osteoarthritis Outcome Score (KOOS) from baseline to four weeks. However, this study also had several significant limitations including a very small sample size, lack of control group, absence of participant blinding and a short follow-up period. </w:t>
      </w:r>
      <w:r w:rsidR="00C17CD7">
        <w:t>Nielsen et al. published a study in 2016 exploring the pain mechanism underlying the specific clinical effect of IA BTA injection in patients with knee OA.</w:t>
      </w:r>
      <w:r w:rsidR="00C17CD7">
        <w:rPr>
          <w:rStyle w:val="FootnoteReference"/>
        </w:rPr>
        <w:footnoteReference w:id="19"/>
      </w:r>
      <w:r w:rsidR="00C17CD7">
        <w:t xml:space="preserve"> Participants were split into nociceptive and neuropathic sub-groups and outcomes were assessed using pain biomarkers and clinical pain scores. The results showed no significant difference in pain biomarkers or clinical pain scores across the participants as a whole or in either of the sub-groups. This study had a larger participant group (121 participants) and longer follow-up period (12 weeks) than other studies in this </w:t>
      </w:r>
      <w:proofErr w:type="gramStart"/>
      <w:r w:rsidR="00B317A0">
        <w:t>area</w:t>
      </w:r>
      <w:proofErr w:type="gramEnd"/>
      <w:r w:rsidR="00851460">
        <w:t xml:space="preserve"> </w:t>
      </w:r>
      <w:r w:rsidR="00C17CD7">
        <w:t>but it did not assess functional improvement</w:t>
      </w:r>
      <w:r w:rsidR="00851460">
        <w:t>,</w:t>
      </w:r>
      <w:r w:rsidR="00C17CD7">
        <w:t xml:space="preserve"> nor did it look at varying doses of IA BTA.  </w:t>
      </w:r>
    </w:p>
    <w:p w14:paraId="7ED2E90A" w14:textId="7C433205" w:rsidR="00BD2F46" w:rsidRDefault="00BD2F46" w:rsidP="000F776E">
      <w:pPr>
        <w:spacing w:before="120" w:after="120" w:line="360" w:lineRule="auto"/>
        <w:contextualSpacing/>
        <w:jc w:val="both"/>
      </w:pPr>
    </w:p>
    <w:p w14:paraId="38E2E0BA" w14:textId="1A86A557" w:rsidR="00BD2F46" w:rsidRDefault="00BD2F46" w:rsidP="000F776E">
      <w:pPr>
        <w:spacing w:before="120" w:after="120" w:line="360" w:lineRule="auto"/>
        <w:contextualSpacing/>
        <w:jc w:val="both"/>
      </w:pPr>
      <w:r>
        <w:t xml:space="preserve">Several recent RCTs have analysed the efficacy of IA BTA compared with other IA injection therapies. Bao et al. published a RCT in 2018 comparing IA injections of saline placebo, BTA and HA plus </w:t>
      </w:r>
      <w:r>
        <w:lastRenderedPageBreak/>
        <w:t>therapeutic exercise for all participants.</w:t>
      </w:r>
      <w:r w:rsidR="007551B8">
        <w:rPr>
          <w:rStyle w:val="FootnoteReference"/>
        </w:rPr>
        <w:footnoteReference w:id="20"/>
      </w:r>
      <w:r>
        <w:t xml:space="preserve"> Their results showed that VAS and WOMAC scores improved significantly in the BTA and HA groups but not in the placebo groups at both 4 weeks and 8 weeks post-injection. Interestingly, this study also looked at MRI and x-ray imaging findings post-injection but did not find any difference. Mendes et al. published a RCT in 2019 comparing IA injections of normal saline, BTA and triamcinolone.</w:t>
      </w:r>
      <w:r w:rsidR="007551B8">
        <w:rPr>
          <w:rStyle w:val="FootnoteReference"/>
        </w:rPr>
        <w:footnoteReference w:id="21"/>
      </w:r>
      <w:r>
        <w:t xml:space="preserve"> While the IA steroid injection had the best evolution of results over the </w:t>
      </w:r>
      <w:proofErr w:type="gramStart"/>
      <w:r>
        <w:t>12 week</w:t>
      </w:r>
      <w:proofErr w:type="gramEnd"/>
      <w:r>
        <w:t xml:space="preserve"> follow-up period, there was no significant difference in pain or function results between groups. </w:t>
      </w:r>
      <w:proofErr w:type="spellStart"/>
      <w:r>
        <w:t>Rezasoltani</w:t>
      </w:r>
      <w:proofErr w:type="spellEnd"/>
      <w:r>
        <w:t xml:space="preserve"> et al. conducted a RCT published in 2020 comparing physical therapy, IA BTA injection, IA dextrose prolotherapy and IA HA injection.</w:t>
      </w:r>
      <w:r w:rsidR="007551B8">
        <w:rPr>
          <w:rStyle w:val="FootnoteReference"/>
        </w:rPr>
        <w:footnoteReference w:id="22"/>
      </w:r>
      <w:r>
        <w:t xml:space="preserve"> BTA and dextrose prolotherapy had the most significant impact on VAS and KOOS scores while HA was the least effective. Finally, Shukla et al. published a RCT in 2018 comparing IA injections of </w:t>
      </w:r>
      <w:r w:rsidR="007551B8">
        <w:t>BTA plus triamcinolone versus triamcinolone alone and found that pain scores improved more markedly in the combination IA injection compared with IA triamcinolone alone.</w:t>
      </w:r>
      <w:r w:rsidR="007551B8">
        <w:rPr>
          <w:rStyle w:val="FootnoteReference"/>
        </w:rPr>
        <w:footnoteReference w:id="23"/>
      </w:r>
      <w:r w:rsidR="007551B8">
        <w:t xml:space="preserve"> </w:t>
      </w:r>
    </w:p>
    <w:p w14:paraId="50029CE4" w14:textId="77777777" w:rsidR="000F776E" w:rsidRDefault="000F776E" w:rsidP="000F776E">
      <w:pPr>
        <w:spacing w:before="120" w:after="120" w:line="360" w:lineRule="auto"/>
        <w:contextualSpacing/>
        <w:jc w:val="both"/>
      </w:pPr>
    </w:p>
    <w:p w14:paraId="24F90775" w14:textId="0446A65B" w:rsidR="00AA5F9C" w:rsidRDefault="00C17CD7" w:rsidP="000F776E">
      <w:pPr>
        <w:spacing w:before="120" w:after="120" w:line="360" w:lineRule="auto"/>
        <w:contextualSpacing/>
        <w:jc w:val="both"/>
      </w:pPr>
      <w:r>
        <w:t xml:space="preserve">There are also </w:t>
      </w:r>
      <w:r w:rsidR="0001709C">
        <w:t>several systematic reviews and meta-analyses</w:t>
      </w:r>
      <w:r>
        <w:t xml:space="preserve"> on the topic of IA BTA injections in OA pain. However, these too </w:t>
      </w:r>
      <w:r w:rsidR="00AA5F9C">
        <w:t xml:space="preserve">are limited in application as they often compare studies with significant heterogeneity or those looking at IA BTA injections for multiple joints or varying arthropathies. </w:t>
      </w:r>
      <w:proofErr w:type="spellStart"/>
      <w:r w:rsidR="00BE669F">
        <w:t>Khenioui</w:t>
      </w:r>
      <w:proofErr w:type="spellEnd"/>
      <w:r w:rsidR="00BE669F">
        <w:t xml:space="preserve"> et al. published a systematic review on the utility of IA BTA injections spanning a vast range of conditions including OA, adhesive capsulitis and chronic pain post-joint replacement.</w:t>
      </w:r>
      <w:r w:rsidR="00BE669F">
        <w:rPr>
          <w:rStyle w:val="FootnoteReference"/>
        </w:rPr>
        <w:footnoteReference w:id="24"/>
      </w:r>
      <w:r w:rsidR="00BE669F">
        <w:t xml:space="preserve"> </w:t>
      </w:r>
      <w:proofErr w:type="spellStart"/>
      <w:r w:rsidR="00BE669F">
        <w:t>Courseau</w:t>
      </w:r>
      <w:proofErr w:type="spellEnd"/>
      <w:r w:rsidR="00BE669F">
        <w:t xml:space="preserve"> et al. published a meta-analysis of RCTs in 2018 which examined the efficacy of IA BTA in painful joint diseases, covering multiple joints and arthropathies</w:t>
      </w:r>
      <w:r w:rsidR="00E92FC2">
        <w:t>.</w:t>
      </w:r>
      <w:r w:rsidR="00F6010B">
        <w:rPr>
          <w:rStyle w:val="FootnoteReference"/>
        </w:rPr>
        <w:footnoteReference w:id="25"/>
      </w:r>
      <w:r w:rsidR="00E92FC2">
        <w:t xml:space="preserve"> These reviews provide general evidence regarding the utility of IA BTA injections in a broad sense but fail to provide evidence upon which specific management protocols can be based. </w:t>
      </w:r>
      <w:proofErr w:type="spellStart"/>
      <w:r w:rsidR="00851460">
        <w:t>Zhai</w:t>
      </w:r>
      <w:proofErr w:type="spellEnd"/>
      <w:r w:rsidR="00851460">
        <w:t xml:space="preserve"> et al. published a more recent systematic review </w:t>
      </w:r>
      <w:r w:rsidR="00851460">
        <w:lastRenderedPageBreak/>
        <w:t>and meta-analysis in 2019 which specifically focused on IA BTA in knee OA.</w:t>
      </w:r>
      <w:r w:rsidR="00851460">
        <w:rPr>
          <w:rStyle w:val="FootnoteReference"/>
        </w:rPr>
        <w:footnoteReference w:id="26"/>
      </w:r>
      <w:r w:rsidR="00851460">
        <w:t xml:space="preserve"> The analysis looked at short-term (&lt; 4 weeks) and long-</w:t>
      </w:r>
      <w:proofErr w:type="gramStart"/>
      <w:r w:rsidR="00851460">
        <w:t>term(</w:t>
      </w:r>
      <w:proofErr w:type="gramEnd"/>
      <w:r w:rsidR="00851460">
        <w:t xml:space="preserve">&gt; 8 weeks) results and found that there was a significant improvement in pain and function due to IA BTA injections for knee OA. The limitations of this meta-analyses were the small number of studies included and the short follow-up periods of the studies. </w:t>
      </w:r>
    </w:p>
    <w:p w14:paraId="1AA66F4D" w14:textId="77777777" w:rsidR="000F776E" w:rsidRDefault="000F776E" w:rsidP="000F776E">
      <w:pPr>
        <w:spacing w:before="120" w:after="120" w:line="360" w:lineRule="auto"/>
        <w:contextualSpacing/>
        <w:jc w:val="both"/>
      </w:pPr>
    </w:p>
    <w:p w14:paraId="4BF39E40" w14:textId="443B9235" w:rsidR="00EC42BF" w:rsidRDefault="00C17CD7" w:rsidP="000F776E">
      <w:pPr>
        <w:spacing w:before="120" w:after="120" w:line="360" w:lineRule="auto"/>
        <w:contextualSpacing/>
        <w:jc w:val="both"/>
      </w:pPr>
      <w:r>
        <w:t>Th</w:t>
      </w:r>
      <w:r w:rsidR="00851460">
        <w:t>e current</w:t>
      </w:r>
      <w:r>
        <w:t xml:space="preserve"> study aims to address gaps in the current literature in this area by conducting a high quality RCT with </w:t>
      </w:r>
      <w:r w:rsidR="00E92FC2">
        <w:t>the</w:t>
      </w:r>
      <w:r>
        <w:t xml:space="preserve"> primary aim of assessing the </w:t>
      </w:r>
      <w:r w:rsidR="00AA5F9C">
        <w:t xml:space="preserve">clinical efficacy and safety of </w:t>
      </w:r>
      <w:r w:rsidR="005D1D04">
        <w:t>intra-articular (IA)</w:t>
      </w:r>
      <w:r w:rsidR="00AA5F9C">
        <w:t xml:space="preserve"> </w:t>
      </w:r>
      <w:r w:rsidR="005D1D04">
        <w:t>botulinum toxin A (BTA)</w:t>
      </w:r>
      <w:r w:rsidR="00AA5F9C">
        <w:t>injections in knee OA</w:t>
      </w:r>
      <w:r w:rsidR="0057122F">
        <w:t xml:space="preserve"> </w:t>
      </w:r>
      <w:r w:rsidR="00E92FC2">
        <w:t>underpinned by</w:t>
      </w:r>
      <w:r>
        <w:t xml:space="preserve"> the following hypotheses:</w:t>
      </w:r>
    </w:p>
    <w:p w14:paraId="1EF8E5A7" w14:textId="1F95D15F" w:rsidR="00EC42BF" w:rsidRDefault="00AA5F9C" w:rsidP="000F776E">
      <w:pPr>
        <w:spacing w:before="120" w:after="120" w:line="360" w:lineRule="auto"/>
        <w:contextualSpacing/>
        <w:jc w:val="both"/>
      </w:pPr>
      <w:r>
        <w:t xml:space="preserve">(a) </w:t>
      </w:r>
      <w:r w:rsidR="00EC42BF">
        <w:t xml:space="preserve">IA BTA injection </w:t>
      </w:r>
      <w:r>
        <w:t>will significantly reduce pain</w:t>
      </w:r>
      <w:r w:rsidR="00EC42BF">
        <w:t xml:space="preserve"> compared to </w:t>
      </w:r>
      <w:r w:rsidR="00271F4C">
        <w:t>a placebo</w:t>
      </w:r>
      <w:r w:rsidR="005D1D04">
        <w:t xml:space="preserve"> </w:t>
      </w:r>
      <w:r w:rsidR="00271F4C">
        <w:t>injection of normal saline</w:t>
      </w:r>
    </w:p>
    <w:p w14:paraId="0285F216" w14:textId="429BA8CA" w:rsidR="00EC42BF" w:rsidRDefault="00EC42BF" w:rsidP="000F776E">
      <w:pPr>
        <w:spacing w:before="120" w:after="120" w:line="360" w:lineRule="auto"/>
        <w:contextualSpacing/>
        <w:jc w:val="both"/>
      </w:pPr>
      <w:r>
        <w:t>(b) IA BTA injection will significantly</w:t>
      </w:r>
      <w:r w:rsidR="00AA5F9C">
        <w:t xml:space="preserve"> improve function compared to</w:t>
      </w:r>
      <w:r w:rsidR="00271F4C">
        <w:t xml:space="preserve"> a placebo injection of normal saline</w:t>
      </w:r>
      <w:r>
        <w:t xml:space="preserve">; and </w:t>
      </w:r>
    </w:p>
    <w:p w14:paraId="3D0D8D3A" w14:textId="6830ECF3" w:rsidR="00EC42BF" w:rsidRDefault="00EC42BF" w:rsidP="000F776E">
      <w:pPr>
        <w:spacing w:before="120" w:after="120" w:line="360" w:lineRule="auto"/>
        <w:contextualSpacing/>
        <w:jc w:val="both"/>
      </w:pPr>
      <w:r>
        <w:t>(c) T</w:t>
      </w:r>
      <w:r w:rsidR="00AA5F9C">
        <w:t>here will be no significant difference in adverse events between the BTA and</w:t>
      </w:r>
      <w:r w:rsidR="00271F4C">
        <w:t xml:space="preserve"> other commonly used intra-articular injections used in osteoarthritis including CSLA and hyaluronic </w:t>
      </w:r>
      <w:proofErr w:type="gramStart"/>
      <w:r w:rsidR="00271F4C">
        <w:t xml:space="preserve">acid </w:t>
      </w:r>
      <w:r w:rsidR="00AA5F9C">
        <w:t>.</w:t>
      </w:r>
      <w:proofErr w:type="gramEnd"/>
      <w:r w:rsidR="00AA5F9C">
        <w:t xml:space="preserve"> </w:t>
      </w:r>
    </w:p>
    <w:p w14:paraId="2D3513F0" w14:textId="77777777" w:rsidR="000F776E" w:rsidRDefault="000F776E" w:rsidP="000F776E">
      <w:pPr>
        <w:spacing w:before="120" w:after="120" w:line="360" w:lineRule="auto"/>
        <w:contextualSpacing/>
        <w:jc w:val="both"/>
      </w:pPr>
    </w:p>
    <w:p w14:paraId="4A658F59" w14:textId="2BFE929E" w:rsidR="00627B7E" w:rsidRDefault="00627B7E" w:rsidP="000F776E">
      <w:pPr>
        <w:spacing w:before="120" w:after="120" w:line="360" w:lineRule="auto"/>
        <w:contextualSpacing/>
        <w:jc w:val="center"/>
      </w:pPr>
    </w:p>
    <w:p w14:paraId="3584F16B" w14:textId="77777777" w:rsidR="000F776E" w:rsidRDefault="000F776E" w:rsidP="000938E7">
      <w:pPr>
        <w:spacing w:before="120" w:after="120" w:line="360" w:lineRule="auto"/>
        <w:contextualSpacing/>
        <w:jc w:val="center"/>
        <w:rPr>
          <w:b/>
          <w:bCs/>
        </w:rPr>
        <w:sectPr w:rsidR="000F776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04B72BD" w14:textId="71647261" w:rsidR="00627B7E" w:rsidRDefault="00627B7E" w:rsidP="000F776E">
      <w:pPr>
        <w:spacing w:before="120" w:after="120" w:line="360" w:lineRule="auto"/>
        <w:contextualSpacing/>
        <w:jc w:val="center"/>
        <w:rPr>
          <w:b/>
          <w:bCs/>
        </w:rPr>
      </w:pPr>
      <w:r>
        <w:rPr>
          <w:b/>
          <w:bCs/>
        </w:rPr>
        <w:lastRenderedPageBreak/>
        <w:t>METHOD</w:t>
      </w:r>
    </w:p>
    <w:p w14:paraId="56A38C6B" w14:textId="37FF1253" w:rsidR="00627B7E" w:rsidRDefault="00627B7E" w:rsidP="000938E7">
      <w:pPr>
        <w:spacing w:before="120" w:after="120" w:line="360" w:lineRule="auto"/>
        <w:contextualSpacing/>
        <w:rPr>
          <w:b/>
          <w:bCs/>
        </w:rPr>
      </w:pPr>
      <w:r>
        <w:rPr>
          <w:b/>
          <w:bCs/>
        </w:rPr>
        <w:t>Study design</w:t>
      </w:r>
    </w:p>
    <w:p w14:paraId="0373EE5D" w14:textId="56DE4133" w:rsidR="002E76D9" w:rsidRDefault="002E76D9" w:rsidP="000F776E">
      <w:pPr>
        <w:pStyle w:val="ListParagraph"/>
        <w:numPr>
          <w:ilvl w:val="0"/>
          <w:numId w:val="3"/>
        </w:numPr>
        <w:spacing w:before="120" w:after="120" w:line="360" w:lineRule="auto"/>
      </w:pPr>
      <w:r>
        <w:t>Randomised control trial.</w:t>
      </w:r>
    </w:p>
    <w:p w14:paraId="27782363" w14:textId="45B7901C" w:rsidR="002E76D9" w:rsidRDefault="00144963" w:rsidP="000F776E">
      <w:pPr>
        <w:pStyle w:val="ListParagraph"/>
        <w:numPr>
          <w:ilvl w:val="0"/>
          <w:numId w:val="3"/>
        </w:numPr>
        <w:spacing w:before="120" w:after="120" w:line="360" w:lineRule="auto"/>
      </w:pPr>
      <w:r>
        <w:t>Single</w:t>
      </w:r>
      <w:r w:rsidR="00E01993">
        <w:t>-centre – Albany Hospital (WA) &amp; Royal Perth Hospital (WA)</w:t>
      </w:r>
    </w:p>
    <w:p w14:paraId="3F1A47DD" w14:textId="57DE3C3D" w:rsidR="002E76D9" w:rsidRDefault="002E76D9" w:rsidP="000F776E">
      <w:pPr>
        <w:pStyle w:val="ListParagraph"/>
        <w:numPr>
          <w:ilvl w:val="0"/>
          <w:numId w:val="3"/>
        </w:numPr>
        <w:spacing w:before="120" w:after="120" w:line="360" w:lineRule="auto"/>
      </w:pPr>
      <w:r>
        <w:t>Double-blinded.</w:t>
      </w:r>
    </w:p>
    <w:p w14:paraId="03B9DDEF" w14:textId="6907ACE1" w:rsidR="002E76D9" w:rsidRDefault="004A69A6" w:rsidP="000F776E">
      <w:pPr>
        <w:pStyle w:val="ListParagraph"/>
        <w:numPr>
          <w:ilvl w:val="0"/>
          <w:numId w:val="3"/>
        </w:numPr>
        <w:spacing w:before="120" w:after="120" w:line="360" w:lineRule="auto"/>
      </w:pPr>
      <w:r>
        <w:t xml:space="preserve">Random allocation to one of </w:t>
      </w:r>
      <w:r w:rsidR="00E01993">
        <w:t>two</w:t>
      </w:r>
      <w:r>
        <w:t xml:space="preserve"> treatment groups – </w:t>
      </w:r>
      <w:r w:rsidR="00E01993">
        <w:t xml:space="preserve">botulinum toxin A (100 units) OR </w:t>
      </w:r>
      <w:r w:rsidR="00271F4C">
        <w:t>5ml 0.9% normal saline 5ml</w:t>
      </w:r>
    </w:p>
    <w:p w14:paraId="78D802C3" w14:textId="3760BC58" w:rsidR="004A69A6" w:rsidRDefault="004A69A6" w:rsidP="000F776E">
      <w:pPr>
        <w:pStyle w:val="ListParagraph"/>
        <w:numPr>
          <w:ilvl w:val="0"/>
          <w:numId w:val="3"/>
        </w:numPr>
        <w:spacing w:before="120" w:after="120" w:line="360" w:lineRule="auto"/>
      </w:pPr>
      <w:proofErr w:type="spellStart"/>
      <w:r>
        <w:t>REDCap</w:t>
      </w:r>
      <w:proofErr w:type="spellEnd"/>
      <w:r>
        <w:t xml:space="preserve"> software to perform the randomisation process. </w:t>
      </w:r>
    </w:p>
    <w:p w14:paraId="15265463" w14:textId="0FB7C00E" w:rsidR="00E64211" w:rsidRDefault="00E64211" w:rsidP="00E64211">
      <w:pPr>
        <w:pStyle w:val="ListParagraph"/>
        <w:numPr>
          <w:ilvl w:val="0"/>
          <w:numId w:val="3"/>
        </w:numPr>
        <w:spacing w:before="120" w:after="120" w:line="360" w:lineRule="auto"/>
      </w:pPr>
      <w:r>
        <w:t>Power calculation = 50 patients in each arm.</w:t>
      </w:r>
    </w:p>
    <w:p w14:paraId="61D041FC" w14:textId="77777777" w:rsidR="00E64211" w:rsidRDefault="00E64211" w:rsidP="00E64211">
      <w:pPr>
        <w:pStyle w:val="ListParagraph"/>
        <w:numPr>
          <w:ilvl w:val="1"/>
          <w:numId w:val="3"/>
        </w:numPr>
        <w:spacing w:before="120" w:after="120" w:line="360" w:lineRule="auto"/>
      </w:pPr>
      <w:r>
        <w:t>Mean OKS score 20 with SD 8</w:t>
      </w:r>
    </w:p>
    <w:p w14:paraId="174F8C91" w14:textId="5D6DF81C" w:rsidR="00E64211" w:rsidRDefault="00E64211" w:rsidP="00E64211">
      <w:pPr>
        <w:pStyle w:val="ListParagraph"/>
        <w:numPr>
          <w:ilvl w:val="2"/>
          <w:numId w:val="3"/>
        </w:numPr>
        <w:spacing w:before="120" w:after="120" w:line="360" w:lineRule="auto"/>
      </w:pPr>
      <w:r>
        <w:t xml:space="preserve">Based </w:t>
      </w:r>
      <w:proofErr w:type="gramStart"/>
      <w:r>
        <w:t>off of</w:t>
      </w:r>
      <w:proofErr w:type="gramEnd"/>
      <w:r>
        <w:t xml:space="preserve"> study by Beard et al who reviewed clinical applicability and meaningful changes of the oxford knee score system by utilising the NHS database with over 150,000 patients.</w:t>
      </w:r>
    </w:p>
    <w:p w14:paraId="5ED41F5D" w14:textId="29494613" w:rsidR="00E64211" w:rsidRPr="002E76D9" w:rsidRDefault="00E64211" w:rsidP="00E64211">
      <w:pPr>
        <w:pStyle w:val="ListParagraph"/>
        <w:numPr>
          <w:ilvl w:val="1"/>
          <w:numId w:val="3"/>
        </w:numPr>
        <w:spacing w:before="120" w:after="120" w:line="360" w:lineRule="auto"/>
      </w:pPr>
      <w:r>
        <w:t xml:space="preserve">Expected mean improvement if BTA showing clinically beneficial OKS </w:t>
      </w:r>
      <w:r>
        <w:sym w:font="Symbol" w:char="F0B3"/>
      </w:r>
      <w:r>
        <w:t>5 (Beard et al)</w:t>
      </w:r>
    </w:p>
    <w:p w14:paraId="67A11E19" w14:textId="77777777" w:rsidR="00627B7E" w:rsidRDefault="00627B7E" w:rsidP="000F776E">
      <w:pPr>
        <w:spacing w:before="120" w:after="120" w:line="360" w:lineRule="auto"/>
        <w:contextualSpacing/>
        <w:rPr>
          <w:b/>
          <w:bCs/>
        </w:rPr>
      </w:pPr>
    </w:p>
    <w:p w14:paraId="0BFA37F0" w14:textId="3B954D65" w:rsidR="00627B7E" w:rsidRPr="000938E7" w:rsidRDefault="00627B7E" w:rsidP="000938E7">
      <w:pPr>
        <w:spacing w:before="120" w:after="120" w:line="360" w:lineRule="auto"/>
        <w:contextualSpacing/>
        <w:rPr>
          <w:b/>
        </w:rPr>
      </w:pPr>
      <w:r w:rsidRPr="000938E7">
        <w:rPr>
          <w:b/>
        </w:rPr>
        <w:t>Inclusion criteria</w:t>
      </w:r>
    </w:p>
    <w:p w14:paraId="69C6E2B9" w14:textId="70E3D9F4" w:rsidR="002E76D9" w:rsidRDefault="002E76D9" w:rsidP="000938E7">
      <w:pPr>
        <w:pStyle w:val="ListParagraph"/>
        <w:numPr>
          <w:ilvl w:val="0"/>
          <w:numId w:val="6"/>
        </w:numPr>
        <w:spacing w:before="120" w:after="120" w:line="360" w:lineRule="auto"/>
      </w:pPr>
      <w:r>
        <w:t xml:space="preserve">Age </w:t>
      </w:r>
      <w:r>
        <w:sym w:font="Symbol" w:char="F0B3"/>
      </w:r>
      <w:r>
        <w:t xml:space="preserve"> 50 years.</w:t>
      </w:r>
    </w:p>
    <w:p w14:paraId="34910772" w14:textId="1A394B29" w:rsidR="002E76D9" w:rsidRDefault="002E76D9" w:rsidP="000938E7">
      <w:pPr>
        <w:pStyle w:val="ListParagraph"/>
        <w:numPr>
          <w:ilvl w:val="0"/>
          <w:numId w:val="6"/>
        </w:numPr>
        <w:spacing w:before="120" w:after="120" w:line="360" w:lineRule="auto"/>
      </w:pPr>
      <w:r>
        <w:t xml:space="preserve">Diagnosis of knee OA confirmed on clinical exam and radiologically by </w:t>
      </w:r>
      <w:proofErr w:type="spellStart"/>
      <w:r>
        <w:t>Kellgren</w:t>
      </w:r>
      <w:proofErr w:type="spellEnd"/>
      <w:r>
        <w:t xml:space="preserve">-Lawrence Grading Scale </w:t>
      </w:r>
      <w:r w:rsidR="006A7CDE">
        <w:t>(grade III &amp; IV)</w:t>
      </w:r>
    </w:p>
    <w:p w14:paraId="685FE664" w14:textId="23052562" w:rsidR="004A69A6" w:rsidRDefault="004A69A6" w:rsidP="000938E7">
      <w:pPr>
        <w:pStyle w:val="ListParagraph"/>
        <w:numPr>
          <w:ilvl w:val="0"/>
          <w:numId w:val="6"/>
        </w:numPr>
        <w:spacing w:before="120" w:after="120" w:line="360" w:lineRule="auto"/>
      </w:pPr>
      <w:r>
        <w:t xml:space="preserve">Symptoms present for </w:t>
      </w:r>
      <w:r>
        <w:sym w:font="Symbol" w:char="F0B3"/>
      </w:r>
      <w:r>
        <w:t xml:space="preserve"> 6 months. </w:t>
      </w:r>
    </w:p>
    <w:p w14:paraId="7281B670" w14:textId="3A449B14" w:rsidR="004A69A6" w:rsidRPr="002E76D9" w:rsidRDefault="004A69A6" w:rsidP="000938E7">
      <w:pPr>
        <w:pStyle w:val="ListParagraph"/>
        <w:numPr>
          <w:ilvl w:val="0"/>
          <w:numId w:val="6"/>
        </w:numPr>
        <w:spacing w:before="120" w:after="120" w:line="360" w:lineRule="auto"/>
      </w:pPr>
      <w:r>
        <w:t>Ability to understand and participate in the trial.</w:t>
      </w:r>
    </w:p>
    <w:p w14:paraId="5FCF5886" w14:textId="3083FB46" w:rsidR="00627B7E" w:rsidRDefault="00627B7E" w:rsidP="000938E7">
      <w:pPr>
        <w:spacing w:before="120" w:after="120" w:line="360" w:lineRule="auto"/>
        <w:contextualSpacing/>
        <w:rPr>
          <w:b/>
          <w:bCs/>
        </w:rPr>
      </w:pPr>
    </w:p>
    <w:p w14:paraId="37005004" w14:textId="371B2070" w:rsidR="00627B7E" w:rsidRPr="000938E7" w:rsidRDefault="00627B7E" w:rsidP="000938E7">
      <w:pPr>
        <w:spacing w:before="120" w:after="120" w:line="360" w:lineRule="auto"/>
        <w:contextualSpacing/>
        <w:rPr>
          <w:b/>
        </w:rPr>
      </w:pPr>
      <w:r w:rsidRPr="000938E7">
        <w:rPr>
          <w:b/>
        </w:rPr>
        <w:t>Exclusion criteria</w:t>
      </w:r>
    </w:p>
    <w:p w14:paraId="26B82CA6" w14:textId="1EC0EE56" w:rsidR="002E76D9" w:rsidRDefault="002E76D9" w:rsidP="000938E7">
      <w:pPr>
        <w:pStyle w:val="ListParagraph"/>
        <w:numPr>
          <w:ilvl w:val="0"/>
          <w:numId w:val="7"/>
        </w:numPr>
        <w:spacing w:before="120" w:after="120" w:line="360" w:lineRule="auto"/>
      </w:pPr>
      <w:r>
        <w:t>Age &lt; 50 years.</w:t>
      </w:r>
    </w:p>
    <w:p w14:paraId="08C337AE" w14:textId="337A52BC" w:rsidR="002E76D9" w:rsidRDefault="002E76D9" w:rsidP="000938E7">
      <w:pPr>
        <w:pStyle w:val="ListParagraph"/>
        <w:numPr>
          <w:ilvl w:val="0"/>
          <w:numId w:val="7"/>
        </w:numPr>
        <w:spacing w:before="120" w:after="120" w:line="360" w:lineRule="auto"/>
      </w:pPr>
      <w:r>
        <w:t>Any intra-articular injection in the last 12 months (CS, HA, PRP etc).</w:t>
      </w:r>
    </w:p>
    <w:p w14:paraId="2183C84D" w14:textId="680D4551" w:rsidR="002E76D9" w:rsidRDefault="002E76D9" w:rsidP="000938E7">
      <w:pPr>
        <w:pStyle w:val="ListParagraph"/>
        <w:numPr>
          <w:ilvl w:val="0"/>
          <w:numId w:val="7"/>
        </w:numPr>
        <w:spacing w:before="120" w:after="120" w:line="360" w:lineRule="auto"/>
      </w:pPr>
      <w:proofErr w:type="spellStart"/>
      <w:r>
        <w:t>Hx</w:t>
      </w:r>
      <w:proofErr w:type="spellEnd"/>
      <w:r>
        <w:t xml:space="preserve"> of prior trauma to the knee </w:t>
      </w:r>
      <w:proofErr w:type="gramStart"/>
      <w:r>
        <w:t>i.e.</w:t>
      </w:r>
      <w:proofErr w:type="gramEnd"/>
      <w:r>
        <w:t xml:space="preserve"> fracture, dislocation. </w:t>
      </w:r>
    </w:p>
    <w:p w14:paraId="329FC489" w14:textId="24739D17" w:rsidR="002E76D9" w:rsidRDefault="002E76D9" w:rsidP="000938E7">
      <w:pPr>
        <w:pStyle w:val="ListParagraph"/>
        <w:numPr>
          <w:ilvl w:val="0"/>
          <w:numId w:val="7"/>
        </w:numPr>
        <w:spacing w:before="120" w:after="120" w:line="360" w:lineRule="auto"/>
      </w:pPr>
      <w:r>
        <w:t xml:space="preserve">Neuromuscular disorders </w:t>
      </w:r>
      <w:proofErr w:type="gramStart"/>
      <w:r>
        <w:t>e.g.</w:t>
      </w:r>
      <w:proofErr w:type="gramEnd"/>
      <w:r>
        <w:t xml:space="preserve"> myasthenia gravis, Lambert-Eaton</w:t>
      </w:r>
      <w:r w:rsidR="00F77E06">
        <w:t>, ALS</w:t>
      </w:r>
      <w:r>
        <w:t xml:space="preserve"> etc.</w:t>
      </w:r>
    </w:p>
    <w:p w14:paraId="48F88C6B" w14:textId="7411BDB6" w:rsidR="002E76D9" w:rsidRDefault="002E76D9" w:rsidP="000938E7">
      <w:pPr>
        <w:pStyle w:val="ListParagraph"/>
        <w:numPr>
          <w:ilvl w:val="0"/>
          <w:numId w:val="7"/>
        </w:numPr>
        <w:spacing w:before="120" w:after="120" w:line="360" w:lineRule="auto"/>
      </w:pPr>
      <w:r>
        <w:t xml:space="preserve">Other </w:t>
      </w:r>
      <w:r w:rsidR="004A69A6">
        <w:t xml:space="preserve">knee </w:t>
      </w:r>
      <w:r>
        <w:t xml:space="preserve">arthropathy </w:t>
      </w:r>
      <w:proofErr w:type="gramStart"/>
      <w:r>
        <w:t>e.g.</w:t>
      </w:r>
      <w:proofErr w:type="gramEnd"/>
      <w:r>
        <w:t xml:space="preserve"> RA, gout etc. </w:t>
      </w:r>
    </w:p>
    <w:p w14:paraId="78BED958" w14:textId="7E3E31C9" w:rsidR="00503F75" w:rsidRDefault="00503F75" w:rsidP="000938E7">
      <w:pPr>
        <w:pStyle w:val="ListParagraph"/>
        <w:numPr>
          <w:ilvl w:val="0"/>
          <w:numId w:val="7"/>
        </w:numPr>
        <w:spacing w:before="120" w:after="120" w:line="360" w:lineRule="auto"/>
      </w:pPr>
      <w:r>
        <w:t xml:space="preserve">Lower extremity dysfunction due to neurological or medical cause </w:t>
      </w:r>
      <w:proofErr w:type="gramStart"/>
      <w:r>
        <w:t>e.g.</w:t>
      </w:r>
      <w:proofErr w:type="gramEnd"/>
      <w:r>
        <w:t xml:space="preserve"> CVA</w:t>
      </w:r>
      <w:r w:rsidR="00F77E06">
        <w:t>, TBI, diabetic neuropathy.</w:t>
      </w:r>
    </w:p>
    <w:p w14:paraId="709ADEEA" w14:textId="3308D5F8" w:rsidR="00F77E06" w:rsidRDefault="00F77E06" w:rsidP="000938E7">
      <w:pPr>
        <w:pStyle w:val="ListParagraph"/>
        <w:numPr>
          <w:ilvl w:val="0"/>
          <w:numId w:val="7"/>
        </w:numPr>
        <w:spacing w:before="120" w:after="120" w:line="360" w:lineRule="auto"/>
      </w:pPr>
      <w:r>
        <w:t xml:space="preserve">Serious coagulation disorders or on anticoagulant. </w:t>
      </w:r>
    </w:p>
    <w:p w14:paraId="145E8EC5" w14:textId="75055EF0" w:rsidR="002E76D9" w:rsidRPr="00271F4C" w:rsidRDefault="00F77E06" w:rsidP="000938E7">
      <w:pPr>
        <w:pStyle w:val="ListParagraph"/>
        <w:numPr>
          <w:ilvl w:val="0"/>
          <w:numId w:val="7"/>
        </w:numPr>
        <w:spacing w:before="120" w:after="120" w:line="360" w:lineRule="auto"/>
      </w:pPr>
      <w:r>
        <w:t xml:space="preserve">Pregnancy / breastfeeding. </w:t>
      </w:r>
    </w:p>
    <w:p w14:paraId="1B7EDD28" w14:textId="0A97C621" w:rsidR="002E76D9" w:rsidRPr="000938E7" w:rsidRDefault="002E76D9" w:rsidP="000938E7">
      <w:pPr>
        <w:spacing w:before="120" w:after="120" w:line="360" w:lineRule="auto"/>
        <w:contextualSpacing/>
        <w:rPr>
          <w:b/>
        </w:rPr>
      </w:pPr>
      <w:r w:rsidRPr="000938E7">
        <w:rPr>
          <w:b/>
        </w:rPr>
        <w:lastRenderedPageBreak/>
        <w:t>Recruitment</w:t>
      </w:r>
    </w:p>
    <w:p w14:paraId="7B989A0E" w14:textId="598FA228" w:rsidR="002E76D9" w:rsidRDefault="002E76D9" w:rsidP="000F776E">
      <w:pPr>
        <w:pStyle w:val="ListParagraph"/>
        <w:numPr>
          <w:ilvl w:val="0"/>
          <w:numId w:val="9"/>
        </w:numPr>
        <w:spacing w:before="120" w:after="120" w:line="360" w:lineRule="auto"/>
      </w:pPr>
      <w:r>
        <w:t xml:space="preserve">Patients </w:t>
      </w:r>
      <w:r w:rsidR="004A69A6">
        <w:t>referred to</w:t>
      </w:r>
      <w:r>
        <w:t xml:space="preserve"> Orthopaedic Outpatient Clinic</w:t>
      </w:r>
      <w:r w:rsidR="004A69A6">
        <w:t xml:space="preserve"> with a diagnosis of primary knee OA</w:t>
      </w:r>
      <w:r>
        <w:t xml:space="preserve"> </w:t>
      </w:r>
      <w:r w:rsidR="006A7CDE">
        <w:t>(criteria for diagnosis as outlined above)</w:t>
      </w:r>
    </w:p>
    <w:p w14:paraId="05C1E68C" w14:textId="74D1975D" w:rsidR="00627B7E" w:rsidRDefault="004A69A6" w:rsidP="000938E7">
      <w:pPr>
        <w:pStyle w:val="ListParagraph"/>
        <w:numPr>
          <w:ilvl w:val="0"/>
          <w:numId w:val="9"/>
        </w:numPr>
        <w:spacing w:before="120" w:after="120" w:line="360" w:lineRule="auto"/>
      </w:pPr>
      <w:r>
        <w:t xml:space="preserve">Eligible participants invited to participate – education and consent. </w:t>
      </w:r>
    </w:p>
    <w:p w14:paraId="1425D0C7" w14:textId="77777777" w:rsidR="00503F75" w:rsidRPr="00503F75" w:rsidRDefault="00503F75" w:rsidP="000938E7">
      <w:pPr>
        <w:pStyle w:val="ListParagraph"/>
        <w:spacing w:before="120" w:after="120" w:line="360" w:lineRule="auto"/>
      </w:pPr>
    </w:p>
    <w:p w14:paraId="3E57A858" w14:textId="1A44FBD6" w:rsidR="00627B7E" w:rsidRDefault="00627B7E" w:rsidP="000938E7">
      <w:pPr>
        <w:spacing w:before="120" w:after="120" w:line="360" w:lineRule="auto"/>
        <w:contextualSpacing/>
        <w:rPr>
          <w:b/>
          <w:bCs/>
        </w:rPr>
      </w:pPr>
      <w:r>
        <w:rPr>
          <w:b/>
          <w:bCs/>
        </w:rPr>
        <w:t>Intervention</w:t>
      </w:r>
    </w:p>
    <w:p w14:paraId="637DF0C5" w14:textId="1F474C8F" w:rsidR="00B317A0" w:rsidRDefault="00B317A0" w:rsidP="000938E7">
      <w:pPr>
        <w:pStyle w:val="ListParagraph"/>
        <w:numPr>
          <w:ilvl w:val="0"/>
          <w:numId w:val="10"/>
        </w:numPr>
        <w:spacing w:before="120" w:after="120" w:line="360" w:lineRule="auto"/>
      </w:pPr>
      <w:r>
        <w:t xml:space="preserve">All injections to be </w:t>
      </w:r>
      <w:r w:rsidR="006A7CDE">
        <w:t xml:space="preserve">performed </w:t>
      </w:r>
      <w:r>
        <w:t xml:space="preserve">under </w:t>
      </w:r>
      <w:proofErr w:type="gramStart"/>
      <w:r w:rsidR="006A7CDE">
        <w:t>radiological</w:t>
      </w:r>
      <w:r>
        <w:t>-guidance</w:t>
      </w:r>
      <w:proofErr w:type="gramEnd"/>
      <w:r>
        <w:t xml:space="preserve"> </w:t>
      </w:r>
      <w:r w:rsidR="006A7CDE">
        <w:t>by a radiologist.</w:t>
      </w:r>
    </w:p>
    <w:p w14:paraId="134810DD" w14:textId="6AED86B5" w:rsidR="00E7645F" w:rsidRDefault="00E7645F" w:rsidP="000F776E">
      <w:pPr>
        <w:pStyle w:val="ListParagraph"/>
        <w:numPr>
          <w:ilvl w:val="0"/>
          <w:numId w:val="10"/>
        </w:numPr>
        <w:spacing w:before="120" w:after="120" w:line="360" w:lineRule="auto"/>
      </w:pPr>
      <w:r>
        <w:t xml:space="preserve">Joint effusion aspirated prior to injection (if present). </w:t>
      </w:r>
    </w:p>
    <w:p w14:paraId="7CA2F1F3" w14:textId="6B59BE7A" w:rsidR="00B317A0" w:rsidRDefault="00B317A0" w:rsidP="000F776E">
      <w:pPr>
        <w:pStyle w:val="ListParagraph"/>
        <w:numPr>
          <w:ilvl w:val="0"/>
          <w:numId w:val="10"/>
        </w:numPr>
        <w:spacing w:before="120" w:after="120" w:line="360" w:lineRule="auto"/>
      </w:pPr>
      <w:r>
        <w:t xml:space="preserve">Group </w:t>
      </w:r>
      <w:proofErr w:type="gramStart"/>
      <w:r w:rsidR="006A7CDE">
        <w:t>A</w:t>
      </w:r>
      <w:r>
        <w:t xml:space="preserve">  –</w:t>
      </w:r>
      <w:proofErr w:type="gramEnd"/>
      <w:r>
        <w:t xml:space="preserve"> BTA 100U </w:t>
      </w:r>
      <w:r w:rsidR="003405D6">
        <w:t>re</w:t>
      </w:r>
      <w:r>
        <w:t>constituted with 5ml 0.9% normal saline.</w:t>
      </w:r>
    </w:p>
    <w:p w14:paraId="6CED4C7F" w14:textId="5C36688F" w:rsidR="006A7CDE" w:rsidRDefault="006A7CDE" w:rsidP="00271F4C">
      <w:pPr>
        <w:pStyle w:val="ListParagraph"/>
        <w:numPr>
          <w:ilvl w:val="0"/>
          <w:numId w:val="3"/>
        </w:numPr>
        <w:spacing w:before="120" w:after="120" w:line="360" w:lineRule="auto"/>
      </w:pPr>
      <w:r>
        <w:t>Group B –</w:t>
      </w:r>
      <w:r w:rsidR="00271F4C">
        <w:t xml:space="preserve"> 5ml 0.9% normal saline</w:t>
      </w:r>
    </w:p>
    <w:p w14:paraId="58DEA67E" w14:textId="0C9CF9D3" w:rsidR="00503F75" w:rsidRPr="006A7CDE" w:rsidRDefault="006A7CDE" w:rsidP="000F776E">
      <w:pPr>
        <w:pStyle w:val="ListParagraph"/>
        <w:numPr>
          <w:ilvl w:val="0"/>
          <w:numId w:val="10"/>
        </w:numPr>
        <w:spacing w:before="120" w:after="120" w:line="360" w:lineRule="auto"/>
        <w:rPr>
          <w:b/>
          <w:bCs/>
        </w:rPr>
      </w:pPr>
      <w:r>
        <w:t xml:space="preserve">No restriction will be placed on patients with regards to use of other analgesia medication post intervention and basic information will be collected regarding analgesia use pre and post </w:t>
      </w:r>
      <w:proofErr w:type="gramStart"/>
      <w:r>
        <w:t>intervention</w:t>
      </w:r>
      <w:proofErr w:type="gramEnd"/>
    </w:p>
    <w:p w14:paraId="7D28BCDC" w14:textId="77777777" w:rsidR="006A7CDE" w:rsidRPr="006A7CDE" w:rsidRDefault="006A7CDE" w:rsidP="006A7CDE">
      <w:pPr>
        <w:spacing w:before="120" w:after="120" w:line="360" w:lineRule="auto"/>
        <w:rPr>
          <w:b/>
          <w:bCs/>
        </w:rPr>
      </w:pPr>
    </w:p>
    <w:p w14:paraId="76FBAB44" w14:textId="77777777" w:rsidR="00503F75" w:rsidRPr="008E0672" w:rsidRDefault="00503F75" w:rsidP="000938E7">
      <w:pPr>
        <w:spacing w:before="120" w:after="120" w:line="360" w:lineRule="auto"/>
        <w:contextualSpacing/>
        <w:rPr>
          <w:b/>
          <w:bCs/>
        </w:rPr>
      </w:pPr>
      <w:r w:rsidRPr="008E0672">
        <w:rPr>
          <w:b/>
          <w:bCs/>
        </w:rPr>
        <w:t xml:space="preserve">Primary </w:t>
      </w:r>
      <w:r>
        <w:rPr>
          <w:b/>
          <w:bCs/>
        </w:rPr>
        <w:t xml:space="preserve">&amp; secondary </w:t>
      </w:r>
      <w:r w:rsidRPr="008E0672">
        <w:rPr>
          <w:b/>
          <w:bCs/>
        </w:rPr>
        <w:t>outcome</w:t>
      </w:r>
      <w:r>
        <w:rPr>
          <w:b/>
          <w:bCs/>
        </w:rPr>
        <w:t>s</w:t>
      </w:r>
    </w:p>
    <w:p w14:paraId="2FE63C93" w14:textId="21940960" w:rsidR="00503F75" w:rsidRDefault="00503F75" w:rsidP="000F776E">
      <w:pPr>
        <w:pStyle w:val="ListParagraph"/>
        <w:numPr>
          <w:ilvl w:val="0"/>
          <w:numId w:val="17"/>
        </w:numPr>
        <w:spacing w:before="120" w:after="120" w:line="360" w:lineRule="auto"/>
      </w:pPr>
      <w:r>
        <w:t>Pain assessment using VAS score.</w:t>
      </w:r>
    </w:p>
    <w:p w14:paraId="2EAEAA65" w14:textId="50808B8E" w:rsidR="00503F75" w:rsidRDefault="00503F75" w:rsidP="000F776E">
      <w:pPr>
        <w:pStyle w:val="ListParagraph"/>
        <w:numPr>
          <w:ilvl w:val="0"/>
          <w:numId w:val="17"/>
        </w:numPr>
        <w:spacing w:before="120" w:after="120" w:line="360" w:lineRule="auto"/>
      </w:pPr>
      <w:r>
        <w:t xml:space="preserve">Function assessment – </w:t>
      </w:r>
      <w:r w:rsidR="006A7CDE">
        <w:t xml:space="preserve">Oxford Knee Score </w:t>
      </w:r>
      <w:r w:rsidR="00E64211">
        <w:t xml:space="preserve">(OKS) </w:t>
      </w:r>
      <w:r w:rsidR="006A7CDE">
        <w:t>+ EQ5D</w:t>
      </w:r>
    </w:p>
    <w:p w14:paraId="2A3E6A8E" w14:textId="417F1B03" w:rsidR="006A7CDE" w:rsidRDefault="006A7CDE" w:rsidP="000F776E">
      <w:pPr>
        <w:pStyle w:val="ListParagraph"/>
        <w:numPr>
          <w:ilvl w:val="0"/>
          <w:numId w:val="17"/>
        </w:numPr>
        <w:spacing w:before="120" w:after="120" w:line="360" w:lineRule="auto"/>
      </w:pPr>
      <w:r>
        <w:t>Reduction in analgesia requirements from pre-intervention</w:t>
      </w:r>
    </w:p>
    <w:p w14:paraId="7DCBBA1B" w14:textId="12811092" w:rsidR="00503F75" w:rsidRPr="008E0672" w:rsidRDefault="00503F75" w:rsidP="000938E7">
      <w:pPr>
        <w:pStyle w:val="ListParagraph"/>
        <w:numPr>
          <w:ilvl w:val="0"/>
          <w:numId w:val="17"/>
        </w:numPr>
        <w:spacing w:before="120" w:after="120" w:line="360" w:lineRule="auto"/>
      </w:pPr>
      <w:r>
        <w:t xml:space="preserve">Adverse events – adverse event checklist provided to participant based on the literature at each data collection time point – can simply tick ‘yes’ or ‘no’. Can also include a section where participants can describe any other adverse event experienced in free text. </w:t>
      </w:r>
    </w:p>
    <w:p w14:paraId="6A9F292E" w14:textId="77777777" w:rsidR="00503F75" w:rsidRDefault="00503F75" w:rsidP="000938E7">
      <w:pPr>
        <w:spacing w:before="120" w:after="120" w:line="360" w:lineRule="auto"/>
        <w:contextualSpacing/>
      </w:pPr>
    </w:p>
    <w:p w14:paraId="1CBD8454" w14:textId="42D65B12" w:rsidR="00C651C9" w:rsidRPr="006A7CDE" w:rsidRDefault="00C651C9" w:rsidP="000938E7">
      <w:pPr>
        <w:spacing w:before="120" w:after="120" w:line="360" w:lineRule="auto"/>
        <w:contextualSpacing/>
        <w:rPr>
          <w:b/>
          <w:bCs/>
        </w:rPr>
      </w:pPr>
      <w:r>
        <w:rPr>
          <w:b/>
          <w:bCs/>
        </w:rPr>
        <w:t>Data collection</w:t>
      </w:r>
      <w:r w:rsidR="00503F75">
        <w:rPr>
          <w:b/>
          <w:bCs/>
        </w:rPr>
        <w:t xml:space="preserve"> points</w:t>
      </w:r>
    </w:p>
    <w:p w14:paraId="2D8A4A9E" w14:textId="5BD60AB5" w:rsidR="00C651C9" w:rsidRDefault="00C651C9" w:rsidP="000938E7">
      <w:pPr>
        <w:pStyle w:val="ListParagraph"/>
        <w:numPr>
          <w:ilvl w:val="0"/>
          <w:numId w:val="11"/>
        </w:numPr>
        <w:spacing w:before="120" w:after="120" w:line="360" w:lineRule="auto"/>
      </w:pPr>
      <w:r>
        <w:t xml:space="preserve">Baseline data pre-injection. </w:t>
      </w:r>
    </w:p>
    <w:p w14:paraId="2D5D6528" w14:textId="3D659AFE" w:rsidR="00C651C9" w:rsidRDefault="00C651C9" w:rsidP="000F776E">
      <w:pPr>
        <w:pStyle w:val="ListParagraph"/>
        <w:numPr>
          <w:ilvl w:val="0"/>
          <w:numId w:val="11"/>
        </w:numPr>
        <w:spacing w:before="120" w:after="120" w:line="360" w:lineRule="auto"/>
      </w:pPr>
      <w:r>
        <w:t>Short-term data points:</w:t>
      </w:r>
    </w:p>
    <w:p w14:paraId="72FE71E1" w14:textId="7DF7E8EC" w:rsidR="00C651C9" w:rsidRDefault="00C651C9" w:rsidP="000938E7">
      <w:pPr>
        <w:pStyle w:val="ListParagraph"/>
        <w:numPr>
          <w:ilvl w:val="1"/>
          <w:numId w:val="11"/>
        </w:numPr>
        <w:spacing w:before="120" w:after="120" w:line="360" w:lineRule="auto"/>
      </w:pPr>
      <w:r>
        <w:t>2 weeks.</w:t>
      </w:r>
    </w:p>
    <w:p w14:paraId="2663ABBB" w14:textId="2E9D8406" w:rsidR="00C651C9" w:rsidRDefault="006A7CDE" w:rsidP="000938E7">
      <w:pPr>
        <w:pStyle w:val="ListParagraph"/>
        <w:numPr>
          <w:ilvl w:val="1"/>
          <w:numId w:val="11"/>
        </w:numPr>
        <w:spacing w:before="120" w:after="120" w:line="360" w:lineRule="auto"/>
      </w:pPr>
      <w:r>
        <w:t>6</w:t>
      </w:r>
      <w:r w:rsidR="00C651C9">
        <w:t xml:space="preserve"> weeks.</w:t>
      </w:r>
    </w:p>
    <w:p w14:paraId="58BFDEDA" w14:textId="6BDEA2B5" w:rsidR="00C651C9" w:rsidRDefault="00C651C9" w:rsidP="000938E7">
      <w:pPr>
        <w:pStyle w:val="ListParagraph"/>
        <w:numPr>
          <w:ilvl w:val="1"/>
          <w:numId w:val="11"/>
        </w:numPr>
        <w:spacing w:before="120" w:after="120" w:line="360" w:lineRule="auto"/>
      </w:pPr>
      <w:r>
        <w:t>3 months.</w:t>
      </w:r>
    </w:p>
    <w:p w14:paraId="53D53AB2" w14:textId="77777777" w:rsidR="00C651C9" w:rsidRDefault="00C651C9" w:rsidP="000F776E">
      <w:pPr>
        <w:pStyle w:val="ListParagraph"/>
        <w:numPr>
          <w:ilvl w:val="0"/>
          <w:numId w:val="11"/>
        </w:numPr>
        <w:spacing w:before="120" w:after="120" w:line="360" w:lineRule="auto"/>
      </w:pPr>
      <w:r>
        <w:t>Long-term data points:</w:t>
      </w:r>
    </w:p>
    <w:p w14:paraId="36398EEA" w14:textId="5714F35D" w:rsidR="00C651C9" w:rsidRDefault="00C651C9" w:rsidP="000938E7">
      <w:pPr>
        <w:pStyle w:val="ListParagraph"/>
        <w:numPr>
          <w:ilvl w:val="1"/>
          <w:numId w:val="11"/>
        </w:numPr>
        <w:spacing w:before="120" w:after="120" w:line="360" w:lineRule="auto"/>
      </w:pPr>
      <w:r>
        <w:t>6 months.</w:t>
      </w:r>
    </w:p>
    <w:p w14:paraId="62A972B8" w14:textId="107028BC" w:rsidR="00C651C9" w:rsidRDefault="00C651C9" w:rsidP="000938E7">
      <w:pPr>
        <w:pStyle w:val="ListParagraph"/>
        <w:numPr>
          <w:ilvl w:val="1"/>
          <w:numId w:val="11"/>
        </w:numPr>
        <w:spacing w:before="120" w:after="120" w:line="360" w:lineRule="auto"/>
      </w:pPr>
      <w:r>
        <w:t>12 months.</w:t>
      </w:r>
    </w:p>
    <w:p w14:paraId="522AC55A" w14:textId="77777777" w:rsidR="006A7CDE" w:rsidRDefault="006A7CDE" w:rsidP="000938E7">
      <w:pPr>
        <w:spacing w:before="120" w:after="120" w:line="360" w:lineRule="auto"/>
      </w:pPr>
    </w:p>
    <w:p w14:paraId="686ECE2A" w14:textId="57C18B88" w:rsidR="00C651C9" w:rsidRDefault="00C651C9" w:rsidP="000938E7">
      <w:pPr>
        <w:spacing w:before="120" w:after="120" w:line="360" w:lineRule="auto"/>
        <w:contextualSpacing/>
        <w:rPr>
          <w:b/>
          <w:bCs/>
        </w:rPr>
      </w:pPr>
      <w:r>
        <w:rPr>
          <w:b/>
          <w:bCs/>
        </w:rPr>
        <w:t>Data storage</w:t>
      </w:r>
    </w:p>
    <w:p w14:paraId="7DCF6135" w14:textId="3AA017E3" w:rsidR="003405D6" w:rsidRDefault="003405D6" w:rsidP="000F776E">
      <w:pPr>
        <w:pStyle w:val="ListParagraph"/>
        <w:numPr>
          <w:ilvl w:val="0"/>
          <w:numId w:val="20"/>
        </w:numPr>
        <w:spacing w:before="120" w:after="120" w:line="360" w:lineRule="auto"/>
      </w:pPr>
      <w:r>
        <w:t xml:space="preserve">Each participants data will be recorded on a case report form. </w:t>
      </w:r>
    </w:p>
    <w:p w14:paraId="511E333D" w14:textId="535B4483" w:rsidR="003405D6" w:rsidRDefault="003405D6" w:rsidP="000938E7">
      <w:pPr>
        <w:pStyle w:val="ListParagraph"/>
        <w:numPr>
          <w:ilvl w:val="0"/>
          <w:numId w:val="20"/>
        </w:numPr>
        <w:spacing w:before="120" w:after="120" w:line="360" w:lineRule="auto"/>
      </w:pPr>
      <w:r>
        <w:t xml:space="preserve">Personal information will be </w:t>
      </w:r>
      <w:proofErr w:type="gramStart"/>
      <w:r>
        <w:t>removed</w:t>
      </w:r>
      <w:proofErr w:type="gramEnd"/>
      <w:r>
        <w:t xml:space="preserve"> and patients will be identified throughout the study through the use of a unique identified code.</w:t>
      </w:r>
    </w:p>
    <w:p w14:paraId="3E9408C0" w14:textId="77777777" w:rsidR="003405D6" w:rsidRDefault="003405D6" w:rsidP="000F776E">
      <w:pPr>
        <w:pStyle w:val="ListParagraph"/>
        <w:numPr>
          <w:ilvl w:val="0"/>
          <w:numId w:val="20"/>
        </w:numPr>
        <w:spacing w:before="120" w:after="120" w:line="360" w:lineRule="auto"/>
      </w:pPr>
      <w:r>
        <w:t xml:space="preserve">De-identified participant data collected on the case report form will be transferred to a secure electronic database. </w:t>
      </w:r>
    </w:p>
    <w:p w14:paraId="0172354C" w14:textId="0C1BB140" w:rsidR="00627B7E" w:rsidRPr="00E64211" w:rsidRDefault="003405D6" w:rsidP="000F776E">
      <w:pPr>
        <w:pStyle w:val="ListParagraph"/>
        <w:numPr>
          <w:ilvl w:val="0"/>
          <w:numId w:val="20"/>
        </w:numPr>
        <w:spacing w:before="120" w:after="120" w:line="360" w:lineRule="auto"/>
      </w:pPr>
      <w:r>
        <w:t>Only approved individuals that are part of the study research team will be allowed access to the database through username and password protection.</w:t>
      </w:r>
    </w:p>
    <w:p w14:paraId="57D43F32" w14:textId="77777777" w:rsidR="002C66F5" w:rsidRDefault="002C66F5" w:rsidP="000F776E">
      <w:pPr>
        <w:spacing w:before="120" w:after="120" w:line="360" w:lineRule="auto"/>
        <w:contextualSpacing/>
        <w:jc w:val="center"/>
        <w:rPr>
          <w:b/>
          <w:bCs/>
        </w:rPr>
        <w:sectPr w:rsidR="002C66F5">
          <w:pgSz w:w="11906" w:h="16838"/>
          <w:pgMar w:top="1440" w:right="1440" w:bottom="1440" w:left="1440" w:header="708" w:footer="708" w:gutter="0"/>
          <w:cols w:space="708"/>
          <w:docGrid w:linePitch="360"/>
        </w:sectPr>
      </w:pPr>
    </w:p>
    <w:p w14:paraId="0535139A" w14:textId="0AA0D9E8" w:rsidR="00627B7E" w:rsidRDefault="00627B7E" w:rsidP="000F776E">
      <w:pPr>
        <w:spacing w:before="120" w:after="120" w:line="360" w:lineRule="auto"/>
        <w:contextualSpacing/>
        <w:jc w:val="center"/>
        <w:rPr>
          <w:b/>
          <w:bCs/>
        </w:rPr>
      </w:pPr>
      <w:r>
        <w:rPr>
          <w:b/>
          <w:bCs/>
        </w:rPr>
        <w:lastRenderedPageBreak/>
        <w:t>RESULTS</w:t>
      </w:r>
    </w:p>
    <w:p w14:paraId="58403121" w14:textId="77777777" w:rsidR="00EB293B" w:rsidRDefault="00EB293B" w:rsidP="000F776E">
      <w:pPr>
        <w:spacing w:before="120" w:after="120" w:line="360" w:lineRule="auto"/>
        <w:contextualSpacing/>
        <w:rPr>
          <w:b/>
          <w:bCs/>
        </w:rPr>
      </w:pPr>
    </w:p>
    <w:p w14:paraId="48F5D992" w14:textId="342A8D48" w:rsidR="003405D6" w:rsidRDefault="003405D6" w:rsidP="000F776E">
      <w:pPr>
        <w:spacing w:before="120" w:after="120" w:line="360" w:lineRule="auto"/>
        <w:contextualSpacing/>
        <w:rPr>
          <w:b/>
          <w:bCs/>
        </w:rPr>
      </w:pPr>
      <w:r w:rsidRPr="000938E7">
        <w:rPr>
          <w:b/>
        </w:rPr>
        <w:t>General</w:t>
      </w:r>
    </w:p>
    <w:p w14:paraId="36BB0C93" w14:textId="2FECD78B" w:rsidR="003405D6" w:rsidRDefault="003405D6" w:rsidP="000F776E">
      <w:pPr>
        <w:pStyle w:val="ListParagraph"/>
        <w:numPr>
          <w:ilvl w:val="0"/>
          <w:numId w:val="19"/>
        </w:numPr>
        <w:spacing w:before="120" w:after="120" w:line="360" w:lineRule="auto"/>
      </w:pPr>
      <w:r>
        <w:t>Power of 0.8.</w:t>
      </w:r>
    </w:p>
    <w:p w14:paraId="77AD1F06" w14:textId="26BD6243" w:rsidR="003405D6" w:rsidRDefault="003405D6" w:rsidP="000F776E">
      <w:pPr>
        <w:pStyle w:val="ListParagraph"/>
        <w:numPr>
          <w:ilvl w:val="0"/>
          <w:numId w:val="19"/>
        </w:numPr>
        <w:spacing w:before="120" w:after="120" w:line="360" w:lineRule="auto"/>
      </w:pPr>
      <w:r>
        <w:t>Intention-to-treat analysis.</w:t>
      </w:r>
    </w:p>
    <w:p w14:paraId="74BFE9E2" w14:textId="5F7AC9F6" w:rsidR="00E64211" w:rsidRPr="00E64211" w:rsidRDefault="003405D6" w:rsidP="00E64211">
      <w:pPr>
        <w:pStyle w:val="ListParagraph"/>
        <w:numPr>
          <w:ilvl w:val="0"/>
          <w:numId w:val="19"/>
        </w:numPr>
        <w:spacing w:before="120" w:after="120" w:line="360" w:lineRule="auto"/>
      </w:pPr>
      <w:r>
        <w:t xml:space="preserve">Two-tailed stat tests with </w:t>
      </w:r>
      <w:r>
        <w:rPr>
          <w:rFonts w:cstheme="minorHAnsi"/>
        </w:rPr>
        <w:t>α</w:t>
      </w:r>
      <w:r>
        <w:t xml:space="preserve"> of 0.05. </w:t>
      </w:r>
    </w:p>
    <w:p w14:paraId="2F9A842D" w14:textId="77777777" w:rsidR="00E64211" w:rsidRPr="00E64211" w:rsidRDefault="00E64211" w:rsidP="00E64211">
      <w:pPr>
        <w:spacing w:before="120" w:after="120" w:line="360" w:lineRule="auto"/>
      </w:pPr>
    </w:p>
    <w:p w14:paraId="3F43BE40" w14:textId="77777777" w:rsidR="000F776E" w:rsidRPr="000938E7" w:rsidRDefault="000F776E" w:rsidP="000938E7">
      <w:pPr>
        <w:spacing w:before="120" w:after="120" w:line="360" w:lineRule="auto"/>
        <w:contextualSpacing/>
      </w:pPr>
    </w:p>
    <w:p w14:paraId="56C7274C" w14:textId="0C554BA5" w:rsidR="00503F75" w:rsidRPr="00503F75" w:rsidRDefault="00503F75" w:rsidP="000938E7">
      <w:pPr>
        <w:spacing w:before="120" w:after="120" w:line="360" w:lineRule="auto"/>
        <w:contextualSpacing/>
        <w:rPr>
          <w:b/>
          <w:bCs/>
        </w:rPr>
      </w:pPr>
      <w:r w:rsidRPr="00503F75">
        <w:rPr>
          <w:b/>
          <w:bCs/>
        </w:rPr>
        <w:t xml:space="preserve">Baseline </w:t>
      </w:r>
      <w:r w:rsidR="00AD6C51">
        <w:rPr>
          <w:b/>
          <w:bCs/>
        </w:rPr>
        <w:t>characteristics</w:t>
      </w:r>
    </w:p>
    <w:p w14:paraId="6ADC57B6" w14:textId="1B472E96" w:rsidR="00503F75" w:rsidRDefault="00503F75" w:rsidP="000F776E">
      <w:pPr>
        <w:pStyle w:val="ListParagraph"/>
        <w:numPr>
          <w:ilvl w:val="0"/>
          <w:numId w:val="21"/>
        </w:numPr>
        <w:spacing w:before="120" w:after="120" w:line="360" w:lineRule="auto"/>
      </w:pPr>
      <w:r>
        <w:t>Reported in a table between groups</w:t>
      </w:r>
      <w:r w:rsidR="00AD6C51">
        <w:t xml:space="preserve"> and analysis to check for sig. differences.</w:t>
      </w:r>
    </w:p>
    <w:p w14:paraId="473542E8" w14:textId="77777777" w:rsidR="00AD6C51" w:rsidRDefault="00AD6C51" w:rsidP="000938E7">
      <w:pPr>
        <w:pStyle w:val="ListParagraph"/>
        <w:numPr>
          <w:ilvl w:val="0"/>
          <w:numId w:val="21"/>
        </w:numPr>
        <w:spacing w:before="120" w:after="120" w:line="360" w:lineRule="auto"/>
      </w:pPr>
      <w:r>
        <w:t>Age.</w:t>
      </w:r>
    </w:p>
    <w:p w14:paraId="6154A7C7" w14:textId="77777777" w:rsidR="00AD6C51" w:rsidRDefault="00AD6C51" w:rsidP="000938E7">
      <w:pPr>
        <w:pStyle w:val="ListParagraph"/>
        <w:numPr>
          <w:ilvl w:val="0"/>
          <w:numId w:val="21"/>
        </w:numPr>
        <w:spacing w:before="120" w:after="120" w:line="360" w:lineRule="auto"/>
      </w:pPr>
      <w:r>
        <w:t>Gender.</w:t>
      </w:r>
    </w:p>
    <w:p w14:paraId="07B573E9" w14:textId="77777777" w:rsidR="00AD6C51" w:rsidRDefault="00AD6C51" w:rsidP="000F776E">
      <w:pPr>
        <w:pStyle w:val="ListParagraph"/>
        <w:numPr>
          <w:ilvl w:val="0"/>
          <w:numId w:val="21"/>
        </w:numPr>
        <w:spacing w:before="120" w:after="120" w:line="360" w:lineRule="auto"/>
      </w:pPr>
      <w:r>
        <w:t>BMI.</w:t>
      </w:r>
    </w:p>
    <w:p w14:paraId="572C535C" w14:textId="29E96F05" w:rsidR="00AD6C51" w:rsidRDefault="00AD6C51" w:rsidP="000F776E">
      <w:pPr>
        <w:pStyle w:val="ListParagraph"/>
        <w:numPr>
          <w:ilvl w:val="0"/>
          <w:numId w:val="21"/>
        </w:numPr>
        <w:spacing w:before="120" w:after="120" w:line="360" w:lineRule="auto"/>
      </w:pPr>
      <w:r>
        <w:t xml:space="preserve">KL grade. </w:t>
      </w:r>
    </w:p>
    <w:p w14:paraId="7B54CE3B" w14:textId="57B8F3A3" w:rsidR="00AD6C51" w:rsidRDefault="00672652" w:rsidP="000938E7">
      <w:pPr>
        <w:pStyle w:val="ListParagraph"/>
        <w:numPr>
          <w:ilvl w:val="0"/>
          <w:numId w:val="21"/>
        </w:numPr>
        <w:spacing w:before="120" w:after="120" w:line="360" w:lineRule="auto"/>
      </w:pPr>
      <w:r>
        <w:t>Pre-injection</w:t>
      </w:r>
      <w:r w:rsidR="00AD6C51">
        <w:t xml:space="preserve"> VAS pain score.</w:t>
      </w:r>
    </w:p>
    <w:p w14:paraId="10ECA1DA" w14:textId="5E85AEA7" w:rsidR="00AD6C51" w:rsidRDefault="00672652" w:rsidP="000F776E">
      <w:pPr>
        <w:pStyle w:val="ListParagraph"/>
        <w:numPr>
          <w:ilvl w:val="0"/>
          <w:numId w:val="21"/>
        </w:numPr>
        <w:spacing w:before="120" w:after="120" w:line="360" w:lineRule="auto"/>
      </w:pPr>
      <w:r>
        <w:t>Pre-injection</w:t>
      </w:r>
      <w:r w:rsidR="00AD6C51">
        <w:t xml:space="preserve"> function score.</w:t>
      </w:r>
    </w:p>
    <w:p w14:paraId="3EE6D0E8" w14:textId="61A8F5C5" w:rsidR="00503F75" w:rsidRDefault="00AD6C51" w:rsidP="000F776E">
      <w:pPr>
        <w:pStyle w:val="ListParagraph"/>
        <w:numPr>
          <w:ilvl w:val="0"/>
          <w:numId w:val="21"/>
        </w:numPr>
        <w:spacing w:before="120" w:after="120" w:line="360" w:lineRule="auto"/>
      </w:pPr>
      <w:r>
        <w:t xml:space="preserve">Paracetamol consumption post-injection. </w:t>
      </w:r>
    </w:p>
    <w:p w14:paraId="4FDB19F4" w14:textId="77777777" w:rsidR="003405D6" w:rsidRDefault="003405D6" w:rsidP="000F776E">
      <w:pPr>
        <w:spacing w:before="120" w:after="120" w:line="360" w:lineRule="auto"/>
        <w:contextualSpacing/>
        <w:rPr>
          <w:b/>
          <w:bCs/>
        </w:rPr>
      </w:pPr>
    </w:p>
    <w:p w14:paraId="32C738EF" w14:textId="1AA8914E" w:rsidR="00155EF7" w:rsidRDefault="00155EF7" w:rsidP="000F776E">
      <w:pPr>
        <w:spacing w:before="120" w:after="120" w:line="360" w:lineRule="auto"/>
        <w:contextualSpacing/>
        <w:rPr>
          <w:b/>
          <w:bCs/>
        </w:rPr>
      </w:pPr>
      <w:r>
        <w:rPr>
          <w:b/>
          <w:bCs/>
        </w:rPr>
        <w:t>Primary outcomes</w:t>
      </w:r>
    </w:p>
    <w:p w14:paraId="0A019163" w14:textId="77777777" w:rsidR="00155EF7" w:rsidRDefault="00155EF7" w:rsidP="000F776E">
      <w:pPr>
        <w:pStyle w:val="ListParagraph"/>
        <w:numPr>
          <w:ilvl w:val="0"/>
          <w:numId w:val="16"/>
        </w:numPr>
        <w:spacing w:before="120" w:after="120" w:line="360" w:lineRule="auto"/>
      </w:pPr>
      <w:r>
        <w:t>Pain &amp; function:</w:t>
      </w:r>
    </w:p>
    <w:p w14:paraId="2E019BB9" w14:textId="498A22A5" w:rsidR="00155EF7" w:rsidRDefault="00155EF7" w:rsidP="000F776E">
      <w:pPr>
        <w:pStyle w:val="ListParagraph"/>
        <w:numPr>
          <w:ilvl w:val="1"/>
          <w:numId w:val="16"/>
        </w:numPr>
        <w:spacing w:before="120" w:after="120" w:line="360" w:lineRule="auto"/>
      </w:pPr>
      <w:r>
        <w:t xml:space="preserve">Independent sample T-test to assess differences </w:t>
      </w:r>
      <w:r w:rsidRPr="000938E7">
        <w:rPr>
          <w:i/>
        </w:rPr>
        <w:t xml:space="preserve">between </w:t>
      </w:r>
      <w:r>
        <w:t xml:space="preserve">groups at each data collection time point.   </w:t>
      </w:r>
    </w:p>
    <w:p w14:paraId="4F7A5B12" w14:textId="2C27469C" w:rsidR="00155EF7" w:rsidRDefault="00155EF7" w:rsidP="000F776E">
      <w:pPr>
        <w:pStyle w:val="ListParagraph"/>
        <w:numPr>
          <w:ilvl w:val="1"/>
          <w:numId w:val="16"/>
        </w:numPr>
        <w:spacing w:before="120" w:after="120" w:line="360" w:lineRule="auto"/>
      </w:pPr>
      <w:r>
        <w:t xml:space="preserve">Paired sample T-tests to assess differences </w:t>
      </w:r>
      <w:r w:rsidRPr="000938E7">
        <w:rPr>
          <w:i/>
        </w:rPr>
        <w:t>within</w:t>
      </w:r>
      <w:r>
        <w:t xml:space="preserve"> groups across the data collection time points.  </w:t>
      </w:r>
    </w:p>
    <w:p w14:paraId="433A5703" w14:textId="4C2454EC" w:rsidR="00155EF7" w:rsidRDefault="00155EF7" w:rsidP="000F776E">
      <w:pPr>
        <w:pStyle w:val="ListParagraph"/>
        <w:numPr>
          <w:ilvl w:val="1"/>
          <w:numId w:val="16"/>
        </w:numPr>
        <w:spacing w:before="120" w:after="120" w:line="360" w:lineRule="auto"/>
      </w:pPr>
      <w:r>
        <w:t xml:space="preserve">Sub-group analyses – ANOVA test to assess for differences in pain and function outcome based on KL grade of OA. </w:t>
      </w:r>
    </w:p>
    <w:p w14:paraId="1C7DE049" w14:textId="77777777" w:rsidR="003405D6" w:rsidRDefault="00155EF7" w:rsidP="000F776E">
      <w:pPr>
        <w:pStyle w:val="ListParagraph"/>
        <w:numPr>
          <w:ilvl w:val="0"/>
          <w:numId w:val="16"/>
        </w:numPr>
        <w:spacing w:before="120" w:after="120" w:line="360" w:lineRule="auto"/>
      </w:pPr>
      <w:r>
        <w:t>Adverse events</w:t>
      </w:r>
      <w:r w:rsidR="003405D6">
        <w:t>:</w:t>
      </w:r>
    </w:p>
    <w:p w14:paraId="080EEC6A" w14:textId="3243332A" w:rsidR="003405D6" w:rsidRDefault="003405D6" w:rsidP="000F776E">
      <w:pPr>
        <w:pStyle w:val="ListParagraph"/>
        <w:numPr>
          <w:ilvl w:val="1"/>
          <w:numId w:val="16"/>
        </w:numPr>
        <w:spacing w:before="120" w:after="120" w:line="360" w:lineRule="auto"/>
      </w:pPr>
      <w:r>
        <w:t>Presented as a table and split based on non-serious and serious.</w:t>
      </w:r>
    </w:p>
    <w:p w14:paraId="7C8FF10E" w14:textId="28DAC744" w:rsidR="00155EF7" w:rsidRPr="00155EF7" w:rsidRDefault="003405D6" w:rsidP="000938E7">
      <w:pPr>
        <w:pStyle w:val="ListParagraph"/>
        <w:numPr>
          <w:ilvl w:val="1"/>
          <w:numId w:val="16"/>
        </w:numPr>
        <w:spacing w:before="120" w:after="120" w:line="360" w:lineRule="auto"/>
      </w:pPr>
      <w:r>
        <w:t>I</w:t>
      </w:r>
      <w:r w:rsidR="00155EF7">
        <w:t xml:space="preserve">ndependent sample T-tests to assess </w:t>
      </w:r>
      <w:r>
        <w:t>difference in overall rate of non-serious and serious adverse events.</w:t>
      </w:r>
    </w:p>
    <w:p w14:paraId="34E796A4" w14:textId="338ADC48" w:rsidR="00155EF7" w:rsidRDefault="00155EF7" w:rsidP="000F776E">
      <w:pPr>
        <w:spacing w:before="120" w:after="120" w:line="360" w:lineRule="auto"/>
        <w:contextualSpacing/>
        <w:rPr>
          <w:b/>
          <w:bCs/>
        </w:rPr>
      </w:pPr>
    </w:p>
    <w:p w14:paraId="49687892" w14:textId="2D806EC2" w:rsidR="00155EF7" w:rsidRPr="00C31281" w:rsidRDefault="00155EF7" w:rsidP="00C31281">
      <w:pPr>
        <w:spacing w:before="120" w:after="120" w:line="360" w:lineRule="auto"/>
        <w:rPr>
          <w:highlight w:val="yellow"/>
        </w:rPr>
      </w:pPr>
    </w:p>
    <w:p w14:paraId="1F252CFD" w14:textId="77777777" w:rsidR="002C66F5" w:rsidRDefault="002C66F5" w:rsidP="000938E7">
      <w:pPr>
        <w:spacing w:before="120" w:after="120" w:line="360" w:lineRule="auto"/>
        <w:contextualSpacing/>
        <w:rPr>
          <w:b/>
          <w:bCs/>
        </w:rPr>
        <w:sectPr w:rsidR="002C66F5">
          <w:pgSz w:w="11906" w:h="16838"/>
          <w:pgMar w:top="1440" w:right="1440" w:bottom="1440" w:left="1440" w:header="708" w:footer="708" w:gutter="0"/>
          <w:cols w:space="708"/>
          <w:docGrid w:linePitch="360"/>
        </w:sectPr>
      </w:pPr>
    </w:p>
    <w:p w14:paraId="43810EC0" w14:textId="0489378F" w:rsidR="00FD57E2" w:rsidRPr="00FD57E2" w:rsidRDefault="00FD57E2" w:rsidP="00FA6342">
      <w:pPr>
        <w:spacing w:before="120" w:after="120" w:line="360" w:lineRule="auto"/>
        <w:contextualSpacing/>
        <w:jc w:val="center"/>
        <w:rPr>
          <w:b/>
          <w:bCs/>
        </w:rPr>
      </w:pPr>
      <w:r w:rsidRPr="00FD57E2">
        <w:rPr>
          <w:b/>
          <w:bCs/>
        </w:rPr>
        <w:lastRenderedPageBreak/>
        <w:t>SAFETY</w:t>
      </w:r>
    </w:p>
    <w:p w14:paraId="5288DC38" w14:textId="677539EB" w:rsidR="00FD57E2" w:rsidRDefault="00FD57E2" w:rsidP="000938E7">
      <w:pPr>
        <w:spacing w:before="120" w:after="120" w:line="360" w:lineRule="auto"/>
        <w:contextualSpacing/>
        <w:jc w:val="center"/>
      </w:pPr>
    </w:p>
    <w:p w14:paraId="67DF9139" w14:textId="3436A24F" w:rsidR="00FD57E2" w:rsidRPr="000938E7" w:rsidRDefault="00FD57E2" w:rsidP="000938E7">
      <w:pPr>
        <w:pStyle w:val="ListParagraph"/>
        <w:numPr>
          <w:ilvl w:val="0"/>
          <w:numId w:val="15"/>
        </w:numPr>
        <w:spacing w:before="120" w:after="120" w:line="360" w:lineRule="auto"/>
        <w:rPr>
          <w:color w:val="000000"/>
        </w:rPr>
      </w:pPr>
      <w:r w:rsidRPr="00FD57E2">
        <w:rPr>
          <w:rFonts w:eastAsia="Times New Roman" w:cstheme="minorHAnsi"/>
          <w:color w:val="000000"/>
        </w:rPr>
        <w:t>Serious</w:t>
      </w:r>
      <w:r w:rsidRPr="000938E7">
        <w:rPr>
          <w:color w:val="000000"/>
        </w:rPr>
        <w:t xml:space="preserve"> adverse events </w:t>
      </w:r>
      <w:r w:rsidRPr="00FD57E2">
        <w:rPr>
          <w:rFonts w:eastAsia="Times New Roman" w:cstheme="minorHAnsi"/>
          <w:color w:val="000000"/>
        </w:rPr>
        <w:t>(SAEs)</w:t>
      </w:r>
      <w:r w:rsidRPr="000938E7">
        <w:rPr>
          <w:color w:val="000000"/>
        </w:rPr>
        <w:t xml:space="preserve"> will be reported to the ethics committee and </w:t>
      </w:r>
      <w:r w:rsidRPr="00FD57E2">
        <w:rPr>
          <w:rFonts w:eastAsia="Times New Roman" w:cstheme="minorHAnsi"/>
          <w:color w:val="000000"/>
        </w:rPr>
        <w:t xml:space="preserve">monitored by an independent data </w:t>
      </w:r>
      <w:r w:rsidRPr="000938E7">
        <w:rPr>
          <w:color w:val="000000"/>
        </w:rPr>
        <w:t xml:space="preserve">monitoring </w:t>
      </w:r>
      <w:r w:rsidRPr="00FD57E2">
        <w:rPr>
          <w:rFonts w:eastAsia="Times New Roman" w:cstheme="minorHAnsi"/>
          <w:color w:val="000000"/>
        </w:rPr>
        <w:t>and safety committee</w:t>
      </w:r>
      <w:r w:rsidRPr="000938E7">
        <w:rPr>
          <w:color w:val="000000"/>
        </w:rPr>
        <w:t>.</w:t>
      </w:r>
    </w:p>
    <w:p w14:paraId="0EE39D71" w14:textId="59038FC5" w:rsidR="00FD57E2" w:rsidRPr="00FD57E2" w:rsidRDefault="00FD57E2" w:rsidP="000F776E">
      <w:pPr>
        <w:pStyle w:val="ListParagraph"/>
        <w:numPr>
          <w:ilvl w:val="0"/>
          <w:numId w:val="15"/>
        </w:numPr>
        <w:spacing w:before="120" w:after="120" w:line="360" w:lineRule="auto"/>
        <w:rPr>
          <w:rFonts w:eastAsia="Times New Roman" w:cstheme="minorHAnsi"/>
          <w:color w:val="000000"/>
        </w:rPr>
      </w:pPr>
      <w:r>
        <w:rPr>
          <w:rFonts w:eastAsia="Times New Roman" w:cstheme="minorHAnsi"/>
          <w:color w:val="000000"/>
        </w:rPr>
        <w:t>Potential ad</w:t>
      </w:r>
      <w:r w:rsidRPr="00FD57E2">
        <w:rPr>
          <w:rFonts w:eastAsia="Times New Roman" w:cstheme="minorHAnsi"/>
          <w:color w:val="000000"/>
        </w:rPr>
        <w:t>verse events incl</w:t>
      </w:r>
      <w:r>
        <w:rPr>
          <w:rFonts w:eastAsia="Times New Roman" w:cstheme="minorHAnsi"/>
          <w:color w:val="000000"/>
        </w:rPr>
        <w:t>ude:</w:t>
      </w:r>
    </w:p>
    <w:p w14:paraId="4D1BBDBC" w14:textId="18B0AE92" w:rsidR="00FD57E2" w:rsidRPr="00402E57" w:rsidRDefault="00FD57E2" w:rsidP="000F776E">
      <w:pPr>
        <w:pStyle w:val="ListParagraph"/>
        <w:numPr>
          <w:ilvl w:val="0"/>
          <w:numId w:val="23"/>
        </w:numPr>
        <w:spacing w:before="120" w:after="120" w:line="360" w:lineRule="auto"/>
        <w:rPr>
          <w:rFonts w:eastAsia="Times New Roman" w:cstheme="minorHAnsi"/>
          <w:color w:val="000000"/>
        </w:rPr>
      </w:pPr>
      <w:proofErr w:type="spellStart"/>
      <w:r w:rsidRPr="00402E57">
        <w:rPr>
          <w:rFonts w:eastAsia="Times New Roman" w:cstheme="minorHAnsi"/>
          <w:color w:val="000000"/>
        </w:rPr>
        <w:t>Haemarthrosis</w:t>
      </w:r>
      <w:proofErr w:type="spellEnd"/>
      <w:r>
        <w:rPr>
          <w:rFonts w:eastAsia="Times New Roman" w:cstheme="minorHAnsi"/>
          <w:color w:val="000000"/>
        </w:rPr>
        <w:t>.</w:t>
      </w:r>
    </w:p>
    <w:p w14:paraId="3C4AAC4A" w14:textId="4D25CFE9" w:rsidR="00FD57E2" w:rsidRPr="00402E57" w:rsidRDefault="00FD57E2" w:rsidP="000F776E">
      <w:pPr>
        <w:pStyle w:val="ListParagraph"/>
        <w:numPr>
          <w:ilvl w:val="0"/>
          <w:numId w:val="23"/>
        </w:numPr>
        <w:spacing w:before="120" w:after="120" w:line="360" w:lineRule="auto"/>
        <w:rPr>
          <w:rFonts w:eastAsia="Times New Roman" w:cstheme="minorHAnsi"/>
          <w:color w:val="000000"/>
        </w:rPr>
      </w:pPr>
      <w:r w:rsidRPr="00402E57">
        <w:rPr>
          <w:rFonts w:eastAsia="Times New Roman" w:cstheme="minorHAnsi"/>
          <w:color w:val="000000"/>
        </w:rPr>
        <w:t>Septic arthritis</w:t>
      </w:r>
      <w:r>
        <w:rPr>
          <w:rFonts w:eastAsia="Times New Roman" w:cstheme="minorHAnsi"/>
          <w:color w:val="000000"/>
        </w:rPr>
        <w:t>.</w:t>
      </w:r>
    </w:p>
    <w:p w14:paraId="4B6E2E82" w14:textId="59F128B2" w:rsidR="00FD57E2" w:rsidRDefault="00FD57E2" w:rsidP="000F776E">
      <w:pPr>
        <w:pStyle w:val="ListParagraph"/>
        <w:numPr>
          <w:ilvl w:val="0"/>
          <w:numId w:val="23"/>
        </w:numPr>
        <w:spacing w:before="120" w:after="120" w:line="360" w:lineRule="auto"/>
        <w:rPr>
          <w:rFonts w:eastAsia="Times New Roman" w:cstheme="minorHAnsi"/>
          <w:color w:val="000000"/>
        </w:rPr>
      </w:pPr>
      <w:r>
        <w:rPr>
          <w:rFonts w:eastAsia="Times New Roman" w:cstheme="minorHAnsi"/>
          <w:color w:val="000000"/>
        </w:rPr>
        <w:t>Botox-specific s</w:t>
      </w:r>
      <w:r w:rsidRPr="00402E57">
        <w:rPr>
          <w:rFonts w:eastAsia="Times New Roman" w:cstheme="minorHAnsi"/>
          <w:color w:val="000000"/>
        </w:rPr>
        <w:t>ide effects</w:t>
      </w:r>
      <w:r>
        <w:rPr>
          <w:rFonts w:eastAsia="Times New Roman" w:cstheme="minorHAnsi"/>
          <w:color w:val="000000"/>
        </w:rPr>
        <w:t>– muscle weakness / arrhythmia / dysphagia / anaphylaxis / skin rash.</w:t>
      </w:r>
    </w:p>
    <w:p w14:paraId="13B322E3" w14:textId="30E2A90B" w:rsidR="00FD57E2" w:rsidRPr="000938E7" w:rsidRDefault="00FD57E2" w:rsidP="000938E7">
      <w:pPr>
        <w:spacing w:before="120" w:after="120" w:line="360" w:lineRule="auto"/>
        <w:contextualSpacing/>
        <w:rPr>
          <w:color w:val="000000"/>
        </w:rPr>
      </w:pPr>
    </w:p>
    <w:p w14:paraId="7C6ADBCD" w14:textId="6A691673" w:rsidR="00FD57E2" w:rsidRDefault="00FD57E2" w:rsidP="000F776E">
      <w:pPr>
        <w:spacing w:before="120" w:after="120" w:line="360" w:lineRule="auto"/>
        <w:contextualSpacing/>
        <w:jc w:val="center"/>
        <w:rPr>
          <w:rFonts w:eastAsia="Times New Roman" w:cstheme="minorHAnsi"/>
          <w:b/>
          <w:bCs/>
          <w:color w:val="000000"/>
        </w:rPr>
      </w:pPr>
      <w:r>
        <w:rPr>
          <w:rFonts w:eastAsia="Times New Roman" w:cstheme="minorHAnsi"/>
          <w:b/>
          <w:bCs/>
          <w:color w:val="000000"/>
        </w:rPr>
        <w:t>ETHICS</w:t>
      </w:r>
    </w:p>
    <w:p w14:paraId="5C8F25AD" w14:textId="7AA53489" w:rsidR="00FD57E2" w:rsidRPr="000938E7" w:rsidRDefault="00FD57E2" w:rsidP="000938E7">
      <w:pPr>
        <w:spacing w:before="120" w:after="120" w:line="360" w:lineRule="auto"/>
        <w:contextualSpacing/>
        <w:jc w:val="center"/>
        <w:rPr>
          <w:b/>
          <w:color w:val="000000"/>
        </w:rPr>
      </w:pPr>
    </w:p>
    <w:p w14:paraId="2EDD720B" w14:textId="4325EEDE" w:rsidR="00FD57E2" w:rsidRDefault="00FD57E2" w:rsidP="000F776E">
      <w:pPr>
        <w:pStyle w:val="ListParagraph"/>
        <w:numPr>
          <w:ilvl w:val="0"/>
          <w:numId w:val="24"/>
        </w:numPr>
        <w:spacing w:before="120" w:after="120" w:line="360" w:lineRule="auto"/>
        <w:rPr>
          <w:rFonts w:eastAsia="Times New Roman" w:cstheme="minorHAnsi"/>
          <w:color w:val="000000"/>
        </w:rPr>
      </w:pPr>
      <w:r>
        <w:rPr>
          <w:rFonts w:eastAsia="Times New Roman" w:cstheme="minorHAnsi"/>
          <w:color w:val="000000"/>
        </w:rPr>
        <w:t>The study will be conducted in agreement with the Declaration of Helsinki.</w:t>
      </w:r>
    </w:p>
    <w:p w14:paraId="5AB50188" w14:textId="69CC4CA9" w:rsidR="00FD57E2" w:rsidRDefault="00FD57E2" w:rsidP="000F776E">
      <w:pPr>
        <w:pStyle w:val="ListParagraph"/>
        <w:numPr>
          <w:ilvl w:val="0"/>
          <w:numId w:val="24"/>
        </w:numPr>
        <w:spacing w:before="120" w:after="120" w:line="360" w:lineRule="auto"/>
        <w:rPr>
          <w:rFonts w:eastAsia="Times New Roman" w:cstheme="minorHAnsi"/>
          <w:color w:val="000000"/>
        </w:rPr>
      </w:pPr>
      <w:r>
        <w:rPr>
          <w:rFonts w:eastAsia="Times New Roman" w:cstheme="minorHAnsi"/>
          <w:color w:val="000000"/>
        </w:rPr>
        <w:t xml:space="preserve">The evidence surrounding different IA BTA doses is lacking so allocation to low dose or high dose is ethically acceptable. </w:t>
      </w:r>
    </w:p>
    <w:p w14:paraId="6B014793" w14:textId="49659530" w:rsidR="00FD57E2" w:rsidRDefault="00FD57E2" w:rsidP="000F776E">
      <w:pPr>
        <w:pStyle w:val="ListParagraph"/>
        <w:numPr>
          <w:ilvl w:val="0"/>
          <w:numId w:val="24"/>
        </w:numPr>
        <w:spacing w:before="120" w:after="120" w:line="360" w:lineRule="auto"/>
        <w:rPr>
          <w:rFonts w:eastAsia="Times New Roman" w:cstheme="minorHAnsi"/>
          <w:color w:val="000000"/>
        </w:rPr>
      </w:pPr>
      <w:r>
        <w:rPr>
          <w:rFonts w:eastAsia="Times New Roman" w:cstheme="minorHAnsi"/>
          <w:color w:val="000000"/>
        </w:rPr>
        <w:t xml:space="preserve">The adverse event rate for IA injections and for IA BTA is low. </w:t>
      </w:r>
    </w:p>
    <w:p w14:paraId="173BDA98" w14:textId="3006F53A" w:rsidR="00FD57E2" w:rsidRPr="0084784E" w:rsidRDefault="0084784E" w:rsidP="000938E7">
      <w:pPr>
        <w:pStyle w:val="ListParagraph"/>
        <w:numPr>
          <w:ilvl w:val="0"/>
          <w:numId w:val="24"/>
        </w:numPr>
        <w:spacing w:before="120" w:after="120" w:line="360" w:lineRule="auto"/>
        <w:rPr>
          <w:rFonts w:eastAsia="Times New Roman" w:cstheme="minorHAnsi"/>
          <w:color w:val="000000"/>
        </w:rPr>
      </w:pPr>
      <w:r>
        <w:rPr>
          <w:rFonts w:eastAsia="Times New Roman" w:cstheme="minorHAnsi"/>
          <w:color w:val="000000"/>
        </w:rPr>
        <w:t xml:space="preserve">The study will be submitted for publication to peer-reviewed journals regardless of whether the results favour or do not favour the study hypotheses. </w:t>
      </w:r>
    </w:p>
    <w:p w14:paraId="57C2C3CB" w14:textId="77777777" w:rsidR="00627B7E" w:rsidRPr="00627B7E" w:rsidRDefault="00627B7E" w:rsidP="000938E7">
      <w:pPr>
        <w:spacing w:before="120" w:after="120" w:line="360" w:lineRule="auto"/>
        <w:contextualSpacing/>
        <w:rPr>
          <w:b/>
          <w:bCs/>
        </w:rPr>
      </w:pPr>
    </w:p>
    <w:p w14:paraId="7A6211FC" w14:textId="77777777" w:rsidR="001E740C" w:rsidRDefault="001E740C" w:rsidP="000938E7">
      <w:pPr>
        <w:spacing w:before="120" w:after="120" w:line="360" w:lineRule="auto"/>
        <w:contextualSpacing/>
        <w:rPr>
          <w:b/>
          <w:bCs/>
        </w:rPr>
        <w:sectPr w:rsidR="001E740C">
          <w:pgSz w:w="11906" w:h="16838"/>
          <w:pgMar w:top="1440" w:right="1440" w:bottom="1440" w:left="1440" w:header="708" w:footer="708" w:gutter="0"/>
          <w:cols w:space="708"/>
          <w:docGrid w:linePitch="360"/>
        </w:sectPr>
      </w:pPr>
    </w:p>
    <w:p w14:paraId="524B8A2A" w14:textId="32C6DEE0" w:rsidR="00627B7E" w:rsidRDefault="001E740C" w:rsidP="001E740C">
      <w:pPr>
        <w:spacing w:before="120" w:after="120" w:line="360" w:lineRule="auto"/>
        <w:contextualSpacing/>
        <w:jc w:val="center"/>
        <w:rPr>
          <w:b/>
          <w:bCs/>
        </w:rPr>
      </w:pPr>
      <w:r>
        <w:rPr>
          <w:b/>
          <w:bCs/>
        </w:rPr>
        <w:lastRenderedPageBreak/>
        <w:t>REFERENCES</w:t>
      </w:r>
    </w:p>
    <w:p w14:paraId="18B36EED" w14:textId="77777777" w:rsidR="007551B8" w:rsidRDefault="007551B8" w:rsidP="000938E7">
      <w:pPr>
        <w:rPr>
          <w:rFonts w:cstheme="minorHAnsi"/>
          <w:color w:val="222222"/>
          <w:shd w:val="clear" w:color="auto" w:fill="FFFFFF"/>
        </w:rPr>
      </w:pPr>
    </w:p>
    <w:p w14:paraId="05C8A3A5" w14:textId="591930FF" w:rsidR="007551B8" w:rsidRPr="007551B8" w:rsidRDefault="007551B8" w:rsidP="00703589">
      <w:pPr>
        <w:rPr>
          <w:rFonts w:cstheme="minorHAnsi"/>
          <w:color w:val="222222"/>
          <w:shd w:val="clear" w:color="auto" w:fill="FFFFFF"/>
        </w:rPr>
      </w:pPr>
      <w:r w:rsidRPr="007551B8">
        <w:rPr>
          <w:rFonts w:cstheme="minorHAnsi"/>
          <w:color w:val="222222"/>
          <w:shd w:val="clear" w:color="auto" w:fill="FFFFFF"/>
        </w:rPr>
        <w:t xml:space="preserve">Ackerman IN, </w:t>
      </w:r>
      <w:proofErr w:type="spellStart"/>
      <w:r w:rsidRPr="007551B8">
        <w:rPr>
          <w:rFonts w:cstheme="minorHAnsi"/>
          <w:color w:val="222222"/>
          <w:shd w:val="clear" w:color="auto" w:fill="FFFFFF"/>
        </w:rPr>
        <w:t>Bohensky</w:t>
      </w:r>
      <w:proofErr w:type="spellEnd"/>
      <w:r w:rsidRPr="007551B8">
        <w:rPr>
          <w:rFonts w:cstheme="minorHAnsi"/>
          <w:color w:val="222222"/>
          <w:shd w:val="clear" w:color="auto" w:fill="FFFFFF"/>
        </w:rPr>
        <w:t xml:space="preserve"> MA, </w:t>
      </w:r>
      <w:proofErr w:type="spellStart"/>
      <w:r w:rsidRPr="007551B8">
        <w:rPr>
          <w:rFonts w:cstheme="minorHAnsi"/>
          <w:color w:val="222222"/>
          <w:shd w:val="clear" w:color="auto" w:fill="FFFFFF"/>
        </w:rPr>
        <w:t>Zomer</w:t>
      </w:r>
      <w:proofErr w:type="spellEnd"/>
      <w:r w:rsidRPr="007551B8">
        <w:rPr>
          <w:rFonts w:cstheme="minorHAnsi"/>
          <w:color w:val="222222"/>
          <w:shd w:val="clear" w:color="auto" w:fill="FFFFFF"/>
        </w:rPr>
        <w:t xml:space="preserve"> E, </w:t>
      </w:r>
      <w:proofErr w:type="spellStart"/>
      <w:r w:rsidRPr="007551B8">
        <w:rPr>
          <w:rFonts w:cstheme="minorHAnsi"/>
          <w:color w:val="222222"/>
          <w:shd w:val="clear" w:color="auto" w:fill="FFFFFF"/>
        </w:rPr>
        <w:t>Tacey</w:t>
      </w:r>
      <w:proofErr w:type="spellEnd"/>
      <w:r w:rsidRPr="007551B8">
        <w:rPr>
          <w:rFonts w:cstheme="minorHAnsi"/>
          <w:color w:val="222222"/>
          <w:shd w:val="clear" w:color="auto" w:fill="FFFFFF"/>
        </w:rPr>
        <w:t xml:space="preserve"> M, Gorelik A, Brand CA, De </w:t>
      </w:r>
      <w:proofErr w:type="spellStart"/>
      <w:r w:rsidRPr="007551B8">
        <w:rPr>
          <w:rFonts w:cstheme="minorHAnsi"/>
          <w:color w:val="222222"/>
          <w:shd w:val="clear" w:color="auto" w:fill="FFFFFF"/>
        </w:rPr>
        <w:t>Steiger</w:t>
      </w:r>
      <w:proofErr w:type="spellEnd"/>
      <w:r w:rsidRPr="007551B8">
        <w:rPr>
          <w:rFonts w:cstheme="minorHAnsi"/>
          <w:color w:val="222222"/>
          <w:shd w:val="clear" w:color="auto" w:fill="FFFFFF"/>
        </w:rPr>
        <w:t xml:space="preserve"> R. The projected burden of primary total knee and hip replacement for osteoarthritis in Australia to the year 2030. BMC musculoskeletal disorders. 2019 Dec;20(1):1-0.</w:t>
      </w:r>
    </w:p>
    <w:p w14:paraId="7D3A91AF" w14:textId="77777777" w:rsidR="007551B8" w:rsidRPr="007551B8" w:rsidRDefault="007551B8" w:rsidP="00703589">
      <w:pPr>
        <w:rPr>
          <w:rFonts w:cstheme="minorHAnsi"/>
          <w:color w:val="222222"/>
          <w:shd w:val="clear" w:color="auto" w:fill="FFFFFF"/>
        </w:rPr>
      </w:pPr>
      <w:r w:rsidRPr="007551B8">
        <w:rPr>
          <w:rFonts w:cstheme="minorHAnsi"/>
          <w:color w:val="222222"/>
          <w:shd w:val="clear" w:color="auto" w:fill="FFFFFF"/>
        </w:rPr>
        <w:t xml:space="preserve">Arendt-Nielsen L, Jiang GL, </w:t>
      </w:r>
      <w:proofErr w:type="spellStart"/>
      <w:r w:rsidRPr="007551B8">
        <w:rPr>
          <w:rFonts w:cstheme="minorHAnsi"/>
          <w:color w:val="222222"/>
          <w:shd w:val="clear" w:color="auto" w:fill="FFFFFF"/>
        </w:rPr>
        <w:t>DeGryse</w:t>
      </w:r>
      <w:proofErr w:type="spellEnd"/>
      <w:r w:rsidRPr="007551B8">
        <w:rPr>
          <w:rFonts w:cstheme="minorHAnsi"/>
          <w:color w:val="222222"/>
          <w:shd w:val="clear" w:color="auto" w:fill="FFFFFF"/>
        </w:rPr>
        <w:t xml:space="preserve"> R, </w:t>
      </w:r>
      <w:proofErr w:type="spellStart"/>
      <w:r w:rsidRPr="007551B8">
        <w:rPr>
          <w:rFonts w:cstheme="minorHAnsi"/>
          <w:color w:val="222222"/>
          <w:shd w:val="clear" w:color="auto" w:fill="FFFFFF"/>
        </w:rPr>
        <w:t>Turkel</w:t>
      </w:r>
      <w:proofErr w:type="spellEnd"/>
      <w:r w:rsidRPr="007551B8">
        <w:rPr>
          <w:rFonts w:cstheme="minorHAnsi"/>
          <w:color w:val="222222"/>
          <w:shd w:val="clear" w:color="auto" w:fill="FFFFFF"/>
        </w:rPr>
        <w:t xml:space="preserve"> CC. Intra-articular </w:t>
      </w:r>
      <w:proofErr w:type="spellStart"/>
      <w:r w:rsidRPr="007551B8">
        <w:rPr>
          <w:rFonts w:cstheme="minorHAnsi"/>
          <w:color w:val="222222"/>
          <w:shd w:val="clear" w:color="auto" w:fill="FFFFFF"/>
        </w:rPr>
        <w:t>onabotulinumtoxinA</w:t>
      </w:r>
      <w:proofErr w:type="spellEnd"/>
      <w:r w:rsidRPr="007551B8">
        <w:rPr>
          <w:rFonts w:cstheme="minorHAnsi"/>
          <w:color w:val="222222"/>
          <w:shd w:val="clear" w:color="auto" w:fill="FFFFFF"/>
        </w:rPr>
        <w:t xml:space="preserve"> in osteoarthritis knee pain: effect on human mechanistic pain biomarkers and clinical pain. Scandinavian journal of rheumatology. 2017 Jul 4;46(4):303-16.</w:t>
      </w:r>
    </w:p>
    <w:p w14:paraId="4AF3CEE0" w14:textId="77777777" w:rsidR="007551B8" w:rsidRPr="007551B8" w:rsidRDefault="007551B8" w:rsidP="00703589">
      <w:pPr>
        <w:rPr>
          <w:rFonts w:cstheme="minorHAnsi"/>
        </w:rPr>
      </w:pPr>
      <w:r w:rsidRPr="007551B8">
        <w:rPr>
          <w:rFonts w:cstheme="minorHAnsi"/>
        </w:rPr>
        <w:t xml:space="preserve">Australian Institute of Health and Welfare 2020. Osteoarthritis. Cat. no. PHE 232. Canberra: AIHW. Viewed 03 December 2020, </w:t>
      </w:r>
      <w:hyperlink r:id="rId17" w:history="1">
        <w:r w:rsidRPr="007551B8">
          <w:rPr>
            <w:rStyle w:val="Hyperlink"/>
            <w:rFonts w:cstheme="minorHAnsi"/>
          </w:rPr>
          <w:t>https://www.aihw.gov.au/reports/chronic-musculoskeletal-conditions/osteoarthritis</w:t>
        </w:r>
      </w:hyperlink>
    </w:p>
    <w:p w14:paraId="06543B39" w14:textId="77777777" w:rsidR="007551B8" w:rsidRPr="007551B8" w:rsidRDefault="007551B8" w:rsidP="00703589">
      <w:pPr>
        <w:rPr>
          <w:rFonts w:cstheme="minorHAnsi"/>
          <w:color w:val="222222"/>
          <w:shd w:val="clear" w:color="auto" w:fill="FFFFFF"/>
        </w:rPr>
      </w:pPr>
      <w:r w:rsidRPr="007551B8">
        <w:rPr>
          <w:rFonts w:cstheme="minorHAnsi"/>
          <w:color w:val="222222"/>
          <w:shd w:val="clear" w:color="auto" w:fill="FFFFFF"/>
        </w:rPr>
        <w:t xml:space="preserve">Bao X, Tan JW, </w:t>
      </w:r>
      <w:proofErr w:type="spellStart"/>
      <w:r w:rsidRPr="007551B8">
        <w:rPr>
          <w:rFonts w:cstheme="minorHAnsi"/>
          <w:color w:val="222222"/>
          <w:shd w:val="clear" w:color="auto" w:fill="FFFFFF"/>
        </w:rPr>
        <w:t>Flyzik</w:t>
      </w:r>
      <w:proofErr w:type="spellEnd"/>
      <w:r w:rsidRPr="007551B8">
        <w:rPr>
          <w:rFonts w:cstheme="minorHAnsi"/>
          <w:color w:val="222222"/>
          <w:shd w:val="clear" w:color="auto" w:fill="FFFFFF"/>
        </w:rPr>
        <w:t xml:space="preserve"> M, Ma XC, Liu H, Liu HY. Effect of therapeutic exercise on knee osteoarthritis after intra-articular injection of botulinum toxin type A, hyaluronate or saline: A randomized controlled trial. Journal of rehabilitation medicine. 2018 Jun 5;50(6):534-41.</w:t>
      </w:r>
    </w:p>
    <w:p w14:paraId="6870B6FF" w14:textId="77777777" w:rsidR="007551B8" w:rsidRPr="007551B8" w:rsidRDefault="007551B8" w:rsidP="00703589">
      <w:pPr>
        <w:rPr>
          <w:rFonts w:cstheme="minorHAnsi"/>
          <w:color w:val="222222"/>
          <w:shd w:val="clear" w:color="auto" w:fill="FFFFFF"/>
        </w:rPr>
      </w:pPr>
      <w:proofErr w:type="spellStart"/>
      <w:r w:rsidRPr="007551B8">
        <w:rPr>
          <w:rFonts w:cstheme="minorHAnsi"/>
          <w:color w:val="222222"/>
          <w:shd w:val="clear" w:color="auto" w:fill="FFFFFF"/>
        </w:rPr>
        <w:t>Blanshan</w:t>
      </w:r>
      <w:proofErr w:type="spellEnd"/>
      <w:r w:rsidRPr="007551B8">
        <w:rPr>
          <w:rFonts w:cstheme="minorHAnsi"/>
          <w:color w:val="222222"/>
          <w:shd w:val="clear" w:color="auto" w:fill="FFFFFF"/>
        </w:rPr>
        <w:t xml:space="preserve"> N, Krug H. The use of botulinum toxin for the treatment of chronic joint pain: Clinical and experimental evidence. Toxins. 2020 May;12(5):314.</w:t>
      </w:r>
    </w:p>
    <w:p w14:paraId="472944CE" w14:textId="77777777" w:rsidR="007551B8" w:rsidRPr="007551B8" w:rsidRDefault="007551B8" w:rsidP="00703589">
      <w:pPr>
        <w:rPr>
          <w:rFonts w:cstheme="minorHAnsi"/>
          <w:color w:val="222222"/>
          <w:shd w:val="clear" w:color="auto" w:fill="FFFFFF"/>
        </w:rPr>
      </w:pPr>
      <w:r w:rsidRPr="007551B8">
        <w:rPr>
          <w:rFonts w:cstheme="minorHAnsi"/>
          <w:color w:val="222222"/>
          <w:shd w:val="clear" w:color="auto" w:fill="FFFFFF"/>
        </w:rPr>
        <w:t>Chou CL, Lee SH, Lu SY, Tsai KL, Ho CY, Lai HC. Therapeutic effects of intra-articular botulinum neurotoxin in advanced knee osteoarthritis. Journal of the Chinese Medical Association. 2010 Nov 1;73(11):573-80.</w:t>
      </w:r>
    </w:p>
    <w:p w14:paraId="15416975" w14:textId="77777777" w:rsidR="007551B8" w:rsidRPr="007551B8" w:rsidRDefault="007551B8" w:rsidP="00703589">
      <w:pPr>
        <w:rPr>
          <w:rFonts w:cstheme="minorHAnsi"/>
          <w:color w:val="222222"/>
          <w:shd w:val="clear" w:color="auto" w:fill="FFFFFF"/>
        </w:rPr>
      </w:pPr>
      <w:proofErr w:type="spellStart"/>
      <w:r w:rsidRPr="007551B8">
        <w:rPr>
          <w:rFonts w:cstheme="minorHAnsi"/>
          <w:color w:val="222222"/>
          <w:shd w:val="clear" w:color="auto" w:fill="FFFFFF"/>
        </w:rPr>
        <w:t>Courseau</w:t>
      </w:r>
      <w:proofErr w:type="spellEnd"/>
      <w:r w:rsidRPr="007551B8">
        <w:rPr>
          <w:rFonts w:cstheme="minorHAnsi"/>
          <w:color w:val="222222"/>
          <w:shd w:val="clear" w:color="auto" w:fill="FFFFFF"/>
        </w:rPr>
        <w:t xml:space="preserve"> M, Salle PV, </w:t>
      </w:r>
      <w:proofErr w:type="spellStart"/>
      <w:r w:rsidRPr="007551B8">
        <w:rPr>
          <w:rFonts w:cstheme="minorHAnsi"/>
          <w:color w:val="222222"/>
          <w:shd w:val="clear" w:color="auto" w:fill="FFFFFF"/>
        </w:rPr>
        <w:t>Ranoux</w:t>
      </w:r>
      <w:proofErr w:type="spellEnd"/>
      <w:r w:rsidRPr="007551B8">
        <w:rPr>
          <w:rFonts w:cstheme="minorHAnsi"/>
          <w:color w:val="222222"/>
          <w:shd w:val="clear" w:color="auto" w:fill="FFFFFF"/>
        </w:rPr>
        <w:t xml:space="preserve"> D, de Pouilly </w:t>
      </w:r>
      <w:proofErr w:type="spellStart"/>
      <w:r w:rsidRPr="007551B8">
        <w:rPr>
          <w:rFonts w:cstheme="minorHAnsi"/>
          <w:color w:val="222222"/>
          <w:shd w:val="clear" w:color="auto" w:fill="FFFFFF"/>
        </w:rPr>
        <w:t>Lachatre</w:t>
      </w:r>
      <w:proofErr w:type="spellEnd"/>
      <w:r w:rsidRPr="007551B8">
        <w:rPr>
          <w:rFonts w:cstheme="minorHAnsi"/>
          <w:color w:val="222222"/>
          <w:shd w:val="clear" w:color="auto" w:fill="FFFFFF"/>
        </w:rPr>
        <w:t xml:space="preserve"> A. Efficacy of Intra-Articular Botulinum Toxin in Osteoarticular Joint Pain. The Clinical journal of pain. 2018 Apr 1;34(4):383-9.</w:t>
      </w:r>
    </w:p>
    <w:p w14:paraId="09776016" w14:textId="77777777" w:rsidR="007551B8" w:rsidRPr="007551B8" w:rsidRDefault="007551B8" w:rsidP="00703589">
      <w:pPr>
        <w:rPr>
          <w:rFonts w:cstheme="minorHAnsi"/>
          <w:color w:val="222222"/>
          <w:shd w:val="clear" w:color="auto" w:fill="FFFFFF"/>
        </w:rPr>
      </w:pPr>
      <w:r w:rsidRPr="007551B8">
        <w:rPr>
          <w:rFonts w:cstheme="minorHAnsi"/>
          <w:color w:val="222222"/>
          <w:shd w:val="clear" w:color="auto" w:fill="FFFFFF"/>
        </w:rPr>
        <w:t>Hsieh LF, Wu CW, Chou CC, Yang SW, Wu SH, Lin YJ, Hsu WC. Effects of botulinum toxin landmark-guided intra-articular injection in subjects with knee osteoarthritis. PM&amp;R. 2016 Dec 1;8(12):1127-35.</w:t>
      </w:r>
    </w:p>
    <w:p w14:paraId="43ADD068" w14:textId="77777777" w:rsidR="007551B8" w:rsidRPr="007551B8" w:rsidRDefault="007551B8" w:rsidP="00703589">
      <w:pPr>
        <w:rPr>
          <w:rFonts w:cstheme="minorHAnsi"/>
          <w:color w:val="222222"/>
          <w:shd w:val="clear" w:color="auto" w:fill="FFFFFF"/>
        </w:rPr>
      </w:pPr>
      <w:proofErr w:type="spellStart"/>
      <w:r w:rsidRPr="007551B8">
        <w:rPr>
          <w:rFonts w:cstheme="minorHAnsi"/>
          <w:color w:val="222222"/>
          <w:shd w:val="clear" w:color="auto" w:fill="FFFFFF"/>
        </w:rPr>
        <w:t>Khenioui</w:t>
      </w:r>
      <w:proofErr w:type="spellEnd"/>
      <w:r w:rsidRPr="007551B8">
        <w:rPr>
          <w:rFonts w:cstheme="minorHAnsi"/>
          <w:color w:val="222222"/>
          <w:shd w:val="clear" w:color="auto" w:fill="FFFFFF"/>
        </w:rPr>
        <w:t xml:space="preserve"> H, </w:t>
      </w:r>
      <w:proofErr w:type="spellStart"/>
      <w:r w:rsidRPr="007551B8">
        <w:rPr>
          <w:rFonts w:cstheme="minorHAnsi"/>
          <w:color w:val="222222"/>
          <w:shd w:val="clear" w:color="auto" w:fill="FFFFFF"/>
        </w:rPr>
        <w:t>Houvenagel</w:t>
      </w:r>
      <w:proofErr w:type="spellEnd"/>
      <w:r w:rsidRPr="007551B8">
        <w:rPr>
          <w:rFonts w:cstheme="minorHAnsi"/>
          <w:color w:val="222222"/>
          <w:shd w:val="clear" w:color="auto" w:fill="FFFFFF"/>
        </w:rPr>
        <w:t xml:space="preserve"> E, </w:t>
      </w:r>
      <w:proofErr w:type="spellStart"/>
      <w:r w:rsidRPr="007551B8">
        <w:rPr>
          <w:rFonts w:cstheme="minorHAnsi"/>
          <w:color w:val="222222"/>
          <w:shd w:val="clear" w:color="auto" w:fill="FFFFFF"/>
        </w:rPr>
        <w:t>Catanzariti</w:t>
      </w:r>
      <w:proofErr w:type="spellEnd"/>
      <w:r w:rsidRPr="007551B8">
        <w:rPr>
          <w:rFonts w:cstheme="minorHAnsi"/>
          <w:color w:val="222222"/>
          <w:shd w:val="clear" w:color="auto" w:fill="FFFFFF"/>
        </w:rPr>
        <w:t xml:space="preserve"> JF, Guyot MA, </w:t>
      </w:r>
      <w:proofErr w:type="spellStart"/>
      <w:r w:rsidRPr="007551B8">
        <w:rPr>
          <w:rFonts w:cstheme="minorHAnsi"/>
          <w:color w:val="222222"/>
          <w:shd w:val="clear" w:color="auto" w:fill="FFFFFF"/>
        </w:rPr>
        <w:t>Agnani</w:t>
      </w:r>
      <w:proofErr w:type="spellEnd"/>
      <w:r w:rsidRPr="007551B8">
        <w:rPr>
          <w:rFonts w:cstheme="minorHAnsi"/>
          <w:color w:val="222222"/>
          <w:shd w:val="clear" w:color="auto" w:fill="FFFFFF"/>
        </w:rPr>
        <w:t xml:space="preserve"> O, </w:t>
      </w:r>
      <w:proofErr w:type="spellStart"/>
      <w:r w:rsidRPr="007551B8">
        <w:rPr>
          <w:rFonts w:cstheme="minorHAnsi"/>
          <w:color w:val="222222"/>
          <w:shd w:val="clear" w:color="auto" w:fill="FFFFFF"/>
        </w:rPr>
        <w:t>Donze</w:t>
      </w:r>
      <w:proofErr w:type="spellEnd"/>
      <w:r w:rsidRPr="007551B8">
        <w:rPr>
          <w:rFonts w:cstheme="minorHAnsi"/>
          <w:color w:val="222222"/>
          <w:shd w:val="clear" w:color="auto" w:fill="FFFFFF"/>
        </w:rPr>
        <w:t xml:space="preserve"> C. Usefulness of intra-articular botulinum toxin injections. A systematic review. Joint Bone Spine. 2016 Mar 1;83(2):149-54.</w:t>
      </w:r>
    </w:p>
    <w:p w14:paraId="7E210A42" w14:textId="77777777" w:rsidR="007551B8" w:rsidRPr="007551B8" w:rsidRDefault="007551B8" w:rsidP="00703589">
      <w:pPr>
        <w:rPr>
          <w:rFonts w:cstheme="minorHAnsi"/>
          <w:color w:val="222222"/>
          <w:shd w:val="clear" w:color="auto" w:fill="FFFFFF"/>
        </w:rPr>
      </w:pPr>
      <w:r w:rsidRPr="007551B8">
        <w:rPr>
          <w:rFonts w:cstheme="minorHAnsi"/>
          <w:color w:val="222222"/>
          <w:shd w:val="clear" w:color="auto" w:fill="FFFFFF"/>
        </w:rPr>
        <w:t xml:space="preserve">Mendes JG, </w:t>
      </w:r>
      <w:proofErr w:type="spellStart"/>
      <w:r w:rsidRPr="007551B8">
        <w:rPr>
          <w:rFonts w:cstheme="minorHAnsi"/>
          <w:color w:val="222222"/>
          <w:shd w:val="clear" w:color="auto" w:fill="FFFFFF"/>
        </w:rPr>
        <w:t>Natour</w:t>
      </w:r>
      <w:proofErr w:type="spellEnd"/>
      <w:r w:rsidRPr="007551B8">
        <w:rPr>
          <w:rFonts w:cstheme="minorHAnsi"/>
          <w:color w:val="222222"/>
          <w:shd w:val="clear" w:color="auto" w:fill="FFFFFF"/>
        </w:rPr>
        <w:t xml:space="preserve"> J, Nunes-Tamashiro JC, </w:t>
      </w:r>
      <w:proofErr w:type="spellStart"/>
      <w:r w:rsidRPr="007551B8">
        <w:rPr>
          <w:rFonts w:cstheme="minorHAnsi"/>
          <w:color w:val="222222"/>
          <w:shd w:val="clear" w:color="auto" w:fill="FFFFFF"/>
        </w:rPr>
        <w:t>Toffolo</w:t>
      </w:r>
      <w:proofErr w:type="spellEnd"/>
      <w:r w:rsidRPr="007551B8">
        <w:rPr>
          <w:rFonts w:cstheme="minorHAnsi"/>
          <w:color w:val="222222"/>
          <w:shd w:val="clear" w:color="auto" w:fill="FFFFFF"/>
        </w:rPr>
        <w:t xml:space="preserve"> SR, Rosenfeld A, Furtado RN. Comparison between intra-articular botulinum toxin type A, corticosteroid, and saline in knee osteoarthritis: A randomized controlled trial. Clinical rehabilitation. 2019 Jun;33(6):1015-26.</w:t>
      </w:r>
    </w:p>
    <w:p w14:paraId="54937611" w14:textId="77777777" w:rsidR="007551B8" w:rsidRPr="007551B8" w:rsidRDefault="007551B8" w:rsidP="00703589">
      <w:pPr>
        <w:rPr>
          <w:rFonts w:cstheme="minorHAnsi"/>
          <w:color w:val="222222"/>
          <w:shd w:val="clear" w:color="auto" w:fill="FFFFFF"/>
        </w:rPr>
      </w:pPr>
      <w:r w:rsidRPr="007551B8">
        <w:rPr>
          <w:rFonts w:cstheme="minorHAnsi"/>
          <w:color w:val="222222"/>
          <w:shd w:val="clear" w:color="auto" w:fill="FFFFFF"/>
        </w:rPr>
        <w:t xml:space="preserve">Najafi S, </w:t>
      </w:r>
      <w:proofErr w:type="spellStart"/>
      <w:r w:rsidRPr="007551B8">
        <w:rPr>
          <w:rFonts w:cstheme="minorHAnsi"/>
          <w:color w:val="222222"/>
          <w:shd w:val="clear" w:color="auto" w:fill="FFFFFF"/>
        </w:rPr>
        <w:t>Sanati</w:t>
      </w:r>
      <w:proofErr w:type="spellEnd"/>
      <w:r w:rsidRPr="007551B8">
        <w:rPr>
          <w:rFonts w:cstheme="minorHAnsi"/>
          <w:color w:val="222222"/>
          <w:shd w:val="clear" w:color="auto" w:fill="FFFFFF"/>
        </w:rPr>
        <w:t xml:space="preserve"> E, </w:t>
      </w:r>
      <w:proofErr w:type="spellStart"/>
      <w:r w:rsidRPr="007551B8">
        <w:rPr>
          <w:rFonts w:cstheme="minorHAnsi"/>
          <w:color w:val="222222"/>
          <w:shd w:val="clear" w:color="auto" w:fill="FFFFFF"/>
        </w:rPr>
        <w:t>Khademi</w:t>
      </w:r>
      <w:proofErr w:type="spellEnd"/>
      <w:r w:rsidRPr="007551B8">
        <w:rPr>
          <w:rFonts w:cstheme="minorHAnsi"/>
          <w:color w:val="222222"/>
          <w:shd w:val="clear" w:color="auto" w:fill="FFFFFF"/>
        </w:rPr>
        <w:t xml:space="preserve"> M, </w:t>
      </w:r>
      <w:proofErr w:type="spellStart"/>
      <w:r w:rsidRPr="007551B8">
        <w:rPr>
          <w:rFonts w:cstheme="minorHAnsi"/>
          <w:color w:val="222222"/>
          <w:shd w:val="clear" w:color="auto" w:fill="FFFFFF"/>
        </w:rPr>
        <w:t>Abdorrazaghi</w:t>
      </w:r>
      <w:proofErr w:type="spellEnd"/>
      <w:r w:rsidRPr="007551B8">
        <w:rPr>
          <w:rFonts w:cstheme="minorHAnsi"/>
          <w:color w:val="222222"/>
          <w:shd w:val="clear" w:color="auto" w:fill="FFFFFF"/>
        </w:rPr>
        <w:t xml:space="preserve"> F, </w:t>
      </w:r>
      <w:proofErr w:type="spellStart"/>
      <w:r w:rsidRPr="007551B8">
        <w:rPr>
          <w:rFonts w:cstheme="minorHAnsi"/>
          <w:color w:val="222222"/>
          <w:shd w:val="clear" w:color="auto" w:fill="FFFFFF"/>
        </w:rPr>
        <w:t>Mofrad</w:t>
      </w:r>
      <w:proofErr w:type="spellEnd"/>
      <w:r w:rsidRPr="007551B8">
        <w:rPr>
          <w:rFonts w:cstheme="minorHAnsi"/>
          <w:color w:val="222222"/>
          <w:shd w:val="clear" w:color="auto" w:fill="FFFFFF"/>
        </w:rPr>
        <w:t xml:space="preserve"> RK, </w:t>
      </w:r>
      <w:proofErr w:type="spellStart"/>
      <w:r w:rsidRPr="007551B8">
        <w:rPr>
          <w:rFonts w:cstheme="minorHAnsi"/>
          <w:color w:val="222222"/>
          <w:shd w:val="clear" w:color="auto" w:fill="FFFFFF"/>
        </w:rPr>
        <w:t>Rezasoltani</w:t>
      </w:r>
      <w:proofErr w:type="spellEnd"/>
      <w:r w:rsidRPr="007551B8">
        <w:rPr>
          <w:rFonts w:cstheme="minorHAnsi"/>
          <w:color w:val="222222"/>
          <w:shd w:val="clear" w:color="auto" w:fill="FFFFFF"/>
        </w:rPr>
        <w:t xml:space="preserve"> Z. Intra-articular botulinum toxin type A for treatment of knee osteoarthritis: Clinical trial. Toxicon. 2019 Jul </w:t>
      </w:r>
      <w:proofErr w:type="gramStart"/>
      <w:r w:rsidRPr="007551B8">
        <w:rPr>
          <w:rFonts w:cstheme="minorHAnsi"/>
          <w:color w:val="222222"/>
          <w:shd w:val="clear" w:color="auto" w:fill="FFFFFF"/>
        </w:rPr>
        <w:t>1;165:69</w:t>
      </w:r>
      <w:proofErr w:type="gramEnd"/>
      <w:r w:rsidRPr="007551B8">
        <w:rPr>
          <w:rFonts w:cstheme="minorHAnsi"/>
          <w:color w:val="222222"/>
          <w:shd w:val="clear" w:color="auto" w:fill="FFFFFF"/>
        </w:rPr>
        <w:t>-77.</w:t>
      </w:r>
    </w:p>
    <w:p w14:paraId="38256030" w14:textId="77777777" w:rsidR="007551B8" w:rsidRPr="007551B8" w:rsidRDefault="007551B8" w:rsidP="00703589">
      <w:pPr>
        <w:rPr>
          <w:rFonts w:cstheme="minorHAnsi"/>
          <w:color w:val="222222"/>
          <w:shd w:val="clear" w:color="auto" w:fill="FFFFFF"/>
        </w:rPr>
      </w:pPr>
      <w:r w:rsidRPr="007551B8">
        <w:rPr>
          <w:rFonts w:cstheme="minorHAnsi"/>
          <w:color w:val="222222"/>
          <w:shd w:val="clear" w:color="auto" w:fill="FFFFFF"/>
        </w:rPr>
        <w:t xml:space="preserve">Nguyen C, </w:t>
      </w:r>
      <w:proofErr w:type="spellStart"/>
      <w:r w:rsidRPr="007551B8">
        <w:rPr>
          <w:rFonts w:cstheme="minorHAnsi"/>
          <w:color w:val="222222"/>
          <w:shd w:val="clear" w:color="auto" w:fill="FFFFFF"/>
        </w:rPr>
        <w:t>Lefèvre-Colau</w:t>
      </w:r>
      <w:proofErr w:type="spellEnd"/>
      <w:r w:rsidRPr="007551B8">
        <w:rPr>
          <w:rFonts w:cstheme="minorHAnsi"/>
          <w:color w:val="222222"/>
          <w:shd w:val="clear" w:color="auto" w:fill="FFFFFF"/>
        </w:rPr>
        <w:t xml:space="preserve"> MM, </w:t>
      </w:r>
      <w:proofErr w:type="spellStart"/>
      <w:r w:rsidRPr="007551B8">
        <w:rPr>
          <w:rFonts w:cstheme="minorHAnsi"/>
          <w:color w:val="222222"/>
          <w:shd w:val="clear" w:color="auto" w:fill="FFFFFF"/>
        </w:rPr>
        <w:t>Poiraudeau</w:t>
      </w:r>
      <w:proofErr w:type="spellEnd"/>
      <w:r w:rsidRPr="007551B8">
        <w:rPr>
          <w:rFonts w:cstheme="minorHAnsi"/>
          <w:color w:val="222222"/>
          <w:shd w:val="clear" w:color="auto" w:fill="FFFFFF"/>
        </w:rPr>
        <w:t xml:space="preserve"> S, </w:t>
      </w:r>
      <w:proofErr w:type="spellStart"/>
      <w:r w:rsidRPr="007551B8">
        <w:rPr>
          <w:rFonts w:cstheme="minorHAnsi"/>
          <w:color w:val="222222"/>
          <w:shd w:val="clear" w:color="auto" w:fill="FFFFFF"/>
        </w:rPr>
        <w:t>Rannou</w:t>
      </w:r>
      <w:proofErr w:type="spellEnd"/>
      <w:r w:rsidRPr="007551B8">
        <w:rPr>
          <w:rFonts w:cstheme="minorHAnsi"/>
          <w:color w:val="222222"/>
          <w:shd w:val="clear" w:color="auto" w:fill="FFFFFF"/>
        </w:rPr>
        <w:t xml:space="preserve"> F. </w:t>
      </w:r>
      <w:proofErr w:type="gramStart"/>
      <w:r w:rsidRPr="007551B8">
        <w:rPr>
          <w:rFonts w:cstheme="minorHAnsi"/>
          <w:color w:val="222222"/>
          <w:shd w:val="clear" w:color="auto" w:fill="FFFFFF"/>
        </w:rPr>
        <w:t>Evidence</w:t>
      </w:r>
      <w:proofErr w:type="gramEnd"/>
      <w:r w:rsidRPr="007551B8">
        <w:rPr>
          <w:rFonts w:cstheme="minorHAnsi"/>
          <w:color w:val="222222"/>
          <w:shd w:val="clear" w:color="auto" w:fill="FFFFFF"/>
        </w:rPr>
        <w:t xml:space="preserve"> and recommendations for use of intra-articular injections for knee osteoarthritis. Annals of physical and rehabilitation medicine. 2016 Jun 1;59(3):184-9.</w:t>
      </w:r>
    </w:p>
    <w:p w14:paraId="0CE7EE80" w14:textId="77777777" w:rsidR="007551B8" w:rsidRPr="007551B8" w:rsidRDefault="007551B8" w:rsidP="00703589">
      <w:pPr>
        <w:rPr>
          <w:rFonts w:cstheme="minorHAnsi"/>
          <w:color w:val="222222"/>
          <w:shd w:val="clear" w:color="auto" w:fill="FFFFFF"/>
        </w:rPr>
      </w:pPr>
      <w:proofErr w:type="spellStart"/>
      <w:r w:rsidRPr="007551B8">
        <w:rPr>
          <w:rFonts w:cstheme="minorHAnsi"/>
          <w:color w:val="222222"/>
          <w:shd w:val="clear" w:color="auto" w:fill="FFFFFF"/>
        </w:rPr>
        <w:t>Rezasoltani</w:t>
      </w:r>
      <w:proofErr w:type="spellEnd"/>
      <w:r w:rsidRPr="007551B8">
        <w:rPr>
          <w:rFonts w:cstheme="minorHAnsi"/>
          <w:color w:val="222222"/>
          <w:shd w:val="clear" w:color="auto" w:fill="FFFFFF"/>
        </w:rPr>
        <w:t xml:space="preserve"> Z, Azizi S, Najafi S, </w:t>
      </w:r>
      <w:proofErr w:type="spellStart"/>
      <w:r w:rsidRPr="007551B8">
        <w:rPr>
          <w:rFonts w:cstheme="minorHAnsi"/>
          <w:color w:val="222222"/>
          <w:shd w:val="clear" w:color="auto" w:fill="FFFFFF"/>
        </w:rPr>
        <w:t>Sanati</w:t>
      </w:r>
      <w:proofErr w:type="spellEnd"/>
      <w:r w:rsidRPr="007551B8">
        <w:rPr>
          <w:rFonts w:cstheme="minorHAnsi"/>
          <w:color w:val="222222"/>
          <w:shd w:val="clear" w:color="auto" w:fill="FFFFFF"/>
        </w:rPr>
        <w:t xml:space="preserve"> E, </w:t>
      </w:r>
      <w:proofErr w:type="spellStart"/>
      <w:r w:rsidRPr="007551B8">
        <w:rPr>
          <w:rFonts w:cstheme="minorHAnsi"/>
          <w:color w:val="222222"/>
          <w:shd w:val="clear" w:color="auto" w:fill="FFFFFF"/>
        </w:rPr>
        <w:t>Dadarkhah</w:t>
      </w:r>
      <w:proofErr w:type="spellEnd"/>
      <w:r w:rsidRPr="007551B8">
        <w:rPr>
          <w:rFonts w:cstheme="minorHAnsi"/>
          <w:color w:val="222222"/>
          <w:shd w:val="clear" w:color="auto" w:fill="FFFFFF"/>
        </w:rPr>
        <w:t xml:space="preserve"> A, </w:t>
      </w:r>
      <w:proofErr w:type="spellStart"/>
      <w:r w:rsidRPr="007551B8">
        <w:rPr>
          <w:rFonts w:cstheme="minorHAnsi"/>
          <w:color w:val="222222"/>
          <w:shd w:val="clear" w:color="auto" w:fill="FFFFFF"/>
        </w:rPr>
        <w:t>Abdorrazaghi</w:t>
      </w:r>
      <w:proofErr w:type="spellEnd"/>
      <w:r w:rsidRPr="007551B8">
        <w:rPr>
          <w:rFonts w:cstheme="minorHAnsi"/>
          <w:color w:val="222222"/>
          <w:shd w:val="clear" w:color="auto" w:fill="FFFFFF"/>
        </w:rPr>
        <w:t xml:space="preserve"> F. Physical therapy, intra-articular dextrose prolotherapy, botulinum neurotoxin, and hyaluronic acid for knee osteoarthritis: randomized clinical trial. International Journal of Rehabilitation Research. 2020 Mar 4;43(3):219-27.</w:t>
      </w:r>
    </w:p>
    <w:p w14:paraId="38B56EE8" w14:textId="77777777" w:rsidR="007551B8" w:rsidRPr="007551B8" w:rsidRDefault="007551B8" w:rsidP="00703589">
      <w:pPr>
        <w:rPr>
          <w:rFonts w:cstheme="minorHAnsi"/>
          <w:color w:val="222222"/>
          <w:shd w:val="clear" w:color="auto" w:fill="FFFFFF"/>
        </w:rPr>
      </w:pPr>
      <w:r w:rsidRPr="007551B8">
        <w:rPr>
          <w:rFonts w:cstheme="minorHAnsi"/>
          <w:color w:val="222222"/>
          <w:shd w:val="clear" w:color="auto" w:fill="FFFFFF"/>
        </w:rPr>
        <w:t xml:space="preserve">Saltzman BM, Frank RM, Davey A, Cotter EJ, Redondo ML, Naveen N, Wang KC, Cole BJ. Lack of standardization among clinical trials of injection therapies for knee osteoarthritis: a systematic review. The Physician and </w:t>
      </w:r>
      <w:proofErr w:type="spellStart"/>
      <w:r w:rsidRPr="007551B8">
        <w:rPr>
          <w:rFonts w:cstheme="minorHAnsi"/>
          <w:color w:val="222222"/>
          <w:shd w:val="clear" w:color="auto" w:fill="FFFFFF"/>
        </w:rPr>
        <w:t>sportsmedicine</w:t>
      </w:r>
      <w:proofErr w:type="spellEnd"/>
      <w:r w:rsidRPr="007551B8">
        <w:rPr>
          <w:rFonts w:cstheme="minorHAnsi"/>
          <w:color w:val="222222"/>
          <w:shd w:val="clear" w:color="auto" w:fill="FFFFFF"/>
        </w:rPr>
        <w:t>. 2020 Jul 2;48(3):266-89.</w:t>
      </w:r>
    </w:p>
    <w:p w14:paraId="236C7BEC" w14:textId="77777777" w:rsidR="007551B8" w:rsidRPr="007551B8" w:rsidRDefault="007551B8" w:rsidP="00703589">
      <w:pPr>
        <w:rPr>
          <w:rFonts w:cstheme="minorHAnsi"/>
          <w:color w:val="222222"/>
          <w:shd w:val="clear" w:color="auto" w:fill="FFFFFF"/>
        </w:rPr>
      </w:pPr>
      <w:r w:rsidRPr="007551B8">
        <w:rPr>
          <w:rFonts w:cstheme="minorHAnsi"/>
          <w:color w:val="222222"/>
          <w:shd w:val="clear" w:color="auto" w:fill="FFFFFF"/>
        </w:rPr>
        <w:lastRenderedPageBreak/>
        <w:t xml:space="preserve">Shukla D, Sreedhar SK, Rastogi V. A comparative study of botulinum toxin: a with triamcinolone compared to triamcinolone alone in the treatment of osteoarthritis of knee. </w:t>
      </w:r>
      <w:proofErr w:type="spellStart"/>
      <w:r w:rsidRPr="007551B8">
        <w:rPr>
          <w:rFonts w:cstheme="minorHAnsi"/>
          <w:color w:val="222222"/>
          <w:shd w:val="clear" w:color="auto" w:fill="FFFFFF"/>
        </w:rPr>
        <w:t>Anesthesia</w:t>
      </w:r>
      <w:proofErr w:type="spellEnd"/>
      <w:r w:rsidRPr="007551B8">
        <w:rPr>
          <w:rFonts w:cstheme="minorHAnsi"/>
          <w:color w:val="222222"/>
          <w:shd w:val="clear" w:color="auto" w:fill="FFFFFF"/>
        </w:rPr>
        <w:t xml:space="preserve">, essays and </w:t>
      </w:r>
      <w:proofErr w:type="gramStart"/>
      <w:r w:rsidRPr="007551B8">
        <w:rPr>
          <w:rFonts w:cstheme="minorHAnsi"/>
          <w:color w:val="222222"/>
          <w:shd w:val="clear" w:color="auto" w:fill="FFFFFF"/>
        </w:rPr>
        <w:t>researches</w:t>
      </w:r>
      <w:proofErr w:type="gramEnd"/>
      <w:r w:rsidRPr="007551B8">
        <w:rPr>
          <w:rFonts w:cstheme="minorHAnsi"/>
          <w:color w:val="222222"/>
          <w:shd w:val="clear" w:color="auto" w:fill="FFFFFF"/>
        </w:rPr>
        <w:t>. 2018 Jan;12(1):47.</w:t>
      </w:r>
    </w:p>
    <w:p w14:paraId="13DAC4B5" w14:textId="77777777" w:rsidR="007551B8" w:rsidRPr="007551B8" w:rsidRDefault="007551B8" w:rsidP="00703589">
      <w:pPr>
        <w:rPr>
          <w:rFonts w:cstheme="minorHAnsi"/>
          <w:color w:val="222222"/>
          <w:shd w:val="clear" w:color="auto" w:fill="FFFFFF"/>
        </w:rPr>
      </w:pPr>
      <w:proofErr w:type="spellStart"/>
      <w:r w:rsidRPr="007551B8">
        <w:rPr>
          <w:rFonts w:cstheme="minorHAnsi"/>
          <w:color w:val="222222"/>
          <w:shd w:val="clear" w:color="auto" w:fill="FFFFFF"/>
        </w:rPr>
        <w:t>Zhai</w:t>
      </w:r>
      <w:proofErr w:type="spellEnd"/>
      <w:r w:rsidRPr="007551B8">
        <w:rPr>
          <w:rFonts w:cstheme="minorHAnsi"/>
          <w:color w:val="222222"/>
          <w:shd w:val="clear" w:color="auto" w:fill="FFFFFF"/>
        </w:rPr>
        <w:t xml:space="preserve"> S, Huang B, Yu K. The efficacy and safety of Botulinum Toxin Type A in painful knee osteoarthritis: a systematic review and meta-analysis. Journal of International Medical Research. 2020 Oct;48(4):0300060519895868.</w:t>
      </w:r>
    </w:p>
    <w:p w14:paraId="34320E11" w14:textId="77777777" w:rsidR="00703589" w:rsidRDefault="00703589" w:rsidP="001E740C">
      <w:pPr>
        <w:spacing w:before="120" w:after="120" w:line="360" w:lineRule="auto"/>
        <w:contextualSpacing/>
        <w:jc w:val="center"/>
        <w:rPr>
          <w:b/>
          <w:bCs/>
        </w:rPr>
      </w:pPr>
    </w:p>
    <w:p w14:paraId="452931E2" w14:textId="77777777" w:rsidR="006D359A" w:rsidRDefault="006D359A" w:rsidP="001E740C">
      <w:pPr>
        <w:spacing w:before="120" w:after="120" w:line="360" w:lineRule="auto"/>
        <w:contextualSpacing/>
        <w:jc w:val="center"/>
        <w:rPr>
          <w:b/>
          <w:bCs/>
        </w:rPr>
      </w:pPr>
    </w:p>
    <w:p w14:paraId="48CD39BE" w14:textId="77777777" w:rsidR="001E740C" w:rsidRPr="001E740C" w:rsidRDefault="001E740C" w:rsidP="000938E7">
      <w:pPr>
        <w:spacing w:before="120" w:after="120" w:line="360" w:lineRule="auto"/>
        <w:contextualSpacing/>
      </w:pPr>
    </w:p>
    <w:sectPr w:rsidR="001E740C" w:rsidRPr="001E74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6F5D" w14:textId="77777777" w:rsidR="00BD3CFB" w:rsidRDefault="00BD3CFB" w:rsidP="00D67E19">
      <w:pPr>
        <w:spacing w:after="0" w:line="240" w:lineRule="auto"/>
      </w:pPr>
      <w:r>
        <w:separator/>
      </w:r>
    </w:p>
  </w:endnote>
  <w:endnote w:type="continuationSeparator" w:id="0">
    <w:p w14:paraId="210A902B" w14:textId="77777777" w:rsidR="00BD3CFB" w:rsidRDefault="00BD3CFB" w:rsidP="00D67E19">
      <w:pPr>
        <w:spacing w:after="0" w:line="240" w:lineRule="auto"/>
      </w:pPr>
      <w:r>
        <w:continuationSeparator/>
      </w:r>
    </w:p>
  </w:endnote>
  <w:endnote w:type="continuationNotice" w:id="1">
    <w:p w14:paraId="79DB46AF" w14:textId="77777777" w:rsidR="00BD3CFB" w:rsidRDefault="00BD3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A6C5" w14:textId="77777777" w:rsidR="00FA6342" w:rsidRDefault="00FA6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DBA5" w14:textId="798D4746" w:rsidR="000F776E" w:rsidRDefault="00F876CF">
    <w:pPr>
      <w:pStyle w:val="Footer"/>
      <w:jc w:val="right"/>
    </w:pPr>
    <w:r w:rsidRPr="00F876CF">
      <w:t xml:space="preserve">Version 2 (24-02-2023)      </w:t>
    </w:r>
    <w:sdt>
      <w:sdtPr>
        <w:id w:val="-2136784038"/>
        <w:docPartObj>
          <w:docPartGallery w:val="Page Numbers (Bottom of Page)"/>
          <w:docPartUnique/>
        </w:docPartObj>
      </w:sdtPr>
      <w:sdtEndPr>
        <w:rPr>
          <w:noProof/>
        </w:rPr>
      </w:sdtEndPr>
      <w:sdtContent>
        <w:r w:rsidR="000F776E">
          <w:fldChar w:fldCharType="begin"/>
        </w:r>
        <w:r w:rsidR="000F776E">
          <w:instrText xml:space="preserve"> PAGE   \* MERGEFORMAT </w:instrText>
        </w:r>
        <w:r w:rsidR="000F776E">
          <w:fldChar w:fldCharType="separate"/>
        </w:r>
        <w:r w:rsidR="000F776E">
          <w:rPr>
            <w:noProof/>
          </w:rPr>
          <w:t>2</w:t>
        </w:r>
        <w:r w:rsidR="000F776E">
          <w:rPr>
            <w:noProof/>
          </w:rPr>
          <w:fldChar w:fldCharType="end"/>
        </w:r>
      </w:sdtContent>
    </w:sdt>
  </w:p>
  <w:p w14:paraId="30F880E4" w14:textId="77777777" w:rsidR="000F776E" w:rsidRDefault="000F7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950F" w14:textId="77777777" w:rsidR="00FA6342" w:rsidRDefault="00FA6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CBB5" w14:textId="77777777" w:rsidR="00BD3CFB" w:rsidRDefault="00BD3CFB" w:rsidP="00D67E19">
      <w:pPr>
        <w:spacing w:after="0" w:line="240" w:lineRule="auto"/>
      </w:pPr>
      <w:r>
        <w:separator/>
      </w:r>
    </w:p>
  </w:footnote>
  <w:footnote w:type="continuationSeparator" w:id="0">
    <w:p w14:paraId="01F9D98F" w14:textId="77777777" w:rsidR="00BD3CFB" w:rsidRDefault="00BD3CFB" w:rsidP="00D67E19">
      <w:pPr>
        <w:spacing w:after="0" w:line="240" w:lineRule="auto"/>
      </w:pPr>
      <w:r>
        <w:continuationSeparator/>
      </w:r>
    </w:p>
  </w:footnote>
  <w:footnote w:type="continuationNotice" w:id="1">
    <w:p w14:paraId="71DA98FC" w14:textId="77777777" w:rsidR="00BD3CFB" w:rsidRDefault="00BD3CFB">
      <w:pPr>
        <w:spacing w:after="0" w:line="240" w:lineRule="auto"/>
      </w:pPr>
    </w:p>
  </w:footnote>
  <w:footnote w:id="2">
    <w:p w14:paraId="37C24F85" w14:textId="64CF570D"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r w:rsidR="006D359A" w:rsidRPr="007551B8">
        <w:rPr>
          <w:rFonts w:cstheme="minorHAnsi"/>
          <w:color w:val="222222"/>
          <w:shd w:val="clear" w:color="auto" w:fill="FFFFFF"/>
        </w:rPr>
        <w:t xml:space="preserve">Ackerman IN, </w:t>
      </w:r>
      <w:proofErr w:type="spellStart"/>
      <w:r w:rsidR="006D359A" w:rsidRPr="007551B8">
        <w:rPr>
          <w:rFonts w:cstheme="minorHAnsi"/>
          <w:color w:val="222222"/>
          <w:shd w:val="clear" w:color="auto" w:fill="FFFFFF"/>
        </w:rPr>
        <w:t>Bohensky</w:t>
      </w:r>
      <w:proofErr w:type="spellEnd"/>
      <w:r w:rsidR="006D359A" w:rsidRPr="007551B8">
        <w:rPr>
          <w:rFonts w:cstheme="minorHAnsi"/>
          <w:color w:val="222222"/>
          <w:shd w:val="clear" w:color="auto" w:fill="FFFFFF"/>
        </w:rPr>
        <w:t xml:space="preserve"> MA, </w:t>
      </w:r>
      <w:proofErr w:type="spellStart"/>
      <w:r w:rsidR="006D359A" w:rsidRPr="007551B8">
        <w:rPr>
          <w:rFonts w:cstheme="minorHAnsi"/>
          <w:color w:val="222222"/>
          <w:shd w:val="clear" w:color="auto" w:fill="FFFFFF"/>
        </w:rPr>
        <w:t>Zomer</w:t>
      </w:r>
      <w:proofErr w:type="spellEnd"/>
      <w:r w:rsidR="006D359A" w:rsidRPr="007551B8">
        <w:rPr>
          <w:rFonts w:cstheme="minorHAnsi"/>
          <w:color w:val="222222"/>
          <w:shd w:val="clear" w:color="auto" w:fill="FFFFFF"/>
        </w:rPr>
        <w:t xml:space="preserve"> E, </w:t>
      </w:r>
      <w:proofErr w:type="spellStart"/>
      <w:r w:rsidR="006D359A" w:rsidRPr="007551B8">
        <w:rPr>
          <w:rFonts w:cstheme="minorHAnsi"/>
          <w:color w:val="222222"/>
          <w:shd w:val="clear" w:color="auto" w:fill="FFFFFF"/>
        </w:rPr>
        <w:t>Tacey</w:t>
      </w:r>
      <w:proofErr w:type="spellEnd"/>
      <w:r w:rsidR="006D359A" w:rsidRPr="007551B8">
        <w:rPr>
          <w:rFonts w:cstheme="minorHAnsi"/>
          <w:color w:val="222222"/>
          <w:shd w:val="clear" w:color="auto" w:fill="FFFFFF"/>
        </w:rPr>
        <w:t xml:space="preserve"> M, Gorelik A, Brand CA, De </w:t>
      </w:r>
      <w:proofErr w:type="spellStart"/>
      <w:r w:rsidR="006D359A" w:rsidRPr="007551B8">
        <w:rPr>
          <w:rFonts w:cstheme="minorHAnsi"/>
          <w:color w:val="222222"/>
          <w:shd w:val="clear" w:color="auto" w:fill="FFFFFF"/>
        </w:rPr>
        <w:t>Steiger</w:t>
      </w:r>
      <w:proofErr w:type="spellEnd"/>
      <w:r w:rsidR="006D359A" w:rsidRPr="007551B8">
        <w:rPr>
          <w:rFonts w:cstheme="minorHAnsi"/>
          <w:color w:val="222222"/>
          <w:shd w:val="clear" w:color="auto" w:fill="FFFFFF"/>
        </w:rPr>
        <w:t xml:space="preserve"> R. The projected burden of primary total knee and hip replacement for osteoarthritis in Australia to the year 2030. BMC musculoskeletal disorders. 2019 Dec;20(1):1-0.</w:t>
      </w:r>
    </w:p>
  </w:footnote>
  <w:footnote w:id="3">
    <w:p w14:paraId="26F33B96" w14:textId="1F6DD92F"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bookmarkStart w:id="0" w:name="_Hlk68978356"/>
      <w:r w:rsidR="006D359A" w:rsidRPr="007551B8">
        <w:rPr>
          <w:rFonts w:cstheme="minorHAnsi"/>
        </w:rPr>
        <w:t>Australian Institute of Health and Welfare 2020. Osteoarthritis. Cat. no. PHE 232. Canberra: AIHW. Viewed 03 December 2020, https://www.aihw.gov.au/reports/chronic-musculoskeletal-conditions/osteoarthritis</w:t>
      </w:r>
      <w:bookmarkEnd w:id="0"/>
    </w:p>
  </w:footnote>
  <w:footnote w:id="4">
    <w:p w14:paraId="66AA60FA" w14:textId="0CB3D079"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r w:rsidR="006D359A" w:rsidRPr="007551B8">
        <w:rPr>
          <w:rFonts w:cstheme="minorHAnsi"/>
          <w:color w:val="222222"/>
          <w:shd w:val="clear" w:color="auto" w:fill="FFFFFF"/>
        </w:rPr>
        <w:t xml:space="preserve">Ackerman IN, </w:t>
      </w:r>
      <w:proofErr w:type="spellStart"/>
      <w:r w:rsidR="006D359A" w:rsidRPr="007551B8">
        <w:rPr>
          <w:rFonts w:cstheme="minorHAnsi"/>
          <w:color w:val="222222"/>
          <w:shd w:val="clear" w:color="auto" w:fill="FFFFFF"/>
        </w:rPr>
        <w:t>Bohensky</w:t>
      </w:r>
      <w:proofErr w:type="spellEnd"/>
      <w:r w:rsidR="006D359A" w:rsidRPr="007551B8">
        <w:rPr>
          <w:rFonts w:cstheme="minorHAnsi"/>
          <w:color w:val="222222"/>
          <w:shd w:val="clear" w:color="auto" w:fill="FFFFFF"/>
        </w:rPr>
        <w:t xml:space="preserve"> MA, </w:t>
      </w:r>
      <w:proofErr w:type="spellStart"/>
      <w:r w:rsidR="006D359A" w:rsidRPr="007551B8">
        <w:rPr>
          <w:rFonts w:cstheme="minorHAnsi"/>
          <w:color w:val="222222"/>
          <w:shd w:val="clear" w:color="auto" w:fill="FFFFFF"/>
        </w:rPr>
        <w:t>Zomer</w:t>
      </w:r>
      <w:proofErr w:type="spellEnd"/>
      <w:r w:rsidR="006D359A" w:rsidRPr="007551B8">
        <w:rPr>
          <w:rFonts w:cstheme="minorHAnsi"/>
          <w:color w:val="222222"/>
          <w:shd w:val="clear" w:color="auto" w:fill="FFFFFF"/>
        </w:rPr>
        <w:t xml:space="preserve"> E, </w:t>
      </w:r>
      <w:proofErr w:type="spellStart"/>
      <w:r w:rsidR="006D359A" w:rsidRPr="007551B8">
        <w:rPr>
          <w:rFonts w:cstheme="minorHAnsi"/>
          <w:color w:val="222222"/>
          <w:shd w:val="clear" w:color="auto" w:fill="FFFFFF"/>
        </w:rPr>
        <w:t>Tacey</w:t>
      </w:r>
      <w:proofErr w:type="spellEnd"/>
      <w:r w:rsidR="006D359A" w:rsidRPr="007551B8">
        <w:rPr>
          <w:rFonts w:cstheme="minorHAnsi"/>
          <w:color w:val="222222"/>
          <w:shd w:val="clear" w:color="auto" w:fill="FFFFFF"/>
        </w:rPr>
        <w:t xml:space="preserve"> M, Gorelik A, Brand CA, De </w:t>
      </w:r>
      <w:proofErr w:type="spellStart"/>
      <w:r w:rsidR="006D359A" w:rsidRPr="007551B8">
        <w:rPr>
          <w:rFonts w:cstheme="minorHAnsi"/>
          <w:color w:val="222222"/>
          <w:shd w:val="clear" w:color="auto" w:fill="FFFFFF"/>
        </w:rPr>
        <w:t>Steiger</w:t>
      </w:r>
      <w:proofErr w:type="spellEnd"/>
      <w:r w:rsidR="006D359A" w:rsidRPr="007551B8">
        <w:rPr>
          <w:rFonts w:cstheme="minorHAnsi"/>
          <w:color w:val="222222"/>
          <w:shd w:val="clear" w:color="auto" w:fill="FFFFFF"/>
        </w:rPr>
        <w:t xml:space="preserve"> R. The projected burden of primary total knee and hip replacement for osteoarthritis in Australia to the year 2030. BMC musculoskeletal disorders. 2019 Dec;20(1):1-0; </w:t>
      </w:r>
      <w:r w:rsidR="006D359A" w:rsidRPr="007551B8">
        <w:rPr>
          <w:rFonts w:cstheme="minorHAnsi"/>
        </w:rPr>
        <w:t>Australian Institute of Health and Welfare 2020. Osteoarthritis. Cat. no. PHE 232. Canberra: AIHW. Viewed 03 December 2020, https://www.aihw.gov.au/reports/chronic-musculoskeletal-conditions/osteoarthritis</w:t>
      </w:r>
    </w:p>
  </w:footnote>
  <w:footnote w:id="5">
    <w:p w14:paraId="487736D3" w14:textId="68CF1805"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r w:rsidR="006D359A" w:rsidRPr="007551B8">
        <w:rPr>
          <w:rFonts w:cstheme="minorHAnsi"/>
        </w:rPr>
        <w:t>Australian Institute of Health and Welfare 2020. Osteoarthritis. Cat. no. PHE 232. Canberra: AIHW. Viewed 03 December 2020, https://www.aihw.gov.au/reports/chronic-musculoskeletal-conditions/osteoarthritis</w:t>
      </w:r>
    </w:p>
  </w:footnote>
  <w:footnote w:id="6">
    <w:p w14:paraId="7A038FC2" w14:textId="33868549"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r w:rsidR="006D359A" w:rsidRPr="007551B8">
        <w:rPr>
          <w:rFonts w:cstheme="minorHAnsi"/>
          <w:color w:val="222222"/>
          <w:shd w:val="clear" w:color="auto" w:fill="FFFFFF"/>
        </w:rPr>
        <w:t xml:space="preserve">Ackerman IN, </w:t>
      </w:r>
      <w:proofErr w:type="spellStart"/>
      <w:r w:rsidR="006D359A" w:rsidRPr="007551B8">
        <w:rPr>
          <w:rFonts w:cstheme="minorHAnsi"/>
          <w:color w:val="222222"/>
          <w:shd w:val="clear" w:color="auto" w:fill="FFFFFF"/>
        </w:rPr>
        <w:t>Bohensky</w:t>
      </w:r>
      <w:proofErr w:type="spellEnd"/>
      <w:r w:rsidR="006D359A" w:rsidRPr="007551B8">
        <w:rPr>
          <w:rFonts w:cstheme="minorHAnsi"/>
          <w:color w:val="222222"/>
          <w:shd w:val="clear" w:color="auto" w:fill="FFFFFF"/>
        </w:rPr>
        <w:t xml:space="preserve"> MA, </w:t>
      </w:r>
      <w:proofErr w:type="spellStart"/>
      <w:r w:rsidR="006D359A" w:rsidRPr="007551B8">
        <w:rPr>
          <w:rFonts w:cstheme="minorHAnsi"/>
          <w:color w:val="222222"/>
          <w:shd w:val="clear" w:color="auto" w:fill="FFFFFF"/>
        </w:rPr>
        <w:t>Zomer</w:t>
      </w:r>
      <w:proofErr w:type="spellEnd"/>
      <w:r w:rsidR="006D359A" w:rsidRPr="007551B8">
        <w:rPr>
          <w:rFonts w:cstheme="minorHAnsi"/>
          <w:color w:val="222222"/>
          <w:shd w:val="clear" w:color="auto" w:fill="FFFFFF"/>
        </w:rPr>
        <w:t xml:space="preserve"> E, </w:t>
      </w:r>
      <w:proofErr w:type="spellStart"/>
      <w:r w:rsidR="006D359A" w:rsidRPr="007551B8">
        <w:rPr>
          <w:rFonts w:cstheme="minorHAnsi"/>
          <w:color w:val="222222"/>
          <w:shd w:val="clear" w:color="auto" w:fill="FFFFFF"/>
        </w:rPr>
        <w:t>Tacey</w:t>
      </w:r>
      <w:proofErr w:type="spellEnd"/>
      <w:r w:rsidR="006D359A" w:rsidRPr="007551B8">
        <w:rPr>
          <w:rFonts w:cstheme="minorHAnsi"/>
          <w:color w:val="222222"/>
          <w:shd w:val="clear" w:color="auto" w:fill="FFFFFF"/>
        </w:rPr>
        <w:t xml:space="preserve"> M, Gorelik A, Brand CA, De </w:t>
      </w:r>
      <w:proofErr w:type="spellStart"/>
      <w:r w:rsidR="006D359A" w:rsidRPr="007551B8">
        <w:rPr>
          <w:rFonts w:cstheme="minorHAnsi"/>
          <w:color w:val="222222"/>
          <w:shd w:val="clear" w:color="auto" w:fill="FFFFFF"/>
        </w:rPr>
        <w:t>Steiger</w:t>
      </w:r>
      <w:proofErr w:type="spellEnd"/>
      <w:r w:rsidR="006D359A" w:rsidRPr="007551B8">
        <w:rPr>
          <w:rFonts w:cstheme="minorHAnsi"/>
          <w:color w:val="222222"/>
          <w:shd w:val="clear" w:color="auto" w:fill="FFFFFF"/>
        </w:rPr>
        <w:t xml:space="preserve"> R. The projected burden of primary total knee and hip replacement for osteoarthritis in Australia to the year 2030. BMC musculoskeletal disorders. 2019 Dec;20(1):1-0.</w:t>
      </w:r>
      <w:r w:rsidRPr="007551B8">
        <w:rPr>
          <w:rFonts w:cstheme="minorHAnsi"/>
        </w:rPr>
        <w:t xml:space="preserve">  </w:t>
      </w:r>
    </w:p>
  </w:footnote>
  <w:footnote w:id="7">
    <w:p w14:paraId="6D417B72" w14:textId="6FA4A674"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r w:rsidR="006D359A" w:rsidRPr="007551B8">
        <w:rPr>
          <w:rFonts w:cstheme="minorHAnsi"/>
          <w:color w:val="222222"/>
          <w:shd w:val="clear" w:color="auto" w:fill="FFFFFF"/>
        </w:rPr>
        <w:t xml:space="preserve">Ackerman IN, </w:t>
      </w:r>
      <w:proofErr w:type="spellStart"/>
      <w:r w:rsidR="006D359A" w:rsidRPr="007551B8">
        <w:rPr>
          <w:rFonts w:cstheme="minorHAnsi"/>
          <w:color w:val="222222"/>
          <w:shd w:val="clear" w:color="auto" w:fill="FFFFFF"/>
        </w:rPr>
        <w:t>Bohensky</w:t>
      </w:r>
      <w:proofErr w:type="spellEnd"/>
      <w:r w:rsidR="006D359A" w:rsidRPr="007551B8">
        <w:rPr>
          <w:rFonts w:cstheme="minorHAnsi"/>
          <w:color w:val="222222"/>
          <w:shd w:val="clear" w:color="auto" w:fill="FFFFFF"/>
        </w:rPr>
        <w:t xml:space="preserve"> MA, </w:t>
      </w:r>
      <w:proofErr w:type="spellStart"/>
      <w:r w:rsidR="006D359A" w:rsidRPr="007551B8">
        <w:rPr>
          <w:rFonts w:cstheme="minorHAnsi"/>
          <w:color w:val="222222"/>
          <w:shd w:val="clear" w:color="auto" w:fill="FFFFFF"/>
        </w:rPr>
        <w:t>Zomer</w:t>
      </w:r>
      <w:proofErr w:type="spellEnd"/>
      <w:r w:rsidR="006D359A" w:rsidRPr="007551B8">
        <w:rPr>
          <w:rFonts w:cstheme="minorHAnsi"/>
          <w:color w:val="222222"/>
          <w:shd w:val="clear" w:color="auto" w:fill="FFFFFF"/>
        </w:rPr>
        <w:t xml:space="preserve"> E, </w:t>
      </w:r>
      <w:proofErr w:type="spellStart"/>
      <w:r w:rsidR="006D359A" w:rsidRPr="007551B8">
        <w:rPr>
          <w:rFonts w:cstheme="minorHAnsi"/>
          <w:color w:val="222222"/>
          <w:shd w:val="clear" w:color="auto" w:fill="FFFFFF"/>
        </w:rPr>
        <w:t>Tacey</w:t>
      </w:r>
      <w:proofErr w:type="spellEnd"/>
      <w:r w:rsidR="006D359A" w:rsidRPr="007551B8">
        <w:rPr>
          <w:rFonts w:cstheme="minorHAnsi"/>
          <w:color w:val="222222"/>
          <w:shd w:val="clear" w:color="auto" w:fill="FFFFFF"/>
        </w:rPr>
        <w:t xml:space="preserve"> M, Gorelik A, Brand CA, De </w:t>
      </w:r>
      <w:proofErr w:type="spellStart"/>
      <w:r w:rsidR="006D359A" w:rsidRPr="007551B8">
        <w:rPr>
          <w:rFonts w:cstheme="minorHAnsi"/>
          <w:color w:val="222222"/>
          <w:shd w:val="clear" w:color="auto" w:fill="FFFFFF"/>
        </w:rPr>
        <w:t>Steiger</w:t>
      </w:r>
      <w:proofErr w:type="spellEnd"/>
      <w:r w:rsidR="006D359A" w:rsidRPr="007551B8">
        <w:rPr>
          <w:rFonts w:cstheme="minorHAnsi"/>
          <w:color w:val="222222"/>
          <w:shd w:val="clear" w:color="auto" w:fill="FFFFFF"/>
        </w:rPr>
        <w:t xml:space="preserve"> R. The projected burden of primary total knee and hip replacement for osteoarthritis in Australia to the year 2030. BMC musculoskeletal disorders. 2019 Dec;20(1):1-0.</w:t>
      </w:r>
      <w:r w:rsidRPr="007551B8">
        <w:rPr>
          <w:rFonts w:cstheme="minorHAnsi"/>
        </w:rPr>
        <w:t xml:space="preserve">  </w:t>
      </w:r>
    </w:p>
  </w:footnote>
  <w:footnote w:id="8">
    <w:p w14:paraId="643B6980" w14:textId="3346FE26"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r w:rsidR="006D359A" w:rsidRPr="007551B8">
        <w:rPr>
          <w:rFonts w:cstheme="minorHAnsi"/>
          <w:color w:val="222222"/>
          <w:shd w:val="clear" w:color="auto" w:fill="FFFFFF"/>
        </w:rPr>
        <w:t>Hsieh LF, Wu CW, Chou CC, Yang SW, Wu SH, Lin YJ, Hsu WC. Effects of botulinum toxin landmark-guided intra-articular injection in subjects with knee osteoarthritis. PM&amp;R. 2016 Dec 1;8(12):1127-35.</w:t>
      </w:r>
      <w:r w:rsidRPr="007551B8">
        <w:rPr>
          <w:rFonts w:cstheme="minorHAnsi"/>
        </w:rPr>
        <w:t xml:space="preserve"> </w:t>
      </w:r>
    </w:p>
  </w:footnote>
  <w:footnote w:id="9">
    <w:p w14:paraId="0595A89C" w14:textId="5528D14D"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r w:rsidR="006D359A" w:rsidRPr="007551B8">
        <w:rPr>
          <w:rFonts w:cstheme="minorHAnsi"/>
          <w:color w:val="222222"/>
          <w:shd w:val="clear" w:color="auto" w:fill="FFFFFF"/>
        </w:rPr>
        <w:t xml:space="preserve">Hsieh LF, Wu CW, Chou CC, Yang SW, Wu SH, Lin YJ, Hsu WC. Effects of botulinum toxin landmark-guided intra-articular injection in subjects with knee osteoarthritis. PM&amp;R. 2016 Dec 1;8(12):1127-35; </w:t>
      </w:r>
      <w:proofErr w:type="spellStart"/>
      <w:r w:rsidR="006D359A" w:rsidRPr="007551B8">
        <w:rPr>
          <w:rFonts w:cstheme="minorHAnsi"/>
          <w:color w:val="222222"/>
          <w:shd w:val="clear" w:color="auto" w:fill="FFFFFF"/>
        </w:rPr>
        <w:t>Blanshan</w:t>
      </w:r>
      <w:proofErr w:type="spellEnd"/>
      <w:r w:rsidR="006D359A" w:rsidRPr="007551B8">
        <w:rPr>
          <w:rFonts w:cstheme="minorHAnsi"/>
          <w:color w:val="222222"/>
          <w:shd w:val="clear" w:color="auto" w:fill="FFFFFF"/>
        </w:rPr>
        <w:t xml:space="preserve"> N, Krug H. The use of botulinum toxin for the treatment of chronic joint pain: Clinical and experimental evidence. Toxins. 2020 May;12(5):314.</w:t>
      </w:r>
      <w:r w:rsidRPr="007551B8">
        <w:rPr>
          <w:rFonts w:cstheme="minorHAnsi"/>
        </w:rPr>
        <w:t xml:space="preserve"> </w:t>
      </w:r>
    </w:p>
  </w:footnote>
  <w:footnote w:id="10">
    <w:p w14:paraId="0B547A18" w14:textId="37B33DCD"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r w:rsidR="006D359A" w:rsidRPr="007551B8">
        <w:rPr>
          <w:rFonts w:cstheme="minorHAnsi"/>
          <w:color w:val="222222"/>
          <w:shd w:val="clear" w:color="auto" w:fill="FFFFFF"/>
        </w:rPr>
        <w:t xml:space="preserve">Najafi S, </w:t>
      </w:r>
      <w:proofErr w:type="spellStart"/>
      <w:r w:rsidR="006D359A" w:rsidRPr="007551B8">
        <w:rPr>
          <w:rFonts w:cstheme="minorHAnsi"/>
          <w:color w:val="222222"/>
          <w:shd w:val="clear" w:color="auto" w:fill="FFFFFF"/>
        </w:rPr>
        <w:t>Sanati</w:t>
      </w:r>
      <w:proofErr w:type="spellEnd"/>
      <w:r w:rsidR="006D359A" w:rsidRPr="007551B8">
        <w:rPr>
          <w:rFonts w:cstheme="minorHAnsi"/>
          <w:color w:val="222222"/>
          <w:shd w:val="clear" w:color="auto" w:fill="FFFFFF"/>
        </w:rPr>
        <w:t xml:space="preserve"> E, </w:t>
      </w:r>
      <w:proofErr w:type="spellStart"/>
      <w:r w:rsidR="006D359A" w:rsidRPr="007551B8">
        <w:rPr>
          <w:rFonts w:cstheme="minorHAnsi"/>
          <w:color w:val="222222"/>
          <w:shd w:val="clear" w:color="auto" w:fill="FFFFFF"/>
        </w:rPr>
        <w:t>Khademi</w:t>
      </w:r>
      <w:proofErr w:type="spellEnd"/>
      <w:r w:rsidR="006D359A" w:rsidRPr="007551B8">
        <w:rPr>
          <w:rFonts w:cstheme="minorHAnsi"/>
          <w:color w:val="222222"/>
          <w:shd w:val="clear" w:color="auto" w:fill="FFFFFF"/>
        </w:rPr>
        <w:t xml:space="preserve"> M, </w:t>
      </w:r>
      <w:proofErr w:type="spellStart"/>
      <w:r w:rsidR="006D359A" w:rsidRPr="007551B8">
        <w:rPr>
          <w:rFonts w:cstheme="minorHAnsi"/>
          <w:color w:val="222222"/>
          <w:shd w:val="clear" w:color="auto" w:fill="FFFFFF"/>
        </w:rPr>
        <w:t>Abdorrazaghi</w:t>
      </w:r>
      <w:proofErr w:type="spellEnd"/>
      <w:r w:rsidR="006D359A" w:rsidRPr="007551B8">
        <w:rPr>
          <w:rFonts w:cstheme="minorHAnsi"/>
          <w:color w:val="222222"/>
          <w:shd w:val="clear" w:color="auto" w:fill="FFFFFF"/>
        </w:rPr>
        <w:t xml:space="preserve"> F, </w:t>
      </w:r>
      <w:proofErr w:type="spellStart"/>
      <w:r w:rsidR="006D359A" w:rsidRPr="007551B8">
        <w:rPr>
          <w:rFonts w:cstheme="minorHAnsi"/>
          <w:color w:val="222222"/>
          <w:shd w:val="clear" w:color="auto" w:fill="FFFFFF"/>
        </w:rPr>
        <w:t>Mofrad</w:t>
      </w:r>
      <w:proofErr w:type="spellEnd"/>
      <w:r w:rsidR="006D359A" w:rsidRPr="007551B8">
        <w:rPr>
          <w:rFonts w:cstheme="minorHAnsi"/>
          <w:color w:val="222222"/>
          <w:shd w:val="clear" w:color="auto" w:fill="FFFFFF"/>
        </w:rPr>
        <w:t xml:space="preserve"> RK, </w:t>
      </w:r>
      <w:proofErr w:type="spellStart"/>
      <w:r w:rsidR="006D359A" w:rsidRPr="007551B8">
        <w:rPr>
          <w:rFonts w:cstheme="minorHAnsi"/>
          <w:color w:val="222222"/>
          <w:shd w:val="clear" w:color="auto" w:fill="FFFFFF"/>
        </w:rPr>
        <w:t>Rezasoltani</w:t>
      </w:r>
      <w:proofErr w:type="spellEnd"/>
      <w:r w:rsidR="006D359A" w:rsidRPr="007551B8">
        <w:rPr>
          <w:rFonts w:cstheme="minorHAnsi"/>
          <w:color w:val="222222"/>
          <w:shd w:val="clear" w:color="auto" w:fill="FFFFFF"/>
        </w:rPr>
        <w:t xml:space="preserve"> Z. Intra-articular botulinum toxin type A for treatment of knee osteoarthritis: Clinical trial. Toxicon. 2019 Jul </w:t>
      </w:r>
      <w:proofErr w:type="gramStart"/>
      <w:r w:rsidR="006D359A" w:rsidRPr="007551B8">
        <w:rPr>
          <w:rFonts w:cstheme="minorHAnsi"/>
          <w:color w:val="222222"/>
          <w:shd w:val="clear" w:color="auto" w:fill="FFFFFF"/>
        </w:rPr>
        <w:t>1;165:69</w:t>
      </w:r>
      <w:proofErr w:type="gramEnd"/>
      <w:r w:rsidR="006D359A" w:rsidRPr="007551B8">
        <w:rPr>
          <w:rFonts w:cstheme="minorHAnsi"/>
          <w:color w:val="222222"/>
          <w:shd w:val="clear" w:color="auto" w:fill="FFFFFF"/>
        </w:rPr>
        <w:t>-77.</w:t>
      </w:r>
    </w:p>
  </w:footnote>
  <w:footnote w:id="11">
    <w:p w14:paraId="640E57D1" w14:textId="36757097"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proofErr w:type="spellStart"/>
      <w:r w:rsidR="006D359A" w:rsidRPr="007551B8">
        <w:rPr>
          <w:rFonts w:cstheme="minorHAnsi"/>
          <w:color w:val="222222"/>
          <w:shd w:val="clear" w:color="auto" w:fill="FFFFFF"/>
        </w:rPr>
        <w:t>Courseau</w:t>
      </w:r>
      <w:proofErr w:type="spellEnd"/>
      <w:r w:rsidR="006D359A" w:rsidRPr="007551B8">
        <w:rPr>
          <w:rFonts w:cstheme="minorHAnsi"/>
          <w:color w:val="222222"/>
          <w:shd w:val="clear" w:color="auto" w:fill="FFFFFF"/>
        </w:rPr>
        <w:t xml:space="preserve"> M, Salle PV, </w:t>
      </w:r>
      <w:proofErr w:type="spellStart"/>
      <w:r w:rsidR="006D359A" w:rsidRPr="007551B8">
        <w:rPr>
          <w:rFonts w:cstheme="minorHAnsi"/>
          <w:color w:val="222222"/>
          <w:shd w:val="clear" w:color="auto" w:fill="FFFFFF"/>
        </w:rPr>
        <w:t>Ranoux</w:t>
      </w:r>
      <w:proofErr w:type="spellEnd"/>
      <w:r w:rsidR="006D359A" w:rsidRPr="007551B8">
        <w:rPr>
          <w:rFonts w:cstheme="minorHAnsi"/>
          <w:color w:val="222222"/>
          <w:shd w:val="clear" w:color="auto" w:fill="FFFFFF"/>
        </w:rPr>
        <w:t xml:space="preserve"> D, de Pouilly </w:t>
      </w:r>
      <w:proofErr w:type="spellStart"/>
      <w:r w:rsidR="006D359A" w:rsidRPr="007551B8">
        <w:rPr>
          <w:rFonts w:cstheme="minorHAnsi"/>
          <w:color w:val="222222"/>
          <w:shd w:val="clear" w:color="auto" w:fill="FFFFFF"/>
        </w:rPr>
        <w:t>Lachatre</w:t>
      </w:r>
      <w:proofErr w:type="spellEnd"/>
      <w:r w:rsidR="006D359A" w:rsidRPr="007551B8">
        <w:rPr>
          <w:rFonts w:cstheme="minorHAnsi"/>
          <w:color w:val="222222"/>
          <w:shd w:val="clear" w:color="auto" w:fill="FFFFFF"/>
        </w:rPr>
        <w:t xml:space="preserve"> A. Efficacy of Intra-Articular Botulinum Toxin in Osteoarticular Joint Pain. The Clinical journal of pain. 2018 Apr 1;34(4):383-9.</w:t>
      </w:r>
    </w:p>
  </w:footnote>
  <w:footnote w:id="12">
    <w:p w14:paraId="4E274536" w14:textId="7327FFF2"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r w:rsidR="006D359A" w:rsidRPr="007551B8">
        <w:rPr>
          <w:rFonts w:cstheme="minorHAnsi"/>
          <w:color w:val="222222"/>
          <w:shd w:val="clear" w:color="auto" w:fill="FFFFFF"/>
        </w:rPr>
        <w:t xml:space="preserve">Nguyen C, </w:t>
      </w:r>
      <w:proofErr w:type="spellStart"/>
      <w:r w:rsidR="006D359A" w:rsidRPr="007551B8">
        <w:rPr>
          <w:rFonts w:cstheme="minorHAnsi"/>
          <w:color w:val="222222"/>
          <w:shd w:val="clear" w:color="auto" w:fill="FFFFFF"/>
        </w:rPr>
        <w:t>Lefèvre-Colau</w:t>
      </w:r>
      <w:proofErr w:type="spellEnd"/>
      <w:r w:rsidR="006D359A" w:rsidRPr="007551B8">
        <w:rPr>
          <w:rFonts w:cstheme="minorHAnsi"/>
          <w:color w:val="222222"/>
          <w:shd w:val="clear" w:color="auto" w:fill="FFFFFF"/>
        </w:rPr>
        <w:t xml:space="preserve"> MM, </w:t>
      </w:r>
      <w:proofErr w:type="spellStart"/>
      <w:r w:rsidR="006D359A" w:rsidRPr="007551B8">
        <w:rPr>
          <w:rFonts w:cstheme="minorHAnsi"/>
          <w:color w:val="222222"/>
          <w:shd w:val="clear" w:color="auto" w:fill="FFFFFF"/>
        </w:rPr>
        <w:t>Poiraudeau</w:t>
      </w:r>
      <w:proofErr w:type="spellEnd"/>
      <w:r w:rsidR="006D359A" w:rsidRPr="007551B8">
        <w:rPr>
          <w:rFonts w:cstheme="minorHAnsi"/>
          <w:color w:val="222222"/>
          <w:shd w:val="clear" w:color="auto" w:fill="FFFFFF"/>
        </w:rPr>
        <w:t xml:space="preserve"> S, </w:t>
      </w:r>
      <w:proofErr w:type="spellStart"/>
      <w:r w:rsidR="006D359A" w:rsidRPr="007551B8">
        <w:rPr>
          <w:rFonts w:cstheme="minorHAnsi"/>
          <w:color w:val="222222"/>
          <w:shd w:val="clear" w:color="auto" w:fill="FFFFFF"/>
        </w:rPr>
        <w:t>Rannou</w:t>
      </w:r>
      <w:proofErr w:type="spellEnd"/>
      <w:r w:rsidR="006D359A" w:rsidRPr="007551B8">
        <w:rPr>
          <w:rFonts w:cstheme="minorHAnsi"/>
          <w:color w:val="222222"/>
          <w:shd w:val="clear" w:color="auto" w:fill="FFFFFF"/>
        </w:rPr>
        <w:t xml:space="preserve"> F. Evidence and recommendations for use of intra-articular injections for knee osteoarthritis. Annals of physical and rehabilitation medicine. 2016 Jun 1;59(3):184-9.</w:t>
      </w:r>
    </w:p>
  </w:footnote>
  <w:footnote w:id="13">
    <w:p w14:paraId="7ADFF918" w14:textId="3269C6C9"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r w:rsidR="006D359A" w:rsidRPr="007551B8">
        <w:rPr>
          <w:rFonts w:cstheme="minorHAnsi"/>
          <w:color w:val="222222"/>
          <w:shd w:val="clear" w:color="auto" w:fill="FFFFFF"/>
        </w:rPr>
        <w:t xml:space="preserve">Nguyen C, </w:t>
      </w:r>
      <w:proofErr w:type="spellStart"/>
      <w:r w:rsidR="006D359A" w:rsidRPr="007551B8">
        <w:rPr>
          <w:rFonts w:cstheme="minorHAnsi"/>
          <w:color w:val="222222"/>
          <w:shd w:val="clear" w:color="auto" w:fill="FFFFFF"/>
        </w:rPr>
        <w:t>Lefèvre-Colau</w:t>
      </w:r>
      <w:proofErr w:type="spellEnd"/>
      <w:r w:rsidR="006D359A" w:rsidRPr="007551B8">
        <w:rPr>
          <w:rFonts w:cstheme="minorHAnsi"/>
          <w:color w:val="222222"/>
          <w:shd w:val="clear" w:color="auto" w:fill="FFFFFF"/>
        </w:rPr>
        <w:t xml:space="preserve"> MM, </w:t>
      </w:r>
      <w:proofErr w:type="spellStart"/>
      <w:r w:rsidR="006D359A" w:rsidRPr="007551B8">
        <w:rPr>
          <w:rFonts w:cstheme="minorHAnsi"/>
          <w:color w:val="222222"/>
          <w:shd w:val="clear" w:color="auto" w:fill="FFFFFF"/>
        </w:rPr>
        <w:t>Poiraudeau</w:t>
      </w:r>
      <w:proofErr w:type="spellEnd"/>
      <w:r w:rsidR="006D359A" w:rsidRPr="007551B8">
        <w:rPr>
          <w:rFonts w:cstheme="minorHAnsi"/>
          <w:color w:val="222222"/>
          <w:shd w:val="clear" w:color="auto" w:fill="FFFFFF"/>
        </w:rPr>
        <w:t xml:space="preserve"> S, </w:t>
      </w:r>
      <w:proofErr w:type="spellStart"/>
      <w:r w:rsidR="006D359A" w:rsidRPr="007551B8">
        <w:rPr>
          <w:rFonts w:cstheme="minorHAnsi"/>
          <w:color w:val="222222"/>
          <w:shd w:val="clear" w:color="auto" w:fill="FFFFFF"/>
        </w:rPr>
        <w:t>Rannou</w:t>
      </w:r>
      <w:proofErr w:type="spellEnd"/>
      <w:r w:rsidR="006D359A" w:rsidRPr="007551B8">
        <w:rPr>
          <w:rFonts w:cstheme="minorHAnsi"/>
          <w:color w:val="222222"/>
          <w:shd w:val="clear" w:color="auto" w:fill="FFFFFF"/>
        </w:rPr>
        <w:t xml:space="preserve"> F. Evidence and recommendations for use of intra-articular injections for knee osteoarthritis. Annals of physical and rehabilitation medicine. 2016 Jun 1;59(3):184-9.</w:t>
      </w:r>
    </w:p>
  </w:footnote>
  <w:footnote w:id="14">
    <w:p w14:paraId="09D98D83" w14:textId="56BB90AB"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proofErr w:type="spellStart"/>
      <w:r w:rsidR="006D359A" w:rsidRPr="007551B8">
        <w:rPr>
          <w:rFonts w:cstheme="minorHAnsi"/>
          <w:color w:val="222222"/>
          <w:shd w:val="clear" w:color="auto" w:fill="FFFFFF"/>
        </w:rPr>
        <w:t>Blanshan</w:t>
      </w:r>
      <w:proofErr w:type="spellEnd"/>
      <w:r w:rsidR="006D359A" w:rsidRPr="007551B8">
        <w:rPr>
          <w:rFonts w:cstheme="minorHAnsi"/>
          <w:color w:val="222222"/>
          <w:shd w:val="clear" w:color="auto" w:fill="FFFFFF"/>
        </w:rPr>
        <w:t xml:space="preserve"> N, Krug H. The use of botulinum toxin for the treatment of chronic joint pain: Clinical and experimental evidence. Toxins. 2020 May;12(5):314</w:t>
      </w:r>
      <w:r w:rsidR="00851460" w:rsidRPr="007551B8">
        <w:rPr>
          <w:rFonts w:cstheme="minorHAnsi"/>
          <w:color w:val="222222"/>
          <w:shd w:val="clear" w:color="auto" w:fill="FFFFFF"/>
        </w:rPr>
        <w:t>; Chou CL, Lee SH, Lu SY, Tsai KL, Ho CY, Lai HC. Therapeutic effects of intra-articular botulinum neurotoxin in advanced knee osteoarthritis. Journal of the Chinese Medical Association. 2010 Nov 1;73(11):573-80.</w:t>
      </w:r>
    </w:p>
  </w:footnote>
  <w:footnote w:id="15">
    <w:p w14:paraId="2F7CF61B" w14:textId="72CB1434"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proofErr w:type="spellStart"/>
      <w:r w:rsidR="006D359A" w:rsidRPr="007551B8">
        <w:rPr>
          <w:rFonts w:cstheme="minorHAnsi"/>
          <w:color w:val="222222"/>
          <w:shd w:val="clear" w:color="auto" w:fill="FFFFFF"/>
        </w:rPr>
        <w:t>Blanshan</w:t>
      </w:r>
      <w:proofErr w:type="spellEnd"/>
      <w:r w:rsidR="006D359A" w:rsidRPr="007551B8">
        <w:rPr>
          <w:rFonts w:cstheme="minorHAnsi"/>
          <w:color w:val="222222"/>
          <w:shd w:val="clear" w:color="auto" w:fill="FFFFFF"/>
        </w:rPr>
        <w:t xml:space="preserve"> N, Krug H. The use of botulinum toxin for the treatment of chronic joint pain: Clinical and experimental evidence. Toxins. 2020 May;12(5):314; Nguyen C, </w:t>
      </w:r>
      <w:proofErr w:type="spellStart"/>
      <w:r w:rsidR="006D359A" w:rsidRPr="007551B8">
        <w:rPr>
          <w:rFonts w:cstheme="minorHAnsi"/>
          <w:color w:val="222222"/>
          <w:shd w:val="clear" w:color="auto" w:fill="FFFFFF"/>
        </w:rPr>
        <w:t>Lefèvre-Colau</w:t>
      </w:r>
      <w:proofErr w:type="spellEnd"/>
      <w:r w:rsidR="006D359A" w:rsidRPr="007551B8">
        <w:rPr>
          <w:rFonts w:cstheme="minorHAnsi"/>
          <w:color w:val="222222"/>
          <w:shd w:val="clear" w:color="auto" w:fill="FFFFFF"/>
        </w:rPr>
        <w:t xml:space="preserve"> MM, </w:t>
      </w:r>
      <w:proofErr w:type="spellStart"/>
      <w:r w:rsidR="006D359A" w:rsidRPr="007551B8">
        <w:rPr>
          <w:rFonts w:cstheme="minorHAnsi"/>
          <w:color w:val="222222"/>
          <w:shd w:val="clear" w:color="auto" w:fill="FFFFFF"/>
        </w:rPr>
        <w:t>Poiraudeau</w:t>
      </w:r>
      <w:proofErr w:type="spellEnd"/>
      <w:r w:rsidR="006D359A" w:rsidRPr="007551B8">
        <w:rPr>
          <w:rFonts w:cstheme="minorHAnsi"/>
          <w:color w:val="222222"/>
          <w:shd w:val="clear" w:color="auto" w:fill="FFFFFF"/>
        </w:rPr>
        <w:t xml:space="preserve"> S, </w:t>
      </w:r>
      <w:proofErr w:type="spellStart"/>
      <w:r w:rsidR="006D359A" w:rsidRPr="007551B8">
        <w:rPr>
          <w:rFonts w:cstheme="minorHAnsi"/>
          <w:color w:val="222222"/>
          <w:shd w:val="clear" w:color="auto" w:fill="FFFFFF"/>
        </w:rPr>
        <w:t>Rannou</w:t>
      </w:r>
      <w:proofErr w:type="spellEnd"/>
      <w:r w:rsidR="006D359A" w:rsidRPr="007551B8">
        <w:rPr>
          <w:rFonts w:cstheme="minorHAnsi"/>
          <w:color w:val="222222"/>
          <w:shd w:val="clear" w:color="auto" w:fill="FFFFFF"/>
        </w:rPr>
        <w:t xml:space="preserve"> F. Evidence and recommendations for use of intra-articular injections for knee osteoarthritis. Annals of physical and rehabilitation medicine. 2016 Jun 1;59(3):184-9.</w:t>
      </w:r>
    </w:p>
  </w:footnote>
  <w:footnote w:id="16">
    <w:p w14:paraId="5DE0AA47" w14:textId="35A188A3" w:rsidR="00C077AD" w:rsidRPr="007551B8" w:rsidRDefault="00C077AD" w:rsidP="0001709C">
      <w:pPr>
        <w:pStyle w:val="FootnoteText"/>
        <w:rPr>
          <w:rFonts w:cstheme="minorHAnsi"/>
        </w:rPr>
      </w:pPr>
      <w:r w:rsidRPr="007551B8">
        <w:rPr>
          <w:rStyle w:val="FootnoteReference"/>
          <w:rFonts w:cstheme="minorHAnsi"/>
        </w:rPr>
        <w:footnoteRef/>
      </w:r>
      <w:r w:rsidRPr="007551B8">
        <w:rPr>
          <w:rFonts w:cstheme="minorHAnsi"/>
        </w:rPr>
        <w:t xml:space="preserve"> </w:t>
      </w:r>
      <w:r w:rsidR="006D359A" w:rsidRPr="007551B8">
        <w:rPr>
          <w:rFonts w:cstheme="minorHAnsi"/>
          <w:color w:val="222222"/>
          <w:shd w:val="clear" w:color="auto" w:fill="FFFFFF"/>
        </w:rPr>
        <w:t xml:space="preserve">Nguyen C, </w:t>
      </w:r>
      <w:proofErr w:type="spellStart"/>
      <w:r w:rsidR="006D359A" w:rsidRPr="007551B8">
        <w:rPr>
          <w:rFonts w:cstheme="minorHAnsi"/>
          <w:color w:val="222222"/>
          <w:shd w:val="clear" w:color="auto" w:fill="FFFFFF"/>
        </w:rPr>
        <w:t>Lefèvre-Colau</w:t>
      </w:r>
      <w:proofErr w:type="spellEnd"/>
      <w:r w:rsidR="006D359A" w:rsidRPr="007551B8">
        <w:rPr>
          <w:rFonts w:cstheme="minorHAnsi"/>
          <w:color w:val="222222"/>
          <w:shd w:val="clear" w:color="auto" w:fill="FFFFFF"/>
        </w:rPr>
        <w:t xml:space="preserve"> MM, </w:t>
      </w:r>
      <w:proofErr w:type="spellStart"/>
      <w:r w:rsidR="006D359A" w:rsidRPr="007551B8">
        <w:rPr>
          <w:rFonts w:cstheme="minorHAnsi"/>
          <w:color w:val="222222"/>
          <w:shd w:val="clear" w:color="auto" w:fill="FFFFFF"/>
        </w:rPr>
        <w:t>Poiraudeau</w:t>
      </w:r>
      <w:proofErr w:type="spellEnd"/>
      <w:r w:rsidR="006D359A" w:rsidRPr="007551B8">
        <w:rPr>
          <w:rFonts w:cstheme="minorHAnsi"/>
          <w:color w:val="222222"/>
          <w:shd w:val="clear" w:color="auto" w:fill="FFFFFF"/>
        </w:rPr>
        <w:t xml:space="preserve"> S, </w:t>
      </w:r>
      <w:proofErr w:type="spellStart"/>
      <w:r w:rsidR="006D359A" w:rsidRPr="007551B8">
        <w:rPr>
          <w:rFonts w:cstheme="minorHAnsi"/>
          <w:color w:val="222222"/>
          <w:shd w:val="clear" w:color="auto" w:fill="FFFFFF"/>
        </w:rPr>
        <w:t>Rannou</w:t>
      </w:r>
      <w:proofErr w:type="spellEnd"/>
      <w:r w:rsidR="006D359A" w:rsidRPr="007551B8">
        <w:rPr>
          <w:rFonts w:cstheme="minorHAnsi"/>
          <w:color w:val="222222"/>
          <w:shd w:val="clear" w:color="auto" w:fill="FFFFFF"/>
        </w:rPr>
        <w:t xml:space="preserve"> F. Evidence and recommendations for use of intra-articular injections for knee osteoarthritis. Annals of physical and rehabilitation medicine. 2016 Jun 1;59(3):184-9; </w:t>
      </w:r>
      <w:r w:rsidR="00851460" w:rsidRPr="007551B8">
        <w:rPr>
          <w:rFonts w:cstheme="minorHAnsi"/>
          <w:color w:val="222222"/>
          <w:shd w:val="clear" w:color="auto" w:fill="FFFFFF"/>
        </w:rPr>
        <w:t xml:space="preserve">Saltzman BM, Frank RM, Davey A, Cotter EJ, Redondo ML, Naveen N, Wang KC, Cole BJ. Lack of standardization among clinical trials of injection therapies for knee osteoarthritis: a systematic review. The Physician and </w:t>
      </w:r>
      <w:proofErr w:type="spellStart"/>
      <w:r w:rsidR="00851460" w:rsidRPr="007551B8">
        <w:rPr>
          <w:rFonts w:cstheme="minorHAnsi"/>
          <w:color w:val="222222"/>
          <w:shd w:val="clear" w:color="auto" w:fill="FFFFFF"/>
        </w:rPr>
        <w:t>sportsmedicine</w:t>
      </w:r>
      <w:proofErr w:type="spellEnd"/>
      <w:r w:rsidR="00851460" w:rsidRPr="007551B8">
        <w:rPr>
          <w:rFonts w:cstheme="minorHAnsi"/>
          <w:color w:val="222222"/>
          <w:shd w:val="clear" w:color="auto" w:fill="FFFFFF"/>
        </w:rPr>
        <w:t>. 2020 Jul 2;48(3):266-89.</w:t>
      </w:r>
    </w:p>
  </w:footnote>
  <w:footnote w:id="17">
    <w:p w14:paraId="79606EAF" w14:textId="00EF7016"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r w:rsidR="00851460" w:rsidRPr="007551B8">
        <w:rPr>
          <w:rFonts w:cstheme="minorHAnsi"/>
          <w:color w:val="222222"/>
          <w:shd w:val="clear" w:color="auto" w:fill="FFFFFF"/>
        </w:rPr>
        <w:t>Hsieh LF, Wu CW, Chou CC, Yang SW, Wu SH, Lin YJ, Hsu WC. Effects of botulinum toxin landmark-guided intra-articular injection in subjects with knee osteoarthritis. PM&amp;R. 2016 Dec 1;8(12):1127-35</w:t>
      </w:r>
      <w:r w:rsidRPr="007551B8">
        <w:rPr>
          <w:rFonts w:cstheme="minorHAnsi"/>
        </w:rPr>
        <w:t xml:space="preserve"> </w:t>
      </w:r>
    </w:p>
  </w:footnote>
  <w:footnote w:id="18">
    <w:p w14:paraId="0A6CF7A3" w14:textId="77C058F6"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r w:rsidR="00851460" w:rsidRPr="007551B8">
        <w:rPr>
          <w:rFonts w:cstheme="minorHAnsi"/>
          <w:color w:val="222222"/>
          <w:shd w:val="clear" w:color="auto" w:fill="FFFFFF"/>
        </w:rPr>
        <w:t xml:space="preserve">Najafi S, </w:t>
      </w:r>
      <w:proofErr w:type="spellStart"/>
      <w:r w:rsidR="00851460" w:rsidRPr="007551B8">
        <w:rPr>
          <w:rFonts w:cstheme="minorHAnsi"/>
          <w:color w:val="222222"/>
          <w:shd w:val="clear" w:color="auto" w:fill="FFFFFF"/>
        </w:rPr>
        <w:t>Sanati</w:t>
      </w:r>
      <w:proofErr w:type="spellEnd"/>
      <w:r w:rsidR="00851460" w:rsidRPr="007551B8">
        <w:rPr>
          <w:rFonts w:cstheme="minorHAnsi"/>
          <w:color w:val="222222"/>
          <w:shd w:val="clear" w:color="auto" w:fill="FFFFFF"/>
        </w:rPr>
        <w:t xml:space="preserve"> E, </w:t>
      </w:r>
      <w:proofErr w:type="spellStart"/>
      <w:r w:rsidR="00851460" w:rsidRPr="007551B8">
        <w:rPr>
          <w:rFonts w:cstheme="minorHAnsi"/>
          <w:color w:val="222222"/>
          <w:shd w:val="clear" w:color="auto" w:fill="FFFFFF"/>
        </w:rPr>
        <w:t>Khademi</w:t>
      </w:r>
      <w:proofErr w:type="spellEnd"/>
      <w:r w:rsidR="00851460" w:rsidRPr="007551B8">
        <w:rPr>
          <w:rFonts w:cstheme="minorHAnsi"/>
          <w:color w:val="222222"/>
          <w:shd w:val="clear" w:color="auto" w:fill="FFFFFF"/>
        </w:rPr>
        <w:t xml:space="preserve"> M, </w:t>
      </w:r>
      <w:proofErr w:type="spellStart"/>
      <w:r w:rsidR="00851460" w:rsidRPr="007551B8">
        <w:rPr>
          <w:rFonts w:cstheme="minorHAnsi"/>
          <w:color w:val="222222"/>
          <w:shd w:val="clear" w:color="auto" w:fill="FFFFFF"/>
        </w:rPr>
        <w:t>Abdorrazaghi</w:t>
      </w:r>
      <w:proofErr w:type="spellEnd"/>
      <w:r w:rsidR="00851460" w:rsidRPr="007551B8">
        <w:rPr>
          <w:rFonts w:cstheme="minorHAnsi"/>
          <w:color w:val="222222"/>
          <w:shd w:val="clear" w:color="auto" w:fill="FFFFFF"/>
        </w:rPr>
        <w:t xml:space="preserve"> F, </w:t>
      </w:r>
      <w:proofErr w:type="spellStart"/>
      <w:r w:rsidR="00851460" w:rsidRPr="007551B8">
        <w:rPr>
          <w:rFonts w:cstheme="minorHAnsi"/>
          <w:color w:val="222222"/>
          <w:shd w:val="clear" w:color="auto" w:fill="FFFFFF"/>
        </w:rPr>
        <w:t>Mofrad</w:t>
      </w:r>
      <w:proofErr w:type="spellEnd"/>
      <w:r w:rsidR="00851460" w:rsidRPr="007551B8">
        <w:rPr>
          <w:rFonts w:cstheme="minorHAnsi"/>
          <w:color w:val="222222"/>
          <w:shd w:val="clear" w:color="auto" w:fill="FFFFFF"/>
        </w:rPr>
        <w:t xml:space="preserve"> RK, </w:t>
      </w:r>
      <w:proofErr w:type="spellStart"/>
      <w:r w:rsidR="00851460" w:rsidRPr="007551B8">
        <w:rPr>
          <w:rFonts w:cstheme="minorHAnsi"/>
          <w:color w:val="222222"/>
          <w:shd w:val="clear" w:color="auto" w:fill="FFFFFF"/>
        </w:rPr>
        <w:t>Rezasoltani</w:t>
      </w:r>
      <w:proofErr w:type="spellEnd"/>
      <w:r w:rsidR="00851460" w:rsidRPr="007551B8">
        <w:rPr>
          <w:rFonts w:cstheme="minorHAnsi"/>
          <w:color w:val="222222"/>
          <w:shd w:val="clear" w:color="auto" w:fill="FFFFFF"/>
        </w:rPr>
        <w:t xml:space="preserve"> Z. Intra-articular botulinum toxin type A for treatment of knee osteoarthritis: Clinical trial. Toxicon. 2019 Jul </w:t>
      </w:r>
      <w:proofErr w:type="gramStart"/>
      <w:r w:rsidR="00851460" w:rsidRPr="007551B8">
        <w:rPr>
          <w:rFonts w:cstheme="minorHAnsi"/>
          <w:color w:val="222222"/>
          <w:shd w:val="clear" w:color="auto" w:fill="FFFFFF"/>
        </w:rPr>
        <w:t>1;165:69</w:t>
      </w:r>
      <w:proofErr w:type="gramEnd"/>
      <w:r w:rsidR="00851460" w:rsidRPr="007551B8">
        <w:rPr>
          <w:rFonts w:cstheme="minorHAnsi"/>
          <w:color w:val="222222"/>
          <w:shd w:val="clear" w:color="auto" w:fill="FFFFFF"/>
        </w:rPr>
        <w:t>-77.</w:t>
      </w:r>
    </w:p>
  </w:footnote>
  <w:footnote w:id="19">
    <w:p w14:paraId="4A3EC15D" w14:textId="371D195A"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r w:rsidR="00851460" w:rsidRPr="007551B8">
        <w:rPr>
          <w:rFonts w:cstheme="minorHAnsi"/>
          <w:color w:val="222222"/>
          <w:shd w:val="clear" w:color="auto" w:fill="FFFFFF"/>
        </w:rPr>
        <w:t xml:space="preserve">Arendt-Nielsen L, Jiang GL, </w:t>
      </w:r>
      <w:proofErr w:type="spellStart"/>
      <w:r w:rsidR="00851460" w:rsidRPr="007551B8">
        <w:rPr>
          <w:rFonts w:cstheme="minorHAnsi"/>
          <w:color w:val="222222"/>
          <w:shd w:val="clear" w:color="auto" w:fill="FFFFFF"/>
        </w:rPr>
        <w:t>DeGryse</w:t>
      </w:r>
      <w:proofErr w:type="spellEnd"/>
      <w:r w:rsidR="00851460" w:rsidRPr="007551B8">
        <w:rPr>
          <w:rFonts w:cstheme="minorHAnsi"/>
          <w:color w:val="222222"/>
          <w:shd w:val="clear" w:color="auto" w:fill="FFFFFF"/>
        </w:rPr>
        <w:t xml:space="preserve"> R, </w:t>
      </w:r>
      <w:proofErr w:type="spellStart"/>
      <w:r w:rsidR="00851460" w:rsidRPr="007551B8">
        <w:rPr>
          <w:rFonts w:cstheme="minorHAnsi"/>
          <w:color w:val="222222"/>
          <w:shd w:val="clear" w:color="auto" w:fill="FFFFFF"/>
        </w:rPr>
        <w:t>Turkel</w:t>
      </w:r>
      <w:proofErr w:type="spellEnd"/>
      <w:r w:rsidR="00851460" w:rsidRPr="007551B8">
        <w:rPr>
          <w:rFonts w:cstheme="minorHAnsi"/>
          <w:color w:val="222222"/>
          <w:shd w:val="clear" w:color="auto" w:fill="FFFFFF"/>
        </w:rPr>
        <w:t xml:space="preserve"> CC. Intra-articular </w:t>
      </w:r>
      <w:proofErr w:type="spellStart"/>
      <w:r w:rsidR="00851460" w:rsidRPr="007551B8">
        <w:rPr>
          <w:rFonts w:cstheme="minorHAnsi"/>
          <w:color w:val="222222"/>
          <w:shd w:val="clear" w:color="auto" w:fill="FFFFFF"/>
        </w:rPr>
        <w:t>onabotulinumtoxinA</w:t>
      </w:r>
      <w:proofErr w:type="spellEnd"/>
      <w:r w:rsidR="00851460" w:rsidRPr="007551B8">
        <w:rPr>
          <w:rFonts w:cstheme="minorHAnsi"/>
          <w:color w:val="222222"/>
          <w:shd w:val="clear" w:color="auto" w:fill="FFFFFF"/>
        </w:rPr>
        <w:t xml:space="preserve"> in osteoarthritis knee pain: effect on human mechanistic pain biomarkers and clinical pain. Scandinavian journal of rheumatology. 2017 Jul 4;46(4):303-16.</w:t>
      </w:r>
    </w:p>
  </w:footnote>
  <w:footnote w:id="20">
    <w:p w14:paraId="7035B7B4" w14:textId="0F43067B" w:rsidR="007551B8" w:rsidRPr="007551B8" w:rsidRDefault="007551B8">
      <w:pPr>
        <w:pStyle w:val="FootnoteText"/>
        <w:rPr>
          <w:rFonts w:cstheme="minorHAnsi"/>
        </w:rPr>
      </w:pPr>
      <w:r w:rsidRPr="007551B8">
        <w:rPr>
          <w:rStyle w:val="FootnoteReference"/>
          <w:rFonts w:cstheme="minorHAnsi"/>
        </w:rPr>
        <w:footnoteRef/>
      </w:r>
      <w:r w:rsidRPr="007551B8">
        <w:rPr>
          <w:rFonts w:cstheme="minorHAnsi"/>
        </w:rPr>
        <w:t xml:space="preserve"> </w:t>
      </w:r>
      <w:r w:rsidRPr="007551B8">
        <w:rPr>
          <w:rFonts w:cstheme="minorHAnsi"/>
          <w:color w:val="222222"/>
          <w:shd w:val="clear" w:color="auto" w:fill="FFFFFF"/>
        </w:rPr>
        <w:t xml:space="preserve">Bao X, Tan JW, </w:t>
      </w:r>
      <w:proofErr w:type="spellStart"/>
      <w:r w:rsidRPr="007551B8">
        <w:rPr>
          <w:rFonts w:cstheme="minorHAnsi"/>
          <w:color w:val="222222"/>
          <w:shd w:val="clear" w:color="auto" w:fill="FFFFFF"/>
        </w:rPr>
        <w:t>Flyzik</w:t>
      </w:r>
      <w:proofErr w:type="spellEnd"/>
      <w:r w:rsidRPr="007551B8">
        <w:rPr>
          <w:rFonts w:cstheme="minorHAnsi"/>
          <w:color w:val="222222"/>
          <w:shd w:val="clear" w:color="auto" w:fill="FFFFFF"/>
        </w:rPr>
        <w:t xml:space="preserve"> M, Ma XC, Liu H, Liu HY. Effect of therapeutic exercise on knee osteoarthritis after intra-articular injection of botulinum toxin type A, hyaluronate or saline: A randomized controlled trial. Journal of rehabilitation medicine. 2018 Jun 5;50(6):534-41.</w:t>
      </w:r>
    </w:p>
  </w:footnote>
  <w:footnote w:id="21">
    <w:p w14:paraId="5C1A644E" w14:textId="58108458" w:rsidR="007551B8" w:rsidRPr="007551B8" w:rsidRDefault="007551B8">
      <w:pPr>
        <w:pStyle w:val="FootnoteText"/>
        <w:rPr>
          <w:rFonts w:cstheme="minorHAnsi"/>
        </w:rPr>
      </w:pPr>
      <w:r w:rsidRPr="007551B8">
        <w:rPr>
          <w:rStyle w:val="FootnoteReference"/>
          <w:rFonts w:cstheme="minorHAnsi"/>
        </w:rPr>
        <w:footnoteRef/>
      </w:r>
      <w:r w:rsidRPr="007551B8">
        <w:rPr>
          <w:rFonts w:cstheme="minorHAnsi"/>
        </w:rPr>
        <w:t xml:space="preserve"> </w:t>
      </w:r>
      <w:r w:rsidRPr="007551B8">
        <w:rPr>
          <w:rFonts w:cstheme="minorHAnsi"/>
          <w:color w:val="222222"/>
          <w:shd w:val="clear" w:color="auto" w:fill="FFFFFF"/>
        </w:rPr>
        <w:t xml:space="preserve">Mendes JG, </w:t>
      </w:r>
      <w:proofErr w:type="spellStart"/>
      <w:r w:rsidRPr="007551B8">
        <w:rPr>
          <w:rFonts w:cstheme="minorHAnsi"/>
          <w:color w:val="222222"/>
          <w:shd w:val="clear" w:color="auto" w:fill="FFFFFF"/>
        </w:rPr>
        <w:t>Natour</w:t>
      </w:r>
      <w:proofErr w:type="spellEnd"/>
      <w:r w:rsidRPr="007551B8">
        <w:rPr>
          <w:rFonts w:cstheme="minorHAnsi"/>
          <w:color w:val="222222"/>
          <w:shd w:val="clear" w:color="auto" w:fill="FFFFFF"/>
        </w:rPr>
        <w:t xml:space="preserve"> J, Nunes-Tamashiro JC, </w:t>
      </w:r>
      <w:proofErr w:type="spellStart"/>
      <w:r w:rsidRPr="007551B8">
        <w:rPr>
          <w:rFonts w:cstheme="minorHAnsi"/>
          <w:color w:val="222222"/>
          <w:shd w:val="clear" w:color="auto" w:fill="FFFFFF"/>
        </w:rPr>
        <w:t>Toffolo</w:t>
      </w:r>
      <w:proofErr w:type="spellEnd"/>
      <w:r w:rsidRPr="007551B8">
        <w:rPr>
          <w:rFonts w:cstheme="minorHAnsi"/>
          <w:color w:val="222222"/>
          <w:shd w:val="clear" w:color="auto" w:fill="FFFFFF"/>
        </w:rPr>
        <w:t xml:space="preserve"> SR, Rosenfeld A, Furtado RN. Comparison between intra-articular botulinum toxin type A, corticosteroid, and saline in knee osteoarthritis: A randomized controlled trial. Clinical rehabilitation. 2019 Jun;33(6):1015-26.</w:t>
      </w:r>
    </w:p>
  </w:footnote>
  <w:footnote w:id="22">
    <w:p w14:paraId="170230E7" w14:textId="22ABA4EE" w:rsidR="007551B8" w:rsidRPr="007551B8" w:rsidRDefault="007551B8">
      <w:pPr>
        <w:pStyle w:val="FootnoteText"/>
        <w:rPr>
          <w:rFonts w:cstheme="minorHAnsi"/>
        </w:rPr>
      </w:pPr>
      <w:r w:rsidRPr="007551B8">
        <w:rPr>
          <w:rStyle w:val="FootnoteReference"/>
          <w:rFonts w:cstheme="minorHAnsi"/>
        </w:rPr>
        <w:footnoteRef/>
      </w:r>
      <w:r w:rsidRPr="007551B8">
        <w:rPr>
          <w:rFonts w:cstheme="minorHAnsi"/>
        </w:rPr>
        <w:t xml:space="preserve"> </w:t>
      </w:r>
      <w:proofErr w:type="spellStart"/>
      <w:r w:rsidRPr="007551B8">
        <w:rPr>
          <w:rFonts w:cstheme="minorHAnsi"/>
          <w:color w:val="222222"/>
          <w:shd w:val="clear" w:color="auto" w:fill="FFFFFF"/>
        </w:rPr>
        <w:t>Rezasoltani</w:t>
      </w:r>
      <w:proofErr w:type="spellEnd"/>
      <w:r w:rsidRPr="007551B8">
        <w:rPr>
          <w:rFonts w:cstheme="minorHAnsi"/>
          <w:color w:val="222222"/>
          <w:shd w:val="clear" w:color="auto" w:fill="FFFFFF"/>
        </w:rPr>
        <w:t xml:space="preserve"> Z, Azizi S, Najafi S, </w:t>
      </w:r>
      <w:proofErr w:type="spellStart"/>
      <w:r w:rsidRPr="007551B8">
        <w:rPr>
          <w:rFonts w:cstheme="minorHAnsi"/>
          <w:color w:val="222222"/>
          <w:shd w:val="clear" w:color="auto" w:fill="FFFFFF"/>
        </w:rPr>
        <w:t>Sanati</w:t>
      </w:r>
      <w:proofErr w:type="spellEnd"/>
      <w:r w:rsidRPr="007551B8">
        <w:rPr>
          <w:rFonts w:cstheme="minorHAnsi"/>
          <w:color w:val="222222"/>
          <w:shd w:val="clear" w:color="auto" w:fill="FFFFFF"/>
        </w:rPr>
        <w:t xml:space="preserve"> E, </w:t>
      </w:r>
      <w:proofErr w:type="spellStart"/>
      <w:r w:rsidRPr="007551B8">
        <w:rPr>
          <w:rFonts w:cstheme="minorHAnsi"/>
          <w:color w:val="222222"/>
          <w:shd w:val="clear" w:color="auto" w:fill="FFFFFF"/>
        </w:rPr>
        <w:t>Dadarkhah</w:t>
      </w:r>
      <w:proofErr w:type="spellEnd"/>
      <w:r w:rsidRPr="007551B8">
        <w:rPr>
          <w:rFonts w:cstheme="minorHAnsi"/>
          <w:color w:val="222222"/>
          <w:shd w:val="clear" w:color="auto" w:fill="FFFFFF"/>
        </w:rPr>
        <w:t xml:space="preserve"> A, </w:t>
      </w:r>
      <w:proofErr w:type="spellStart"/>
      <w:r w:rsidRPr="007551B8">
        <w:rPr>
          <w:rFonts w:cstheme="minorHAnsi"/>
          <w:color w:val="222222"/>
          <w:shd w:val="clear" w:color="auto" w:fill="FFFFFF"/>
        </w:rPr>
        <w:t>Abdorrazaghi</w:t>
      </w:r>
      <w:proofErr w:type="spellEnd"/>
      <w:r w:rsidRPr="007551B8">
        <w:rPr>
          <w:rFonts w:cstheme="minorHAnsi"/>
          <w:color w:val="222222"/>
          <w:shd w:val="clear" w:color="auto" w:fill="FFFFFF"/>
        </w:rPr>
        <w:t xml:space="preserve"> F. Physical therapy, intra-articular dextrose prolotherapy, botulinum neurotoxin, and hyaluronic acid for knee osteoarthritis: randomized clinical trial. International Journal of Rehabilitation Research. 2020 Mar 4;43(3):219-27.</w:t>
      </w:r>
    </w:p>
  </w:footnote>
  <w:footnote w:id="23">
    <w:p w14:paraId="3D30F593" w14:textId="26F51DE0" w:rsidR="007551B8" w:rsidRPr="007551B8" w:rsidRDefault="007551B8">
      <w:pPr>
        <w:pStyle w:val="FootnoteText"/>
        <w:rPr>
          <w:rFonts w:cstheme="minorHAnsi"/>
        </w:rPr>
      </w:pPr>
      <w:r w:rsidRPr="007551B8">
        <w:rPr>
          <w:rStyle w:val="FootnoteReference"/>
          <w:rFonts w:cstheme="minorHAnsi"/>
        </w:rPr>
        <w:footnoteRef/>
      </w:r>
      <w:r w:rsidRPr="007551B8">
        <w:rPr>
          <w:rFonts w:cstheme="minorHAnsi"/>
        </w:rPr>
        <w:t xml:space="preserve"> </w:t>
      </w:r>
      <w:r w:rsidRPr="007551B8">
        <w:rPr>
          <w:rFonts w:cstheme="minorHAnsi"/>
          <w:color w:val="222222"/>
          <w:shd w:val="clear" w:color="auto" w:fill="FFFFFF"/>
        </w:rPr>
        <w:t xml:space="preserve">Shukla D, Sreedhar SK, Rastogi V. A comparative study of botulinum toxin: a with triamcinolone compared to triamcinolone alone in the treatment of osteoarthritis of knee. </w:t>
      </w:r>
      <w:proofErr w:type="spellStart"/>
      <w:r w:rsidRPr="007551B8">
        <w:rPr>
          <w:rFonts w:cstheme="minorHAnsi"/>
          <w:color w:val="222222"/>
          <w:shd w:val="clear" w:color="auto" w:fill="FFFFFF"/>
        </w:rPr>
        <w:t>Anesthesia</w:t>
      </w:r>
      <w:proofErr w:type="spellEnd"/>
      <w:r w:rsidRPr="007551B8">
        <w:rPr>
          <w:rFonts w:cstheme="minorHAnsi"/>
          <w:color w:val="222222"/>
          <w:shd w:val="clear" w:color="auto" w:fill="FFFFFF"/>
        </w:rPr>
        <w:t xml:space="preserve">, essays and </w:t>
      </w:r>
      <w:proofErr w:type="gramStart"/>
      <w:r w:rsidRPr="007551B8">
        <w:rPr>
          <w:rFonts w:cstheme="minorHAnsi"/>
          <w:color w:val="222222"/>
          <w:shd w:val="clear" w:color="auto" w:fill="FFFFFF"/>
        </w:rPr>
        <w:t>researches</w:t>
      </w:r>
      <w:proofErr w:type="gramEnd"/>
      <w:r w:rsidRPr="007551B8">
        <w:rPr>
          <w:rFonts w:cstheme="minorHAnsi"/>
          <w:color w:val="222222"/>
          <w:shd w:val="clear" w:color="auto" w:fill="FFFFFF"/>
        </w:rPr>
        <w:t>. 2018 Jan;12(1):47.</w:t>
      </w:r>
    </w:p>
  </w:footnote>
  <w:footnote w:id="24">
    <w:p w14:paraId="5655FBD8" w14:textId="0A628A3A"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proofErr w:type="spellStart"/>
      <w:r w:rsidR="00851460" w:rsidRPr="007551B8">
        <w:rPr>
          <w:rFonts w:cstheme="minorHAnsi"/>
          <w:color w:val="222222"/>
          <w:shd w:val="clear" w:color="auto" w:fill="FFFFFF"/>
        </w:rPr>
        <w:t>Khenioui</w:t>
      </w:r>
      <w:proofErr w:type="spellEnd"/>
      <w:r w:rsidR="00851460" w:rsidRPr="007551B8">
        <w:rPr>
          <w:rFonts w:cstheme="minorHAnsi"/>
          <w:color w:val="222222"/>
          <w:shd w:val="clear" w:color="auto" w:fill="FFFFFF"/>
        </w:rPr>
        <w:t xml:space="preserve"> H, </w:t>
      </w:r>
      <w:proofErr w:type="spellStart"/>
      <w:r w:rsidR="00851460" w:rsidRPr="007551B8">
        <w:rPr>
          <w:rFonts w:cstheme="minorHAnsi"/>
          <w:color w:val="222222"/>
          <w:shd w:val="clear" w:color="auto" w:fill="FFFFFF"/>
        </w:rPr>
        <w:t>Houvenagel</w:t>
      </w:r>
      <w:proofErr w:type="spellEnd"/>
      <w:r w:rsidR="00851460" w:rsidRPr="007551B8">
        <w:rPr>
          <w:rFonts w:cstheme="minorHAnsi"/>
          <w:color w:val="222222"/>
          <w:shd w:val="clear" w:color="auto" w:fill="FFFFFF"/>
        </w:rPr>
        <w:t xml:space="preserve"> E, </w:t>
      </w:r>
      <w:proofErr w:type="spellStart"/>
      <w:r w:rsidR="00851460" w:rsidRPr="007551B8">
        <w:rPr>
          <w:rFonts w:cstheme="minorHAnsi"/>
          <w:color w:val="222222"/>
          <w:shd w:val="clear" w:color="auto" w:fill="FFFFFF"/>
        </w:rPr>
        <w:t>Catanzariti</w:t>
      </w:r>
      <w:proofErr w:type="spellEnd"/>
      <w:r w:rsidR="00851460" w:rsidRPr="007551B8">
        <w:rPr>
          <w:rFonts w:cstheme="minorHAnsi"/>
          <w:color w:val="222222"/>
          <w:shd w:val="clear" w:color="auto" w:fill="FFFFFF"/>
        </w:rPr>
        <w:t xml:space="preserve"> JF, Guyot MA, </w:t>
      </w:r>
      <w:proofErr w:type="spellStart"/>
      <w:r w:rsidR="00851460" w:rsidRPr="007551B8">
        <w:rPr>
          <w:rFonts w:cstheme="minorHAnsi"/>
          <w:color w:val="222222"/>
          <w:shd w:val="clear" w:color="auto" w:fill="FFFFFF"/>
        </w:rPr>
        <w:t>Agnani</w:t>
      </w:r>
      <w:proofErr w:type="spellEnd"/>
      <w:r w:rsidR="00851460" w:rsidRPr="007551B8">
        <w:rPr>
          <w:rFonts w:cstheme="minorHAnsi"/>
          <w:color w:val="222222"/>
          <w:shd w:val="clear" w:color="auto" w:fill="FFFFFF"/>
        </w:rPr>
        <w:t xml:space="preserve"> O, </w:t>
      </w:r>
      <w:proofErr w:type="spellStart"/>
      <w:r w:rsidR="00851460" w:rsidRPr="007551B8">
        <w:rPr>
          <w:rFonts w:cstheme="minorHAnsi"/>
          <w:color w:val="222222"/>
          <w:shd w:val="clear" w:color="auto" w:fill="FFFFFF"/>
        </w:rPr>
        <w:t>Donze</w:t>
      </w:r>
      <w:proofErr w:type="spellEnd"/>
      <w:r w:rsidR="00851460" w:rsidRPr="007551B8">
        <w:rPr>
          <w:rFonts w:cstheme="minorHAnsi"/>
          <w:color w:val="222222"/>
          <w:shd w:val="clear" w:color="auto" w:fill="FFFFFF"/>
        </w:rPr>
        <w:t xml:space="preserve"> C. Usefulness of intra-articular botulinum toxin injections. A systematic review. Joint Bone Spine. 2016 Mar 1;83(2):149-54.</w:t>
      </w:r>
      <w:r w:rsidRPr="007551B8">
        <w:rPr>
          <w:rFonts w:cstheme="minorHAnsi"/>
        </w:rPr>
        <w:t xml:space="preserve"> </w:t>
      </w:r>
    </w:p>
  </w:footnote>
  <w:footnote w:id="25">
    <w:p w14:paraId="2D904F5F" w14:textId="0564D5F9" w:rsidR="00C077AD" w:rsidRPr="007551B8" w:rsidRDefault="00C077AD">
      <w:pPr>
        <w:pStyle w:val="FootnoteText"/>
        <w:rPr>
          <w:rFonts w:cstheme="minorHAnsi"/>
        </w:rPr>
      </w:pPr>
      <w:r w:rsidRPr="007551B8">
        <w:rPr>
          <w:rStyle w:val="FootnoteReference"/>
          <w:rFonts w:cstheme="minorHAnsi"/>
        </w:rPr>
        <w:footnoteRef/>
      </w:r>
      <w:r w:rsidRPr="007551B8">
        <w:rPr>
          <w:rFonts w:cstheme="minorHAnsi"/>
        </w:rPr>
        <w:t xml:space="preserve"> </w:t>
      </w:r>
      <w:proofErr w:type="spellStart"/>
      <w:r w:rsidR="006D359A" w:rsidRPr="007551B8">
        <w:rPr>
          <w:rFonts w:cstheme="minorHAnsi"/>
          <w:color w:val="222222"/>
          <w:shd w:val="clear" w:color="auto" w:fill="FFFFFF"/>
        </w:rPr>
        <w:t>Courseau</w:t>
      </w:r>
      <w:proofErr w:type="spellEnd"/>
      <w:r w:rsidR="006D359A" w:rsidRPr="007551B8">
        <w:rPr>
          <w:rFonts w:cstheme="minorHAnsi"/>
          <w:color w:val="222222"/>
          <w:shd w:val="clear" w:color="auto" w:fill="FFFFFF"/>
        </w:rPr>
        <w:t xml:space="preserve"> M, Salle PV, </w:t>
      </w:r>
      <w:proofErr w:type="spellStart"/>
      <w:r w:rsidR="006D359A" w:rsidRPr="007551B8">
        <w:rPr>
          <w:rFonts w:cstheme="minorHAnsi"/>
          <w:color w:val="222222"/>
          <w:shd w:val="clear" w:color="auto" w:fill="FFFFFF"/>
        </w:rPr>
        <w:t>Ranoux</w:t>
      </w:r>
      <w:proofErr w:type="spellEnd"/>
      <w:r w:rsidR="006D359A" w:rsidRPr="007551B8">
        <w:rPr>
          <w:rFonts w:cstheme="minorHAnsi"/>
          <w:color w:val="222222"/>
          <w:shd w:val="clear" w:color="auto" w:fill="FFFFFF"/>
        </w:rPr>
        <w:t xml:space="preserve"> D, de Pouilly </w:t>
      </w:r>
      <w:proofErr w:type="spellStart"/>
      <w:r w:rsidR="006D359A" w:rsidRPr="007551B8">
        <w:rPr>
          <w:rFonts w:cstheme="minorHAnsi"/>
          <w:color w:val="222222"/>
          <w:shd w:val="clear" w:color="auto" w:fill="FFFFFF"/>
        </w:rPr>
        <w:t>Lachatre</w:t>
      </w:r>
      <w:proofErr w:type="spellEnd"/>
      <w:r w:rsidR="006D359A" w:rsidRPr="007551B8">
        <w:rPr>
          <w:rFonts w:cstheme="minorHAnsi"/>
          <w:color w:val="222222"/>
          <w:shd w:val="clear" w:color="auto" w:fill="FFFFFF"/>
        </w:rPr>
        <w:t xml:space="preserve"> A. Efficacy of Intra-Articular Botulinum Toxin in Osteoarticular Joint Pain. The Clinical journal of pain. 2018 Apr 1;34(4):383-9.</w:t>
      </w:r>
    </w:p>
  </w:footnote>
  <w:footnote w:id="26">
    <w:p w14:paraId="1B00987B" w14:textId="12D93F71" w:rsidR="00851460" w:rsidRPr="007551B8" w:rsidRDefault="00851460">
      <w:pPr>
        <w:pStyle w:val="FootnoteText"/>
        <w:rPr>
          <w:rFonts w:cstheme="minorHAnsi"/>
        </w:rPr>
      </w:pPr>
      <w:r w:rsidRPr="007551B8">
        <w:rPr>
          <w:rStyle w:val="FootnoteReference"/>
          <w:rFonts w:cstheme="minorHAnsi"/>
        </w:rPr>
        <w:footnoteRef/>
      </w:r>
      <w:r w:rsidRPr="007551B8">
        <w:rPr>
          <w:rFonts w:cstheme="minorHAnsi"/>
        </w:rPr>
        <w:t xml:space="preserve"> </w:t>
      </w:r>
      <w:proofErr w:type="spellStart"/>
      <w:r w:rsidRPr="007551B8">
        <w:rPr>
          <w:rFonts w:cstheme="minorHAnsi"/>
          <w:color w:val="222222"/>
          <w:shd w:val="clear" w:color="auto" w:fill="FFFFFF"/>
        </w:rPr>
        <w:t>Zhai</w:t>
      </w:r>
      <w:proofErr w:type="spellEnd"/>
      <w:r w:rsidRPr="007551B8">
        <w:rPr>
          <w:rFonts w:cstheme="minorHAnsi"/>
          <w:color w:val="222222"/>
          <w:shd w:val="clear" w:color="auto" w:fill="FFFFFF"/>
        </w:rPr>
        <w:t xml:space="preserve"> S, Huang B, Yu K. The efficacy and safety of Botulinum Toxin Type A in painful knee osteoarthritis: a systematic review and meta-analysis. Journal of International Medical Research. 2020 Oct;48(4):0300060519895868.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21B7" w14:textId="77777777" w:rsidR="00FA6342" w:rsidRDefault="00FA6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0184" w14:textId="77777777" w:rsidR="00FA6342" w:rsidRDefault="00FA6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BCAA" w14:textId="77777777" w:rsidR="00FA6342" w:rsidRDefault="00FA6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72"/>
    <w:multiLevelType w:val="hybridMultilevel"/>
    <w:tmpl w:val="E474C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10775"/>
    <w:multiLevelType w:val="hybridMultilevel"/>
    <w:tmpl w:val="7016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54306"/>
    <w:multiLevelType w:val="hybridMultilevel"/>
    <w:tmpl w:val="E3F01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C03BA5"/>
    <w:multiLevelType w:val="hybridMultilevel"/>
    <w:tmpl w:val="D1C4E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817A4"/>
    <w:multiLevelType w:val="hybridMultilevel"/>
    <w:tmpl w:val="5A9EDA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184F12"/>
    <w:multiLevelType w:val="hybridMultilevel"/>
    <w:tmpl w:val="72021C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F47FBD"/>
    <w:multiLevelType w:val="hybridMultilevel"/>
    <w:tmpl w:val="B44C7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F70C2"/>
    <w:multiLevelType w:val="hybridMultilevel"/>
    <w:tmpl w:val="0ABC4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12A65"/>
    <w:multiLevelType w:val="hybridMultilevel"/>
    <w:tmpl w:val="41920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67E2C"/>
    <w:multiLevelType w:val="hybridMultilevel"/>
    <w:tmpl w:val="E884B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DF6761"/>
    <w:multiLevelType w:val="hybridMultilevel"/>
    <w:tmpl w:val="636A6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DF6BE4"/>
    <w:multiLevelType w:val="hybridMultilevel"/>
    <w:tmpl w:val="927C3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FD5D72"/>
    <w:multiLevelType w:val="hybridMultilevel"/>
    <w:tmpl w:val="573046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D6A45"/>
    <w:multiLevelType w:val="hybridMultilevel"/>
    <w:tmpl w:val="61020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10A24"/>
    <w:multiLevelType w:val="hybridMultilevel"/>
    <w:tmpl w:val="7A5212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BC010D"/>
    <w:multiLevelType w:val="hybridMultilevel"/>
    <w:tmpl w:val="14BCE4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5F4218"/>
    <w:multiLevelType w:val="hybridMultilevel"/>
    <w:tmpl w:val="CB88CD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DD27A0"/>
    <w:multiLevelType w:val="hybridMultilevel"/>
    <w:tmpl w:val="DC845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3B011B"/>
    <w:multiLevelType w:val="hybridMultilevel"/>
    <w:tmpl w:val="1AFEC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E56CA6"/>
    <w:multiLevelType w:val="hybridMultilevel"/>
    <w:tmpl w:val="9F645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835B41"/>
    <w:multiLevelType w:val="hybridMultilevel"/>
    <w:tmpl w:val="1CB0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173790"/>
    <w:multiLevelType w:val="hybridMultilevel"/>
    <w:tmpl w:val="AFB0669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330E8A"/>
    <w:multiLevelType w:val="hybridMultilevel"/>
    <w:tmpl w:val="DB665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B933E1"/>
    <w:multiLevelType w:val="hybridMultilevel"/>
    <w:tmpl w:val="E02EC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EF4B8F"/>
    <w:multiLevelType w:val="hybridMultilevel"/>
    <w:tmpl w:val="F1F83B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927171"/>
    <w:multiLevelType w:val="hybridMultilevel"/>
    <w:tmpl w:val="7B2CD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896E26"/>
    <w:multiLevelType w:val="hybridMultilevel"/>
    <w:tmpl w:val="01C07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0B631B"/>
    <w:multiLevelType w:val="hybridMultilevel"/>
    <w:tmpl w:val="7EBEB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4338C8"/>
    <w:multiLevelType w:val="hybridMultilevel"/>
    <w:tmpl w:val="44C6E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D66216"/>
    <w:multiLevelType w:val="hybridMultilevel"/>
    <w:tmpl w:val="5EAEA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0693270">
    <w:abstractNumId w:val="27"/>
  </w:num>
  <w:num w:numId="2" w16cid:durableId="149101521">
    <w:abstractNumId w:val="9"/>
  </w:num>
  <w:num w:numId="3" w16cid:durableId="963928729">
    <w:abstractNumId w:val="8"/>
  </w:num>
  <w:num w:numId="4" w16cid:durableId="2037463354">
    <w:abstractNumId w:val="22"/>
  </w:num>
  <w:num w:numId="5" w16cid:durableId="681787386">
    <w:abstractNumId w:val="29"/>
  </w:num>
  <w:num w:numId="6" w16cid:durableId="1607612164">
    <w:abstractNumId w:val="6"/>
  </w:num>
  <w:num w:numId="7" w16cid:durableId="446579685">
    <w:abstractNumId w:val="2"/>
  </w:num>
  <w:num w:numId="8" w16cid:durableId="799035702">
    <w:abstractNumId w:val="20"/>
  </w:num>
  <w:num w:numId="9" w16cid:durableId="895122312">
    <w:abstractNumId w:val="3"/>
  </w:num>
  <w:num w:numId="10" w16cid:durableId="1286276054">
    <w:abstractNumId w:val="26"/>
  </w:num>
  <w:num w:numId="11" w16cid:durableId="871915722">
    <w:abstractNumId w:val="18"/>
  </w:num>
  <w:num w:numId="12" w16cid:durableId="770129772">
    <w:abstractNumId w:val="16"/>
  </w:num>
  <w:num w:numId="13" w16cid:durableId="899169966">
    <w:abstractNumId w:val="25"/>
  </w:num>
  <w:num w:numId="14" w16cid:durableId="2011833785">
    <w:abstractNumId w:val="11"/>
  </w:num>
  <w:num w:numId="15" w16cid:durableId="431824722">
    <w:abstractNumId w:val="19"/>
  </w:num>
  <w:num w:numId="16" w16cid:durableId="577058619">
    <w:abstractNumId w:val="7"/>
  </w:num>
  <w:num w:numId="17" w16cid:durableId="87772508">
    <w:abstractNumId w:val="1"/>
  </w:num>
  <w:num w:numId="18" w16cid:durableId="1458329672">
    <w:abstractNumId w:val="10"/>
  </w:num>
  <w:num w:numId="19" w16cid:durableId="77680364">
    <w:abstractNumId w:val="17"/>
  </w:num>
  <w:num w:numId="20" w16cid:durableId="1631550105">
    <w:abstractNumId w:val="28"/>
  </w:num>
  <w:num w:numId="21" w16cid:durableId="1594121531">
    <w:abstractNumId w:val="13"/>
  </w:num>
  <w:num w:numId="22" w16cid:durableId="1719940233">
    <w:abstractNumId w:val="23"/>
  </w:num>
  <w:num w:numId="23" w16cid:durableId="632489387">
    <w:abstractNumId w:val="12"/>
  </w:num>
  <w:num w:numId="24" w16cid:durableId="1568415517">
    <w:abstractNumId w:val="0"/>
  </w:num>
  <w:num w:numId="25" w16cid:durableId="605694666">
    <w:abstractNumId w:val="21"/>
  </w:num>
  <w:num w:numId="26" w16cid:durableId="1518303822">
    <w:abstractNumId w:val="14"/>
  </w:num>
  <w:num w:numId="27" w16cid:durableId="1180579046">
    <w:abstractNumId w:val="24"/>
  </w:num>
  <w:num w:numId="28" w16cid:durableId="1519656013">
    <w:abstractNumId w:val="5"/>
  </w:num>
  <w:num w:numId="29" w16cid:durableId="2083720061">
    <w:abstractNumId w:val="4"/>
  </w:num>
  <w:num w:numId="30" w16cid:durableId="17412440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65"/>
    <w:rsid w:val="00002392"/>
    <w:rsid w:val="000101EB"/>
    <w:rsid w:val="0001709C"/>
    <w:rsid w:val="00073EF4"/>
    <w:rsid w:val="00076C9C"/>
    <w:rsid w:val="000912D6"/>
    <w:rsid w:val="00091A2F"/>
    <w:rsid w:val="000938E7"/>
    <w:rsid w:val="000D5193"/>
    <w:rsid w:val="000F776E"/>
    <w:rsid w:val="00120614"/>
    <w:rsid w:val="001311C1"/>
    <w:rsid w:val="00144963"/>
    <w:rsid w:val="00152DAB"/>
    <w:rsid w:val="00155EF7"/>
    <w:rsid w:val="00174459"/>
    <w:rsid w:val="001A60DD"/>
    <w:rsid w:val="001A78DF"/>
    <w:rsid w:val="001B2141"/>
    <w:rsid w:val="001B7D8D"/>
    <w:rsid w:val="001D15E0"/>
    <w:rsid w:val="001E740C"/>
    <w:rsid w:val="00215CB6"/>
    <w:rsid w:val="00223E48"/>
    <w:rsid w:val="002337B7"/>
    <w:rsid w:val="00271F4C"/>
    <w:rsid w:val="00273316"/>
    <w:rsid w:val="002842CD"/>
    <w:rsid w:val="002C66F5"/>
    <w:rsid w:val="002D7DE0"/>
    <w:rsid w:val="002E38FA"/>
    <w:rsid w:val="002E76D9"/>
    <w:rsid w:val="003229D6"/>
    <w:rsid w:val="003405D6"/>
    <w:rsid w:val="00361573"/>
    <w:rsid w:val="00364E8C"/>
    <w:rsid w:val="00373BDF"/>
    <w:rsid w:val="00376145"/>
    <w:rsid w:val="00385E6E"/>
    <w:rsid w:val="0038650A"/>
    <w:rsid w:val="0039309D"/>
    <w:rsid w:val="00396517"/>
    <w:rsid w:val="003A729A"/>
    <w:rsid w:val="003D2BDE"/>
    <w:rsid w:val="003E3436"/>
    <w:rsid w:val="003E51CD"/>
    <w:rsid w:val="003E64EA"/>
    <w:rsid w:val="004061C7"/>
    <w:rsid w:val="004425E0"/>
    <w:rsid w:val="0045063E"/>
    <w:rsid w:val="004823BB"/>
    <w:rsid w:val="004A2780"/>
    <w:rsid w:val="004A30AC"/>
    <w:rsid w:val="004A69A6"/>
    <w:rsid w:val="004C35DB"/>
    <w:rsid w:val="004C4072"/>
    <w:rsid w:val="004D1A74"/>
    <w:rsid w:val="004E2325"/>
    <w:rsid w:val="004E2EB2"/>
    <w:rsid w:val="00503F75"/>
    <w:rsid w:val="00513D95"/>
    <w:rsid w:val="00533817"/>
    <w:rsid w:val="0055141C"/>
    <w:rsid w:val="00565612"/>
    <w:rsid w:val="0057122F"/>
    <w:rsid w:val="0059324E"/>
    <w:rsid w:val="005A6814"/>
    <w:rsid w:val="005C195D"/>
    <w:rsid w:val="005C5362"/>
    <w:rsid w:val="005D1D04"/>
    <w:rsid w:val="005F674A"/>
    <w:rsid w:val="006166A5"/>
    <w:rsid w:val="00625295"/>
    <w:rsid w:val="00627B7E"/>
    <w:rsid w:val="0063345A"/>
    <w:rsid w:val="0065103D"/>
    <w:rsid w:val="00672652"/>
    <w:rsid w:val="00684061"/>
    <w:rsid w:val="00696FD6"/>
    <w:rsid w:val="006A7CDE"/>
    <w:rsid w:val="006D2986"/>
    <w:rsid w:val="006D359A"/>
    <w:rsid w:val="006F7E7D"/>
    <w:rsid w:val="00703589"/>
    <w:rsid w:val="00705A13"/>
    <w:rsid w:val="00742369"/>
    <w:rsid w:val="00747DCC"/>
    <w:rsid w:val="007551B8"/>
    <w:rsid w:val="00757DA1"/>
    <w:rsid w:val="00775921"/>
    <w:rsid w:val="0078383B"/>
    <w:rsid w:val="00794B5A"/>
    <w:rsid w:val="0079577C"/>
    <w:rsid w:val="007A17EA"/>
    <w:rsid w:val="007B4BF0"/>
    <w:rsid w:val="007C1B96"/>
    <w:rsid w:val="008145AE"/>
    <w:rsid w:val="0084784E"/>
    <w:rsid w:val="00851460"/>
    <w:rsid w:val="00851948"/>
    <w:rsid w:val="008746B8"/>
    <w:rsid w:val="008E0672"/>
    <w:rsid w:val="009107B7"/>
    <w:rsid w:val="00955060"/>
    <w:rsid w:val="00956969"/>
    <w:rsid w:val="00995C5C"/>
    <w:rsid w:val="009B0508"/>
    <w:rsid w:val="009E7035"/>
    <w:rsid w:val="00A53056"/>
    <w:rsid w:val="00A92FF0"/>
    <w:rsid w:val="00AA408B"/>
    <w:rsid w:val="00AA5F9C"/>
    <w:rsid w:val="00AA7918"/>
    <w:rsid w:val="00AB5D9F"/>
    <w:rsid w:val="00AD038E"/>
    <w:rsid w:val="00AD1054"/>
    <w:rsid w:val="00AD6C51"/>
    <w:rsid w:val="00B167C3"/>
    <w:rsid w:val="00B317A0"/>
    <w:rsid w:val="00B63971"/>
    <w:rsid w:val="00B84E89"/>
    <w:rsid w:val="00B86558"/>
    <w:rsid w:val="00BA4D0D"/>
    <w:rsid w:val="00BB24DF"/>
    <w:rsid w:val="00BD2F46"/>
    <w:rsid w:val="00BD3CFB"/>
    <w:rsid w:val="00BE669F"/>
    <w:rsid w:val="00C077AD"/>
    <w:rsid w:val="00C07DD9"/>
    <w:rsid w:val="00C17CD7"/>
    <w:rsid w:val="00C31281"/>
    <w:rsid w:val="00C47158"/>
    <w:rsid w:val="00C4741E"/>
    <w:rsid w:val="00C57F5E"/>
    <w:rsid w:val="00C651C9"/>
    <w:rsid w:val="00C65652"/>
    <w:rsid w:val="00C865A3"/>
    <w:rsid w:val="00C92965"/>
    <w:rsid w:val="00CA57D6"/>
    <w:rsid w:val="00CC031D"/>
    <w:rsid w:val="00CC7B96"/>
    <w:rsid w:val="00CE5ABA"/>
    <w:rsid w:val="00D67E19"/>
    <w:rsid w:val="00D71152"/>
    <w:rsid w:val="00D91A6F"/>
    <w:rsid w:val="00DA6CBB"/>
    <w:rsid w:val="00DC3DF1"/>
    <w:rsid w:val="00DC7D0F"/>
    <w:rsid w:val="00DD520B"/>
    <w:rsid w:val="00DD70D6"/>
    <w:rsid w:val="00DE0F37"/>
    <w:rsid w:val="00DE4F2A"/>
    <w:rsid w:val="00DE5B2C"/>
    <w:rsid w:val="00DF4F08"/>
    <w:rsid w:val="00E01993"/>
    <w:rsid w:val="00E13F01"/>
    <w:rsid w:val="00E2087B"/>
    <w:rsid w:val="00E24BC9"/>
    <w:rsid w:val="00E53A38"/>
    <w:rsid w:val="00E53ABA"/>
    <w:rsid w:val="00E5732C"/>
    <w:rsid w:val="00E64211"/>
    <w:rsid w:val="00E7645F"/>
    <w:rsid w:val="00E7773C"/>
    <w:rsid w:val="00E92FC2"/>
    <w:rsid w:val="00EA20A1"/>
    <w:rsid w:val="00EA4529"/>
    <w:rsid w:val="00EB293B"/>
    <w:rsid w:val="00EB5265"/>
    <w:rsid w:val="00EC2C3F"/>
    <w:rsid w:val="00EC42BF"/>
    <w:rsid w:val="00F476AD"/>
    <w:rsid w:val="00F54856"/>
    <w:rsid w:val="00F6010B"/>
    <w:rsid w:val="00F60E4E"/>
    <w:rsid w:val="00F6122E"/>
    <w:rsid w:val="00F619AE"/>
    <w:rsid w:val="00F61F5D"/>
    <w:rsid w:val="00F77E06"/>
    <w:rsid w:val="00F876CF"/>
    <w:rsid w:val="00FA6342"/>
    <w:rsid w:val="00FD57E2"/>
    <w:rsid w:val="00FD6E5D"/>
    <w:rsid w:val="00FE398E"/>
    <w:rsid w:val="00FF4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2A363"/>
  <w15:chartTrackingRefBased/>
  <w15:docId w15:val="{AFEB711D-9803-4A59-A35F-D271EF6C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42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965"/>
    <w:pPr>
      <w:ind w:left="720"/>
      <w:contextualSpacing/>
    </w:pPr>
  </w:style>
  <w:style w:type="paragraph" w:styleId="FootnoteText">
    <w:name w:val="footnote text"/>
    <w:basedOn w:val="Normal"/>
    <w:link w:val="FootnoteTextChar"/>
    <w:uiPriority w:val="99"/>
    <w:semiHidden/>
    <w:unhideWhenUsed/>
    <w:rsid w:val="00D67E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E19"/>
    <w:rPr>
      <w:sz w:val="20"/>
      <w:szCs w:val="20"/>
    </w:rPr>
  </w:style>
  <w:style w:type="character" w:styleId="FootnoteReference">
    <w:name w:val="footnote reference"/>
    <w:basedOn w:val="DefaultParagraphFont"/>
    <w:uiPriority w:val="99"/>
    <w:semiHidden/>
    <w:unhideWhenUsed/>
    <w:rsid w:val="00D67E19"/>
    <w:rPr>
      <w:vertAlign w:val="superscript"/>
    </w:rPr>
  </w:style>
  <w:style w:type="paragraph" w:styleId="Header">
    <w:name w:val="header"/>
    <w:basedOn w:val="Normal"/>
    <w:link w:val="HeaderChar"/>
    <w:uiPriority w:val="99"/>
    <w:unhideWhenUsed/>
    <w:rsid w:val="000F7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76E"/>
  </w:style>
  <w:style w:type="paragraph" w:styleId="Footer">
    <w:name w:val="footer"/>
    <w:basedOn w:val="Normal"/>
    <w:link w:val="FooterChar"/>
    <w:uiPriority w:val="99"/>
    <w:unhideWhenUsed/>
    <w:rsid w:val="000F7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76E"/>
  </w:style>
  <w:style w:type="character" w:styleId="Hyperlink">
    <w:name w:val="Hyperlink"/>
    <w:basedOn w:val="DefaultParagraphFont"/>
    <w:uiPriority w:val="99"/>
    <w:unhideWhenUsed/>
    <w:rsid w:val="00703589"/>
    <w:rPr>
      <w:color w:val="0563C1" w:themeColor="hyperlink"/>
      <w:u w:val="single"/>
    </w:rPr>
  </w:style>
  <w:style w:type="character" w:customStyle="1" w:styleId="Heading1Char">
    <w:name w:val="Heading 1 Char"/>
    <w:basedOn w:val="DefaultParagraphFont"/>
    <w:link w:val="Heading1"/>
    <w:uiPriority w:val="9"/>
    <w:rsid w:val="00E64211"/>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271F4C"/>
    <w:pPr>
      <w:spacing w:after="0" w:line="240" w:lineRule="auto"/>
    </w:pPr>
  </w:style>
  <w:style w:type="paragraph" w:styleId="NormalWeb">
    <w:name w:val="Normal (Web)"/>
    <w:basedOn w:val="Normal"/>
    <w:uiPriority w:val="99"/>
    <w:semiHidden/>
    <w:unhideWhenUsed/>
    <w:rsid w:val="00AA40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moveelement">
    <w:name w:val="removeelement"/>
    <w:basedOn w:val="Normal"/>
    <w:rsid w:val="00AA408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AA408B"/>
    <w:rPr>
      <w:color w:val="605E5C"/>
      <w:shd w:val="clear" w:color="auto" w:fill="E1DFDD"/>
    </w:rPr>
  </w:style>
  <w:style w:type="paragraph" w:customStyle="1" w:styleId="EndNoteBibliographyTitle">
    <w:name w:val="EndNote Bibliography Title"/>
    <w:basedOn w:val="Normal"/>
    <w:link w:val="EndNoteBibliographyTitleChar"/>
    <w:rsid w:val="00AA408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A408B"/>
    <w:rPr>
      <w:rFonts w:ascii="Calibri" w:hAnsi="Calibri" w:cs="Calibri"/>
      <w:noProof/>
      <w:lang w:val="en-US"/>
    </w:rPr>
  </w:style>
  <w:style w:type="paragraph" w:customStyle="1" w:styleId="EndNoteBibliography">
    <w:name w:val="EndNote Bibliography"/>
    <w:basedOn w:val="Normal"/>
    <w:link w:val="EndNoteBibliographyChar"/>
    <w:rsid w:val="00AA408B"/>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A408B"/>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4401">
      <w:bodyDiv w:val="1"/>
      <w:marLeft w:val="0"/>
      <w:marRight w:val="0"/>
      <w:marTop w:val="0"/>
      <w:marBottom w:val="0"/>
      <w:divBdr>
        <w:top w:val="none" w:sz="0" w:space="0" w:color="auto"/>
        <w:left w:val="none" w:sz="0" w:space="0" w:color="auto"/>
        <w:bottom w:val="none" w:sz="0" w:space="0" w:color="auto"/>
        <w:right w:val="none" w:sz="0" w:space="0" w:color="auto"/>
      </w:divBdr>
    </w:div>
    <w:div w:id="503592882">
      <w:bodyDiv w:val="1"/>
      <w:marLeft w:val="0"/>
      <w:marRight w:val="0"/>
      <w:marTop w:val="0"/>
      <w:marBottom w:val="0"/>
      <w:divBdr>
        <w:top w:val="none" w:sz="0" w:space="0" w:color="auto"/>
        <w:left w:val="none" w:sz="0" w:space="0" w:color="auto"/>
        <w:bottom w:val="none" w:sz="0" w:space="0" w:color="auto"/>
        <w:right w:val="none" w:sz="0" w:space="0" w:color="auto"/>
      </w:divBdr>
    </w:div>
    <w:div w:id="960454679">
      <w:bodyDiv w:val="1"/>
      <w:marLeft w:val="0"/>
      <w:marRight w:val="0"/>
      <w:marTop w:val="0"/>
      <w:marBottom w:val="0"/>
      <w:divBdr>
        <w:top w:val="none" w:sz="0" w:space="0" w:color="auto"/>
        <w:left w:val="none" w:sz="0" w:space="0" w:color="auto"/>
        <w:bottom w:val="none" w:sz="0" w:space="0" w:color="auto"/>
        <w:right w:val="none" w:sz="0" w:space="0" w:color="auto"/>
      </w:divBdr>
    </w:div>
    <w:div w:id="1031340279">
      <w:bodyDiv w:val="1"/>
      <w:marLeft w:val="0"/>
      <w:marRight w:val="0"/>
      <w:marTop w:val="0"/>
      <w:marBottom w:val="0"/>
      <w:divBdr>
        <w:top w:val="none" w:sz="0" w:space="0" w:color="auto"/>
        <w:left w:val="none" w:sz="0" w:space="0" w:color="auto"/>
        <w:bottom w:val="none" w:sz="0" w:space="0" w:color="auto"/>
        <w:right w:val="none" w:sz="0" w:space="0" w:color="auto"/>
      </w:divBdr>
    </w:div>
    <w:div w:id="1054280971">
      <w:bodyDiv w:val="1"/>
      <w:marLeft w:val="0"/>
      <w:marRight w:val="0"/>
      <w:marTop w:val="0"/>
      <w:marBottom w:val="0"/>
      <w:divBdr>
        <w:top w:val="none" w:sz="0" w:space="0" w:color="auto"/>
        <w:left w:val="none" w:sz="0" w:space="0" w:color="auto"/>
        <w:bottom w:val="none" w:sz="0" w:space="0" w:color="auto"/>
        <w:right w:val="none" w:sz="0" w:space="0" w:color="auto"/>
      </w:divBdr>
    </w:div>
    <w:div w:id="1103114218">
      <w:bodyDiv w:val="1"/>
      <w:marLeft w:val="0"/>
      <w:marRight w:val="0"/>
      <w:marTop w:val="0"/>
      <w:marBottom w:val="0"/>
      <w:divBdr>
        <w:top w:val="none" w:sz="0" w:space="0" w:color="auto"/>
        <w:left w:val="none" w:sz="0" w:space="0" w:color="auto"/>
        <w:bottom w:val="none" w:sz="0" w:space="0" w:color="auto"/>
        <w:right w:val="none" w:sz="0" w:space="0" w:color="auto"/>
      </w:divBdr>
    </w:div>
    <w:div w:id="1157301876">
      <w:bodyDiv w:val="1"/>
      <w:marLeft w:val="0"/>
      <w:marRight w:val="0"/>
      <w:marTop w:val="0"/>
      <w:marBottom w:val="0"/>
      <w:divBdr>
        <w:top w:val="none" w:sz="0" w:space="0" w:color="auto"/>
        <w:left w:val="none" w:sz="0" w:space="0" w:color="auto"/>
        <w:bottom w:val="none" w:sz="0" w:space="0" w:color="auto"/>
        <w:right w:val="none" w:sz="0" w:space="0" w:color="auto"/>
      </w:divBdr>
      <w:divsChild>
        <w:div w:id="330570936">
          <w:marLeft w:val="0"/>
          <w:marRight w:val="0"/>
          <w:marTop w:val="0"/>
          <w:marBottom w:val="0"/>
          <w:divBdr>
            <w:top w:val="none" w:sz="0" w:space="0" w:color="auto"/>
            <w:left w:val="none" w:sz="0" w:space="0" w:color="auto"/>
            <w:bottom w:val="none" w:sz="0" w:space="0" w:color="auto"/>
            <w:right w:val="none" w:sz="0" w:space="0" w:color="auto"/>
          </w:divBdr>
        </w:div>
        <w:div w:id="1306205012">
          <w:marLeft w:val="0"/>
          <w:marRight w:val="0"/>
          <w:marTop w:val="0"/>
          <w:marBottom w:val="0"/>
          <w:divBdr>
            <w:top w:val="none" w:sz="0" w:space="0" w:color="auto"/>
            <w:left w:val="none" w:sz="0" w:space="0" w:color="auto"/>
            <w:bottom w:val="none" w:sz="0" w:space="0" w:color="auto"/>
            <w:right w:val="none" w:sz="0" w:space="0" w:color="auto"/>
          </w:divBdr>
        </w:div>
        <w:div w:id="1417752271">
          <w:marLeft w:val="0"/>
          <w:marRight w:val="0"/>
          <w:marTop w:val="0"/>
          <w:marBottom w:val="0"/>
          <w:divBdr>
            <w:top w:val="none" w:sz="0" w:space="0" w:color="auto"/>
            <w:left w:val="none" w:sz="0" w:space="0" w:color="auto"/>
            <w:bottom w:val="none" w:sz="0" w:space="0" w:color="auto"/>
            <w:right w:val="none" w:sz="0" w:space="0" w:color="auto"/>
          </w:divBdr>
        </w:div>
        <w:div w:id="1596399047">
          <w:marLeft w:val="0"/>
          <w:marRight w:val="0"/>
          <w:marTop w:val="0"/>
          <w:marBottom w:val="0"/>
          <w:divBdr>
            <w:top w:val="none" w:sz="0" w:space="0" w:color="auto"/>
            <w:left w:val="none" w:sz="0" w:space="0" w:color="auto"/>
            <w:bottom w:val="none" w:sz="0" w:space="0" w:color="auto"/>
            <w:right w:val="none" w:sz="0" w:space="0" w:color="auto"/>
          </w:divBdr>
        </w:div>
        <w:div w:id="1731271648">
          <w:marLeft w:val="0"/>
          <w:marRight w:val="0"/>
          <w:marTop w:val="0"/>
          <w:marBottom w:val="0"/>
          <w:divBdr>
            <w:top w:val="none" w:sz="0" w:space="0" w:color="auto"/>
            <w:left w:val="none" w:sz="0" w:space="0" w:color="auto"/>
            <w:bottom w:val="none" w:sz="0" w:space="0" w:color="auto"/>
            <w:right w:val="none" w:sz="0" w:space="0" w:color="auto"/>
          </w:divBdr>
        </w:div>
        <w:div w:id="1800221248">
          <w:marLeft w:val="0"/>
          <w:marRight w:val="0"/>
          <w:marTop w:val="0"/>
          <w:marBottom w:val="0"/>
          <w:divBdr>
            <w:top w:val="none" w:sz="0" w:space="0" w:color="auto"/>
            <w:left w:val="none" w:sz="0" w:space="0" w:color="auto"/>
            <w:bottom w:val="none" w:sz="0" w:space="0" w:color="auto"/>
            <w:right w:val="none" w:sz="0" w:space="0" w:color="auto"/>
          </w:divBdr>
        </w:div>
      </w:divsChild>
    </w:div>
    <w:div w:id="1356075280">
      <w:bodyDiv w:val="1"/>
      <w:marLeft w:val="0"/>
      <w:marRight w:val="0"/>
      <w:marTop w:val="0"/>
      <w:marBottom w:val="0"/>
      <w:divBdr>
        <w:top w:val="none" w:sz="0" w:space="0" w:color="auto"/>
        <w:left w:val="none" w:sz="0" w:space="0" w:color="auto"/>
        <w:bottom w:val="none" w:sz="0" w:space="0" w:color="auto"/>
        <w:right w:val="none" w:sz="0" w:space="0" w:color="auto"/>
      </w:divBdr>
    </w:div>
    <w:div w:id="1378772544">
      <w:bodyDiv w:val="1"/>
      <w:marLeft w:val="0"/>
      <w:marRight w:val="0"/>
      <w:marTop w:val="0"/>
      <w:marBottom w:val="0"/>
      <w:divBdr>
        <w:top w:val="none" w:sz="0" w:space="0" w:color="auto"/>
        <w:left w:val="none" w:sz="0" w:space="0" w:color="auto"/>
        <w:bottom w:val="none" w:sz="0" w:space="0" w:color="auto"/>
        <w:right w:val="none" w:sz="0" w:space="0" w:color="auto"/>
      </w:divBdr>
    </w:div>
    <w:div w:id="14078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ihw.gov.au/reports/chronic-musculoskeletal-conditions/osteoarthritis"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C95BF5B3807B4DB156FB4D23FF865A" ma:contentTypeVersion="2" ma:contentTypeDescription="Create a new document." ma:contentTypeScope="" ma:versionID="14da268a08b59316295ca9b92a7a2704">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gsDocPrnNumber xmlns="af635e36-a2f4-4b4b-8abc-dd71625a6880">9819</RgsDocPrnNumber>
    <RgsProjDocFileName xmlns="af635e36-a2f4-4b4b-8abc-dd71625a6880" xsi:nil="true"/>
  </documentManagement>
</p:properties>
</file>

<file path=customXml/itemProps1.xml><?xml version="1.0" encoding="utf-8"?>
<ds:datastoreItem xmlns:ds="http://schemas.openxmlformats.org/officeDocument/2006/customXml" ds:itemID="{C522A181-3D5E-4B43-82C8-F919E4E14ADE}">
  <ds:schemaRefs>
    <ds:schemaRef ds:uri="http://schemas.openxmlformats.org/officeDocument/2006/bibliography"/>
  </ds:schemaRefs>
</ds:datastoreItem>
</file>

<file path=customXml/itemProps2.xml><?xml version="1.0" encoding="utf-8"?>
<ds:datastoreItem xmlns:ds="http://schemas.openxmlformats.org/officeDocument/2006/customXml" ds:itemID="{E5752EE3-E573-4C25-8887-AEA250174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4FF47-5DF4-4188-9A79-97E2C7E8F0D6}">
  <ds:schemaRefs>
    <ds:schemaRef ds:uri="http://schemas.microsoft.com/sharepoint/v3/contenttype/forms"/>
  </ds:schemaRefs>
</ds:datastoreItem>
</file>

<file path=customXml/itemProps4.xml><?xml version="1.0" encoding="utf-8"?>
<ds:datastoreItem xmlns:ds="http://schemas.openxmlformats.org/officeDocument/2006/customXml" ds:itemID="{744E5D25-A80B-4E1F-A9C6-21DF611F426F}">
  <ds:schemaRefs>
    <ds:schemaRef ds:uri="http://schemas.microsoft.com/office/2006/metadata/properties"/>
    <ds:schemaRef ds:uri="http://schemas.microsoft.com/office/infopath/2007/PartnerControls"/>
    <ds:schemaRef ds:uri="af635e36-a2f4-4b4b-8abc-dd71625a688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Faveere, Arnout</cp:lastModifiedBy>
  <cp:revision>3</cp:revision>
  <dcterms:created xsi:type="dcterms:W3CDTF">2023-02-25T03:23:00Z</dcterms:created>
  <dcterms:modified xsi:type="dcterms:W3CDTF">2023-03-21T08:12:00Z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0x01010058C95BF5B3807B4DB156FB4D23FF865A</vt:lpwstr>
  </property>
</Properties>
</file>