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31867" w14:textId="7DE2DA24" w:rsidR="0068426C" w:rsidRPr="001138D5" w:rsidRDefault="00FC7D8C" w:rsidP="004528A2">
      <w:pPr>
        <w:pStyle w:val="Heading1"/>
        <w:spacing w:line="360" w:lineRule="auto"/>
        <w:rPr>
          <w:rFonts w:cstheme="minorHAnsi"/>
          <w:sz w:val="22"/>
          <w:szCs w:val="22"/>
        </w:rPr>
      </w:pPr>
      <w:r w:rsidRPr="001138D5">
        <w:rPr>
          <w:rFonts w:cstheme="minorHAnsi"/>
          <w:sz w:val="22"/>
          <w:szCs w:val="22"/>
        </w:rPr>
        <w:t>Intravascular Lithotripsy Catheter Balloon for Ca</w:t>
      </w:r>
      <w:r w:rsidR="0035383E" w:rsidRPr="001138D5">
        <w:rPr>
          <w:rFonts w:cstheme="minorHAnsi"/>
          <w:sz w:val="22"/>
          <w:szCs w:val="22"/>
        </w:rPr>
        <w:t>lcified Coronary Artery</w:t>
      </w:r>
      <w:r w:rsidR="007A6E5A" w:rsidRPr="001138D5">
        <w:rPr>
          <w:rFonts w:cstheme="minorHAnsi"/>
          <w:sz w:val="22"/>
          <w:szCs w:val="22"/>
        </w:rPr>
        <w:t xml:space="preserve"> </w:t>
      </w:r>
      <w:r w:rsidR="009F4765" w:rsidRPr="001138D5">
        <w:rPr>
          <w:rFonts w:cstheme="minorHAnsi"/>
          <w:sz w:val="22"/>
          <w:szCs w:val="22"/>
        </w:rPr>
        <w:t>Pilot Study</w:t>
      </w:r>
    </w:p>
    <w:p w14:paraId="52231868" w14:textId="77777777" w:rsidR="00D94389" w:rsidRPr="001138D5" w:rsidRDefault="00D94389" w:rsidP="004528A2">
      <w:pPr>
        <w:pStyle w:val="Heading2"/>
        <w:spacing w:line="360" w:lineRule="auto"/>
        <w:rPr>
          <w:rFonts w:cstheme="minorHAnsi"/>
          <w:sz w:val="22"/>
          <w:szCs w:val="22"/>
        </w:rPr>
      </w:pPr>
      <w:r w:rsidRPr="001138D5">
        <w:rPr>
          <w:rFonts w:cstheme="minorHAnsi"/>
          <w:sz w:val="22"/>
          <w:szCs w:val="22"/>
        </w:rPr>
        <w:t>Investigators:</w:t>
      </w:r>
    </w:p>
    <w:p w14:paraId="35515733" w14:textId="3514CA2B" w:rsidR="0056236F" w:rsidRPr="001138D5" w:rsidRDefault="00EF3B76" w:rsidP="004528A2">
      <w:pPr>
        <w:pStyle w:val="ListParagraph"/>
        <w:numPr>
          <w:ilvl w:val="0"/>
          <w:numId w:val="19"/>
        </w:numPr>
        <w:spacing w:after="0" w:line="360" w:lineRule="auto"/>
        <w:rPr>
          <w:rFonts w:eastAsiaTheme="minorHAnsi" w:cstheme="minorHAnsi"/>
          <w:sz w:val="22"/>
          <w:szCs w:val="22"/>
          <w:lang w:val="en-GB" w:eastAsia="en-US"/>
        </w:rPr>
      </w:pPr>
      <w:r w:rsidRPr="001138D5">
        <w:rPr>
          <w:rFonts w:cstheme="minorHAnsi"/>
          <w:sz w:val="22"/>
          <w:szCs w:val="22"/>
        </w:rPr>
        <w:t>Dr Michael Zhang</w:t>
      </w:r>
      <w:r w:rsidR="0056236F" w:rsidRPr="001138D5">
        <w:rPr>
          <w:rFonts w:cstheme="minorHAnsi"/>
          <w:sz w:val="22"/>
          <w:szCs w:val="22"/>
        </w:rPr>
        <w:t xml:space="preserve">, </w:t>
      </w:r>
      <w:r w:rsidR="00653F8C" w:rsidRPr="001138D5">
        <w:rPr>
          <w:rFonts w:cstheme="minorHAnsi"/>
          <w:sz w:val="22"/>
          <w:szCs w:val="22"/>
        </w:rPr>
        <w:t>Clinical Director of Ca</w:t>
      </w:r>
      <w:r w:rsidR="00592585" w:rsidRPr="001138D5">
        <w:rPr>
          <w:rFonts w:cstheme="minorHAnsi"/>
          <w:sz w:val="22"/>
          <w:szCs w:val="22"/>
        </w:rPr>
        <w:t>rdiology,</w:t>
      </w:r>
      <w:r w:rsidR="0056236F" w:rsidRPr="001138D5">
        <w:rPr>
          <w:rFonts w:cstheme="minorHAnsi"/>
          <w:sz w:val="22"/>
          <w:szCs w:val="22"/>
        </w:rPr>
        <w:t xml:space="preserve"> Mackay Base Hospital, Queensland. Principal Investigator. </w:t>
      </w:r>
    </w:p>
    <w:p w14:paraId="0C8B1613" w14:textId="16AB37BA" w:rsidR="0056236F" w:rsidRPr="001138D5" w:rsidRDefault="008326DD" w:rsidP="004528A2">
      <w:pPr>
        <w:pStyle w:val="ListParagraph"/>
        <w:numPr>
          <w:ilvl w:val="0"/>
          <w:numId w:val="19"/>
        </w:numPr>
        <w:spacing w:after="0" w:line="360" w:lineRule="auto"/>
        <w:rPr>
          <w:rFonts w:cstheme="minorHAnsi"/>
          <w:sz w:val="22"/>
          <w:szCs w:val="22"/>
        </w:rPr>
      </w:pPr>
      <w:r w:rsidRPr="001138D5">
        <w:rPr>
          <w:rFonts w:cstheme="minorHAnsi"/>
          <w:sz w:val="22"/>
          <w:szCs w:val="22"/>
        </w:rPr>
        <w:t>Dr Pyi Naing</w:t>
      </w:r>
      <w:r w:rsidR="0056236F" w:rsidRPr="001138D5">
        <w:rPr>
          <w:rFonts w:cstheme="minorHAnsi"/>
          <w:sz w:val="22"/>
          <w:szCs w:val="22"/>
        </w:rPr>
        <w:t xml:space="preserve">, </w:t>
      </w:r>
      <w:r w:rsidR="00AF5991" w:rsidRPr="001138D5">
        <w:rPr>
          <w:rFonts w:cstheme="minorHAnsi"/>
          <w:sz w:val="22"/>
          <w:szCs w:val="22"/>
        </w:rPr>
        <w:t>MBBS, MPhil, Dip. Echo, FRACP</w:t>
      </w:r>
      <w:r w:rsidR="0056236F" w:rsidRPr="001138D5">
        <w:rPr>
          <w:rFonts w:cstheme="minorHAnsi"/>
          <w:sz w:val="22"/>
          <w:szCs w:val="22"/>
        </w:rPr>
        <w:t>. Mackay Base Hospital</w:t>
      </w:r>
      <w:r w:rsidR="009B0BF1" w:rsidRPr="001138D5">
        <w:rPr>
          <w:rFonts w:cstheme="minorHAnsi"/>
          <w:sz w:val="22"/>
          <w:szCs w:val="22"/>
        </w:rPr>
        <w:t xml:space="preserve"> and The Price Charles Hospital</w:t>
      </w:r>
      <w:r w:rsidR="0056236F" w:rsidRPr="001138D5">
        <w:rPr>
          <w:rFonts w:cstheme="minorHAnsi"/>
          <w:sz w:val="22"/>
          <w:szCs w:val="22"/>
        </w:rPr>
        <w:t xml:space="preserve">. </w:t>
      </w:r>
    </w:p>
    <w:p w14:paraId="5223186A" w14:textId="32B27F33" w:rsidR="00D94389" w:rsidRPr="001138D5" w:rsidRDefault="00142F02" w:rsidP="004528A2">
      <w:pPr>
        <w:pStyle w:val="NormalWeb"/>
        <w:numPr>
          <w:ilvl w:val="0"/>
          <w:numId w:val="19"/>
        </w:numPr>
        <w:spacing w:after="120" w:line="360" w:lineRule="auto"/>
        <w:rPr>
          <w:rFonts w:cstheme="minorHAnsi"/>
          <w:color w:val="000000"/>
          <w:sz w:val="22"/>
          <w:szCs w:val="22"/>
        </w:rPr>
      </w:pPr>
      <w:r w:rsidRPr="001138D5">
        <w:rPr>
          <w:rFonts w:cstheme="minorHAnsi"/>
          <w:sz w:val="22"/>
          <w:szCs w:val="22"/>
        </w:rPr>
        <w:t>Matthew Hiskens</w:t>
      </w:r>
      <w:r w:rsidR="0056236F" w:rsidRPr="001138D5">
        <w:rPr>
          <w:rFonts w:cstheme="minorHAnsi"/>
          <w:sz w:val="22"/>
          <w:szCs w:val="22"/>
        </w:rPr>
        <w:t xml:space="preserve">, PhD. </w:t>
      </w:r>
      <w:r w:rsidR="00CC1946" w:rsidRPr="001138D5">
        <w:rPr>
          <w:rFonts w:cstheme="minorHAnsi"/>
          <w:color w:val="000000"/>
          <w:sz w:val="22"/>
          <w:szCs w:val="22"/>
        </w:rPr>
        <w:t xml:space="preserve">Mackay Institute of Research and Innovation, Mackay Hospital and Health Service. </w:t>
      </w:r>
      <w:r w:rsidR="0056236F" w:rsidRPr="001138D5">
        <w:rPr>
          <w:rFonts w:cstheme="minorHAnsi"/>
          <w:sz w:val="22"/>
          <w:szCs w:val="22"/>
        </w:rPr>
        <w:t>Contributions: Data collection, data analysis and manuscript writing.</w:t>
      </w:r>
    </w:p>
    <w:p w14:paraId="149A368E" w14:textId="77777777" w:rsidR="0072751C" w:rsidRPr="001138D5" w:rsidRDefault="0068426C" w:rsidP="004528A2">
      <w:pPr>
        <w:pStyle w:val="Heading2"/>
        <w:spacing w:line="360" w:lineRule="auto"/>
        <w:rPr>
          <w:rFonts w:cstheme="minorHAnsi"/>
          <w:sz w:val="22"/>
          <w:szCs w:val="22"/>
        </w:rPr>
      </w:pPr>
      <w:r w:rsidRPr="001138D5">
        <w:rPr>
          <w:rFonts w:cstheme="minorHAnsi"/>
          <w:sz w:val="22"/>
          <w:szCs w:val="22"/>
        </w:rPr>
        <w:t>Study Site/s:</w:t>
      </w:r>
      <w:r w:rsidR="0035383E" w:rsidRPr="001138D5">
        <w:rPr>
          <w:rFonts w:cstheme="minorHAnsi"/>
          <w:sz w:val="22"/>
          <w:szCs w:val="22"/>
        </w:rPr>
        <w:t xml:space="preserve"> </w:t>
      </w:r>
    </w:p>
    <w:p w14:paraId="5223186C" w14:textId="53A0EE64" w:rsidR="0068426C" w:rsidRPr="001138D5" w:rsidRDefault="0072751C" w:rsidP="004528A2">
      <w:pPr>
        <w:spacing w:line="360" w:lineRule="auto"/>
        <w:rPr>
          <w:rFonts w:cstheme="minorHAnsi"/>
          <w:sz w:val="22"/>
          <w:szCs w:val="22"/>
        </w:rPr>
      </w:pPr>
      <w:r w:rsidRPr="001138D5">
        <w:rPr>
          <w:rFonts w:cstheme="minorHAnsi"/>
          <w:sz w:val="22"/>
          <w:szCs w:val="22"/>
        </w:rPr>
        <w:t xml:space="preserve">Cardiac </w:t>
      </w:r>
      <w:r w:rsidR="00D778AF" w:rsidRPr="001138D5">
        <w:rPr>
          <w:rFonts w:cstheme="minorHAnsi"/>
          <w:sz w:val="22"/>
          <w:szCs w:val="22"/>
        </w:rPr>
        <w:t xml:space="preserve">Catheter Laboratory, </w:t>
      </w:r>
      <w:r w:rsidR="0035383E" w:rsidRPr="001138D5">
        <w:rPr>
          <w:rFonts w:cstheme="minorHAnsi"/>
          <w:sz w:val="22"/>
          <w:szCs w:val="22"/>
        </w:rPr>
        <w:t>Mackay Base Hospital: Mackay, Queensland, Australia</w:t>
      </w:r>
    </w:p>
    <w:p w14:paraId="5223186D" w14:textId="7D1095F7" w:rsidR="0068426C" w:rsidRPr="001138D5" w:rsidRDefault="00185FD9" w:rsidP="004528A2">
      <w:pPr>
        <w:pStyle w:val="Heading2"/>
        <w:spacing w:line="360" w:lineRule="auto"/>
        <w:rPr>
          <w:rFonts w:cstheme="minorHAnsi"/>
          <w:sz w:val="22"/>
          <w:szCs w:val="22"/>
        </w:rPr>
      </w:pPr>
      <w:r w:rsidRPr="001138D5">
        <w:rPr>
          <w:rFonts w:cstheme="minorHAnsi"/>
          <w:sz w:val="22"/>
          <w:szCs w:val="22"/>
        </w:rPr>
        <w:t>Introduction and Background</w:t>
      </w:r>
      <w:r w:rsidR="0068426C" w:rsidRPr="001138D5">
        <w:rPr>
          <w:rFonts w:cstheme="minorHAnsi"/>
          <w:sz w:val="22"/>
          <w:szCs w:val="22"/>
        </w:rPr>
        <w:t>:</w:t>
      </w:r>
    </w:p>
    <w:p w14:paraId="518E7198" w14:textId="2DCE3BE2" w:rsidR="000013BB" w:rsidRPr="001138D5" w:rsidRDefault="000013BB" w:rsidP="004528A2">
      <w:pPr>
        <w:pStyle w:val="NormalWeb"/>
        <w:spacing w:line="360" w:lineRule="auto"/>
        <w:rPr>
          <w:rFonts w:cstheme="minorHAnsi"/>
          <w:color w:val="000000"/>
          <w:sz w:val="22"/>
          <w:szCs w:val="22"/>
        </w:rPr>
      </w:pPr>
      <w:r w:rsidRPr="001138D5">
        <w:rPr>
          <w:rFonts w:cstheme="minorHAnsi"/>
          <w:sz w:val="22"/>
          <w:szCs w:val="22"/>
        </w:rPr>
        <w:t>Acute coronary syndrome (ACS) is a manifestation of coronary artery disease which includes ST elevation myocardial infarction (STEMI) and non-ST elevation acute coronary syndrome (NSTEACS). Current Australian ACS guidelines recommend invasive management with diagnostic angiography and/or percutaneous coronary intervention (PCI) for all STEMI and high risk NSTEACS patients.</w:t>
      </w:r>
      <w:r w:rsidRPr="001138D5">
        <w:rPr>
          <w:rFonts w:cstheme="minorHAnsi"/>
          <w:color w:val="000000"/>
          <w:sz w:val="22"/>
          <w:szCs w:val="22"/>
        </w:rPr>
        <w:t xml:space="preserve"> PCI with implantation of a drug-eluting stent is a highly used method of restoration of perfusion to </w:t>
      </w:r>
      <w:proofErr w:type="spellStart"/>
      <w:r w:rsidRPr="001138D5">
        <w:rPr>
          <w:rFonts w:cstheme="minorHAnsi"/>
          <w:color w:val="000000"/>
          <w:sz w:val="22"/>
          <w:szCs w:val="22"/>
        </w:rPr>
        <w:t>ischaemic</w:t>
      </w:r>
      <w:proofErr w:type="spellEnd"/>
      <w:r w:rsidRPr="001138D5">
        <w:rPr>
          <w:rFonts w:cstheme="minorHAnsi"/>
          <w:color w:val="000000"/>
          <w:sz w:val="22"/>
          <w:szCs w:val="22"/>
        </w:rPr>
        <w:t xml:space="preserve"> coronary arteries (</w:t>
      </w:r>
      <w:r w:rsidR="00A64CCC">
        <w:rPr>
          <w:rFonts w:cstheme="minorHAnsi"/>
          <w:color w:val="000000"/>
          <w:sz w:val="22"/>
          <w:szCs w:val="22"/>
        </w:rPr>
        <w:t>1</w:t>
      </w:r>
      <w:r w:rsidRPr="001138D5">
        <w:rPr>
          <w:rFonts w:cstheme="minorHAnsi"/>
          <w:color w:val="000000"/>
          <w:sz w:val="22"/>
          <w:szCs w:val="22"/>
        </w:rPr>
        <w:t xml:space="preserve">). </w:t>
      </w:r>
      <w:r w:rsidR="00091D23" w:rsidRPr="001138D5">
        <w:rPr>
          <w:rFonts w:cstheme="minorHAnsi"/>
          <w:color w:val="000000"/>
          <w:sz w:val="22"/>
          <w:szCs w:val="22"/>
        </w:rPr>
        <w:t>Calcified coronary lesions show increased prevalence and severity with advancing age, diabetes, hypertension and chronic kidney disease (</w:t>
      </w:r>
      <w:r w:rsidR="00A64CCC">
        <w:rPr>
          <w:rFonts w:cstheme="minorHAnsi"/>
          <w:color w:val="000000"/>
          <w:sz w:val="22"/>
          <w:szCs w:val="22"/>
        </w:rPr>
        <w:t>2</w:t>
      </w:r>
      <w:r w:rsidR="00091D23" w:rsidRPr="001138D5">
        <w:rPr>
          <w:rFonts w:cstheme="minorHAnsi"/>
          <w:color w:val="000000"/>
          <w:sz w:val="22"/>
          <w:szCs w:val="22"/>
        </w:rPr>
        <w:t xml:space="preserve">). </w:t>
      </w:r>
      <w:r w:rsidRPr="001138D5">
        <w:rPr>
          <w:rFonts w:cstheme="minorHAnsi"/>
          <w:color w:val="000000"/>
          <w:sz w:val="22"/>
          <w:szCs w:val="22"/>
        </w:rPr>
        <w:t>This coronary calcification adversely impacts interventional outcomes by hindering stent delivery (3), damaging the drug-eluting polymer compound of stents (4) and impairing stent expansion and apposition (5).</w:t>
      </w:r>
    </w:p>
    <w:p w14:paraId="60A8AEF5" w14:textId="61197E3B" w:rsidR="000013BB" w:rsidRPr="003E0ECD" w:rsidRDefault="000013BB" w:rsidP="004528A2">
      <w:pPr>
        <w:pStyle w:val="NormalWeb"/>
        <w:spacing w:line="360" w:lineRule="auto"/>
        <w:rPr>
          <w:rFonts w:cstheme="minorHAnsi"/>
          <w:color w:val="000000"/>
          <w:sz w:val="22"/>
          <w:szCs w:val="22"/>
        </w:rPr>
      </w:pPr>
      <w:r w:rsidRPr="001138D5">
        <w:rPr>
          <w:rFonts w:cstheme="minorHAnsi"/>
          <w:color w:val="000000"/>
          <w:sz w:val="22"/>
          <w:szCs w:val="22"/>
        </w:rPr>
        <w:t xml:space="preserve">Current </w:t>
      </w:r>
      <w:r w:rsidR="00763E9D">
        <w:rPr>
          <w:rFonts w:cstheme="minorHAnsi"/>
          <w:color w:val="000000"/>
          <w:sz w:val="22"/>
          <w:szCs w:val="22"/>
        </w:rPr>
        <w:t xml:space="preserve">PCI </w:t>
      </w:r>
      <w:r w:rsidRPr="001138D5">
        <w:rPr>
          <w:rFonts w:cstheme="minorHAnsi"/>
          <w:color w:val="000000"/>
          <w:sz w:val="22"/>
          <w:szCs w:val="22"/>
        </w:rPr>
        <w:t xml:space="preserve">used to overcome the limitations imposed by coronary calcification include high-pressure balloon dilatation and </w:t>
      </w:r>
      <w:proofErr w:type="spellStart"/>
      <w:r w:rsidRPr="001138D5">
        <w:rPr>
          <w:rFonts w:cstheme="minorHAnsi"/>
          <w:color w:val="000000"/>
          <w:sz w:val="22"/>
          <w:szCs w:val="22"/>
        </w:rPr>
        <w:t>atheroblative</w:t>
      </w:r>
      <w:proofErr w:type="spellEnd"/>
      <w:r w:rsidRPr="001138D5">
        <w:rPr>
          <w:rFonts w:cstheme="minorHAnsi"/>
          <w:color w:val="000000"/>
          <w:sz w:val="22"/>
          <w:szCs w:val="22"/>
        </w:rPr>
        <w:t xml:space="preserve"> techniques such as laser, rotational and orbital atherectomy</w:t>
      </w:r>
      <w:r w:rsidR="00763E9D">
        <w:rPr>
          <w:rFonts w:cstheme="minorHAnsi"/>
          <w:color w:val="000000"/>
          <w:sz w:val="22"/>
          <w:szCs w:val="22"/>
        </w:rPr>
        <w:t xml:space="preserve"> (3)</w:t>
      </w:r>
      <w:r w:rsidRPr="001138D5">
        <w:rPr>
          <w:rFonts w:cstheme="minorHAnsi"/>
          <w:color w:val="000000"/>
          <w:sz w:val="22"/>
          <w:szCs w:val="22"/>
        </w:rPr>
        <w:t xml:space="preserve">. However, </w:t>
      </w:r>
      <w:r w:rsidR="00397FB7">
        <w:rPr>
          <w:rFonts w:cstheme="minorHAnsi"/>
          <w:color w:val="000000"/>
          <w:sz w:val="22"/>
          <w:szCs w:val="22"/>
        </w:rPr>
        <w:t xml:space="preserve">current </w:t>
      </w:r>
      <w:r w:rsidRPr="001138D5">
        <w:rPr>
          <w:rFonts w:cstheme="minorHAnsi"/>
          <w:color w:val="000000"/>
          <w:sz w:val="22"/>
          <w:szCs w:val="22"/>
        </w:rPr>
        <w:t>PCI</w:t>
      </w:r>
      <w:r w:rsidR="00397FB7">
        <w:rPr>
          <w:rFonts w:cstheme="minorHAnsi"/>
          <w:color w:val="000000"/>
          <w:sz w:val="22"/>
          <w:szCs w:val="22"/>
        </w:rPr>
        <w:t xml:space="preserve"> methods</w:t>
      </w:r>
      <w:r w:rsidRPr="001138D5">
        <w:rPr>
          <w:rFonts w:cstheme="minorHAnsi"/>
          <w:color w:val="000000"/>
          <w:sz w:val="22"/>
          <w:szCs w:val="22"/>
        </w:rPr>
        <w:t xml:space="preserve"> in lesions that are heavily </w:t>
      </w:r>
      <w:r w:rsidR="00506589" w:rsidRPr="001138D5">
        <w:rPr>
          <w:rFonts w:cstheme="minorHAnsi"/>
          <w:color w:val="000000"/>
          <w:sz w:val="22"/>
          <w:szCs w:val="22"/>
        </w:rPr>
        <w:t>calcified</w:t>
      </w:r>
      <w:r w:rsidRPr="001138D5">
        <w:rPr>
          <w:rFonts w:cstheme="minorHAnsi"/>
          <w:color w:val="000000"/>
          <w:sz w:val="22"/>
          <w:szCs w:val="22"/>
        </w:rPr>
        <w:t xml:space="preserve"> are shown in literature to be either ineffective, fraught with procedural complications (</w:t>
      </w:r>
      <w:r w:rsidR="00FE0EB3">
        <w:rPr>
          <w:rFonts w:cstheme="minorHAnsi"/>
          <w:color w:val="000000"/>
          <w:sz w:val="22"/>
          <w:szCs w:val="22"/>
        </w:rPr>
        <w:t xml:space="preserve">i.e. </w:t>
      </w:r>
      <w:r w:rsidRPr="001138D5">
        <w:rPr>
          <w:rFonts w:cstheme="minorHAnsi"/>
          <w:color w:val="000000"/>
          <w:sz w:val="22"/>
          <w:szCs w:val="22"/>
        </w:rPr>
        <w:t>artery perforation, dissection, or myocardial infarction), or subject to delayed adverse events (</w:t>
      </w:r>
      <w:r w:rsidR="00EE53FA">
        <w:rPr>
          <w:rFonts w:cstheme="minorHAnsi"/>
          <w:color w:val="000000"/>
          <w:sz w:val="22"/>
          <w:szCs w:val="22"/>
        </w:rPr>
        <w:t xml:space="preserve">i.e. </w:t>
      </w:r>
      <w:r w:rsidRPr="001138D5">
        <w:rPr>
          <w:rFonts w:cstheme="minorHAnsi"/>
          <w:color w:val="000000"/>
          <w:sz w:val="22"/>
          <w:szCs w:val="22"/>
        </w:rPr>
        <w:t xml:space="preserve">thrombosis, stent fracture, restenosis). </w:t>
      </w:r>
      <w:r w:rsidR="00CA28CC">
        <w:rPr>
          <w:rFonts w:cstheme="minorHAnsi"/>
          <w:color w:val="000000"/>
          <w:sz w:val="22"/>
          <w:szCs w:val="22"/>
        </w:rPr>
        <w:t xml:space="preserve">Although </w:t>
      </w:r>
      <w:r w:rsidR="003F78EE">
        <w:rPr>
          <w:rFonts w:cstheme="minorHAnsi"/>
          <w:color w:val="000000"/>
          <w:sz w:val="22"/>
          <w:szCs w:val="22"/>
        </w:rPr>
        <w:t xml:space="preserve">current practice of atherectomy facilitates stent expansion, </w:t>
      </w:r>
      <w:r w:rsidR="00397FB7" w:rsidRPr="003E0ECD">
        <w:rPr>
          <w:rFonts w:cstheme="minorHAnsi"/>
          <w:color w:val="000000"/>
          <w:sz w:val="22"/>
          <w:szCs w:val="22"/>
        </w:rPr>
        <w:t>d</w:t>
      </w:r>
      <w:r w:rsidRPr="003E0ECD">
        <w:rPr>
          <w:rFonts w:cstheme="minorHAnsi"/>
          <w:color w:val="000000"/>
          <w:sz w:val="22"/>
          <w:szCs w:val="22"/>
        </w:rPr>
        <w:t xml:space="preserve">ilatation in eccentric calcium may be </w:t>
      </w:r>
      <w:r w:rsidR="00397FB7" w:rsidRPr="003E0ECD">
        <w:rPr>
          <w:rFonts w:cstheme="minorHAnsi"/>
          <w:color w:val="000000"/>
          <w:sz w:val="22"/>
          <w:szCs w:val="22"/>
        </w:rPr>
        <w:t>limited by</w:t>
      </w:r>
      <w:r w:rsidRPr="003E0ECD">
        <w:rPr>
          <w:rFonts w:cstheme="minorHAnsi"/>
          <w:color w:val="000000"/>
          <w:sz w:val="22"/>
          <w:szCs w:val="22"/>
        </w:rPr>
        <w:t xml:space="preserve"> guidewire</w:t>
      </w:r>
      <w:r w:rsidR="00397FB7" w:rsidRPr="003E0ECD">
        <w:rPr>
          <w:rFonts w:cstheme="minorHAnsi"/>
          <w:color w:val="000000"/>
          <w:sz w:val="22"/>
          <w:szCs w:val="22"/>
        </w:rPr>
        <w:t xml:space="preserve"> bias</w:t>
      </w:r>
      <w:r w:rsidRPr="003E0ECD">
        <w:rPr>
          <w:rFonts w:cstheme="minorHAnsi"/>
          <w:color w:val="000000"/>
          <w:sz w:val="22"/>
          <w:szCs w:val="22"/>
        </w:rPr>
        <w:t xml:space="preserve"> towards the non-calcified segments of the artery, and in concentric calcium may be of insufficient pressure-generated force to lead to calcium fracture and vessel expansion.</w:t>
      </w:r>
    </w:p>
    <w:p w14:paraId="424CC592" w14:textId="19A03001" w:rsidR="000013BB" w:rsidRPr="001138D5" w:rsidRDefault="000013BB" w:rsidP="004528A2">
      <w:pPr>
        <w:pStyle w:val="NormalWeb"/>
        <w:spacing w:line="360" w:lineRule="auto"/>
        <w:rPr>
          <w:rFonts w:cstheme="minorHAnsi"/>
          <w:color w:val="000000"/>
          <w:sz w:val="22"/>
          <w:szCs w:val="22"/>
        </w:rPr>
      </w:pPr>
      <w:r w:rsidRPr="003E0ECD">
        <w:rPr>
          <w:rFonts w:cstheme="minorHAnsi"/>
          <w:color w:val="000000"/>
          <w:sz w:val="22"/>
          <w:szCs w:val="22"/>
        </w:rPr>
        <w:lastRenderedPageBreak/>
        <w:t>Rotational and orbital atherectomy selectively ablate superficial calcium but have limited impact on deep calcium that limits vessel expansion during stent implantation (5,6)</w:t>
      </w:r>
      <w:r w:rsidR="00112788" w:rsidRPr="003E0ECD">
        <w:rPr>
          <w:rFonts w:cstheme="minorHAnsi"/>
          <w:color w:val="000000"/>
          <w:sz w:val="22"/>
          <w:szCs w:val="22"/>
        </w:rPr>
        <w:t>.</w:t>
      </w:r>
      <w:r w:rsidRPr="003E0ECD">
        <w:rPr>
          <w:rFonts w:cstheme="minorHAnsi"/>
          <w:color w:val="000000"/>
          <w:sz w:val="22"/>
          <w:szCs w:val="22"/>
        </w:rPr>
        <w:t xml:space="preserve"> In addition, peri-procedural complications including perforation, slow flow and peri-procedural myocardial infarction (MI) are still significantly higher with atherectomy than balloon-based therapies (7</w:t>
      </w:r>
      <w:r w:rsidR="00863F72" w:rsidRPr="003E0ECD">
        <w:rPr>
          <w:rFonts w:cstheme="minorHAnsi"/>
          <w:color w:val="000000"/>
          <w:sz w:val="22"/>
          <w:szCs w:val="22"/>
        </w:rPr>
        <w:t>-</w:t>
      </w:r>
      <w:r w:rsidRPr="003E0ECD">
        <w:rPr>
          <w:rFonts w:cstheme="minorHAnsi"/>
          <w:color w:val="000000"/>
          <w:sz w:val="22"/>
          <w:szCs w:val="22"/>
        </w:rPr>
        <w:t>11)</w:t>
      </w:r>
      <w:r w:rsidR="00112788" w:rsidRPr="003E0ECD">
        <w:rPr>
          <w:rFonts w:cstheme="minorHAnsi"/>
          <w:color w:val="000000"/>
          <w:sz w:val="22"/>
          <w:szCs w:val="22"/>
        </w:rPr>
        <w:t>.</w:t>
      </w:r>
    </w:p>
    <w:p w14:paraId="16444058" w14:textId="1EF8E8F2" w:rsidR="000013BB" w:rsidRPr="001138D5" w:rsidRDefault="000013BB" w:rsidP="004528A2">
      <w:pPr>
        <w:pStyle w:val="NormalWeb"/>
        <w:spacing w:line="360" w:lineRule="auto"/>
        <w:rPr>
          <w:rFonts w:cstheme="minorHAnsi"/>
          <w:color w:val="000000"/>
          <w:sz w:val="22"/>
          <w:szCs w:val="22"/>
        </w:rPr>
      </w:pPr>
      <w:r w:rsidRPr="001138D5">
        <w:rPr>
          <w:rFonts w:cstheme="minorHAnsi"/>
          <w:color w:val="000000"/>
          <w:sz w:val="22"/>
          <w:szCs w:val="22"/>
        </w:rPr>
        <w:t>Intravascular Lithotripsy (IVL) is a technique based on lithotripsy, an established treatment strategy for renal calc</w:t>
      </w:r>
      <w:r w:rsidR="005F1975">
        <w:rPr>
          <w:rFonts w:cstheme="minorHAnsi"/>
          <w:color w:val="000000"/>
          <w:sz w:val="22"/>
          <w:szCs w:val="22"/>
        </w:rPr>
        <w:t>ification</w:t>
      </w:r>
      <w:r w:rsidRPr="001138D5">
        <w:rPr>
          <w:rFonts w:cstheme="minorHAnsi"/>
          <w:color w:val="000000"/>
          <w:sz w:val="22"/>
          <w:szCs w:val="22"/>
        </w:rPr>
        <w:t xml:space="preserve">, in which multiple lithotripsy emitters mounted on a traditional balloon catheter platform create diffusive pulsatile mechanical energy to disrupt calcium within the vessel wall at low inflation pressures. Previous studies have reported high rates of device success, safety and performance of coronary IVL in vessel preparation </w:t>
      </w:r>
      <w:r w:rsidR="00273E91">
        <w:rPr>
          <w:rFonts w:cstheme="minorHAnsi"/>
          <w:color w:val="000000"/>
          <w:sz w:val="22"/>
          <w:szCs w:val="22"/>
        </w:rPr>
        <w:t>of</w:t>
      </w:r>
      <w:r w:rsidRPr="001138D5">
        <w:rPr>
          <w:rFonts w:cstheme="minorHAnsi"/>
          <w:color w:val="000000"/>
          <w:sz w:val="22"/>
          <w:szCs w:val="22"/>
        </w:rPr>
        <w:t xml:space="preserve"> calcified stenotic coronary lesions prior to stent implantation.</w:t>
      </w:r>
    </w:p>
    <w:p w14:paraId="53651C53" w14:textId="0441A4F0" w:rsidR="000013BB" w:rsidRPr="001138D5" w:rsidRDefault="000013BB" w:rsidP="004528A2">
      <w:pPr>
        <w:pStyle w:val="NormalWeb"/>
        <w:spacing w:line="360" w:lineRule="auto"/>
        <w:rPr>
          <w:rFonts w:cstheme="minorHAnsi"/>
          <w:color w:val="000000"/>
          <w:sz w:val="22"/>
          <w:szCs w:val="22"/>
        </w:rPr>
      </w:pPr>
      <w:r w:rsidRPr="001138D5">
        <w:rPr>
          <w:rFonts w:cstheme="minorHAnsi"/>
          <w:color w:val="000000"/>
          <w:sz w:val="22"/>
          <w:szCs w:val="22"/>
        </w:rPr>
        <w:t xml:space="preserve">The Disrupt CAD II demonstrated successful delivery of the IVL balloon in 59 (98.5%) of subjects with reduction in residual stenosis to less than 50% in all 60 (100%) subjects. The angiographic luminal acute gain following stent implantation was 1.7mm and residual stenosis was 13.3%. Freedom from MACE was present in 57 (95%) subjects due to 3 (5%) non-Q wave MI at 30 days. At 6 months, freedom from MACE was present in 54 of 59 (91.5%) subjects due to 2 additional subjects suffering cardiac death. Results of the optical coherence tomography (OCT) sub-study identified modification with fracture as a major mechanism of action of IVL in vivo and demonstrated efficacy in the achievement of significant acute area </w:t>
      </w:r>
      <w:proofErr w:type="gramStart"/>
      <w:r w:rsidRPr="001138D5">
        <w:rPr>
          <w:rFonts w:cstheme="minorHAnsi"/>
          <w:color w:val="000000"/>
          <w:sz w:val="22"/>
          <w:szCs w:val="22"/>
        </w:rPr>
        <w:t>gain</w:t>
      </w:r>
      <w:proofErr w:type="gramEnd"/>
      <w:r w:rsidRPr="001138D5">
        <w:rPr>
          <w:rFonts w:cstheme="minorHAnsi"/>
          <w:color w:val="000000"/>
          <w:sz w:val="22"/>
          <w:szCs w:val="22"/>
        </w:rPr>
        <w:t xml:space="preserve"> and </w:t>
      </w:r>
      <w:proofErr w:type="spellStart"/>
      <w:r w:rsidRPr="001138D5">
        <w:rPr>
          <w:rFonts w:cstheme="minorHAnsi"/>
          <w:color w:val="000000"/>
          <w:sz w:val="22"/>
          <w:szCs w:val="22"/>
        </w:rPr>
        <w:t>favourable</w:t>
      </w:r>
      <w:proofErr w:type="spellEnd"/>
      <w:r w:rsidRPr="001138D5">
        <w:rPr>
          <w:rFonts w:cstheme="minorHAnsi"/>
          <w:color w:val="000000"/>
          <w:sz w:val="22"/>
          <w:szCs w:val="22"/>
        </w:rPr>
        <w:t xml:space="preserve"> stent expansion (13)</w:t>
      </w:r>
      <w:r w:rsidR="00F84597">
        <w:rPr>
          <w:rFonts w:cstheme="minorHAnsi"/>
          <w:color w:val="000000"/>
          <w:sz w:val="22"/>
          <w:szCs w:val="22"/>
        </w:rPr>
        <w:t>.</w:t>
      </w:r>
    </w:p>
    <w:p w14:paraId="68FC8A5F" w14:textId="6B60B64C" w:rsidR="000013BB" w:rsidRPr="001138D5" w:rsidRDefault="000013BB" w:rsidP="004528A2">
      <w:pPr>
        <w:pStyle w:val="NormalWeb"/>
        <w:spacing w:line="360" w:lineRule="auto"/>
        <w:rPr>
          <w:rFonts w:cstheme="minorHAnsi"/>
          <w:color w:val="000000"/>
          <w:sz w:val="22"/>
          <w:szCs w:val="22"/>
        </w:rPr>
      </w:pPr>
      <w:r w:rsidRPr="001138D5">
        <w:rPr>
          <w:rFonts w:cstheme="minorHAnsi"/>
          <w:color w:val="000000"/>
          <w:sz w:val="22"/>
          <w:szCs w:val="22"/>
        </w:rPr>
        <w:t xml:space="preserve">Building upon this success is the recent Disrupt CAD III study which involved 431 patients from 47 sites in four countries. </w:t>
      </w:r>
      <w:r w:rsidR="0097344F">
        <w:rPr>
          <w:rFonts w:cstheme="minorHAnsi"/>
          <w:color w:val="000000"/>
          <w:sz w:val="22"/>
          <w:szCs w:val="22"/>
        </w:rPr>
        <w:t>The key findings were</w:t>
      </w:r>
      <w:r w:rsidR="00E542C3">
        <w:rPr>
          <w:rFonts w:cstheme="minorHAnsi"/>
          <w:color w:val="000000"/>
          <w:sz w:val="22"/>
          <w:szCs w:val="22"/>
        </w:rPr>
        <w:t>: (</w:t>
      </w:r>
      <w:proofErr w:type="spellStart"/>
      <w:r w:rsidR="00E542C3">
        <w:rPr>
          <w:rFonts w:cstheme="minorHAnsi"/>
          <w:color w:val="000000"/>
          <w:sz w:val="22"/>
          <w:szCs w:val="22"/>
        </w:rPr>
        <w:t>i</w:t>
      </w:r>
      <w:proofErr w:type="spellEnd"/>
      <w:r w:rsidR="00E542C3">
        <w:rPr>
          <w:rFonts w:cstheme="minorHAnsi"/>
          <w:color w:val="000000"/>
          <w:sz w:val="22"/>
          <w:szCs w:val="22"/>
        </w:rPr>
        <w:t>)</w:t>
      </w:r>
      <w:r w:rsidR="0097344F">
        <w:rPr>
          <w:rFonts w:cstheme="minorHAnsi"/>
          <w:color w:val="000000"/>
          <w:sz w:val="22"/>
          <w:szCs w:val="22"/>
        </w:rPr>
        <w:t xml:space="preserve"> t</w:t>
      </w:r>
      <w:r w:rsidR="0031097E">
        <w:rPr>
          <w:rFonts w:cstheme="minorHAnsi"/>
          <w:color w:val="000000"/>
          <w:sz w:val="22"/>
          <w:szCs w:val="22"/>
        </w:rPr>
        <w:t xml:space="preserve">reatment </w:t>
      </w:r>
      <w:r w:rsidR="009D52C7">
        <w:rPr>
          <w:rFonts w:cstheme="minorHAnsi"/>
          <w:color w:val="000000"/>
          <w:sz w:val="22"/>
          <w:szCs w:val="22"/>
        </w:rPr>
        <w:t>with IVL met the primary safety and effectiveness outcomes of the study</w:t>
      </w:r>
      <w:r w:rsidR="0097344F">
        <w:rPr>
          <w:rFonts w:cstheme="minorHAnsi"/>
          <w:color w:val="000000"/>
          <w:sz w:val="22"/>
          <w:szCs w:val="22"/>
        </w:rPr>
        <w:t xml:space="preserve">, </w:t>
      </w:r>
      <w:r w:rsidR="00E542C3">
        <w:rPr>
          <w:rFonts w:cstheme="minorHAnsi"/>
          <w:color w:val="000000"/>
          <w:sz w:val="22"/>
          <w:szCs w:val="22"/>
        </w:rPr>
        <w:t xml:space="preserve">(ii) IVL was well tolerated with low rate of major peri-procedural clinical and angiographic complications, (iii) </w:t>
      </w:r>
      <w:r w:rsidR="00D93165">
        <w:rPr>
          <w:rFonts w:cstheme="minorHAnsi"/>
          <w:color w:val="000000"/>
          <w:sz w:val="22"/>
          <w:szCs w:val="22"/>
        </w:rPr>
        <w:t xml:space="preserve">there was excellent stent expansion </w:t>
      </w:r>
      <w:r w:rsidR="008378D8">
        <w:rPr>
          <w:rFonts w:cstheme="minorHAnsi"/>
          <w:color w:val="000000"/>
          <w:sz w:val="22"/>
          <w:szCs w:val="22"/>
        </w:rPr>
        <w:t xml:space="preserve">identified by </w:t>
      </w:r>
      <w:r w:rsidR="00994176">
        <w:rPr>
          <w:rFonts w:cstheme="minorHAnsi"/>
          <w:color w:val="000000"/>
          <w:sz w:val="22"/>
          <w:szCs w:val="22"/>
        </w:rPr>
        <w:t xml:space="preserve">optical coherence tomography despite the </w:t>
      </w:r>
      <w:r w:rsidR="007C3223">
        <w:rPr>
          <w:rFonts w:cstheme="minorHAnsi"/>
          <w:color w:val="000000"/>
          <w:sz w:val="22"/>
          <w:szCs w:val="22"/>
        </w:rPr>
        <w:t xml:space="preserve">calcification severity of the treated lesions. </w:t>
      </w:r>
      <w:r w:rsidRPr="001138D5">
        <w:rPr>
          <w:rFonts w:cstheme="minorHAnsi"/>
          <w:color w:val="000000"/>
          <w:sz w:val="22"/>
          <w:szCs w:val="22"/>
        </w:rPr>
        <w:t>This study demonstrated the real-world safety and performance of the Coronary IVL System in severely calcified lesions, and FDA market approval was granted based on the results of this study.</w:t>
      </w:r>
    </w:p>
    <w:p w14:paraId="4A70237D" w14:textId="622C9DEA" w:rsidR="004D58E3" w:rsidRPr="001602FB" w:rsidRDefault="000013BB" w:rsidP="004528A2">
      <w:pPr>
        <w:pStyle w:val="NormalWeb"/>
        <w:spacing w:line="360" w:lineRule="auto"/>
        <w:rPr>
          <w:rFonts w:cstheme="minorHAnsi"/>
          <w:color w:val="000000"/>
          <w:sz w:val="22"/>
          <w:szCs w:val="22"/>
        </w:rPr>
      </w:pPr>
      <w:r w:rsidRPr="001138D5">
        <w:rPr>
          <w:rFonts w:cstheme="minorHAnsi"/>
          <w:color w:val="000000"/>
          <w:sz w:val="22"/>
          <w:szCs w:val="22"/>
        </w:rPr>
        <w:t xml:space="preserve">Mackay Base Hospital Cardiac </w:t>
      </w:r>
      <w:proofErr w:type="spellStart"/>
      <w:r w:rsidRPr="001138D5">
        <w:rPr>
          <w:rFonts w:cstheme="minorHAnsi"/>
          <w:color w:val="000000"/>
          <w:sz w:val="22"/>
          <w:szCs w:val="22"/>
        </w:rPr>
        <w:t>Catheterisation</w:t>
      </w:r>
      <w:proofErr w:type="spellEnd"/>
      <w:r w:rsidRPr="001138D5">
        <w:rPr>
          <w:rFonts w:cstheme="minorHAnsi"/>
          <w:color w:val="000000"/>
          <w:sz w:val="22"/>
          <w:szCs w:val="22"/>
        </w:rPr>
        <w:t xml:space="preserve"> Laboratory </w:t>
      </w:r>
      <w:r w:rsidR="00B22147">
        <w:rPr>
          <w:rFonts w:cstheme="minorHAnsi"/>
          <w:color w:val="000000"/>
          <w:sz w:val="22"/>
          <w:szCs w:val="22"/>
        </w:rPr>
        <w:t xml:space="preserve">has </w:t>
      </w:r>
      <w:r w:rsidR="004C6DD8">
        <w:rPr>
          <w:rFonts w:cstheme="minorHAnsi"/>
          <w:color w:val="000000"/>
          <w:sz w:val="22"/>
          <w:szCs w:val="22"/>
        </w:rPr>
        <w:t>clinicians</w:t>
      </w:r>
      <w:r w:rsidR="00B22147">
        <w:rPr>
          <w:rFonts w:cstheme="minorHAnsi"/>
          <w:color w:val="000000"/>
          <w:sz w:val="22"/>
          <w:szCs w:val="22"/>
        </w:rPr>
        <w:t xml:space="preserve"> with </w:t>
      </w:r>
      <w:r w:rsidR="004C6DD8">
        <w:rPr>
          <w:rFonts w:cstheme="minorHAnsi"/>
          <w:color w:val="000000"/>
          <w:sz w:val="22"/>
          <w:szCs w:val="22"/>
        </w:rPr>
        <w:t xml:space="preserve">the technical expertise to implement IVL. This Cath Lab </w:t>
      </w:r>
      <w:r w:rsidRPr="001138D5">
        <w:rPr>
          <w:rFonts w:cstheme="minorHAnsi"/>
          <w:color w:val="000000"/>
          <w:sz w:val="22"/>
          <w:szCs w:val="22"/>
        </w:rPr>
        <w:t>was established in 2014 to address inaccessibility of interventional cardiac services in North Queensland</w:t>
      </w:r>
      <w:r w:rsidR="00B13817">
        <w:rPr>
          <w:rFonts w:cstheme="minorHAnsi"/>
          <w:color w:val="000000"/>
          <w:sz w:val="22"/>
          <w:szCs w:val="22"/>
        </w:rPr>
        <w:t>, and PCI is routinely undertaken within the lab</w:t>
      </w:r>
      <w:r w:rsidRPr="001138D5">
        <w:rPr>
          <w:rFonts w:cstheme="minorHAnsi"/>
          <w:color w:val="000000"/>
          <w:sz w:val="22"/>
          <w:szCs w:val="22"/>
        </w:rPr>
        <w:t xml:space="preserve">. </w:t>
      </w:r>
      <w:r w:rsidR="00702E22">
        <w:rPr>
          <w:rFonts w:cstheme="minorHAnsi"/>
          <w:color w:val="000000"/>
          <w:sz w:val="22"/>
          <w:szCs w:val="22"/>
        </w:rPr>
        <w:t>A recent</w:t>
      </w:r>
      <w:r w:rsidRPr="001138D5">
        <w:rPr>
          <w:rFonts w:cstheme="minorHAnsi"/>
          <w:color w:val="000000"/>
          <w:sz w:val="22"/>
          <w:szCs w:val="22"/>
        </w:rPr>
        <w:t xml:space="preserve"> evaluation of the service demonstrated </w:t>
      </w:r>
      <w:r w:rsidR="00702E22">
        <w:rPr>
          <w:rFonts w:cstheme="minorHAnsi"/>
          <w:color w:val="000000"/>
          <w:sz w:val="22"/>
          <w:szCs w:val="22"/>
        </w:rPr>
        <w:t xml:space="preserve">that as a result of the provided services, </w:t>
      </w:r>
      <w:r w:rsidR="00112A55">
        <w:rPr>
          <w:rFonts w:cstheme="minorHAnsi"/>
          <w:color w:val="000000"/>
          <w:sz w:val="22"/>
          <w:szCs w:val="22"/>
        </w:rPr>
        <w:t xml:space="preserve">since implementation there has been a </w:t>
      </w:r>
      <w:r w:rsidRPr="001138D5">
        <w:rPr>
          <w:rFonts w:cstheme="minorHAnsi"/>
          <w:color w:val="000000"/>
          <w:sz w:val="22"/>
          <w:szCs w:val="22"/>
        </w:rPr>
        <w:t>reduction of wait times to treatment by 3.2 days, reduction of median length of stay by four days, significantly improved patient satisfaction and reduction in proportional treatment costs by $ 14, 841 (51%) per patient</w:t>
      </w:r>
      <w:r w:rsidR="00C56704">
        <w:rPr>
          <w:rFonts w:cstheme="minorHAnsi"/>
          <w:color w:val="000000"/>
          <w:sz w:val="22"/>
          <w:szCs w:val="22"/>
        </w:rPr>
        <w:t xml:space="preserve"> </w:t>
      </w:r>
      <w:r w:rsidRPr="001138D5">
        <w:rPr>
          <w:rFonts w:cstheme="minorHAnsi"/>
          <w:color w:val="000000"/>
          <w:sz w:val="22"/>
          <w:szCs w:val="22"/>
        </w:rPr>
        <w:t>(14)</w:t>
      </w:r>
      <w:r w:rsidR="00C56704">
        <w:rPr>
          <w:rFonts w:cstheme="minorHAnsi"/>
          <w:color w:val="000000"/>
          <w:sz w:val="22"/>
          <w:szCs w:val="22"/>
        </w:rPr>
        <w:t>.</w:t>
      </w:r>
    </w:p>
    <w:p w14:paraId="52231872" w14:textId="68B24ABD" w:rsidR="004C2740" w:rsidRPr="001138D5" w:rsidRDefault="004D58E3" w:rsidP="004528A2">
      <w:pPr>
        <w:pStyle w:val="Heading2"/>
        <w:spacing w:line="360" w:lineRule="auto"/>
        <w:rPr>
          <w:rFonts w:cstheme="minorHAnsi"/>
          <w:sz w:val="22"/>
          <w:szCs w:val="22"/>
        </w:rPr>
      </w:pPr>
      <w:r w:rsidRPr="001138D5">
        <w:rPr>
          <w:rFonts w:cstheme="minorHAnsi"/>
          <w:sz w:val="22"/>
          <w:szCs w:val="22"/>
        </w:rPr>
        <w:lastRenderedPageBreak/>
        <w:t>Objective</w:t>
      </w:r>
    </w:p>
    <w:p w14:paraId="11325723" w14:textId="09051CE0" w:rsidR="005C1D60" w:rsidRPr="001138D5" w:rsidRDefault="001870EA" w:rsidP="004528A2">
      <w:pPr>
        <w:spacing w:line="360" w:lineRule="auto"/>
        <w:rPr>
          <w:rFonts w:cstheme="minorHAnsi"/>
          <w:sz w:val="22"/>
          <w:szCs w:val="22"/>
        </w:rPr>
      </w:pPr>
      <w:r>
        <w:rPr>
          <w:rFonts w:cstheme="minorHAnsi"/>
          <w:sz w:val="22"/>
          <w:szCs w:val="22"/>
        </w:rPr>
        <w:t xml:space="preserve">The primary aim of this study is to </w:t>
      </w:r>
      <w:r w:rsidR="005C1D60" w:rsidRPr="001138D5">
        <w:rPr>
          <w:rFonts w:cstheme="minorHAnsi"/>
          <w:sz w:val="22"/>
          <w:szCs w:val="22"/>
        </w:rPr>
        <w:t xml:space="preserve">test the ability of IVL to intervene </w:t>
      </w:r>
      <w:r w:rsidR="008B4A8D">
        <w:rPr>
          <w:rFonts w:cstheme="minorHAnsi"/>
          <w:sz w:val="22"/>
          <w:szCs w:val="22"/>
        </w:rPr>
        <w:t xml:space="preserve">in </w:t>
      </w:r>
      <w:r w:rsidR="005C1D60" w:rsidRPr="001138D5">
        <w:rPr>
          <w:rFonts w:cstheme="minorHAnsi"/>
          <w:sz w:val="22"/>
          <w:szCs w:val="22"/>
        </w:rPr>
        <w:t>difficult coronary lesions</w:t>
      </w:r>
      <w:r w:rsidR="008B4A8D">
        <w:rPr>
          <w:rFonts w:cstheme="minorHAnsi"/>
          <w:sz w:val="22"/>
          <w:szCs w:val="22"/>
        </w:rPr>
        <w:t xml:space="preserve"> to </w:t>
      </w:r>
      <w:r w:rsidR="00257A9E" w:rsidRPr="001138D5">
        <w:rPr>
          <w:rFonts w:cstheme="minorHAnsi"/>
          <w:sz w:val="22"/>
          <w:szCs w:val="22"/>
        </w:rPr>
        <w:t>produce acceptable residual stenosis (&lt;50%) post stenting without in-hospital major adverse cardiac events</w:t>
      </w:r>
      <w:r w:rsidR="00C217C9">
        <w:rPr>
          <w:rFonts w:cstheme="minorHAnsi"/>
          <w:sz w:val="22"/>
          <w:szCs w:val="22"/>
        </w:rPr>
        <w:t>.</w:t>
      </w:r>
    </w:p>
    <w:p w14:paraId="52231873" w14:textId="77777777" w:rsidR="004C2740" w:rsidRPr="001138D5" w:rsidRDefault="004C2740" w:rsidP="004528A2">
      <w:pPr>
        <w:pStyle w:val="Heading2"/>
        <w:spacing w:line="360" w:lineRule="auto"/>
        <w:rPr>
          <w:rFonts w:cstheme="minorHAnsi"/>
          <w:sz w:val="22"/>
          <w:szCs w:val="22"/>
        </w:rPr>
      </w:pPr>
      <w:r w:rsidRPr="001138D5">
        <w:rPr>
          <w:rFonts w:cstheme="minorHAnsi"/>
          <w:sz w:val="22"/>
          <w:szCs w:val="22"/>
        </w:rPr>
        <w:t>Method</w:t>
      </w:r>
    </w:p>
    <w:p w14:paraId="0A27459D" w14:textId="77777777" w:rsidR="00857947" w:rsidRPr="00F91876" w:rsidRDefault="00857947" w:rsidP="004528A2">
      <w:pPr>
        <w:pStyle w:val="Heading3"/>
        <w:spacing w:line="360" w:lineRule="auto"/>
        <w:rPr>
          <w:rFonts w:asciiTheme="minorHAnsi" w:hAnsiTheme="minorHAnsi" w:cstheme="minorHAnsi"/>
          <w:b w:val="0"/>
          <w:bCs w:val="0"/>
          <w:sz w:val="22"/>
          <w:szCs w:val="22"/>
          <w:u w:val="single"/>
        </w:rPr>
      </w:pPr>
      <w:r w:rsidRPr="00F91876">
        <w:rPr>
          <w:rFonts w:asciiTheme="minorHAnsi" w:hAnsiTheme="minorHAnsi" w:cstheme="minorHAnsi"/>
          <w:b w:val="0"/>
          <w:bCs w:val="0"/>
          <w:sz w:val="22"/>
          <w:szCs w:val="22"/>
          <w:u w:val="single"/>
        </w:rPr>
        <w:t>Participation and Population</w:t>
      </w:r>
    </w:p>
    <w:p w14:paraId="0601BC15" w14:textId="044AC651" w:rsidR="00CC1E3D" w:rsidRPr="001138D5" w:rsidRDefault="00C27101" w:rsidP="004528A2">
      <w:pPr>
        <w:spacing w:line="360" w:lineRule="auto"/>
        <w:rPr>
          <w:rFonts w:cstheme="minorHAnsi"/>
          <w:sz w:val="22"/>
          <w:szCs w:val="22"/>
        </w:rPr>
      </w:pPr>
      <w:r w:rsidRPr="001138D5">
        <w:rPr>
          <w:rFonts w:cstheme="minorHAnsi"/>
          <w:sz w:val="22"/>
          <w:szCs w:val="22"/>
        </w:rPr>
        <w:t>Participants</w:t>
      </w:r>
      <w:r w:rsidR="001068E3" w:rsidRPr="001138D5">
        <w:rPr>
          <w:rFonts w:cstheme="minorHAnsi"/>
          <w:sz w:val="22"/>
          <w:szCs w:val="22"/>
        </w:rPr>
        <w:t xml:space="preserve"> will be screened for participation in the study and will require informed consent. </w:t>
      </w:r>
      <w:r w:rsidR="00DD4223" w:rsidRPr="001138D5">
        <w:rPr>
          <w:rFonts w:cstheme="minorHAnsi"/>
          <w:sz w:val="22"/>
          <w:szCs w:val="22"/>
        </w:rPr>
        <w:t xml:space="preserve">Recruitment will occur </w:t>
      </w:r>
      <w:r w:rsidR="00A7702A" w:rsidRPr="001138D5">
        <w:rPr>
          <w:rFonts w:cstheme="minorHAnsi"/>
          <w:sz w:val="22"/>
          <w:szCs w:val="22"/>
        </w:rPr>
        <w:t>during</w:t>
      </w:r>
      <w:r w:rsidR="00DD4223" w:rsidRPr="001138D5">
        <w:rPr>
          <w:rFonts w:cstheme="minorHAnsi"/>
          <w:sz w:val="22"/>
          <w:szCs w:val="22"/>
        </w:rPr>
        <w:t xml:space="preserve"> the cardiac occasion of service in </w:t>
      </w:r>
      <w:r w:rsidR="005725FB" w:rsidRPr="001138D5">
        <w:rPr>
          <w:rFonts w:cstheme="minorHAnsi"/>
          <w:sz w:val="22"/>
          <w:szCs w:val="22"/>
        </w:rPr>
        <w:t xml:space="preserve">the </w:t>
      </w:r>
      <w:r w:rsidR="00DD4223" w:rsidRPr="001138D5">
        <w:rPr>
          <w:rFonts w:cstheme="minorHAnsi"/>
          <w:sz w:val="22"/>
          <w:szCs w:val="22"/>
        </w:rPr>
        <w:t>outpatient clinic or in-patient episode of care</w:t>
      </w:r>
      <w:r w:rsidR="00362E0A" w:rsidRPr="001138D5">
        <w:rPr>
          <w:rFonts w:cstheme="minorHAnsi"/>
          <w:sz w:val="22"/>
          <w:szCs w:val="22"/>
        </w:rPr>
        <w:t xml:space="preserve">. </w:t>
      </w:r>
      <w:r w:rsidR="00477534" w:rsidRPr="001138D5">
        <w:rPr>
          <w:rFonts w:cstheme="minorHAnsi"/>
          <w:sz w:val="22"/>
          <w:szCs w:val="22"/>
        </w:rPr>
        <w:t xml:space="preserve">Patients </w:t>
      </w:r>
      <w:r w:rsidR="001C7DB7">
        <w:rPr>
          <w:rFonts w:cstheme="minorHAnsi"/>
          <w:sz w:val="22"/>
          <w:szCs w:val="22"/>
        </w:rPr>
        <w:t xml:space="preserve">must be </w:t>
      </w:r>
      <w:r w:rsidR="00477534" w:rsidRPr="001138D5">
        <w:rPr>
          <w:rFonts w:cstheme="minorHAnsi"/>
          <w:sz w:val="22"/>
          <w:szCs w:val="22"/>
        </w:rPr>
        <w:t>&gt; 18 years of age scheduled for a coronary stent procedure who have angiographic evidence of significant calcified stenosis of the left main coronary artery (LMCA), left anterior descending artery (LAD), right coronary artery (RCA), or left circumflex (LCX)</w:t>
      </w:r>
      <w:r w:rsidR="00CC1E3D" w:rsidRPr="001138D5">
        <w:rPr>
          <w:rFonts w:cstheme="minorHAnsi"/>
          <w:sz w:val="22"/>
          <w:szCs w:val="22"/>
        </w:rPr>
        <w:t xml:space="preserve"> and deem</w:t>
      </w:r>
      <w:r w:rsidR="00E255FA">
        <w:rPr>
          <w:rFonts w:cstheme="minorHAnsi"/>
          <w:sz w:val="22"/>
          <w:szCs w:val="22"/>
        </w:rPr>
        <w:t>ed</w:t>
      </w:r>
      <w:r w:rsidR="00CC1E3D" w:rsidRPr="001138D5">
        <w:rPr>
          <w:rFonts w:cstheme="minorHAnsi"/>
          <w:sz w:val="22"/>
          <w:szCs w:val="22"/>
        </w:rPr>
        <w:t xml:space="preserve"> suitable for revascularization by the treating cardiologist with the aid of suitable investigations (e.g. Cardiac Magnetic Resonance Imaging, Myocardial Perfusion Scan or Echocardiogram).</w:t>
      </w:r>
    </w:p>
    <w:p w14:paraId="0B993165" w14:textId="77777777" w:rsidR="00CC1E3D" w:rsidRPr="00F91876" w:rsidRDefault="00CC1E3D" w:rsidP="004528A2">
      <w:pPr>
        <w:pStyle w:val="Heading3"/>
        <w:numPr>
          <w:ilvl w:val="1"/>
          <w:numId w:val="0"/>
        </w:numPr>
        <w:spacing w:line="360" w:lineRule="auto"/>
        <w:ind w:left="420" w:hanging="420"/>
        <w:jc w:val="both"/>
        <w:rPr>
          <w:rFonts w:asciiTheme="minorHAnsi" w:hAnsiTheme="minorHAnsi" w:cstheme="minorHAnsi"/>
          <w:b w:val="0"/>
          <w:bCs w:val="0"/>
          <w:sz w:val="22"/>
          <w:szCs w:val="22"/>
          <w:u w:val="single"/>
        </w:rPr>
      </w:pPr>
      <w:bookmarkStart w:id="0" w:name="_Toc335730932"/>
      <w:bookmarkStart w:id="1" w:name="_Toc427846414"/>
      <w:r w:rsidRPr="00F91876">
        <w:rPr>
          <w:rFonts w:asciiTheme="minorHAnsi" w:hAnsiTheme="minorHAnsi" w:cstheme="minorHAnsi"/>
          <w:b w:val="0"/>
          <w:bCs w:val="0"/>
          <w:sz w:val="22"/>
          <w:szCs w:val="22"/>
          <w:u w:val="single"/>
        </w:rPr>
        <w:t>Inclusion criteria</w:t>
      </w:r>
      <w:bookmarkEnd w:id="0"/>
      <w:bookmarkEnd w:id="1"/>
      <w:r w:rsidRPr="00F91876">
        <w:rPr>
          <w:rFonts w:asciiTheme="minorHAnsi" w:hAnsiTheme="minorHAnsi" w:cstheme="minorHAnsi"/>
          <w:b w:val="0"/>
          <w:bCs w:val="0"/>
          <w:sz w:val="22"/>
          <w:szCs w:val="22"/>
          <w:u w:val="single"/>
        </w:rPr>
        <w:t xml:space="preserve"> </w:t>
      </w:r>
    </w:p>
    <w:p w14:paraId="0F08B946" w14:textId="77777777" w:rsidR="00CC1E3D" w:rsidRPr="001138D5" w:rsidRDefault="00CC1E3D" w:rsidP="004528A2">
      <w:pPr>
        <w:pStyle w:val="ListParagraph"/>
        <w:numPr>
          <w:ilvl w:val="0"/>
          <w:numId w:val="14"/>
        </w:numPr>
        <w:spacing w:line="360" w:lineRule="auto"/>
        <w:rPr>
          <w:rFonts w:cstheme="minorHAnsi"/>
          <w:sz w:val="22"/>
          <w:szCs w:val="22"/>
        </w:rPr>
      </w:pPr>
      <w:r w:rsidRPr="001138D5">
        <w:rPr>
          <w:rFonts w:cstheme="minorHAnsi"/>
          <w:sz w:val="22"/>
          <w:szCs w:val="22"/>
        </w:rPr>
        <w:t>Patient is &gt; 18 years of age</w:t>
      </w:r>
    </w:p>
    <w:p w14:paraId="5CB87424" w14:textId="77777777" w:rsidR="00CC1E3D" w:rsidRPr="001138D5" w:rsidRDefault="00CC1E3D" w:rsidP="004528A2">
      <w:pPr>
        <w:pStyle w:val="ListParagraph"/>
        <w:numPr>
          <w:ilvl w:val="0"/>
          <w:numId w:val="14"/>
        </w:numPr>
        <w:spacing w:line="360" w:lineRule="auto"/>
        <w:rPr>
          <w:rFonts w:cstheme="minorHAnsi"/>
          <w:sz w:val="22"/>
          <w:szCs w:val="22"/>
        </w:rPr>
      </w:pPr>
      <w:r w:rsidRPr="001138D5">
        <w:rPr>
          <w:rFonts w:cstheme="minorHAnsi"/>
          <w:sz w:val="22"/>
          <w:szCs w:val="22"/>
        </w:rPr>
        <w:t>Troponin must be less than or equal to the upper limit of lab normal value within 24 hours prior to the procedure or if troponin is elevated, concomitant CK must be normal</w:t>
      </w:r>
    </w:p>
    <w:p w14:paraId="2B4C6E62" w14:textId="77777777" w:rsidR="00CC1E3D" w:rsidRPr="001138D5" w:rsidRDefault="00CC1E3D" w:rsidP="004528A2">
      <w:pPr>
        <w:pStyle w:val="ListParagraph"/>
        <w:numPr>
          <w:ilvl w:val="0"/>
          <w:numId w:val="14"/>
        </w:numPr>
        <w:spacing w:line="360" w:lineRule="auto"/>
        <w:rPr>
          <w:rFonts w:cstheme="minorHAnsi"/>
          <w:sz w:val="22"/>
          <w:szCs w:val="22"/>
        </w:rPr>
      </w:pPr>
      <w:r w:rsidRPr="001138D5">
        <w:rPr>
          <w:rFonts w:cstheme="minorHAnsi"/>
          <w:sz w:val="22"/>
          <w:szCs w:val="22"/>
        </w:rPr>
        <w:t>The target vessel must have a TIMI flow 3 at baseline</w:t>
      </w:r>
    </w:p>
    <w:p w14:paraId="2E336F42" w14:textId="77777777" w:rsidR="00CC1E3D" w:rsidRPr="001138D5" w:rsidRDefault="00CC1E3D" w:rsidP="004528A2">
      <w:pPr>
        <w:pStyle w:val="ListParagraph"/>
        <w:numPr>
          <w:ilvl w:val="0"/>
          <w:numId w:val="14"/>
        </w:numPr>
        <w:spacing w:line="360" w:lineRule="auto"/>
        <w:rPr>
          <w:rFonts w:cstheme="minorHAnsi"/>
          <w:sz w:val="22"/>
          <w:szCs w:val="22"/>
        </w:rPr>
      </w:pPr>
      <w:r w:rsidRPr="001138D5">
        <w:rPr>
          <w:rFonts w:cstheme="minorHAnsi"/>
          <w:sz w:val="22"/>
          <w:szCs w:val="22"/>
        </w:rPr>
        <w:t>Patients with significant (&gt; 50% diameter stenosis) native coronary artery disease including stable or unstable angina and silent ischemia, suitable for PCI</w:t>
      </w:r>
    </w:p>
    <w:p w14:paraId="063FFFA9" w14:textId="77777777" w:rsidR="00CC1E3D" w:rsidRPr="001138D5" w:rsidRDefault="00CC1E3D" w:rsidP="004528A2">
      <w:pPr>
        <w:pStyle w:val="ListParagraph"/>
        <w:numPr>
          <w:ilvl w:val="0"/>
          <w:numId w:val="14"/>
        </w:numPr>
        <w:spacing w:line="360" w:lineRule="auto"/>
        <w:rPr>
          <w:rFonts w:cstheme="minorHAnsi"/>
          <w:sz w:val="22"/>
          <w:szCs w:val="22"/>
        </w:rPr>
      </w:pPr>
      <w:r w:rsidRPr="001138D5">
        <w:rPr>
          <w:rFonts w:cstheme="minorHAnsi"/>
          <w:sz w:val="22"/>
          <w:szCs w:val="22"/>
        </w:rPr>
        <w:t>Ability to tolerate dual antiplatelet agent (i.e. aspirin, clopidogrel, prasugrel, or ticagrelor for 1 year and single antiplatelet therapy for life</w:t>
      </w:r>
    </w:p>
    <w:p w14:paraId="603FB136" w14:textId="77777777" w:rsidR="00CC1E3D" w:rsidRPr="001138D5" w:rsidRDefault="00CC1E3D" w:rsidP="004528A2">
      <w:pPr>
        <w:pStyle w:val="ListParagraph"/>
        <w:numPr>
          <w:ilvl w:val="0"/>
          <w:numId w:val="14"/>
        </w:numPr>
        <w:spacing w:line="360" w:lineRule="auto"/>
        <w:rPr>
          <w:rFonts w:cstheme="minorHAnsi"/>
          <w:sz w:val="22"/>
          <w:szCs w:val="22"/>
        </w:rPr>
      </w:pPr>
      <w:r w:rsidRPr="001138D5">
        <w:rPr>
          <w:rFonts w:cstheme="minorHAnsi"/>
          <w:sz w:val="22"/>
          <w:szCs w:val="22"/>
        </w:rPr>
        <w:t>Single lesion stenosis of protected LMCA, or LAD, RCA or LCX artery &gt; 50% in a reference vessel of 2.5mm – 4.0 mm diameter and &lt; 32 mm length</w:t>
      </w:r>
    </w:p>
    <w:p w14:paraId="067E5503" w14:textId="77777777" w:rsidR="00CC1E3D" w:rsidRPr="001138D5" w:rsidRDefault="00CC1E3D" w:rsidP="004528A2">
      <w:pPr>
        <w:pStyle w:val="ListParagraph"/>
        <w:numPr>
          <w:ilvl w:val="0"/>
          <w:numId w:val="14"/>
        </w:numPr>
        <w:spacing w:line="360" w:lineRule="auto"/>
        <w:rPr>
          <w:rFonts w:cstheme="minorHAnsi"/>
          <w:sz w:val="22"/>
          <w:szCs w:val="22"/>
        </w:rPr>
      </w:pPr>
      <w:r w:rsidRPr="001138D5">
        <w:rPr>
          <w:rFonts w:cstheme="minorHAnsi"/>
          <w:sz w:val="22"/>
          <w:szCs w:val="22"/>
        </w:rPr>
        <w:t>Presence of calcification within the lesion on both sides of the vessel as assessed by angiography</w:t>
      </w:r>
    </w:p>
    <w:p w14:paraId="37901940" w14:textId="77777777" w:rsidR="00CC1E3D" w:rsidRPr="001138D5" w:rsidRDefault="00CC1E3D" w:rsidP="004528A2">
      <w:pPr>
        <w:pStyle w:val="ListParagraph"/>
        <w:numPr>
          <w:ilvl w:val="0"/>
          <w:numId w:val="14"/>
        </w:numPr>
        <w:spacing w:line="360" w:lineRule="auto"/>
        <w:rPr>
          <w:rFonts w:cstheme="minorHAnsi"/>
          <w:sz w:val="22"/>
          <w:szCs w:val="22"/>
        </w:rPr>
      </w:pPr>
      <w:r w:rsidRPr="001138D5">
        <w:rPr>
          <w:rFonts w:cstheme="minorHAnsi"/>
          <w:sz w:val="22"/>
          <w:szCs w:val="22"/>
        </w:rPr>
        <w:t>Planned treatment of single lesion in one vessel</w:t>
      </w:r>
    </w:p>
    <w:p w14:paraId="2E2578D4" w14:textId="77777777" w:rsidR="00CC1E3D" w:rsidRPr="001138D5" w:rsidRDefault="00CC1E3D" w:rsidP="004528A2">
      <w:pPr>
        <w:pStyle w:val="ListParagraph"/>
        <w:numPr>
          <w:ilvl w:val="0"/>
          <w:numId w:val="14"/>
        </w:numPr>
        <w:spacing w:line="360" w:lineRule="auto"/>
        <w:rPr>
          <w:rFonts w:cstheme="minorHAnsi"/>
          <w:sz w:val="22"/>
          <w:szCs w:val="22"/>
        </w:rPr>
      </w:pPr>
      <w:r w:rsidRPr="001138D5">
        <w:rPr>
          <w:rFonts w:cstheme="minorHAnsi"/>
          <w:sz w:val="22"/>
          <w:szCs w:val="22"/>
        </w:rPr>
        <w:t>Ability to pass a 0.014’’ guide wire across the lesion</w:t>
      </w:r>
    </w:p>
    <w:p w14:paraId="6E9928EA" w14:textId="77777777" w:rsidR="00CC1E3D" w:rsidRPr="001138D5" w:rsidRDefault="00CC1E3D" w:rsidP="004528A2">
      <w:pPr>
        <w:pStyle w:val="ListParagraph"/>
        <w:numPr>
          <w:ilvl w:val="0"/>
          <w:numId w:val="14"/>
        </w:numPr>
        <w:spacing w:line="360" w:lineRule="auto"/>
        <w:rPr>
          <w:rFonts w:cstheme="minorHAnsi"/>
          <w:sz w:val="22"/>
          <w:szCs w:val="22"/>
        </w:rPr>
      </w:pPr>
      <w:r w:rsidRPr="001138D5">
        <w:rPr>
          <w:rFonts w:cstheme="minorHAnsi"/>
          <w:sz w:val="22"/>
          <w:szCs w:val="22"/>
        </w:rPr>
        <w:t>Patient, or authorized representative, signs a written Informed Consent form to participate in the study, prior to any study-mandated procedures</w:t>
      </w:r>
    </w:p>
    <w:p w14:paraId="04C3994A" w14:textId="77777777" w:rsidR="00CC1E3D" w:rsidRPr="001138D5" w:rsidRDefault="00CC1E3D" w:rsidP="004528A2">
      <w:pPr>
        <w:pStyle w:val="ListParagraph"/>
        <w:numPr>
          <w:ilvl w:val="0"/>
          <w:numId w:val="14"/>
        </w:numPr>
        <w:spacing w:line="360" w:lineRule="auto"/>
        <w:rPr>
          <w:rFonts w:cstheme="minorHAnsi"/>
          <w:sz w:val="22"/>
          <w:szCs w:val="22"/>
        </w:rPr>
      </w:pPr>
      <w:r w:rsidRPr="001138D5">
        <w:rPr>
          <w:rFonts w:cstheme="minorHAnsi"/>
          <w:sz w:val="22"/>
          <w:szCs w:val="22"/>
        </w:rPr>
        <w:lastRenderedPageBreak/>
        <w:t>Patient is able and willing to comply with all assessments in the study</w:t>
      </w:r>
    </w:p>
    <w:p w14:paraId="5EDC5E28" w14:textId="77777777" w:rsidR="00CC1E3D" w:rsidRPr="00F91876" w:rsidRDefault="00CC1E3D" w:rsidP="004528A2">
      <w:pPr>
        <w:pStyle w:val="Heading3"/>
        <w:numPr>
          <w:ilvl w:val="1"/>
          <w:numId w:val="0"/>
        </w:numPr>
        <w:spacing w:line="360" w:lineRule="auto"/>
        <w:ind w:left="420" w:hanging="420"/>
        <w:jc w:val="both"/>
        <w:rPr>
          <w:rFonts w:asciiTheme="minorHAnsi" w:hAnsiTheme="minorHAnsi" w:cstheme="minorHAnsi"/>
          <w:b w:val="0"/>
          <w:bCs w:val="0"/>
          <w:sz w:val="22"/>
          <w:szCs w:val="22"/>
          <w:u w:val="single"/>
        </w:rPr>
      </w:pPr>
      <w:bookmarkStart w:id="2" w:name="_Toc326833832"/>
      <w:bookmarkStart w:id="3" w:name="_Toc326833965"/>
      <w:bookmarkStart w:id="4" w:name="_Toc326834104"/>
      <w:bookmarkStart w:id="5" w:name="_Toc335730933"/>
      <w:bookmarkStart w:id="6" w:name="_Toc427846415"/>
      <w:r w:rsidRPr="00F91876">
        <w:rPr>
          <w:rFonts w:asciiTheme="minorHAnsi" w:hAnsiTheme="minorHAnsi" w:cstheme="minorHAnsi"/>
          <w:b w:val="0"/>
          <w:bCs w:val="0"/>
          <w:sz w:val="22"/>
          <w:szCs w:val="22"/>
          <w:u w:val="single"/>
        </w:rPr>
        <w:t>Exclusion criteria</w:t>
      </w:r>
      <w:bookmarkEnd w:id="2"/>
      <w:bookmarkEnd w:id="3"/>
      <w:bookmarkEnd w:id="4"/>
      <w:bookmarkEnd w:id="5"/>
      <w:bookmarkEnd w:id="6"/>
    </w:p>
    <w:p w14:paraId="4715202A" w14:textId="77777777" w:rsidR="00CC1E3D" w:rsidRPr="001138D5" w:rsidRDefault="00CC1E3D" w:rsidP="004528A2">
      <w:pPr>
        <w:pStyle w:val="ListParagraph"/>
        <w:numPr>
          <w:ilvl w:val="0"/>
          <w:numId w:val="13"/>
        </w:numPr>
        <w:spacing w:after="0" w:line="360" w:lineRule="auto"/>
        <w:rPr>
          <w:rFonts w:cstheme="minorHAnsi"/>
          <w:sz w:val="22"/>
          <w:szCs w:val="22"/>
        </w:rPr>
      </w:pPr>
      <w:r w:rsidRPr="001138D5">
        <w:rPr>
          <w:rFonts w:cstheme="minorHAnsi"/>
          <w:sz w:val="22"/>
          <w:szCs w:val="22"/>
        </w:rPr>
        <w:t>Concomitant use of other techniques to deal CAC such as atherectomy and special balloons</w:t>
      </w:r>
    </w:p>
    <w:p w14:paraId="107FB9DC" w14:textId="77777777" w:rsidR="00CC1E3D" w:rsidRPr="001138D5" w:rsidRDefault="00CC1E3D" w:rsidP="004528A2">
      <w:pPr>
        <w:pStyle w:val="ListParagraph"/>
        <w:numPr>
          <w:ilvl w:val="0"/>
          <w:numId w:val="13"/>
        </w:numPr>
        <w:spacing w:after="0" w:line="360" w:lineRule="auto"/>
        <w:rPr>
          <w:rFonts w:cstheme="minorHAnsi"/>
          <w:sz w:val="22"/>
          <w:szCs w:val="22"/>
        </w:rPr>
      </w:pPr>
      <w:r w:rsidRPr="001138D5">
        <w:rPr>
          <w:rFonts w:cstheme="minorHAnsi"/>
          <w:sz w:val="22"/>
          <w:szCs w:val="22"/>
        </w:rPr>
        <w:t>Severe renal failure</w:t>
      </w:r>
    </w:p>
    <w:p w14:paraId="0F09F528" w14:textId="77777777" w:rsidR="00CC1E3D" w:rsidRPr="001138D5" w:rsidRDefault="00CC1E3D" w:rsidP="004528A2">
      <w:pPr>
        <w:pStyle w:val="ListParagraph"/>
        <w:numPr>
          <w:ilvl w:val="0"/>
          <w:numId w:val="13"/>
        </w:numPr>
        <w:spacing w:after="0" w:line="360" w:lineRule="auto"/>
        <w:rPr>
          <w:rFonts w:cstheme="minorHAnsi"/>
          <w:sz w:val="22"/>
          <w:szCs w:val="22"/>
        </w:rPr>
      </w:pPr>
      <w:r w:rsidRPr="001138D5">
        <w:rPr>
          <w:rFonts w:cstheme="minorHAnsi"/>
          <w:sz w:val="22"/>
          <w:szCs w:val="22"/>
        </w:rPr>
        <w:t xml:space="preserve">Severe </w:t>
      </w:r>
      <w:proofErr w:type="spellStart"/>
      <w:r w:rsidRPr="001138D5">
        <w:rPr>
          <w:rFonts w:cstheme="minorHAnsi"/>
          <w:sz w:val="22"/>
          <w:szCs w:val="22"/>
        </w:rPr>
        <w:t>anaemia</w:t>
      </w:r>
      <w:proofErr w:type="spellEnd"/>
    </w:p>
    <w:p w14:paraId="0C0EB6E8" w14:textId="77777777" w:rsidR="00CC1E3D" w:rsidRPr="001138D5" w:rsidRDefault="00CC1E3D" w:rsidP="004528A2">
      <w:pPr>
        <w:pStyle w:val="ListParagraph"/>
        <w:numPr>
          <w:ilvl w:val="0"/>
          <w:numId w:val="13"/>
        </w:numPr>
        <w:spacing w:after="0" w:line="360" w:lineRule="auto"/>
        <w:rPr>
          <w:rFonts w:cstheme="minorHAnsi"/>
          <w:sz w:val="22"/>
          <w:szCs w:val="22"/>
        </w:rPr>
      </w:pPr>
      <w:r w:rsidRPr="001138D5">
        <w:rPr>
          <w:rFonts w:cstheme="minorHAnsi"/>
          <w:sz w:val="22"/>
          <w:szCs w:val="22"/>
        </w:rPr>
        <w:t>Previous PCI within 30 days of planned procedure</w:t>
      </w:r>
    </w:p>
    <w:p w14:paraId="2B8B9EAD" w14:textId="77777777" w:rsidR="00CC1E3D" w:rsidRPr="001138D5" w:rsidRDefault="00CC1E3D" w:rsidP="004528A2">
      <w:pPr>
        <w:pStyle w:val="ListParagraph"/>
        <w:numPr>
          <w:ilvl w:val="0"/>
          <w:numId w:val="13"/>
        </w:numPr>
        <w:spacing w:after="0" w:line="360" w:lineRule="auto"/>
        <w:rPr>
          <w:rFonts w:cstheme="minorHAnsi"/>
          <w:sz w:val="22"/>
          <w:szCs w:val="22"/>
        </w:rPr>
      </w:pPr>
      <w:r w:rsidRPr="001138D5">
        <w:rPr>
          <w:rFonts w:cstheme="minorHAnsi"/>
          <w:sz w:val="22"/>
          <w:szCs w:val="22"/>
        </w:rPr>
        <w:t>Patients not suitable for consenting such as severe memory impairment</w:t>
      </w:r>
    </w:p>
    <w:p w14:paraId="265315C3" w14:textId="77777777" w:rsidR="00CC1E3D" w:rsidRPr="001138D5" w:rsidRDefault="00CC1E3D" w:rsidP="004528A2">
      <w:pPr>
        <w:pStyle w:val="ListParagraph"/>
        <w:numPr>
          <w:ilvl w:val="0"/>
          <w:numId w:val="13"/>
        </w:numPr>
        <w:spacing w:after="0" w:line="360" w:lineRule="auto"/>
        <w:rPr>
          <w:rFonts w:cstheme="minorHAnsi"/>
          <w:sz w:val="22"/>
          <w:szCs w:val="22"/>
        </w:rPr>
      </w:pPr>
      <w:r w:rsidRPr="001138D5">
        <w:rPr>
          <w:rFonts w:cstheme="minorHAnsi"/>
          <w:sz w:val="22"/>
          <w:szCs w:val="22"/>
        </w:rPr>
        <w:t>Acute coronary syndrome within 1 month from planned procedure</w:t>
      </w:r>
    </w:p>
    <w:p w14:paraId="5C76952F" w14:textId="77777777" w:rsidR="00CC1E3D" w:rsidRPr="001138D5" w:rsidRDefault="00CC1E3D" w:rsidP="004528A2">
      <w:pPr>
        <w:pStyle w:val="ListParagraph"/>
        <w:numPr>
          <w:ilvl w:val="0"/>
          <w:numId w:val="13"/>
        </w:numPr>
        <w:spacing w:after="0" w:line="360" w:lineRule="auto"/>
        <w:rPr>
          <w:rFonts w:cstheme="minorHAnsi"/>
          <w:sz w:val="22"/>
          <w:szCs w:val="22"/>
        </w:rPr>
      </w:pPr>
      <w:r w:rsidRPr="001138D5">
        <w:rPr>
          <w:rFonts w:cstheme="minorHAnsi"/>
          <w:sz w:val="22"/>
          <w:szCs w:val="22"/>
        </w:rPr>
        <w:t>Severe Heart Failure (NYHA III or IV)</w:t>
      </w:r>
    </w:p>
    <w:p w14:paraId="4C460085" w14:textId="77777777" w:rsidR="00CC1E3D" w:rsidRPr="001138D5" w:rsidRDefault="00CC1E3D" w:rsidP="004528A2">
      <w:pPr>
        <w:pStyle w:val="ListParagraph"/>
        <w:numPr>
          <w:ilvl w:val="0"/>
          <w:numId w:val="13"/>
        </w:numPr>
        <w:spacing w:after="0" w:line="360" w:lineRule="auto"/>
        <w:rPr>
          <w:rFonts w:cstheme="minorHAnsi"/>
          <w:sz w:val="22"/>
          <w:szCs w:val="22"/>
        </w:rPr>
      </w:pPr>
      <w:r w:rsidRPr="001138D5">
        <w:rPr>
          <w:rFonts w:cstheme="minorHAnsi"/>
          <w:sz w:val="22"/>
          <w:szCs w:val="22"/>
        </w:rPr>
        <w:t xml:space="preserve">Unable to tolerate dual antiplatelet agents (Aspirin + clopidogrel or </w:t>
      </w:r>
      <w:proofErr w:type="spellStart"/>
      <w:r w:rsidRPr="001138D5">
        <w:rPr>
          <w:rFonts w:cstheme="minorHAnsi"/>
          <w:sz w:val="22"/>
          <w:szCs w:val="22"/>
        </w:rPr>
        <w:t>ticargrelor</w:t>
      </w:r>
      <w:proofErr w:type="spellEnd"/>
      <w:r w:rsidRPr="001138D5">
        <w:rPr>
          <w:rFonts w:cstheme="minorHAnsi"/>
          <w:sz w:val="22"/>
          <w:szCs w:val="22"/>
        </w:rPr>
        <w:t xml:space="preserve"> or prasugrel) for 1 year for any reason</w:t>
      </w:r>
    </w:p>
    <w:p w14:paraId="348EBCFE" w14:textId="77777777" w:rsidR="00CC1E3D" w:rsidRPr="001138D5" w:rsidRDefault="00CC1E3D" w:rsidP="004528A2">
      <w:pPr>
        <w:pStyle w:val="ListParagraph"/>
        <w:numPr>
          <w:ilvl w:val="0"/>
          <w:numId w:val="13"/>
        </w:numPr>
        <w:spacing w:after="0" w:line="360" w:lineRule="auto"/>
        <w:rPr>
          <w:rFonts w:cstheme="minorHAnsi"/>
          <w:sz w:val="22"/>
          <w:szCs w:val="22"/>
        </w:rPr>
      </w:pPr>
      <w:r w:rsidRPr="001138D5">
        <w:rPr>
          <w:rFonts w:cstheme="minorHAnsi"/>
          <w:sz w:val="22"/>
          <w:szCs w:val="22"/>
        </w:rPr>
        <w:t>Contrast allergy</w:t>
      </w:r>
    </w:p>
    <w:p w14:paraId="62F52B79" w14:textId="77777777" w:rsidR="00CC1E3D" w:rsidRPr="001138D5" w:rsidRDefault="00CC1E3D" w:rsidP="004528A2">
      <w:pPr>
        <w:pStyle w:val="ListParagraph"/>
        <w:numPr>
          <w:ilvl w:val="0"/>
          <w:numId w:val="13"/>
        </w:numPr>
        <w:spacing w:line="360" w:lineRule="auto"/>
        <w:rPr>
          <w:rFonts w:cstheme="minorHAnsi"/>
          <w:sz w:val="22"/>
          <w:szCs w:val="22"/>
        </w:rPr>
      </w:pPr>
      <w:r w:rsidRPr="001138D5">
        <w:rPr>
          <w:rFonts w:cstheme="minorHAnsi"/>
          <w:sz w:val="22"/>
          <w:szCs w:val="22"/>
        </w:rPr>
        <w:t>Active infection</w:t>
      </w:r>
    </w:p>
    <w:p w14:paraId="52231877" w14:textId="7C155604" w:rsidR="004C2740" w:rsidRPr="001138D5" w:rsidRDefault="004C2740" w:rsidP="004528A2">
      <w:pPr>
        <w:pStyle w:val="Heading3"/>
        <w:spacing w:line="360" w:lineRule="auto"/>
        <w:rPr>
          <w:rFonts w:asciiTheme="minorHAnsi" w:hAnsiTheme="minorHAnsi" w:cstheme="minorHAnsi"/>
          <w:sz w:val="22"/>
          <w:szCs w:val="22"/>
        </w:rPr>
      </w:pPr>
      <w:r w:rsidRPr="001138D5">
        <w:rPr>
          <w:rFonts w:asciiTheme="minorHAnsi" w:hAnsiTheme="minorHAnsi" w:cstheme="minorHAnsi"/>
          <w:sz w:val="22"/>
          <w:szCs w:val="22"/>
        </w:rPr>
        <w:t>Outcome measures</w:t>
      </w:r>
    </w:p>
    <w:p w14:paraId="5991CE70" w14:textId="5515C152" w:rsidR="00405274" w:rsidRPr="001138D5" w:rsidRDefault="007B1CF4" w:rsidP="004528A2">
      <w:pPr>
        <w:spacing w:line="360" w:lineRule="auto"/>
        <w:rPr>
          <w:rFonts w:cstheme="minorHAnsi"/>
          <w:sz w:val="22"/>
          <w:szCs w:val="22"/>
          <w:u w:val="single"/>
          <w:lang w:val="en-AU"/>
        </w:rPr>
      </w:pPr>
      <w:r w:rsidRPr="001138D5">
        <w:rPr>
          <w:rFonts w:cstheme="minorHAnsi"/>
          <w:sz w:val="22"/>
          <w:szCs w:val="22"/>
          <w:u w:val="single"/>
          <w:lang w:val="en-AU"/>
        </w:rPr>
        <w:t>Primary Outcomes</w:t>
      </w:r>
    </w:p>
    <w:p w14:paraId="3EA657A2" w14:textId="5AC77A40" w:rsidR="007B1CF4" w:rsidRPr="001138D5" w:rsidRDefault="00656030" w:rsidP="004528A2">
      <w:pPr>
        <w:pStyle w:val="ListParagraph"/>
        <w:numPr>
          <w:ilvl w:val="0"/>
          <w:numId w:val="22"/>
        </w:numPr>
        <w:spacing w:line="360" w:lineRule="auto"/>
        <w:rPr>
          <w:rFonts w:cstheme="minorHAnsi"/>
          <w:sz w:val="22"/>
          <w:szCs w:val="22"/>
          <w:lang w:val="en-AU"/>
        </w:rPr>
      </w:pPr>
      <w:r w:rsidRPr="001138D5">
        <w:rPr>
          <w:rFonts w:cstheme="minorHAnsi"/>
          <w:sz w:val="22"/>
          <w:szCs w:val="22"/>
          <w:lang w:val="en-AU"/>
        </w:rPr>
        <w:t>Safety outcome – freedom from major adverse cardiac events (MACE) within 30 days of procedure.</w:t>
      </w:r>
    </w:p>
    <w:p w14:paraId="01F01494" w14:textId="478E9BD8" w:rsidR="00656030" w:rsidRPr="001138D5" w:rsidRDefault="00EF5D2C" w:rsidP="004528A2">
      <w:pPr>
        <w:pStyle w:val="ListParagraph"/>
        <w:numPr>
          <w:ilvl w:val="0"/>
          <w:numId w:val="22"/>
        </w:numPr>
        <w:spacing w:line="360" w:lineRule="auto"/>
        <w:rPr>
          <w:rFonts w:cstheme="minorHAnsi"/>
          <w:sz w:val="22"/>
          <w:szCs w:val="22"/>
          <w:lang w:val="en-AU"/>
        </w:rPr>
      </w:pPr>
      <w:r w:rsidRPr="001138D5">
        <w:rPr>
          <w:rFonts w:cstheme="minorHAnsi"/>
          <w:sz w:val="22"/>
          <w:szCs w:val="22"/>
          <w:lang w:val="en-AU"/>
        </w:rPr>
        <w:t>Effectiveness outcome – Procedural success defined as stent delivery with a residual stenosis &lt;50%</w:t>
      </w:r>
      <w:r w:rsidR="006239DD" w:rsidRPr="001138D5">
        <w:rPr>
          <w:rFonts w:cstheme="minorHAnsi"/>
          <w:sz w:val="22"/>
          <w:szCs w:val="22"/>
          <w:lang w:val="en-AU"/>
        </w:rPr>
        <w:t xml:space="preserve"> </w:t>
      </w:r>
      <w:r w:rsidR="00E0275E" w:rsidRPr="001138D5">
        <w:rPr>
          <w:rFonts w:cstheme="minorHAnsi"/>
          <w:sz w:val="22"/>
          <w:szCs w:val="22"/>
          <w:lang w:val="en-AU"/>
        </w:rPr>
        <w:t>and without in</w:t>
      </w:r>
      <w:r w:rsidR="006B2358" w:rsidRPr="001138D5">
        <w:rPr>
          <w:rFonts w:cstheme="minorHAnsi"/>
          <w:sz w:val="22"/>
          <w:szCs w:val="22"/>
          <w:lang w:val="en-AU"/>
        </w:rPr>
        <w:t>-hospital MACE.</w:t>
      </w:r>
    </w:p>
    <w:p w14:paraId="470A8F7F" w14:textId="28EDAF45" w:rsidR="006B2358" w:rsidRPr="001138D5" w:rsidRDefault="006B2358" w:rsidP="004528A2">
      <w:pPr>
        <w:pStyle w:val="ListParagraph"/>
        <w:numPr>
          <w:ilvl w:val="0"/>
          <w:numId w:val="22"/>
        </w:numPr>
        <w:spacing w:line="360" w:lineRule="auto"/>
        <w:rPr>
          <w:rFonts w:cstheme="minorHAnsi"/>
          <w:sz w:val="22"/>
          <w:szCs w:val="22"/>
          <w:lang w:val="en-AU"/>
        </w:rPr>
      </w:pPr>
      <w:r w:rsidRPr="001138D5">
        <w:rPr>
          <w:rFonts w:cstheme="minorHAnsi"/>
          <w:sz w:val="22"/>
          <w:szCs w:val="22"/>
          <w:lang w:val="en-AU"/>
        </w:rPr>
        <w:t>MACE – Composite occurrence of cardiac death, myocardial infarction, or target vessel revascularisation</w:t>
      </w:r>
    </w:p>
    <w:p w14:paraId="75BA2B60" w14:textId="1EBD94F8" w:rsidR="006B2358" w:rsidRPr="001138D5" w:rsidRDefault="00134E0F" w:rsidP="004528A2">
      <w:pPr>
        <w:pStyle w:val="ListParagraph"/>
        <w:numPr>
          <w:ilvl w:val="0"/>
          <w:numId w:val="22"/>
        </w:numPr>
        <w:spacing w:line="360" w:lineRule="auto"/>
        <w:rPr>
          <w:rFonts w:cstheme="minorHAnsi"/>
          <w:sz w:val="22"/>
          <w:szCs w:val="22"/>
          <w:lang w:val="en-AU"/>
        </w:rPr>
      </w:pPr>
      <w:r w:rsidRPr="001138D5">
        <w:rPr>
          <w:rFonts w:cstheme="minorHAnsi"/>
          <w:sz w:val="22"/>
          <w:szCs w:val="22"/>
          <w:lang w:val="en-AU"/>
        </w:rPr>
        <w:t>Myocardial infarction – CK-MB level &gt; 3 times the upper limit of lab normal value with or without new pathologic Q waves at dischar</w:t>
      </w:r>
      <w:r w:rsidR="00B22C0E" w:rsidRPr="001138D5">
        <w:rPr>
          <w:rFonts w:cstheme="minorHAnsi"/>
          <w:sz w:val="22"/>
          <w:szCs w:val="22"/>
          <w:lang w:val="en-AU"/>
        </w:rPr>
        <w:t>ge (periprocedural MI) and using the Fourth Universal Definition of Myocardial Infarction beyond discharge (spontaneous MI).</w:t>
      </w:r>
    </w:p>
    <w:p w14:paraId="11799907" w14:textId="4B908C86" w:rsidR="00B22C0E" w:rsidRPr="001138D5" w:rsidRDefault="00B22C0E" w:rsidP="004528A2">
      <w:pPr>
        <w:pStyle w:val="ListParagraph"/>
        <w:numPr>
          <w:ilvl w:val="0"/>
          <w:numId w:val="22"/>
        </w:numPr>
        <w:spacing w:line="360" w:lineRule="auto"/>
        <w:rPr>
          <w:rFonts w:cstheme="minorHAnsi"/>
          <w:sz w:val="22"/>
          <w:szCs w:val="22"/>
          <w:lang w:val="en-AU"/>
        </w:rPr>
      </w:pPr>
      <w:r w:rsidRPr="001138D5">
        <w:rPr>
          <w:rFonts w:cstheme="minorHAnsi"/>
          <w:sz w:val="22"/>
          <w:szCs w:val="22"/>
          <w:lang w:val="en-AU"/>
        </w:rPr>
        <w:t>Target vessel re</w:t>
      </w:r>
      <w:r w:rsidR="000673EA" w:rsidRPr="001138D5">
        <w:rPr>
          <w:rFonts w:cstheme="minorHAnsi"/>
          <w:sz w:val="22"/>
          <w:szCs w:val="22"/>
          <w:lang w:val="en-AU"/>
        </w:rPr>
        <w:t>vascularisation – Revascularisation at the target vessel (inclusive of the target lesion) after the completion of the index procedure.</w:t>
      </w:r>
    </w:p>
    <w:p w14:paraId="1D7EF76F" w14:textId="0F48391F" w:rsidR="000673EA" w:rsidRPr="001138D5" w:rsidRDefault="00DC3FA7" w:rsidP="004528A2">
      <w:pPr>
        <w:spacing w:line="360" w:lineRule="auto"/>
        <w:rPr>
          <w:rFonts w:cstheme="minorHAnsi"/>
          <w:sz w:val="22"/>
          <w:szCs w:val="22"/>
          <w:u w:val="single"/>
          <w:lang w:val="en-AU"/>
        </w:rPr>
      </w:pPr>
      <w:r w:rsidRPr="001138D5">
        <w:rPr>
          <w:rFonts w:cstheme="minorHAnsi"/>
          <w:sz w:val="22"/>
          <w:szCs w:val="22"/>
          <w:u w:val="single"/>
          <w:lang w:val="en-AU"/>
        </w:rPr>
        <w:t>Secondary Outcomes</w:t>
      </w:r>
    </w:p>
    <w:p w14:paraId="60C4263D" w14:textId="6E740738" w:rsidR="00DC3FA7" w:rsidRPr="001138D5" w:rsidRDefault="00DC3FA7" w:rsidP="004528A2">
      <w:pPr>
        <w:pStyle w:val="ListParagraph"/>
        <w:numPr>
          <w:ilvl w:val="0"/>
          <w:numId w:val="21"/>
        </w:numPr>
        <w:spacing w:line="360" w:lineRule="auto"/>
        <w:rPr>
          <w:rFonts w:cstheme="minorHAnsi"/>
          <w:sz w:val="22"/>
          <w:szCs w:val="22"/>
          <w:lang w:val="en-AU"/>
        </w:rPr>
      </w:pPr>
      <w:r w:rsidRPr="001138D5">
        <w:rPr>
          <w:rFonts w:cstheme="minorHAnsi"/>
          <w:sz w:val="22"/>
          <w:szCs w:val="22"/>
          <w:lang w:val="en-AU"/>
        </w:rPr>
        <w:t>Device crossing success – ability to deliver the IVL catheter across the target lesion, and delivery of lithotripsy without angiographic complications immediately after IVL</w:t>
      </w:r>
    </w:p>
    <w:p w14:paraId="1C263F40" w14:textId="794E2172" w:rsidR="00DC3FA7" w:rsidRPr="001138D5" w:rsidRDefault="00DC3FA7" w:rsidP="004528A2">
      <w:pPr>
        <w:pStyle w:val="ListParagraph"/>
        <w:numPr>
          <w:ilvl w:val="0"/>
          <w:numId w:val="21"/>
        </w:numPr>
        <w:spacing w:line="360" w:lineRule="auto"/>
        <w:rPr>
          <w:rFonts w:cstheme="minorHAnsi"/>
          <w:sz w:val="22"/>
          <w:szCs w:val="22"/>
          <w:lang w:val="en-AU"/>
        </w:rPr>
      </w:pPr>
      <w:r w:rsidRPr="001138D5">
        <w:rPr>
          <w:rFonts w:cstheme="minorHAnsi"/>
          <w:sz w:val="22"/>
          <w:szCs w:val="22"/>
          <w:lang w:val="en-AU"/>
        </w:rPr>
        <w:t>Angiographic success</w:t>
      </w:r>
      <w:r w:rsidR="000C5333" w:rsidRPr="001138D5">
        <w:rPr>
          <w:rFonts w:cstheme="minorHAnsi"/>
          <w:sz w:val="22"/>
          <w:szCs w:val="22"/>
          <w:lang w:val="en-AU"/>
        </w:rPr>
        <w:t xml:space="preserve"> (&lt;50% residual stenosis) – Stent delivery with &lt;50% residual stenosis and without angiographic complications.</w:t>
      </w:r>
    </w:p>
    <w:p w14:paraId="2F42B0C9" w14:textId="1E6D1470" w:rsidR="00503EE0" w:rsidRPr="001138D5" w:rsidRDefault="00503EE0" w:rsidP="004528A2">
      <w:pPr>
        <w:pStyle w:val="ListParagraph"/>
        <w:numPr>
          <w:ilvl w:val="0"/>
          <w:numId w:val="21"/>
        </w:numPr>
        <w:spacing w:line="360" w:lineRule="auto"/>
        <w:rPr>
          <w:rFonts w:cstheme="minorHAnsi"/>
          <w:sz w:val="22"/>
          <w:szCs w:val="22"/>
          <w:lang w:val="en-AU"/>
        </w:rPr>
      </w:pPr>
      <w:r w:rsidRPr="001138D5">
        <w:rPr>
          <w:rFonts w:cstheme="minorHAnsi"/>
          <w:sz w:val="22"/>
          <w:szCs w:val="22"/>
          <w:lang w:val="en-AU"/>
        </w:rPr>
        <w:lastRenderedPageBreak/>
        <w:t xml:space="preserve">Procedural success </w:t>
      </w:r>
      <w:r w:rsidR="004B2D23" w:rsidRPr="001138D5">
        <w:rPr>
          <w:rFonts w:cstheme="minorHAnsi"/>
          <w:sz w:val="22"/>
          <w:szCs w:val="22"/>
          <w:lang w:val="en-AU"/>
        </w:rPr>
        <w:t>–</w:t>
      </w:r>
      <w:r w:rsidRPr="001138D5">
        <w:rPr>
          <w:rFonts w:cstheme="minorHAnsi"/>
          <w:sz w:val="22"/>
          <w:szCs w:val="22"/>
          <w:lang w:val="en-AU"/>
        </w:rPr>
        <w:t xml:space="preserve"> </w:t>
      </w:r>
      <w:r w:rsidR="004B2D23" w:rsidRPr="001138D5">
        <w:rPr>
          <w:rFonts w:cstheme="minorHAnsi"/>
          <w:sz w:val="22"/>
          <w:szCs w:val="22"/>
          <w:lang w:val="en-AU"/>
        </w:rPr>
        <w:t>Stent delivery with a residual stenosis (30% and without in-hospital MACE</w:t>
      </w:r>
    </w:p>
    <w:p w14:paraId="076E7A36" w14:textId="02A1161D" w:rsidR="004B2D23" w:rsidRPr="001138D5" w:rsidRDefault="004B2D23" w:rsidP="004528A2">
      <w:pPr>
        <w:pStyle w:val="ListParagraph"/>
        <w:numPr>
          <w:ilvl w:val="0"/>
          <w:numId w:val="21"/>
        </w:numPr>
        <w:spacing w:line="360" w:lineRule="auto"/>
        <w:rPr>
          <w:rFonts w:cstheme="minorHAnsi"/>
          <w:sz w:val="22"/>
          <w:szCs w:val="22"/>
          <w:lang w:val="en-AU"/>
        </w:rPr>
      </w:pPr>
      <w:r w:rsidRPr="001138D5">
        <w:rPr>
          <w:rFonts w:cstheme="minorHAnsi"/>
          <w:sz w:val="22"/>
          <w:szCs w:val="22"/>
          <w:lang w:val="en-AU"/>
        </w:rPr>
        <w:t xml:space="preserve">Angiographic complications – severe dissection, </w:t>
      </w:r>
      <w:r w:rsidR="001F3D92" w:rsidRPr="001138D5">
        <w:rPr>
          <w:rFonts w:cstheme="minorHAnsi"/>
          <w:sz w:val="22"/>
          <w:szCs w:val="22"/>
          <w:lang w:val="en-AU"/>
        </w:rPr>
        <w:t>perforation, abrupt closure, and persistent slow flow or persistent lack of reflow.</w:t>
      </w:r>
    </w:p>
    <w:p w14:paraId="0AE460F7" w14:textId="60744FBA" w:rsidR="001F3D92" w:rsidRPr="001138D5" w:rsidRDefault="006D2EAC" w:rsidP="004528A2">
      <w:pPr>
        <w:pStyle w:val="ListParagraph"/>
        <w:numPr>
          <w:ilvl w:val="0"/>
          <w:numId w:val="21"/>
        </w:numPr>
        <w:spacing w:line="360" w:lineRule="auto"/>
        <w:rPr>
          <w:rFonts w:cstheme="minorHAnsi"/>
          <w:sz w:val="22"/>
          <w:szCs w:val="22"/>
          <w:lang w:val="en-AU"/>
        </w:rPr>
      </w:pPr>
      <w:r w:rsidRPr="001138D5">
        <w:rPr>
          <w:rFonts w:cstheme="minorHAnsi"/>
          <w:sz w:val="22"/>
          <w:szCs w:val="22"/>
          <w:lang w:val="en-AU"/>
        </w:rPr>
        <w:t>Target lesion failure (TLF) – Cardiac death, target vessel myocardial infarction (Q wave and non-Q wave</w:t>
      </w:r>
      <w:r w:rsidR="00F35C53" w:rsidRPr="001138D5">
        <w:rPr>
          <w:rFonts w:cstheme="minorHAnsi"/>
          <w:sz w:val="22"/>
          <w:szCs w:val="22"/>
          <w:lang w:val="en-AU"/>
        </w:rPr>
        <w:t>), or ischemia-driven target lesion revascularisation (ID-TLR) by</w:t>
      </w:r>
      <w:r w:rsidR="00BC2039" w:rsidRPr="001138D5">
        <w:rPr>
          <w:rFonts w:cstheme="minorHAnsi"/>
          <w:sz w:val="22"/>
          <w:szCs w:val="22"/>
          <w:lang w:val="en-AU"/>
        </w:rPr>
        <w:t xml:space="preserve"> percutaneous or surgical methods at 30 days</w:t>
      </w:r>
      <w:r w:rsidR="00E75BCD" w:rsidRPr="001138D5">
        <w:rPr>
          <w:rFonts w:cstheme="minorHAnsi"/>
          <w:sz w:val="22"/>
          <w:szCs w:val="22"/>
          <w:lang w:val="en-AU"/>
        </w:rPr>
        <w:t>.</w:t>
      </w:r>
    </w:p>
    <w:p w14:paraId="52231878" w14:textId="196F4418" w:rsidR="004C2740" w:rsidRPr="001138D5" w:rsidRDefault="004C2740" w:rsidP="004528A2">
      <w:pPr>
        <w:pStyle w:val="Heading3"/>
        <w:spacing w:line="360" w:lineRule="auto"/>
        <w:rPr>
          <w:rFonts w:asciiTheme="minorHAnsi" w:hAnsiTheme="minorHAnsi" w:cstheme="minorHAnsi"/>
          <w:sz w:val="22"/>
          <w:szCs w:val="22"/>
        </w:rPr>
      </w:pPr>
      <w:r w:rsidRPr="001138D5">
        <w:rPr>
          <w:rFonts w:asciiTheme="minorHAnsi" w:hAnsiTheme="minorHAnsi" w:cstheme="minorHAnsi"/>
          <w:sz w:val="22"/>
          <w:szCs w:val="22"/>
        </w:rPr>
        <w:t>Sample size calculation</w:t>
      </w:r>
    </w:p>
    <w:p w14:paraId="5C93FD7F" w14:textId="0D0CFD6C" w:rsidR="00574A1D" w:rsidRPr="001138D5" w:rsidRDefault="00574A1D" w:rsidP="004528A2">
      <w:pPr>
        <w:spacing w:line="360" w:lineRule="auto"/>
        <w:rPr>
          <w:rFonts w:cstheme="minorHAnsi"/>
          <w:sz w:val="22"/>
          <w:szCs w:val="22"/>
          <w:lang w:val="en-AU"/>
        </w:rPr>
      </w:pPr>
      <w:r w:rsidRPr="001138D5">
        <w:rPr>
          <w:rFonts w:cstheme="minorHAnsi"/>
          <w:sz w:val="22"/>
          <w:szCs w:val="22"/>
          <w:lang w:val="en-AU"/>
        </w:rPr>
        <w:t xml:space="preserve">No sample size calculation will be undertaken as this is a </w:t>
      </w:r>
      <w:r w:rsidR="009D361E" w:rsidRPr="001138D5">
        <w:rPr>
          <w:rFonts w:cstheme="minorHAnsi"/>
          <w:sz w:val="22"/>
          <w:szCs w:val="22"/>
          <w:lang w:val="en-AU"/>
        </w:rPr>
        <w:t xml:space="preserve">pilot/feasibly project and </w:t>
      </w:r>
      <w:r w:rsidR="00C56704">
        <w:rPr>
          <w:rFonts w:cstheme="minorHAnsi"/>
          <w:sz w:val="22"/>
          <w:szCs w:val="22"/>
          <w:lang w:val="en-AU"/>
        </w:rPr>
        <w:t>the study</w:t>
      </w:r>
      <w:r w:rsidR="006B5482" w:rsidRPr="001138D5">
        <w:rPr>
          <w:rFonts w:cstheme="minorHAnsi"/>
          <w:sz w:val="22"/>
          <w:szCs w:val="22"/>
          <w:lang w:val="en-AU"/>
        </w:rPr>
        <w:t xml:space="preserve"> number</w:t>
      </w:r>
      <w:r w:rsidR="00F61B22">
        <w:rPr>
          <w:rFonts w:cstheme="minorHAnsi"/>
          <w:sz w:val="22"/>
          <w:szCs w:val="22"/>
          <w:lang w:val="en-AU"/>
        </w:rPr>
        <w:t xml:space="preserve"> </w:t>
      </w:r>
      <w:proofErr w:type="gramStart"/>
      <w:r w:rsidR="00F61B22">
        <w:rPr>
          <w:rFonts w:cstheme="minorHAnsi"/>
          <w:sz w:val="22"/>
          <w:szCs w:val="22"/>
          <w:lang w:val="en-AU"/>
        </w:rPr>
        <w:t>is</w:t>
      </w:r>
      <w:proofErr w:type="gramEnd"/>
      <w:r w:rsidR="006B5482" w:rsidRPr="001138D5">
        <w:rPr>
          <w:rFonts w:cstheme="minorHAnsi"/>
          <w:sz w:val="22"/>
          <w:szCs w:val="22"/>
          <w:lang w:val="en-AU"/>
        </w:rPr>
        <w:t xml:space="preserve"> at capped at ten.</w:t>
      </w:r>
    </w:p>
    <w:p w14:paraId="52231879" w14:textId="4BAD897A" w:rsidR="004C2740" w:rsidRPr="001138D5" w:rsidRDefault="004C2740" w:rsidP="004528A2">
      <w:pPr>
        <w:pStyle w:val="Heading3"/>
        <w:spacing w:line="360" w:lineRule="auto"/>
        <w:rPr>
          <w:rFonts w:asciiTheme="minorHAnsi" w:hAnsiTheme="minorHAnsi" w:cstheme="minorHAnsi"/>
          <w:sz w:val="22"/>
          <w:szCs w:val="22"/>
        </w:rPr>
      </w:pPr>
      <w:r w:rsidRPr="001138D5">
        <w:rPr>
          <w:rFonts w:asciiTheme="minorHAnsi" w:hAnsiTheme="minorHAnsi" w:cstheme="minorHAnsi"/>
          <w:sz w:val="22"/>
          <w:szCs w:val="22"/>
        </w:rPr>
        <w:t>Group allocation</w:t>
      </w:r>
    </w:p>
    <w:p w14:paraId="5B7FF4A5" w14:textId="3A829DDA" w:rsidR="006B5482" w:rsidRPr="001138D5" w:rsidRDefault="002149EA" w:rsidP="004528A2">
      <w:pPr>
        <w:spacing w:line="360" w:lineRule="auto"/>
        <w:rPr>
          <w:rFonts w:cstheme="minorHAnsi"/>
          <w:sz w:val="22"/>
          <w:szCs w:val="22"/>
          <w:lang w:val="en-AU"/>
        </w:rPr>
      </w:pPr>
      <w:r w:rsidRPr="001138D5">
        <w:rPr>
          <w:rFonts w:cstheme="minorHAnsi"/>
          <w:sz w:val="22"/>
          <w:szCs w:val="22"/>
          <w:lang w:val="en-AU"/>
        </w:rPr>
        <w:t>This is a single arm trial and as such no group allocation will be undertaken.</w:t>
      </w:r>
    </w:p>
    <w:p w14:paraId="3FEE7AB4" w14:textId="01FF2FF3" w:rsidR="00410E24" w:rsidRPr="001138D5" w:rsidRDefault="00410E24" w:rsidP="004528A2">
      <w:pPr>
        <w:spacing w:line="360" w:lineRule="auto"/>
        <w:rPr>
          <w:rFonts w:cstheme="minorHAnsi"/>
          <w:b/>
          <w:bCs/>
          <w:sz w:val="22"/>
          <w:szCs w:val="22"/>
          <w:lang w:val="en-AU"/>
        </w:rPr>
      </w:pPr>
      <w:r w:rsidRPr="001138D5">
        <w:rPr>
          <w:rFonts w:cstheme="minorHAnsi"/>
          <w:b/>
          <w:bCs/>
          <w:sz w:val="22"/>
          <w:szCs w:val="22"/>
          <w:lang w:val="en-AU"/>
        </w:rPr>
        <w:t>Device</w:t>
      </w:r>
      <w:r w:rsidR="00683B7A" w:rsidRPr="001138D5">
        <w:rPr>
          <w:rFonts w:cstheme="minorHAnsi"/>
          <w:b/>
          <w:bCs/>
          <w:sz w:val="22"/>
          <w:szCs w:val="22"/>
          <w:lang w:val="en-AU"/>
        </w:rPr>
        <w:t xml:space="preserve"> and procedure</w:t>
      </w:r>
    </w:p>
    <w:p w14:paraId="556B183E" w14:textId="4555D2F2" w:rsidR="00410E24" w:rsidRDefault="006E4022" w:rsidP="004528A2">
      <w:pPr>
        <w:spacing w:line="360" w:lineRule="auto"/>
        <w:rPr>
          <w:rFonts w:cstheme="minorHAnsi"/>
          <w:sz w:val="22"/>
          <w:szCs w:val="22"/>
        </w:rPr>
      </w:pPr>
      <w:r w:rsidRPr="001138D5">
        <w:rPr>
          <w:rFonts w:cstheme="minorHAnsi"/>
          <w:sz w:val="22"/>
          <w:szCs w:val="22"/>
        </w:rPr>
        <w:t>The Shockwave Medical (Santa Clara, CA, USA) IVL system and coronary IVL catheter consist of a fluid-filled balloon angioplasty catheter and guidewire. Lithotripsy emitters are housed in the 12mm balloon segment (Figure 1). Each catheter is single use and can deliver a total of 80 IVL pulses.</w:t>
      </w:r>
    </w:p>
    <w:p w14:paraId="088A6ECD" w14:textId="74D999A8" w:rsidR="00771F00" w:rsidRDefault="004F22CC" w:rsidP="004528A2">
      <w:pPr>
        <w:spacing w:line="360" w:lineRule="auto"/>
        <w:rPr>
          <w:rFonts w:cstheme="minorHAnsi"/>
          <w:sz w:val="22"/>
          <w:szCs w:val="22"/>
        </w:rPr>
      </w:pPr>
      <w:r>
        <w:rPr>
          <w:noProof/>
        </w:rPr>
        <w:drawing>
          <wp:inline distT="0" distB="0" distL="0" distR="0" wp14:anchorId="2B11C623" wp14:editId="0E2BA9F4">
            <wp:extent cx="3524250" cy="2822208"/>
            <wp:effectExtent l="0" t="0" r="0" b="0"/>
            <wp:docPr id="4" name="Picture 4" descr="Shockwave Launches Coronary Intravascular Lithotripsy in 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ockwave Launches Coronary Intravascular Lithotripsy in Euro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9811" cy="2826661"/>
                    </a:xfrm>
                    <a:prstGeom prst="rect">
                      <a:avLst/>
                    </a:prstGeom>
                    <a:noFill/>
                    <a:ln>
                      <a:noFill/>
                    </a:ln>
                  </pic:spPr>
                </pic:pic>
              </a:graphicData>
            </a:graphic>
          </wp:inline>
        </w:drawing>
      </w:r>
    </w:p>
    <w:p w14:paraId="228552E0" w14:textId="4A5E74B9" w:rsidR="006B5015" w:rsidRPr="001138D5" w:rsidRDefault="006B5015" w:rsidP="004528A2">
      <w:pPr>
        <w:spacing w:line="360" w:lineRule="auto"/>
        <w:rPr>
          <w:rFonts w:cstheme="minorHAnsi"/>
          <w:sz w:val="22"/>
          <w:szCs w:val="22"/>
        </w:rPr>
      </w:pPr>
      <w:r>
        <w:rPr>
          <w:rFonts w:cstheme="minorHAnsi"/>
          <w:sz w:val="22"/>
          <w:szCs w:val="22"/>
        </w:rPr>
        <w:t>Figure 1.</w:t>
      </w:r>
      <w:r w:rsidR="000932F8">
        <w:rPr>
          <w:rFonts w:cstheme="minorHAnsi"/>
          <w:sz w:val="22"/>
          <w:szCs w:val="22"/>
        </w:rPr>
        <w:t xml:space="preserve"> Image of IVL system and coronary IVL catheter</w:t>
      </w:r>
    </w:p>
    <w:p w14:paraId="3DA95539" w14:textId="04347E76" w:rsidR="000517F2" w:rsidRPr="001138D5" w:rsidRDefault="005F6D51" w:rsidP="004528A2">
      <w:pPr>
        <w:spacing w:line="360" w:lineRule="auto"/>
        <w:rPr>
          <w:rFonts w:cstheme="minorHAnsi"/>
          <w:sz w:val="22"/>
          <w:szCs w:val="22"/>
        </w:rPr>
      </w:pPr>
      <w:r w:rsidRPr="001138D5">
        <w:rPr>
          <w:rFonts w:cstheme="minorHAnsi"/>
          <w:sz w:val="22"/>
          <w:szCs w:val="22"/>
        </w:rPr>
        <w:t xml:space="preserve">All participants will have the procedure completed by an investigator who is trained in using the Shockwave IVL. </w:t>
      </w:r>
      <w:r w:rsidR="000517F2" w:rsidRPr="001138D5">
        <w:rPr>
          <w:rFonts w:cstheme="minorHAnsi"/>
          <w:sz w:val="22"/>
          <w:szCs w:val="22"/>
        </w:rPr>
        <w:t xml:space="preserve">The IVL catheter will be inserted and delivered over guidewire. Atherectomy devices and cutting/scoring balloons will not be used. The IVL balloon will be inflated to 4 atm and 10 IVL </w:t>
      </w:r>
      <w:r w:rsidR="000517F2" w:rsidRPr="001138D5">
        <w:rPr>
          <w:rFonts w:cstheme="minorHAnsi"/>
          <w:sz w:val="22"/>
          <w:szCs w:val="22"/>
        </w:rPr>
        <w:lastRenderedPageBreak/>
        <w:t>pulses will be delivered followed by inflation of the balloon to 6 atm. This will be continued until the balloon has expanded to full capacity, whereby the stent can be implanted.</w:t>
      </w:r>
    </w:p>
    <w:p w14:paraId="5223187A" w14:textId="31CEE6E1" w:rsidR="004C2740" w:rsidRDefault="005F6D51" w:rsidP="004528A2">
      <w:pPr>
        <w:spacing w:line="360" w:lineRule="auto"/>
        <w:rPr>
          <w:rFonts w:cstheme="minorHAnsi"/>
          <w:sz w:val="22"/>
          <w:szCs w:val="22"/>
        </w:rPr>
      </w:pPr>
      <w:r w:rsidRPr="001138D5">
        <w:rPr>
          <w:rFonts w:cstheme="minorHAnsi"/>
          <w:sz w:val="22"/>
          <w:szCs w:val="22"/>
        </w:rPr>
        <w:t>The investigator will record all results in a secure and confidential database.</w:t>
      </w:r>
      <w:r w:rsidR="00167F0C" w:rsidRPr="001138D5">
        <w:rPr>
          <w:rFonts w:cstheme="minorHAnsi"/>
          <w:sz w:val="22"/>
          <w:szCs w:val="22"/>
        </w:rPr>
        <w:t xml:space="preserve"> The values will be recorded on a collection tool designed specifically for this study (see Appendix). </w:t>
      </w:r>
      <w:r w:rsidRPr="001138D5">
        <w:rPr>
          <w:rFonts w:cstheme="minorHAnsi"/>
          <w:sz w:val="22"/>
          <w:szCs w:val="22"/>
        </w:rPr>
        <w:t>T</w:t>
      </w:r>
      <w:r w:rsidR="006B5599">
        <w:rPr>
          <w:rFonts w:cstheme="minorHAnsi"/>
          <w:sz w:val="22"/>
          <w:szCs w:val="22"/>
        </w:rPr>
        <w:t xml:space="preserve">able 1 includes a general overview of the categories of data to </w:t>
      </w:r>
      <w:r w:rsidR="00272BD3" w:rsidRPr="001138D5">
        <w:rPr>
          <w:rFonts w:cstheme="minorHAnsi"/>
          <w:sz w:val="22"/>
          <w:szCs w:val="22"/>
        </w:rPr>
        <w:t xml:space="preserve">be </w:t>
      </w:r>
      <w:r w:rsidRPr="001138D5">
        <w:rPr>
          <w:rFonts w:cstheme="minorHAnsi"/>
          <w:sz w:val="22"/>
          <w:szCs w:val="22"/>
        </w:rPr>
        <w:t>collected</w:t>
      </w:r>
      <w:r w:rsidR="006B5599">
        <w:rPr>
          <w:rFonts w:cstheme="minorHAnsi"/>
          <w:sz w:val="22"/>
          <w:szCs w:val="22"/>
        </w:rPr>
        <w:t>.</w:t>
      </w:r>
    </w:p>
    <w:p w14:paraId="09AEFE12" w14:textId="546D8E41" w:rsidR="006B5599" w:rsidRPr="001138D5" w:rsidRDefault="006B5599" w:rsidP="004528A2">
      <w:pPr>
        <w:spacing w:line="360" w:lineRule="auto"/>
        <w:rPr>
          <w:rFonts w:cstheme="minorHAnsi"/>
          <w:sz w:val="22"/>
          <w:szCs w:val="22"/>
        </w:rPr>
      </w:pPr>
      <w:r>
        <w:rPr>
          <w:rFonts w:cstheme="minorHAnsi"/>
          <w:sz w:val="22"/>
          <w:szCs w:val="22"/>
        </w:rPr>
        <w:t>Table 1: Assessment Items and Schedule</w:t>
      </w:r>
    </w:p>
    <w:tbl>
      <w:tblPr>
        <w:tblStyle w:val="TableGrid"/>
        <w:tblW w:w="0" w:type="auto"/>
        <w:tblLook w:val="04A0" w:firstRow="1" w:lastRow="0" w:firstColumn="1" w:lastColumn="0" w:noHBand="0" w:noVBand="1"/>
      </w:tblPr>
      <w:tblGrid>
        <w:gridCol w:w="2235"/>
        <w:gridCol w:w="1485"/>
        <w:gridCol w:w="1491"/>
        <w:gridCol w:w="1287"/>
        <w:gridCol w:w="1439"/>
        <w:gridCol w:w="1305"/>
      </w:tblGrid>
      <w:tr w:rsidR="00672553" w:rsidRPr="00C77C0A" w14:paraId="0FEE24B8" w14:textId="77777777" w:rsidTr="009B2168">
        <w:tc>
          <w:tcPr>
            <w:tcW w:w="2235" w:type="dxa"/>
          </w:tcPr>
          <w:p w14:paraId="56991A62" w14:textId="77777777" w:rsidR="00672553" w:rsidRPr="00C77C0A" w:rsidRDefault="00672553" w:rsidP="004528A2">
            <w:pPr>
              <w:spacing w:line="360" w:lineRule="auto"/>
              <w:rPr>
                <w:rFonts w:cstheme="minorHAnsi"/>
                <w:sz w:val="18"/>
                <w:szCs w:val="18"/>
              </w:rPr>
            </w:pPr>
            <w:r w:rsidRPr="00C77C0A">
              <w:rPr>
                <w:rFonts w:cstheme="minorHAnsi"/>
                <w:sz w:val="18"/>
                <w:szCs w:val="18"/>
              </w:rPr>
              <w:t>Assessment</w:t>
            </w:r>
          </w:p>
        </w:tc>
        <w:tc>
          <w:tcPr>
            <w:tcW w:w="1485" w:type="dxa"/>
          </w:tcPr>
          <w:p w14:paraId="4A95F2AC" w14:textId="77777777" w:rsidR="00672553" w:rsidRPr="00C77C0A" w:rsidRDefault="00672553" w:rsidP="004528A2">
            <w:pPr>
              <w:spacing w:line="360" w:lineRule="auto"/>
              <w:rPr>
                <w:rFonts w:cstheme="minorHAnsi"/>
                <w:sz w:val="18"/>
                <w:szCs w:val="18"/>
              </w:rPr>
            </w:pPr>
            <w:r w:rsidRPr="00C77C0A">
              <w:rPr>
                <w:rFonts w:cstheme="minorHAnsi"/>
                <w:sz w:val="18"/>
                <w:szCs w:val="18"/>
              </w:rPr>
              <w:t>Screening/ Baseline (Day – 14 to Day 0)</w:t>
            </w:r>
          </w:p>
        </w:tc>
        <w:tc>
          <w:tcPr>
            <w:tcW w:w="1491" w:type="dxa"/>
          </w:tcPr>
          <w:p w14:paraId="758B9EDA" w14:textId="77777777" w:rsidR="00672553" w:rsidRPr="00C77C0A" w:rsidRDefault="00672553" w:rsidP="004528A2">
            <w:pPr>
              <w:spacing w:line="360" w:lineRule="auto"/>
              <w:rPr>
                <w:rFonts w:cstheme="minorHAnsi"/>
                <w:sz w:val="18"/>
                <w:szCs w:val="18"/>
              </w:rPr>
            </w:pPr>
            <w:r w:rsidRPr="00C77C0A">
              <w:rPr>
                <w:rFonts w:cstheme="minorHAnsi"/>
                <w:sz w:val="18"/>
                <w:szCs w:val="18"/>
              </w:rPr>
              <w:t>Enrolment and Procedure (Day 0)</w:t>
            </w:r>
          </w:p>
        </w:tc>
        <w:tc>
          <w:tcPr>
            <w:tcW w:w="1287" w:type="dxa"/>
          </w:tcPr>
          <w:p w14:paraId="085A0065" w14:textId="77777777" w:rsidR="00672553" w:rsidRPr="00C77C0A" w:rsidRDefault="00672553" w:rsidP="004528A2">
            <w:pPr>
              <w:spacing w:line="360" w:lineRule="auto"/>
              <w:rPr>
                <w:rFonts w:cstheme="minorHAnsi"/>
                <w:sz w:val="18"/>
                <w:szCs w:val="18"/>
              </w:rPr>
            </w:pPr>
            <w:r w:rsidRPr="00C77C0A">
              <w:rPr>
                <w:rFonts w:cstheme="minorHAnsi"/>
                <w:sz w:val="18"/>
                <w:szCs w:val="18"/>
              </w:rPr>
              <w:t>Post Treatment</w:t>
            </w:r>
          </w:p>
        </w:tc>
        <w:tc>
          <w:tcPr>
            <w:tcW w:w="1439" w:type="dxa"/>
          </w:tcPr>
          <w:p w14:paraId="7FCDC514" w14:textId="77777777" w:rsidR="00672553" w:rsidRPr="00C77C0A" w:rsidRDefault="00672553" w:rsidP="004528A2">
            <w:pPr>
              <w:spacing w:line="360" w:lineRule="auto"/>
              <w:rPr>
                <w:rFonts w:cstheme="minorHAnsi"/>
                <w:sz w:val="18"/>
                <w:szCs w:val="18"/>
              </w:rPr>
            </w:pPr>
            <w:r w:rsidRPr="00C77C0A">
              <w:rPr>
                <w:rFonts w:cstheme="minorHAnsi"/>
                <w:sz w:val="18"/>
                <w:szCs w:val="18"/>
              </w:rPr>
              <w:t>Discharge</w:t>
            </w:r>
          </w:p>
        </w:tc>
        <w:tc>
          <w:tcPr>
            <w:tcW w:w="1305" w:type="dxa"/>
          </w:tcPr>
          <w:p w14:paraId="140E9EC8" w14:textId="4D3E6B7D" w:rsidR="00672553" w:rsidRPr="00C77C0A" w:rsidRDefault="00672553" w:rsidP="004528A2">
            <w:pPr>
              <w:spacing w:line="360" w:lineRule="auto"/>
              <w:rPr>
                <w:rFonts w:cstheme="minorHAnsi"/>
                <w:sz w:val="18"/>
                <w:szCs w:val="18"/>
              </w:rPr>
            </w:pPr>
            <w:r w:rsidRPr="00C77C0A">
              <w:rPr>
                <w:rFonts w:cstheme="minorHAnsi"/>
                <w:sz w:val="18"/>
                <w:szCs w:val="18"/>
              </w:rPr>
              <w:t>30 Days (+/- 7D)</w:t>
            </w:r>
          </w:p>
        </w:tc>
      </w:tr>
      <w:tr w:rsidR="00672553" w:rsidRPr="00C77C0A" w14:paraId="5A3FAD20" w14:textId="77777777" w:rsidTr="009B2168">
        <w:tc>
          <w:tcPr>
            <w:tcW w:w="2235" w:type="dxa"/>
          </w:tcPr>
          <w:p w14:paraId="3E0353F3" w14:textId="77777777" w:rsidR="00672553" w:rsidRPr="00C77C0A" w:rsidRDefault="00672553" w:rsidP="004528A2">
            <w:pPr>
              <w:spacing w:line="360" w:lineRule="auto"/>
              <w:rPr>
                <w:rFonts w:cstheme="minorHAnsi"/>
                <w:sz w:val="18"/>
                <w:szCs w:val="18"/>
              </w:rPr>
            </w:pPr>
            <w:r w:rsidRPr="00C77C0A">
              <w:rPr>
                <w:rFonts w:cstheme="minorHAnsi"/>
                <w:sz w:val="18"/>
                <w:szCs w:val="18"/>
              </w:rPr>
              <w:t>Informed Consent</w:t>
            </w:r>
          </w:p>
        </w:tc>
        <w:tc>
          <w:tcPr>
            <w:tcW w:w="1485" w:type="dxa"/>
          </w:tcPr>
          <w:p w14:paraId="20B87875" w14:textId="77777777" w:rsidR="00672553" w:rsidRPr="00C77C0A" w:rsidRDefault="00672553" w:rsidP="004528A2">
            <w:pPr>
              <w:spacing w:line="360" w:lineRule="auto"/>
              <w:jc w:val="center"/>
              <w:rPr>
                <w:rFonts w:cstheme="minorHAnsi"/>
                <w:sz w:val="18"/>
                <w:szCs w:val="18"/>
              </w:rPr>
            </w:pPr>
            <w:r w:rsidRPr="00C77C0A">
              <w:rPr>
                <w:rFonts w:cstheme="minorHAnsi"/>
                <w:sz w:val="18"/>
                <w:szCs w:val="18"/>
              </w:rPr>
              <w:t>X</w:t>
            </w:r>
          </w:p>
        </w:tc>
        <w:tc>
          <w:tcPr>
            <w:tcW w:w="1491" w:type="dxa"/>
          </w:tcPr>
          <w:p w14:paraId="5FF1D88C" w14:textId="77777777" w:rsidR="00672553" w:rsidRPr="00C77C0A" w:rsidRDefault="00672553" w:rsidP="004528A2">
            <w:pPr>
              <w:spacing w:line="360" w:lineRule="auto"/>
              <w:jc w:val="center"/>
              <w:rPr>
                <w:rFonts w:cstheme="minorHAnsi"/>
                <w:sz w:val="18"/>
                <w:szCs w:val="18"/>
              </w:rPr>
            </w:pPr>
          </w:p>
        </w:tc>
        <w:tc>
          <w:tcPr>
            <w:tcW w:w="1287" w:type="dxa"/>
          </w:tcPr>
          <w:p w14:paraId="5C0D6DF7" w14:textId="77777777" w:rsidR="00672553" w:rsidRPr="00C77C0A" w:rsidRDefault="00672553" w:rsidP="004528A2">
            <w:pPr>
              <w:spacing w:line="360" w:lineRule="auto"/>
              <w:jc w:val="center"/>
              <w:rPr>
                <w:rFonts w:cstheme="minorHAnsi"/>
                <w:sz w:val="18"/>
                <w:szCs w:val="18"/>
              </w:rPr>
            </w:pPr>
          </w:p>
        </w:tc>
        <w:tc>
          <w:tcPr>
            <w:tcW w:w="1439" w:type="dxa"/>
          </w:tcPr>
          <w:p w14:paraId="0A408748" w14:textId="77777777" w:rsidR="00672553" w:rsidRPr="00C77C0A" w:rsidRDefault="00672553" w:rsidP="004528A2">
            <w:pPr>
              <w:spacing w:line="360" w:lineRule="auto"/>
              <w:jc w:val="center"/>
              <w:rPr>
                <w:rFonts w:cstheme="minorHAnsi"/>
                <w:sz w:val="18"/>
                <w:szCs w:val="18"/>
              </w:rPr>
            </w:pPr>
          </w:p>
        </w:tc>
        <w:tc>
          <w:tcPr>
            <w:tcW w:w="1305" w:type="dxa"/>
          </w:tcPr>
          <w:p w14:paraId="689293DE" w14:textId="77777777" w:rsidR="00672553" w:rsidRPr="00C77C0A" w:rsidRDefault="00672553" w:rsidP="004528A2">
            <w:pPr>
              <w:spacing w:line="360" w:lineRule="auto"/>
              <w:jc w:val="center"/>
              <w:rPr>
                <w:rFonts w:cstheme="minorHAnsi"/>
                <w:sz w:val="18"/>
                <w:szCs w:val="18"/>
              </w:rPr>
            </w:pPr>
          </w:p>
        </w:tc>
      </w:tr>
      <w:tr w:rsidR="00672553" w:rsidRPr="00C77C0A" w14:paraId="5964F7A5" w14:textId="77777777" w:rsidTr="009B2168">
        <w:tc>
          <w:tcPr>
            <w:tcW w:w="2235" w:type="dxa"/>
          </w:tcPr>
          <w:p w14:paraId="57E179AB" w14:textId="77777777" w:rsidR="00672553" w:rsidRPr="00C77C0A" w:rsidRDefault="00672553" w:rsidP="004528A2">
            <w:pPr>
              <w:spacing w:line="360" w:lineRule="auto"/>
              <w:rPr>
                <w:rFonts w:cstheme="minorHAnsi"/>
                <w:sz w:val="18"/>
                <w:szCs w:val="18"/>
              </w:rPr>
            </w:pPr>
            <w:r w:rsidRPr="00C77C0A">
              <w:rPr>
                <w:rFonts w:cstheme="minorHAnsi"/>
                <w:sz w:val="18"/>
                <w:szCs w:val="18"/>
              </w:rPr>
              <w:t>Medical History</w:t>
            </w:r>
          </w:p>
        </w:tc>
        <w:tc>
          <w:tcPr>
            <w:tcW w:w="1485" w:type="dxa"/>
          </w:tcPr>
          <w:p w14:paraId="0005752F" w14:textId="77777777" w:rsidR="00672553" w:rsidRPr="00C77C0A" w:rsidRDefault="00672553" w:rsidP="004528A2">
            <w:pPr>
              <w:spacing w:line="360" w:lineRule="auto"/>
              <w:jc w:val="center"/>
              <w:rPr>
                <w:rFonts w:cstheme="minorHAnsi"/>
                <w:sz w:val="18"/>
                <w:szCs w:val="18"/>
              </w:rPr>
            </w:pPr>
            <w:r w:rsidRPr="00C77C0A">
              <w:rPr>
                <w:rFonts w:cstheme="minorHAnsi"/>
                <w:sz w:val="18"/>
                <w:szCs w:val="18"/>
              </w:rPr>
              <w:t>X</w:t>
            </w:r>
          </w:p>
        </w:tc>
        <w:tc>
          <w:tcPr>
            <w:tcW w:w="1491" w:type="dxa"/>
          </w:tcPr>
          <w:p w14:paraId="6C6D3A4D" w14:textId="77777777" w:rsidR="00672553" w:rsidRPr="00C77C0A" w:rsidRDefault="00672553" w:rsidP="004528A2">
            <w:pPr>
              <w:spacing w:line="360" w:lineRule="auto"/>
              <w:jc w:val="center"/>
              <w:rPr>
                <w:rFonts w:cstheme="minorHAnsi"/>
                <w:sz w:val="18"/>
                <w:szCs w:val="18"/>
              </w:rPr>
            </w:pPr>
          </w:p>
        </w:tc>
        <w:tc>
          <w:tcPr>
            <w:tcW w:w="1287" w:type="dxa"/>
          </w:tcPr>
          <w:p w14:paraId="35629EF3" w14:textId="77777777" w:rsidR="00672553" w:rsidRPr="00C77C0A" w:rsidRDefault="00672553" w:rsidP="004528A2">
            <w:pPr>
              <w:spacing w:line="360" w:lineRule="auto"/>
              <w:jc w:val="center"/>
              <w:rPr>
                <w:rFonts w:cstheme="minorHAnsi"/>
                <w:sz w:val="18"/>
                <w:szCs w:val="18"/>
              </w:rPr>
            </w:pPr>
          </w:p>
        </w:tc>
        <w:tc>
          <w:tcPr>
            <w:tcW w:w="1439" w:type="dxa"/>
          </w:tcPr>
          <w:p w14:paraId="2378A52C" w14:textId="77777777" w:rsidR="00672553" w:rsidRPr="00C77C0A" w:rsidRDefault="00672553" w:rsidP="004528A2">
            <w:pPr>
              <w:spacing w:line="360" w:lineRule="auto"/>
              <w:jc w:val="center"/>
              <w:rPr>
                <w:rFonts w:cstheme="minorHAnsi"/>
                <w:sz w:val="18"/>
                <w:szCs w:val="18"/>
              </w:rPr>
            </w:pPr>
          </w:p>
        </w:tc>
        <w:tc>
          <w:tcPr>
            <w:tcW w:w="1305" w:type="dxa"/>
          </w:tcPr>
          <w:p w14:paraId="66655B1B" w14:textId="77777777" w:rsidR="00672553" w:rsidRPr="00C77C0A" w:rsidRDefault="00672553" w:rsidP="004528A2">
            <w:pPr>
              <w:spacing w:line="360" w:lineRule="auto"/>
              <w:jc w:val="center"/>
              <w:rPr>
                <w:rFonts w:cstheme="minorHAnsi"/>
                <w:sz w:val="18"/>
                <w:szCs w:val="18"/>
              </w:rPr>
            </w:pPr>
          </w:p>
        </w:tc>
      </w:tr>
      <w:tr w:rsidR="00672553" w:rsidRPr="00C77C0A" w14:paraId="7A2A7DF2" w14:textId="77777777" w:rsidTr="009B2168">
        <w:tc>
          <w:tcPr>
            <w:tcW w:w="2235" w:type="dxa"/>
          </w:tcPr>
          <w:p w14:paraId="117D50CF" w14:textId="77777777" w:rsidR="00672553" w:rsidRPr="00C77C0A" w:rsidRDefault="00672553" w:rsidP="004528A2">
            <w:pPr>
              <w:spacing w:line="360" w:lineRule="auto"/>
              <w:rPr>
                <w:rFonts w:cstheme="minorHAnsi"/>
                <w:sz w:val="18"/>
                <w:szCs w:val="18"/>
              </w:rPr>
            </w:pPr>
            <w:r w:rsidRPr="00C77C0A">
              <w:rPr>
                <w:rFonts w:cstheme="minorHAnsi"/>
                <w:sz w:val="18"/>
                <w:szCs w:val="18"/>
              </w:rPr>
              <w:t>Physical Examination</w:t>
            </w:r>
          </w:p>
        </w:tc>
        <w:tc>
          <w:tcPr>
            <w:tcW w:w="1485" w:type="dxa"/>
          </w:tcPr>
          <w:p w14:paraId="0F91BCD7" w14:textId="77777777" w:rsidR="00672553" w:rsidRPr="00C77C0A" w:rsidRDefault="00672553" w:rsidP="004528A2">
            <w:pPr>
              <w:spacing w:line="360" w:lineRule="auto"/>
              <w:jc w:val="center"/>
              <w:rPr>
                <w:rFonts w:cstheme="minorHAnsi"/>
                <w:sz w:val="18"/>
                <w:szCs w:val="18"/>
              </w:rPr>
            </w:pPr>
            <w:r w:rsidRPr="00C77C0A">
              <w:rPr>
                <w:rFonts w:cstheme="minorHAnsi"/>
                <w:sz w:val="18"/>
                <w:szCs w:val="18"/>
              </w:rPr>
              <w:t>X</w:t>
            </w:r>
          </w:p>
        </w:tc>
        <w:tc>
          <w:tcPr>
            <w:tcW w:w="1491" w:type="dxa"/>
          </w:tcPr>
          <w:p w14:paraId="65063AF3" w14:textId="77777777" w:rsidR="00672553" w:rsidRPr="00C77C0A" w:rsidRDefault="00672553" w:rsidP="004528A2">
            <w:pPr>
              <w:spacing w:line="360" w:lineRule="auto"/>
              <w:jc w:val="center"/>
              <w:rPr>
                <w:rFonts w:cstheme="minorHAnsi"/>
                <w:sz w:val="18"/>
                <w:szCs w:val="18"/>
              </w:rPr>
            </w:pPr>
          </w:p>
        </w:tc>
        <w:tc>
          <w:tcPr>
            <w:tcW w:w="1287" w:type="dxa"/>
          </w:tcPr>
          <w:p w14:paraId="3B107AFB" w14:textId="77777777" w:rsidR="00672553" w:rsidRPr="00C77C0A" w:rsidRDefault="00672553" w:rsidP="004528A2">
            <w:pPr>
              <w:spacing w:line="360" w:lineRule="auto"/>
              <w:jc w:val="center"/>
              <w:rPr>
                <w:rFonts w:cstheme="minorHAnsi"/>
                <w:sz w:val="18"/>
                <w:szCs w:val="18"/>
              </w:rPr>
            </w:pPr>
          </w:p>
        </w:tc>
        <w:tc>
          <w:tcPr>
            <w:tcW w:w="1439" w:type="dxa"/>
          </w:tcPr>
          <w:p w14:paraId="024ACEF2" w14:textId="77777777" w:rsidR="00672553" w:rsidRPr="00C77C0A" w:rsidRDefault="00672553" w:rsidP="004528A2">
            <w:pPr>
              <w:spacing w:line="360" w:lineRule="auto"/>
              <w:jc w:val="center"/>
              <w:rPr>
                <w:rFonts w:cstheme="minorHAnsi"/>
                <w:sz w:val="18"/>
                <w:szCs w:val="18"/>
              </w:rPr>
            </w:pPr>
            <w:r w:rsidRPr="00C77C0A">
              <w:rPr>
                <w:rFonts w:cstheme="minorHAnsi"/>
                <w:sz w:val="18"/>
                <w:szCs w:val="18"/>
              </w:rPr>
              <w:t>X</w:t>
            </w:r>
          </w:p>
        </w:tc>
        <w:tc>
          <w:tcPr>
            <w:tcW w:w="1305" w:type="dxa"/>
          </w:tcPr>
          <w:p w14:paraId="0AF1D2A3" w14:textId="77777777" w:rsidR="00672553" w:rsidRPr="00C77C0A" w:rsidRDefault="00672553" w:rsidP="004528A2">
            <w:pPr>
              <w:spacing w:line="360" w:lineRule="auto"/>
              <w:jc w:val="center"/>
              <w:rPr>
                <w:rFonts w:cstheme="minorHAnsi"/>
                <w:sz w:val="18"/>
                <w:szCs w:val="18"/>
              </w:rPr>
            </w:pPr>
          </w:p>
        </w:tc>
      </w:tr>
      <w:tr w:rsidR="00672553" w:rsidRPr="00C77C0A" w14:paraId="62BA2A48" w14:textId="77777777" w:rsidTr="009B2168">
        <w:tc>
          <w:tcPr>
            <w:tcW w:w="2235" w:type="dxa"/>
          </w:tcPr>
          <w:p w14:paraId="4B2EAFBB" w14:textId="77777777" w:rsidR="00672553" w:rsidRPr="00C77C0A" w:rsidRDefault="00672553" w:rsidP="004528A2">
            <w:pPr>
              <w:spacing w:line="360" w:lineRule="auto"/>
              <w:rPr>
                <w:rFonts w:cstheme="minorHAnsi"/>
                <w:sz w:val="18"/>
                <w:szCs w:val="18"/>
              </w:rPr>
            </w:pPr>
            <w:r w:rsidRPr="00C77C0A">
              <w:rPr>
                <w:rFonts w:cstheme="minorHAnsi"/>
                <w:sz w:val="18"/>
                <w:szCs w:val="18"/>
              </w:rPr>
              <w:t>NYHA Classification</w:t>
            </w:r>
          </w:p>
        </w:tc>
        <w:tc>
          <w:tcPr>
            <w:tcW w:w="1485" w:type="dxa"/>
          </w:tcPr>
          <w:p w14:paraId="5918692E" w14:textId="77777777" w:rsidR="00672553" w:rsidRPr="00C77C0A" w:rsidRDefault="00672553" w:rsidP="004528A2">
            <w:pPr>
              <w:spacing w:line="360" w:lineRule="auto"/>
              <w:jc w:val="center"/>
              <w:rPr>
                <w:rFonts w:cstheme="minorHAnsi"/>
                <w:sz w:val="18"/>
                <w:szCs w:val="18"/>
              </w:rPr>
            </w:pPr>
            <w:r w:rsidRPr="00C77C0A">
              <w:rPr>
                <w:rFonts w:cstheme="minorHAnsi"/>
                <w:sz w:val="18"/>
                <w:szCs w:val="18"/>
              </w:rPr>
              <w:t>X</w:t>
            </w:r>
          </w:p>
        </w:tc>
        <w:tc>
          <w:tcPr>
            <w:tcW w:w="1491" w:type="dxa"/>
          </w:tcPr>
          <w:p w14:paraId="1887F828" w14:textId="77777777" w:rsidR="00672553" w:rsidRPr="00C77C0A" w:rsidRDefault="00672553" w:rsidP="004528A2">
            <w:pPr>
              <w:spacing w:line="360" w:lineRule="auto"/>
              <w:jc w:val="center"/>
              <w:rPr>
                <w:rFonts w:cstheme="minorHAnsi"/>
                <w:sz w:val="18"/>
                <w:szCs w:val="18"/>
              </w:rPr>
            </w:pPr>
          </w:p>
        </w:tc>
        <w:tc>
          <w:tcPr>
            <w:tcW w:w="1287" w:type="dxa"/>
          </w:tcPr>
          <w:p w14:paraId="3347E655" w14:textId="77777777" w:rsidR="00672553" w:rsidRPr="00C77C0A" w:rsidRDefault="00672553" w:rsidP="004528A2">
            <w:pPr>
              <w:spacing w:line="360" w:lineRule="auto"/>
              <w:jc w:val="center"/>
              <w:rPr>
                <w:rFonts w:cstheme="minorHAnsi"/>
                <w:sz w:val="18"/>
                <w:szCs w:val="18"/>
              </w:rPr>
            </w:pPr>
          </w:p>
        </w:tc>
        <w:tc>
          <w:tcPr>
            <w:tcW w:w="1439" w:type="dxa"/>
          </w:tcPr>
          <w:p w14:paraId="685C0F83" w14:textId="77777777" w:rsidR="00672553" w:rsidRPr="00C77C0A" w:rsidRDefault="00672553" w:rsidP="004528A2">
            <w:pPr>
              <w:spacing w:line="360" w:lineRule="auto"/>
              <w:jc w:val="center"/>
              <w:rPr>
                <w:rFonts w:cstheme="minorHAnsi"/>
                <w:sz w:val="18"/>
                <w:szCs w:val="18"/>
              </w:rPr>
            </w:pPr>
          </w:p>
        </w:tc>
        <w:tc>
          <w:tcPr>
            <w:tcW w:w="1305" w:type="dxa"/>
          </w:tcPr>
          <w:p w14:paraId="2ECBFD1E" w14:textId="77777777" w:rsidR="00672553" w:rsidRPr="00C77C0A" w:rsidRDefault="00672553" w:rsidP="004528A2">
            <w:pPr>
              <w:spacing w:line="360" w:lineRule="auto"/>
              <w:jc w:val="center"/>
              <w:rPr>
                <w:rFonts w:cstheme="minorHAnsi"/>
                <w:sz w:val="18"/>
                <w:szCs w:val="18"/>
              </w:rPr>
            </w:pPr>
          </w:p>
        </w:tc>
      </w:tr>
      <w:tr w:rsidR="00672553" w:rsidRPr="00C77C0A" w14:paraId="4AD677FA" w14:textId="77777777" w:rsidTr="009B2168">
        <w:tc>
          <w:tcPr>
            <w:tcW w:w="2235" w:type="dxa"/>
          </w:tcPr>
          <w:p w14:paraId="1AF509D0" w14:textId="77777777" w:rsidR="00672553" w:rsidRPr="00C77C0A" w:rsidRDefault="00672553" w:rsidP="004528A2">
            <w:pPr>
              <w:spacing w:line="360" w:lineRule="auto"/>
              <w:rPr>
                <w:rFonts w:cstheme="minorHAnsi"/>
                <w:sz w:val="18"/>
                <w:szCs w:val="18"/>
              </w:rPr>
            </w:pPr>
            <w:r w:rsidRPr="00C77C0A">
              <w:rPr>
                <w:rFonts w:cstheme="minorHAnsi"/>
                <w:sz w:val="18"/>
                <w:szCs w:val="18"/>
              </w:rPr>
              <w:t>Canadian Cardiovascular Society (CCS) Angina Classification</w:t>
            </w:r>
          </w:p>
        </w:tc>
        <w:tc>
          <w:tcPr>
            <w:tcW w:w="1485" w:type="dxa"/>
          </w:tcPr>
          <w:p w14:paraId="45863B7E" w14:textId="77777777" w:rsidR="00672553" w:rsidRPr="00C77C0A" w:rsidRDefault="00672553" w:rsidP="004528A2">
            <w:pPr>
              <w:spacing w:line="360" w:lineRule="auto"/>
              <w:jc w:val="center"/>
              <w:rPr>
                <w:rFonts w:cstheme="minorHAnsi"/>
                <w:sz w:val="18"/>
                <w:szCs w:val="18"/>
              </w:rPr>
            </w:pPr>
            <w:r w:rsidRPr="00C77C0A">
              <w:rPr>
                <w:rFonts w:cstheme="minorHAnsi"/>
                <w:sz w:val="18"/>
                <w:szCs w:val="18"/>
              </w:rPr>
              <w:t>X</w:t>
            </w:r>
          </w:p>
        </w:tc>
        <w:tc>
          <w:tcPr>
            <w:tcW w:w="1491" w:type="dxa"/>
          </w:tcPr>
          <w:p w14:paraId="49A51CD3" w14:textId="77777777" w:rsidR="00672553" w:rsidRPr="00C77C0A" w:rsidRDefault="00672553" w:rsidP="004528A2">
            <w:pPr>
              <w:spacing w:line="360" w:lineRule="auto"/>
              <w:jc w:val="center"/>
              <w:rPr>
                <w:rFonts w:cstheme="minorHAnsi"/>
                <w:sz w:val="18"/>
                <w:szCs w:val="18"/>
              </w:rPr>
            </w:pPr>
          </w:p>
        </w:tc>
        <w:tc>
          <w:tcPr>
            <w:tcW w:w="1287" w:type="dxa"/>
          </w:tcPr>
          <w:p w14:paraId="5E4FB280" w14:textId="77777777" w:rsidR="00672553" w:rsidRPr="00C77C0A" w:rsidRDefault="00672553" w:rsidP="004528A2">
            <w:pPr>
              <w:spacing w:line="360" w:lineRule="auto"/>
              <w:jc w:val="center"/>
              <w:rPr>
                <w:rFonts w:cstheme="minorHAnsi"/>
                <w:sz w:val="18"/>
                <w:szCs w:val="18"/>
              </w:rPr>
            </w:pPr>
          </w:p>
        </w:tc>
        <w:tc>
          <w:tcPr>
            <w:tcW w:w="1439" w:type="dxa"/>
          </w:tcPr>
          <w:p w14:paraId="327FCF43" w14:textId="77777777" w:rsidR="00672553" w:rsidRPr="00C77C0A" w:rsidRDefault="00672553" w:rsidP="004528A2">
            <w:pPr>
              <w:spacing w:line="360" w:lineRule="auto"/>
              <w:jc w:val="center"/>
              <w:rPr>
                <w:rFonts w:cstheme="minorHAnsi"/>
                <w:sz w:val="18"/>
                <w:szCs w:val="18"/>
              </w:rPr>
            </w:pPr>
          </w:p>
        </w:tc>
        <w:tc>
          <w:tcPr>
            <w:tcW w:w="1305" w:type="dxa"/>
          </w:tcPr>
          <w:p w14:paraId="6C3F135B" w14:textId="77777777" w:rsidR="00672553" w:rsidRPr="00C77C0A" w:rsidRDefault="00672553" w:rsidP="004528A2">
            <w:pPr>
              <w:spacing w:line="360" w:lineRule="auto"/>
              <w:jc w:val="center"/>
              <w:rPr>
                <w:rFonts w:cstheme="minorHAnsi"/>
                <w:sz w:val="18"/>
                <w:szCs w:val="18"/>
              </w:rPr>
            </w:pPr>
          </w:p>
        </w:tc>
      </w:tr>
      <w:tr w:rsidR="00672553" w:rsidRPr="00C77C0A" w14:paraId="7EDB00B0" w14:textId="77777777" w:rsidTr="009B2168">
        <w:tc>
          <w:tcPr>
            <w:tcW w:w="2235" w:type="dxa"/>
          </w:tcPr>
          <w:p w14:paraId="20C59DA5" w14:textId="77777777" w:rsidR="00672553" w:rsidRPr="00C77C0A" w:rsidRDefault="00672553" w:rsidP="004528A2">
            <w:pPr>
              <w:spacing w:line="360" w:lineRule="auto"/>
              <w:rPr>
                <w:rFonts w:cstheme="minorHAnsi"/>
                <w:sz w:val="18"/>
                <w:szCs w:val="18"/>
              </w:rPr>
            </w:pPr>
            <w:r w:rsidRPr="00C77C0A">
              <w:rPr>
                <w:rFonts w:cstheme="minorHAnsi"/>
                <w:sz w:val="18"/>
                <w:szCs w:val="18"/>
              </w:rPr>
              <w:t>Laboratory Assessments</w:t>
            </w:r>
          </w:p>
        </w:tc>
        <w:tc>
          <w:tcPr>
            <w:tcW w:w="1485" w:type="dxa"/>
          </w:tcPr>
          <w:p w14:paraId="583D8507" w14:textId="77777777" w:rsidR="00672553" w:rsidRPr="00C77C0A" w:rsidRDefault="00672553" w:rsidP="004528A2">
            <w:pPr>
              <w:spacing w:line="360" w:lineRule="auto"/>
              <w:rPr>
                <w:rFonts w:cstheme="minorHAnsi"/>
                <w:sz w:val="18"/>
                <w:szCs w:val="18"/>
              </w:rPr>
            </w:pPr>
            <w:r w:rsidRPr="00C77C0A">
              <w:rPr>
                <w:rFonts w:cstheme="minorHAnsi"/>
                <w:sz w:val="18"/>
                <w:szCs w:val="18"/>
              </w:rPr>
              <w:t xml:space="preserve">Ck, Platelets, Creatinine, </w:t>
            </w:r>
            <w:proofErr w:type="spellStart"/>
            <w:r w:rsidRPr="00C77C0A">
              <w:rPr>
                <w:rFonts w:cstheme="minorHAnsi"/>
                <w:sz w:val="18"/>
                <w:szCs w:val="18"/>
              </w:rPr>
              <w:t>Haemoglobin</w:t>
            </w:r>
            <w:proofErr w:type="spellEnd"/>
            <w:r w:rsidRPr="00C77C0A">
              <w:rPr>
                <w:rFonts w:cstheme="minorHAnsi"/>
                <w:sz w:val="18"/>
                <w:szCs w:val="18"/>
              </w:rPr>
              <w:t>, BUN</w:t>
            </w:r>
          </w:p>
        </w:tc>
        <w:tc>
          <w:tcPr>
            <w:tcW w:w="1491" w:type="dxa"/>
          </w:tcPr>
          <w:p w14:paraId="4B253F53" w14:textId="3882EC55" w:rsidR="00672553" w:rsidRPr="00C77C0A" w:rsidRDefault="00672553" w:rsidP="004528A2">
            <w:pPr>
              <w:spacing w:line="360" w:lineRule="auto"/>
              <w:rPr>
                <w:rFonts w:cstheme="minorHAnsi"/>
                <w:sz w:val="18"/>
                <w:szCs w:val="18"/>
              </w:rPr>
            </w:pPr>
            <w:r w:rsidRPr="00C77C0A">
              <w:rPr>
                <w:rFonts w:cstheme="minorHAnsi"/>
                <w:sz w:val="18"/>
                <w:szCs w:val="18"/>
              </w:rPr>
              <w:t xml:space="preserve">Troponin </w:t>
            </w:r>
          </w:p>
        </w:tc>
        <w:tc>
          <w:tcPr>
            <w:tcW w:w="1287" w:type="dxa"/>
          </w:tcPr>
          <w:p w14:paraId="6EFB2E90" w14:textId="77777777" w:rsidR="00672553" w:rsidRPr="00C77C0A" w:rsidRDefault="00672553" w:rsidP="004528A2">
            <w:pPr>
              <w:spacing w:line="360" w:lineRule="auto"/>
              <w:rPr>
                <w:rFonts w:cstheme="minorHAnsi"/>
                <w:sz w:val="18"/>
                <w:szCs w:val="18"/>
              </w:rPr>
            </w:pPr>
          </w:p>
        </w:tc>
        <w:tc>
          <w:tcPr>
            <w:tcW w:w="1439" w:type="dxa"/>
          </w:tcPr>
          <w:p w14:paraId="35363B3B" w14:textId="77777777" w:rsidR="00672553" w:rsidRPr="00C77C0A" w:rsidRDefault="00672553" w:rsidP="004528A2">
            <w:pPr>
              <w:spacing w:line="360" w:lineRule="auto"/>
              <w:rPr>
                <w:rFonts w:cstheme="minorHAnsi"/>
                <w:sz w:val="18"/>
                <w:szCs w:val="18"/>
              </w:rPr>
            </w:pPr>
            <w:r w:rsidRPr="00C77C0A">
              <w:rPr>
                <w:rFonts w:cstheme="minorHAnsi"/>
                <w:sz w:val="18"/>
                <w:szCs w:val="18"/>
              </w:rPr>
              <w:t xml:space="preserve">Troponin, CK, CK-MB, Creatinine, </w:t>
            </w:r>
            <w:proofErr w:type="spellStart"/>
            <w:r w:rsidRPr="00C77C0A">
              <w:rPr>
                <w:rFonts w:cstheme="minorHAnsi"/>
                <w:sz w:val="18"/>
                <w:szCs w:val="18"/>
              </w:rPr>
              <w:t>Haemoglobin</w:t>
            </w:r>
            <w:proofErr w:type="spellEnd"/>
          </w:p>
        </w:tc>
        <w:tc>
          <w:tcPr>
            <w:tcW w:w="1305" w:type="dxa"/>
          </w:tcPr>
          <w:p w14:paraId="7C8B1614" w14:textId="77777777" w:rsidR="00672553" w:rsidRPr="00C77C0A" w:rsidRDefault="00672553" w:rsidP="004528A2">
            <w:pPr>
              <w:spacing w:line="360" w:lineRule="auto"/>
              <w:rPr>
                <w:rFonts w:cstheme="minorHAnsi"/>
                <w:sz w:val="18"/>
                <w:szCs w:val="18"/>
              </w:rPr>
            </w:pPr>
          </w:p>
        </w:tc>
      </w:tr>
      <w:tr w:rsidR="00672553" w:rsidRPr="00C77C0A" w14:paraId="2450CF29" w14:textId="77777777" w:rsidTr="009B2168">
        <w:tc>
          <w:tcPr>
            <w:tcW w:w="2235" w:type="dxa"/>
          </w:tcPr>
          <w:p w14:paraId="32B650DB" w14:textId="77777777" w:rsidR="00672553" w:rsidRPr="00C77C0A" w:rsidRDefault="00672553" w:rsidP="004528A2">
            <w:pPr>
              <w:spacing w:line="360" w:lineRule="auto"/>
              <w:rPr>
                <w:rFonts w:cstheme="minorHAnsi"/>
                <w:sz w:val="18"/>
                <w:szCs w:val="18"/>
              </w:rPr>
            </w:pPr>
            <w:r w:rsidRPr="00C77C0A">
              <w:rPr>
                <w:rFonts w:cstheme="minorHAnsi"/>
                <w:sz w:val="18"/>
                <w:szCs w:val="18"/>
              </w:rPr>
              <w:t>Urine pregnancy test, if female of childbearing potential within 7 days of procedure</w:t>
            </w:r>
          </w:p>
        </w:tc>
        <w:tc>
          <w:tcPr>
            <w:tcW w:w="1485" w:type="dxa"/>
          </w:tcPr>
          <w:p w14:paraId="1748B136" w14:textId="77777777" w:rsidR="00672553" w:rsidRPr="00C77C0A" w:rsidRDefault="00672553" w:rsidP="004528A2">
            <w:pPr>
              <w:spacing w:line="360" w:lineRule="auto"/>
              <w:jc w:val="center"/>
              <w:rPr>
                <w:rFonts w:cstheme="minorHAnsi"/>
                <w:sz w:val="18"/>
                <w:szCs w:val="18"/>
              </w:rPr>
            </w:pPr>
            <w:r w:rsidRPr="00C77C0A">
              <w:rPr>
                <w:rFonts w:cstheme="minorHAnsi"/>
                <w:sz w:val="18"/>
                <w:szCs w:val="18"/>
              </w:rPr>
              <w:t>X</w:t>
            </w:r>
          </w:p>
        </w:tc>
        <w:tc>
          <w:tcPr>
            <w:tcW w:w="1491" w:type="dxa"/>
          </w:tcPr>
          <w:p w14:paraId="5AC31B50" w14:textId="77777777" w:rsidR="00672553" w:rsidRPr="00C77C0A" w:rsidRDefault="00672553" w:rsidP="004528A2">
            <w:pPr>
              <w:spacing w:line="360" w:lineRule="auto"/>
              <w:rPr>
                <w:rFonts w:cstheme="minorHAnsi"/>
                <w:sz w:val="18"/>
                <w:szCs w:val="18"/>
              </w:rPr>
            </w:pPr>
          </w:p>
        </w:tc>
        <w:tc>
          <w:tcPr>
            <w:tcW w:w="1287" w:type="dxa"/>
          </w:tcPr>
          <w:p w14:paraId="09FBBCD5" w14:textId="77777777" w:rsidR="00672553" w:rsidRPr="00C77C0A" w:rsidRDefault="00672553" w:rsidP="004528A2">
            <w:pPr>
              <w:spacing w:line="360" w:lineRule="auto"/>
              <w:rPr>
                <w:rFonts w:cstheme="minorHAnsi"/>
                <w:sz w:val="18"/>
                <w:szCs w:val="18"/>
              </w:rPr>
            </w:pPr>
          </w:p>
        </w:tc>
        <w:tc>
          <w:tcPr>
            <w:tcW w:w="1439" w:type="dxa"/>
          </w:tcPr>
          <w:p w14:paraId="1987F905" w14:textId="77777777" w:rsidR="00672553" w:rsidRPr="00C77C0A" w:rsidRDefault="00672553" w:rsidP="004528A2">
            <w:pPr>
              <w:spacing w:line="360" w:lineRule="auto"/>
              <w:rPr>
                <w:rFonts w:cstheme="minorHAnsi"/>
                <w:sz w:val="18"/>
                <w:szCs w:val="18"/>
              </w:rPr>
            </w:pPr>
          </w:p>
        </w:tc>
        <w:tc>
          <w:tcPr>
            <w:tcW w:w="1305" w:type="dxa"/>
          </w:tcPr>
          <w:p w14:paraId="1068ECCB" w14:textId="77777777" w:rsidR="00672553" w:rsidRPr="00C77C0A" w:rsidRDefault="00672553" w:rsidP="004528A2">
            <w:pPr>
              <w:spacing w:line="360" w:lineRule="auto"/>
              <w:rPr>
                <w:rFonts w:cstheme="minorHAnsi"/>
                <w:sz w:val="18"/>
                <w:szCs w:val="18"/>
              </w:rPr>
            </w:pPr>
          </w:p>
        </w:tc>
      </w:tr>
      <w:tr w:rsidR="00672553" w:rsidRPr="00C77C0A" w14:paraId="52F0C789" w14:textId="77777777" w:rsidTr="009B2168">
        <w:tc>
          <w:tcPr>
            <w:tcW w:w="2235" w:type="dxa"/>
          </w:tcPr>
          <w:p w14:paraId="4B282033" w14:textId="77777777" w:rsidR="00672553" w:rsidRPr="00C77C0A" w:rsidRDefault="00672553" w:rsidP="004528A2">
            <w:pPr>
              <w:spacing w:line="360" w:lineRule="auto"/>
              <w:rPr>
                <w:rFonts w:cstheme="minorHAnsi"/>
                <w:sz w:val="18"/>
                <w:szCs w:val="18"/>
              </w:rPr>
            </w:pPr>
            <w:r w:rsidRPr="00C77C0A">
              <w:rPr>
                <w:rFonts w:cstheme="minorHAnsi"/>
                <w:sz w:val="18"/>
                <w:szCs w:val="18"/>
              </w:rPr>
              <w:t>LVEF</w:t>
            </w:r>
          </w:p>
        </w:tc>
        <w:tc>
          <w:tcPr>
            <w:tcW w:w="1485" w:type="dxa"/>
          </w:tcPr>
          <w:p w14:paraId="5D68293B" w14:textId="6EAE8721" w:rsidR="00672553" w:rsidRPr="00C77C0A" w:rsidRDefault="00672553" w:rsidP="004528A2">
            <w:pPr>
              <w:spacing w:line="360" w:lineRule="auto"/>
              <w:jc w:val="center"/>
              <w:rPr>
                <w:rFonts w:cstheme="minorHAnsi"/>
                <w:sz w:val="18"/>
                <w:szCs w:val="18"/>
              </w:rPr>
            </w:pPr>
            <w:r w:rsidRPr="00C77C0A">
              <w:rPr>
                <w:rFonts w:cstheme="minorHAnsi"/>
                <w:sz w:val="18"/>
                <w:szCs w:val="18"/>
              </w:rPr>
              <w:t xml:space="preserve">X </w:t>
            </w:r>
          </w:p>
        </w:tc>
        <w:tc>
          <w:tcPr>
            <w:tcW w:w="1491" w:type="dxa"/>
          </w:tcPr>
          <w:p w14:paraId="00029B12" w14:textId="77777777" w:rsidR="00672553" w:rsidRPr="00C77C0A" w:rsidRDefault="00672553" w:rsidP="004528A2">
            <w:pPr>
              <w:spacing w:line="360" w:lineRule="auto"/>
              <w:jc w:val="center"/>
              <w:rPr>
                <w:rFonts w:cstheme="minorHAnsi"/>
                <w:sz w:val="18"/>
                <w:szCs w:val="18"/>
              </w:rPr>
            </w:pPr>
          </w:p>
        </w:tc>
        <w:tc>
          <w:tcPr>
            <w:tcW w:w="1287" w:type="dxa"/>
          </w:tcPr>
          <w:p w14:paraId="7F03C4D2" w14:textId="77777777" w:rsidR="00672553" w:rsidRPr="00C77C0A" w:rsidRDefault="00672553" w:rsidP="004528A2">
            <w:pPr>
              <w:spacing w:line="360" w:lineRule="auto"/>
              <w:jc w:val="center"/>
              <w:rPr>
                <w:rFonts w:cstheme="minorHAnsi"/>
                <w:sz w:val="18"/>
                <w:szCs w:val="18"/>
              </w:rPr>
            </w:pPr>
          </w:p>
        </w:tc>
        <w:tc>
          <w:tcPr>
            <w:tcW w:w="1439" w:type="dxa"/>
          </w:tcPr>
          <w:p w14:paraId="4EA2B0D7" w14:textId="77777777" w:rsidR="00672553" w:rsidRPr="00C77C0A" w:rsidRDefault="00672553" w:rsidP="004528A2">
            <w:pPr>
              <w:spacing w:line="360" w:lineRule="auto"/>
              <w:jc w:val="center"/>
              <w:rPr>
                <w:rFonts w:cstheme="minorHAnsi"/>
                <w:sz w:val="18"/>
                <w:szCs w:val="18"/>
              </w:rPr>
            </w:pPr>
          </w:p>
        </w:tc>
        <w:tc>
          <w:tcPr>
            <w:tcW w:w="1305" w:type="dxa"/>
          </w:tcPr>
          <w:p w14:paraId="5266F5CE" w14:textId="77777777" w:rsidR="00672553" w:rsidRPr="00C77C0A" w:rsidRDefault="00672553" w:rsidP="004528A2">
            <w:pPr>
              <w:spacing w:line="360" w:lineRule="auto"/>
              <w:jc w:val="center"/>
              <w:rPr>
                <w:rFonts w:cstheme="minorHAnsi"/>
                <w:sz w:val="18"/>
                <w:szCs w:val="18"/>
              </w:rPr>
            </w:pPr>
          </w:p>
        </w:tc>
      </w:tr>
      <w:tr w:rsidR="00672553" w:rsidRPr="00C77C0A" w14:paraId="4811711C" w14:textId="77777777" w:rsidTr="009B2168">
        <w:tc>
          <w:tcPr>
            <w:tcW w:w="2235" w:type="dxa"/>
          </w:tcPr>
          <w:p w14:paraId="7A23BB97" w14:textId="77777777" w:rsidR="00672553" w:rsidRPr="00C77C0A" w:rsidRDefault="00672553" w:rsidP="004528A2">
            <w:pPr>
              <w:spacing w:line="360" w:lineRule="auto"/>
              <w:rPr>
                <w:rFonts w:cstheme="minorHAnsi"/>
                <w:sz w:val="18"/>
                <w:szCs w:val="18"/>
              </w:rPr>
            </w:pPr>
            <w:r w:rsidRPr="00C77C0A">
              <w:rPr>
                <w:rFonts w:cstheme="minorHAnsi"/>
                <w:sz w:val="18"/>
                <w:szCs w:val="18"/>
              </w:rPr>
              <w:t>ECG</w:t>
            </w:r>
          </w:p>
        </w:tc>
        <w:tc>
          <w:tcPr>
            <w:tcW w:w="1485" w:type="dxa"/>
          </w:tcPr>
          <w:p w14:paraId="47E0947A" w14:textId="77777777" w:rsidR="00672553" w:rsidRPr="00C77C0A" w:rsidRDefault="00672553" w:rsidP="004528A2">
            <w:pPr>
              <w:spacing w:line="360" w:lineRule="auto"/>
              <w:jc w:val="center"/>
              <w:rPr>
                <w:rFonts w:cstheme="minorHAnsi"/>
                <w:sz w:val="18"/>
                <w:szCs w:val="18"/>
              </w:rPr>
            </w:pPr>
            <w:r w:rsidRPr="00C77C0A">
              <w:rPr>
                <w:rFonts w:cstheme="minorHAnsi"/>
                <w:sz w:val="18"/>
                <w:szCs w:val="18"/>
              </w:rPr>
              <w:t>X</w:t>
            </w:r>
          </w:p>
        </w:tc>
        <w:tc>
          <w:tcPr>
            <w:tcW w:w="1491" w:type="dxa"/>
          </w:tcPr>
          <w:p w14:paraId="0DACF9A5" w14:textId="77777777" w:rsidR="00672553" w:rsidRPr="00C77C0A" w:rsidRDefault="00672553" w:rsidP="004528A2">
            <w:pPr>
              <w:spacing w:line="360" w:lineRule="auto"/>
              <w:jc w:val="center"/>
              <w:rPr>
                <w:rFonts w:cstheme="minorHAnsi"/>
                <w:sz w:val="18"/>
                <w:szCs w:val="18"/>
              </w:rPr>
            </w:pPr>
          </w:p>
        </w:tc>
        <w:tc>
          <w:tcPr>
            <w:tcW w:w="1287" w:type="dxa"/>
          </w:tcPr>
          <w:p w14:paraId="3FF1E2F1" w14:textId="77777777" w:rsidR="00672553" w:rsidRPr="00C77C0A" w:rsidRDefault="00672553" w:rsidP="004528A2">
            <w:pPr>
              <w:spacing w:line="360" w:lineRule="auto"/>
              <w:jc w:val="center"/>
              <w:rPr>
                <w:rFonts w:cstheme="minorHAnsi"/>
                <w:sz w:val="18"/>
                <w:szCs w:val="18"/>
              </w:rPr>
            </w:pPr>
          </w:p>
        </w:tc>
        <w:tc>
          <w:tcPr>
            <w:tcW w:w="1439" w:type="dxa"/>
          </w:tcPr>
          <w:p w14:paraId="3D9C13A3" w14:textId="77777777" w:rsidR="00672553" w:rsidRPr="00C77C0A" w:rsidRDefault="00672553" w:rsidP="004528A2">
            <w:pPr>
              <w:spacing w:line="360" w:lineRule="auto"/>
              <w:jc w:val="center"/>
              <w:rPr>
                <w:rFonts w:cstheme="minorHAnsi"/>
                <w:sz w:val="18"/>
                <w:szCs w:val="18"/>
              </w:rPr>
            </w:pPr>
            <w:r w:rsidRPr="00C77C0A">
              <w:rPr>
                <w:rFonts w:cstheme="minorHAnsi"/>
                <w:sz w:val="18"/>
                <w:szCs w:val="18"/>
              </w:rPr>
              <w:t>X</w:t>
            </w:r>
          </w:p>
        </w:tc>
        <w:tc>
          <w:tcPr>
            <w:tcW w:w="1305" w:type="dxa"/>
          </w:tcPr>
          <w:p w14:paraId="27AA371F" w14:textId="77777777" w:rsidR="00672553" w:rsidRPr="00C77C0A" w:rsidRDefault="00672553" w:rsidP="004528A2">
            <w:pPr>
              <w:spacing w:line="360" w:lineRule="auto"/>
              <w:jc w:val="center"/>
              <w:rPr>
                <w:rFonts w:cstheme="minorHAnsi"/>
                <w:sz w:val="18"/>
                <w:szCs w:val="18"/>
              </w:rPr>
            </w:pPr>
          </w:p>
        </w:tc>
      </w:tr>
      <w:tr w:rsidR="00672553" w:rsidRPr="00C77C0A" w14:paraId="2FB428C4" w14:textId="77777777" w:rsidTr="009B2168">
        <w:tc>
          <w:tcPr>
            <w:tcW w:w="2235" w:type="dxa"/>
          </w:tcPr>
          <w:p w14:paraId="602D18A2" w14:textId="77777777" w:rsidR="00672553" w:rsidRPr="00C77C0A" w:rsidRDefault="00672553" w:rsidP="004528A2">
            <w:pPr>
              <w:spacing w:line="360" w:lineRule="auto"/>
              <w:rPr>
                <w:rFonts w:cstheme="minorHAnsi"/>
                <w:sz w:val="18"/>
                <w:szCs w:val="18"/>
              </w:rPr>
            </w:pPr>
            <w:r w:rsidRPr="00C77C0A">
              <w:rPr>
                <w:rFonts w:cstheme="minorHAnsi"/>
                <w:sz w:val="18"/>
                <w:szCs w:val="18"/>
              </w:rPr>
              <w:t>Coagulation Studies</w:t>
            </w:r>
          </w:p>
        </w:tc>
        <w:tc>
          <w:tcPr>
            <w:tcW w:w="1485" w:type="dxa"/>
          </w:tcPr>
          <w:p w14:paraId="3D16FA69" w14:textId="77777777" w:rsidR="00672553" w:rsidRPr="00C77C0A" w:rsidRDefault="00672553" w:rsidP="004528A2">
            <w:pPr>
              <w:spacing w:line="360" w:lineRule="auto"/>
              <w:jc w:val="center"/>
              <w:rPr>
                <w:rFonts w:cstheme="minorHAnsi"/>
                <w:sz w:val="18"/>
                <w:szCs w:val="18"/>
              </w:rPr>
            </w:pPr>
            <w:r w:rsidRPr="00C77C0A">
              <w:rPr>
                <w:rFonts w:cstheme="minorHAnsi"/>
                <w:sz w:val="18"/>
                <w:szCs w:val="18"/>
              </w:rPr>
              <w:t>X</w:t>
            </w:r>
          </w:p>
        </w:tc>
        <w:tc>
          <w:tcPr>
            <w:tcW w:w="1491" w:type="dxa"/>
          </w:tcPr>
          <w:p w14:paraId="359155C7" w14:textId="77777777" w:rsidR="00672553" w:rsidRPr="00C77C0A" w:rsidRDefault="00672553" w:rsidP="004528A2">
            <w:pPr>
              <w:spacing w:line="360" w:lineRule="auto"/>
              <w:jc w:val="center"/>
              <w:rPr>
                <w:rFonts w:cstheme="minorHAnsi"/>
                <w:sz w:val="18"/>
                <w:szCs w:val="18"/>
              </w:rPr>
            </w:pPr>
          </w:p>
        </w:tc>
        <w:tc>
          <w:tcPr>
            <w:tcW w:w="1287" w:type="dxa"/>
          </w:tcPr>
          <w:p w14:paraId="23947FA6" w14:textId="77777777" w:rsidR="00672553" w:rsidRPr="00C77C0A" w:rsidRDefault="00672553" w:rsidP="004528A2">
            <w:pPr>
              <w:spacing w:line="360" w:lineRule="auto"/>
              <w:jc w:val="center"/>
              <w:rPr>
                <w:rFonts w:cstheme="minorHAnsi"/>
                <w:sz w:val="18"/>
                <w:szCs w:val="18"/>
              </w:rPr>
            </w:pPr>
          </w:p>
        </w:tc>
        <w:tc>
          <w:tcPr>
            <w:tcW w:w="1439" w:type="dxa"/>
          </w:tcPr>
          <w:p w14:paraId="12F1BA4E" w14:textId="77777777" w:rsidR="00672553" w:rsidRPr="00C77C0A" w:rsidRDefault="00672553" w:rsidP="004528A2">
            <w:pPr>
              <w:spacing w:line="360" w:lineRule="auto"/>
              <w:jc w:val="center"/>
              <w:rPr>
                <w:rFonts w:cstheme="minorHAnsi"/>
                <w:sz w:val="18"/>
                <w:szCs w:val="18"/>
              </w:rPr>
            </w:pPr>
          </w:p>
        </w:tc>
        <w:tc>
          <w:tcPr>
            <w:tcW w:w="1305" w:type="dxa"/>
          </w:tcPr>
          <w:p w14:paraId="5E850240" w14:textId="77777777" w:rsidR="00672553" w:rsidRPr="00C77C0A" w:rsidRDefault="00672553" w:rsidP="004528A2">
            <w:pPr>
              <w:spacing w:line="360" w:lineRule="auto"/>
              <w:jc w:val="center"/>
              <w:rPr>
                <w:rFonts w:cstheme="minorHAnsi"/>
                <w:sz w:val="18"/>
                <w:szCs w:val="18"/>
              </w:rPr>
            </w:pPr>
          </w:p>
        </w:tc>
      </w:tr>
      <w:tr w:rsidR="00672553" w:rsidRPr="00C77C0A" w14:paraId="009DDEAE" w14:textId="77777777" w:rsidTr="009B2168">
        <w:tc>
          <w:tcPr>
            <w:tcW w:w="2235" w:type="dxa"/>
          </w:tcPr>
          <w:p w14:paraId="2D8CC70A" w14:textId="77777777" w:rsidR="00672553" w:rsidRPr="00C77C0A" w:rsidRDefault="00672553" w:rsidP="004528A2">
            <w:pPr>
              <w:spacing w:line="360" w:lineRule="auto"/>
              <w:rPr>
                <w:rFonts w:cstheme="minorHAnsi"/>
                <w:sz w:val="18"/>
                <w:szCs w:val="18"/>
              </w:rPr>
            </w:pPr>
            <w:r w:rsidRPr="00C77C0A">
              <w:rPr>
                <w:rFonts w:cstheme="minorHAnsi"/>
                <w:sz w:val="18"/>
                <w:szCs w:val="18"/>
              </w:rPr>
              <w:t>Angiographic Lesion Assessment</w:t>
            </w:r>
          </w:p>
        </w:tc>
        <w:tc>
          <w:tcPr>
            <w:tcW w:w="1485" w:type="dxa"/>
          </w:tcPr>
          <w:p w14:paraId="0CBC8A53" w14:textId="77777777" w:rsidR="00672553" w:rsidRPr="00C77C0A" w:rsidRDefault="00672553" w:rsidP="004528A2">
            <w:pPr>
              <w:spacing w:line="360" w:lineRule="auto"/>
              <w:jc w:val="center"/>
              <w:rPr>
                <w:rFonts w:cstheme="minorHAnsi"/>
                <w:sz w:val="18"/>
                <w:szCs w:val="18"/>
              </w:rPr>
            </w:pPr>
          </w:p>
        </w:tc>
        <w:tc>
          <w:tcPr>
            <w:tcW w:w="1491" w:type="dxa"/>
          </w:tcPr>
          <w:p w14:paraId="381354C4" w14:textId="77777777" w:rsidR="00672553" w:rsidRPr="00C77C0A" w:rsidRDefault="00672553" w:rsidP="004528A2">
            <w:pPr>
              <w:spacing w:line="360" w:lineRule="auto"/>
              <w:jc w:val="center"/>
              <w:rPr>
                <w:rFonts w:cstheme="minorHAnsi"/>
                <w:sz w:val="18"/>
                <w:szCs w:val="18"/>
              </w:rPr>
            </w:pPr>
            <w:r w:rsidRPr="00C77C0A">
              <w:rPr>
                <w:rFonts w:cstheme="minorHAnsi"/>
                <w:sz w:val="18"/>
                <w:szCs w:val="18"/>
              </w:rPr>
              <w:t>X</w:t>
            </w:r>
          </w:p>
        </w:tc>
        <w:tc>
          <w:tcPr>
            <w:tcW w:w="1287" w:type="dxa"/>
          </w:tcPr>
          <w:p w14:paraId="58A7A909" w14:textId="77777777" w:rsidR="00672553" w:rsidRPr="00C77C0A" w:rsidRDefault="00672553" w:rsidP="004528A2">
            <w:pPr>
              <w:spacing w:line="360" w:lineRule="auto"/>
              <w:jc w:val="center"/>
              <w:rPr>
                <w:rFonts w:cstheme="minorHAnsi"/>
                <w:sz w:val="18"/>
                <w:szCs w:val="18"/>
              </w:rPr>
            </w:pPr>
            <w:r w:rsidRPr="00C77C0A">
              <w:rPr>
                <w:rFonts w:cstheme="minorHAnsi"/>
                <w:sz w:val="18"/>
                <w:szCs w:val="18"/>
              </w:rPr>
              <w:t>X</w:t>
            </w:r>
          </w:p>
        </w:tc>
        <w:tc>
          <w:tcPr>
            <w:tcW w:w="1439" w:type="dxa"/>
          </w:tcPr>
          <w:p w14:paraId="330CA333" w14:textId="77777777" w:rsidR="00672553" w:rsidRPr="00C77C0A" w:rsidRDefault="00672553" w:rsidP="004528A2">
            <w:pPr>
              <w:spacing w:line="360" w:lineRule="auto"/>
              <w:jc w:val="center"/>
              <w:rPr>
                <w:rFonts w:cstheme="minorHAnsi"/>
                <w:sz w:val="18"/>
                <w:szCs w:val="18"/>
              </w:rPr>
            </w:pPr>
          </w:p>
        </w:tc>
        <w:tc>
          <w:tcPr>
            <w:tcW w:w="1305" w:type="dxa"/>
          </w:tcPr>
          <w:p w14:paraId="06DDA8B5" w14:textId="77777777" w:rsidR="00672553" w:rsidRPr="00C77C0A" w:rsidRDefault="00672553" w:rsidP="004528A2">
            <w:pPr>
              <w:spacing w:line="360" w:lineRule="auto"/>
              <w:jc w:val="center"/>
              <w:rPr>
                <w:rFonts w:cstheme="minorHAnsi"/>
                <w:sz w:val="18"/>
                <w:szCs w:val="18"/>
              </w:rPr>
            </w:pPr>
          </w:p>
        </w:tc>
      </w:tr>
      <w:tr w:rsidR="00672553" w:rsidRPr="00C77C0A" w14:paraId="20FC282B" w14:textId="77777777" w:rsidTr="009B2168">
        <w:tc>
          <w:tcPr>
            <w:tcW w:w="2235" w:type="dxa"/>
          </w:tcPr>
          <w:p w14:paraId="43747228" w14:textId="77777777" w:rsidR="00672553" w:rsidRPr="00C77C0A" w:rsidRDefault="00672553" w:rsidP="004528A2">
            <w:pPr>
              <w:spacing w:line="360" w:lineRule="auto"/>
              <w:rPr>
                <w:rFonts w:cstheme="minorHAnsi"/>
                <w:sz w:val="18"/>
                <w:szCs w:val="18"/>
              </w:rPr>
            </w:pPr>
            <w:r w:rsidRPr="00C77C0A">
              <w:rPr>
                <w:rFonts w:cstheme="minorHAnsi"/>
                <w:sz w:val="18"/>
                <w:szCs w:val="18"/>
              </w:rPr>
              <w:t>Medication regime per protocol</w:t>
            </w:r>
          </w:p>
        </w:tc>
        <w:tc>
          <w:tcPr>
            <w:tcW w:w="1485" w:type="dxa"/>
          </w:tcPr>
          <w:p w14:paraId="654C442B" w14:textId="77777777" w:rsidR="00672553" w:rsidRPr="00C77C0A" w:rsidRDefault="00672553" w:rsidP="004528A2">
            <w:pPr>
              <w:spacing w:line="360" w:lineRule="auto"/>
              <w:jc w:val="center"/>
              <w:rPr>
                <w:rFonts w:cstheme="minorHAnsi"/>
                <w:sz w:val="18"/>
                <w:szCs w:val="18"/>
              </w:rPr>
            </w:pPr>
            <w:r w:rsidRPr="00C77C0A">
              <w:rPr>
                <w:rFonts w:cstheme="minorHAnsi"/>
                <w:sz w:val="18"/>
                <w:szCs w:val="18"/>
              </w:rPr>
              <w:t>X</w:t>
            </w:r>
          </w:p>
        </w:tc>
        <w:tc>
          <w:tcPr>
            <w:tcW w:w="1491" w:type="dxa"/>
          </w:tcPr>
          <w:p w14:paraId="39E0108B" w14:textId="77777777" w:rsidR="00672553" w:rsidRPr="00C77C0A" w:rsidRDefault="00672553" w:rsidP="004528A2">
            <w:pPr>
              <w:spacing w:line="360" w:lineRule="auto"/>
              <w:jc w:val="center"/>
              <w:rPr>
                <w:rFonts w:cstheme="minorHAnsi"/>
                <w:sz w:val="18"/>
                <w:szCs w:val="18"/>
              </w:rPr>
            </w:pPr>
          </w:p>
        </w:tc>
        <w:tc>
          <w:tcPr>
            <w:tcW w:w="1287" w:type="dxa"/>
          </w:tcPr>
          <w:p w14:paraId="63E7860D" w14:textId="77777777" w:rsidR="00672553" w:rsidRPr="00C77C0A" w:rsidRDefault="00672553" w:rsidP="004528A2">
            <w:pPr>
              <w:spacing w:line="360" w:lineRule="auto"/>
              <w:jc w:val="center"/>
              <w:rPr>
                <w:rFonts w:cstheme="minorHAnsi"/>
                <w:sz w:val="18"/>
                <w:szCs w:val="18"/>
              </w:rPr>
            </w:pPr>
          </w:p>
        </w:tc>
        <w:tc>
          <w:tcPr>
            <w:tcW w:w="1439" w:type="dxa"/>
          </w:tcPr>
          <w:p w14:paraId="440E8D98" w14:textId="77777777" w:rsidR="00672553" w:rsidRPr="00C77C0A" w:rsidRDefault="00672553" w:rsidP="004528A2">
            <w:pPr>
              <w:spacing w:line="360" w:lineRule="auto"/>
              <w:jc w:val="center"/>
              <w:rPr>
                <w:rFonts w:cstheme="minorHAnsi"/>
                <w:sz w:val="18"/>
                <w:szCs w:val="18"/>
              </w:rPr>
            </w:pPr>
            <w:r w:rsidRPr="00C77C0A">
              <w:rPr>
                <w:rFonts w:cstheme="minorHAnsi"/>
                <w:sz w:val="18"/>
                <w:szCs w:val="18"/>
              </w:rPr>
              <w:t>X</w:t>
            </w:r>
          </w:p>
        </w:tc>
        <w:tc>
          <w:tcPr>
            <w:tcW w:w="1305" w:type="dxa"/>
          </w:tcPr>
          <w:p w14:paraId="7D5AD722" w14:textId="77777777" w:rsidR="00672553" w:rsidRPr="00C77C0A" w:rsidRDefault="00672553" w:rsidP="004528A2">
            <w:pPr>
              <w:spacing w:line="360" w:lineRule="auto"/>
              <w:jc w:val="center"/>
              <w:rPr>
                <w:rFonts w:cstheme="minorHAnsi"/>
                <w:sz w:val="18"/>
                <w:szCs w:val="18"/>
              </w:rPr>
            </w:pPr>
            <w:r w:rsidRPr="00C77C0A">
              <w:rPr>
                <w:rFonts w:cstheme="minorHAnsi"/>
                <w:sz w:val="18"/>
                <w:szCs w:val="18"/>
              </w:rPr>
              <w:t>X</w:t>
            </w:r>
          </w:p>
        </w:tc>
      </w:tr>
      <w:tr w:rsidR="00672553" w:rsidRPr="00C77C0A" w14:paraId="514F4DE5" w14:textId="77777777" w:rsidTr="009B2168">
        <w:tc>
          <w:tcPr>
            <w:tcW w:w="2235" w:type="dxa"/>
          </w:tcPr>
          <w:p w14:paraId="049DB3FF" w14:textId="77777777" w:rsidR="00672553" w:rsidRPr="00C77C0A" w:rsidRDefault="00672553" w:rsidP="004528A2">
            <w:pPr>
              <w:spacing w:line="360" w:lineRule="auto"/>
              <w:rPr>
                <w:rFonts w:cstheme="minorHAnsi"/>
                <w:sz w:val="18"/>
                <w:szCs w:val="18"/>
              </w:rPr>
            </w:pPr>
            <w:r w:rsidRPr="00C77C0A">
              <w:rPr>
                <w:rFonts w:cstheme="minorHAnsi"/>
                <w:sz w:val="18"/>
                <w:szCs w:val="18"/>
              </w:rPr>
              <w:t>Adverse Event Assessment</w:t>
            </w:r>
          </w:p>
        </w:tc>
        <w:tc>
          <w:tcPr>
            <w:tcW w:w="1485" w:type="dxa"/>
          </w:tcPr>
          <w:p w14:paraId="310EDDDB" w14:textId="77777777" w:rsidR="00672553" w:rsidRPr="00C77C0A" w:rsidRDefault="00672553" w:rsidP="004528A2">
            <w:pPr>
              <w:spacing w:line="360" w:lineRule="auto"/>
              <w:jc w:val="center"/>
              <w:rPr>
                <w:rFonts w:cstheme="minorHAnsi"/>
                <w:sz w:val="18"/>
                <w:szCs w:val="18"/>
              </w:rPr>
            </w:pPr>
          </w:p>
        </w:tc>
        <w:tc>
          <w:tcPr>
            <w:tcW w:w="1491" w:type="dxa"/>
          </w:tcPr>
          <w:p w14:paraId="2261F872" w14:textId="77777777" w:rsidR="00672553" w:rsidRPr="00C77C0A" w:rsidRDefault="00672553" w:rsidP="004528A2">
            <w:pPr>
              <w:spacing w:line="360" w:lineRule="auto"/>
              <w:jc w:val="center"/>
              <w:rPr>
                <w:rFonts w:cstheme="minorHAnsi"/>
                <w:sz w:val="18"/>
                <w:szCs w:val="18"/>
              </w:rPr>
            </w:pPr>
            <w:r w:rsidRPr="00C77C0A">
              <w:rPr>
                <w:rFonts w:cstheme="minorHAnsi"/>
                <w:sz w:val="18"/>
                <w:szCs w:val="18"/>
              </w:rPr>
              <w:t>X</w:t>
            </w:r>
          </w:p>
        </w:tc>
        <w:tc>
          <w:tcPr>
            <w:tcW w:w="1287" w:type="dxa"/>
          </w:tcPr>
          <w:p w14:paraId="2384F7BF" w14:textId="77777777" w:rsidR="00672553" w:rsidRPr="00C77C0A" w:rsidRDefault="00672553" w:rsidP="004528A2">
            <w:pPr>
              <w:spacing w:line="360" w:lineRule="auto"/>
              <w:jc w:val="center"/>
              <w:rPr>
                <w:rFonts w:cstheme="minorHAnsi"/>
                <w:sz w:val="18"/>
                <w:szCs w:val="18"/>
              </w:rPr>
            </w:pPr>
            <w:r w:rsidRPr="00C77C0A">
              <w:rPr>
                <w:rFonts w:cstheme="minorHAnsi"/>
                <w:sz w:val="18"/>
                <w:szCs w:val="18"/>
              </w:rPr>
              <w:t>X</w:t>
            </w:r>
          </w:p>
        </w:tc>
        <w:tc>
          <w:tcPr>
            <w:tcW w:w="1439" w:type="dxa"/>
          </w:tcPr>
          <w:p w14:paraId="3F21150E" w14:textId="77777777" w:rsidR="00672553" w:rsidRPr="00C77C0A" w:rsidRDefault="00672553" w:rsidP="004528A2">
            <w:pPr>
              <w:spacing w:line="360" w:lineRule="auto"/>
              <w:jc w:val="center"/>
              <w:rPr>
                <w:rFonts w:cstheme="minorHAnsi"/>
                <w:sz w:val="18"/>
                <w:szCs w:val="18"/>
              </w:rPr>
            </w:pPr>
            <w:r w:rsidRPr="00C77C0A">
              <w:rPr>
                <w:rFonts w:cstheme="minorHAnsi"/>
                <w:sz w:val="18"/>
                <w:szCs w:val="18"/>
              </w:rPr>
              <w:t>X</w:t>
            </w:r>
          </w:p>
        </w:tc>
        <w:tc>
          <w:tcPr>
            <w:tcW w:w="1305" w:type="dxa"/>
          </w:tcPr>
          <w:p w14:paraId="73319C8A" w14:textId="77777777" w:rsidR="00672553" w:rsidRPr="00C77C0A" w:rsidRDefault="00672553" w:rsidP="004528A2">
            <w:pPr>
              <w:spacing w:line="360" w:lineRule="auto"/>
              <w:jc w:val="center"/>
              <w:rPr>
                <w:rFonts w:cstheme="minorHAnsi"/>
                <w:sz w:val="18"/>
                <w:szCs w:val="18"/>
              </w:rPr>
            </w:pPr>
            <w:r w:rsidRPr="00C77C0A">
              <w:rPr>
                <w:rFonts w:cstheme="minorHAnsi"/>
                <w:sz w:val="18"/>
                <w:szCs w:val="18"/>
              </w:rPr>
              <w:t>X</w:t>
            </w:r>
          </w:p>
        </w:tc>
      </w:tr>
    </w:tbl>
    <w:p w14:paraId="71F048D5" w14:textId="77777777" w:rsidR="00083D8D" w:rsidRPr="001138D5" w:rsidRDefault="00083D8D" w:rsidP="004528A2">
      <w:pPr>
        <w:spacing w:line="360" w:lineRule="auto"/>
        <w:rPr>
          <w:rFonts w:cstheme="minorHAnsi"/>
          <w:sz w:val="22"/>
          <w:szCs w:val="22"/>
        </w:rPr>
      </w:pPr>
    </w:p>
    <w:p w14:paraId="49983FB5" w14:textId="08CE847C" w:rsidR="007A5B2D" w:rsidRPr="001138D5" w:rsidRDefault="004C2740" w:rsidP="004528A2">
      <w:pPr>
        <w:pStyle w:val="Heading3"/>
        <w:spacing w:line="360" w:lineRule="auto"/>
        <w:rPr>
          <w:rFonts w:asciiTheme="minorHAnsi" w:hAnsiTheme="minorHAnsi" w:cstheme="minorHAnsi"/>
          <w:sz w:val="22"/>
          <w:szCs w:val="22"/>
        </w:rPr>
      </w:pPr>
      <w:r w:rsidRPr="001138D5">
        <w:rPr>
          <w:rFonts w:asciiTheme="minorHAnsi" w:hAnsiTheme="minorHAnsi" w:cstheme="minorHAnsi"/>
          <w:sz w:val="22"/>
          <w:szCs w:val="22"/>
        </w:rPr>
        <w:t xml:space="preserve">Data analysis </w:t>
      </w:r>
    </w:p>
    <w:p w14:paraId="58AC6D51" w14:textId="6571D850" w:rsidR="00B53A79" w:rsidRPr="001138D5" w:rsidRDefault="007A5B2D" w:rsidP="004528A2">
      <w:pPr>
        <w:spacing w:line="360" w:lineRule="auto"/>
        <w:rPr>
          <w:rFonts w:cstheme="minorHAnsi"/>
          <w:sz w:val="22"/>
          <w:szCs w:val="22"/>
        </w:rPr>
      </w:pPr>
      <w:r w:rsidRPr="001138D5">
        <w:rPr>
          <w:rFonts w:cstheme="minorHAnsi"/>
          <w:sz w:val="22"/>
          <w:szCs w:val="22"/>
        </w:rPr>
        <w:t xml:space="preserve">Statistical analysis will be performed using International Business Machines Statistical Package for the Social Sciences (IBM SPSS) Statistics 26.0 software. </w:t>
      </w:r>
      <w:r w:rsidR="00F472D9" w:rsidRPr="001138D5">
        <w:rPr>
          <w:rFonts w:cstheme="minorHAnsi"/>
          <w:sz w:val="22"/>
          <w:szCs w:val="22"/>
        </w:rPr>
        <w:t xml:space="preserve">There will be no </w:t>
      </w:r>
      <w:r w:rsidR="00AD68F3" w:rsidRPr="001138D5">
        <w:rPr>
          <w:rFonts w:cstheme="minorHAnsi"/>
          <w:sz w:val="22"/>
          <w:szCs w:val="22"/>
        </w:rPr>
        <w:t xml:space="preserve">power assessment and only </w:t>
      </w:r>
      <w:r w:rsidR="00AD68F3" w:rsidRPr="001138D5">
        <w:rPr>
          <w:rFonts w:cstheme="minorHAnsi"/>
          <w:sz w:val="22"/>
          <w:szCs w:val="22"/>
        </w:rPr>
        <w:lastRenderedPageBreak/>
        <w:t>descriptive statistics will be reported</w:t>
      </w:r>
      <w:r w:rsidR="002F4ACD" w:rsidRPr="001138D5">
        <w:rPr>
          <w:rFonts w:cstheme="minorHAnsi"/>
          <w:sz w:val="22"/>
          <w:szCs w:val="22"/>
        </w:rPr>
        <w:t xml:space="preserve">. </w:t>
      </w:r>
      <w:r w:rsidRPr="001138D5">
        <w:rPr>
          <w:rFonts w:cstheme="minorHAnsi"/>
          <w:sz w:val="22"/>
          <w:szCs w:val="22"/>
        </w:rPr>
        <w:t xml:space="preserve">The continuous variables will be reported as mean +/- standard deviation or medial and interquartile range (IQR) as appropriate. </w:t>
      </w:r>
    </w:p>
    <w:p w14:paraId="5223187D" w14:textId="77777777" w:rsidR="004C2740" w:rsidRPr="001138D5" w:rsidRDefault="004C2740" w:rsidP="004528A2">
      <w:pPr>
        <w:pStyle w:val="Heading2"/>
        <w:spacing w:line="360" w:lineRule="auto"/>
        <w:rPr>
          <w:rFonts w:cstheme="minorHAnsi"/>
          <w:sz w:val="22"/>
          <w:szCs w:val="22"/>
        </w:rPr>
      </w:pPr>
      <w:r w:rsidRPr="001138D5">
        <w:rPr>
          <w:rFonts w:cstheme="minorHAnsi"/>
          <w:sz w:val="22"/>
          <w:szCs w:val="22"/>
        </w:rPr>
        <w:t>Data Management</w:t>
      </w:r>
    </w:p>
    <w:p w14:paraId="26142586" w14:textId="2635629F" w:rsidR="00503CF2" w:rsidRPr="005553AD" w:rsidRDefault="00F9676D" w:rsidP="004528A2">
      <w:pPr>
        <w:pStyle w:val="Heading3"/>
        <w:spacing w:line="360" w:lineRule="auto"/>
        <w:rPr>
          <w:rStyle w:val="normaltextrun1"/>
          <w:rFonts w:asciiTheme="minorHAnsi" w:hAnsiTheme="minorHAnsi" w:cstheme="minorHAnsi"/>
          <w:b w:val="0"/>
          <w:bCs w:val="0"/>
          <w:sz w:val="22"/>
          <w:szCs w:val="22"/>
          <w:u w:val="single"/>
          <w:lang w:val="en-US"/>
        </w:rPr>
      </w:pPr>
      <w:r w:rsidRPr="005553AD">
        <w:rPr>
          <w:rStyle w:val="normaltextrun1"/>
          <w:rFonts w:asciiTheme="minorHAnsi" w:hAnsiTheme="minorHAnsi" w:cstheme="minorHAnsi"/>
          <w:b w:val="0"/>
          <w:bCs w:val="0"/>
          <w:sz w:val="22"/>
          <w:szCs w:val="22"/>
          <w:u w:val="single"/>
          <w:lang w:val="en-US"/>
        </w:rPr>
        <w:t>Storage and Monitoring</w:t>
      </w:r>
    </w:p>
    <w:p w14:paraId="15AC5973" w14:textId="341C23C2" w:rsidR="008C73F5" w:rsidRPr="001138D5" w:rsidRDefault="008C73F5" w:rsidP="004528A2">
      <w:pPr>
        <w:pStyle w:val="paragraph"/>
        <w:spacing w:line="360" w:lineRule="auto"/>
        <w:textAlignment w:val="baseline"/>
        <w:rPr>
          <w:rFonts w:asciiTheme="minorHAnsi" w:hAnsiTheme="minorHAnsi" w:cstheme="minorHAnsi"/>
          <w:sz w:val="22"/>
          <w:szCs w:val="22"/>
          <w:lang w:val="en-US"/>
        </w:rPr>
      </w:pPr>
      <w:r w:rsidRPr="001138D5">
        <w:rPr>
          <w:rStyle w:val="normaltextrun1"/>
          <w:rFonts w:asciiTheme="minorHAnsi" w:hAnsiTheme="minorHAnsi" w:cstheme="minorHAnsi"/>
          <w:sz w:val="22"/>
          <w:szCs w:val="22"/>
          <w:lang w:val="en-US"/>
        </w:rPr>
        <w:t>All data for this trial will be entered into a secure and confidential electronic database. This database will only be assessable t</w:t>
      </w:r>
      <w:r w:rsidR="00F61B22">
        <w:rPr>
          <w:rStyle w:val="normaltextrun1"/>
          <w:rFonts w:asciiTheme="minorHAnsi" w:hAnsiTheme="minorHAnsi" w:cstheme="minorHAnsi"/>
          <w:sz w:val="22"/>
          <w:szCs w:val="22"/>
          <w:lang w:val="en-US"/>
        </w:rPr>
        <w:t>o</w:t>
      </w:r>
      <w:r w:rsidRPr="001138D5">
        <w:rPr>
          <w:rStyle w:val="normaltextrun1"/>
          <w:rFonts w:asciiTheme="minorHAnsi" w:hAnsiTheme="minorHAnsi" w:cstheme="minorHAnsi"/>
          <w:sz w:val="22"/>
          <w:szCs w:val="22"/>
          <w:lang w:val="en-US"/>
        </w:rPr>
        <w:t xml:space="preserve"> those who are recording the data, the investigators, and statisticians. Health professionals who are providing care to the participants (medical officers, nursing staff, allied health, </w:t>
      </w:r>
      <w:proofErr w:type="spellStart"/>
      <w:r w:rsidRPr="001138D5">
        <w:rPr>
          <w:rStyle w:val="normaltextrun1"/>
          <w:rFonts w:asciiTheme="minorHAnsi" w:hAnsiTheme="minorHAnsi" w:cstheme="minorHAnsi"/>
          <w:sz w:val="22"/>
          <w:szCs w:val="22"/>
          <w:lang w:val="en-US"/>
        </w:rPr>
        <w:t>etc</w:t>
      </w:r>
      <w:proofErr w:type="spellEnd"/>
      <w:r w:rsidRPr="001138D5">
        <w:rPr>
          <w:rStyle w:val="normaltextrun1"/>
          <w:rFonts w:asciiTheme="minorHAnsi" w:hAnsiTheme="minorHAnsi" w:cstheme="minorHAnsi"/>
          <w:sz w:val="22"/>
          <w:szCs w:val="22"/>
          <w:lang w:val="en-US"/>
        </w:rPr>
        <w:t>) will not have access to this database.</w:t>
      </w:r>
      <w:r w:rsidRPr="001138D5">
        <w:rPr>
          <w:rStyle w:val="eop"/>
          <w:rFonts w:asciiTheme="minorHAnsi" w:hAnsiTheme="minorHAnsi" w:cstheme="minorHAnsi"/>
          <w:sz w:val="22"/>
          <w:szCs w:val="22"/>
          <w:lang w:val="en-US"/>
        </w:rPr>
        <w:t> </w:t>
      </w:r>
    </w:p>
    <w:p w14:paraId="5ECF70CF" w14:textId="5C53A598" w:rsidR="008C73F5" w:rsidRPr="005553AD" w:rsidRDefault="008C73F5" w:rsidP="004528A2">
      <w:pPr>
        <w:pStyle w:val="Heading3"/>
        <w:spacing w:line="360" w:lineRule="auto"/>
        <w:rPr>
          <w:rFonts w:asciiTheme="minorHAnsi" w:hAnsiTheme="minorHAnsi" w:cstheme="minorHAnsi"/>
          <w:b w:val="0"/>
          <w:bCs w:val="0"/>
          <w:sz w:val="22"/>
          <w:szCs w:val="22"/>
          <w:u w:val="single"/>
        </w:rPr>
      </w:pPr>
      <w:r w:rsidRPr="005553AD">
        <w:rPr>
          <w:rStyle w:val="normaltextrun1"/>
          <w:rFonts w:asciiTheme="minorHAnsi" w:hAnsiTheme="minorHAnsi" w:cstheme="minorHAnsi"/>
          <w:b w:val="0"/>
          <w:bCs w:val="0"/>
          <w:sz w:val="22"/>
          <w:szCs w:val="22"/>
          <w:u w:val="single"/>
        </w:rPr>
        <w:t>Destruction and confidentiality.</w:t>
      </w:r>
      <w:r w:rsidRPr="005553AD">
        <w:rPr>
          <w:rStyle w:val="eop"/>
          <w:rFonts w:asciiTheme="minorHAnsi" w:hAnsiTheme="minorHAnsi" w:cstheme="minorHAnsi"/>
          <w:b w:val="0"/>
          <w:bCs w:val="0"/>
          <w:sz w:val="22"/>
          <w:szCs w:val="22"/>
          <w:u w:val="single"/>
        </w:rPr>
        <w:t> </w:t>
      </w:r>
    </w:p>
    <w:p w14:paraId="5223187F" w14:textId="19796F72" w:rsidR="004C2740" w:rsidRPr="004528A2" w:rsidRDefault="008C73F5" w:rsidP="004528A2">
      <w:pPr>
        <w:pStyle w:val="paragraph"/>
        <w:spacing w:line="360" w:lineRule="auto"/>
        <w:textAlignment w:val="baseline"/>
        <w:rPr>
          <w:rFonts w:asciiTheme="minorHAnsi" w:hAnsiTheme="minorHAnsi" w:cstheme="minorHAnsi"/>
          <w:sz w:val="22"/>
          <w:szCs w:val="22"/>
          <w:lang w:val="en-US"/>
        </w:rPr>
      </w:pPr>
      <w:r w:rsidRPr="001138D5">
        <w:rPr>
          <w:rStyle w:val="normaltextrun1"/>
          <w:rFonts w:asciiTheme="minorHAnsi" w:hAnsiTheme="minorHAnsi" w:cstheme="minorHAnsi"/>
          <w:sz w:val="22"/>
          <w:szCs w:val="22"/>
          <w:lang w:val="en-US"/>
        </w:rPr>
        <w:t>Data will be stored for a minimum of five years after the end of the main analysis of the trial, in accordance with the NHMRC guidelines. Paper records will be stored in a locked storage room. Electronic records will be stored in password protected files on a password protected server within the Mackay HHS. After 5 years we will erase all the data and destroy the paper records.</w:t>
      </w:r>
      <w:r w:rsidRPr="001138D5">
        <w:rPr>
          <w:rStyle w:val="eop"/>
          <w:rFonts w:asciiTheme="minorHAnsi" w:hAnsiTheme="minorHAnsi" w:cstheme="minorHAnsi"/>
          <w:sz w:val="22"/>
          <w:szCs w:val="22"/>
          <w:lang w:val="en-US"/>
        </w:rPr>
        <w:t> </w:t>
      </w:r>
    </w:p>
    <w:p w14:paraId="52231880" w14:textId="77777777" w:rsidR="004C2740" w:rsidRPr="001138D5" w:rsidRDefault="004C2740" w:rsidP="004528A2">
      <w:pPr>
        <w:pStyle w:val="Heading2"/>
        <w:spacing w:line="360" w:lineRule="auto"/>
        <w:rPr>
          <w:rFonts w:cstheme="minorHAnsi"/>
          <w:sz w:val="22"/>
          <w:szCs w:val="22"/>
        </w:rPr>
      </w:pPr>
      <w:r w:rsidRPr="001138D5">
        <w:rPr>
          <w:rFonts w:cstheme="minorHAnsi"/>
          <w:sz w:val="22"/>
          <w:szCs w:val="22"/>
        </w:rPr>
        <w:t xml:space="preserve">Ethical and Safety Considerations </w:t>
      </w:r>
    </w:p>
    <w:p w14:paraId="52231881" w14:textId="77777777" w:rsidR="004C2740" w:rsidRPr="00471A03" w:rsidRDefault="004C2740" w:rsidP="004528A2">
      <w:pPr>
        <w:pStyle w:val="Heading3"/>
        <w:spacing w:line="360" w:lineRule="auto"/>
        <w:rPr>
          <w:rFonts w:asciiTheme="minorHAnsi" w:hAnsiTheme="minorHAnsi" w:cstheme="minorHAnsi"/>
          <w:b w:val="0"/>
          <w:bCs w:val="0"/>
          <w:sz w:val="22"/>
          <w:szCs w:val="22"/>
          <w:u w:val="single"/>
        </w:rPr>
      </w:pPr>
      <w:r w:rsidRPr="00471A03">
        <w:rPr>
          <w:rFonts w:asciiTheme="minorHAnsi" w:hAnsiTheme="minorHAnsi" w:cstheme="minorHAnsi"/>
          <w:b w:val="0"/>
          <w:bCs w:val="0"/>
          <w:sz w:val="22"/>
          <w:szCs w:val="22"/>
          <w:u w:val="single"/>
        </w:rPr>
        <w:t>Research related risks</w:t>
      </w:r>
    </w:p>
    <w:p w14:paraId="41EF5673" w14:textId="3DA27C74" w:rsidR="001D587D" w:rsidRPr="001138D5" w:rsidRDefault="00040D25" w:rsidP="004528A2">
      <w:pPr>
        <w:spacing w:line="360" w:lineRule="auto"/>
        <w:rPr>
          <w:rFonts w:cstheme="minorHAnsi"/>
          <w:sz w:val="22"/>
          <w:szCs w:val="22"/>
        </w:rPr>
      </w:pPr>
      <w:r w:rsidRPr="00040D25">
        <w:rPr>
          <w:rFonts w:cstheme="minorHAnsi"/>
          <w:sz w:val="22"/>
          <w:szCs w:val="22"/>
        </w:rPr>
        <w:t xml:space="preserve">There are no additional foreseeable risks associated with this project. Participation in the study is voluntary. Participants will be able to withdraw from the study at any point without prejudice, by contacting the Primary Investigator. Coronary IVL has safely and effectively facilitated stent implantation in severely calcified lesions with no adverse events in similar study populations. The primary safety endpoint is the MACE rate (Major Adverse Cardiac Events) within 30 days or 6 months after surgery. DISRUPT CAD III was a prospective, </w:t>
      </w:r>
      <w:proofErr w:type="spellStart"/>
      <w:r w:rsidRPr="00040D25">
        <w:rPr>
          <w:rFonts w:cstheme="minorHAnsi"/>
          <w:sz w:val="22"/>
          <w:szCs w:val="22"/>
        </w:rPr>
        <w:t>multicentre</w:t>
      </w:r>
      <w:proofErr w:type="spellEnd"/>
      <w:r w:rsidRPr="00040D25">
        <w:rPr>
          <w:rFonts w:cstheme="minorHAnsi"/>
          <w:sz w:val="22"/>
          <w:szCs w:val="22"/>
        </w:rPr>
        <w:t xml:space="preserve"> study involving 47 sites in 4 countries, which found the incidence of MACE within 30 days was 7.8% (Hill et al, 2020). DISRUPT CAD III confirms and extends prior observations from smaller studies (DISRUPT CAD I and DISRUPT CAD II) regarding the safety of IVL, which showed similar MACE rates. This is despite most U.S operators in the DISRUPT CAD studies having no prior experience with the IVL technology. Participants in this study would otherwise be undertaking alternative percutaneous coronary interventions, which share </w:t>
      </w:r>
      <w:proofErr w:type="spellStart"/>
      <w:r w:rsidRPr="00040D25">
        <w:rPr>
          <w:rFonts w:cstheme="minorHAnsi"/>
          <w:sz w:val="22"/>
          <w:szCs w:val="22"/>
        </w:rPr>
        <w:t>share</w:t>
      </w:r>
      <w:proofErr w:type="spellEnd"/>
      <w:r w:rsidRPr="00040D25">
        <w:rPr>
          <w:rFonts w:cstheme="minorHAnsi"/>
          <w:sz w:val="22"/>
          <w:szCs w:val="22"/>
        </w:rPr>
        <w:t xml:space="preserve"> similar if not greater risks than are involved in coronary IVL. MACE rates in these coronary IVL studies can be compared with other percutaneous coronary interventions of similar inclusion/exclusion criteria, endpoints and definitions to further evaluate the risks of this research. In these comparisons, coronary IVL has lower </w:t>
      </w:r>
      <w:proofErr w:type="gramStart"/>
      <w:r w:rsidRPr="00040D25">
        <w:rPr>
          <w:rFonts w:cstheme="minorHAnsi"/>
          <w:sz w:val="22"/>
          <w:szCs w:val="22"/>
        </w:rPr>
        <w:t>30 day</w:t>
      </w:r>
      <w:proofErr w:type="gramEnd"/>
      <w:r w:rsidRPr="00040D25">
        <w:rPr>
          <w:rFonts w:cstheme="minorHAnsi"/>
          <w:sz w:val="22"/>
          <w:szCs w:val="22"/>
        </w:rPr>
        <w:t xml:space="preserve"> MACE rate than orbital atherectomy, which was demonstrated in the ORBIT II trail to have 9.4% MACE rates (Chambers et al, 2014).</w:t>
      </w:r>
      <w:r w:rsidRPr="00040D25" w:rsidDel="00040D25">
        <w:rPr>
          <w:rFonts w:cstheme="minorHAnsi"/>
          <w:sz w:val="22"/>
          <w:szCs w:val="22"/>
        </w:rPr>
        <w:t xml:space="preserve"> </w:t>
      </w:r>
      <w:r w:rsidR="001D587D" w:rsidRPr="00471A03">
        <w:rPr>
          <w:rFonts w:cstheme="minorHAnsi"/>
          <w:sz w:val="22"/>
          <w:szCs w:val="22"/>
        </w:rPr>
        <w:t xml:space="preserve">No alterations in </w:t>
      </w:r>
      <w:r w:rsidR="005E510C" w:rsidRPr="00471A03">
        <w:rPr>
          <w:rFonts w:cstheme="minorHAnsi"/>
          <w:sz w:val="22"/>
          <w:szCs w:val="22"/>
        </w:rPr>
        <w:t xml:space="preserve">other aspects of </w:t>
      </w:r>
      <w:r w:rsidR="001D587D" w:rsidRPr="00471A03">
        <w:rPr>
          <w:rFonts w:cstheme="minorHAnsi"/>
          <w:sz w:val="22"/>
          <w:szCs w:val="22"/>
        </w:rPr>
        <w:t xml:space="preserve">clinical care will occur as a result of the study, and the </w:t>
      </w:r>
      <w:r w:rsidR="00030FD7" w:rsidRPr="00471A03">
        <w:rPr>
          <w:rFonts w:cstheme="minorHAnsi"/>
          <w:sz w:val="22"/>
          <w:szCs w:val="22"/>
        </w:rPr>
        <w:t>cardiologist undertaking the procedure will have standard</w:t>
      </w:r>
      <w:r w:rsidR="001D587D" w:rsidRPr="00471A03">
        <w:rPr>
          <w:rFonts w:cstheme="minorHAnsi"/>
          <w:sz w:val="22"/>
          <w:szCs w:val="22"/>
        </w:rPr>
        <w:t xml:space="preserve"> resources available at the time of operation to manage </w:t>
      </w:r>
      <w:r w:rsidR="009812C5" w:rsidRPr="00471A03">
        <w:rPr>
          <w:rFonts w:cstheme="minorHAnsi"/>
          <w:sz w:val="22"/>
          <w:szCs w:val="22"/>
        </w:rPr>
        <w:t>the usual risk of adverse events.</w:t>
      </w:r>
      <w:r w:rsidR="001D587D" w:rsidRPr="001138D5">
        <w:rPr>
          <w:rFonts w:cstheme="minorHAnsi"/>
          <w:sz w:val="22"/>
          <w:szCs w:val="22"/>
        </w:rPr>
        <w:t xml:space="preserve"> </w:t>
      </w:r>
    </w:p>
    <w:p w14:paraId="5E4ACDFC" w14:textId="0303EA7B" w:rsidR="006E655B" w:rsidRPr="001138D5" w:rsidRDefault="006E655B" w:rsidP="006E655B">
      <w:pPr>
        <w:spacing w:line="360" w:lineRule="auto"/>
        <w:rPr>
          <w:rFonts w:cstheme="minorHAnsi"/>
          <w:sz w:val="22"/>
          <w:szCs w:val="22"/>
        </w:rPr>
      </w:pPr>
      <w:r w:rsidRPr="001138D5">
        <w:rPr>
          <w:rFonts w:cstheme="minorHAnsi"/>
          <w:sz w:val="22"/>
          <w:szCs w:val="22"/>
        </w:rPr>
        <w:t xml:space="preserve">We will seek to employ safety monitoring processes that are commensurate with the details of our proposed research. We appreciate that this technology has not been used previously at MBH, and that is why our proposal is for a pilot with a small number of participants, where risk of adverse events can be closely monitored. </w:t>
      </w:r>
      <w:r w:rsidR="00F06334">
        <w:rPr>
          <w:rFonts w:cstheme="minorHAnsi"/>
          <w:sz w:val="22"/>
          <w:szCs w:val="22"/>
        </w:rPr>
        <w:t xml:space="preserve">An independent </w:t>
      </w:r>
      <w:r w:rsidR="003C0CB2">
        <w:rPr>
          <w:rFonts w:cstheme="minorHAnsi"/>
          <w:sz w:val="22"/>
          <w:szCs w:val="22"/>
        </w:rPr>
        <w:t xml:space="preserve">data and </w:t>
      </w:r>
      <w:r w:rsidR="00F06334">
        <w:rPr>
          <w:rFonts w:cstheme="minorHAnsi"/>
          <w:sz w:val="22"/>
          <w:szCs w:val="22"/>
        </w:rPr>
        <w:t>safety monitor</w:t>
      </w:r>
      <w:r w:rsidR="003C0CB2">
        <w:rPr>
          <w:rFonts w:cstheme="minorHAnsi"/>
          <w:sz w:val="22"/>
          <w:szCs w:val="22"/>
        </w:rPr>
        <w:t>ing board</w:t>
      </w:r>
      <w:r w:rsidR="00F06334">
        <w:rPr>
          <w:rFonts w:cstheme="minorHAnsi"/>
          <w:sz w:val="22"/>
          <w:szCs w:val="22"/>
        </w:rPr>
        <w:t xml:space="preserve"> </w:t>
      </w:r>
      <w:r w:rsidR="004A458F">
        <w:rPr>
          <w:rFonts w:cstheme="minorHAnsi"/>
          <w:sz w:val="22"/>
          <w:szCs w:val="22"/>
        </w:rPr>
        <w:t xml:space="preserve">(DSMB) </w:t>
      </w:r>
      <w:r w:rsidR="00F06334">
        <w:rPr>
          <w:rFonts w:cstheme="minorHAnsi"/>
          <w:sz w:val="22"/>
          <w:szCs w:val="22"/>
        </w:rPr>
        <w:t>will</w:t>
      </w:r>
      <w:r w:rsidR="003C0CB2">
        <w:rPr>
          <w:rFonts w:cstheme="minorHAnsi"/>
          <w:sz w:val="22"/>
          <w:szCs w:val="22"/>
        </w:rPr>
        <w:t xml:space="preserve"> be established to</w:t>
      </w:r>
      <w:r w:rsidR="00F06334">
        <w:rPr>
          <w:rFonts w:cstheme="minorHAnsi"/>
          <w:sz w:val="22"/>
          <w:szCs w:val="22"/>
        </w:rPr>
        <w:t xml:space="preserve"> review the study data and any adverse events. </w:t>
      </w:r>
    </w:p>
    <w:p w14:paraId="129FDD7E" w14:textId="3AAD4B44" w:rsidR="00485B4D" w:rsidRPr="001138D5" w:rsidRDefault="00485B4D" w:rsidP="00485B4D">
      <w:pPr>
        <w:spacing w:line="360" w:lineRule="auto"/>
        <w:rPr>
          <w:rFonts w:cstheme="minorHAnsi"/>
          <w:sz w:val="22"/>
          <w:szCs w:val="22"/>
        </w:rPr>
      </w:pPr>
      <w:r w:rsidRPr="001138D5">
        <w:rPr>
          <w:rFonts w:cstheme="minorHAnsi"/>
          <w:sz w:val="22"/>
          <w:szCs w:val="22"/>
        </w:rPr>
        <w:t>The investigators will assess all safety events and will act on any event as clinical care dictates. The Principle Investigator will provide MHHS, the HREC, an</w:t>
      </w:r>
      <w:r w:rsidR="00F06334">
        <w:rPr>
          <w:rFonts w:cstheme="minorHAnsi"/>
          <w:sz w:val="22"/>
          <w:szCs w:val="22"/>
        </w:rPr>
        <w:t xml:space="preserve">d the independent </w:t>
      </w:r>
      <w:r w:rsidR="004A458F">
        <w:rPr>
          <w:rFonts w:cstheme="minorHAnsi"/>
          <w:sz w:val="22"/>
          <w:szCs w:val="22"/>
        </w:rPr>
        <w:t>DSMB</w:t>
      </w:r>
      <w:r w:rsidRPr="001138D5">
        <w:rPr>
          <w:rFonts w:cstheme="minorHAnsi"/>
          <w:sz w:val="22"/>
          <w:szCs w:val="22"/>
        </w:rPr>
        <w:t xml:space="preserve"> all relevant information relating to any serious adverse events and any significant safety issues </w:t>
      </w:r>
      <w:r w:rsidR="00F06334">
        <w:rPr>
          <w:rFonts w:cstheme="minorHAnsi"/>
          <w:sz w:val="22"/>
          <w:szCs w:val="22"/>
        </w:rPr>
        <w:t>potentially</w:t>
      </w:r>
      <w:r w:rsidRPr="001138D5">
        <w:rPr>
          <w:rFonts w:cstheme="minorHAnsi"/>
          <w:sz w:val="22"/>
          <w:szCs w:val="22"/>
        </w:rPr>
        <w:t xml:space="preserve"> lead</w:t>
      </w:r>
      <w:r w:rsidR="00F06334">
        <w:rPr>
          <w:rFonts w:cstheme="minorHAnsi"/>
          <w:sz w:val="22"/>
          <w:szCs w:val="22"/>
        </w:rPr>
        <w:t>ing</w:t>
      </w:r>
      <w:r w:rsidRPr="001138D5">
        <w:rPr>
          <w:rFonts w:cstheme="minorHAnsi"/>
          <w:sz w:val="22"/>
          <w:szCs w:val="22"/>
        </w:rPr>
        <w:t xml:space="preserve"> to a serious adverse event. </w:t>
      </w:r>
    </w:p>
    <w:p w14:paraId="79749E41" w14:textId="6E02C14D" w:rsidR="00783773" w:rsidRPr="00D10E5C" w:rsidRDefault="00783773" w:rsidP="004528A2">
      <w:pPr>
        <w:spacing w:line="360" w:lineRule="auto"/>
        <w:rPr>
          <w:rFonts w:cstheme="minorHAnsi"/>
          <w:sz w:val="22"/>
          <w:szCs w:val="22"/>
          <w:u w:val="single"/>
        </w:rPr>
      </w:pPr>
      <w:r w:rsidRPr="00D10E5C">
        <w:rPr>
          <w:rFonts w:cstheme="minorHAnsi"/>
          <w:sz w:val="22"/>
          <w:szCs w:val="22"/>
          <w:u w:val="single"/>
        </w:rPr>
        <w:t>Adverse event</w:t>
      </w:r>
      <w:r w:rsidR="006D194D">
        <w:rPr>
          <w:rFonts w:cstheme="minorHAnsi"/>
          <w:sz w:val="22"/>
          <w:szCs w:val="22"/>
          <w:u w:val="single"/>
        </w:rPr>
        <w:t>s</w:t>
      </w:r>
    </w:p>
    <w:p w14:paraId="67A75D57" w14:textId="411E7CCC" w:rsidR="00783773" w:rsidRPr="00D10E5C" w:rsidRDefault="00783773" w:rsidP="004528A2">
      <w:pPr>
        <w:spacing w:line="360" w:lineRule="auto"/>
        <w:rPr>
          <w:rFonts w:cstheme="minorHAnsi"/>
          <w:sz w:val="22"/>
          <w:szCs w:val="22"/>
        </w:rPr>
      </w:pPr>
      <w:r w:rsidRPr="00D10E5C">
        <w:rPr>
          <w:rFonts w:cstheme="minorHAnsi"/>
          <w:sz w:val="22"/>
          <w:szCs w:val="22"/>
        </w:rPr>
        <w:t>The following definitions will apply to this study, as per the NHMRC Guidance: Safety monitoring and reporting in clinical trials involving therapeutic goods (Nov 2016).</w:t>
      </w:r>
    </w:p>
    <w:p w14:paraId="49A6862F" w14:textId="348D6FFD" w:rsidR="00783773" w:rsidRPr="00D10E5C" w:rsidRDefault="00783773" w:rsidP="004528A2">
      <w:pPr>
        <w:spacing w:line="360" w:lineRule="auto"/>
        <w:rPr>
          <w:sz w:val="22"/>
          <w:szCs w:val="22"/>
        </w:rPr>
      </w:pPr>
      <w:r w:rsidRPr="00D10E5C">
        <w:rPr>
          <w:rFonts w:cstheme="minorHAnsi"/>
          <w:b/>
          <w:bCs/>
          <w:sz w:val="22"/>
          <w:szCs w:val="22"/>
        </w:rPr>
        <w:t>Adverse event (AE)</w:t>
      </w:r>
      <w:r w:rsidRPr="00D10E5C">
        <w:rPr>
          <w:rFonts w:cstheme="minorHAnsi"/>
          <w:sz w:val="22"/>
          <w:szCs w:val="22"/>
        </w:rPr>
        <w:t xml:space="preserve"> - </w:t>
      </w:r>
      <w:r w:rsidRPr="00D10E5C">
        <w:rPr>
          <w:sz w:val="22"/>
          <w:szCs w:val="22"/>
        </w:rPr>
        <w:t>Any untoward medical occurrence in a patient or clinical trial participant administered a medicinal product and that does not necessarily have a causal relationship with this treatment.</w:t>
      </w:r>
    </w:p>
    <w:p w14:paraId="1535954B" w14:textId="77777777" w:rsidR="00783773" w:rsidRPr="00D10E5C" w:rsidRDefault="00783773" w:rsidP="004528A2">
      <w:pPr>
        <w:spacing w:line="360" w:lineRule="auto"/>
        <w:rPr>
          <w:sz w:val="22"/>
          <w:szCs w:val="22"/>
        </w:rPr>
      </w:pPr>
      <w:r w:rsidRPr="00D10E5C">
        <w:rPr>
          <w:b/>
          <w:bCs/>
          <w:sz w:val="22"/>
          <w:szCs w:val="22"/>
        </w:rPr>
        <w:t>Adverse Reaction (AR)</w:t>
      </w:r>
      <w:r w:rsidRPr="00D10E5C">
        <w:rPr>
          <w:sz w:val="22"/>
          <w:szCs w:val="22"/>
        </w:rPr>
        <w:t xml:space="preserve"> - </w:t>
      </w:r>
      <w:r w:rsidRPr="00D10E5C">
        <w:rPr>
          <w:sz w:val="22"/>
          <w:szCs w:val="22"/>
        </w:rPr>
        <w:t xml:space="preserve">Any untoward and unintended response to an investigational medicinal product related to any dose administered. </w:t>
      </w:r>
    </w:p>
    <w:p w14:paraId="4CCEC73B" w14:textId="0BEA4722" w:rsidR="00783773" w:rsidRPr="00D10E5C" w:rsidRDefault="00783773" w:rsidP="004528A2">
      <w:pPr>
        <w:spacing w:line="360" w:lineRule="auto"/>
        <w:rPr>
          <w:sz w:val="22"/>
          <w:szCs w:val="22"/>
        </w:rPr>
      </w:pPr>
      <w:r w:rsidRPr="00D10E5C">
        <w:rPr>
          <w:sz w:val="22"/>
          <w:szCs w:val="22"/>
        </w:rPr>
        <w:t>Comment: All adverse events judged by either the r</w:t>
      </w:r>
      <w:r w:rsidR="004A458F">
        <w:rPr>
          <w:sz w:val="22"/>
          <w:szCs w:val="22"/>
        </w:rPr>
        <w:t>esearch team or the treating team</w:t>
      </w:r>
      <w:r w:rsidRPr="00D10E5C">
        <w:rPr>
          <w:sz w:val="22"/>
          <w:szCs w:val="22"/>
        </w:rPr>
        <w:t xml:space="preserve"> as having a reasonable possibility of a causal relationship to an investigational medicinal product would qualify as adverse reactions. The expression ‘reasonable causal relationship’ means to convey, in general, that there is evidence or argument to suggest a causal relationship.</w:t>
      </w:r>
    </w:p>
    <w:p w14:paraId="2E302BAE" w14:textId="088C6A61" w:rsidR="00783773" w:rsidRPr="00D10E5C" w:rsidRDefault="00783773" w:rsidP="004528A2">
      <w:pPr>
        <w:spacing w:line="360" w:lineRule="auto"/>
        <w:rPr>
          <w:sz w:val="22"/>
          <w:szCs w:val="22"/>
        </w:rPr>
      </w:pPr>
      <w:r w:rsidRPr="00D10E5C">
        <w:rPr>
          <w:b/>
          <w:bCs/>
          <w:sz w:val="22"/>
          <w:szCs w:val="22"/>
        </w:rPr>
        <w:t>Serious Adverse Event (SAE)/Serious Adverse Reaction (SAR)</w:t>
      </w:r>
      <w:r w:rsidRPr="00D10E5C">
        <w:rPr>
          <w:sz w:val="22"/>
          <w:szCs w:val="22"/>
        </w:rPr>
        <w:t xml:space="preserve"> - </w:t>
      </w:r>
      <w:r w:rsidRPr="00D10E5C">
        <w:rPr>
          <w:sz w:val="22"/>
          <w:szCs w:val="22"/>
        </w:rPr>
        <w:t>Any adverse event/adverse reaction that results in death, is life</w:t>
      </w:r>
      <w:r>
        <w:rPr>
          <w:sz w:val="22"/>
          <w:szCs w:val="22"/>
        </w:rPr>
        <w:t xml:space="preserve"> </w:t>
      </w:r>
      <w:r w:rsidRPr="00D10E5C">
        <w:rPr>
          <w:sz w:val="22"/>
          <w:szCs w:val="22"/>
        </w:rPr>
        <w:t xml:space="preserve">threatening, requires </w:t>
      </w:r>
      <w:proofErr w:type="spellStart"/>
      <w:r w:rsidRPr="00D10E5C">
        <w:rPr>
          <w:sz w:val="22"/>
          <w:szCs w:val="22"/>
        </w:rPr>
        <w:t>hospitalisation</w:t>
      </w:r>
      <w:proofErr w:type="spellEnd"/>
      <w:r w:rsidRPr="00D10E5C">
        <w:rPr>
          <w:sz w:val="22"/>
          <w:szCs w:val="22"/>
        </w:rPr>
        <w:t xml:space="preserve"> or prolongation of existing </w:t>
      </w:r>
      <w:proofErr w:type="spellStart"/>
      <w:r w:rsidRPr="00D10E5C">
        <w:rPr>
          <w:sz w:val="22"/>
          <w:szCs w:val="22"/>
        </w:rPr>
        <w:t>hospitalisation</w:t>
      </w:r>
      <w:proofErr w:type="spellEnd"/>
      <w:r w:rsidRPr="00D10E5C">
        <w:rPr>
          <w:sz w:val="22"/>
          <w:szCs w:val="22"/>
        </w:rPr>
        <w:t xml:space="preserve">, results in persistent or significant disability or incapacity, or is a congenital anomaly or birth defect. </w:t>
      </w:r>
    </w:p>
    <w:p w14:paraId="65116F66" w14:textId="68EB83E7" w:rsidR="00783773" w:rsidRPr="00D10E5C" w:rsidRDefault="00783773" w:rsidP="004528A2">
      <w:pPr>
        <w:spacing w:line="360" w:lineRule="auto"/>
        <w:rPr>
          <w:sz w:val="22"/>
          <w:szCs w:val="22"/>
        </w:rPr>
      </w:pPr>
      <w:r w:rsidRPr="00D10E5C">
        <w:rPr>
          <w:sz w:val="22"/>
          <w:szCs w:val="22"/>
        </w:rPr>
        <w:t xml:space="preserve">Note: Life-threatening in the definition of a serious adverse event or serious adverse reaction refers to an event in which the participant was at risk of death at the time of the event. It does not refer to an event that hypothetically might have caused death if it were more severe. </w:t>
      </w:r>
    </w:p>
    <w:p w14:paraId="61C2B657" w14:textId="0DD9D319" w:rsidR="00783773" w:rsidRPr="00D10E5C" w:rsidRDefault="00783773" w:rsidP="004528A2">
      <w:pPr>
        <w:spacing w:line="360" w:lineRule="auto"/>
        <w:rPr>
          <w:sz w:val="22"/>
          <w:szCs w:val="22"/>
        </w:rPr>
      </w:pPr>
      <w:r w:rsidRPr="00D10E5C">
        <w:rPr>
          <w:sz w:val="22"/>
          <w:szCs w:val="22"/>
        </w:rPr>
        <w:t>Note: Medical and scientific judgement should be exercised in deciding whether an adverse event/ reaction should be classified as serious in other situations. Important medical events that are not immediately life</w:t>
      </w:r>
      <w:r>
        <w:rPr>
          <w:sz w:val="22"/>
          <w:szCs w:val="22"/>
        </w:rPr>
        <w:t xml:space="preserve"> </w:t>
      </w:r>
      <w:r w:rsidRPr="00D10E5C">
        <w:rPr>
          <w:sz w:val="22"/>
          <w:szCs w:val="22"/>
        </w:rPr>
        <w:t xml:space="preserve">threatening or do not result in death or </w:t>
      </w:r>
      <w:proofErr w:type="spellStart"/>
      <w:proofErr w:type="gramStart"/>
      <w:r w:rsidRPr="00D10E5C">
        <w:rPr>
          <w:sz w:val="22"/>
          <w:szCs w:val="22"/>
        </w:rPr>
        <w:t>hospitalisation</w:t>
      </w:r>
      <w:proofErr w:type="spellEnd"/>
      <w:r w:rsidRPr="00D10E5C">
        <w:rPr>
          <w:sz w:val="22"/>
          <w:szCs w:val="22"/>
        </w:rPr>
        <w:t>, but</w:t>
      </w:r>
      <w:proofErr w:type="gramEnd"/>
      <w:r w:rsidRPr="00D10E5C">
        <w:rPr>
          <w:sz w:val="22"/>
          <w:szCs w:val="22"/>
        </w:rPr>
        <w:t xml:space="preserve"> may </w:t>
      </w:r>
      <w:proofErr w:type="spellStart"/>
      <w:r w:rsidRPr="00D10E5C">
        <w:rPr>
          <w:sz w:val="22"/>
          <w:szCs w:val="22"/>
        </w:rPr>
        <w:t>jeopardise</w:t>
      </w:r>
      <w:proofErr w:type="spellEnd"/>
      <w:r w:rsidRPr="00D10E5C">
        <w:rPr>
          <w:sz w:val="22"/>
          <w:szCs w:val="22"/>
        </w:rPr>
        <w:t xml:space="preserve"> the participant or may require intervention to prevent one of the other outcomes listed in the definition above should also be considered serious.</w:t>
      </w:r>
    </w:p>
    <w:p w14:paraId="275F06FE" w14:textId="39DFA24E" w:rsidR="00783773" w:rsidRPr="00D10E5C" w:rsidRDefault="00783773" w:rsidP="004528A2">
      <w:pPr>
        <w:spacing w:line="360" w:lineRule="auto"/>
        <w:rPr>
          <w:sz w:val="22"/>
          <w:szCs w:val="22"/>
        </w:rPr>
      </w:pPr>
      <w:r w:rsidRPr="00D10E5C">
        <w:rPr>
          <w:b/>
          <w:bCs/>
          <w:sz w:val="22"/>
          <w:szCs w:val="22"/>
        </w:rPr>
        <w:t>Significant safety issue (SSI)</w:t>
      </w:r>
      <w:r w:rsidRPr="00D10E5C">
        <w:rPr>
          <w:sz w:val="22"/>
          <w:szCs w:val="22"/>
        </w:rPr>
        <w:t xml:space="preserve"> - </w:t>
      </w:r>
      <w:r w:rsidRPr="00D10E5C">
        <w:rPr>
          <w:sz w:val="22"/>
          <w:szCs w:val="22"/>
        </w:rPr>
        <w:t>A safety issue that could adversely affect the safety of participants or materially impact on the continued ethical acceptability of the conduct of the trial.</w:t>
      </w:r>
    </w:p>
    <w:p w14:paraId="53625D6E" w14:textId="788420F9" w:rsidR="00783773" w:rsidRDefault="00783773" w:rsidP="004528A2">
      <w:pPr>
        <w:spacing w:line="360" w:lineRule="auto"/>
        <w:rPr>
          <w:sz w:val="22"/>
          <w:szCs w:val="22"/>
        </w:rPr>
      </w:pPr>
      <w:r w:rsidRPr="00D10E5C">
        <w:rPr>
          <w:b/>
          <w:bCs/>
          <w:sz w:val="22"/>
          <w:szCs w:val="22"/>
        </w:rPr>
        <w:t>Suspected unexpected serious adverse reaction (SUSAR)</w:t>
      </w:r>
      <w:r w:rsidRPr="00D10E5C">
        <w:rPr>
          <w:sz w:val="22"/>
          <w:szCs w:val="22"/>
        </w:rPr>
        <w:t xml:space="preserve"> - </w:t>
      </w:r>
      <w:r w:rsidRPr="00D10E5C">
        <w:rPr>
          <w:sz w:val="22"/>
          <w:szCs w:val="22"/>
        </w:rPr>
        <w:t>An adverse reaction that is both serious and unexpected.</w:t>
      </w:r>
    </w:p>
    <w:p w14:paraId="0D693B69" w14:textId="77777777" w:rsidR="008C4B18" w:rsidRDefault="008C4B18" w:rsidP="008C4B18">
      <w:pPr>
        <w:spacing w:line="360" w:lineRule="auto"/>
        <w:rPr>
          <w:sz w:val="22"/>
          <w:szCs w:val="22"/>
        </w:rPr>
      </w:pPr>
      <w:r w:rsidRPr="00D10E5C">
        <w:rPr>
          <w:sz w:val="22"/>
          <w:szCs w:val="22"/>
        </w:rPr>
        <w:t xml:space="preserve">AEs are expected when their nature and severity are consistent with the current Product Information Brochure. </w:t>
      </w:r>
    </w:p>
    <w:p w14:paraId="69F9243F" w14:textId="1F171E81" w:rsidR="008C4B18" w:rsidRDefault="008C4B18" w:rsidP="008C4B18">
      <w:pPr>
        <w:spacing w:line="360" w:lineRule="auto"/>
        <w:rPr>
          <w:sz w:val="22"/>
          <w:szCs w:val="22"/>
        </w:rPr>
      </w:pPr>
      <w:r w:rsidRPr="00D10E5C">
        <w:rPr>
          <w:sz w:val="22"/>
          <w:szCs w:val="22"/>
        </w:rPr>
        <w:t xml:space="preserve">SAEs are to be reported for events that occur after </w:t>
      </w:r>
      <w:r w:rsidR="006D194D">
        <w:rPr>
          <w:sz w:val="22"/>
          <w:szCs w:val="22"/>
        </w:rPr>
        <w:t xml:space="preserve">enrollment </w:t>
      </w:r>
      <w:r w:rsidRPr="00D10E5C">
        <w:rPr>
          <w:sz w:val="22"/>
          <w:szCs w:val="22"/>
        </w:rPr>
        <w:t>and up to 3 months post</w:t>
      </w:r>
      <w:r w:rsidR="006D194D">
        <w:rPr>
          <w:sz w:val="22"/>
          <w:szCs w:val="22"/>
        </w:rPr>
        <w:t>-IVL</w:t>
      </w:r>
      <w:r w:rsidRPr="00D10E5C">
        <w:rPr>
          <w:sz w:val="22"/>
          <w:szCs w:val="22"/>
        </w:rPr>
        <w:t xml:space="preserve">, and are unexpected given the participant’s underlying condition, and in the opinion of the investigator the event is related to the </w:t>
      </w:r>
      <w:r w:rsidR="006D194D">
        <w:rPr>
          <w:sz w:val="22"/>
          <w:szCs w:val="22"/>
        </w:rPr>
        <w:t>IVL procedure/device</w:t>
      </w:r>
      <w:r w:rsidRPr="00D10E5C">
        <w:rPr>
          <w:sz w:val="22"/>
          <w:szCs w:val="22"/>
        </w:rPr>
        <w:t xml:space="preserve">. </w:t>
      </w:r>
    </w:p>
    <w:p w14:paraId="4EE1C660" w14:textId="7ABEA214" w:rsidR="008C4B18" w:rsidRPr="00D10E5C" w:rsidRDefault="008C4B18" w:rsidP="00D10E5C">
      <w:pPr>
        <w:spacing w:line="360" w:lineRule="auto"/>
        <w:rPr>
          <w:sz w:val="22"/>
          <w:szCs w:val="22"/>
        </w:rPr>
      </w:pPr>
      <w:r w:rsidRPr="00D10E5C">
        <w:rPr>
          <w:sz w:val="22"/>
          <w:szCs w:val="22"/>
        </w:rPr>
        <w:t xml:space="preserve">SAEs and SUSARs are to be reported within 24 hours of the </w:t>
      </w:r>
      <w:r w:rsidR="006D194D">
        <w:rPr>
          <w:sz w:val="22"/>
          <w:szCs w:val="22"/>
        </w:rPr>
        <w:t>research team</w:t>
      </w:r>
      <w:r w:rsidRPr="00D10E5C">
        <w:rPr>
          <w:sz w:val="22"/>
          <w:szCs w:val="22"/>
        </w:rPr>
        <w:t xml:space="preserve"> becoming aware of the event, using the</w:t>
      </w:r>
      <w:r w:rsidR="006D194D">
        <w:rPr>
          <w:sz w:val="22"/>
          <w:szCs w:val="22"/>
        </w:rPr>
        <w:t xml:space="preserve"> ‘Reporting of Adverse Event’ form</w:t>
      </w:r>
      <w:r w:rsidRPr="00D10E5C">
        <w:rPr>
          <w:sz w:val="22"/>
          <w:szCs w:val="22"/>
        </w:rPr>
        <w:t>.</w:t>
      </w:r>
    </w:p>
    <w:p w14:paraId="1BED2C8A" w14:textId="70C948A0" w:rsidR="008C4B18" w:rsidRPr="00D10E5C" w:rsidRDefault="008C4B18" w:rsidP="00D10E5C">
      <w:pPr>
        <w:spacing w:line="360" w:lineRule="auto"/>
        <w:rPr>
          <w:sz w:val="22"/>
          <w:szCs w:val="22"/>
        </w:rPr>
      </w:pPr>
      <w:r w:rsidRPr="00D10E5C">
        <w:rPr>
          <w:sz w:val="22"/>
          <w:szCs w:val="22"/>
        </w:rPr>
        <w:t xml:space="preserve">SAE and SUSAR reports will be </w:t>
      </w:r>
      <w:r w:rsidR="006D194D">
        <w:rPr>
          <w:sz w:val="22"/>
          <w:szCs w:val="22"/>
        </w:rPr>
        <w:t>reviewed by the DSMC</w:t>
      </w:r>
      <w:r w:rsidRPr="00D10E5C">
        <w:rPr>
          <w:sz w:val="22"/>
          <w:szCs w:val="22"/>
        </w:rPr>
        <w:t>, as stipulated under ICH-GCP guidelines and the NHMRC Guidance: Safety monitoring and reporting in clinical trials involving therapeutic goods (Nov 2016). The DSMC are responsible for informing the relevant HRECs and the Administering Institution for the trial. The DSMC</w:t>
      </w:r>
      <w:r w:rsidR="006D194D">
        <w:rPr>
          <w:sz w:val="22"/>
          <w:szCs w:val="22"/>
        </w:rPr>
        <w:t xml:space="preserve"> </w:t>
      </w:r>
      <w:r w:rsidRPr="00D10E5C">
        <w:rPr>
          <w:sz w:val="22"/>
          <w:szCs w:val="22"/>
        </w:rPr>
        <w:t xml:space="preserve">will act in an advisory capacity to the trial Steering Committee and will, in addition to the interim analysis, monitor withdrawals, review ethical conduct of the trial and SAEs. </w:t>
      </w:r>
    </w:p>
    <w:p w14:paraId="52231883" w14:textId="5C324602" w:rsidR="004C2740" w:rsidRPr="00134BFF" w:rsidRDefault="004C2740" w:rsidP="004528A2">
      <w:pPr>
        <w:pStyle w:val="Heading3"/>
        <w:spacing w:line="360" w:lineRule="auto"/>
        <w:rPr>
          <w:rFonts w:asciiTheme="minorHAnsi" w:hAnsiTheme="minorHAnsi" w:cstheme="minorHAnsi"/>
          <w:b w:val="0"/>
          <w:bCs w:val="0"/>
          <w:sz w:val="22"/>
          <w:szCs w:val="22"/>
          <w:u w:val="single"/>
        </w:rPr>
      </w:pPr>
      <w:r w:rsidRPr="00134BFF">
        <w:rPr>
          <w:rFonts w:asciiTheme="minorHAnsi" w:hAnsiTheme="minorHAnsi" w:cstheme="minorHAnsi"/>
          <w:b w:val="0"/>
          <w:bCs w:val="0"/>
          <w:sz w:val="22"/>
          <w:szCs w:val="22"/>
          <w:u w:val="single"/>
        </w:rPr>
        <w:lastRenderedPageBreak/>
        <w:t xml:space="preserve">Researcher safety </w:t>
      </w:r>
    </w:p>
    <w:p w14:paraId="52231884" w14:textId="63531459" w:rsidR="00D94389" w:rsidRPr="00FE248B" w:rsidRDefault="00C67B12" w:rsidP="004528A2">
      <w:pPr>
        <w:spacing w:line="360" w:lineRule="auto"/>
        <w:rPr>
          <w:rFonts w:cstheme="minorHAnsi"/>
          <w:sz w:val="22"/>
          <w:szCs w:val="22"/>
          <w:lang w:val="en-AU"/>
        </w:rPr>
      </w:pPr>
      <w:r w:rsidRPr="001138D5">
        <w:rPr>
          <w:rFonts w:cstheme="minorHAnsi"/>
          <w:sz w:val="22"/>
          <w:szCs w:val="22"/>
          <w:lang w:val="en-AU"/>
        </w:rPr>
        <w:t xml:space="preserve">All investigators involved in the project will </w:t>
      </w:r>
      <w:r w:rsidR="008E0983" w:rsidRPr="001138D5">
        <w:rPr>
          <w:rFonts w:cstheme="minorHAnsi"/>
          <w:sz w:val="22"/>
          <w:szCs w:val="22"/>
          <w:lang w:val="en-AU"/>
        </w:rPr>
        <w:t>conduct the project such that it complies wit</w:t>
      </w:r>
      <w:r w:rsidR="00134BFF">
        <w:rPr>
          <w:rFonts w:cstheme="minorHAnsi"/>
          <w:sz w:val="22"/>
          <w:szCs w:val="22"/>
          <w:lang w:val="en-AU"/>
        </w:rPr>
        <w:t>h the r</w:t>
      </w:r>
      <w:r w:rsidR="008E0983" w:rsidRPr="00134BFF">
        <w:rPr>
          <w:rFonts w:cstheme="minorHAnsi"/>
          <w:sz w:val="22"/>
          <w:szCs w:val="22"/>
          <w:lang w:val="en-AU"/>
        </w:rPr>
        <w:t>espective professional Code of Conduct</w:t>
      </w:r>
      <w:r w:rsidR="00134BFF">
        <w:rPr>
          <w:rFonts w:cstheme="minorHAnsi"/>
          <w:sz w:val="22"/>
          <w:szCs w:val="22"/>
          <w:lang w:val="en-AU"/>
        </w:rPr>
        <w:t xml:space="preserve">. There are no additional </w:t>
      </w:r>
      <w:r w:rsidR="00DE7C04">
        <w:rPr>
          <w:rFonts w:cstheme="minorHAnsi"/>
          <w:sz w:val="22"/>
          <w:szCs w:val="22"/>
          <w:lang w:val="en-AU"/>
        </w:rPr>
        <w:t>risks to clinicians beyond standard occupational</w:t>
      </w:r>
      <w:r w:rsidR="00FE248B">
        <w:rPr>
          <w:rFonts w:cstheme="minorHAnsi"/>
          <w:sz w:val="22"/>
          <w:szCs w:val="22"/>
          <w:lang w:val="en-AU"/>
        </w:rPr>
        <w:t xml:space="preserve"> r</w:t>
      </w:r>
      <w:r w:rsidR="00006271" w:rsidRPr="001138D5">
        <w:rPr>
          <w:rFonts w:cstheme="minorHAnsi"/>
          <w:sz w:val="22"/>
          <w:szCs w:val="22"/>
          <w:lang w:val="en-AU"/>
        </w:rPr>
        <w:t>equirements</w:t>
      </w:r>
      <w:r w:rsidR="00FE248B">
        <w:rPr>
          <w:rFonts w:cstheme="minorHAnsi"/>
          <w:sz w:val="22"/>
          <w:szCs w:val="22"/>
          <w:lang w:val="en-AU"/>
        </w:rPr>
        <w:t>.</w:t>
      </w:r>
    </w:p>
    <w:p w14:paraId="5E9736A1" w14:textId="6CCA841C" w:rsidR="00030307" w:rsidRPr="00030307" w:rsidRDefault="004C2740" w:rsidP="004528A2">
      <w:pPr>
        <w:pStyle w:val="Heading2"/>
        <w:spacing w:line="360" w:lineRule="auto"/>
        <w:rPr>
          <w:rFonts w:cstheme="minorHAnsi"/>
          <w:sz w:val="22"/>
          <w:szCs w:val="22"/>
        </w:rPr>
      </w:pPr>
      <w:r w:rsidRPr="001138D5">
        <w:rPr>
          <w:rFonts w:cstheme="minorHAnsi"/>
          <w:sz w:val="22"/>
          <w:szCs w:val="22"/>
        </w:rPr>
        <w:t>Project</w:t>
      </w:r>
      <w:r w:rsidR="00030307">
        <w:rPr>
          <w:rFonts w:cstheme="minorHAnsi"/>
          <w:sz w:val="22"/>
          <w:szCs w:val="22"/>
        </w:rPr>
        <w:t xml:space="preserve"> feasibility</w:t>
      </w:r>
    </w:p>
    <w:p w14:paraId="52231886" w14:textId="229CA388" w:rsidR="004C2740" w:rsidRDefault="003D2753" w:rsidP="004528A2">
      <w:pPr>
        <w:spacing w:after="0" w:line="360" w:lineRule="auto"/>
        <w:rPr>
          <w:rFonts w:cstheme="minorHAnsi"/>
          <w:sz w:val="22"/>
          <w:szCs w:val="22"/>
        </w:rPr>
      </w:pPr>
      <w:r>
        <w:rPr>
          <w:rFonts w:cstheme="minorHAnsi"/>
          <w:sz w:val="22"/>
          <w:szCs w:val="22"/>
        </w:rPr>
        <w:t xml:space="preserve">Appropriate support will be provided for this </w:t>
      </w:r>
      <w:r w:rsidR="00A87792">
        <w:rPr>
          <w:rFonts w:cstheme="minorHAnsi"/>
          <w:sz w:val="22"/>
          <w:szCs w:val="22"/>
        </w:rPr>
        <w:t xml:space="preserve">project to succeed. Training in device management will be provided by </w:t>
      </w:r>
      <w:r w:rsidR="00EC035C">
        <w:rPr>
          <w:rFonts w:cstheme="minorHAnsi"/>
          <w:sz w:val="22"/>
          <w:szCs w:val="22"/>
        </w:rPr>
        <w:t>Shockwave Medical</w:t>
      </w:r>
      <w:r w:rsidR="008C4B18">
        <w:rPr>
          <w:rFonts w:cstheme="minorHAnsi"/>
          <w:sz w:val="22"/>
          <w:szCs w:val="22"/>
        </w:rPr>
        <w:t>, Inc</w:t>
      </w:r>
      <w:r w:rsidR="00EC035C">
        <w:rPr>
          <w:rFonts w:cstheme="minorHAnsi"/>
          <w:sz w:val="22"/>
          <w:szCs w:val="22"/>
        </w:rPr>
        <w:t>.</w:t>
      </w:r>
      <w:r w:rsidR="008C4B18">
        <w:rPr>
          <w:rFonts w:cstheme="minorHAnsi"/>
          <w:sz w:val="22"/>
          <w:szCs w:val="22"/>
        </w:rPr>
        <w:t xml:space="preserve"> The devices will be </w:t>
      </w:r>
      <w:r w:rsidR="004A458F">
        <w:rPr>
          <w:rFonts w:cstheme="minorHAnsi"/>
          <w:sz w:val="22"/>
          <w:szCs w:val="22"/>
        </w:rPr>
        <w:t>supplied by an in-kind contribution from Shockwave Medical, Inc.</w:t>
      </w:r>
    </w:p>
    <w:p w14:paraId="64D35547" w14:textId="708CA0B9" w:rsidR="004204A3" w:rsidRDefault="004204A3" w:rsidP="004528A2">
      <w:pPr>
        <w:spacing w:after="0" w:line="360" w:lineRule="auto"/>
        <w:rPr>
          <w:rFonts w:cstheme="minorHAnsi"/>
          <w:sz w:val="22"/>
          <w:szCs w:val="22"/>
        </w:rPr>
      </w:pPr>
      <w:r>
        <w:rPr>
          <w:rFonts w:cstheme="minorHAnsi"/>
          <w:sz w:val="22"/>
          <w:szCs w:val="22"/>
        </w:rPr>
        <w:t xml:space="preserve">Only ten patients will be required for the study, and in this </w:t>
      </w:r>
      <w:proofErr w:type="gramStart"/>
      <w:r>
        <w:rPr>
          <w:rFonts w:cstheme="minorHAnsi"/>
          <w:sz w:val="22"/>
          <w:szCs w:val="22"/>
        </w:rPr>
        <w:t>way</w:t>
      </w:r>
      <w:proofErr w:type="gramEnd"/>
      <w:r>
        <w:rPr>
          <w:rFonts w:cstheme="minorHAnsi"/>
          <w:sz w:val="22"/>
          <w:szCs w:val="22"/>
        </w:rPr>
        <w:t xml:space="preserve"> there will not be a considerable burden on clinical staff in </w:t>
      </w:r>
      <w:r w:rsidR="008347C1">
        <w:rPr>
          <w:rFonts w:cstheme="minorHAnsi"/>
          <w:sz w:val="22"/>
          <w:szCs w:val="22"/>
        </w:rPr>
        <w:t>patient monitoring and management. All measures that will be undertake</w:t>
      </w:r>
      <w:r w:rsidR="00CF44AB">
        <w:rPr>
          <w:rFonts w:cstheme="minorHAnsi"/>
          <w:sz w:val="22"/>
          <w:szCs w:val="22"/>
        </w:rPr>
        <w:t>n for evaluation of the outcomes are routinely taken as</w:t>
      </w:r>
      <w:r w:rsidR="00A360BB">
        <w:rPr>
          <w:rFonts w:cstheme="minorHAnsi"/>
          <w:sz w:val="22"/>
          <w:szCs w:val="22"/>
        </w:rPr>
        <w:t xml:space="preserve"> part of standard clinical care.</w:t>
      </w:r>
    </w:p>
    <w:p w14:paraId="5DFECE18" w14:textId="5A93B19B" w:rsidR="00A360BB" w:rsidRDefault="00A360BB" w:rsidP="004528A2">
      <w:pPr>
        <w:spacing w:after="0" w:line="360" w:lineRule="auto"/>
        <w:rPr>
          <w:rFonts w:cstheme="minorHAnsi"/>
          <w:sz w:val="22"/>
          <w:szCs w:val="22"/>
        </w:rPr>
      </w:pPr>
      <w:r>
        <w:rPr>
          <w:rFonts w:cstheme="minorHAnsi"/>
          <w:sz w:val="22"/>
          <w:szCs w:val="22"/>
        </w:rPr>
        <w:t xml:space="preserve">A period of nine months has been designated as an appropriate timeframe for the </w:t>
      </w:r>
      <w:r w:rsidR="007A0956">
        <w:rPr>
          <w:rFonts w:cstheme="minorHAnsi"/>
          <w:sz w:val="22"/>
          <w:szCs w:val="22"/>
        </w:rPr>
        <w:t>trial.</w:t>
      </w:r>
    </w:p>
    <w:p w14:paraId="51A0DE19" w14:textId="0168AC3D" w:rsidR="00EC035C" w:rsidRPr="0005177C" w:rsidRDefault="00EC035C" w:rsidP="004528A2">
      <w:pPr>
        <w:spacing w:after="0" w:line="360" w:lineRule="auto"/>
        <w:rPr>
          <w:rFonts w:cstheme="minorHAnsi"/>
          <w:sz w:val="22"/>
          <w:szCs w:val="22"/>
        </w:rPr>
      </w:pPr>
      <w:r>
        <w:rPr>
          <w:rFonts w:cstheme="minorHAnsi"/>
          <w:sz w:val="22"/>
          <w:szCs w:val="22"/>
        </w:rPr>
        <w:t xml:space="preserve">A Research Fellow is </w:t>
      </w:r>
      <w:r w:rsidR="00E70A15">
        <w:rPr>
          <w:rFonts w:cstheme="minorHAnsi"/>
          <w:sz w:val="22"/>
          <w:szCs w:val="22"/>
        </w:rPr>
        <w:t>part of the research team to provide non-clinical academic support in data collection and synthesis</w:t>
      </w:r>
      <w:r w:rsidR="004204A3">
        <w:rPr>
          <w:rFonts w:cstheme="minorHAnsi"/>
          <w:sz w:val="22"/>
          <w:szCs w:val="22"/>
        </w:rPr>
        <w:t>.</w:t>
      </w:r>
      <w:r w:rsidR="00E70A15">
        <w:rPr>
          <w:rFonts w:cstheme="minorHAnsi"/>
          <w:sz w:val="22"/>
          <w:szCs w:val="22"/>
        </w:rPr>
        <w:t xml:space="preserve"> </w:t>
      </w:r>
    </w:p>
    <w:p w14:paraId="675CD87C" w14:textId="77777777" w:rsidR="00C03BD0" w:rsidRPr="001138D5" w:rsidRDefault="00C03BD0" w:rsidP="004528A2">
      <w:pPr>
        <w:pStyle w:val="ListParagraph"/>
        <w:spacing w:after="0" w:line="360" w:lineRule="auto"/>
        <w:rPr>
          <w:rFonts w:cstheme="minorHAnsi"/>
          <w:sz w:val="22"/>
          <w:szCs w:val="22"/>
        </w:rPr>
      </w:pPr>
    </w:p>
    <w:p w14:paraId="2FEA90AB" w14:textId="41A6A36E" w:rsidR="00442153" w:rsidRDefault="00C03BD0" w:rsidP="004528A2">
      <w:pPr>
        <w:spacing w:after="0" w:line="360" w:lineRule="auto"/>
        <w:rPr>
          <w:rFonts w:cstheme="minorHAnsi"/>
          <w:b/>
          <w:bCs/>
          <w:sz w:val="22"/>
          <w:szCs w:val="22"/>
        </w:rPr>
      </w:pPr>
      <w:r w:rsidRPr="00C03BD0">
        <w:rPr>
          <w:rFonts w:cstheme="minorHAnsi"/>
          <w:b/>
          <w:bCs/>
          <w:sz w:val="22"/>
          <w:szCs w:val="22"/>
        </w:rPr>
        <w:t>Translation of findings into practice</w:t>
      </w:r>
    </w:p>
    <w:p w14:paraId="3D502663" w14:textId="6DC91943" w:rsidR="00C03BD0" w:rsidRPr="00B0780E" w:rsidRDefault="00B0780E" w:rsidP="004528A2">
      <w:pPr>
        <w:spacing w:after="0" w:line="360" w:lineRule="auto"/>
        <w:rPr>
          <w:rFonts w:cstheme="minorHAnsi"/>
          <w:sz w:val="22"/>
          <w:szCs w:val="22"/>
        </w:rPr>
      </w:pPr>
      <w:r>
        <w:rPr>
          <w:rFonts w:cstheme="minorHAnsi"/>
          <w:sz w:val="22"/>
          <w:szCs w:val="22"/>
        </w:rPr>
        <w:t xml:space="preserve">If this research shows that the IVL technique </w:t>
      </w:r>
      <w:r w:rsidR="003E16D2">
        <w:rPr>
          <w:rFonts w:cstheme="minorHAnsi"/>
          <w:sz w:val="22"/>
          <w:szCs w:val="22"/>
        </w:rPr>
        <w:t xml:space="preserve">meets the </w:t>
      </w:r>
      <w:proofErr w:type="gramStart"/>
      <w:r w:rsidR="003E16D2">
        <w:rPr>
          <w:rFonts w:cstheme="minorHAnsi"/>
          <w:sz w:val="22"/>
          <w:szCs w:val="22"/>
        </w:rPr>
        <w:t>aforementioned outcome</w:t>
      </w:r>
      <w:proofErr w:type="gramEnd"/>
      <w:r w:rsidR="003E16D2">
        <w:rPr>
          <w:rFonts w:cstheme="minorHAnsi"/>
          <w:sz w:val="22"/>
          <w:szCs w:val="22"/>
        </w:rPr>
        <w:t xml:space="preserve"> measures, we will work with Shockwave Medical, Inc to roll out a larger clinical trial</w:t>
      </w:r>
      <w:r w:rsidR="00442153">
        <w:rPr>
          <w:rFonts w:cstheme="minorHAnsi"/>
          <w:sz w:val="22"/>
          <w:szCs w:val="22"/>
        </w:rPr>
        <w:t xml:space="preserve"> at Mackay Base Hospital </w:t>
      </w:r>
      <w:r w:rsidR="0081296F">
        <w:rPr>
          <w:rFonts w:cstheme="minorHAnsi"/>
          <w:sz w:val="22"/>
          <w:szCs w:val="22"/>
        </w:rPr>
        <w:t xml:space="preserve">to assist in </w:t>
      </w:r>
      <w:r w:rsidR="004A5D84">
        <w:rPr>
          <w:rFonts w:cstheme="minorHAnsi"/>
          <w:sz w:val="22"/>
          <w:szCs w:val="22"/>
        </w:rPr>
        <w:t xml:space="preserve">the accumulation of data to support Australian TGA approval. </w:t>
      </w:r>
      <w:r w:rsidR="00FB3654">
        <w:rPr>
          <w:rFonts w:cstheme="minorHAnsi"/>
          <w:sz w:val="22"/>
          <w:szCs w:val="22"/>
        </w:rPr>
        <w:t xml:space="preserve">We will work with the sponsor </w:t>
      </w:r>
      <w:r w:rsidR="0081296F">
        <w:rPr>
          <w:rFonts w:cstheme="minorHAnsi"/>
          <w:sz w:val="22"/>
          <w:szCs w:val="22"/>
        </w:rPr>
        <w:t xml:space="preserve">so that benefits </w:t>
      </w:r>
      <w:r w:rsidR="00FB3654">
        <w:rPr>
          <w:rFonts w:cstheme="minorHAnsi"/>
          <w:sz w:val="22"/>
          <w:szCs w:val="22"/>
        </w:rPr>
        <w:t xml:space="preserve">of this technology </w:t>
      </w:r>
      <w:r w:rsidR="0081296F">
        <w:rPr>
          <w:rFonts w:cstheme="minorHAnsi"/>
          <w:sz w:val="22"/>
          <w:szCs w:val="22"/>
        </w:rPr>
        <w:t>can be translated into ong</w:t>
      </w:r>
      <w:r w:rsidR="00FB3654">
        <w:rPr>
          <w:rFonts w:cstheme="minorHAnsi"/>
          <w:sz w:val="22"/>
          <w:szCs w:val="22"/>
        </w:rPr>
        <w:t xml:space="preserve">oing practice for the benefit of care to MBH </w:t>
      </w:r>
      <w:r w:rsidR="008049ED">
        <w:rPr>
          <w:rFonts w:cstheme="minorHAnsi"/>
          <w:sz w:val="22"/>
          <w:szCs w:val="22"/>
        </w:rPr>
        <w:t>Cardiac Cath Lab patients.</w:t>
      </w:r>
    </w:p>
    <w:p w14:paraId="52231888" w14:textId="77777777" w:rsidR="004C2740" w:rsidRPr="001138D5" w:rsidRDefault="004C2740" w:rsidP="004528A2">
      <w:pPr>
        <w:pStyle w:val="Heading2"/>
        <w:spacing w:line="360" w:lineRule="auto"/>
        <w:rPr>
          <w:rFonts w:cstheme="minorHAnsi"/>
          <w:sz w:val="22"/>
          <w:szCs w:val="22"/>
        </w:rPr>
      </w:pPr>
      <w:r w:rsidRPr="001138D5">
        <w:rPr>
          <w:rFonts w:cstheme="minorHAnsi"/>
          <w:sz w:val="22"/>
          <w:szCs w:val="22"/>
        </w:rPr>
        <w:t>Dissemination of Results</w:t>
      </w:r>
    </w:p>
    <w:p w14:paraId="5223188E" w14:textId="6E3A4A4E" w:rsidR="004C2740" w:rsidRPr="00045CD7" w:rsidRDefault="007A5225" w:rsidP="004528A2">
      <w:pPr>
        <w:spacing w:line="360" w:lineRule="auto"/>
        <w:rPr>
          <w:rFonts w:cstheme="minorHAnsi"/>
          <w:color w:val="000000" w:themeColor="text1"/>
          <w:sz w:val="23"/>
          <w:szCs w:val="23"/>
        </w:rPr>
      </w:pPr>
      <w:r w:rsidRPr="00991988">
        <w:rPr>
          <w:rFonts w:cstheme="minorHAnsi"/>
          <w:color w:val="000000" w:themeColor="text1"/>
          <w:sz w:val="23"/>
          <w:szCs w:val="23"/>
        </w:rPr>
        <w:t>We will disseminate the research findings through conference presentations and publication in peer-reviewed scientific journals</w:t>
      </w:r>
      <w:r w:rsidR="00045CD7">
        <w:rPr>
          <w:rFonts w:cstheme="minorHAnsi"/>
          <w:color w:val="000000" w:themeColor="text1"/>
          <w:sz w:val="23"/>
          <w:szCs w:val="23"/>
        </w:rPr>
        <w:t>.</w:t>
      </w:r>
      <w:r w:rsidRPr="00991988">
        <w:rPr>
          <w:rFonts w:cstheme="minorHAnsi"/>
          <w:color w:val="000000" w:themeColor="text1"/>
          <w:sz w:val="23"/>
          <w:szCs w:val="23"/>
        </w:rPr>
        <w:t xml:space="preserve"> We aim to publish in</w:t>
      </w:r>
      <w:r>
        <w:rPr>
          <w:rFonts w:cstheme="minorHAnsi"/>
          <w:color w:val="000000" w:themeColor="text1"/>
          <w:sz w:val="23"/>
          <w:szCs w:val="23"/>
        </w:rPr>
        <w:t xml:space="preserve"> </w:t>
      </w:r>
      <w:r w:rsidR="00045CD7">
        <w:rPr>
          <w:rFonts w:cstheme="minorHAnsi"/>
          <w:color w:val="000000" w:themeColor="text1"/>
          <w:sz w:val="23"/>
          <w:szCs w:val="23"/>
        </w:rPr>
        <w:t>a cardiology journal</w:t>
      </w:r>
      <w:r w:rsidRPr="00991988">
        <w:rPr>
          <w:rFonts w:cstheme="minorHAnsi"/>
          <w:color w:val="000000" w:themeColor="text1"/>
          <w:sz w:val="23"/>
          <w:szCs w:val="23"/>
        </w:rPr>
        <w:t>. We will produce a short summary of the results of the study which trial participants</w:t>
      </w:r>
      <w:r w:rsidR="00393A70">
        <w:rPr>
          <w:rFonts w:cstheme="minorHAnsi"/>
          <w:color w:val="000000" w:themeColor="text1"/>
          <w:sz w:val="23"/>
          <w:szCs w:val="23"/>
        </w:rPr>
        <w:t xml:space="preserve"> will have the option of receiving</w:t>
      </w:r>
      <w:r w:rsidRPr="00991988">
        <w:rPr>
          <w:rFonts w:cstheme="minorHAnsi"/>
          <w:color w:val="000000" w:themeColor="text1"/>
          <w:sz w:val="23"/>
          <w:szCs w:val="23"/>
        </w:rPr>
        <w:t>.</w:t>
      </w:r>
    </w:p>
    <w:p w14:paraId="5223188F" w14:textId="205E005C" w:rsidR="004C2740" w:rsidRDefault="004C2740" w:rsidP="004528A2">
      <w:pPr>
        <w:pStyle w:val="Heading2"/>
        <w:spacing w:line="360" w:lineRule="auto"/>
        <w:rPr>
          <w:rFonts w:cstheme="minorHAnsi"/>
          <w:sz w:val="22"/>
          <w:szCs w:val="22"/>
        </w:rPr>
      </w:pPr>
      <w:r w:rsidRPr="001138D5">
        <w:rPr>
          <w:rFonts w:cstheme="minorHAnsi"/>
          <w:sz w:val="22"/>
          <w:szCs w:val="22"/>
        </w:rPr>
        <w:t>Appendices</w:t>
      </w:r>
    </w:p>
    <w:p w14:paraId="51408CA2" w14:textId="79816BDA" w:rsidR="00DB1C30" w:rsidRPr="00002BB6" w:rsidRDefault="00DB1C30" w:rsidP="004528A2">
      <w:pPr>
        <w:spacing w:line="360" w:lineRule="auto"/>
        <w:rPr>
          <w:sz w:val="22"/>
          <w:szCs w:val="22"/>
        </w:rPr>
      </w:pPr>
      <w:r w:rsidRPr="00002BB6">
        <w:rPr>
          <w:sz w:val="22"/>
          <w:szCs w:val="22"/>
        </w:rPr>
        <w:t>The following documents have bee</w:t>
      </w:r>
      <w:r w:rsidR="00002BB6" w:rsidRPr="00002BB6">
        <w:rPr>
          <w:sz w:val="22"/>
          <w:szCs w:val="22"/>
        </w:rPr>
        <w:t>n included as appendices</w:t>
      </w:r>
      <w:r w:rsidR="00002BB6">
        <w:rPr>
          <w:sz w:val="22"/>
          <w:szCs w:val="22"/>
        </w:rPr>
        <w:t>:</w:t>
      </w:r>
    </w:p>
    <w:p w14:paraId="66FD4C4A" w14:textId="77777777" w:rsidR="00F711D2" w:rsidRPr="001138D5" w:rsidRDefault="004C2740" w:rsidP="004528A2">
      <w:pPr>
        <w:pStyle w:val="ListParagraph"/>
        <w:numPr>
          <w:ilvl w:val="0"/>
          <w:numId w:val="17"/>
        </w:numPr>
        <w:spacing w:after="0" w:line="360" w:lineRule="auto"/>
        <w:rPr>
          <w:rFonts w:cstheme="minorHAnsi"/>
          <w:sz w:val="22"/>
          <w:szCs w:val="22"/>
        </w:rPr>
      </w:pPr>
      <w:r w:rsidRPr="001138D5">
        <w:rPr>
          <w:rFonts w:cstheme="minorHAnsi"/>
          <w:sz w:val="22"/>
          <w:szCs w:val="22"/>
        </w:rPr>
        <w:t>Data Collection tool</w:t>
      </w:r>
    </w:p>
    <w:p w14:paraId="688C7F46" w14:textId="77777777" w:rsidR="005927A5" w:rsidRPr="001138D5" w:rsidRDefault="004C2740" w:rsidP="004528A2">
      <w:pPr>
        <w:pStyle w:val="ListParagraph"/>
        <w:numPr>
          <w:ilvl w:val="0"/>
          <w:numId w:val="17"/>
        </w:numPr>
        <w:spacing w:after="0" w:line="360" w:lineRule="auto"/>
        <w:rPr>
          <w:rFonts w:cstheme="minorHAnsi"/>
          <w:sz w:val="22"/>
          <w:szCs w:val="22"/>
        </w:rPr>
      </w:pPr>
      <w:r w:rsidRPr="001138D5">
        <w:rPr>
          <w:rFonts w:cstheme="minorHAnsi"/>
          <w:sz w:val="22"/>
          <w:szCs w:val="22"/>
        </w:rPr>
        <w:t>Participant information and Consent forms</w:t>
      </w:r>
    </w:p>
    <w:p w14:paraId="52231890" w14:textId="1854A4C4" w:rsidR="00B26138" w:rsidRDefault="004C2740" w:rsidP="004528A2">
      <w:pPr>
        <w:pStyle w:val="ListParagraph"/>
        <w:numPr>
          <w:ilvl w:val="0"/>
          <w:numId w:val="17"/>
        </w:numPr>
        <w:spacing w:after="0" w:line="360" w:lineRule="auto"/>
        <w:rPr>
          <w:rFonts w:cstheme="minorHAnsi"/>
          <w:sz w:val="22"/>
          <w:szCs w:val="22"/>
        </w:rPr>
      </w:pPr>
      <w:r w:rsidRPr="001138D5">
        <w:rPr>
          <w:rFonts w:cstheme="minorHAnsi"/>
          <w:sz w:val="22"/>
          <w:szCs w:val="22"/>
        </w:rPr>
        <w:t>Investigators CV’s.</w:t>
      </w:r>
    </w:p>
    <w:p w14:paraId="0241B8AA" w14:textId="557574BE" w:rsidR="00392D7C" w:rsidRPr="001138D5" w:rsidRDefault="00392D7C" w:rsidP="004528A2">
      <w:pPr>
        <w:pStyle w:val="ListParagraph"/>
        <w:numPr>
          <w:ilvl w:val="0"/>
          <w:numId w:val="17"/>
        </w:numPr>
        <w:spacing w:after="0" w:line="360" w:lineRule="auto"/>
        <w:rPr>
          <w:rFonts w:cstheme="minorHAnsi"/>
          <w:sz w:val="22"/>
          <w:szCs w:val="22"/>
        </w:rPr>
      </w:pPr>
      <w:r>
        <w:rPr>
          <w:rFonts w:cstheme="minorHAnsi"/>
          <w:sz w:val="22"/>
          <w:szCs w:val="22"/>
        </w:rPr>
        <w:t>Adverse event reporting form</w:t>
      </w:r>
    </w:p>
    <w:p w14:paraId="10DC5D7A" w14:textId="77777777" w:rsidR="00863499" w:rsidRPr="001138D5" w:rsidRDefault="00863499" w:rsidP="004528A2">
      <w:pPr>
        <w:spacing w:after="0" w:line="360" w:lineRule="auto"/>
        <w:rPr>
          <w:rFonts w:cstheme="minorHAnsi"/>
          <w:sz w:val="22"/>
          <w:szCs w:val="22"/>
        </w:rPr>
      </w:pPr>
      <w:bookmarkStart w:id="7" w:name="_GoBack"/>
      <w:bookmarkEnd w:id="7"/>
    </w:p>
    <w:p w14:paraId="117AEA15" w14:textId="4FAF3DA2" w:rsidR="00863499" w:rsidRPr="001138D5" w:rsidRDefault="00863499" w:rsidP="004528A2">
      <w:pPr>
        <w:spacing w:after="0" w:line="360" w:lineRule="auto"/>
        <w:rPr>
          <w:rFonts w:cstheme="minorHAnsi"/>
          <w:b/>
          <w:bCs/>
          <w:sz w:val="22"/>
          <w:szCs w:val="22"/>
        </w:rPr>
      </w:pPr>
      <w:r w:rsidRPr="001138D5">
        <w:rPr>
          <w:rFonts w:cstheme="minorHAnsi"/>
          <w:b/>
          <w:bCs/>
          <w:sz w:val="22"/>
          <w:szCs w:val="22"/>
        </w:rPr>
        <w:t>References</w:t>
      </w:r>
    </w:p>
    <w:p w14:paraId="5216CC7A" w14:textId="77777777" w:rsidR="00863499" w:rsidRPr="001138D5" w:rsidRDefault="00863499" w:rsidP="004528A2">
      <w:pPr>
        <w:spacing w:after="0" w:line="360" w:lineRule="auto"/>
        <w:rPr>
          <w:rFonts w:cstheme="minorHAnsi"/>
          <w:sz w:val="22"/>
          <w:szCs w:val="22"/>
        </w:rPr>
      </w:pPr>
    </w:p>
    <w:p w14:paraId="1E787640" w14:textId="2C9698A1" w:rsidR="00EC5A53" w:rsidRPr="001138D5" w:rsidRDefault="00EC5A53" w:rsidP="004528A2">
      <w:pPr>
        <w:pStyle w:val="ListParagraph"/>
        <w:numPr>
          <w:ilvl w:val="0"/>
          <w:numId w:val="20"/>
        </w:numPr>
        <w:autoSpaceDE w:val="0"/>
        <w:autoSpaceDN w:val="0"/>
        <w:adjustRightInd w:val="0"/>
        <w:spacing w:after="0" w:line="360" w:lineRule="auto"/>
        <w:rPr>
          <w:rFonts w:eastAsia="TimesNewRoman" w:cstheme="minorHAnsi"/>
          <w:sz w:val="22"/>
          <w:szCs w:val="22"/>
        </w:rPr>
      </w:pPr>
      <w:r w:rsidRPr="001138D5">
        <w:rPr>
          <w:rFonts w:eastAsia="TimesNewRoman" w:cstheme="minorHAnsi"/>
          <w:sz w:val="22"/>
          <w:szCs w:val="22"/>
        </w:rPr>
        <w:t>Lee M et al. The impact and pathophysiologic consequences of coronary artery calcium</w:t>
      </w:r>
      <w:r w:rsidR="009F0B24" w:rsidRPr="001138D5">
        <w:rPr>
          <w:rFonts w:eastAsia="TimesNewRoman" w:cstheme="minorHAnsi"/>
          <w:sz w:val="22"/>
          <w:szCs w:val="22"/>
        </w:rPr>
        <w:t xml:space="preserve"> </w:t>
      </w:r>
      <w:r w:rsidRPr="001138D5">
        <w:rPr>
          <w:rFonts w:eastAsia="TimesNewRoman" w:cstheme="minorHAnsi"/>
          <w:sz w:val="22"/>
          <w:szCs w:val="22"/>
        </w:rPr>
        <w:t xml:space="preserve">deposition in percutaneous coronary interventions. J Invasive </w:t>
      </w:r>
      <w:proofErr w:type="spellStart"/>
      <w:r w:rsidRPr="001138D5">
        <w:rPr>
          <w:rFonts w:eastAsia="TimesNewRoman" w:cstheme="minorHAnsi"/>
          <w:sz w:val="22"/>
          <w:szCs w:val="22"/>
        </w:rPr>
        <w:t>Cardiol</w:t>
      </w:r>
      <w:proofErr w:type="spellEnd"/>
      <w:r w:rsidRPr="001138D5">
        <w:rPr>
          <w:rFonts w:eastAsia="TimesNewRoman" w:cstheme="minorHAnsi"/>
          <w:sz w:val="22"/>
          <w:szCs w:val="22"/>
        </w:rPr>
        <w:t xml:space="preserve"> 2016; 28(4): 160-167.</w:t>
      </w:r>
    </w:p>
    <w:p w14:paraId="4B509319" w14:textId="63ACB49B" w:rsidR="00EC5A53" w:rsidRPr="001138D5" w:rsidRDefault="00EC5A53" w:rsidP="004528A2">
      <w:pPr>
        <w:pStyle w:val="ListParagraph"/>
        <w:numPr>
          <w:ilvl w:val="0"/>
          <w:numId w:val="20"/>
        </w:numPr>
        <w:autoSpaceDE w:val="0"/>
        <w:autoSpaceDN w:val="0"/>
        <w:adjustRightInd w:val="0"/>
        <w:spacing w:after="0" w:line="360" w:lineRule="auto"/>
        <w:rPr>
          <w:rFonts w:eastAsia="TimesNewRoman" w:cstheme="minorHAnsi"/>
          <w:sz w:val="22"/>
          <w:szCs w:val="22"/>
        </w:rPr>
      </w:pPr>
      <w:r w:rsidRPr="001138D5">
        <w:rPr>
          <w:rFonts w:eastAsia="TimesNewRoman" w:cstheme="minorHAnsi"/>
          <w:sz w:val="22"/>
          <w:szCs w:val="22"/>
        </w:rPr>
        <w:t>Bhatt P, Parikh P, Patel A, et al. Orbital atherectomy system in treating calcified coronary</w:t>
      </w:r>
      <w:r w:rsidR="009F0B24" w:rsidRPr="001138D5">
        <w:rPr>
          <w:rFonts w:eastAsia="TimesNewRoman" w:cstheme="minorHAnsi"/>
          <w:sz w:val="22"/>
          <w:szCs w:val="22"/>
        </w:rPr>
        <w:t xml:space="preserve"> </w:t>
      </w:r>
      <w:r w:rsidRPr="001138D5">
        <w:rPr>
          <w:rFonts w:eastAsia="TimesNewRoman" w:cstheme="minorHAnsi"/>
          <w:sz w:val="22"/>
          <w:szCs w:val="22"/>
        </w:rPr>
        <w:t>lesions: 3-Year follow-up in first human use study (ORBIT I trial).</w:t>
      </w:r>
      <w:r w:rsidR="009F0B24" w:rsidRPr="001138D5">
        <w:rPr>
          <w:rFonts w:eastAsia="TimesNewRoman" w:cstheme="minorHAnsi"/>
          <w:sz w:val="22"/>
          <w:szCs w:val="22"/>
        </w:rPr>
        <w:t xml:space="preserve"> </w:t>
      </w:r>
      <w:r w:rsidRPr="001138D5">
        <w:rPr>
          <w:rFonts w:eastAsia="TimesNewRoman" w:cstheme="minorHAnsi"/>
          <w:sz w:val="22"/>
          <w:szCs w:val="22"/>
        </w:rPr>
        <w:t xml:space="preserve">Cardiovasc </w:t>
      </w:r>
      <w:proofErr w:type="spellStart"/>
      <w:r w:rsidRPr="001138D5">
        <w:rPr>
          <w:rFonts w:eastAsia="TimesNewRoman" w:cstheme="minorHAnsi"/>
          <w:sz w:val="22"/>
          <w:szCs w:val="22"/>
        </w:rPr>
        <w:t>Revasc</w:t>
      </w:r>
      <w:proofErr w:type="spellEnd"/>
      <w:r w:rsidRPr="001138D5">
        <w:rPr>
          <w:rFonts w:eastAsia="TimesNewRoman" w:cstheme="minorHAnsi"/>
          <w:sz w:val="22"/>
          <w:szCs w:val="22"/>
        </w:rPr>
        <w:t xml:space="preserve"> Med</w:t>
      </w:r>
      <w:r w:rsidR="009F0B24" w:rsidRPr="001138D5">
        <w:rPr>
          <w:rFonts w:eastAsia="TimesNewRoman" w:cstheme="minorHAnsi"/>
          <w:sz w:val="22"/>
          <w:szCs w:val="22"/>
        </w:rPr>
        <w:t xml:space="preserve"> </w:t>
      </w:r>
      <w:r w:rsidRPr="001138D5">
        <w:rPr>
          <w:rFonts w:eastAsia="TimesNewRoman" w:cstheme="minorHAnsi"/>
          <w:sz w:val="22"/>
          <w:szCs w:val="22"/>
        </w:rPr>
        <w:t>2014; 15:204–208.</w:t>
      </w:r>
    </w:p>
    <w:p w14:paraId="0708FF32" w14:textId="392D9D08" w:rsidR="00EC5A53" w:rsidRPr="001138D5" w:rsidRDefault="00EC5A53" w:rsidP="004528A2">
      <w:pPr>
        <w:pStyle w:val="ListParagraph"/>
        <w:numPr>
          <w:ilvl w:val="0"/>
          <w:numId w:val="20"/>
        </w:numPr>
        <w:autoSpaceDE w:val="0"/>
        <w:autoSpaceDN w:val="0"/>
        <w:adjustRightInd w:val="0"/>
        <w:spacing w:after="0" w:line="360" w:lineRule="auto"/>
        <w:rPr>
          <w:rFonts w:eastAsia="TimesNewRoman" w:cstheme="minorHAnsi"/>
          <w:sz w:val="22"/>
          <w:szCs w:val="22"/>
        </w:rPr>
      </w:pPr>
      <w:r w:rsidRPr="001138D5">
        <w:rPr>
          <w:rFonts w:eastAsia="TimesNewRoman" w:cstheme="minorHAnsi"/>
          <w:sz w:val="22"/>
          <w:szCs w:val="22"/>
        </w:rPr>
        <w:t xml:space="preserve">Mori S, Yasuda S, Kataoka Y, </w:t>
      </w:r>
      <w:proofErr w:type="spellStart"/>
      <w:r w:rsidRPr="001138D5">
        <w:rPr>
          <w:rFonts w:eastAsia="TimesNewRoman" w:cstheme="minorHAnsi"/>
          <w:sz w:val="22"/>
          <w:szCs w:val="22"/>
        </w:rPr>
        <w:t>Morii</w:t>
      </w:r>
      <w:proofErr w:type="spellEnd"/>
      <w:r w:rsidRPr="001138D5">
        <w:rPr>
          <w:rFonts w:eastAsia="TimesNewRoman" w:cstheme="minorHAnsi"/>
          <w:sz w:val="22"/>
          <w:szCs w:val="22"/>
        </w:rPr>
        <w:t xml:space="preserve"> I, Kawamura A, Miyazaki S. Significant association of</w:t>
      </w:r>
      <w:r w:rsidR="009F0B24" w:rsidRPr="001138D5">
        <w:rPr>
          <w:rFonts w:eastAsia="TimesNewRoman" w:cstheme="minorHAnsi"/>
          <w:sz w:val="22"/>
          <w:szCs w:val="22"/>
        </w:rPr>
        <w:t xml:space="preserve"> </w:t>
      </w:r>
      <w:r w:rsidRPr="001138D5">
        <w:rPr>
          <w:rFonts w:eastAsia="TimesNewRoman" w:cstheme="minorHAnsi"/>
          <w:sz w:val="22"/>
          <w:szCs w:val="22"/>
        </w:rPr>
        <w:t>coronary artery calcification in stent delivery route with restenosis after sirolimus-eluting stent</w:t>
      </w:r>
      <w:r w:rsidR="009F0B24" w:rsidRPr="001138D5">
        <w:rPr>
          <w:rFonts w:eastAsia="TimesNewRoman" w:cstheme="minorHAnsi"/>
          <w:sz w:val="22"/>
          <w:szCs w:val="22"/>
        </w:rPr>
        <w:t xml:space="preserve"> </w:t>
      </w:r>
      <w:r w:rsidRPr="001138D5">
        <w:rPr>
          <w:rFonts w:eastAsia="TimesNewRoman" w:cstheme="minorHAnsi"/>
          <w:sz w:val="22"/>
          <w:szCs w:val="22"/>
        </w:rPr>
        <w:t xml:space="preserve">implantation. Circ J </w:t>
      </w:r>
      <w:proofErr w:type="gramStart"/>
      <w:r w:rsidRPr="001138D5">
        <w:rPr>
          <w:rFonts w:eastAsia="TimesNewRoman" w:cstheme="minorHAnsi"/>
          <w:sz w:val="22"/>
          <w:szCs w:val="22"/>
        </w:rPr>
        <w:t>2009;73:1856</w:t>
      </w:r>
      <w:proofErr w:type="gramEnd"/>
      <w:r w:rsidRPr="001138D5">
        <w:rPr>
          <w:rFonts w:eastAsia="TimesNewRoman" w:cstheme="minorHAnsi"/>
          <w:sz w:val="22"/>
          <w:szCs w:val="22"/>
        </w:rPr>
        <w:t>-63.</w:t>
      </w:r>
    </w:p>
    <w:p w14:paraId="0B54DBEA" w14:textId="1E67C8C5" w:rsidR="00EC5A53" w:rsidRPr="0067360D" w:rsidRDefault="00EC5A53" w:rsidP="004528A2">
      <w:pPr>
        <w:pStyle w:val="ListParagraph"/>
        <w:numPr>
          <w:ilvl w:val="0"/>
          <w:numId w:val="20"/>
        </w:numPr>
        <w:autoSpaceDE w:val="0"/>
        <w:autoSpaceDN w:val="0"/>
        <w:adjustRightInd w:val="0"/>
        <w:spacing w:after="0" w:line="360" w:lineRule="auto"/>
        <w:rPr>
          <w:rFonts w:eastAsia="TimesNewRoman" w:cstheme="minorHAnsi"/>
          <w:sz w:val="22"/>
          <w:szCs w:val="22"/>
        </w:rPr>
      </w:pPr>
      <w:proofErr w:type="spellStart"/>
      <w:r w:rsidRPr="001138D5">
        <w:rPr>
          <w:rFonts w:eastAsia="TimesNewRoman" w:cstheme="minorHAnsi"/>
          <w:sz w:val="22"/>
          <w:szCs w:val="22"/>
        </w:rPr>
        <w:t>Wiemer</w:t>
      </w:r>
      <w:proofErr w:type="spellEnd"/>
      <w:r w:rsidRPr="001138D5">
        <w:rPr>
          <w:rFonts w:eastAsia="TimesNewRoman" w:cstheme="minorHAnsi"/>
          <w:sz w:val="22"/>
          <w:szCs w:val="22"/>
        </w:rPr>
        <w:t xml:space="preserve"> M, </w:t>
      </w:r>
      <w:proofErr w:type="spellStart"/>
      <w:r w:rsidRPr="001138D5">
        <w:rPr>
          <w:rFonts w:eastAsia="TimesNewRoman" w:cstheme="minorHAnsi"/>
          <w:sz w:val="22"/>
          <w:szCs w:val="22"/>
        </w:rPr>
        <w:t>Butz</w:t>
      </w:r>
      <w:proofErr w:type="spellEnd"/>
      <w:r w:rsidRPr="001138D5">
        <w:rPr>
          <w:rFonts w:eastAsia="TimesNewRoman" w:cstheme="minorHAnsi"/>
          <w:sz w:val="22"/>
          <w:szCs w:val="22"/>
        </w:rPr>
        <w:t xml:space="preserve"> T, Schmidt W, Schmitz KP, </w:t>
      </w:r>
      <w:proofErr w:type="spellStart"/>
      <w:r w:rsidRPr="001138D5">
        <w:rPr>
          <w:rFonts w:eastAsia="TimesNewRoman" w:cstheme="minorHAnsi"/>
          <w:sz w:val="22"/>
          <w:szCs w:val="22"/>
        </w:rPr>
        <w:t>Horstkotte</w:t>
      </w:r>
      <w:proofErr w:type="spellEnd"/>
      <w:r w:rsidRPr="001138D5">
        <w:rPr>
          <w:rFonts w:eastAsia="TimesNewRoman" w:cstheme="minorHAnsi"/>
          <w:sz w:val="22"/>
          <w:szCs w:val="22"/>
        </w:rPr>
        <w:t xml:space="preserve"> D, Langer C. Scanning electron</w:t>
      </w:r>
      <w:r w:rsidR="009F0B24" w:rsidRPr="001138D5">
        <w:rPr>
          <w:rFonts w:eastAsia="TimesNewRoman" w:cstheme="minorHAnsi"/>
          <w:sz w:val="22"/>
          <w:szCs w:val="22"/>
        </w:rPr>
        <w:t xml:space="preserve"> </w:t>
      </w:r>
      <w:r w:rsidRPr="001138D5">
        <w:rPr>
          <w:rFonts w:eastAsia="TimesNewRoman" w:cstheme="minorHAnsi"/>
          <w:sz w:val="22"/>
          <w:szCs w:val="22"/>
        </w:rPr>
        <w:t>microscopic analysis of different drug eluting stents after failed implantation: from nearly</w:t>
      </w:r>
      <w:r w:rsidR="009F0B24" w:rsidRPr="001138D5">
        <w:rPr>
          <w:rFonts w:eastAsia="TimesNewRoman" w:cstheme="minorHAnsi"/>
          <w:sz w:val="22"/>
          <w:szCs w:val="22"/>
        </w:rPr>
        <w:t xml:space="preserve"> </w:t>
      </w:r>
      <w:r w:rsidRPr="001138D5">
        <w:rPr>
          <w:rFonts w:eastAsia="TimesNewRoman" w:cstheme="minorHAnsi"/>
          <w:sz w:val="22"/>
          <w:szCs w:val="22"/>
        </w:rPr>
        <w:t xml:space="preserve">undamaged to major damaged polymers. Catheter Cardiovasc </w:t>
      </w:r>
      <w:proofErr w:type="spellStart"/>
      <w:r w:rsidRPr="001138D5">
        <w:rPr>
          <w:rFonts w:eastAsia="TimesNewRoman" w:cstheme="minorHAnsi"/>
          <w:sz w:val="22"/>
          <w:szCs w:val="22"/>
        </w:rPr>
        <w:t>Interv</w:t>
      </w:r>
      <w:proofErr w:type="spellEnd"/>
      <w:r w:rsidRPr="001138D5">
        <w:rPr>
          <w:rFonts w:eastAsia="TimesNewRoman" w:cstheme="minorHAnsi"/>
          <w:sz w:val="22"/>
          <w:szCs w:val="22"/>
        </w:rPr>
        <w:t xml:space="preserve"> </w:t>
      </w:r>
      <w:proofErr w:type="gramStart"/>
      <w:r w:rsidRPr="001138D5">
        <w:rPr>
          <w:rFonts w:eastAsia="TimesNewRoman" w:cstheme="minorHAnsi"/>
          <w:sz w:val="22"/>
          <w:szCs w:val="22"/>
        </w:rPr>
        <w:t>2010;75:905</w:t>
      </w:r>
      <w:proofErr w:type="gramEnd"/>
      <w:r w:rsidRPr="001138D5">
        <w:rPr>
          <w:rFonts w:eastAsia="TimesNewRoman" w:cstheme="minorHAnsi"/>
          <w:sz w:val="22"/>
          <w:szCs w:val="22"/>
        </w:rPr>
        <w:t>-11.</w:t>
      </w:r>
    </w:p>
    <w:p w14:paraId="118E5ACB" w14:textId="08181BF2" w:rsidR="00EC5A53" w:rsidRPr="001138D5" w:rsidRDefault="00EC5A53" w:rsidP="004528A2">
      <w:pPr>
        <w:pStyle w:val="ListParagraph"/>
        <w:numPr>
          <w:ilvl w:val="0"/>
          <w:numId w:val="20"/>
        </w:numPr>
        <w:autoSpaceDE w:val="0"/>
        <w:autoSpaceDN w:val="0"/>
        <w:adjustRightInd w:val="0"/>
        <w:spacing w:after="0" w:line="360" w:lineRule="auto"/>
        <w:rPr>
          <w:rFonts w:eastAsia="TimesNewRoman" w:cstheme="minorHAnsi"/>
          <w:sz w:val="22"/>
          <w:szCs w:val="22"/>
        </w:rPr>
      </w:pPr>
      <w:proofErr w:type="spellStart"/>
      <w:r w:rsidRPr="001138D5">
        <w:rPr>
          <w:rFonts w:eastAsia="TimesNewRoman" w:cstheme="minorHAnsi"/>
          <w:sz w:val="22"/>
          <w:szCs w:val="22"/>
        </w:rPr>
        <w:t>Kini</w:t>
      </w:r>
      <w:proofErr w:type="spellEnd"/>
      <w:r w:rsidRPr="001138D5">
        <w:rPr>
          <w:rFonts w:eastAsia="TimesNewRoman" w:cstheme="minorHAnsi"/>
          <w:sz w:val="22"/>
          <w:szCs w:val="22"/>
        </w:rPr>
        <w:t xml:space="preserve"> AS, </w:t>
      </w:r>
      <w:proofErr w:type="spellStart"/>
      <w:r w:rsidRPr="001138D5">
        <w:rPr>
          <w:rFonts w:eastAsia="TimesNewRoman" w:cstheme="minorHAnsi"/>
          <w:sz w:val="22"/>
          <w:szCs w:val="22"/>
        </w:rPr>
        <w:t>Vengrenyuk</w:t>
      </w:r>
      <w:proofErr w:type="spellEnd"/>
      <w:r w:rsidRPr="001138D5">
        <w:rPr>
          <w:rFonts w:eastAsia="TimesNewRoman" w:cstheme="minorHAnsi"/>
          <w:sz w:val="22"/>
          <w:szCs w:val="22"/>
        </w:rPr>
        <w:t xml:space="preserve"> Y, Pena J, et al. Optical coherence tomography assessment of the</w:t>
      </w:r>
      <w:r w:rsidR="009F0B24" w:rsidRPr="001138D5">
        <w:rPr>
          <w:rFonts w:eastAsia="TimesNewRoman" w:cstheme="minorHAnsi"/>
          <w:sz w:val="22"/>
          <w:szCs w:val="22"/>
        </w:rPr>
        <w:t xml:space="preserve"> </w:t>
      </w:r>
      <w:r w:rsidRPr="001138D5">
        <w:rPr>
          <w:rFonts w:eastAsia="TimesNewRoman" w:cstheme="minorHAnsi"/>
          <w:sz w:val="22"/>
          <w:szCs w:val="22"/>
        </w:rPr>
        <w:t>mechanistic effects of rotational and orbital atherectomy in severely calcified coronary lesions.</w:t>
      </w:r>
      <w:r w:rsidR="009F0B24" w:rsidRPr="001138D5">
        <w:rPr>
          <w:rFonts w:eastAsia="TimesNewRoman" w:cstheme="minorHAnsi"/>
          <w:sz w:val="22"/>
          <w:szCs w:val="22"/>
        </w:rPr>
        <w:t xml:space="preserve"> </w:t>
      </w:r>
      <w:r w:rsidRPr="001138D5">
        <w:rPr>
          <w:rFonts w:eastAsia="TimesNewRoman" w:cstheme="minorHAnsi"/>
          <w:sz w:val="22"/>
          <w:szCs w:val="22"/>
        </w:rPr>
        <w:t xml:space="preserve">Catheter Cardiovasc </w:t>
      </w:r>
      <w:proofErr w:type="spellStart"/>
      <w:r w:rsidRPr="001138D5">
        <w:rPr>
          <w:rFonts w:eastAsia="TimesNewRoman" w:cstheme="minorHAnsi"/>
          <w:sz w:val="22"/>
          <w:szCs w:val="22"/>
        </w:rPr>
        <w:t>Interv</w:t>
      </w:r>
      <w:proofErr w:type="spellEnd"/>
      <w:r w:rsidRPr="001138D5">
        <w:rPr>
          <w:rFonts w:eastAsia="TimesNewRoman" w:cstheme="minorHAnsi"/>
          <w:sz w:val="22"/>
          <w:szCs w:val="22"/>
        </w:rPr>
        <w:t xml:space="preserve"> </w:t>
      </w:r>
      <w:proofErr w:type="gramStart"/>
      <w:r w:rsidRPr="001138D5">
        <w:rPr>
          <w:rFonts w:eastAsia="TimesNewRoman" w:cstheme="minorHAnsi"/>
          <w:sz w:val="22"/>
          <w:szCs w:val="22"/>
        </w:rPr>
        <w:t>2015;86:1024</w:t>
      </w:r>
      <w:proofErr w:type="gramEnd"/>
      <w:r w:rsidRPr="001138D5">
        <w:rPr>
          <w:rFonts w:eastAsia="TimesNewRoman" w:cstheme="minorHAnsi"/>
          <w:sz w:val="22"/>
          <w:szCs w:val="22"/>
        </w:rPr>
        <w:t>-32.</w:t>
      </w:r>
    </w:p>
    <w:p w14:paraId="6992228D" w14:textId="3342B37C" w:rsidR="00EC5A53" w:rsidRPr="001138D5" w:rsidRDefault="00EC5A53" w:rsidP="004528A2">
      <w:pPr>
        <w:pStyle w:val="ListParagraph"/>
        <w:numPr>
          <w:ilvl w:val="0"/>
          <w:numId w:val="20"/>
        </w:numPr>
        <w:autoSpaceDE w:val="0"/>
        <w:autoSpaceDN w:val="0"/>
        <w:adjustRightInd w:val="0"/>
        <w:spacing w:after="0" w:line="360" w:lineRule="auto"/>
        <w:rPr>
          <w:rFonts w:eastAsia="TimesNewRoman" w:cstheme="minorHAnsi"/>
          <w:sz w:val="22"/>
          <w:szCs w:val="22"/>
        </w:rPr>
      </w:pPr>
      <w:r w:rsidRPr="001138D5">
        <w:rPr>
          <w:rFonts w:eastAsia="TimesNewRoman" w:cstheme="minorHAnsi"/>
          <w:sz w:val="22"/>
          <w:szCs w:val="22"/>
        </w:rPr>
        <w:t xml:space="preserve">Karimi </w:t>
      </w:r>
      <w:proofErr w:type="spellStart"/>
      <w:r w:rsidRPr="001138D5">
        <w:rPr>
          <w:rFonts w:eastAsia="TimesNewRoman" w:cstheme="minorHAnsi"/>
          <w:sz w:val="22"/>
          <w:szCs w:val="22"/>
        </w:rPr>
        <w:t>Galougahi</w:t>
      </w:r>
      <w:proofErr w:type="spellEnd"/>
      <w:r w:rsidRPr="001138D5">
        <w:rPr>
          <w:rFonts w:eastAsia="TimesNewRoman" w:cstheme="minorHAnsi"/>
          <w:sz w:val="22"/>
          <w:szCs w:val="22"/>
        </w:rPr>
        <w:t xml:space="preserve"> K, </w:t>
      </w:r>
      <w:proofErr w:type="spellStart"/>
      <w:r w:rsidRPr="001138D5">
        <w:rPr>
          <w:rFonts w:eastAsia="TimesNewRoman" w:cstheme="minorHAnsi"/>
          <w:sz w:val="22"/>
          <w:szCs w:val="22"/>
        </w:rPr>
        <w:t>Shlofmitz</w:t>
      </w:r>
      <w:proofErr w:type="spellEnd"/>
      <w:r w:rsidRPr="001138D5">
        <w:rPr>
          <w:rFonts w:eastAsia="TimesNewRoman" w:cstheme="minorHAnsi"/>
          <w:sz w:val="22"/>
          <w:szCs w:val="22"/>
        </w:rPr>
        <w:t xml:space="preserve"> RA, Ben-Yehuda O, et al. Guiding Light: Insights </w:t>
      </w:r>
      <w:proofErr w:type="gramStart"/>
      <w:r w:rsidRPr="001138D5">
        <w:rPr>
          <w:rFonts w:eastAsia="TimesNewRoman" w:cstheme="minorHAnsi"/>
          <w:sz w:val="22"/>
          <w:szCs w:val="22"/>
        </w:rPr>
        <w:t>Into</w:t>
      </w:r>
      <w:proofErr w:type="gramEnd"/>
      <w:r w:rsidR="009F0B24" w:rsidRPr="001138D5">
        <w:rPr>
          <w:rFonts w:eastAsia="TimesNewRoman" w:cstheme="minorHAnsi"/>
          <w:sz w:val="22"/>
          <w:szCs w:val="22"/>
        </w:rPr>
        <w:t xml:space="preserve"> </w:t>
      </w:r>
      <w:r w:rsidRPr="001138D5">
        <w:rPr>
          <w:rFonts w:eastAsia="TimesNewRoman" w:cstheme="minorHAnsi"/>
          <w:sz w:val="22"/>
          <w:szCs w:val="22"/>
        </w:rPr>
        <w:t xml:space="preserve">Atherectomy by Optical Coherence Tomography. JACC Cardiovasc </w:t>
      </w:r>
      <w:proofErr w:type="spellStart"/>
      <w:r w:rsidRPr="001138D5">
        <w:rPr>
          <w:rFonts w:eastAsia="TimesNewRoman" w:cstheme="minorHAnsi"/>
          <w:sz w:val="22"/>
          <w:szCs w:val="22"/>
        </w:rPr>
        <w:t>Interv</w:t>
      </w:r>
      <w:proofErr w:type="spellEnd"/>
      <w:r w:rsidRPr="001138D5">
        <w:rPr>
          <w:rFonts w:eastAsia="TimesNewRoman" w:cstheme="minorHAnsi"/>
          <w:sz w:val="22"/>
          <w:szCs w:val="22"/>
        </w:rPr>
        <w:t xml:space="preserve"> </w:t>
      </w:r>
      <w:proofErr w:type="gramStart"/>
      <w:r w:rsidRPr="001138D5">
        <w:rPr>
          <w:rFonts w:eastAsia="TimesNewRoman" w:cstheme="minorHAnsi"/>
          <w:sz w:val="22"/>
          <w:szCs w:val="22"/>
        </w:rPr>
        <w:t>2016;9:2362</w:t>
      </w:r>
      <w:proofErr w:type="gramEnd"/>
      <w:r w:rsidRPr="001138D5">
        <w:rPr>
          <w:rFonts w:eastAsia="TimesNewRoman" w:cstheme="minorHAnsi"/>
          <w:sz w:val="22"/>
          <w:szCs w:val="22"/>
        </w:rPr>
        <w:t>-3.</w:t>
      </w:r>
    </w:p>
    <w:p w14:paraId="5CF2EBF5" w14:textId="5C07245F" w:rsidR="00EC5A53" w:rsidRPr="001138D5" w:rsidRDefault="00EC5A53" w:rsidP="004528A2">
      <w:pPr>
        <w:pStyle w:val="ListParagraph"/>
        <w:numPr>
          <w:ilvl w:val="0"/>
          <w:numId w:val="20"/>
        </w:numPr>
        <w:autoSpaceDE w:val="0"/>
        <w:autoSpaceDN w:val="0"/>
        <w:adjustRightInd w:val="0"/>
        <w:spacing w:after="0" w:line="360" w:lineRule="auto"/>
        <w:rPr>
          <w:rFonts w:eastAsia="TimesNewRoman" w:cstheme="minorHAnsi"/>
          <w:sz w:val="22"/>
          <w:szCs w:val="22"/>
        </w:rPr>
      </w:pPr>
      <w:r w:rsidRPr="001138D5">
        <w:rPr>
          <w:rFonts w:eastAsia="TimesNewRoman" w:cstheme="minorHAnsi"/>
          <w:sz w:val="22"/>
          <w:szCs w:val="22"/>
        </w:rPr>
        <w:t xml:space="preserve">Abdel-Wahab M, Richardt G, Joachim </w:t>
      </w:r>
      <w:proofErr w:type="spellStart"/>
      <w:r w:rsidRPr="001138D5">
        <w:rPr>
          <w:rFonts w:eastAsia="TimesNewRoman" w:cstheme="minorHAnsi"/>
          <w:sz w:val="22"/>
          <w:szCs w:val="22"/>
        </w:rPr>
        <w:t>Buttner</w:t>
      </w:r>
      <w:proofErr w:type="spellEnd"/>
      <w:r w:rsidRPr="001138D5">
        <w:rPr>
          <w:rFonts w:eastAsia="TimesNewRoman" w:cstheme="minorHAnsi"/>
          <w:sz w:val="22"/>
          <w:szCs w:val="22"/>
        </w:rPr>
        <w:t xml:space="preserve"> H, et al. High-speed rotational atherectomy</w:t>
      </w:r>
      <w:r w:rsidR="009F0B24" w:rsidRPr="001138D5">
        <w:rPr>
          <w:rFonts w:eastAsia="TimesNewRoman" w:cstheme="minorHAnsi"/>
          <w:sz w:val="22"/>
          <w:szCs w:val="22"/>
        </w:rPr>
        <w:t xml:space="preserve"> </w:t>
      </w:r>
      <w:r w:rsidRPr="001138D5">
        <w:rPr>
          <w:rFonts w:eastAsia="TimesNewRoman" w:cstheme="minorHAnsi"/>
          <w:sz w:val="22"/>
          <w:szCs w:val="22"/>
        </w:rPr>
        <w:t>before paclitaxel-eluting stent implantation in complex calcified coronary lesions: the</w:t>
      </w:r>
      <w:r w:rsidR="009F0B24" w:rsidRPr="001138D5">
        <w:rPr>
          <w:rFonts w:eastAsia="TimesNewRoman" w:cstheme="minorHAnsi"/>
          <w:sz w:val="22"/>
          <w:szCs w:val="22"/>
        </w:rPr>
        <w:t xml:space="preserve"> </w:t>
      </w:r>
      <w:r w:rsidRPr="001138D5">
        <w:rPr>
          <w:rFonts w:eastAsia="TimesNewRoman" w:cstheme="minorHAnsi"/>
          <w:sz w:val="22"/>
          <w:szCs w:val="22"/>
        </w:rPr>
        <w:t>randomized ROTAXUS (Rotational Atherectomy Prior to Taxus Stent Treatment for Complex</w:t>
      </w:r>
      <w:r w:rsidR="009F0B24" w:rsidRPr="001138D5">
        <w:rPr>
          <w:rFonts w:eastAsia="TimesNewRoman" w:cstheme="minorHAnsi"/>
          <w:sz w:val="22"/>
          <w:szCs w:val="22"/>
        </w:rPr>
        <w:t xml:space="preserve"> </w:t>
      </w:r>
      <w:r w:rsidRPr="001138D5">
        <w:rPr>
          <w:rFonts w:eastAsia="TimesNewRoman" w:cstheme="minorHAnsi"/>
          <w:sz w:val="22"/>
          <w:szCs w:val="22"/>
        </w:rPr>
        <w:t xml:space="preserve">Native Coronary Artery Disease) trial. JACC Cardiovasc </w:t>
      </w:r>
      <w:proofErr w:type="spellStart"/>
      <w:r w:rsidRPr="001138D5">
        <w:rPr>
          <w:rFonts w:eastAsia="TimesNewRoman" w:cstheme="minorHAnsi"/>
          <w:sz w:val="22"/>
          <w:szCs w:val="22"/>
        </w:rPr>
        <w:t>Interv</w:t>
      </w:r>
      <w:proofErr w:type="spellEnd"/>
      <w:r w:rsidRPr="001138D5">
        <w:rPr>
          <w:rFonts w:eastAsia="TimesNewRoman" w:cstheme="minorHAnsi"/>
          <w:sz w:val="22"/>
          <w:szCs w:val="22"/>
        </w:rPr>
        <w:t xml:space="preserve"> </w:t>
      </w:r>
      <w:proofErr w:type="gramStart"/>
      <w:r w:rsidRPr="001138D5">
        <w:rPr>
          <w:rFonts w:eastAsia="TimesNewRoman" w:cstheme="minorHAnsi"/>
          <w:sz w:val="22"/>
          <w:szCs w:val="22"/>
        </w:rPr>
        <w:t>2013;6:10</w:t>
      </w:r>
      <w:proofErr w:type="gramEnd"/>
      <w:r w:rsidRPr="001138D5">
        <w:rPr>
          <w:rFonts w:eastAsia="TimesNewRoman" w:cstheme="minorHAnsi"/>
          <w:sz w:val="22"/>
          <w:szCs w:val="22"/>
        </w:rPr>
        <w:t>-9.</w:t>
      </w:r>
    </w:p>
    <w:p w14:paraId="6B1D7F22" w14:textId="76034CC7" w:rsidR="00EC5A53" w:rsidRPr="001138D5" w:rsidRDefault="00EC5A53" w:rsidP="004528A2">
      <w:pPr>
        <w:pStyle w:val="ListParagraph"/>
        <w:numPr>
          <w:ilvl w:val="0"/>
          <w:numId w:val="20"/>
        </w:numPr>
        <w:autoSpaceDE w:val="0"/>
        <w:autoSpaceDN w:val="0"/>
        <w:adjustRightInd w:val="0"/>
        <w:spacing w:after="0" w:line="360" w:lineRule="auto"/>
        <w:rPr>
          <w:rFonts w:eastAsia="TimesNewRoman" w:cstheme="minorHAnsi"/>
          <w:sz w:val="22"/>
          <w:szCs w:val="22"/>
        </w:rPr>
      </w:pPr>
      <w:r w:rsidRPr="001138D5">
        <w:rPr>
          <w:rFonts w:eastAsia="TimesNewRoman" w:cstheme="minorHAnsi"/>
          <w:sz w:val="22"/>
          <w:szCs w:val="22"/>
        </w:rPr>
        <w:t xml:space="preserve">Iwasaki K, </w:t>
      </w:r>
      <w:proofErr w:type="spellStart"/>
      <w:r w:rsidRPr="001138D5">
        <w:rPr>
          <w:rFonts w:eastAsia="TimesNewRoman" w:cstheme="minorHAnsi"/>
          <w:sz w:val="22"/>
          <w:szCs w:val="22"/>
        </w:rPr>
        <w:t>Samukawa</w:t>
      </w:r>
      <w:proofErr w:type="spellEnd"/>
      <w:r w:rsidRPr="001138D5">
        <w:rPr>
          <w:rFonts w:eastAsia="TimesNewRoman" w:cstheme="minorHAnsi"/>
          <w:sz w:val="22"/>
          <w:szCs w:val="22"/>
        </w:rPr>
        <w:t xml:space="preserve"> M, Furukawa H. Comparison of the effects of nicorandil versus</w:t>
      </w:r>
      <w:r w:rsidR="009F0B24" w:rsidRPr="001138D5">
        <w:rPr>
          <w:rFonts w:eastAsia="TimesNewRoman" w:cstheme="minorHAnsi"/>
          <w:sz w:val="22"/>
          <w:szCs w:val="22"/>
        </w:rPr>
        <w:t xml:space="preserve"> </w:t>
      </w:r>
      <w:r w:rsidRPr="001138D5">
        <w:rPr>
          <w:rFonts w:eastAsia="TimesNewRoman" w:cstheme="minorHAnsi"/>
          <w:sz w:val="22"/>
          <w:szCs w:val="22"/>
        </w:rPr>
        <w:t>verapamil on the incidence of slow flow/no reflow during rotational atherectomy. Am J</w:t>
      </w:r>
      <w:r w:rsidR="009F0B24" w:rsidRPr="001138D5">
        <w:rPr>
          <w:rFonts w:eastAsia="TimesNewRoman" w:cstheme="minorHAnsi"/>
          <w:sz w:val="22"/>
          <w:szCs w:val="22"/>
        </w:rPr>
        <w:t xml:space="preserve"> </w:t>
      </w:r>
      <w:proofErr w:type="spellStart"/>
      <w:r w:rsidRPr="001138D5">
        <w:rPr>
          <w:rFonts w:eastAsia="TimesNewRoman" w:cstheme="minorHAnsi"/>
          <w:sz w:val="22"/>
          <w:szCs w:val="22"/>
        </w:rPr>
        <w:t>Cardiol</w:t>
      </w:r>
      <w:proofErr w:type="spellEnd"/>
      <w:r w:rsidRPr="001138D5">
        <w:rPr>
          <w:rFonts w:eastAsia="TimesNewRoman" w:cstheme="minorHAnsi"/>
          <w:sz w:val="22"/>
          <w:szCs w:val="22"/>
        </w:rPr>
        <w:t xml:space="preserve"> </w:t>
      </w:r>
      <w:proofErr w:type="gramStart"/>
      <w:r w:rsidRPr="001138D5">
        <w:rPr>
          <w:rFonts w:eastAsia="TimesNewRoman" w:cstheme="minorHAnsi"/>
          <w:sz w:val="22"/>
          <w:szCs w:val="22"/>
        </w:rPr>
        <w:t>2006;98:1354</w:t>
      </w:r>
      <w:proofErr w:type="gramEnd"/>
      <w:r w:rsidRPr="001138D5">
        <w:rPr>
          <w:rFonts w:eastAsia="TimesNewRoman" w:cstheme="minorHAnsi"/>
          <w:sz w:val="22"/>
          <w:szCs w:val="22"/>
        </w:rPr>
        <w:t>-6.</w:t>
      </w:r>
    </w:p>
    <w:p w14:paraId="0EA4B0A2" w14:textId="2040E721" w:rsidR="00EC5A53" w:rsidRPr="001138D5" w:rsidRDefault="00EC5A53" w:rsidP="004528A2">
      <w:pPr>
        <w:pStyle w:val="ListParagraph"/>
        <w:numPr>
          <w:ilvl w:val="0"/>
          <w:numId w:val="20"/>
        </w:numPr>
        <w:autoSpaceDE w:val="0"/>
        <w:autoSpaceDN w:val="0"/>
        <w:adjustRightInd w:val="0"/>
        <w:spacing w:after="0" w:line="360" w:lineRule="auto"/>
        <w:rPr>
          <w:rFonts w:eastAsia="TimesNewRoman" w:cstheme="minorHAnsi"/>
          <w:sz w:val="22"/>
          <w:szCs w:val="22"/>
        </w:rPr>
      </w:pPr>
      <w:r w:rsidRPr="001138D5">
        <w:rPr>
          <w:rFonts w:eastAsia="TimesNewRoman" w:cstheme="minorHAnsi"/>
          <w:sz w:val="22"/>
          <w:szCs w:val="22"/>
        </w:rPr>
        <w:t>Matsuo H, Watanabe S, Watanabe T, et al. Prevention of no-reflow/slow-flow phenomenon</w:t>
      </w:r>
      <w:r w:rsidR="009F0B24" w:rsidRPr="001138D5">
        <w:rPr>
          <w:rFonts w:eastAsia="TimesNewRoman" w:cstheme="minorHAnsi"/>
          <w:sz w:val="22"/>
          <w:szCs w:val="22"/>
        </w:rPr>
        <w:t xml:space="preserve"> </w:t>
      </w:r>
      <w:r w:rsidRPr="001138D5">
        <w:rPr>
          <w:rFonts w:eastAsia="TimesNewRoman" w:cstheme="minorHAnsi"/>
          <w:sz w:val="22"/>
          <w:szCs w:val="22"/>
        </w:rPr>
        <w:t>during rotational atherectomy--a prospective randomized study comparing intracoronary</w:t>
      </w:r>
      <w:r w:rsidR="009F0B24" w:rsidRPr="001138D5">
        <w:rPr>
          <w:rFonts w:eastAsia="TimesNewRoman" w:cstheme="minorHAnsi"/>
          <w:sz w:val="22"/>
          <w:szCs w:val="22"/>
        </w:rPr>
        <w:t xml:space="preserve"> </w:t>
      </w:r>
      <w:r w:rsidRPr="001138D5">
        <w:rPr>
          <w:rFonts w:eastAsia="TimesNewRoman" w:cstheme="minorHAnsi"/>
          <w:sz w:val="22"/>
          <w:szCs w:val="22"/>
        </w:rPr>
        <w:t xml:space="preserve">continuous infusion of verapamil and nicorandil. Am Heart J </w:t>
      </w:r>
      <w:proofErr w:type="gramStart"/>
      <w:r w:rsidRPr="001138D5">
        <w:rPr>
          <w:rFonts w:eastAsia="TimesNewRoman" w:cstheme="minorHAnsi"/>
          <w:sz w:val="22"/>
          <w:szCs w:val="22"/>
        </w:rPr>
        <w:t>2007;154:994</w:t>
      </w:r>
      <w:proofErr w:type="gramEnd"/>
      <w:r w:rsidRPr="001138D5">
        <w:rPr>
          <w:rFonts w:eastAsia="TimesNewRoman" w:cstheme="minorHAnsi"/>
          <w:sz w:val="22"/>
          <w:szCs w:val="22"/>
        </w:rPr>
        <w:t>.e1-6.</w:t>
      </w:r>
    </w:p>
    <w:p w14:paraId="05AED87F" w14:textId="177C43D2" w:rsidR="00EC5A53" w:rsidRPr="001138D5" w:rsidRDefault="00EC5A53" w:rsidP="004528A2">
      <w:pPr>
        <w:pStyle w:val="ListParagraph"/>
        <w:numPr>
          <w:ilvl w:val="0"/>
          <w:numId w:val="20"/>
        </w:numPr>
        <w:autoSpaceDE w:val="0"/>
        <w:autoSpaceDN w:val="0"/>
        <w:adjustRightInd w:val="0"/>
        <w:spacing w:after="0" w:line="360" w:lineRule="auto"/>
        <w:rPr>
          <w:rFonts w:eastAsia="TimesNewRoman" w:cstheme="minorHAnsi"/>
          <w:sz w:val="22"/>
          <w:szCs w:val="22"/>
        </w:rPr>
      </w:pPr>
      <w:proofErr w:type="spellStart"/>
      <w:r w:rsidRPr="001138D5">
        <w:rPr>
          <w:rFonts w:eastAsia="TimesNewRoman" w:cstheme="minorHAnsi"/>
          <w:sz w:val="22"/>
          <w:szCs w:val="22"/>
        </w:rPr>
        <w:t>Sakakura</w:t>
      </w:r>
      <w:proofErr w:type="spellEnd"/>
      <w:r w:rsidRPr="001138D5">
        <w:rPr>
          <w:rFonts w:eastAsia="TimesNewRoman" w:cstheme="minorHAnsi"/>
          <w:sz w:val="22"/>
          <w:szCs w:val="22"/>
        </w:rPr>
        <w:t xml:space="preserve"> K, </w:t>
      </w:r>
      <w:proofErr w:type="spellStart"/>
      <w:r w:rsidRPr="001138D5">
        <w:rPr>
          <w:rFonts w:eastAsia="TimesNewRoman" w:cstheme="minorHAnsi"/>
          <w:sz w:val="22"/>
          <w:szCs w:val="22"/>
        </w:rPr>
        <w:t>Ako</w:t>
      </w:r>
      <w:proofErr w:type="spellEnd"/>
      <w:r w:rsidRPr="001138D5">
        <w:rPr>
          <w:rFonts w:eastAsia="TimesNewRoman" w:cstheme="minorHAnsi"/>
          <w:sz w:val="22"/>
          <w:szCs w:val="22"/>
        </w:rPr>
        <w:t xml:space="preserve"> J, Wada H, et al. Beta-blocker use is not associated with slow flow during</w:t>
      </w:r>
      <w:r w:rsidR="009F0B24" w:rsidRPr="001138D5">
        <w:rPr>
          <w:rFonts w:eastAsia="TimesNewRoman" w:cstheme="minorHAnsi"/>
          <w:sz w:val="22"/>
          <w:szCs w:val="22"/>
        </w:rPr>
        <w:t xml:space="preserve"> </w:t>
      </w:r>
      <w:r w:rsidRPr="001138D5">
        <w:rPr>
          <w:rFonts w:eastAsia="TimesNewRoman" w:cstheme="minorHAnsi"/>
          <w:sz w:val="22"/>
          <w:szCs w:val="22"/>
        </w:rPr>
        <w:t xml:space="preserve">rotational atherectomy. J Invasive </w:t>
      </w:r>
      <w:proofErr w:type="spellStart"/>
      <w:r w:rsidRPr="001138D5">
        <w:rPr>
          <w:rFonts w:eastAsia="TimesNewRoman" w:cstheme="minorHAnsi"/>
          <w:sz w:val="22"/>
          <w:szCs w:val="22"/>
        </w:rPr>
        <w:t>Cardiol</w:t>
      </w:r>
      <w:proofErr w:type="spellEnd"/>
      <w:r w:rsidRPr="001138D5">
        <w:rPr>
          <w:rFonts w:eastAsia="TimesNewRoman" w:cstheme="minorHAnsi"/>
          <w:sz w:val="22"/>
          <w:szCs w:val="22"/>
        </w:rPr>
        <w:t xml:space="preserve"> </w:t>
      </w:r>
      <w:proofErr w:type="gramStart"/>
      <w:r w:rsidRPr="001138D5">
        <w:rPr>
          <w:rFonts w:eastAsia="TimesNewRoman" w:cstheme="minorHAnsi"/>
          <w:sz w:val="22"/>
          <w:szCs w:val="22"/>
        </w:rPr>
        <w:t>2012;24:379</w:t>
      </w:r>
      <w:proofErr w:type="gramEnd"/>
      <w:r w:rsidRPr="001138D5">
        <w:rPr>
          <w:rFonts w:eastAsia="TimesNewRoman" w:cstheme="minorHAnsi"/>
          <w:sz w:val="22"/>
          <w:szCs w:val="22"/>
        </w:rPr>
        <w:t>-84.</w:t>
      </w:r>
    </w:p>
    <w:p w14:paraId="72ABE976" w14:textId="3FDEB3BF" w:rsidR="00EC5A53" w:rsidRPr="001138D5" w:rsidRDefault="00EC5A53" w:rsidP="004528A2">
      <w:pPr>
        <w:pStyle w:val="ListParagraph"/>
        <w:numPr>
          <w:ilvl w:val="0"/>
          <w:numId w:val="20"/>
        </w:numPr>
        <w:autoSpaceDE w:val="0"/>
        <w:autoSpaceDN w:val="0"/>
        <w:adjustRightInd w:val="0"/>
        <w:spacing w:after="0" w:line="360" w:lineRule="auto"/>
        <w:rPr>
          <w:rFonts w:eastAsia="TimesNewRoman" w:cstheme="minorHAnsi"/>
          <w:sz w:val="22"/>
          <w:szCs w:val="22"/>
        </w:rPr>
      </w:pPr>
      <w:proofErr w:type="spellStart"/>
      <w:r w:rsidRPr="001138D5">
        <w:rPr>
          <w:rFonts w:eastAsia="TimesNewRoman" w:cstheme="minorHAnsi"/>
          <w:sz w:val="22"/>
          <w:szCs w:val="22"/>
        </w:rPr>
        <w:t>Sakakura</w:t>
      </w:r>
      <w:proofErr w:type="spellEnd"/>
      <w:r w:rsidRPr="001138D5">
        <w:rPr>
          <w:rFonts w:eastAsia="TimesNewRoman" w:cstheme="minorHAnsi"/>
          <w:sz w:val="22"/>
          <w:szCs w:val="22"/>
        </w:rPr>
        <w:t xml:space="preserve"> K, </w:t>
      </w:r>
      <w:proofErr w:type="spellStart"/>
      <w:r w:rsidRPr="001138D5">
        <w:rPr>
          <w:rFonts w:eastAsia="TimesNewRoman" w:cstheme="minorHAnsi"/>
          <w:sz w:val="22"/>
          <w:szCs w:val="22"/>
        </w:rPr>
        <w:t>Ako</w:t>
      </w:r>
      <w:proofErr w:type="spellEnd"/>
      <w:r w:rsidRPr="001138D5">
        <w:rPr>
          <w:rFonts w:eastAsia="TimesNewRoman" w:cstheme="minorHAnsi"/>
          <w:sz w:val="22"/>
          <w:szCs w:val="22"/>
        </w:rPr>
        <w:t xml:space="preserve"> J, Wada H, et al. Comparison of frequency of complications with on-label</w:t>
      </w:r>
      <w:r w:rsidR="009F0B24" w:rsidRPr="001138D5">
        <w:rPr>
          <w:rFonts w:eastAsia="TimesNewRoman" w:cstheme="minorHAnsi"/>
          <w:sz w:val="22"/>
          <w:szCs w:val="22"/>
        </w:rPr>
        <w:t xml:space="preserve"> </w:t>
      </w:r>
      <w:r w:rsidRPr="001138D5">
        <w:rPr>
          <w:rFonts w:eastAsia="TimesNewRoman" w:cstheme="minorHAnsi"/>
          <w:sz w:val="22"/>
          <w:szCs w:val="22"/>
        </w:rPr>
        <w:t xml:space="preserve">versus off-label use of rotational atherectomy. Am J </w:t>
      </w:r>
      <w:proofErr w:type="spellStart"/>
      <w:r w:rsidRPr="001138D5">
        <w:rPr>
          <w:rFonts w:eastAsia="TimesNewRoman" w:cstheme="minorHAnsi"/>
          <w:sz w:val="22"/>
          <w:szCs w:val="22"/>
        </w:rPr>
        <w:t>Cardiol</w:t>
      </w:r>
      <w:proofErr w:type="spellEnd"/>
      <w:r w:rsidRPr="001138D5">
        <w:rPr>
          <w:rFonts w:eastAsia="TimesNewRoman" w:cstheme="minorHAnsi"/>
          <w:sz w:val="22"/>
          <w:szCs w:val="22"/>
        </w:rPr>
        <w:t xml:space="preserve"> </w:t>
      </w:r>
      <w:proofErr w:type="gramStart"/>
      <w:r w:rsidRPr="001138D5">
        <w:rPr>
          <w:rFonts w:eastAsia="TimesNewRoman" w:cstheme="minorHAnsi"/>
          <w:sz w:val="22"/>
          <w:szCs w:val="22"/>
        </w:rPr>
        <w:t>2012;110:498</w:t>
      </w:r>
      <w:proofErr w:type="gramEnd"/>
      <w:r w:rsidRPr="001138D5">
        <w:rPr>
          <w:rFonts w:eastAsia="TimesNewRoman" w:cstheme="minorHAnsi"/>
          <w:sz w:val="22"/>
          <w:szCs w:val="22"/>
        </w:rPr>
        <w:t>-501.</w:t>
      </w:r>
    </w:p>
    <w:p w14:paraId="2EDF66FC" w14:textId="77777777" w:rsidR="00EF4DCB" w:rsidRPr="001138D5" w:rsidRDefault="00EC5A53" w:rsidP="004528A2">
      <w:pPr>
        <w:pStyle w:val="ListParagraph"/>
        <w:numPr>
          <w:ilvl w:val="0"/>
          <w:numId w:val="20"/>
        </w:numPr>
        <w:autoSpaceDE w:val="0"/>
        <w:autoSpaceDN w:val="0"/>
        <w:adjustRightInd w:val="0"/>
        <w:spacing w:after="0" w:line="360" w:lineRule="auto"/>
        <w:rPr>
          <w:rFonts w:eastAsia="TimesNewRoman" w:cstheme="minorHAnsi"/>
          <w:sz w:val="22"/>
          <w:szCs w:val="22"/>
        </w:rPr>
      </w:pPr>
      <w:r w:rsidRPr="001138D5">
        <w:rPr>
          <w:rFonts w:eastAsia="TimesNewRoman" w:cstheme="minorHAnsi"/>
          <w:sz w:val="22"/>
          <w:szCs w:val="22"/>
        </w:rPr>
        <w:lastRenderedPageBreak/>
        <w:t>Chambers J, Feldman R, et al. Pivotal Trial to Evaluate the Safety and Efficacy of the Orbital</w:t>
      </w:r>
      <w:r w:rsidR="009F0B24" w:rsidRPr="001138D5">
        <w:rPr>
          <w:rFonts w:eastAsia="TimesNewRoman" w:cstheme="minorHAnsi"/>
          <w:sz w:val="22"/>
          <w:szCs w:val="22"/>
        </w:rPr>
        <w:t xml:space="preserve"> </w:t>
      </w:r>
      <w:r w:rsidRPr="001138D5">
        <w:rPr>
          <w:rFonts w:eastAsia="TimesNewRoman" w:cstheme="minorHAnsi"/>
          <w:sz w:val="22"/>
          <w:szCs w:val="22"/>
        </w:rPr>
        <w:t>Atherectomy System in Treating De Novo, Severely Calcified Coronary Lesions (ORBIT II). J</w:t>
      </w:r>
      <w:r w:rsidR="009F0B24" w:rsidRPr="001138D5">
        <w:rPr>
          <w:rFonts w:eastAsia="TimesNewRoman" w:cstheme="minorHAnsi"/>
          <w:sz w:val="22"/>
          <w:szCs w:val="22"/>
        </w:rPr>
        <w:t xml:space="preserve"> </w:t>
      </w:r>
      <w:r w:rsidRPr="001138D5">
        <w:rPr>
          <w:rFonts w:eastAsia="TimesNewRoman" w:cstheme="minorHAnsi"/>
          <w:sz w:val="22"/>
          <w:szCs w:val="22"/>
        </w:rPr>
        <w:t xml:space="preserve">Am Coll </w:t>
      </w:r>
      <w:proofErr w:type="spellStart"/>
      <w:r w:rsidRPr="001138D5">
        <w:rPr>
          <w:rFonts w:eastAsia="TimesNewRoman" w:cstheme="minorHAnsi"/>
          <w:sz w:val="22"/>
          <w:szCs w:val="22"/>
        </w:rPr>
        <w:t>Cariol</w:t>
      </w:r>
      <w:proofErr w:type="spellEnd"/>
      <w:r w:rsidRPr="001138D5">
        <w:rPr>
          <w:rFonts w:eastAsia="TimesNewRoman" w:cstheme="minorHAnsi"/>
          <w:sz w:val="22"/>
          <w:szCs w:val="22"/>
        </w:rPr>
        <w:t xml:space="preserve"> </w:t>
      </w:r>
      <w:proofErr w:type="spellStart"/>
      <w:r w:rsidRPr="001138D5">
        <w:rPr>
          <w:rFonts w:eastAsia="TimesNewRoman" w:cstheme="minorHAnsi"/>
          <w:sz w:val="22"/>
          <w:szCs w:val="22"/>
        </w:rPr>
        <w:t>Intv</w:t>
      </w:r>
      <w:proofErr w:type="spellEnd"/>
      <w:r w:rsidRPr="001138D5">
        <w:rPr>
          <w:rFonts w:eastAsia="TimesNewRoman" w:cstheme="minorHAnsi"/>
          <w:sz w:val="22"/>
          <w:szCs w:val="22"/>
        </w:rPr>
        <w:t xml:space="preserve"> 2014; 7: 510-8.</w:t>
      </w:r>
    </w:p>
    <w:p w14:paraId="1C75247B" w14:textId="220FCFBB" w:rsidR="00EF4DCB" w:rsidRPr="001138D5" w:rsidRDefault="00EC5A53" w:rsidP="004528A2">
      <w:pPr>
        <w:pStyle w:val="ListParagraph"/>
        <w:numPr>
          <w:ilvl w:val="0"/>
          <w:numId w:val="20"/>
        </w:numPr>
        <w:autoSpaceDE w:val="0"/>
        <w:autoSpaceDN w:val="0"/>
        <w:adjustRightInd w:val="0"/>
        <w:spacing w:after="0" w:line="360" w:lineRule="auto"/>
        <w:rPr>
          <w:rFonts w:eastAsia="TimesNewRoman" w:cstheme="minorHAnsi"/>
          <w:sz w:val="22"/>
          <w:szCs w:val="22"/>
        </w:rPr>
      </w:pPr>
      <w:r w:rsidRPr="001138D5">
        <w:rPr>
          <w:rFonts w:eastAsia="TimesNewRoman" w:cstheme="minorHAnsi"/>
          <w:sz w:val="22"/>
          <w:szCs w:val="22"/>
        </w:rPr>
        <w:t xml:space="preserve">Ali ZA, Brinton TJ, Hill JM, Maehara A, Matsumura M, Karimi </w:t>
      </w:r>
      <w:proofErr w:type="spellStart"/>
      <w:r w:rsidRPr="001138D5">
        <w:rPr>
          <w:rFonts w:eastAsia="TimesNewRoman" w:cstheme="minorHAnsi"/>
          <w:sz w:val="22"/>
          <w:szCs w:val="22"/>
        </w:rPr>
        <w:t>Galougahi</w:t>
      </w:r>
      <w:proofErr w:type="spellEnd"/>
      <w:r w:rsidRPr="001138D5">
        <w:rPr>
          <w:rFonts w:eastAsia="TimesNewRoman" w:cstheme="minorHAnsi"/>
          <w:sz w:val="22"/>
          <w:szCs w:val="22"/>
        </w:rPr>
        <w:t xml:space="preserve"> K, </w:t>
      </w:r>
      <w:proofErr w:type="spellStart"/>
      <w:r w:rsidRPr="001138D5">
        <w:rPr>
          <w:rFonts w:eastAsia="TimesNewRoman" w:cstheme="minorHAnsi"/>
          <w:sz w:val="22"/>
          <w:szCs w:val="22"/>
        </w:rPr>
        <w:t>Illindala</w:t>
      </w:r>
      <w:proofErr w:type="spellEnd"/>
      <w:r w:rsidRPr="001138D5">
        <w:rPr>
          <w:rFonts w:eastAsia="TimesNewRoman" w:cstheme="minorHAnsi"/>
          <w:sz w:val="22"/>
          <w:szCs w:val="22"/>
        </w:rPr>
        <w:t xml:space="preserve"> U, </w:t>
      </w:r>
      <w:proofErr w:type="spellStart"/>
      <w:r w:rsidRPr="001138D5">
        <w:rPr>
          <w:rFonts w:eastAsia="TimesNewRoman" w:cstheme="minorHAnsi"/>
          <w:sz w:val="22"/>
          <w:szCs w:val="22"/>
        </w:rPr>
        <w:t>Götberg</w:t>
      </w:r>
      <w:proofErr w:type="spellEnd"/>
      <w:r w:rsidRPr="001138D5">
        <w:rPr>
          <w:rFonts w:eastAsia="TimesNewRoman" w:cstheme="minorHAnsi"/>
          <w:sz w:val="22"/>
          <w:szCs w:val="22"/>
        </w:rPr>
        <w:t xml:space="preserve"> M, </w:t>
      </w:r>
      <w:proofErr w:type="spellStart"/>
      <w:r w:rsidRPr="001138D5">
        <w:rPr>
          <w:rFonts w:eastAsia="TimesNewRoman" w:cstheme="minorHAnsi"/>
          <w:sz w:val="22"/>
          <w:szCs w:val="22"/>
        </w:rPr>
        <w:t>Whitbourn</w:t>
      </w:r>
      <w:proofErr w:type="spellEnd"/>
      <w:r w:rsidRPr="001138D5">
        <w:rPr>
          <w:rFonts w:eastAsia="TimesNewRoman" w:cstheme="minorHAnsi"/>
          <w:sz w:val="22"/>
          <w:szCs w:val="22"/>
        </w:rPr>
        <w:t xml:space="preserve"> R, Van </w:t>
      </w:r>
      <w:proofErr w:type="spellStart"/>
      <w:r w:rsidRPr="001138D5">
        <w:rPr>
          <w:rFonts w:eastAsia="TimesNewRoman" w:cstheme="minorHAnsi"/>
          <w:sz w:val="22"/>
          <w:szCs w:val="22"/>
        </w:rPr>
        <w:t>Mieghem</w:t>
      </w:r>
      <w:proofErr w:type="spellEnd"/>
      <w:r w:rsidRPr="001138D5">
        <w:rPr>
          <w:rFonts w:eastAsia="TimesNewRoman" w:cstheme="minorHAnsi"/>
          <w:sz w:val="22"/>
          <w:szCs w:val="22"/>
        </w:rPr>
        <w:t xml:space="preserve"> N, Meredith IT, Di Mario C, </w:t>
      </w:r>
      <w:proofErr w:type="spellStart"/>
      <w:r w:rsidRPr="001138D5">
        <w:rPr>
          <w:rFonts w:eastAsia="TimesNewRoman" w:cstheme="minorHAnsi"/>
          <w:sz w:val="22"/>
          <w:szCs w:val="22"/>
        </w:rPr>
        <w:t>Fajadet</w:t>
      </w:r>
      <w:proofErr w:type="spellEnd"/>
      <w:r w:rsidRPr="001138D5">
        <w:rPr>
          <w:rFonts w:eastAsia="TimesNewRoman" w:cstheme="minorHAnsi"/>
          <w:sz w:val="22"/>
          <w:szCs w:val="22"/>
        </w:rPr>
        <w:t xml:space="preserve"> J. </w:t>
      </w:r>
      <w:r w:rsidR="002975BE" w:rsidRPr="001138D5">
        <w:rPr>
          <w:rFonts w:cstheme="minorHAnsi"/>
          <w:color w:val="222222"/>
          <w:sz w:val="22"/>
          <w:szCs w:val="22"/>
          <w:shd w:val="clear" w:color="auto" w:fill="FFFFFF"/>
        </w:rPr>
        <w:t xml:space="preserve">Optical coherence tomography characterization of coronary </w:t>
      </w:r>
      <w:proofErr w:type="spellStart"/>
      <w:r w:rsidR="002975BE" w:rsidRPr="001138D5">
        <w:rPr>
          <w:rFonts w:cstheme="minorHAnsi"/>
          <w:color w:val="222222"/>
          <w:sz w:val="22"/>
          <w:szCs w:val="22"/>
          <w:shd w:val="clear" w:color="auto" w:fill="FFFFFF"/>
        </w:rPr>
        <w:t>lithoplasty</w:t>
      </w:r>
      <w:proofErr w:type="spellEnd"/>
      <w:r w:rsidR="002975BE" w:rsidRPr="001138D5">
        <w:rPr>
          <w:rFonts w:cstheme="minorHAnsi"/>
          <w:color w:val="222222"/>
          <w:sz w:val="22"/>
          <w:szCs w:val="22"/>
          <w:shd w:val="clear" w:color="auto" w:fill="FFFFFF"/>
        </w:rPr>
        <w:t xml:space="preserve"> for treatment of calcified lesions: first description. JACC: Cardiovascular Imaging. 2017 Aug 7;10(8):897-906.</w:t>
      </w:r>
    </w:p>
    <w:p w14:paraId="52231893" w14:textId="7BB9F28C" w:rsidR="004C2740" w:rsidRPr="001138D5" w:rsidRDefault="00EC5A53" w:rsidP="004528A2">
      <w:pPr>
        <w:pStyle w:val="ListParagraph"/>
        <w:numPr>
          <w:ilvl w:val="0"/>
          <w:numId w:val="20"/>
        </w:numPr>
        <w:autoSpaceDE w:val="0"/>
        <w:autoSpaceDN w:val="0"/>
        <w:adjustRightInd w:val="0"/>
        <w:spacing w:after="0" w:line="360" w:lineRule="auto"/>
        <w:rPr>
          <w:rFonts w:eastAsia="TimesNewRoman" w:cstheme="minorHAnsi"/>
          <w:sz w:val="22"/>
          <w:szCs w:val="22"/>
        </w:rPr>
      </w:pPr>
      <w:proofErr w:type="spellStart"/>
      <w:r w:rsidRPr="001138D5">
        <w:rPr>
          <w:rFonts w:cstheme="minorHAnsi"/>
          <w:color w:val="000000"/>
          <w:sz w:val="22"/>
          <w:szCs w:val="22"/>
        </w:rPr>
        <w:t>Javat</w:t>
      </w:r>
      <w:proofErr w:type="spellEnd"/>
      <w:r w:rsidRPr="001138D5">
        <w:rPr>
          <w:rFonts w:cstheme="minorHAnsi"/>
          <w:color w:val="000000"/>
          <w:sz w:val="22"/>
          <w:szCs w:val="22"/>
        </w:rPr>
        <w:t xml:space="preserve"> D, Heal C, Banks J, Buchholz S, Zhang Z</w:t>
      </w:r>
      <w:r w:rsidR="008205D2">
        <w:rPr>
          <w:rFonts w:cstheme="minorHAnsi"/>
          <w:color w:val="000000"/>
          <w:sz w:val="22"/>
          <w:szCs w:val="22"/>
        </w:rPr>
        <w:t xml:space="preserve">. </w:t>
      </w:r>
      <w:r w:rsidRPr="001138D5">
        <w:rPr>
          <w:rFonts w:cstheme="minorHAnsi"/>
          <w:color w:val="000000"/>
          <w:sz w:val="22"/>
          <w:szCs w:val="22"/>
        </w:rPr>
        <w:t xml:space="preserve">Regional to tertiary inter-hospital transfer versus in-house percutaneous coronary intervention in acute coronary syndrome. </w:t>
      </w:r>
      <w:proofErr w:type="spellStart"/>
      <w:r w:rsidRPr="001138D5">
        <w:rPr>
          <w:rFonts w:cstheme="minorHAnsi"/>
          <w:color w:val="000000"/>
          <w:sz w:val="22"/>
          <w:szCs w:val="22"/>
        </w:rPr>
        <w:t>PLoS</w:t>
      </w:r>
      <w:proofErr w:type="spellEnd"/>
      <w:r w:rsidRPr="001138D5">
        <w:rPr>
          <w:rFonts w:cstheme="minorHAnsi"/>
          <w:color w:val="000000"/>
          <w:sz w:val="22"/>
          <w:szCs w:val="22"/>
        </w:rPr>
        <w:t xml:space="preserve"> ONE</w:t>
      </w:r>
      <w:r w:rsidR="008205D2">
        <w:rPr>
          <w:rFonts w:cstheme="minorHAnsi"/>
          <w:color w:val="000000"/>
          <w:sz w:val="22"/>
          <w:szCs w:val="22"/>
        </w:rPr>
        <w:t xml:space="preserve"> 2018</w:t>
      </w:r>
      <w:r w:rsidRPr="001138D5">
        <w:rPr>
          <w:rFonts w:cstheme="minorHAnsi"/>
          <w:color w:val="000000"/>
          <w:sz w:val="22"/>
          <w:szCs w:val="22"/>
        </w:rPr>
        <w:t xml:space="preserve"> 13(6): e0198272.</w:t>
      </w:r>
    </w:p>
    <w:sectPr w:rsidR="004C2740" w:rsidRPr="001138D5" w:rsidSect="00DF0110">
      <w:footerReference w:type="default" r:id="rId13"/>
      <w:pgSz w:w="11906" w:h="16838"/>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AA5BC" w14:textId="77777777" w:rsidR="00A6343F" w:rsidRDefault="00A6343F" w:rsidP="006A717D">
      <w:pPr>
        <w:spacing w:after="0" w:line="240" w:lineRule="auto"/>
      </w:pPr>
      <w:r>
        <w:separator/>
      </w:r>
    </w:p>
  </w:endnote>
  <w:endnote w:type="continuationSeparator" w:id="0">
    <w:p w14:paraId="3E9D69DA" w14:textId="77777777" w:rsidR="00A6343F" w:rsidRDefault="00A6343F" w:rsidP="006A7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31899" w14:textId="0E23DA36" w:rsidR="00DF0110" w:rsidRDefault="00DF0110" w:rsidP="00DF0110">
    <w:pPr>
      <w:pStyle w:val="Footer"/>
      <w:jc w:val="right"/>
    </w:pPr>
    <w:r>
      <w:rPr>
        <w:noProof/>
        <w:lang w:val="en-AU" w:eastAsia="en-AU"/>
      </w:rPr>
      <mc:AlternateContent>
        <mc:Choice Requires="wps">
          <w:drawing>
            <wp:anchor distT="0" distB="0" distL="114300" distR="114300" simplePos="0" relativeHeight="251658752" behindDoc="0" locked="0" layoutInCell="1" allowOverlap="1" wp14:anchorId="522318A1" wp14:editId="77FD08BA">
              <wp:simplePos x="0" y="0"/>
              <wp:positionH relativeFrom="column">
                <wp:posOffset>-733425</wp:posOffset>
              </wp:positionH>
              <wp:positionV relativeFrom="paragraph">
                <wp:posOffset>-272415</wp:posOffset>
              </wp:positionV>
              <wp:extent cx="7019925" cy="488861"/>
              <wp:effectExtent l="0" t="0" r="952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488861"/>
                      </a:xfrm>
                      <a:prstGeom prst="rect">
                        <a:avLst/>
                      </a:prstGeom>
                      <a:solidFill>
                        <a:srgbClr val="FFFFFF"/>
                      </a:solidFill>
                      <a:ln w="9525">
                        <a:noFill/>
                        <a:miter lim="800000"/>
                        <a:headEnd/>
                        <a:tailEnd/>
                      </a:ln>
                    </wps:spPr>
                    <wps:txbx>
                      <w:txbxContent>
                        <w:p w14:paraId="522318A7" w14:textId="12C8EF5A" w:rsidR="00DF0110" w:rsidRDefault="0066633A" w:rsidP="005B45D1">
                          <w:pPr>
                            <w:spacing w:after="0"/>
                            <w:rPr>
                              <w:lang w:val="en-AU"/>
                            </w:rPr>
                          </w:pPr>
                          <w:r>
                            <w:rPr>
                              <w:lang w:val="en-AU"/>
                            </w:rPr>
                            <w:t>Intravascular Lithotripsy Catheter Balloon for Calcified Coronary Artery Intervention at the Mackay Base Ho</w:t>
                          </w:r>
                          <w:r w:rsidR="00010863">
                            <w:rPr>
                              <w:lang w:val="en-AU"/>
                            </w:rPr>
                            <w:t>spital</w:t>
                          </w:r>
                          <w:r w:rsidR="00B92417">
                            <w:rPr>
                              <w:lang w:val="en-AU"/>
                            </w:rPr>
                            <w:t xml:space="preserve"> </w:t>
                          </w:r>
                          <w:r w:rsidR="00F65C26">
                            <w:rPr>
                              <w:lang w:val="en-AU"/>
                            </w:rPr>
                            <w:t>[</w:t>
                          </w:r>
                          <w:r w:rsidR="005927A5">
                            <w:rPr>
                              <w:lang w:val="en-AU"/>
                            </w:rPr>
                            <w:t>2</w:t>
                          </w:r>
                          <w:r w:rsidR="008F424D">
                            <w:rPr>
                              <w:lang w:val="en-AU"/>
                            </w:rPr>
                            <w:t>5</w:t>
                          </w:r>
                          <w:r w:rsidR="005927A5">
                            <w:rPr>
                              <w:lang w:val="en-AU"/>
                            </w:rPr>
                            <w:t>/</w:t>
                          </w:r>
                          <w:r w:rsidR="008F424D">
                            <w:rPr>
                              <w:lang w:val="en-AU"/>
                            </w:rPr>
                            <w:t>0</w:t>
                          </w:r>
                          <w:r w:rsidR="005927A5">
                            <w:rPr>
                              <w:lang w:val="en-AU"/>
                            </w:rPr>
                            <w:t>1/</w:t>
                          </w:r>
                          <w:r w:rsidR="00B92417">
                            <w:rPr>
                              <w:lang w:val="en-AU"/>
                            </w:rPr>
                            <w:t>202</w:t>
                          </w:r>
                          <w:r w:rsidR="008F424D">
                            <w:rPr>
                              <w:lang w:val="en-AU"/>
                            </w:rPr>
                            <w:t>1</w:t>
                          </w:r>
                          <w:r w:rsidR="00C474CD">
                            <w:rPr>
                              <w:lang w:val="en-AU"/>
                            </w:rPr>
                            <w:t>]</w:t>
                          </w:r>
                          <w:r w:rsidR="00B92417">
                            <w:rPr>
                              <w:lang w:val="en-AU"/>
                            </w:rPr>
                            <w:t xml:space="preserve"> V</w:t>
                          </w:r>
                          <w:r w:rsidR="008F424D">
                            <w:rPr>
                              <w:lang w:val="en-AU"/>
                            </w:rPr>
                            <w:t>2</w:t>
                          </w:r>
                        </w:p>
                        <w:p w14:paraId="6081B43E" w14:textId="5F1944F2" w:rsidR="00F65C26" w:rsidRPr="0066633A" w:rsidRDefault="00F65C26" w:rsidP="005B45D1">
                          <w:pPr>
                            <w:spacing w:after="0"/>
                            <w:rPr>
                              <w:lang w:val="en-AU"/>
                            </w:rPr>
                          </w:pPr>
                          <w:r>
                            <w:rPr>
                              <w:lang w:val="en-AU"/>
                            </w:rPr>
                            <w:t>Mackay Base Hospital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2318A1" id="_x0000_t202" coordsize="21600,21600" o:spt="202" path="m,l,21600r21600,l21600,xe">
              <v:stroke joinstyle="miter"/>
              <v:path gradientshapeok="t" o:connecttype="rect"/>
            </v:shapetype>
            <v:shape id="Text Box 2" o:spid="_x0000_s1026" type="#_x0000_t202" style="position:absolute;left:0;text-align:left;margin-left:-57.75pt;margin-top:-21.45pt;width:552.75pt;height:3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" stroked="f">
              <v:textbox>
                <w:txbxContent>
                  <w:p w14:paraId="522318A7" w14:textId="12C8EF5A" w:rsidR="00DF0110" w:rsidRDefault="0066633A" w:rsidP="005B45D1">
                    <w:pPr>
                      <w:spacing w:after="0"/>
                      <w:rPr>
                        <w:lang w:val="en-AU"/>
                      </w:rPr>
                    </w:pPr>
                    <w:r>
                      <w:rPr>
                        <w:lang w:val="en-AU"/>
                      </w:rPr>
                      <w:t>Intravascular Lithotripsy Catheter Balloon for Calcified Coronary Artery Intervention at the Mackay Base Ho</w:t>
                    </w:r>
                    <w:r w:rsidR="00010863">
                      <w:rPr>
                        <w:lang w:val="en-AU"/>
                      </w:rPr>
                      <w:t>spital</w:t>
                    </w:r>
                    <w:r w:rsidR="00B92417">
                      <w:rPr>
                        <w:lang w:val="en-AU"/>
                      </w:rPr>
                      <w:t xml:space="preserve"> </w:t>
                    </w:r>
                    <w:r w:rsidR="00F65C26">
                      <w:rPr>
                        <w:lang w:val="en-AU"/>
                      </w:rPr>
                      <w:t>[</w:t>
                    </w:r>
                    <w:r w:rsidR="005927A5">
                      <w:rPr>
                        <w:lang w:val="en-AU"/>
                      </w:rPr>
                      <w:t>2</w:t>
                    </w:r>
                    <w:r w:rsidR="008F424D">
                      <w:rPr>
                        <w:lang w:val="en-AU"/>
                      </w:rPr>
                      <w:t>5</w:t>
                    </w:r>
                    <w:r w:rsidR="005927A5">
                      <w:rPr>
                        <w:lang w:val="en-AU"/>
                      </w:rPr>
                      <w:t>/</w:t>
                    </w:r>
                    <w:r w:rsidR="008F424D">
                      <w:rPr>
                        <w:lang w:val="en-AU"/>
                      </w:rPr>
                      <w:t>0</w:t>
                    </w:r>
                    <w:r w:rsidR="005927A5">
                      <w:rPr>
                        <w:lang w:val="en-AU"/>
                      </w:rPr>
                      <w:t>1/</w:t>
                    </w:r>
                    <w:r w:rsidR="00B92417">
                      <w:rPr>
                        <w:lang w:val="en-AU"/>
                      </w:rPr>
                      <w:t>202</w:t>
                    </w:r>
                    <w:r w:rsidR="008F424D">
                      <w:rPr>
                        <w:lang w:val="en-AU"/>
                      </w:rPr>
                      <w:t>1</w:t>
                    </w:r>
                    <w:r w:rsidR="00C474CD">
                      <w:rPr>
                        <w:lang w:val="en-AU"/>
                      </w:rPr>
                      <w:t>]</w:t>
                    </w:r>
                    <w:r w:rsidR="00B92417">
                      <w:rPr>
                        <w:lang w:val="en-AU"/>
                      </w:rPr>
                      <w:t xml:space="preserve"> V</w:t>
                    </w:r>
                    <w:r w:rsidR="008F424D">
                      <w:rPr>
                        <w:lang w:val="en-AU"/>
                      </w:rPr>
                      <w:t>2</w:t>
                    </w:r>
                  </w:p>
                  <w:p w14:paraId="6081B43E" w14:textId="5F1944F2" w:rsidR="00F65C26" w:rsidRPr="0066633A" w:rsidRDefault="00F65C26" w:rsidP="005B45D1">
                    <w:pPr>
                      <w:spacing w:after="0"/>
                      <w:rPr>
                        <w:lang w:val="en-AU"/>
                      </w:rPr>
                    </w:pPr>
                    <w:r>
                      <w:rPr>
                        <w:lang w:val="en-AU"/>
                      </w:rPr>
                      <w:t>Mackay Base Hospital</w:t>
                    </w:r>
                  </w:p>
                </w:txbxContent>
              </v:textbox>
            </v:shape>
          </w:pict>
        </mc:Fallback>
      </mc:AlternateContent>
    </w:r>
    <w:sdt>
      <w:sdtPr>
        <w:id w:val="-433510387"/>
        <w:docPartObj>
          <w:docPartGallery w:val="Page Numbers (Bottom of Page)"/>
          <w:docPartUnique/>
        </w:docPartObj>
      </w:sdtPr>
      <w:sdtEndPr/>
      <w:sdtContent>
        <w:sdt>
          <w:sdtPr>
            <w:id w:val="860082579"/>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A932A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932A4">
              <w:rPr>
                <w:b/>
                <w:bCs/>
                <w:noProof/>
              </w:rPr>
              <w:t>2</w:t>
            </w:r>
            <w:r>
              <w:rPr>
                <w:b/>
                <w:bCs/>
                <w:sz w:val="24"/>
                <w:szCs w:val="24"/>
              </w:rPr>
              <w:fldChar w:fldCharType="end"/>
            </w:r>
          </w:sdtContent>
        </w:sdt>
      </w:sdtContent>
    </w:sdt>
    <w:r w:rsidRPr="00DF0110">
      <w:rPr>
        <w:noProof/>
        <w:lang w:val="en-AU" w:eastAsia="en-AU"/>
      </w:rPr>
      <w:t xml:space="preserve"> </w:t>
    </w:r>
  </w:p>
  <w:p w14:paraId="5223189A" w14:textId="77777777" w:rsidR="006A717D" w:rsidRPr="00DF0110" w:rsidRDefault="006A717D" w:rsidP="00DF0110">
    <w:pPr>
      <w:pStyle w:val="Footer"/>
      <w:jc w:val="right"/>
      <w:rPr>
        <w:sz w:val="18"/>
        <w:lang w:val="en-AU" w:eastAsia="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91649" w14:textId="77777777" w:rsidR="00A6343F" w:rsidRDefault="00A6343F" w:rsidP="006A717D">
      <w:pPr>
        <w:spacing w:after="0" w:line="240" w:lineRule="auto"/>
      </w:pPr>
      <w:r>
        <w:separator/>
      </w:r>
    </w:p>
  </w:footnote>
  <w:footnote w:type="continuationSeparator" w:id="0">
    <w:p w14:paraId="02E4ABB5" w14:textId="77777777" w:rsidR="00A6343F" w:rsidRDefault="00A6343F" w:rsidP="006A71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4C8B"/>
    <w:multiLevelType w:val="multilevel"/>
    <w:tmpl w:val="6714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72792"/>
    <w:multiLevelType w:val="hybridMultilevel"/>
    <w:tmpl w:val="7C66FA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526164"/>
    <w:multiLevelType w:val="hybridMultilevel"/>
    <w:tmpl w:val="E5E29E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F2516C3"/>
    <w:multiLevelType w:val="hybridMultilevel"/>
    <w:tmpl w:val="C83AE1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FF120B3"/>
    <w:multiLevelType w:val="hybridMultilevel"/>
    <w:tmpl w:val="5DEEE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FD694F"/>
    <w:multiLevelType w:val="hybridMultilevel"/>
    <w:tmpl w:val="BDD40A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A95CEB"/>
    <w:multiLevelType w:val="hybridMultilevel"/>
    <w:tmpl w:val="7818CC9C"/>
    <w:lvl w:ilvl="0" w:tplc="B290B4E0">
      <w:start w:val="3"/>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53511C"/>
    <w:multiLevelType w:val="multilevel"/>
    <w:tmpl w:val="A6548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E76B4B"/>
    <w:multiLevelType w:val="hybridMultilevel"/>
    <w:tmpl w:val="F3D48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3042CE"/>
    <w:multiLevelType w:val="hybridMultilevel"/>
    <w:tmpl w:val="9E56E78C"/>
    <w:lvl w:ilvl="0" w:tplc="051C61A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C342EA"/>
    <w:multiLevelType w:val="hybridMultilevel"/>
    <w:tmpl w:val="E654A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AB7E7A"/>
    <w:multiLevelType w:val="hybridMultilevel"/>
    <w:tmpl w:val="D5DA9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772E89"/>
    <w:multiLevelType w:val="hybridMultilevel"/>
    <w:tmpl w:val="769CB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741896"/>
    <w:multiLevelType w:val="hybridMultilevel"/>
    <w:tmpl w:val="E69C7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CE798D"/>
    <w:multiLevelType w:val="hybridMultilevel"/>
    <w:tmpl w:val="DCF2D4C8"/>
    <w:lvl w:ilvl="0" w:tplc="2828E81A">
      <w:start w:val="3"/>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350E3F"/>
    <w:multiLevelType w:val="hybridMultilevel"/>
    <w:tmpl w:val="AADC5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82D5ACB"/>
    <w:multiLevelType w:val="hybridMultilevel"/>
    <w:tmpl w:val="B2D28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7D3C26"/>
    <w:multiLevelType w:val="hybridMultilevel"/>
    <w:tmpl w:val="E430BD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DC563BE"/>
    <w:multiLevelType w:val="hybridMultilevel"/>
    <w:tmpl w:val="73367F0E"/>
    <w:lvl w:ilvl="0" w:tplc="051C61A6">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6F5A1E76"/>
    <w:multiLevelType w:val="hybridMultilevel"/>
    <w:tmpl w:val="A3989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4453A25"/>
    <w:multiLevelType w:val="hybridMultilevel"/>
    <w:tmpl w:val="E208E59E"/>
    <w:lvl w:ilvl="0" w:tplc="92D453CA">
      <w:start w:val="3"/>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AD4CCA"/>
    <w:multiLevelType w:val="hybridMultilevel"/>
    <w:tmpl w:val="36B2C7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13"/>
  </w:num>
  <w:num w:numId="4">
    <w:abstractNumId w:val="19"/>
  </w:num>
  <w:num w:numId="5">
    <w:abstractNumId w:val="9"/>
  </w:num>
  <w:num w:numId="6">
    <w:abstractNumId w:val="18"/>
  </w:num>
  <w:num w:numId="7">
    <w:abstractNumId w:val="15"/>
  </w:num>
  <w:num w:numId="8">
    <w:abstractNumId w:val="12"/>
  </w:num>
  <w:num w:numId="9">
    <w:abstractNumId w:val="10"/>
  </w:num>
  <w:num w:numId="10">
    <w:abstractNumId w:val="11"/>
  </w:num>
  <w:num w:numId="11">
    <w:abstractNumId w:val="1"/>
  </w:num>
  <w:num w:numId="12">
    <w:abstractNumId w:val="3"/>
  </w:num>
  <w:num w:numId="13">
    <w:abstractNumId w:val="21"/>
  </w:num>
  <w:num w:numId="14">
    <w:abstractNumId w:val="2"/>
  </w:num>
  <w:num w:numId="15">
    <w:abstractNumId w:val="0"/>
  </w:num>
  <w:num w:numId="16">
    <w:abstractNumId w:val="7"/>
  </w:num>
  <w:num w:numId="17">
    <w:abstractNumId w:val="14"/>
  </w:num>
  <w:num w:numId="18">
    <w:abstractNumId w:val="16"/>
  </w:num>
  <w:num w:numId="19">
    <w:abstractNumId w:val="5"/>
  </w:num>
  <w:num w:numId="20">
    <w:abstractNumId w:val="17"/>
  </w:num>
  <w:num w:numId="21">
    <w:abstractNumId w:val="2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4365ECC"/>
    <w:rsid w:val="000013BB"/>
    <w:rsid w:val="000027FC"/>
    <w:rsid w:val="00002BB6"/>
    <w:rsid w:val="00006271"/>
    <w:rsid w:val="00010863"/>
    <w:rsid w:val="000146A1"/>
    <w:rsid w:val="00030307"/>
    <w:rsid w:val="00030FD7"/>
    <w:rsid w:val="00031F5C"/>
    <w:rsid w:val="000342CE"/>
    <w:rsid w:val="00040D25"/>
    <w:rsid w:val="00042A0C"/>
    <w:rsid w:val="00045CD7"/>
    <w:rsid w:val="0005177C"/>
    <w:rsid w:val="000517F2"/>
    <w:rsid w:val="000673EA"/>
    <w:rsid w:val="00083D8D"/>
    <w:rsid w:val="00091D23"/>
    <w:rsid w:val="000932F8"/>
    <w:rsid w:val="000C5333"/>
    <w:rsid w:val="000F2B05"/>
    <w:rsid w:val="00103929"/>
    <w:rsid w:val="001068E3"/>
    <w:rsid w:val="00112788"/>
    <w:rsid w:val="00112A55"/>
    <w:rsid w:val="001138D5"/>
    <w:rsid w:val="001162D6"/>
    <w:rsid w:val="00134BFF"/>
    <w:rsid w:val="00134E0F"/>
    <w:rsid w:val="00135401"/>
    <w:rsid w:val="00142F02"/>
    <w:rsid w:val="001602FB"/>
    <w:rsid w:val="001671FC"/>
    <w:rsid w:val="00167F0C"/>
    <w:rsid w:val="00185FD9"/>
    <w:rsid w:val="001870EA"/>
    <w:rsid w:val="001C7DB7"/>
    <w:rsid w:val="001D587D"/>
    <w:rsid w:val="001E536F"/>
    <w:rsid w:val="001F3D92"/>
    <w:rsid w:val="002076A9"/>
    <w:rsid w:val="002149EA"/>
    <w:rsid w:val="00222A65"/>
    <w:rsid w:val="00227129"/>
    <w:rsid w:val="00257A9E"/>
    <w:rsid w:val="00272BD3"/>
    <w:rsid w:val="00273E91"/>
    <w:rsid w:val="002848E0"/>
    <w:rsid w:val="002975BE"/>
    <w:rsid w:val="002A60FC"/>
    <w:rsid w:val="002D6EF0"/>
    <w:rsid w:val="002F3ED7"/>
    <w:rsid w:val="002F4ACD"/>
    <w:rsid w:val="0031097E"/>
    <w:rsid w:val="003141A3"/>
    <w:rsid w:val="003207F8"/>
    <w:rsid w:val="003211CD"/>
    <w:rsid w:val="00327433"/>
    <w:rsid w:val="003347CE"/>
    <w:rsid w:val="0035383E"/>
    <w:rsid w:val="00362E0A"/>
    <w:rsid w:val="00392D7C"/>
    <w:rsid w:val="00393A70"/>
    <w:rsid w:val="00397F2C"/>
    <w:rsid w:val="00397FB7"/>
    <w:rsid w:val="003B0416"/>
    <w:rsid w:val="003C0CB2"/>
    <w:rsid w:val="003D2753"/>
    <w:rsid w:val="003D4C44"/>
    <w:rsid w:val="003E0ECD"/>
    <w:rsid w:val="003E16D2"/>
    <w:rsid w:val="003E35F7"/>
    <w:rsid w:val="003F4576"/>
    <w:rsid w:val="003F78EE"/>
    <w:rsid w:val="004027DF"/>
    <w:rsid w:val="00405274"/>
    <w:rsid w:val="00410E24"/>
    <w:rsid w:val="004204A3"/>
    <w:rsid w:val="00442153"/>
    <w:rsid w:val="00447A2A"/>
    <w:rsid w:val="004528A2"/>
    <w:rsid w:val="004536E2"/>
    <w:rsid w:val="00471A03"/>
    <w:rsid w:val="004730B6"/>
    <w:rsid w:val="00477534"/>
    <w:rsid w:val="00485B4D"/>
    <w:rsid w:val="004948BF"/>
    <w:rsid w:val="004A2112"/>
    <w:rsid w:val="004A458F"/>
    <w:rsid w:val="004A5D84"/>
    <w:rsid w:val="004B2D23"/>
    <w:rsid w:val="004C2740"/>
    <w:rsid w:val="004C6DD8"/>
    <w:rsid w:val="004D58E3"/>
    <w:rsid w:val="004F22CC"/>
    <w:rsid w:val="00502358"/>
    <w:rsid w:val="00503CF2"/>
    <w:rsid w:val="00503EE0"/>
    <w:rsid w:val="005055AF"/>
    <w:rsid w:val="00506589"/>
    <w:rsid w:val="00517ED8"/>
    <w:rsid w:val="00530F53"/>
    <w:rsid w:val="005443CA"/>
    <w:rsid w:val="00547471"/>
    <w:rsid w:val="005553AD"/>
    <w:rsid w:val="0056236F"/>
    <w:rsid w:val="005725FB"/>
    <w:rsid w:val="00574A1D"/>
    <w:rsid w:val="00582143"/>
    <w:rsid w:val="00587056"/>
    <w:rsid w:val="00592585"/>
    <w:rsid w:val="005927A5"/>
    <w:rsid w:val="005B28F4"/>
    <w:rsid w:val="005B45D1"/>
    <w:rsid w:val="005C1D60"/>
    <w:rsid w:val="005E385B"/>
    <w:rsid w:val="005E510C"/>
    <w:rsid w:val="005F1975"/>
    <w:rsid w:val="005F6D51"/>
    <w:rsid w:val="0061746F"/>
    <w:rsid w:val="006239DD"/>
    <w:rsid w:val="0063301F"/>
    <w:rsid w:val="00653F8C"/>
    <w:rsid w:val="00656030"/>
    <w:rsid w:val="006600EE"/>
    <w:rsid w:val="0066633A"/>
    <w:rsid w:val="00672553"/>
    <w:rsid w:val="006735A9"/>
    <w:rsid w:val="0067360D"/>
    <w:rsid w:val="006745CC"/>
    <w:rsid w:val="00683B7A"/>
    <w:rsid w:val="0068426C"/>
    <w:rsid w:val="006A717D"/>
    <w:rsid w:val="006B2358"/>
    <w:rsid w:val="006B5015"/>
    <w:rsid w:val="006B5482"/>
    <w:rsid w:val="006B5599"/>
    <w:rsid w:val="006C4C74"/>
    <w:rsid w:val="006D194D"/>
    <w:rsid w:val="006D2EAC"/>
    <w:rsid w:val="006E4022"/>
    <w:rsid w:val="006E655B"/>
    <w:rsid w:val="00702E22"/>
    <w:rsid w:val="0072751C"/>
    <w:rsid w:val="00763E9D"/>
    <w:rsid w:val="00771F00"/>
    <w:rsid w:val="00775DAF"/>
    <w:rsid w:val="007816A9"/>
    <w:rsid w:val="00781E90"/>
    <w:rsid w:val="00783773"/>
    <w:rsid w:val="007A0956"/>
    <w:rsid w:val="007A5225"/>
    <w:rsid w:val="007A5B2D"/>
    <w:rsid w:val="007A6E5A"/>
    <w:rsid w:val="007B1CF4"/>
    <w:rsid w:val="007C3223"/>
    <w:rsid w:val="007D779F"/>
    <w:rsid w:val="00803275"/>
    <w:rsid w:val="008049ED"/>
    <w:rsid w:val="0081296F"/>
    <w:rsid w:val="008205D2"/>
    <w:rsid w:val="008326DD"/>
    <w:rsid w:val="008347C1"/>
    <w:rsid w:val="008378D8"/>
    <w:rsid w:val="00857947"/>
    <w:rsid w:val="00863499"/>
    <w:rsid w:val="00863F72"/>
    <w:rsid w:val="008B4A8D"/>
    <w:rsid w:val="008C4B18"/>
    <w:rsid w:val="008C73F5"/>
    <w:rsid w:val="008D1FCC"/>
    <w:rsid w:val="008E0983"/>
    <w:rsid w:val="008F3952"/>
    <w:rsid w:val="008F424D"/>
    <w:rsid w:val="0090554B"/>
    <w:rsid w:val="009163C6"/>
    <w:rsid w:val="0093026E"/>
    <w:rsid w:val="00935CE0"/>
    <w:rsid w:val="0097344F"/>
    <w:rsid w:val="009812C5"/>
    <w:rsid w:val="00994176"/>
    <w:rsid w:val="009A0A8B"/>
    <w:rsid w:val="009A19D2"/>
    <w:rsid w:val="009A3E99"/>
    <w:rsid w:val="009B0BF1"/>
    <w:rsid w:val="009B2168"/>
    <w:rsid w:val="009B4532"/>
    <w:rsid w:val="009C065F"/>
    <w:rsid w:val="009D361E"/>
    <w:rsid w:val="009D52C7"/>
    <w:rsid w:val="009F0B24"/>
    <w:rsid w:val="009F4765"/>
    <w:rsid w:val="00A04933"/>
    <w:rsid w:val="00A360BB"/>
    <w:rsid w:val="00A464EC"/>
    <w:rsid w:val="00A470BD"/>
    <w:rsid w:val="00A524EC"/>
    <w:rsid w:val="00A6343F"/>
    <w:rsid w:val="00A64CCC"/>
    <w:rsid w:val="00A7702A"/>
    <w:rsid w:val="00A8441F"/>
    <w:rsid w:val="00A87792"/>
    <w:rsid w:val="00A932A4"/>
    <w:rsid w:val="00AA1EFA"/>
    <w:rsid w:val="00AD68F3"/>
    <w:rsid w:val="00AF5991"/>
    <w:rsid w:val="00B0780E"/>
    <w:rsid w:val="00B13817"/>
    <w:rsid w:val="00B16968"/>
    <w:rsid w:val="00B22147"/>
    <w:rsid w:val="00B22C0E"/>
    <w:rsid w:val="00B26138"/>
    <w:rsid w:val="00B378E2"/>
    <w:rsid w:val="00B53A79"/>
    <w:rsid w:val="00B92417"/>
    <w:rsid w:val="00BA304A"/>
    <w:rsid w:val="00BC2039"/>
    <w:rsid w:val="00BF1A83"/>
    <w:rsid w:val="00C019B1"/>
    <w:rsid w:val="00C03BD0"/>
    <w:rsid w:val="00C217C9"/>
    <w:rsid w:val="00C27101"/>
    <w:rsid w:val="00C37AAC"/>
    <w:rsid w:val="00C45238"/>
    <w:rsid w:val="00C474CD"/>
    <w:rsid w:val="00C56704"/>
    <w:rsid w:val="00C67B12"/>
    <w:rsid w:val="00C77C0A"/>
    <w:rsid w:val="00C85137"/>
    <w:rsid w:val="00CA28CC"/>
    <w:rsid w:val="00CA3CA0"/>
    <w:rsid w:val="00CC1946"/>
    <w:rsid w:val="00CC1E3D"/>
    <w:rsid w:val="00CF44AB"/>
    <w:rsid w:val="00D10E5C"/>
    <w:rsid w:val="00D778AF"/>
    <w:rsid w:val="00D93165"/>
    <w:rsid w:val="00D94389"/>
    <w:rsid w:val="00DA79F2"/>
    <w:rsid w:val="00DB1C30"/>
    <w:rsid w:val="00DC3FA7"/>
    <w:rsid w:val="00DD2BEA"/>
    <w:rsid w:val="00DD33B0"/>
    <w:rsid w:val="00DD4223"/>
    <w:rsid w:val="00DD64EA"/>
    <w:rsid w:val="00DE3350"/>
    <w:rsid w:val="00DE7C04"/>
    <w:rsid w:val="00DF0110"/>
    <w:rsid w:val="00E0275E"/>
    <w:rsid w:val="00E255FA"/>
    <w:rsid w:val="00E32EA2"/>
    <w:rsid w:val="00E33FE3"/>
    <w:rsid w:val="00E542C3"/>
    <w:rsid w:val="00E640E3"/>
    <w:rsid w:val="00E70A15"/>
    <w:rsid w:val="00E75BCD"/>
    <w:rsid w:val="00E848AA"/>
    <w:rsid w:val="00E950C1"/>
    <w:rsid w:val="00EA76A5"/>
    <w:rsid w:val="00EC035C"/>
    <w:rsid w:val="00EC5A53"/>
    <w:rsid w:val="00ED12FA"/>
    <w:rsid w:val="00EE53FA"/>
    <w:rsid w:val="00EF3B76"/>
    <w:rsid w:val="00EF4DCB"/>
    <w:rsid w:val="00EF5D2C"/>
    <w:rsid w:val="00F06334"/>
    <w:rsid w:val="00F06E8A"/>
    <w:rsid w:val="00F20FCD"/>
    <w:rsid w:val="00F33FEC"/>
    <w:rsid w:val="00F35C53"/>
    <w:rsid w:val="00F35F4B"/>
    <w:rsid w:val="00F472D9"/>
    <w:rsid w:val="00F61B22"/>
    <w:rsid w:val="00F65C26"/>
    <w:rsid w:val="00F711D2"/>
    <w:rsid w:val="00F83F52"/>
    <w:rsid w:val="00F84597"/>
    <w:rsid w:val="00F91876"/>
    <w:rsid w:val="00F9676D"/>
    <w:rsid w:val="00FB1ACF"/>
    <w:rsid w:val="00FB3654"/>
    <w:rsid w:val="00FC2890"/>
    <w:rsid w:val="00FC7D8C"/>
    <w:rsid w:val="00FD590C"/>
    <w:rsid w:val="00FD5CFF"/>
    <w:rsid w:val="00FE0EB3"/>
    <w:rsid w:val="00FE248B"/>
    <w:rsid w:val="00FF0E97"/>
    <w:rsid w:val="23032A49"/>
    <w:rsid w:val="24365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2231867"/>
  <w15:docId w15:val="{AE18EA0C-9259-4ACC-810F-434C68A0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AU" w:eastAsia="en-AU"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unhideWhenUsed/>
    <w:qFormat/>
    <w:pPr>
      <w:keepNext/>
      <w:keepLines/>
      <w:spacing w:before="260" w:after="260" w:line="416" w:lineRule="auto"/>
      <w:outlineLvl w:val="1"/>
    </w:pPr>
    <w:rPr>
      <w:b/>
      <w:bCs/>
      <w:sz w:val="32"/>
      <w:szCs w:val="32"/>
    </w:rPr>
  </w:style>
  <w:style w:type="paragraph" w:styleId="Heading3">
    <w:name w:val="heading 3"/>
    <w:basedOn w:val="Normal"/>
    <w:next w:val="Normal"/>
    <w:link w:val="Heading3Char"/>
    <w:unhideWhenUsed/>
    <w:qFormat/>
    <w:rsid w:val="006A717D"/>
    <w:pPr>
      <w:keepNext/>
      <w:keepLines/>
      <w:spacing w:before="200" w:after="0"/>
      <w:outlineLvl w:val="2"/>
    </w:pPr>
    <w:rPr>
      <w:rFonts w:asciiTheme="majorHAnsi" w:eastAsiaTheme="majorEastAsia" w:hAnsiTheme="majorHAnsi" w:cstheme="majorBidi"/>
      <w:b/>
      <w:bCs/>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Pr>
      <w:sz w:val="24"/>
      <w:szCs w:val="24"/>
    </w:rPr>
  </w:style>
  <w:style w:type="paragraph" w:styleId="Title">
    <w:name w:val="Title"/>
    <w:basedOn w:val="Normal"/>
    <w:next w:val="Normal"/>
    <w:link w:val="TitleChar"/>
    <w:qFormat/>
    <w:rsid w:val="006C4C7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6C4C74"/>
    <w:rPr>
      <w:rFonts w:asciiTheme="majorHAnsi" w:eastAsiaTheme="majorEastAsia" w:hAnsiTheme="majorHAnsi" w:cstheme="majorBidi"/>
      <w:color w:val="323E4F" w:themeColor="text2" w:themeShade="BF"/>
      <w:spacing w:val="5"/>
      <w:kern w:val="28"/>
      <w:sz w:val="52"/>
      <w:szCs w:val="52"/>
      <w:lang w:val="en-US" w:eastAsia="zh-CN"/>
    </w:rPr>
  </w:style>
  <w:style w:type="character" w:customStyle="1" w:styleId="Heading3Char">
    <w:name w:val="Heading 3 Char"/>
    <w:basedOn w:val="DefaultParagraphFont"/>
    <w:link w:val="Heading3"/>
    <w:rsid w:val="006A717D"/>
    <w:rPr>
      <w:rFonts w:asciiTheme="majorHAnsi" w:eastAsiaTheme="majorEastAsia" w:hAnsiTheme="majorHAnsi" w:cstheme="majorBidi"/>
      <w:b/>
      <w:bCs/>
      <w:lang w:eastAsia="zh-CN"/>
    </w:rPr>
  </w:style>
  <w:style w:type="paragraph" w:styleId="BalloonText">
    <w:name w:val="Balloon Text"/>
    <w:basedOn w:val="Normal"/>
    <w:link w:val="BalloonTextChar"/>
    <w:rsid w:val="006A7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A717D"/>
    <w:rPr>
      <w:rFonts w:ascii="Tahoma" w:eastAsiaTheme="minorEastAsia" w:hAnsi="Tahoma" w:cs="Tahoma"/>
      <w:sz w:val="16"/>
      <w:szCs w:val="16"/>
      <w:lang w:val="en-US" w:eastAsia="zh-CN"/>
    </w:rPr>
  </w:style>
  <w:style w:type="paragraph" w:styleId="Header">
    <w:name w:val="header"/>
    <w:basedOn w:val="Normal"/>
    <w:link w:val="HeaderChar"/>
    <w:rsid w:val="006A717D"/>
    <w:pPr>
      <w:tabs>
        <w:tab w:val="center" w:pos="4513"/>
        <w:tab w:val="right" w:pos="9026"/>
      </w:tabs>
      <w:spacing w:after="0" w:line="240" w:lineRule="auto"/>
    </w:pPr>
  </w:style>
  <w:style w:type="character" w:customStyle="1" w:styleId="HeaderChar">
    <w:name w:val="Header Char"/>
    <w:basedOn w:val="DefaultParagraphFont"/>
    <w:link w:val="Header"/>
    <w:rsid w:val="006A717D"/>
    <w:rPr>
      <w:rFonts w:asciiTheme="minorHAnsi" w:eastAsiaTheme="minorEastAsia" w:hAnsiTheme="minorHAnsi" w:cstheme="minorBidi"/>
      <w:lang w:val="en-US" w:eastAsia="zh-CN"/>
    </w:rPr>
  </w:style>
  <w:style w:type="paragraph" w:styleId="Footer">
    <w:name w:val="footer"/>
    <w:basedOn w:val="Normal"/>
    <w:link w:val="FooterChar"/>
    <w:uiPriority w:val="99"/>
    <w:rsid w:val="006A71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17D"/>
    <w:rPr>
      <w:rFonts w:asciiTheme="minorHAnsi" w:eastAsiaTheme="minorEastAsia" w:hAnsiTheme="minorHAnsi" w:cstheme="minorBidi"/>
      <w:lang w:val="en-US" w:eastAsia="zh-CN"/>
    </w:rPr>
  </w:style>
  <w:style w:type="paragraph" w:styleId="ListParagraph">
    <w:name w:val="List Paragraph"/>
    <w:basedOn w:val="Normal"/>
    <w:uiPriority w:val="34"/>
    <w:unhideWhenUsed/>
    <w:qFormat/>
    <w:rsid w:val="009C065F"/>
    <w:pPr>
      <w:ind w:left="720"/>
      <w:contextualSpacing/>
    </w:pPr>
  </w:style>
  <w:style w:type="character" w:customStyle="1" w:styleId="st">
    <w:name w:val="st"/>
    <w:basedOn w:val="DefaultParagraphFont"/>
    <w:rsid w:val="00A524EC"/>
  </w:style>
  <w:style w:type="character" w:styleId="Emphasis">
    <w:name w:val="Emphasis"/>
    <w:basedOn w:val="DefaultParagraphFont"/>
    <w:uiPriority w:val="20"/>
    <w:qFormat/>
    <w:rsid w:val="00A524EC"/>
    <w:rPr>
      <w:i/>
      <w:iCs/>
    </w:rPr>
  </w:style>
  <w:style w:type="character" w:styleId="Hyperlink">
    <w:name w:val="Hyperlink"/>
    <w:basedOn w:val="DefaultParagraphFont"/>
    <w:rsid w:val="00A470BD"/>
    <w:rPr>
      <w:color w:val="0563C1" w:themeColor="hyperlink"/>
      <w:u w:val="single"/>
    </w:rPr>
  </w:style>
  <w:style w:type="paragraph" w:styleId="FootnoteText">
    <w:name w:val="footnote text"/>
    <w:basedOn w:val="Normal"/>
    <w:link w:val="FootnoteTextChar"/>
    <w:rsid w:val="003D4C44"/>
    <w:pPr>
      <w:spacing w:after="0" w:line="240" w:lineRule="auto"/>
    </w:pPr>
  </w:style>
  <w:style w:type="character" w:customStyle="1" w:styleId="FootnoteTextChar">
    <w:name w:val="Footnote Text Char"/>
    <w:basedOn w:val="DefaultParagraphFont"/>
    <w:link w:val="FootnoteText"/>
    <w:rsid w:val="003D4C44"/>
    <w:rPr>
      <w:rFonts w:asciiTheme="minorHAnsi" w:eastAsiaTheme="minorEastAsia" w:hAnsiTheme="minorHAnsi" w:cstheme="minorBidi"/>
      <w:lang w:val="en-US" w:eastAsia="zh-CN"/>
    </w:rPr>
  </w:style>
  <w:style w:type="character" w:styleId="FootnoteReference">
    <w:name w:val="footnote reference"/>
    <w:unhideWhenUsed/>
    <w:rsid w:val="003D4C44"/>
    <w:rPr>
      <w:vertAlign w:val="superscript"/>
    </w:rPr>
  </w:style>
  <w:style w:type="paragraph" w:customStyle="1" w:styleId="simplepara">
    <w:name w:val="simplepara"/>
    <w:basedOn w:val="Normal"/>
    <w:rsid w:val="003D4C44"/>
    <w:pPr>
      <w:spacing w:before="100" w:beforeAutospacing="1" w:after="100" w:afterAutospacing="1" w:line="240" w:lineRule="auto"/>
    </w:pPr>
    <w:rPr>
      <w:rFonts w:ascii="Times New Roman" w:eastAsia="Times New Roman" w:hAnsi="Times New Roman" w:cs="Arial"/>
      <w:sz w:val="24"/>
      <w:szCs w:val="24"/>
      <w:lang w:val="en-AU" w:eastAsia="en-AU"/>
    </w:rPr>
  </w:style>
  <w:style w:type="character" w:customStyle="1" w:styleId="citationref">
    <w:name w:val="citationref"/>
    <w:rsid w:val="003D4C44"/>
  </w:style>
  <w:style w:type="paragraph" w:customStyle="1" w:styleId="TableHeading">
    <w:name w:val="Table Heading"/>
    <w:basedOn w:val="Normal"/>
    <w:semiHidden/>
    <w:rsid w:val="00A8441F"/>
    <w:pPr>
      <w:keepNext/>
      <w:keepLines/>
      <w:spacing w:before="60" w:after="60" w:line="240" w:lineRule="auto"/>
    </w:pPr>
    <w:rPr>
      <w:rFonts w:ascii="Arial" w:eastAsia="Times New Roman" w:hAnsi="Arial" w:cs="Arial"/>
      <w:b/>
      <w:szCs w:val="22"/>
      <w:lang w:val="en-AU" w:eastAsia="en-AU"/>
    </w:rPr>
  </w:style>
  <w:style w:type="paragraph" w:customStyle="1" w:styleId="TableText">
    <w:name w:val="Table Text"/>
    <w:basedOn w:val="Normal"/>
    <w:rsid w:val="00A8441F"/>
    <w:pPr>
      <w:keepLines/>
      <w:spacing w:before="60" w:after="60" w:line="240" w:lineRule="auto"/>
    </w:pPr>
    <w:rPr>
      <w:rFonts w:ascii="Arial" w:eastAsia="Times New Roman" w:hAnsi="Arial" w:cs="Arial"/>
      <w:szCs w:val="22"/>
      <w:lang w:val="en-AU" w:eastAsia="en-AU"/>
    </w:rPr>
  </w:style>
  <w:style w:type="paragraph" w:customStyle="1" w:styleId="NotHeading1">
    <w:name w:val="Not Heading 1"/>
    <w:basedOn w:val="Normal"/>
    <w:rsid w:val="00A8441F"/>
    <w:pPr>
      <w:keepNext/>
      <w:keepLines/>
      <w:tabs>
        <w:tab w:val="num" w:pos="851"/>
      </w:tabs>
      <w:overflowPunct w:val="0"/>
      <w:autoSpaceDE w:val="0"/>
      <w:autoSpaceDN w:val="0"/>
      <w:adjustRightInd w:val="0"/>
      <w:spacing w:before="400" w:after="160" w:line="320" w:lineRule="atLeast"/>
      <w:textAlignment w:val="baseline"/>
    </w:pPr>
    <w:rPr>
      <w:rFonts w:ascii="Arial" w:eastAsia="Times New Roman" w:hAnsi="Arial" w:cs="Arial"/>
      <w:b/>
      <w:bCs/>
      <w:kern w:val="24"/>
      <w:sz w:val="32"/>
      <w:szCs w:val="24"/>
      <w:lang w:val="en-AU" w:eastAsia="en-US"/>
    </w:rPr>
  </w:style>
  <w:style w:type="paragraph" w:customStyle="1" w:styleId="NotHeading2">
    <w:name w:val="Not Heading 2"/>
    <w:basedOn w:val="Heading2"/>
    <w:link w:val="NotHeading2Char"/>
    <w:rsid w:val="00A8441F"/>
    <w:pPr>
      <w:keepLines w:val="0"/>
      <w:spacing w:before="240" w:after="60" w:line="240" w:lineRule="auto"/>
    </w:pPr>
    <w:rPr>
      <w:rFonts w:ascii="Arial" w:eastAsia="Times New Roman" w:hAnsi="Arial" w:cs="Arial"/>
      <w:bCs w:val="0"/>
      <w:iCs/>
      <w:kern w:val="32"/>
      <w:sz w:val="28"/>
      <w:szCs w:val="28"/>
      <w:lang w:val="en-AU" w:eastAsia="en-AU"/>
    </w:rPr>
  </w:style>
  <w:style w:type="character" w:customStyle="1" w:styleId="NotHeading2Char">
    <w:name w:val="Not Heading 2 Char"/>
    <w:link w:val="NotHeading2"/>
    <w:rsid w:val="00A8441F"/>
    <w:rPr>
      <w:rFonts w:ascii="Arial" w:eastAsia="Times New Roman" w:hAnsi="Arial" w:cs="Arial"/>
      <w:b/>
      <w:iCs/>
      <w:kern w:val="32"/>
      <w:sz w:val="28"/>
      <w:szCs w:val="28"/>
    </w:rPr>
  </w:style>
  <w:style w:type="paragraph" w:customStyle="1" w:styleId="AckText">
    <w:name w:val="AckText"/>
    <w:basedOn w:val="Normal"/>
    <w:rsid w:val="00A8441F"/>
    <w:pPr>
      <w:pBdr>
        <w:top w:val="single" w:sz="12" w:space="1" w:color="auto"/>
        <w:left w:val="single" w:sz="12" w:space="4" w:color="auto"/>
        <w:bottom w:val="single" w:sz="12" w:space="1" w:color="auto"/>
        <w:right w:val="single" w:sz="12" w:space="4" w:color="auto"/>
      </w:pBdr>
      <w:shd w:val="clear" w:color="auto" w:fill="D9D9D9"/>
      <w:spacing w:before="240" w:after="240" w:line="240" w:lineRule="auto"/>
      <w:jc w:val="center"/>
    </w:pPr>
    <w:rPr>
      <w:rFonts w:ascii="Arial" w:eastAsia="Times New Roman" w:hAnsi="Arial" w:cs="Arial"/>
      <w:i/>
      <w:iCs/>
      <w:sz w:val="22"/>
      <w:szCs w:val="22"/>
      <w:lang w:val="en-AU" w:eastAsia="en-AU"/>
    </w:rPr>
  </w:style>
  <w:style w:type="paragraph" w:customStyle="1" w:styleId="AckHeader">
    <w:name w:val="AckHeader"/>
    <w:basedOn w:val="AckText"/>
    <w:rsid w:val="00A8441F"/>
    <w:rPr>
      <w:b/>
      <w:bCs/>
    </w:rPr>
  </w:style>
  <w:style w:type="table" w:styleId="TableGrid">
    <w:name w:val="Table Grid"/>
    <w:basedOn w:val="TableNormal"/>
    <w:uiPriority w:val="39"/>
    <w:rsid w:val="00672553"/>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C73F5"/>
    <w:pPr>
      <w:spacing w:after="0" w:line="240" w:lineRule="auto"/>
    </w:pPr>
    <w:rPr>
      <w:rFonts w:ascii="Times New Roman" w:eastAsia="Times New Roman" w:hAnsi="Times New Roman" w:cs="Times New Roman"/>
      <w:sz w:val="24"/>
      <w:szCs w:val="24"/>
      <w:lang w:val="en-AU" w:eastAsia="en-AU"/>
    </w:rPr>
  </w:style>
  <w:style w:type="character" w:customStyle="1" w:styleId="normaltextrun1">
    <w:name w:val="normaltextrun1"/>
    <w:basedOn w:val="DefaultParagraphFont"/>
    <w:rsid w:val="008C73F5"/>
  </w:style>
  <w:style w:type="character" w:customStyle="1" w:styleId="eop">
    <w:name w:val="eop"/>
    <w:basedOn w:val="DefaultParagraphFont"/>
    <w:rsid w:val="008C7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725107">
      <w:bodyDiv w:val="1"/>
      <w:marLeft w:val="0"/>
      <w:marRight w:val="0"/>
      <w:marTop w:val="0"/>
      <w:marBottom w:val="0"/>
      <w:divBdr>
        <w:top w:val="none" w:sz="0" w:space="0" w:color="auto"/>
        <w:left w:val="none" w:sz="0" w:space="0" w:color="auto"/>
        <w:bottom w:val="none" w:sz="0" w:space="0" w:color="auto"/>
        <w:right w:val="none" w:sz="0" w:space="0" w:color="auto"/>
      </w:divBdr>
      <w:divsChild>
        <w:div w:id="406343829">
          <w:marLeft w:val="0"/>
          <w:marRight w:val="0"/>
          <w:marTop w:val="0"/>
          <w:marBottom w:val="0"/>
          <w:divBdr>
            <w:top w:val="none" w:sz="0" w:space="0" w:color="auto"/>
            <w:left w:val="none" w:sz="0" w:space="0" w:color="auto"/>
            <w:bottom w:val="none" w:sz="0" w:space="0" w:color="auto"/>
            <w:right w:val="none" w:sz="0" w:space="0" w:color="auto"/>
          </w:divBdr>
          <w:divsChild>
            <w:div w:id="174855383">
              <w:marLeft w:val="0"/>
              <w:marRight w:val="0"/>
              <w:marTop w:val="0"/>
              <w:marBottom w:val="0"/>
              <w:divBdr>
                <w:top w:val="none" w:sz="0" w:space="0" w:color="auto"/>
                <w:left w:val="none" w:sz="0" w:space="0" w:color="auto"/>
                <w:bottom w:val="none" w:sz="0" w:space="0" w:color="auto"/>
                <w:right w:val="none" w:sz="0" w:space="0" w:color="auto"/>
              </w:divBdr>
              <w:divsChild>
                <w:div w:id="884874212">
                  <w:marLeft w:val="0"/>
                  <w:marRight w:val="0"/>
                  <w:marTop w:val="0"/>
                  <w:marBottom w:val="0"/>
                  <w:divBdr>
                    <w:top w:val="none" w:sz="0" w:space="0" w:color="auto"/>
                    <w:left w:val="none" w:sz="0" w:space="0" w:color="auto"/>
                    <w:bottom w:val="none" w:sz="0" w:space="0" w:color="auto"/>
                    <w:right w:val="none" w:sz="0" w:space="0" w:color="auto"/>
                  </w:divBdr>
                  <w:divsChild>
                    <w:div w:id="408962795">
                      <w:marLeft w:val="0"/>
                      <w:marRight w:val="0"/>
                      <w:marTop w:val="0"/>
                      <w:marBottom w:val="0"/>
                      <w:divBdr>
                        <w:top w:val="none" w:sz="0" w:space="0" w:color="auto"/>
                        <w:left w:val="none" w:sz="0" w:space="0" w:color="auto"/>
                        <w:bottom w:val="none" w:sz="0" w:space="0" w:color="auto"/>
                        <w:right w:val="none" w:sz="0" w:space="0" w:color="auto"/>
                      </w:divBdr>
                      <w:divsChild>
                        <w:div w:id="432014670">
                          <w:marLeft w:val="0"/>
                          <w:marRight w:val="0"/>
                          <w:marTop w:val="0"/>
                          <w:marBottom w:val="0"/>
                          <w:divBdr>
                            <w:top w:val="none" w:sz="0" w:space="0" w:color="auto"/>
                            <w:left w:val="none" w:sz="0" w:space="0" w:color="auto"/>
                            <w:bottom w:val="none" w:sz="0" w:space="0" w:color="auto"/>
                            <w:right w:val="none" w:sz="0" w:space="0" w:color="auto"/>
                          </w:divBdr>
                          <w:divsChild>
                            <w:div w:id="1883979541">
                              <w:marLeft w:val="0"/>
                              <w:marRight w:val="0"/>
                              <w:marTop w:val="0"/>
                              <w:marBottom w:val="0"/>
                              <w:divBdr>
                                <w:top w:val="none" w:sz="0" w:space="0" w:color="auto"/>
                                <w:left w:val="none" w:sz="0" w:space="0" w:color="auto"/>
                                <w:bottom w:val="none" w:sz="0" w:space="0" w:color="auto"/>
                                <w:right w:val="none" w:sz="0" w:space="0" w:color="auto"/>
                              </w:divBdr>
                              <w:divsChild>
                                <w:div w:id="1954021399">
                                  <w:marLeft w:val="0"/>
                                  <w:marRight w:val="0"/>
                                  <w:marTop w:val="0"/>
                                  <w:marBottom w:val="0"/>
                                  <w:divBdr>
                                    <w:top w:val="none" w:sz="0" w:space="0" w:color="auto"/>
                                    <w:left w:val="none" w:sz="0" w:space="0" w:color="auto"/>
                                    <w:bottom w:val="none" w:sz="0" w:space="0" w:color="auto"/>
                                    <w:right w:val="none" w:sz="0" w:space="0" w:color="auto"/>
                                  </w:divBdr>
                                  <w:divsChild>
                                    <w:div w:id="1478103821">
                                      <w:marLeft w:val="0"/>
                                      <w:marRight w:val="0"/>
                                      <w:marTop w:val="0"/>
                                      <w:marBottom w:val="0"/>
                                      <w:divBdr>
                                        <w:top w:val="none" w:sz="0" w:space="0" w:color="auto"/>
                                        <w:left w:val="none" w:sz="0" w:space="0" w:color="auto"/>
                                        <w:bottom w:val="none" w:sz="0" w:space="0" w:color="auto"/>
                                        <w:right w:val="none" w:sz="0" w:space="0" w:color="auto"/>
                                      </w:divBdr>
                                      <w:divsChild>
                                        <w:div w:id="490295457">
                                          <w:marLeft w:val="0"/>
                                          <w:marRight w:val="0"/>
                                          <w:marTop w:val="0"/>
                                          <w:marBottom w:val="0"/>
                                          <w:divBdr>
                                            <w:top w:val="none" w:sz="0" w:space="0" w:color="auto"/>
                                            <w:left w:val="none" w:sz="0" w:space="0" w:color="auto"/>
                                            <w:bottom w:val="none" w:sz="0" w:space="0" w:color="auto"/>
                                            <w:right w:val="none" w:sz="0" w:space="0" w:color="auto"/>
                                          </w:divBdr>
                                          <w:divsChild>
                                            <w:div w:id="97989816">
                                              <w:marLeft w:val="0"/>
                                              <w:marRight w:val="0"/>
                                              <w:marTop w:val="0"/>
                                              <w:marBottom w:val="0"/>
                                              <w:divBdr>
                                                <w:top w:val="none" w:sz="0" w:space="0" w:color="auto"/>
                                                <w:left w:val="none" w:sz="0" w:space="0" w:color="auto"/>
                                                <w:bottom w:val="none" w:sz="0" w:space="0" w:color="auto"/>
                                                <w:right w:val="none" w:sz="0" w:space="0" w:color="auto"/>
                                              </w:divBdr>
                                              <w:divsChild>
                                                <w:div w:id="698121045">
                                                  <w:marLeft w:val="0"/>
                                                  <w:marRight w:val="0"/>
                                                  <w:marTop w:val="0"/>
                                                  <w:marBottom w:val="540"/>
                                                  <w:divBdr>
                                                    <w:top w:val="none" w:sz="0" w:space="0" w:color="auto"/>
                                                    <w:left w:val="none" w:sz="0" w:space="0" w:color="auto"/>
                                                    <w:bottom w:val="none" w:sz="0" w:space="0" w:color="auto"/>
                                                    <w:right w:val="none" w:sz="0" w:space="0" w:color="auto"/>
                                                  </w:divBdr>
                                                  <w:divsChild>
                                                    <w:div w:id="2108387290">
                                                      <w:marLeft w:val="0"/>
                                                      <w:marRight w:val="0"/>
                                                      <w:marTop w:val="0"/>
                                                      <w:marBottom w:val="0"/>
                                                      <w:divBdr>
                                                        <w:top w:val="none" w:sz="0" w:space="0" w:color="auto"/>
                                                        <w:left w:val="none" w:sz="0" w:space="0" w:color="auto"/>
                                                        <w:bottom w:val="none" w:sz="0" w:space="0" w:color="auto"/>
                                                        <w:right w:val="none" w:sz="0" w:space="0" w:color="auto"/>
                                                      </w:divBdr>
                                                      <w:divsChild>
                                                        <w:div w:id="382288180">
                                                          <w:marLeft w:val="0"/>
                                                          <w:marRight w:val="0"/>
                                                          <w:marTop w:val="0"/>
                                                          <w:marBottom w:val="0"/>
                                                          <w:divBdr>
                                                            <w:top w:val="single" w:sz="6" w:space="0" w:color="ABABAB"/>
                                                            <w:left w:val="single" w:sz="6" w:space="0" w:color="ABABAB"/>
                                                            <w:bottom w:val="single" w:sz="6" w:space="0" w:color="ABABAB"/>
                                                            <w:right w:val="single" w:sz="6" w:space="0" w:color="ABABAB"/>
                                                          </w:divBdr>
                                                          <w:divsChild>
                                                            <w:div w:id="120537410">
                                                              <w:marLeft w:val="0"/>
                                                              <w:marRight w:val="0"/>
                                                              <w:marTop w:val="0"/>
                                                              <w:marBottom w:val="0"/>
                                                              <w:divBdr>
                                                                <w:top w:val="none" w:sz="0" w:space="0" w:color="auto"/>
                                                                <w:left w:val="none" w:sz="0" w:space="0" w:color="auto"/>
                                                                <w:bottom w:val="none" w:sz="0" w:space="0" w:color="auto"/>
                                                                <w:right w:val="none" w:sz="0" w:space="0" w:color="auto"/>
                                                              </w:divBdr>
                                                              <w:divsChild>
                                                                <w:div w:id="939918383">
                                                                  <w:marLeft w:val="0"/>
                                                                  <w:marRight w:val="0"/>
                                                                  <w:marTop w:val="0"/>
                                                                  <w:marBottom w:val="0"/>
                                                                  <w:divBdr>
                                                                    <w:top w:val="none" w:sz="0" w:space="0" w:color="auto"/>
                                                                    <w:left w:val="none" w:sz="0" w:space="0" w:color="auto"/>
                                                                    <w:bottom w:val="none" w:sz="0" w:space="0" w:color="auto"/>
                                                                    <w:right w:val="none" w:sz="0" w:space="0" w:color="auto"/>
                                                                  </w:divBdr>
                                                                  <w:divsChild>
                                                                    <w:div w:id="490173196">
                                                                      <w:marLeft w:val="0"/>
                                                                      <w:marRight w:val="0"/>
                                                                      <w:marTop w:val="0"/>
                                                                      <w:marBottom w:val="0"/>
                                                                      <w:divBdr>
                                                                        <w:top w:val="none" w:sz="0" w:space="0" w:color="auto"/>
                                                                        <w:left w:val="none" w:sz="0" w:space="0" w:color="auto"/>
                                                                        <w:bottom w:val="none" w:sz="0" w:space="0" w:color="auto"/>
                                                                        <w:right w:val="none" w:sz="0" w:space="0" w:color="auto"/>
                                                                      </w:divBdr>
                                                                      <w:divsChild>
                                                                        <w:div w:id="1017776963">
                                                                          <w:marLeft w:val="0"/>
                                                                          <w:marRight w:val="0"/>
                                                                          <w:marTop w:val="0"/>
                                                                          <w:marBottom w:val="0"/>
                                                                          <w:divBdr>
                                                                            <w:top w:val="none" w:sz="0" w:space="0" w:color="auto"/>
                                                                            <w:left w:val="none" w:sz="0" w:space="0" w:color="auto"/>
                                                                            <w:bottom w:val="none" w:sz="0" w:space="0" w:color="auto"/>
                                                                            <w:right w:val="none" w:sz="0" w:space="0" w:color="auto"/>
                                                                          </w:divBdr>
                                                                          <w:divsChild>
                                                                            <w:div w:id="1692805061">
                                                                              <w:marLeft w:val="0"/>
                                                                              <w:marRight w:val="0"/>
                                                                              <w:marTop w:val="0"/>
                                                                              <w:marBottom w:val="0"/>
                                                                              <w:divBdr>
                                                                                <w:top w:val="none" w:sz="0" w:space="0" w:color="auto"/>
                                                                                <w:left w:val="none" w:sz="0" w:space="0" w:color="auto"/>
                                                                                <w:bottom w:val="none" w:sz="0" w:space="0" w:color="auto"/>
                                                                                <w:right w:val="none" w:sz="0" w:space="0" w:color="auto"/>
                                                                              </w:divBdr>
                                                                              <w:divsChild>
                                                                                <w:div w:id="2009019221">
                                                                                  <w:marLeft w:val="0"/>
                                                                                  <w:marRight w:val="0"/>
                                                                                  <w:marTop w:val="0"/>
                                                                                  <w:marBottom w:val="0"/>
                                                                                  <w:divBdr>
                                                                                    <w:top w:val="none" w:sz="0" w:space="0" w:color="auto"/>
                                                                                    <w:left w:val="none" w:sz="0" w:space="0" w:color="auto"/>
                                                                                    <w:bottom w:val="none" w:sz="0" w:space="0" w:color="auto"/>
                                                                                    <w:right w:val="none" w:sz="0" w:space="0" w:color="auto"/>
                                                                                  </w:divBdr>
                                                                                  <w:divsChild>
                                                                                    <w:div w:id="894464052">
                                                                                      <w:marLeft w:val="0"/>
                                                                                      <w:marRight w:val="0"/>
                                                                                      <w:marTop w:val="0"/>
                                                                                      <w:marBottom w:val="0"/>
                                                                                      <w:divBdr>
                                                                                        <w:top w:val="none" w:sz="0" w:space="0" w:color="auto"/>
                                                                                        <w:left w:val="none" w:sz="0" w:space="0" w:color="auto"/>
                                                                                        <w:bottom w:val="none" w:sz="0" w:space="0" w:color="auto"/>
                                                                                        <w:right w:val="none" w:sz="0" w:space="0" w:color="auto"/>
                                                                                      </w:divBdr>
                                                                                      <w:divsChild>
                                                                                        <w:div w:id="70860294">
                                                                                          <w:marLeft w:val="0"/>
                                                                                          <w:marRight w:val="0"/>
                                                                                          <w:marTop w:val="0"/>
                                                                                          <w:marBottom w:val="0"/>
                                                                                          <w:divBdr>
                                                                                            <w:top w:val="none" w:sz="0" w:space="0" w:color="auto"/>
                                                                                            <w:left w:val="none" w:sz="0" w:space="0" w:color="auto"/>
                                                                                            <w:bottom w:val="none" w:sz="0" w:space="0" w:color="auto"/>
                                                                                            <w:right w:val="none" w:sz="0" w:space="0" w:color="auto"/>
                                                                                          </w:divBdr>
                                                                                        </w:div>
                                                                                        <w:div w:id="265966710">
                                                                                          <w:marLeft w:val="0"/>
                                                                                          <w:marRight w:val="0"/>
                                                                                          <w:marTop w:val="0"/>
                                                                                          <w:marBottom w:val="0"/>
                                                                                          <w:divBdr>
                                                                                            <w:top w:val="none" w:sz="0" w:space="0" w:color="auto"/>
                                                                                            <w:left w:val="none" w:sz="0" w:space="0" w:color="auto"/>
                                                                                            <w:bottom w:val="none" w:sz="0" w:space="0" w:color="auto"/>
                                                                                            <w:right w:val="none" w:sz="0" w:space="0" w:color="auto"/>
                                                                                          </w:divBdr>
                                                                                        </w:div>
                                                                                        <w:div w:id="1221480510">
                                                                                          <w:marLeft w:val="0"/>
                                                                                          <w:marRight w:val="0"/>
                                                                                          <w:marTop w:val="0"/>
                                                                                          <w:marBottom w:val="0"/>
                                                                                          <w:divBdr>
                                                                                            <w:top w:val="none" w:sz="0" w:space="0" w:color="auto"/>
                                                                                            <w:left w:val="none" w:sz="0" w:space="0" w:color="auto"/>
                                                                                            <w:bottom w:val="none" w:sz="0" w:space="0" w:color="auto"/>
                                                                                            <w:right w:val="none" w:sz="0" w:space="0" w:color="auto"/>
                                                                                          </w:divBdr>
                                                                                        </w:div>
                                                                                        <w:div w:id="519900442">
                                                                                          <w:marLeft w:val="0"/>
                                                                                          <w:marRight w:val="0"/>
                                                                                          <w:marTop w:val="0"/>
                                                                                          <w:marBottom w:val="0"/>
                                                                                          <w:divBdr>
                                                                                            <w:top w:val="none" w:sz="0" w:space="0" w:color="auto"/>
                                                                                            <w:left w:val="none" w:sz="0" w:space="0" w:color="auto"/>
                                                                                            <w:bottom w:val="none" w:sz="0" w:space="0" w:color="auto"/>
                                                                                            <w:right w:val="none" w:sz="0" w:space="0" w:color="auto"/>
                                                                                          </w:divBdr>
                                                                                        </w:div>
                                                                                      </w:divsChild>
                                                                                    </w:div>
                                                                                    <w:div w:id="32586076">
                                                                                      <w:marLeft w:val="0"/>
                                                                                      <w:marRight w:val="0"/>
                                                                                      <w:marTop w:val="0"/>
                                                                                      <w:marBottom w:val="0"/>
                                                                                      <w:divBdr>
                                                                                        <w:top w:val="none" w:sz="0" w:space="0" w:color="auto"/>
                                                                                        <w:left w:val="none" w:sz="0" w:space="0" w:color="auto"/>
                                                                                        <w:bottom w:val="none" w:sz="0" w:space="0" w:color="auto"/>
                                                                                        <w:right w:val="none" w:sz="0" w:space="0" w:color="auto"/>
                                                                                      </w:divBdr>
                                                                                      <w:divsChild>
                                                                                        <w:div w:id="1235819283">
                                                                                          <w:marLeft w:val="0"/>
                                                                                          <w:marRight w:val="0"/>
                                                                                          <w:marTop w:val="0"/>
                                                                                          <w:marBottom w:val="0"/>
                                                                                          <w:divBdr>
                                                                                            <w:top w:val="none" w:sz="0" w:space="0" w:color="auto"/>
                                                                                            <w:left w:val="none" w:sz="0" w:space="0" w:color="auto"/>
                                                                                            <w:bottom w:val="none" w:sz="0" w:space="0" w:color="auto"/>
                                                                                            <w:right w:val="none" w:sz="0" w:space="0" w:color="auto"/>
                                                                                          </w:divBdr>
                                                                                        </w:div>
                                                                                        <w:div w:id="644045038">
                                                                                          <w:marLeft w:val="0"/>
                                                                                          <w:marRight w:val="0"/>
                                                                                          <w:marTop w:val="0"/>
                                                                                          <w:marBottom w:val="0"/>
                                                                                          <w:divBdr>
                                                                                            <w:top w:val="none" w:sz="0" w:space="0" w:color="auto"/>
                                                                                            <w:left w:val="none" w:sz="0" w:space="0" w:color="auto"/>
                                                                                            <w:bottom w:val="none" w:sz="0" w:space="0" w:color="auto"/>
                                                                                            <w:right w:val="none" w:sz="0" w:space="0" w:color="auto"/>
                                                                                          </w:divBdr>
                                                                                        </w:div>
                                                                                        <w:div w:id="1209411423">
                                                                                          <w:marLeft w:val="0"/>
                                                                                          <w:marRight w:val="0"/>
                                                                                          <w:marTop w:val="0"/>
                                                                                          <w:marBottom w:val="0"/>
                                                                                          <w:divBdr>
                                                                                            <w:top w:val="none" w:sz="0" w:space="0" w:color="auto"/>
                                                                                            <w:left w:val="none" w:sz="0" w:space="0" w:color="auto"/>
                                                                                            <w:bottom w:val="none" w:sz="0" w:space="0" w:color="auto"/>
                                                                                            <w:right w:val="none" w:sz="0" w:space="0" w:color="auto"/>
                                                                                          </w:divBdr>
                                                                                        </w:div>
                                                                                        <w:div w:id="1948462647">
                                                                                          <w:marLeft w:val="0"/>
                                                                                          <w:marRight w:val="0"/>
                                                                                          <w:marTop w:val="0"/>
                                                                                          <w:marBottom w:val="0"/>
                                                                                          <w:divBdr>
                                                                                            <w:top w:val="none" w:sz="0" w:space="0" w:color="auto"/>
                                                                                            <w:left w:val="none" w:sz="0" w:space="0" w:color="auto"/>
                                                                                            <w:bottom w:val="none" w:sz="0" w:space="0" w:color="auto"/>
                                                                                            <w:right w:val="none" w:sz="0" w:space="0" w:color="auto"/>
                                                                                          </w:divBdr>
                                                                                        </w:div>
                                                                                      </w:divsChild>
                                                                                    </w:div>
                                                                                    <w:div w:id="147022189">
                                                                                      <w:marLeft w:val="0"/>
                                                                                      <w:marRight w:val="0"/>
                                                                                      <w:marTop w:val="0"/>
                                                                                      <w:marBottom w:val="0"/>
                                                                                      <w:divBdr>
                                                                                        <w:top w:val="none" w:sz="0" w:space="0" w:color="auto"/>
                                                                                        <w:left w:val="none" w:sz="0" w:space="0" w:color="auto"/>
                                                                                        <w:bottom w:val="none" w:sz="0" w:space="0" w:color="auto"/>
                                                                                        <w:right w:val="none" w:sz="0" w:space="0" w:color="auto"/>
                                                                                      </w:divBdr>
                                                                                    </w:div>
                                                                                    <w:div w:id="973021758">
                                                                                      <w:marLeft w:val="0"/>
                                                                                      <w:marRight w:val="0"/>
                                                                                      <w:marTop w:val="0"/>
                                                                                      <w:marBottom w:val="0"/>
                                                                                      <w:divBdr>
                                                                                        <w:top w:val="none" w:sz="0" w:space="0" w:color="auto"/>
                                                                                        <w:left w:val="none" w:sz="0" w:space="0" w:color="auto"/>
                                                                                        <w:bottom w:val="none" w:sz="0" w:space="0" w:color="auto"/>
                                                                                        <w:right w:val="none" w:sz="0" w:space="0" w:color="auto"/>
                                                                                      </w:divBdr>
                                                                                    </w:div>
                                                                                    <w:div w:id="987366535">
                                                                                      <w:marLeft w:val="0"/>
                                                                                      <w:marRight w:val="0"/>
                                                                                      <w:marTop w:val="0"/>
                                                                                      <w:marBottom w:val="0"/>
                                                                                      <w:divBdr>
                                                                                        <w:top w:val="none" w:sz="0" w:space="0" w:color="auto"/>
                                                                                        <w:left w:val="none" w:sz="0" w:space="0" w:color="auto"/>
                                                                                        <w:bottom w:val="none" w:sz="0" w:space="0" w:color="auto"/>
                                                                                        <w:right w:val="none" w:sz="0" w:space="0" w:color="auto"/>
                                                                                      </w:divBdr>
                                                                                    </w:div>
                                                                                    <w:div w:id="90453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188134">
      <w:bodyDiv w:val="1"/>
      <w:marLeft w:val="0"/>
      <w:marRight w:val="0"/>
      <w:marTop w:val="0"/>
      <w:marBottom w:val="0"/>
      <w:divBdr>
        <w:top w:val="none" w:sz="0" w:space="0" w:color="auto"/>
        <w:left w:val="none" w:sz="0" w:space="0" w:color="auto"/>
        <w:bottom w:val="none" w:sz="0" w:space="0" w:color="auto"/>
        <w:right w:val="none" w:sz="0" w:space="0" w:color="auto"/>
      </w:divBdr>
      <w:divsChild>
        <w:div w:id="1087531841">
          <w:marLeft w:val="0"/>
          <w:marRight w:val="0"/>
          <w:marTop w:val="0"/>
          <w:marBottom w:val="0"/>
          <w:divBdr>
            <w:top w:val="none" w:sz="0" w:space="0" w:color="auto"/>
            <w:left w:val="none" w:sz="0" w:space="0" w:color="auto"/>
            <w:bottom w:val="none" w:sz="0" w:space="0" w:color="auto"/>
            <w:right w:val="none" w:sz="0" w:space="0" w:color="auto"/>
          </w:divBdr>
          <w:divsChild>
            <w:div w:id="491802488">
              <w:marLeft w:val="0"/>
              <w:marRight w:val="0"/>
              <w:marTop w:val="0"/>
              <w:marBottom w:val="0"/>
              <w:divBdr>
                <w:top w:val="none" w:sz="0" w:space="0" w:color="auto"/>
                <w:left w:val="none" w:sz="0" w:space="0" w:color="auto"/>
                <w:bottom w:val="none" w:sz="0" w:space="0" w:color="auto"/>
                <w:right w:val="none" w:sz="0" w:space="0" w:color="auto"/>
              </w:divBdr>
              <w:divsChild>
                <w:div w:id="1743673951">
                  <w:marLeft w:val="0"/>
                  <w:marRight w:val="0"/>
                  <w:marTop w:val="0"/>
                  <w:marBottom w:val="0"/>
                  <w:divBdr>
                    <w:top w:val="none" w:sz="0" w:space="0" w:color="auto"/>
                    <w:left w:val="none" w:sz="0" w:space="0" w:color="auto"/>
                    <w:bottom w:val="none" w:sz="0" w:space="0" w:color="auto"/>
                    <w:right w:val="none" w:sz="0" w:space="0" w:color="auto"/>
                  </w:divBdr>
                  <w:divsChild>
                    <w:div w:id="2067953795">
                      <w:marLeft w:val="0"/>
                      <w:marRight w:val="0"/>
                      <w:marTop w:val="0"/>
                      <w:marBottom w:val="0"/>
                      <w:divBdr>
                        <w:top w:val="none" w:sz="0" w:space="0" w:color="auto"/>
                        <w:left w:val="none" w:sz="0" w:space="0" w:color="auto"/>
                        <w:bottom w:val="none" w:sz="0" w:space="0" w:color="auto"/>
                        <w:right w:val="none" w:sz="0" w:space="0" w:color="auto"/>
                      </w:divBdr>
                      <w:divsChild>
                        <w:div w:id="2114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1D5E336B425FF0458404EC7A72A22140" ma:contentTypeVersion="6" ma:contentTypeDescription="Create a new document." ma:contentTypeScope="" ma:versionID="bc0fecf6951c8ad3fb77f4895766cc8f">
  <xsd:schema xmlns:xsd="http://www.w3.org/2001/XMLSchema" xmlns:xs="http://www.w3.org/2001/XMLSchema" xmlns:p="http://schemas.microsoft.com/office/2006/metadata/properties" xmlns:ns3="22b480c6-a593-4885-a650-47c146c0606a" targetNamespace="http://schemas.microsoft.com/office/2006/metadata/properties" ma:root="true" ma:fieldsID="0fadcb3d9636dd010097d43157c3fb76" ns3:_="">
    <xsd:import namespace="22b480c6-a593-4885-a650-47c146c060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480c6-a593-4885-a650-47c146c06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98734-64B8-4C0F-BE21-D821EAB9BFC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2b480c6-a593-4885-a650-47c146c0606a"/>
    <ds:schemaRef ds:uri="http://www.w3.org/XML/1998/namespace"/>
    <ds:schemaRef ds:uri="http://purl.org/dc/dcmityp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857BF26-9A78-4D1C-845A-31EB41497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480c6-a593-4885-a650-47c146c06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518B77-20DB-4ED3-94F4-ECB320D97EFE}">
  <ds:schemaRefs>
    <ds:schemaRef ds:uri="http://schemas.microsoft.com/sharepoint/v3/contenttype/forms"/>
  </ds:schemaRefs>
</ds:datastoreItem>
</file>

<file path=customXml/itemProps5.xml><?xml version="1.0" encoding="utf-8"?>
<ds:datastoreItem xmlns:ds="http://schemas.openxmlformats.org/officeDocument/2006/customXml" ds:itemID="{988F2A34-FF6F-4F0C-90BE-061BF3556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3530</Words>
  <Characters>20121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Queensland Health</Company>
  <LinksUpToDate>false</LinksUpToDate>
  <CharactersWithSpaces>23604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c:creator>
  <cp:lastModifiedBy>Matthew Hiskens</cp:lastModifiedBy>
  <cp:revision>2</cp:revision>
  <cp:lastPrinted>2020-11-21T01:47:00Z</cp:lastPrinted>
  <dcterms:created xsi:type="dcterms:W3CDTF">2021-01-25T04:17:00Z</dcterms:created>
  <dcterms:modified xsi:type="dcterms:W3CDTF">2021-01-25T04:17:00Z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1033-10.2.0.5845</vt:lpwstr>
  </property>
  <property fmtid="{D5CDD505-2E9C-101B-9397-08002B2CF9AE}" pid="3" name="ContentTypeId">
    <vt:lpwstr>0x0101001D5E336B425FF0458404EC7A72A22140</vt:lpwstr>
  </property>
</Properties>
</file>