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B2BBB" w14:textId="24B585E8" w:rsidR="009704BE" w:rsidRPr="00A829DE" w:rsidRDefault="00EB73C9" w:rsidP="007A3A88">
      <w:pPr>
        <w:spacing w:line="360" w:lineRule="auto"/>
        <w:jc w:val="both"/>
        <w:rPr>
          <w:rFonts w:ascii="Arial" w:hAnsi="Arial"/>
          <w:b/>
          <w:color w:val="31849B" w:themeColor="accent5" w:themeShade="BF"/>
          <w:sz w:val="20"/>
          <w:szCs w:val="20"/>
        </w:rPr>
      </w:pPr>
      <w:r>
        <w:rPr>
          <w:rFonts w:ascii="Arial" w:hAnsi="Arial"/>
          <w:b/>
          <w:color w:val="31849B" w:themeColor="accent5" w:themeShade="BF"/>
          <w:sz w:val="20"/>
          <w:szCs w:val="20"/>
        </w:rPr>
        <w:t xml:space="preserve">Study </w:t>
      </w:r>
      <w:r w:rsidR="009704BE" w:rsidRPr="00A829DE">
        <w:rPr>
          <w:rFonts w:ascii="Arial" w:hAnsi="Arial"/>
          <w:b/>
          <w:color w:val="31849B" w:themeColor="accent5" w:themeShade="BF"/>
          <w:sz w:val="20"/>
          <w:szCs w:val="20"/>
        </w:rPr>
        <w:t>Title</w:t>
      </w:r>
    </w:p>
    <w:p w14:paraId="67B4190B" w14:textId="77777777" w:rsidR="00123B05" w:rsidRDefault="00123B05" w:rsidP="007A3A88">
      <w:pPr>
        <w:spacing w:line="360" w:lineRule="auto"/>
        <w:jc w:val="both"/>
        <w:rPr>
          <w:rFonts w:ascii="Arial" w:hAnsi="Arial"/>
          <w:sz w:val="20"/>
          <w:szCs w:val="20"/>
        </w:rPr>
      </w:pPr>
    </w:p>
    <w:p w14:paraId="2E5171C8" w14:textId="2AB6454B" w:rsidR="009704BE" w:rsidRDefault="00EA172B" w:rsidP="007A3A88">
      <w:pPr>
        <w:spacing w:line="360" w:lineRule="auto"/>
        <w:jc w:val="both"/>
        <w:rPr>
          <w:rFonts w:ascii="Arial" w:hAnsi="Arial"/>
          <w:sz w:val="20"/>
          <w:szCs w:val="20"/>
        </w:rPr>
      </w:pPr>
      <w:r w:rsidRPr="00EA172B">
        <w:rPr>
          <w:rFonts w:ascii="Arial" w:hAnsi="Arial"/>
          <w:sz w:val="20"/>
          <w:szCs w:val="20"/>
        </w:rPr>
        <w:t xml:space="preserve">Efficacy of single </w:t>
      </w:r>
      <w:r w:rsidR="00AF7188">
        <w:rPr>
          <w:rFonts w:ascii="Arial" w:hAnsi="Arial"/>
          <w:sz w:val="20"/>
          <w:szCs w:val="20"/>
        </w:rPr>
        <w:t xml:space="preserve">versus split dose </w:t>
      </w:r>
      <w:r w:rsidRPr="00EA172B">
        <w:rPr>
          <w:rFonts w:ascii="Arial" w:hAnsi="Arial"/>
          <w:sz w:val="20"/>
          <w:szCs w:val="20"/>
        </w:rPr>
        <w:t>enoxaparin post elective neurointervention in prevention of thromboembolic events</w:t>
      </w:r>
      <w:r w:rsidR="00B110C3">
        <w:rPr>
          <w:rFonts w:ascii="Arial" w:hAnsi="Arial"/>
          <w:sz w:val="20"/>
          <w:szCs w:val="20"/>
        </w:rPr>
        <w:t xml:space="preserve"> – a randomi</w:t>
      </w:r>
      <w:r w:rsidR="00332BCA">
        <w:rPr>
          <w:rFonts w:ascii="Arial" w:hAnsi="Arial"/>
          <w:sz w:val="20"/>
          <w:szCs w:val="20"/>
        </w:rPr>
        <w:t>s</w:t>
      </w:r>
      <w:r w:rsidR="00B110C3">
        <w:rPr>
          <w:rFonts w:ascii="Arial" w:hAnsi="Arial"/>
          <w:sz w:val="20"/>
          <w:szCs w:val="20"/>
        </w:rPr>
        <w:t xml:space="preserve">ed </w:t>
      </w:r>
      <w:r w:rsidR="00332BCA">
        <w:rPr>
          <w:rFonts w:ascii="Arial" w:hAnsi="Arial"/>
          <w:sz w:val="20"/>
          <w:szCs w:val="20"/>
        </w:rPr>
        <w:t>study</w:t>
      </w:r>
    </w:p>
    <w:p w14:paraId="2CE3411D" w14:textId="77777777" w:rsidR="00F74722" w:rsidRDefault="00F74722" w:rsidP="007A3A88">
      <w:pPr>
        <w:spacing w:line="360" w:lineRule="auto"/>
        <w:jc w:val="both"/>
        <w:rPr>
          <w:rFonts w:ascii="Arial" w:hAnsi="Arial"/>
          <w:sz w:val="20"/>
          <w:szCs w:val="20"/>
        </w:rPr>
      </w:pPr>
    </w:p>
    <w:p w14:paraId="694CF3C8" w14:textId="6272FE2C" w:rsidR="00C6374B" w:rsidRDefault="00C6374B" w:rsidP="007A3A88">
      <w:pPr>
        <w:spacing w:line="360" w:lineRule="auto"/>
        <w:jc w:val="both"/>
        <w:rPr>
          <w:rFonts w:ascii="Arial" w:hAnsi="Arial"/>
          <w:sz w:val="20"/>
          <w:szCs w:val="20"/>
        </w:rPr>
      </w:pPr>
      <w:r w:rsidRPr="00C6374B">
        <w:rPr>
          <w:rFonts w:ascii="Arial" w:hAnsi="Arial"/>
          <w:b/>
          <w:sz w:val="20"/>
          <w:szCs w:val="20"/>
        </w:rPr>
        <w:t>Short Title:</w:t>
      </w:r>
      <w:r>
        <w:rPr>
          <w:rFonts w:ascii="Arial" w:hAnsi="Arial"/>
          <w:sz w:val="20"/>
          <w:szCs w:val="20"/>
        </w:rPr>
        <w:t xml:space="preserve"> EPPICS </w:t>
      </w:r>
      <w:r w:rsidR="00F74722">
        <w:rPr>
          <w:rFonts w:ascii="Arial" w:hAnsi="Arial"/>
          <w:sz w:val="20"/>
          <w:szCs w:val="20"/>
        </w:rPr>
        <w:t xml:space="preserve">II </w:t>
      </w:r>
      <w:r>
        <w:rPr>
          <w:rFonts w:ascii="Arial" w:hAnsi="Arial"/>
          <w:sz w:val="20"/>
          <w:szCs w:val="20"/>
        </w:rPr>
        <w:t>Study</w:t>
      </w:r>
    </w:p>
    <w:p w14:paraId="1DE34EBB" w14:textId="77777777" w:rsidR="009704BE" w:rsidRDefault="009704BE" w:rsidP="007A3A88">
      <w:pPr>
        <w:spacing w:line="360" w:lineRule="auto"/>
        <w:jc w:val="both"/>
        <w:rPr>
          <w:rFonts w:ascii="Arial" w:hAnsi="Arial"/>
          <w:sz w:val="20"/>
          <w:szCs w:val="20"/>
        </w:rPr>
      </w:pPr>
    </w:p>
    <w:p w14:paraId="4A7869F5" w14:textId="77777777" w:rsidR="00C6374B" w:rsidRPr="00937205" w:rsidRDefault="00C6374B" w:rsidP="00C6374B">
      <w:pPr>
        <w:spacing w:line="360" w:lineRule="auto"/>
        <w:jc w:val="both"/>
        <w:rPr>
          <w:rFonts w:ascii="Arial" w:hAnsi="Arial"/>
          <w:b/>
          <w:color w:val="31849B" w:themeColor="accent5" w:themeShade="BF"/>
          <w:sz w:val="20"/>
          <w:szCs w:val="20"/>
        </w:rPr>
      </w:pPr>
      <w:r w:rsidRPr="00A829DE">
        <w:rPr>
          <w:rFonts w:ascii="Arial" w:hAnsi="Arial"/>
          <w:b/>
          <w:color w:val="31849B" w:themeColor="accent5" w:themeShade="BF"/>
          <w:sz w:val="20"/>
          <w:szCs w:val="20"/>
        </w:rPr>
        <w:t>Researchers</w:t>
      </w:r>
      <w:bookmarkStart w:id="0" w:name="_GoBack"/>
      <w:bookmarkEnd w:id="0"/>
    </w:p>
    <w:p w14:paraId="6465D3A8" w14:textId="77777777" w:rsidR="00207E6D" w:rsidRPr="00C6374B" w:rsidRDefault="00207E6D" w:rsidP="00207E6D">
      <w:pPr>
        <w:spacing w:line="360" w:lineRule="auto"/>
        <w:jc w:val="both"/>
        <w:rPr>
          <w:rFonts w:ascii="Arial" w:hAnsi="Arial"/>
          <w:b/>
          <w:sz w:val="20"/>
          <w:szCs w:val="20"/>
        </w:rPr>
      </w:pPr>
      <w:r w:rsidRPr="00C6374B">
        <w:rPr>
          <w:rFonts w:ascii="Arial" w:hAnsi="Arial"/>
          <w:b/>
          <w:sz w:val="20"/>
          <w:szCs w:val="20"/>
        </w:rPr>
        <w:t>Professor Alan Coulthard</w:t>
      </w:r>
    </w:p>
    <w:p w14:paraId="3175CE8A" w14:textId="77777777" w:rsidR="00207E6D" w:rsidRPr="00366356" w:rsidRDefault="00207E6D" w:rsidP="00207E6D">
      <w:pPr>
        <w:spacing w:line="360" w:lineRule="auto"/>
        <w:jc w:val="both"/>
        <w:rPr>
          <w:rFonts w:ascii="Arial" w:hAnsi="Arial"/>
          <w:i/>
          <w:sz w:val="20"/>
          <w:szCs w:val="20"/>
        </w:rPr>
      </w:pPr>
      <w:r w:rsidRPr="00366356">
        <w:rPr>
          <w:rFonts w:ascii="Arial" w:hAnsi="Arial"/>
          <w:i/>
          <w:sz w:val="20"/>
          <w:szCs w:val="20"/>
        </w:rPr>
        <w:t>Principal Investigator</w:t>
      </w:r>
    </w:p>
    <w:p w14:paraId="0F815D4D" w14:textId="77BE77FD" w:rsidR="00207E6D" w:rsidRDefault="00207E6D" w:rsidP="00207E6D">
      <w:pPr>
        <w:spacing w:line="360" w:lineRule="auto"/>
        <w:jc w:val="both"/>
        <w:rPr>
          <w:rFonts w:ascii="Arial" w:hAnsi="Arial"/>
          <w:sz w:val="20"/>
          <w:szCs w:val="20"/>
        </w:rPr>
      </w:pPr>
      <w:r>
        <w:rPr>
          <w:rFonts w:ascii="Arial" w:hAnsi="Arial"/>
          <w:sz w:val="20"/>
          <w:szCs w:val="20"/>
        </w:rPr>
        <w:t>Roles:</w:t>
      </w:r>
      <w:r w:rsidR="000F4934">
        <w:rPr>
          <w:rFonts w:ascii="Arial" w:hAnsi="Arial"/>
          <w:sz w:val="20"/>
          <w:szCs w:val="20"/>
        </w:rPr>
        <w:t xml:space="preserve"> Interventional Neuroradiologist,</w:t>
      </w:r>
      <w:r>
        <w:rPr>
          <w:rFonts w:ascii="Arial" w:hAnsi="Arial"/>
          <w:sz w:val="20"/>
          <w:szCs w:val="20"/>
        </w:rPr>
        <w:t xml:space="preserve"> supervisor, expert adviser</w:t>
      </w:r>
      <w:r w:rsidR="00BC2C8B">
        <w:rPr>
          <w:rFonts w:ascii="Arial" w:hAnsi="Arial"/>
          <w:sz w:val="20"/>
          <w:szCs w:val="20"/>
        </w:rPr>
        <w:t>, study desig</w:t>
      </w:r>
      <w:r w:rsidR="00197424">
        <w:rPr>
          <w:rFonts w:ascii="Arial" w:hAnsi="Arial"/>
          <w:sz w:val="20"/>
          <w:szCs w:val="20"/>
        </w:rPr>
        <w:t>n,</w:t>
      </w:r>
      <w:r>
        <w:rPr>
          <w:rFonts w:ascii="Arial" w:hAnsi="Arial"/>
          <w:sz w:val="20"/>
          <w:szCs w:val="20"/>
        </w:rPr>
        <w:t xml:space="preserve"> medical imaging analysis</w:t>
      </w:r>
    </w:p>
    <w:p w14:paraId="1E15715D" w14:textId="77777777" w:rsidR="00207E6D" w:rsidRDefault="00207E6D" w:rsidP="00207E6D">
      <w:pPr>
        <w:spacing w:line="360" w:lineRule="auto"/>
        <w:jc w:val="both"/>
        <w:rPr>
          <w:rFonts w:ascii="Arial" w:hAnsi="Arial"/>
          <w:sz w:val="20"/>
          <w:szCs w:val="20"/>
        </w:rPr>
      </w:pPr>
    </w:p>
    <w:p w14:paraId="0F5591D9" w14:textId="610E1CEF" w:rsidR="00C6374B" w:rsidRPr="00C6374B" w:rsidRDefault="00C6374B" w:rsidP="00C6374B">
      <w:pPr>
        <w:spacing w:line="360" w:lineRule="auto"/>
        <w:jc w:val="both"/>
        <w:rPr>
          <w:rFonts w:ascii="Arial" w:hAnsi="Arial"/>
          <w:b/>
          <w:sz w:val="20"/>
          <w:szCs w:val="20"/>
        </w:rPr>
      </w:pPr>
      <w:r w:rsidRPr="00C6374B">
        <w:rPr>
          <w:rFonts w:ascii="Arial" w:hAnsi="Arial"/>
          <w:b/>
          <w:sz w:val="20"/>
          <w:szCs w:val="20"/>
        </w:rPr>
        <w:t xml:space="preserve">Dr. </w:t>
      </w:r>
      <w:r w:rsidR="00F74722">
        <w:rPr>
          <w:rFonts w:ascii="Arial" w:hAnsi="Arial"/>
          <w:b/>
          <w:sz w:val="20"/>
          <w:szCs w:val="20"/>
        </w:rPr>
        <w:t>Rebecca Liong</w:t>
      </w:r>
    </w:p>
    <w:p w14:paraId="49FF646D" w14:textId="2BE74F56" w:rsidR="00C6374B" w:rsidRPr="00366356" w:rsidRDefault="00A021D6" w:rsidP="00C6374B">
      <w:pPr>
        <w:spacing w:line="360" w:lineRule="auto"/>
        <w:jc w:val="both"/>
        <w:rPr>
          <w:rFonts w:ascii="Arial" w:hAnsi="Arial"/>
          <w:i/>
          <w:sz w:val="20"/>
          <w:szCs w:val="20"/>
        </w:rPr>
      </w:pPr>
      <w:r>
        <w:rPr>
          <w:rFonts w:ascii="Arial" w:hAnsi="Arial"/>
          <w:i/>
          <w:sz w:val="20"/>
          <w:szCs w:val="20"/>
        </w:rPr>
        <w:t>Associate Investigator</w:t>
      </w:r>
    </w:p>
    <w:p w14:paraId="0C4D4E63" w14:textId="7578ED70" w:rsidR="00C6374B" w:rsidRDefault="00C6374B" w:rsidP="00C6374B">
      <w:pPr>
        <w:spacing w:line="360" w:lineRule="auto"/>
        <w:jc w:val="both"/>
        <w:rPr>
          <w:rFonts w:ascii="Arial" w:hAnsi="Arial"/>
          <w:sz w:val="20"/>
          <w:szCs w:val="20"/>
        </w:rPr>
      </w:pPr>
      <w:r>
        <w:rPr>
          <w:rFonts w:ascii="Arial" w:hAnsi="Arial"/>
          <w:sz w:val="20"/>
          <w:szCs w:val="20"/>
        </w:rPr>
        <w:t xml:space="preserve">Roles: </w:t>
      </w:r>
      <w:r w:rsidR="008127A4">
        <w:rPr>
          <w:rFonts w:ascii="Arial" w:hAnsi="Arial"/>
          <w:sz w:val="20"/>
          <w:szCs w:val="20"/>
        </w:rPr>
        <w:t>Senior House Officer Medical Imaging Research. D</w:t>
      </w:r>
      <w:r>
        <w:rPr>
          <w:rFonts w:ascii="Arial" w:hAnsi="Arial"/>
          <w:sz w:val="20"/>
          <w:szCs w:val="20"/>
        </w:rPr>
        <w:t>ata collection, co-ordination, and write up</w:t>
      </w:r>
    </w:p>
    <w:p w14:paraId="0420198D" w14:textId="3671C42C" w:rsidR="00C6374B" w:rsidRDefault="00C6374B" w:rsidP="00C6374B">
      <w:pPr>
        <w:spacing w:line="360" w:lineRule="auto"/>
        <w:jc w:val="both"/>
        <w:rPr>
          <w:rFonts w:ascii="Arial" w:hAnsi="Arial"/>
          <w:sz w:val="20"/>
          <w:szCs w:val="20"/>
        </w:rPr>
      </w:pPr>
    </w:p>
    <w:p w14:paraId="586A3A2B" w14:textId="77777777" w:rsidR="00207E6D" w:rsidRPr="00F24027" w:rsidRDefault="00207E6D" w:rsidP="00207E6D">
      <w:pPr>
        <w:spacing w:line="360" w:lineRule="auto"/>
        <w:jc w:val="both"/>
        <w:rPr>
          <w:rFonts w:ascii="Arial" w:hAnsi="Arial"/>
          <w:b/>
          <w:sz w:val="20"/>
          <w:szCs w:val="20"/>
        </w:rPr>
      </w:pPr>
      <w:r w:rsidRPr="00F24027">
        <w:rPr>
          <w:rFonts w:ascii="Arial" w:hAnsi="Arial"/>
          <w:b/>
          <w:sz w:val="20"/>
          <w:szCs w:val="20"/>
        </w:rPr>
        <w:t>Dr. Marita Prior</w:t>
      </w:r>
      <w:r>
        <w:rPr>
          <w:rFonts w:ascii="Arial" w:hAnsi="Arial"/>
          <w:b/>
          <w:sz w:val="20"/>
          <w:szCs w:val="20"/>
        </w:rPr>
        <w:t>,</w:t>
      </w:r>
      <w:r w:rsidRPr="00F24027">
        <w:rPr>
          <w:rFonts w:ascii="Arial" w:hAnsi="Arial"/>
          <w:b/>
          <w:sz w:val="20"/>
          <w:szCs w:val="20"/>
        </w:rPr>
        <w:t xml:space="preserve"> PhD</w:t>
      </w:r>
    </w:p>
    <w:p w14:paraId="7E467642" w14:textId="77777777" w:rsidR="00207E6D" w:rsidRPr="00F24027" w:rsidRDefault="00207E6D" w:rsidP="00207E6D">
      <w:pPr>
        <w:spacing w:line="360" w:lineRule="auto"/>
        <w:jc w:val="both"/>
        <w:rPr>
          <w:rFonts w:ascii="Arial" w:hAnsi="Arial"/>
          <w:i/>
          <w:sz w:val="20"/>
          <w:szCs w:val="20"/>
        </w:rPr>
      </w:pPr>
      <w:r w:rsidRPr="00F24027">
        <w:rPr>
          <w:rFonts w:ascii="Arial" w:hAnsi="Arial"/>
          <w:i/>
          <w:sz w:val="20"/>
          <w:szCs w:val="20"/>
        </w:rPr>
        <w:t>Associate Investigator</w:t>
      </w:r>
    </w:p>
    <w:p w14:paraId="7033BEBB" w14:textId="3EC60CC1" w:rsidR="00207E6D" w:rsidRDefault="00207E6D" w:rsidP="00207E6D">
      <w:pPr>
        <w:spacing w:line="360" w:lineRule="auto"/>
        <w:jc w:val="both"/>
        <w:rPr>
          <w:rFonts w:ascii="Arial" w:hAnsi="Arial"/>
          <w:sz w:val="20"/>
          <w:szCs w:val="20"/>
        </w:rPr>
      </w:pPr>
      <w:r>
        <w:rPr>
          <w:rFonts w:ascii="Arial" w:hAnsi="Arial"/>
          <w:sz w:val="20"/>
          <w:szCs w:val="20"/>
        </w:rPr>
        <w:t xml:space="preserve">Roles: </w:t>
      </w:r>
      <w:r w:rsidR="0083706F">
        <w:rPr>
          <w:rFonts w:ascii="Arial" w:hAnsi="Arial"/>
          <w:sz w:val="20"/>
          <w:szCs w:val="20"/>
        </w:rPr>
        <w:t>R</w:t>
      </w:r>
      <w:r>
        <w:rPr>
          <w:rFonts w:ascii="Arial" w:hAnsi="Arial"/>
          <w:sz w:val="20"/>
          <w:szCs w:val="20"/>
        </w:rPr>
        <w:t>esearch development, ethics</w:t>
      </w:r>
      <w:r w:rsidR="00E3712C">
        <w:rPr>
          <w:rFonts w:ascii="Arial" w:hAnsi="Arial"/>
          <w:sz w:val="20"/>
          <w:szCs w:val="20"/>
        </w:rPr>
        <w:t xml:space="preserve"> and governance</w:t>
      </w:r>
    </w:p>
    <w:p w14:paraId="457FA586" w14:textId="6EF00FE8" w:rsidR="00207E6D" w:rsidRDefault="00207E6D" w:rsidP="00C6374B">
      <w:pPr>
        <w:spacing w:line="360" w:lineRule="auto"/>
        <w:jc w:val="both"/>
        <w:rPr>
          <w:rFonts w:ascii="Arial" w:hAnsi="Arial"/>
          <w:sz w:val="20"/>
          <w:szCs w:val="20"/>
        </w:rPr>
      </w:pPr>
    </w:p>
    <w:p w14:paraId="322BA83D" w14:textId="09821DDE" w:rsidR="00197424" w:rsidRPr="00DC06A8" w:rsidRDefault="00197424" w:rsidP="00197424">
      <w:pPr>
        <w:spacing w:line="360" w:lineRule="auto"/>
        <w:jc w:val="both"/>
        <w:rPr>
          <w:rFonts w:ascii="Arial" w:hAnsi="Arial"/>
          <w:b/>
          <w:sz w:val="20"/>
          <w:szCs w:val="20"/>
        </w:rPr>
      </w:pPr>
      <w:r>
        <w:rPr>
          <w:rFonts w:ascii="Arial" w:hAnsi="Arial"/>
          <w:b/>
          <w:sz w:val="20"/>
          <w:szCs w:val="20"/>
        </w:rPr>
        <w:t>Ms Anita Pelecanos</w:t>
      </w:r>
    </w:p>
    <w:p w14:paraId="4FE20A6B" w14:textId="38E6BB9C" w:rsidR="00197424" w:rsidRPr="00366356" w:rsidRDefault="00AF193C" w:rsidP="00197424">
      <w:pPr>
        <w:spacing w:line="360" w:lineRule="auto"/>
        <w:jc w:val="both"/>
        <w:rPr>
          <w:rFonts w:ascii="Arial" w:hAnsi="Arial"/>
          <w:i/>
          <w:sz w:val="20"/>
          <w:szCs w:val="20"/>
        </w:rPr>
      </w:pPr>
      <w:r w:rsidRPr="00F24027">
        <w:rPr>
          <w:rFonts w:ascii="Arial" w:hAnsi="Arial"/>
          <w:i/>
          <w:sz w:val="20"/>
          <w:szCs w:val="20"/>
        </w:rPr>
        <w:t>Associate Investigator</w:t>
      </w:r>
      <w:r>
        <w:rPr>
          <w:rFonts w:ascii="Arial" w:hAnsi="Arial"/>
          <w:i/>
          <w:sz w:val="20"/>
          <w:szCs w:val="20"/>
        </w:rPr>
        <w:t xml:space="preserve">, </w:t>
      </w:r>
      <w:r w:rsidR="00197424">
        <w:rPr>
          <w:rFonts w:ascii="Arial" w:hAnsi="Arial"/>
          <w:i/>
          <w:sz w:val="20"/>
          <w:szCs w:val="20"/>
        </w:rPr>
        <w:t>Biostatistician</w:t>
      </w:r>
      <w:r w:rsidR="005E7FE7">
        <w:rPr>
          <w:rFonts w:ascii="Arial" w:hAnsi="Arial"/>
          <w:i/>
          <w:sz w:val="20"/>
          <w:szCs w:val="20"/>
        </w:rPr>
        <w:t xml:space="preserve"> QIMR</w:t>
      </w:r>
    </w:p>
    <w:p w14:paraId="2DB6980B" w14:textId="77777777" w:rsidR="00197424" w:rsidRDefault="00197424" w:rsidP="00197424">
      <w:pPr>
        <w:spacing w:line="360" w:lineRule="auto"/>
        <w:jc w:val="both"/>
        <w:rPr>
          <w:rFonts w:ascii="Arial" w:hAnsi="Arial"/>
          <w:sz w:val="20"/>
          <w:szCs w:val="20"/>
        </w:rPr>
      </w:pPr>
      <w:r>
        <w:rPr>
          <w:rFonts w:ascii="Arial" w:hAnsi="Arial"/>
          <w:sz w:val="20"/>
          <w:szCs w:val="20"/>
        </w:rPr>
        <w:t>Roles: Statistical analysis, assistance with study design</w:t>
      </w:r>
    </w:p>
    <w:p w14:paraId="0A9F377D" w14:textId="77777777" w:rsidR="00207E6D" w:rsidRDefault="00207E6D" w:rsidP="00C6374B">
      <w:pPr>
        <w:spacing w:line="360" w:lineRule="auto"/>
        <w:jc w:val="both"/>
        <w:rPr>
          <w:rFonts w:ascii="Arial" w:hAnsi="Arial"/>
          <w:sz w:val="20"/>
          <w:szCs w:val="20"/>
        </w:rPr>
      </w:pPr>
    </w:p>
    <w:p w14:paraId="5E80FA8E" w14:textId="40765D6F" w:rsidR="00C6374B" w:rsidRPr="00C6374B" w:rsidRDefault="00F31255" w:rsidP="00C6374B">
      <w:pPr>
        <w:spacing w:line="360" w:lineRule="auto"/>
        <w:jc w:val="both"/>
        <w:rPr>
          <w:rFonts w:ascii="Arial" w:hAnsi="Arial"/>
          <w:b/>
          <w:sz w:val="20"/>
          <w:szCs w:val="20"/>
        </w:rPr>
      </w:pPr>
      <w:r>
        <w:rPr>
          <w:rFonts w:ascii="Arial" w:hAnsi="Arial"/>
          <w:b/>
          <w:sz w:val="20"/>
          <w:szCs w:val="20"/>
        </w:rPr>
        <w:t>Professor Jeffrey Lipman</w:t>
      </w:r>
    </w:p>
    <w:p w14:paraId="7D0542D0" w14:textId="25A4DA35" w:rsidR="00C6374B" w:rsidRPr="00366356" w:rsidRDefault="00F31255" w:rsidP="00C6374B">
      <w:pPr>
        <w:spacing w:line="360" w:lineRule="auto"/>
        <w:jc w:val="both"/>
        <w:rPr>
          <w:rFonts w:ascii="Arial" w:hAnsi="Arial"/>
          <w:i/>
          <w:sz w:val="20"/>
          <w:szCs w:val="20"/>
        </w:rPr>
      </w:pPr>
      <w:r>
        <w:rPr>
          <w:rFonts w:ascii="Arial" w:hAnsi="Arial"/>
          <w:i/>
          <w:sz w:val="20"/>
          <w:szCs w:val="20"/>
        </w:rPr>
        <w:t>Associate Researcher</w:t>
      </w:r>
    </w:p>
    <w:p w14:paraId="72E17189" w14:textId="0674E2CE" w:rsidR="00C6374B" w:rsidRDefault="00F31255" w:rsidP="00C6374B">
      <w:pPr>
        <w:spacing w:line="360" w:lineRule="auto"/>
        <w:jc w:val="both"/>
        <w:rPr>
          <w:rFonts w:ascii="Arial" w:hAnsi="Arial"/>
          <w:sz w:val="20"/>
          <w:szCs w:val="20"/>
        </w:rPr>
      </w:pPr>
      <w:r>
        <w:rPr>
          <w:rFonts w:ascii="Arial" w:hAnsi="Arial"/>
          <w:sz w:val="20"/>
          <w:szCs w:val="20"/>
        </w:rPr>
        <w:t>Roles:</w:t>
      </w:r>
      <w:r w:rsidR="00027E96">
        <w:rPr>
          <w:rFonts w:ascii="Arial" w:hAnsi="Arial"/>
          <w:sz w:val="20"/>
          <w:szCs w:val="20"/>
        </w:rPr>
        <w:t xml:space="preserve"> Director of ICU</w:t>
      </w:r>
    </w:p>
    <w:p w14:paraId="3636C009" w14:textId="77777777" w:rsidR="00F31255" w:rsidRDefault="00F31255" w:rsidP="00C6374B">
      <w:pPr>
        <w:spacing w:line="360" w:lineRule="auto"/>
        <w:jc w:val="both"/>
        <w:rPr>
          <w:rFonts w:ascii="Arial" w:hAnsi="Arial"/>
          <w:sz w:val="20"/>
          <w:szCs w:val="20"/>
        </w:rPr>
      </w:pPr>
    </w:p>
    <w:p w14:paraId="47B08908" w14:textId="5D953DFC" w:rsidR="00F31255" w:rsidRPr="00536B91" w:rsidRDefault="00F31255" w:rsidP="00C6374B">
      <w:pPr>
        <w:spacing w:line="360" w:lineRule="auto"/>
        <w:jc w:val="both"/>
        <w:rPr>
          <w:rFonts w:ascii="Arial" w:hAnsi="Arial"/>
          <w:b/>
          <w:sz w:val="20"/>
          <w:szCs w:val="20"/>
        </w:rPr>
      </w:pPr>
      <w:r w:rsidRPr="00536B91">
        <w:rPr>
          <w:rFonts w:ascii="Arial" w:hAnsi="Arial"/>
          <w:b/>
          <w:sz w:val="20"/>
          <w:szCs w:val="20"/>
        </w:rPr>
        <w:t>Professor Jason Roberts</w:t>
      </w:r>
    </w:p>
    <w:p w14:paraId="5A85E454" w14:textId="2D023E9E" w:rsidR="00F31255" w:rsidRDefault="00F31255" w:rsidP="00C6374B">
      <w:pPr>
        <w:spacing w:line="360" w:lineRule="auto"/>
        <w:jc w:val="both"/>
        <w:rPr>
          <w:rFonts w:ascii="Arial" w:hAnsi="Arial"/>
          <w:sz w:val="20"/>
          <w:szCs w:val="20"/>
        </w:rPr>
      </w:pPr>
      <w:r>
        <w:rPr>
          <w:rFonts w:ascii="Arial" w:hAnsi="Arial"/>
          <w:sz w:val="20"/>
          <w:szCs w:val="20"/>
        </w:rPr>
        <w:t>Associate Researcher</w:t>
      </w:r>
    </w:p>
    <w:p w14:paraId="4177D3B9" w14:textId="09B07800" w:rsidR="00F31255" w:rsidRDefault="00F31255" w:rsidP="00C6374B">
      <w:pPr>
        <w:spacing w:line="360" w:lineRule="auto"/>
        <w:jc w:val="both"/>
        <w:rPr>
          <w:rFonts w:ascii="Arial" w:hAnsi="Arial"/>
          <w:sz w:val="20"/>
          <w:szCs w:val="20"/>
        </w:rPr>
      </w:pPr>
      <w:r>
        <w:rPr>
          <w:rFonts w:ascii="Arial" w:hAnsi="Arial"/>
          <w:sz w:val="20"/>
          <w:szCs w:val="20"/>
        </w:rPr>
        <w:t>Roles:</w:t>
      </w:r>
      <w:r w:rsidR="00027E96">
        <w:rPr>
          <w:rFonts w:ascii="Arial" w:hAnsi="Arial"/>
          <w:sz w:val="20"/>
          <w:szCs w:val="20"/>
        </w:rPr>
        <w:t xml:space="preserve"> Director of Intensive Care Pharmacology</w:t>
      </w:r>
    </w:p>
    <w:p w14:paraId="56784A67" w14:textId="77777777" w:rsidR="00B924BD" w:rsidRDefault="00B924BD" w:rsidP="00C6374B">
      <w:pPr>
        <w:spacing w:line="360" w:lineRule="auto"/>
        <w:jc w:val="both"/>
        <w:rPr>
          <w:rFonts w:ascii="Arial" w:hAnsi="Arial"/>
          <w:sz w:val="20"/>
          <w:szCs w:val="20"/>
        </w:rPr>
      </w:pPr>
    </w:p>
    <w:p w14:paraId="5FCB46C1" w14:textId="6B94C096" w:rsidR="00B924BD" w:rsidRDefault="00B924BD" w:rsidP="00C6374B">
      <w:pPr>
        <w:spacing w:line="360" w:lineRule="auto"/>
        <w:jc w:val="both"/>
        <w:rPr>
          <w:rFonts w:ascii="Arial" w:hAnsi="Arial"/>
          <w:b/>
          <w:sz w:val="20"/>
          <w:szCs w:val="20"/>
        </w:rPr>
      </w:pPr>
      <w:r>
        <w:rPr>
          <w:rFonts w:ascii="Arial" w:hAnsi="Arial"/>
          <w:b/>
          <w:sz w:val="20"/>
          <w:szCs w:val="20"/>
        </w:rPr>
        <w:t>Dr. Steve O’Donoghue</w:t>
      </w:r>
    </w:p>
    <w:p w14:paraId="3AE12D54" w14:textId="42056F31" w:rsidR="00B924BD" w:rsidRDefault="00B924BD" w:rsidP="00C6374B">
      <w:pPr>
        <w:spacing w:line="360" w:lineRule="auto"/>
        <w:jc w:val="both"/>
        <w:rPr>
          <w:rFonts w:ascii="Arial" w:hAnsi="Arial"/>
          <w:i/>
          <w:sz w:val="20"/>
          <w:szCs w:val="20"/>
        </w:rPr>
      </w:pPr>
      <w:r>
        <w:rPr>
          <w:rFonts w:ascii="Arial" w:hAnsi="Arial"/>
          <w:i/>
          <w:sz w:val="20"/>
          <w:szCs w:val="20"/>
        </w:rPr>
        <w:t>Associate Researcher</w:t>
      </w:r>
    </w:p>
    <w:p w14:paraId="44AD28DD" w14:textId="3D351BD6" w:rsidR="00B924BD" w:rsidRPr="00B924BD" w:rsidRDefault="00B924BD" w:rsidP="00C6374B">
      <w:pPr>
        <w:spacing w:line="360" w:lineRule="auto"/>
        <w:jc w:val="both"/>
        <w:rPr>
          <w:rFonts w:ascii="Arial" w:hAnsi="Arial"/>
          <w:sz w:val="20"/>
          <w:szCs w:val="20"/>
        </w:rPr>
      </w:pPr>
      <w:r>
        <w:rPr>
          <w:rFonts w:ascii="Arial" w:hAnsi="Arial"/>
          <w:sz w:val="20"/>
          <w:szCs w:val="20"/>
        </w:rPr>
        <w:t>Roles:</w:t>
      </w:r>
      <w:r w:rsidR="00027E96">
        <w:rPr>
          <w:rFonts w:ascii="Arial" w:hAnsi="Arial"/>
          <w:sz w:val="20"/>
          <w:szCs w:val="20"/>
        </w:rPr>
        <w:t xml:space="preserve"> Intensive Care Physician</w:t>
      </w:r>
    </w:p>
    <w:p w14:paraId="001D229C" w14:textId="77777777" w:rsidR="00C6374B" w:rsidRDefault="00C6374B" w:rsidP="007A3A88">
      <w:pPr>
        <w:spacing w:line="360" w:lineRule="auto"/>
        <w:jc w:val="both"/>
        <w:rPr>
          <w:rFonts w:ascii="Arial" w:hAnsi="Arial"/>
          <w:sz w:val="20"/>
          <w:szCs w:val="20"/>
        </w:rPr>
      </w:pPr>
    </w:p>
    <w:p w14:paraId="449F1CD8" w14:textId="77777777" w:rsidR="00C6374B" w:rsidRDefault="00C6374B" w:rsidP="007A3A88">
      <w:pPr>
        <w:spacing w:line="360" w:lineRule="auto"/>
        <w:jc w:val="both"/>
        <w:rPr>
          <w:rFonts w:ascii="Arial" w:hAnsi="Arial"/>
          <w:sz w:val="20"/>
          <w:szCs w:val="20"/>
        </w:rPr>
      </w:pPr>
    </w:p>
    <w:p w14:paraId="547B7331" w14:textId="77777777" w:rsidR="00F24027" w:rsidRDefault="00F24027" w:rsidP="007A3A88">
      <w:pPr>
        <w:spacing w:line="360" w:lineRule="auto"/>
        <w:jc w:val="both"/>
        <w:rPr>
          <w:rFonts w:ascii="Arial" w:hAnsi="Arial"/>
          <w:sz w:val="20"/>
          <w:szCs w:val="20"/>
        </w:rPr>
      </w:pPr>
    </w:p>
    <w:p w14:paraId="1776EFB9" w14:textId="7EA6D079" w:rsidR="00BB15A5" w:rsidRDefault="00BB15A5">
      <w:pPr>
        <w:rPr>
          <w:rFonts w:ascii="Arial" w:hAnsi="Arial"/>
          <w:sz w:val="20"/>
          <w:szCs w:val="20"/>
        </w:rPr>
      </w:pPr>
      <w:r>
        <w:rPr>
          <w:rFonts w:ascii="Arial" w:hAnsi="Arial"/>
          <w:sz w:val="20"/>
          <w:szCs w:val="20"/>
        </w:rPr>
        <w:br w:type="page"/>
      </w:r>
    </w:p>
    <w:p w14:paraId="6098A6D8" w14:textId="77777777" w:rsidR="00C6374B" w:rsidRDefault="00C6374B" w:rsidP="007A3A88">
      <w:pPr>
        <w:spacing w:line="360" w:lineRule="auto"/>
        <w:jc w:val="both"/>
        <w:rPr>
          <w:rFonts w:ascii="Arial" w:hAnsi="Arial"/>
          <w:sz w:val="20"/>
          <w:szCs w:val="20"/>
        </w:rPr>
      </w:pPr>
    </w:p>
    <w:p w14:paraId="78C57723" w14:textId="542B2D55" w:rsidR="00C6374B" w:rsidRPr="00C6374B" w:rsidRDefault="00C6374B" w:rsidP="007A3A88">
      <w:pPr>
        <w:spacing w:line="360" w:lineRule="auto"/>
        <w:jc w:val="both"/>
        <w:rPr>
          <w:rFonts w:ascii="Arial" w:hAnsi="Arial"/>
          <w:b/>
          <w:color w:val="31849B" w:themeColor="accent5" w:themeShade="BF"/>
          <w:sz w:val="20"/>
          <w:szCs w:val="20"/>
        </w:rPr>
      </w:pPr>
      <w:r w:rsidRPr="00C6374B">
        <w:rPr>
          <w:rFonts w:ascii="Arial" w:hAnsi="Arial"/>
          <w:b/>
          <w:color w:val="31849B" w:themeColor="accent5" w:themeShade="BF"/>
          <w:sz w:val="20"/>
          <w:szCs w:val="20"/>
        </w:rPr>
        <w:t>Site</w:t>
      </w:r>
    </w:p>
    <w:p w14:paraId="345020CB" w14:textId="77777777" w:rsidR="009704BE" w:rsidRPr="00626614" w:rsidRDefault="009704BE" w:rsidP="007A3A88">
      <w:pPr>
        <w:spacing w:line="360" w:lineRule="auto"/>
        <w:jc w:val="both"/>
        <w:rPr>
          <w:rFonts w:ascii="Arial" w:hAnsi="Arial"/>
          <w:iCs/>
          <w:sz w:val="20"/>
          <w:szCs w:val="20"/>
        </w:rPr>
      </w:pPr>
      <w:r w:rsidRPr="00626614">
        <w:rPr>
          <w:rFonts w:ascii="Arial" w:hAnsi="Arial"/>
          <w:iCs/>
          <w:sz w:val="20"/>
          <w:szCs w:val="20"/>
        </w:rPr>
        <w:t>Department of Medical Imaging, Royal Brisbane &amp; Women’s Hospital, Brisbane, QLD, Australia</w:t>
      </w:r>
    </w:p>
    <w:p w14:paraId="4F980FE7" w14:textId="65AC202B" w:rsidR="00996D4C" w:rsidRDefault="00996D4C" w:rsidP="007A3A88">
      <w:pPr>
        <w:spacing w:line="360" w:lineRule="auto"/>
        <w:jc w:val="both"/>
        <w:rPr>
          <w:rFonts w:ascii="Arial" w:hAnsi="Arial"/>
          <w:b/>
          <w:sz w:val="20"/>
          <w:szCs w:val="20"/>
        </w:rPr>
      </w:pPr>
    </w:p>
    <w:p w14:paraId="262556D8" w14:textId="77777777" w:rsidR="00F81921" w:rsidRDefault="00F81921" w:rsidP="00F81921">
      <w:pPr>
        <w:spacing w:line="360" w:lineRule="auto"/>
        <w:jc w:val="both"/>
        <w:rPr>
          <w:rFonts w:ascii="Arial" w:hAnsi="Arial"/>
          <w:b/>
          <w:color w:val="31849B" w:themeColor="accent5" w:themeShade="BF"/>
          <w:sz w:val="20"/>
          <w:szCs w:val="20"/>
        </w:rPr>
      </w:pPr>
      <w:r w:rsidRPr="004D06BB">
        <w:rPr>
          <w:rFonts w:ascii="Arial" w:hAnsi="Arial"/>
          <w:b/>
          <w:color w:val="31849B" w:themeColor="accent5" w:themeShade="BF"/>
          <w:sz w:val="20"/>
          <w:szCs w:val="20"/>
        </w:rPr>
        <w:t>Grant Considerations</w:t>
      </w:r>
    </w:p>
    <w:p w14:paraId="175B0FA7" w14:textId="12A23569" w:rsidR="00F81921" w:rsidRDefault="00F81921" w:rsidP="007A3A88">
      <w:pPr>
        <w:spacing w:line="360" w:lineRule="auto"/>
        <w:jc w:val="both"/>
        <w:rPr>
          <w:rFonts w:ascii="Arial" w:hAnsi="Arial"/>
          <w:b/>
          <w:sz w:val="20"/>
          <w:szCs w:val="20"/>
        </w:rPr>
      </w:pPr>
      <w:r>
        <w:rPr>
          <w:rFonts w:ascii="Arial" w:hAnsi="Arial"/>
          <w:sz w:val="20"/>
          <w:szCs w:val="20"/>
        </w:rPr>
        <w:t>A research grant application was lodged with the Royal Australian and New Zealand College of Radiologists (RANZCR) 2020.</w:t>
      </w:r>
    </w:p>
    <w:p w14:paraId="55F153B6" w14:textId="77777777" w:rsidR="00F81921" w:rsidRDefault="00F81921" w:rsidP="007A3A88">
      <w:pPr>
        <w:spacing w:line="360" w:lineRule="auto"/>
        <w:jc w:val="both"/>
        <w:rPr>
          <w:rFonts w:ascii="Arial" w:hAnsi="Arial"/>
          <w:b/>
          <w:sz w:val="20"/>
          <w:szCs w:val="20"/>
        </w:rPr>
      </w:pPr>
    </w:p>
    <w:p w14:paraId="14C6F2F3" w14:textId="07832DE4" w:rsidR="006E55AB" w:rsidRPr="00A829DE" w:rsidRDefault="006E55AB" w:rsidP="007A3A88">
      <w:pPr>
        <w:spacing w:line="360" w:lineRule="auto"/>
        <w:jc w:val="both"/>
        <w:rPr>
          <w:rFonts w:ascii="Arial" w:hAnsi="Arial"/>
          <w:b/>
          <w:color w:val="31849B" w:themeColor="accent5" w:themeShade="BF"/>
          <w:sz w:val="20"/>
          <w:szCs w:val="20"/>
        </w:rPr>
      </w:pPr>
      <w:r w:rsidRPr="00A829DE">
        <w:rPr>
          <w:rFonts w:ascii="Arial" w:hAnsi="Arial"/>
          <w:b/>
          <w:color w:val="31849B" w:themeColor="accent5" w:themeShade="BF"/>
          <w:sz w:val="20"/>
          <w:szCs w:val="20"/>
        </w:rPr>
        <w:t>Background</w:t>
      </w:r>
    </w:p>
    <w:p w14:paraId="4327AA73" w14:textId="3DCDB8B2" w:rsidR="00A9764A" w:rsidRPr="006F2894" w:rsidRDefault="00A9764A" w:rsidP="006F2894">
      <w:pPr>
        <w:spacing w:line="360" w:lineRule="auto"/>
        <w:jc w:val="both"/>
        <w:rPr>
          <w:rFonts w:ascii="Arial" w:hAnsi="Arial" w:cs="Arial"/>
          <w:sz w:val="20"/>
          <w:szCs w:val="20"/>
        </w:rPr>
      </w:pPr>
      <w:r w:rsidRPr="006F2894">
        <w:rPr>
          <w:rFonts w:ascii="Arial" w:hAnsi="Arial" w:cs="Arial"/>
          <w:sz w:val="20"/>
          <w:szCs w:val="20"/>
        </w:rPr>
        <w:t>Thromboembolic events are frequent adverse events in neurointerventional procedures. Intracranial thromboembolic events occur intraprocedurally at a rate of 8% (standard deviation +/-5.7%)</w:t>
      </w:r>
      <w:r w:rsidRPr="006F2894">
        <w:rPr>
          <w:rFonts w:ascii="Arial" w:hAnsi="Arial" w:cs="Arial"/>
          <w:sz w:val="20"/>
          <w:szCs w:val="20"/>
        </w:rPr>
        <w:fldChar w:fldCharType="begin" w:fldLock="1"/>
      </w:r>
      <w:r w:rsidR="00F45134">
        <w:rPr>
          <w:rFonts w:ascii="Arial" w:hAnsi="Arial" w:cs="Arial"/>
          <w:sz w:val="20"/>
          <w:szCs w:val="20"/>
        </w:rPr>
        <w:instrText>ADDIN CSL_CITATION {"citationItems":[{"id":"ITEM-1","itemData":{"DOI":"10.3174/ajnr.A1216","ISSN":"01956108","abstract":"BACKGROUND AND PURPOSE: Concurrent temporary inflation of a nondetachable balloon in the parent artery has been reported to be useful during endovascular coiling of complex, wide-neck aneurysms, facilitating truer coil reconstruction of the native vessel. Nevertheless, there exists concern that adjunctive use of balloon assistance may lead to increased adverse events during aneurysm coiling. MATERIALS AND METHODS: A literature search of all of the unassisted and balloon-remodeling studies published between 1997 and 2006 was conducted with application of strict selection criteria based on the reporting of complication incidence and outcome. The final cohort was analyzed to determine rates and clinical outcomes of iatrogenic aneurysm rupture and thromboembolism. Additional data were collected on the degree of initial and follow-up aneurysm occlusion rates. RESULTS: A total of 83 potential studies (4973 patients) were identified, from which 23 articles reporting results for 867 traditional-unassisted and 273 balloon-assisted coiled aneurysms met inclusion criteria for the analysis of thromboembolic complications, and 21 articles with 993 routinely coiled and 170 balloon-remodeled aneurysms were eligible for iatrogenic perforation analysis. No statistically significant difference was found in the rates of thromboembolism. Iatrogenic perforation rates were also comparable, though the overall numbers were too few for meaningful statistical analysis. Both initial and follow-up aneurysm occlusion rates were higher in balloon-assisted cases. CONCLUSION: This largest-to-date literature review and meta-analysis did not demonstrate a higher incidence of thromboembolic events or iatrogenic rupture with the use of adjunctive balloon remodeling compared with unassisted coiling. Balloon remodeling appears to result in higher initial and follow-up aneurysm occlusion rates.","author":[{"dropping-particle":"","family":"Shapiro","given":"M.","non-dropping-particle":"","parse-names":false,"suffix":""},{"dropping-particle":"","family":"Babb","given":"J.","non-dropping-particle":"","parse-names":false,"suffix":""},{"dropping-particle":"","family":"Becske","given":"T.","non-dropping-particle":"","parse-names":false,"suffix":""},{"dropping-particle":"","family":"Nelson","given":"Peter Kim","non-dropping-particle":"","parse-names":false,"suffix":""}],"container-title":"American Journal of Neuroradiology","id":"ITEM-1","issue":"9","issued":{"date-parts":[["2008","10","1"]]},"page":"1777-1781","publisher":"American Journal of Neuroradiology","title":"Safety and efficacy of adjunctive balloon remodeling during endovascular treatment of intracranial aneurysms: A literature review","type":"article-journal","volume":"29"},"uris":["http://www.mendeley.com/documents/?uuid=54d4ef80-5ed2-3a76-b60e-5dd6faed6453"]}],"mendeley":{"formattedCitation":"&lt;sup&gt;1&lt;/sup&gt;","plainTextFormattedCitation":"1","previouslyFormattedCitation":"&lt;sup&gt;1&lt;/sup&gt;"},"properties":{"noteIndex":0},"schema":"https://github.com/citation-style-language/schema/raw/master/csl-citation.json"}</w:instrText>
      </w:r>
      <w:r w:rsidRPr="006F2894">
        <w:rPr>
          <w:rFonts w:ascii="Arial" w:hAnsi="Arial" w:cs="Arial"/>
          <w:sz w:val="20"/>
          <w:szCs w:val="20"/>
        </w:rPr>
        <w:fldChar w:fldCharType="separate"/>
      </w:r>
      <w:r w:rsidRPr="006F2894">
        <w:rPr>
          <w:rFonts w:ascii="Arial" w:hAnsi="Arial" w:cs="Arial"/>
          <w:noProof/>
          <w:sz w:val="20"/>
          <w:szCs w:val="20"/>
          <w:vertAlign w:val="superscript"/>
        </w:rPr>
        <w:t>1</w:t>
      </w:r>
      <w:r w:rsidRPr="006F2894">
        <w:rPr>
          <w:rFonts w:ascii="Arial" w:hAnsi="Arial" w:cs="Arial"/>
          <w:sz w:val="20"/>
          <w:szCs w:val="20"/>
        </w:rPr>
        <w:fldChar w:fldCharType="end"/>
      </w:r>
      <w:r w:rsidRPr="006F2894">
        <w:rPr>
          <w:rFonts w:ascii="Arial" w:hAnsi="Arial" w:cs="Arial"/>
          <w:sz w:val="20"/>
          <w:szCs w:val="20"/>
        </w:rPr>
        <w:t>. Intravenous unfractionated heparin(UFH) is recommended during endovascular aneurysm treatment, with a monitored activated clotting time(ACT) of between 200-300</w:t>
      </w:r>
      <w:r w:rsidRPr="006F2894">
        <w:rPr>
          <w:rFonts w:ascii="Arial" w:hAnsi="Arial" w:cs="Arial"/>
          <w:sz w:val="20"/>
          <w:szCs w:val="20"/>
        </w:rPr>
        <w:fldChar w:fldCharType="begin" w:fldLock="1"/>
      </w:r>
      <w:r w:rsidR="00F45134">
        <w:rPr>
          <w:rFonts w:ascii="Arial" w:hAnsi="Arial" w:cs="Arial"/>
          <w:sz w:val="20"/>
          <w:szCs w:val="20"/>
        </w:rPr>
        <w:instrText>ADDIN CSL_CITATION {"citationItems":[{"id":"ITEM-1","itemData":{"DOI":"10.1016/j.ejrad.2013.02.012","ISSN":"18727727","abstract":"The most frequent risk in endovascular aneurysm treatment is thromboembolic complications. Thus adjuvant pharmaceuticals are largely focused on preventing and treating these latter. Additionally symptomatic treatment of subarachnoid hemorrhage (SAH) and treatments to avoid vasospasm will enter into play in cases of ruptured aneurisms. Consensus exists in the literature neither for the necessity of heparin or antiplatelets nor for the doses to be administered. The principles and rationale of the use of these medications are reviewed with a discussion of protocols according with clinical situations and technical choices. © 2013 Elsevier Ireland Ltd.","author":[{"dropping-particle":"","family":"Bracard","given":"S.","non-dropping-particle":"","parse-names":false,"suffix":""},{"dropping-particle":"","family":"Barbier","given":"C.","non-dropping-particle":"","parse-names":false,"suffix":""},{"dropping-particle":"","family":"Derelle","given":"A. L.","non-dropping-particle":"","parse-names":false,"suffix":""},{"dropping-particle":"","family":"Anxionnat","given":"R.","non-dropping-particle":"","parse-names":false,"suffix":""}],"container-title":"European Journal of Radiology","id":"ITEM-1","issue":"10","issued":{"date-parts":[["2013","10","1"]]},"page":"1633-1637","publisher":"Elsevier Ireland Ltd","title":"Endovascular treatment of aneurisms: Pre, intra and post operative management","type":"article-journal","volume":"82"},"uris":["http://www.mendeley.com/documents/?uuid=6ed8eb5c-e40b-3470-92b3-d0b9b943b345"]},{"id":"ITEM-2","itemData":{"DOI":"10.3389/fneur.2011.00083","ISSN":"16642295","abstract":"Antiplatelet resistance is emerging as a significant factor in effective secondary stroke prevention. Prevalence of aspirin and clopidogrel resistance is dependent upon laboratory test and remains contentious. Large studies in cardiovascular disease populations have demonstrated worse ischemic outcomes in patients with antiplatelet resistance, particularly in patients with coronary stents. Thromboembolism is a complication of neurointerventional procedures that leads to stroke. Stroke rates related to aneurysm coiling range from 2 to 10% and may be higher when considering silent ischemia. Stroke associated with carotid stenting is a major cause of morbidity. Antiplatelet use in the periprocedure setting varies among different centers. No guidelines exist for use of antiplatelet regimens in neurointerventional procedures. Incidence of stroke in patients post procedure may be partly explained by resistance to antiplatelet agents. Further research is required to establish the incidence of stroke in patients with antiplatelet resistance undergoing neurointerventional procedures. © 2011 Oxley, Dowling, Mitchell, Davis and Yan.","author":[{"dropping-particle":"","family":"Oxley","given":"Thomas J.","non-dropping-particle":"","parse-names":false,"suffix":""},{"dropping-particle":"","family":"Dowling","given":"Richard J.","non-dropping-particle":"","parse-names":false,"suffix":""},{"dropping-particle":"","family":"Mitchell","given":"Peter J.","non-dropping-particle":"","parse-names":false,"suffix":""},{"dropping-particle":"","family":"Davis","given":"Stephen","non-dropping-particle":"","parse-names":false,"suffix":""},{"dropping-particle":"","family":"Yan","given":"Bernard","non-dropping-particle":"","parse-names":false,"suffix":""}],"container-title":"Frontiers in Neurology","id":"ITEM-2","issued":{"date-parts":[["2011"]]},"publisher":"Frontiers Media SA","title":"Antiplatelet resistance and thromboembolic complications in neurointerventional procedures","type":"article-journal","volume":"DEC"},"uris":["http://www.mendeley.com/documents/?uuid=939eca5b-35cd-3f51-b872-06e1fb0d789d"]}],"mendeley":{"formattedCitation":"&lt;sup&gt;2&lt;/sup&gt;,&lt;sup&gt;3&lt;/sup&gt;","plainTextFormattedCitation":"2,3","previouslyFormattedCitation":"&lt;sup&gt;2&lt;/sup&gt;,&lt;sup&gt;3&lt;/sup&gt;"},"properties":{"noteIndex":0},"schema":"https://github.com/citation-style-language/schema/raw/master/csl-citation.json"}</w:instrText>
      </w:r>
      <w:r w:rsidRPr="006F2894">
        <w:rPr>
          <w:rFonts w:ascii="Arial" w:hAnsi="Arial" w:cs="Arial"/>
          <w:sz w:val="20"/>
          <w:szCs w:val="20"/>
        </w:rPr>
        <w:fldChar w:fldCharType="separate"/>
      </w:r>
      <w:r w:rsidRPr="006F2894">
        <w:rPr>
          <w:rFonts w:ascii="Arial" w:hAnsi="Arial" w:cs="Arial"/>
          <w:noProof/>
          <w:sz w:val="20"/>
          <w:szCs w:val="20"/>
          <w:vertAlign w:val="superscript"/>
        </w:rPr>
        <w:t>2</w:t>
      </w:r>
      <w:r w:rsidRPr="006F2894">
        <w:rPr>
          <w:rFonts w:ascii="Arial" w:hAnsi="Arial" w:cs="Arial"/>
          <w:noProof/>
          <w:sz w:val="20"/>
          <w:szCs w:val="20"/>
        </w:rPr>
        <w:t>,</w:t>
      </w:r>
      <w:r w:rsidRPr="006F2894">
        <w:rPr>
          <w:rFonts w:ascii="Arial" w:hAnsi="Arial" w:cs="Arial"/>
          <w:noProof/>
          <w:sz w:val="20"/>
          <w:szCs w:val="20"/>
          <w:vertAlign w:val="superscript"/>
        </w:rPr>
        <w:t>3</w:t>
      </w:r>
      <w:r w:rsidRPr="006F2894">
        <w:rPr>
          <w:rFonts w:ascii="Arial" w:hAnsi="Arial" w:cs="Arial"/>
          <w:sz w:val="20"/>
          <w:szCs w:val="20"/>
        </w:rPr>
        <w:fldChar w:fldCharType="end"/>
      </w:r>
      <w:r w:rsidRPr="006F2894">
        <w:rPr>
          <w:rFonts w:ascii="Arial" w:hAnsi="Arial" w:cs="Arial"/>
          <w:sz w:val="20"/>
          <w:szCs w:val="20"/>
        </w:rPr>
        <w:t>. Most ischaemic strokes occur between 4 and 12 hours post-procedure</w:t>
      </w:r>
      <w:r w:rsidRPr="006F2894">
        <w:rPr>
          <w:rFonts w:ascii="Arial" w:hAnsi="Arial" w:cs="Arial"/>
          <w:sz w:val="20"/>
          <w:szCs w:val="20"/>
        </w:rPr>
        <w:fldChar w:fldCharType="begin" w:fldLock="1"/>
      </w:r>
      <w:r w:rsidR="00F45134">
        <w:rPr>
          <w:rFonts w:ascii="Arial" w:hAnsi="Arial" w:cs="Arial"/>
          <w:sz w:val="20"/>
          <w:szCs w:val="20"/>
        </w:rPr>
        <w:instrText>ADDIN CSL_CITATION {"citationItems":[{"id":"ITEM-1","itemData":{"abstract":"Object Most patients with asymptomatic intracranial aneurysms treated with endovascular methods are closely observed overnight in an intensive care unit setting for complications, including ischemic and hemorrhagic stroke, cardiac dysfunction, and groin access complications. The purpose of this study was to analyze the timing, nature, and rate of in-house postoperative events. Methods Patients who underwent endovascular treatment or retreatment of unruptured cerebral aneurysms from March 2002 to June 2012 were identified from a prospective case log and their medical records were reviewed. The presentation, patient characteristics, aneurysm size and location, and method of endovascular treatment of each cerebral aneurysm were recorded. Patients with adverse intraprocedural events including perforation and thromboembolism were excluded from this analysis. Overnight postprocedural monitoring was performed in a neurological intensive care unit or postanesthesia care unit for all patients, with discharge planned for postoperative Day 1. Postprocedural events occurring during hospitalization were categorized as intracranial hemorrhage, ischemic stroke, groin hematoma resulting in additional treatment or prolonged hospital stay, retroperitoneal hematoma, and cardiac events. The time from the completion of the procedure to event discovery was recorded. Results A total of 687 endovascular treatments of unruptured cerebral aneurysms were performed. Nine treatments were excluded from our analysis due to intraprocedural events. Endovascular procedures included coiling alone, stent-assisted coiling, balloon-assisted coiling, balloon-assisted embolization with a liquid embolic agent, and placement of a flow diversion device with or without coiling. Twenty-seven treatments (4.0%) resulted in postprocedural complications: 3 intracranial hemorrhages, 6 ischemic strokes, 4 cardiac events, 5 retroperitoneal hematomas, and 9 groin hematomas. The majority (20 [74.0%]) of these 27 complications were detected within 4 hours from the procedure. These included 1 hemorrhage, 4 ischemic strokes, 4 cardiac events, 2 retroperitoneal hematomas, and 9 groin hematomas. All cardiac events and groin hematomas were detected within 4 hours. Four (14%) of the 27 complications were detected between 4 and 12 hours, 1 (3.7%) between 12 and 24 hours, and 2 (7.4%) more than 24 hours after the procedure. The complications detected more than 4 hours from the conclusion of the procedure included 2…","author":[{"dropping-particle":"","family":"Arias","given":"Eric","non-dropping-particle":"","parse-names":false,"suffix":""},{"dropping-particle":"","family":"Patel","given":"Bhuvic","non-dropping-particle":"","parse-names":false,"suffix":""},{"dropping-particle":"","family":"Cross","given":"DeWitte","non-dropping-particle":"","parse-names":false,"suffix":""},{"dropping-particle":"","family":"Moran","given":"Christopher","non-dropping-particle":"","parse-names":false,"suffix":""},{"dropping-particle":"","family":"Dacey Jr","given":"Ralph","non-dropping-particle":"","parse-names":false,"suffix":""},{"dropping-particle":"","family":"Zipfel","given":"Gregory","non-dropping-particle":"","parse-names":false,"suffix":""},{"dropping-particle":"","family":"Derdeyn","given":"Colin P","non-dropping-particle":"","parse-names":false,"suffix":""}],"container-title":"Journal of Neurosurgery","id":"ITEM-1","issue":"5 (Nov 2014)","issued":{"date-parts":[["2014"]]},"page":"1011-1293","title":"Timing and nature of in-house postoperative events following uncomplicated elective endovascular aneurysm treatment","type":"article-journal","volume":"121"},"uris":["http://www.mendeley.com/documents/?uuid=d21be476-024e-32cb-9aa7-8615e56b8ad3"]}],"mendeley":{"formattedCitation":"&lt;sup&gt;4&lt;/sup&gt;","plainTextFormattedCitation":"4","previouslyFormattedCitation":"&lt;sup&gt;4&lt;/sup&gt;"},"properties":{"noteIndex":0},"schema":"https://github.com/citation-style-language/schema/raw/master/csl-citation.json"}</w:instrText>
      </w:r>
      <w:r w:rsidRPr="006F2894">
        <w:rPr>
          <w:rFonts w:ascii="Arial" w:hAnsi="Arial" w:cs="Arial"/>
          <w:sz w:val="20"/>
          <w:szCs w:val="20"/>
        </w:rPr>
        <w:fldChar w:fldCharType="separate"/>
      </w:r>
      <w:r w:rsidRPr="006F2894">
        <w:rPr>
          <w:rFonts w:ascii="Arial" w:hAnsi="Arial" w:cs="Arial"/>
          <w:noProof/>
          <w:sz w:val="20"/>
          <w:szCs w:val="20"/>
          <w:vertAlign w:val="superscript"/>
        </w:rPr>
        <w:t>4</w:t>
      </w:r>
      <w:r w:rsidRPr="006F2894">
        <w:rPr>
          <w:rFonts w:ascii="Arial" w:hAnsi="Arial" w:cs="Arial"/>
          <w:sz w:val="20"/>
          <w:szCs w:val="20"/>
        </w:rPr>
        <w:fldChar w:fldCharType="end"/>
      </w:r>
      <w:r w:rsidRPr="006F2894">
        <w:rPr>
          <w:rFonts w:ascii="Arial" w:hAnsi="Arial" w:cs="Arial"/>
          <w:sz w:val="20"/>
          <w:szCs w:val="20"/>
        </w:rPr>
        <w:t>.The risk of thromboembolic events increases after stenting perioperatively and in the 48hrs post treatment by 10%</w:t>
      </w:r>
      <w:r w:rsidRPr="006F2894">
        <w:rPr>
          <w:rFonts w:ascii="Arial" w:hAnsi="Arial" w:cs="Arial"/>
          <w:sz w:val="20"/>
          <w:szCs w:val="20"/>
        </w:rPr>
        <w:fldChar w:fldCharType="begin" w:fldLock="1"/>
      </w:r>
      <w:r w:rsidR="00F45134">
        <w:rPr>
          <w:rFonts w:ascii="Arial" w:hAnsi="Arial" w:cs="Arial"/>
          <w:sz w:val="20"/>
          <w:szCs w:val="20"/>
        </w:rPr>
        <w:instrText>ADDIN CSL_CITATION {"citationItems":[{"id":"ITEM-1","itemData":{"DOI":"10.1016/j.ejrad.2013.02.012","ISSN":"18727727","abstract":"The most frequent risk in endovascular aneurysm treatment is thromboembolic complications. Thus adjuvant pharmaceuticals are largely focused on preventing and treating these latter. Additionally symptomatic treatment of subarachnoid hemorrhage (SAH) and treatments to avoid vasospasm will enter into play in cases of ruptured aneurisms. Consensus exists in the literature neither for the necessity of heparin or antiplatelets nor for the doses to be administered. The principles and rationale of the use of these medications are reviewed with a discussion of protocols according with clinical situations and technical choices. © 2013 Elsevier Ireland Ltd.","author":[{"dropping-particle":"","family":"Bracard","given":"S.","non-dropping-particle":"","parse-names":false,"suffix":""},{"dropping-particle":"","family":"Barbier","given":"C.","non-dropping-particle":"","parse-names":false,"suffix":""},{"dropping-particle":"","family":"Derelle","given":"A. L.","non-dropping-particle":"","parse-names":false,"suffix":""},{"dropping-particle":"","family":"Anxionnat","given":"R.","non-dropping-particle":"","parse-names":false,"suffix":""}],"container-title":"European Journal of Radiology","id":"ITEM-1","issue":"10","issued":{"date-parts":[["2013","10","1"]]},"page":"1633-1637","publisher":"Elsevier Ireland Ltd","title":"Endovascular treatment of aneurisms: Pre, intra and post operative management","type":"article-journal","volume":"82"},"uris":["http://www.mendeley.com/documents/?uuid=6ed8eb5c-e40b-3470-92b3-d0b9b943b345"]}],"mendeley":{"formattedCitation":"&lt;sup&gt;2&lt;/sup&gt;","plainTextFormattedCitation":"2","previouslyFormattedCitation":"&lt;sup&gt;2&lt;/sup&gt;"},"properties":{"noteIndex":0},"schema":"https://github.com/citation-style-language/schema/raw/master/csl-citation.json"}</w:instrText>
      </w:r>
      <w:r w:rsidRPr="006F2894">
        <w:rPr>
          <w:rFonts w:ascii="Arial" w:hAnsi="Arial" w:cs="Arial"/>
          <w:sz w:val="20"/>
          <w:szCs w:val="20"/>
        </w:rPr>
        <w:fldChar w:fldCharType="separate"/>
      </w:r>
      <w:r w:rsidRPr="006F2894">
        <w:rPr>
          <w:rFonts w:ascii="Arial" w:hAnsi="Arial" w:cs="Arial"/>
          <w:noProof/>
          <w:sz w:val="20"/>
          <w:szCs w:val="20"/>
          <w:vertAlign w:val="superscript"/>
        </w:rPr>
        <w:t>2</w:t>
      </w:r>
      <w:r w:rsidRPr="006F2894">
        <w:rPr>
          <w:rFonts w:ascii="Arial" w:hAnsi="Arial" w:cs="Arial"/>
          <w:sz w:val="20"/>
          <w:szCs w:val="20"/>
        </w:rPr>
        <w:fldChar w:fldCharType="end"/>
      </w:r>
      <w:r w:rsidRPr="006F2894">
        <w:rPr>
          <w:rFonts w:ascii="Arial" w:hAnsi="Arial" w:cs="Arial"/>
          <w:sz w:val="20"/>
          <w:szCs w:val="20"/>
        </w:rPr>
        <w:t>. A cumulative analysis of endovascular coiling demonstrated a reduction in postoperative thromboembolic events with heparin use compared with no heparin use (5.9 vs. 9.3%)</w:t>
      </w:r>
      <w:r w:rsidRPr="006F2894">
        <w:rPr>
          <w:rFonts w:ascii="Arial" w:hAnsi="Arial" w:cs="Arial"/>
          <w:sz w:val="20"/>
          <w:szCs w:val="20"/>
        </w:rPr>
        <w:fldChar w:fldCharType="begin" w:fldLock="1"/>
      </w:r>
      <w:r w:rsidR="00F45134">
        <w:rPr>
          <w:rFonts w:ascii="Arial" w:hAnsi="Arial" w:cs="Arial"/>
          <w:sz w:val="20"/>
          <w:szCs w:val="20"/>
        </w:rPr>
        <w:instrText>ADDIN CSL_CITATION {"citationItems":[{"id":"ITEM-1","itemData":{"DOI":"10.1097/00006123-200006000-00014","ISSN":"0148-396X","abstract":"We reviewed the incidence, risk factors, and clinical features of thromboembolic and ischemic events associated with diagnostic cerebral angiography, endovascular treatment of aneurysms using coils or balloons, angioplasty and stent placement to treat extracranial carotid artery stenosis, and embolization of arteriovenous malformations using glue or other embolic agents. We performed a cumulative analysis to determine the frequency and characteristics of these events and a subset analysis (whenever possible) to determine the benefits of various strategies for complication avoidance. Of the 1547 patients who underwent Guglielmi detachable coil treatment, thromboembolic events were observed for 127 (8.2%), consisting of asymptomatic events for 12 patients, transient ischemic attacks for 29, and strokes for 86. The outcomes for the 86 patients with strokes were categorized as full recovery for 15, good recovery for 27, partial recovery for 19, no recovery for 11, death for 12, and undetermined outcome for 2. Of the 834 patients who underwent carotid angioplasty and stent placement, thromboembolic events were observed for 73 (8.8%), consisting of transient ischemic attacks for 26 patients and strokes for 47. The outcomes for the patients with strokes were categorized as full recovery for 20, good recovery for 15, partial recovery for 6, no recovery for 2, and death for 4. High rates of thromboembolic events were also observed with balloon occlusion of aneurysms (11%) or parent arteries (19%) and carotid angioplasty alone (5.9%). Arteriovenous malformation embolization was associated with an ischemic event/procedure rate of 9.4%. High rates of thromboembolic and ischemic complications, with subsequent morbidity and death, are associated with most endovascular procedures. Further research and the formulation of standard preventive guidelines may help to reduce these risks and improve the overall success of these procedures.","author":[{"dropping-particle":"","family":"Qureshi","given":"Adnan I.","non-dropping-particle":"","parse-names":false,"suffix":""},{"dropping-particle":"","family":"Luft","given":"Andreas R.","non-dropping-particle":"","parse-names":false,"suffix":""},{"dropping-particle":"","family":"Sharma","given":"Mudit","non-dropping-particle":"","parse-names":false,"suffix":""},{"dropping-particle":"","family":"Guterman","given":"Lee R.","non-dropping-particle":"","parse-names":false,"suffix":""},{"dropping-particle":"","family":"Hopkins","given":"L. Nelson","non-dropping-particle":"","parse-names":false,"suffix":""}],"container-title":"Neurosurgery","id":"ITEM-1","issue":"6","issued":{"date-parts":[["2000","6","1"]]},"page":"1360-1376","publisher":"Lippincott Williams and Wilkins","title":"Prevention and Treatment of Thromboembolic and Ischemic Complications Associated with Endovascular Procedures: Part II—Clinical Aspects and Recommendations","type":"article-journal","volume":"46"},"uris":["http://www.mendeley.com/documents/?uuid=bea59b19-15a5-3cf1-946f-3067fd964f7c"]}],"mendeley":{"formattedCitation":"&lt;sup&gt;5&lt;/sup&gt;","plainTextFormattedCitation":"5","previouslyFormattedCitation":"&lt;sup&gt;5&lt;/sup&gt;"},"properties":{"noteIndex":0},"schema":"https://github.com/citation-style-language/schema/raw/master/csl-citation.json"}</w:instrText>
      </w:r>
      <w:r w:rsidRPr="006F2894">
        <w:rPr>
          <w:rFonts w:ascii="Arial" w:hAnsi="Arial" w:cs="Arial"/>
          <w:sz w:val="20"/>
          <w:szCs w:val="20"/>
        </w:rPr>
        <w:fldChar w:fldCharType="separate"/>
      </w:r>
      <w:r w:rsidRPr="006F2894">
        <w:rPr>
          <w:rFonts w:ascii="Arial" w:hAnsi="Arial" w:cs="Arial"/>
          <w:noProof/>
          <w:sz w:val="20"/>
          <w:szCs w:val="20"/>
          <w:vertAlign w:val="superscript"/>
        </w:rPr>
        <w:t>5</w:t>
      </w:r>
      <w:r w:rsidRPr="006F2894">
        <w:rPr>
          <w:rFonts w:ascii="Arial" w:hAnsi="Arial" w:cs="Arial"/>
          <w:sz w:val="20"/>
          <w:szCs w:val="20"/>
        </w:rPr>
        <w:fldChar w:fldCharType="end"/>
      </w:r>
      <w:r w:rsidRPr="006F2894">
        <w:rPr>
          <w:rFonts w:ascii="Arial" w:hAnsi="Arial" w:cs="Arial"/>
          <w:sz w:val="20"/>
          <w:szCs w:val="20"/>
        </w:rPr>
        <w:t xml:space="preserve">. In practice many operators adopt an ad hoc case-by-case approach to post-procedure anticoagulation, based on perceived risk of thromboembolic events. </w:t>
      </w:r>
    </w:p>
    <w:p w14:paraId="63C2E5B3" w14:textId="77777777" w:rsidR="00A9764A" w:rsidRPr="006F2894" w:rsidRDefault="00A9764A" w:rsidP="006F2894">
      <w:pPr>
        <w:spacing w:line="360" w:lineRule="auto"/>
        <w:jc w:val="both"/>
        <w:rPr>
          <w:rFonts w:ascii="Arial" w:hAnsi="Arial" w:cs="Arial"/>
          <w:sz w:val="20"/>
          <w:szCs w:val="20"/>
        </w:rPr>
      </w:pPr>
    </w:p>
    <w:p w14:paraId="46F301C2" w14:textId="040F8858" w:rsidR="00A9764A" w:rsidRPr="006F2894" w:rsidRDefault="00A9764A" w:rsidP="006F2894">
      <w:pPr>
        <w:spacing w:line="360" w:lineRule="auto"/>
        <w:jc w:val="both"/>
        <w:rPr>
          <w:rFonts w:ascii="Arial" w:hAnsi="Arial" w:cs="Arial"/>
          <w:sz w:val="20"/>
          <w:szCs w:val="20"/>
        </w:rPr>
      </w:pPr>
      <w:r w:rsidRPr="006F2894">
        <w:rPr>
          <w:rFonts w:ascii="Arial" w:hAnsi="Arial" w:cs="Arial"/>
          <w:sz w:val="20"/>
          <w:szCs w:val="20"/>
        </w:rPr>
        <w:t xml:space="preserve">In addition, there is a risk of developing clinically </w:t>
      </w:r>
      <w:r w:rsidR="004C716E">
        <w:rPr>
          <w:rFonts w:ascii="Arial" w:hAnsi="Arial" w:cs="Arial"/>
          <w:sz w:val="20"/>
          <w:szCs w:val="20"/>
        </w:rPr>
        <w:t>silent</w:t>
      </w:r>
      <w:r w:rsidRPr="006F2894">
        <w:rPr>
          <w:rFonts w:ascii="Arial" w:hAnsi="Arial" w:cs="Arial"/>
          <w:sz w:val="20"/>
          <w:szCs w:val="20"/>
        </w:rPr>
        <w:t xml:space="preserve"> ischaemic lesions (CSILs), which can be identified as ‘bright spots’ on diffusion weighted imaging (DWI). The overall incidence of DWI lesions post endovascular cerebral aneurysm treatment  has been reported as 49-60%</w:t>
      </w:r>
      <w:r w:rsidRPr="006F2894">
        <w:rPr>
          <w:rFonts w:ascii="Arial" w:hAnsi="Arial" w:cs="Arial"/>
          <w:sz w:val="20"/>
          <w:szCs w:val="20"/>
        </w:rPr>
        <w:fldChar w:fldCharType="begin" w:fldLock="1"/>
      </w:r>
      <w:r w:rsidR="00F45134">
        <w:rPr>
          <w:rFonts w:ascii="Arial" w:hAnsi="Arial" w:cs="Arial"/>
          <w:sz w:val="20"/>
          <w:szCs w:val="20"/>
        </w:rPr>
        <w:instrText>ADDIN CSL_CITATION {"citationItems":[{"id":"ITEM-1","itemData":{"author":[{"dropping-particle":"","family":"Bond","given":"K.M.","non-dropping-particle":"","parse-names":false,"suffix":""},{"dropping-particle":"","family":"Brinjikji","given":"W.","non-dropping-particle":"","parse-names":false,"suffix":""},{"dropping-particle":"","family":"Murad","given":"M.H.","non-dropping-particle":"","parse-names":false,"suffix":""},{"dropping-particle":"","family":"Kallmes","given":"D.F.","non-dropping-particle":"","parse-names":false,"suffix":""},{"dropping-particle":"","family":"Cloft","given":"H.J.","non-dropping-particle":"","parse-names":false,"suffix":""},{"dropping-particle":"","family":"Lanzino","given":"G.","non-dropping-particle":"","parse-names":false,"suffix":""}],"container-title":"American Journal of Neuroradiology","id":"ITEM-1","issue":"2","issued":{"date-parts":[["2017"]]},"title":"Diffusion-Weighted Imaging–Detected Ischemic Lesions following Endovascular Treatment of Cerebral Aneurysms: A Systematic Review and Meta-Analysis","type":"article-journal","volume":"38"},"uris":["http://www.mendeley.com/documents/?uuid=ba129aef-3df5-3ea3-9258-f811abe9ff97"]}],"mendeley":{"formattedCitation":"&lt;sup&gt;6&lt;/sup&gt;","plainTextFormattedCitation":"6","previouslyFormattedCitation":"&lt;sup&gt;6&lt;/sup&gt;"},"properties":{"noteIndex":0},"schema":"https://github.com/citation-style-language/schema/raw/master/csl-citation.json"}</w:instrText>
      </w:r>
      <w:r w:rsidRPr="006F2894">
        <w:rPr>
          <w:rFonts w:ascii="Arial" w:hAnsi="Arial" w:cs="Arial"/>
          <w:sz w:val="20"/>
          <w:szCs w:val="20"/>
        </w:rPr>
        <w:fldChar w:fldCharType="separate"/>
      </w:r>
      <w:r w:rsidRPr="006F2894">
        <w:rPr>
          <w:rFonts w:ascii="Arial" w:hAnsi="Arial" w:cs="Arial"/>
          <w:noProof/>
          <w:sz w:val="20"/>
          <w:szCs w:val="20"/>
          <w:vertAlign w:val="superscript"/>
        </w:rPr>
        <w:t>6</w:t>
      </w:r>
      <w:r w:rsidRPr="006F2894">
        <w:rPr>
          <w:rFonts w:ascii="Arial" w:hAnsi="Arial" w:cs="Arial"/>
          <w:sz w:val="20"/>
          <w:szCs w:val="20"/>
        </w:rPr>
        <w:fldChar w:fldCharType="end"/>
      </w:r>
      <w:r w:rsidRPr="006F2894">
        <w:rPr>
          <w:rFonts w:ascii="Arial" w:hAnsi="Arial" w:cs="Arial"/>
          <w:sz w:val="20"/>
          <w:szCs w:val="20"/>
        </w:rPr>
        <w:t>. The majority appear asymptomatic. However a long-term follow-up study of healthy volunteers by Vermeer et al suggested that CSILs increased the risk of dementia and cognitive decline over a 5-year period</w:t>
      </w:r>
      <w:r w:rsidRPr="006F2894">
        <w:rPr>
          <w:rFonts w:ascii="Arial" w:hAnsi="Arial" w:cs="Arial"/>
          <w:sz w:val="20"/>
          <w:szCs w:val="20"/>
        </w:rPr>
        <w:fldChar w:fldCharType="begin" w:fldLock="1"/>
      </w:r>
      <w:r w:rsidR="00F45134">
        <w:rPr>
          <w:rFonts w:ascii="Arial" w:hAnsi="Arial" w:cs="Arial"/>
          <w:sz w:val="20"/>
          <w:szCs w:val="20"/>
        </w:rPr>
        <w:instrText>ADDIN CSL_CITATION {"citationItems":[{"id":"ITEM-1","itemData":{"DOI":"10.1056/NEJMoa022066","ISSN":"00284793","PMID":"12660385","abstract":"BACKGROUND: Silent brain infarcts are frequently seen on magnetic resonance imaging (MRI) in healthy elderly people and may be associated with dementia and cognitive decline. METHODS: We studied the association between silent brain infarcts and the risk of dementia and cognitive decline in 1015 participants of the prospective, population-based Rotterdarr. Scan Study, who were 60 to 90 years of age and free of dementia and stroke at base line Participants underwent neuropsychological testing and cerebral MRI at base line ir 1995 to 1996 and again in 1999 to 2000 and were monitored for dementia throughout the study period. We performed Cox proportional-hazards and multiple linear-regression analyses, adjusted for age, sex, and level of education and for the presence or absence of subcortical atrophy and white-matter lesions. RESULTS: During 3697 person-years of follow-up (mean per person, 3.6 years), dementia developed in 30 of the 1015 participants. The presence of silent brain infarcts at base line more than doubled the risk of dementia (hazard ratio, 2.26; 95 percent confidence interval, 1.09 to 4.70). The presence of silent brain infarcts on the base-line MRI was associated with worse performance on neuropsychological tests and a steeper decline in global cognitive function. Silent thalamic infarcts were associated with a decline in memory performance, and nonthalamic infarcts with a decline in psychomotor speed. When participants with silent brain infarcts at base line were subdivided into those with and those without additional infarcts at follow-up, the decline in cognitive function was restricted to those with additional silent infarcts. CONCLUSIONS: Elderly people with silent brain infarcts have an increased risk of dementia and a steeper decline in cognitive function than those without such lesions.","author":[{"dropping-particle":"","family":"Vermeer","given":"Sarah E.","non-dropping-particle":"","parse-names":false,"suffix":""},{"dropping-particle":"","family":"Prins","given":"Niels D.","non-dropping-particle":"","parse-names":false,"suffix":""},{"dropping-particle":"","family":"Heijer","given":"Tom","non-dropping-particle":"Den","parse-names":false,"suffix":""},{"dropping-particle":"","family":"Hofman","given":"Albert","non-dropping-particle":"","parse-names":false,"suffix":""},{"dropping-particle":"","family":"Koudstaal","given":"Peter J.","non-dropping-particle":"","parse-names":false,"suffix":""},{"dropping-particle":"","family":"Breteler","given":"Monique M.B.","non-dropping-particle":"","parse-names":false,"suffix":""}],"container-title":"New England Journal of Medicine","id":"ITEM-1","issue":"13","issued":{"date-parts":[["2003","3","27"]]},"page":"1215-1222","title":"Silent brain infarcts and the risk of dementia and cognitive decline","type":"article-journal","volume":"348"},"uris":["http://www.mendeley.com/documents/?uuid=72a515ea-47d7-3061-85b4-1abd044b0db3"]}],"mendeley":{"formattedCitation":"&lt;sup&gt;7&lt;/sup&gt;","plainTextFormattedCitation":"7","previouslyFormattedCitation":"&lt;sup&gt;7&lt;/sup&gt;"},"properties":{"noteIndex":0},"schema":"https://github.com/citation-style-language/schema/raw/master/csl-citation.json"}</w:instrText>
      </w:r>
      <w:r w:rsidRPr="006F2894">
        <w:rPr>
          <w:rFonts w:ascii="Arial" w:hAnsi="Arial" w:cs="Arial"/>
          <w:sz w:val="20"/>
          <w:szCs w:val="20"/>
        </w:rPr>
        <w:fldChar w:fldCharType="separate"/>
      </w:r>
      <w:r w:rsidRPr="006F2894">
        <w:rPr>
          <w:rFonts w:ascii="Arial" w:hAnsi="Arial" w:cs="Arial"/>
          <w:noProof/>
          <w:sz w:val="20"/>
          <w:szCs w:val="20"/>
          <w:vertAlign w:val="superscript"/>
        </w:rPr>
        <w:t>7</w:t>
      </w:r>
      <w:r w:rsidRPr="006F2894">
        <w:rPr>
          <w:rFonts w:ascii="Arial" w:hAnsi="Arial" w:cs="Arial"/>
          <w:sz w:val="20"/>
          <w:szCs w:val="20"/>
        </w:rPr>
        <w:fldChar w:fldCharType="end"/>
      </w:r>
      <w:r w:rsidRPr="006F2894">
        <w:rPr>
          <w:rFonts w:ascii="Arial" w:hAnsi="Arial" w:cs="Arial"/>
          <w:sz w:val="20"/>
          <w:szCs w:val="20"/>
        </w:rPr>
        <w:t>. Conversely Kang et al. (n=40) did not find a significant difference between mean cognitive scores between patients with and without CSILs at 1 and 4 weeks</w:t>
      </w:r>
      <w:r w:rsidRPr="006F2894">
        <w:rPr>
          <w:rFonts w:ascii="Arial" w:hAnsi="Arial" w:cs="Arial"/>
          <w:sz w:val="20"/>
          <w:szCs w:val="20"/>
        </w:rPr>
        <w:fldChar w:fldCharType="begin" w:fldLock="1"/>
      </w:r>
      <w:r w:rsidR="00F45134">
        <w:rPr>
          <w:rFonts w:ascii="Arial" w:hAnsi="Arial" w:cs="Arial"/>
          <w:sz w:val="20"/>
          <w:szCs w:val="20"/>
        </w:rPr>
        <w:instrText>ADDIN CSL_CITATION {"citationItems":[{"id":"ITEM-1","itemData":{"DOI":"10.1227/NEU.0b013e3182846f74","ISSN":"0148396X","abstract":"BACKGROUND: Thromboembolic events are the most common complication after coiling of unruptured intracranial aneurysms (UIAs). However, it remains unclear whether these clinically silent ischemic lesions (CSILs) have any clinical significance. OBJECTIVE: To evaluate cognitive outcome after coil embolization of asymptomatic UIAs and its relationship with CSILs after the procedure. METHODS: We prospectively enrolled 40 UIA patients who showed no new focal neurological deficit after coil embolization. CSILs were assessed with diffusion-weighted imaging (DWI) within 1 day after the procedure. A battery of neuropsychological tests was performed 3 times: preoperatively and postoperatively at 1 and 4 weeks after coil embolization. RESULTS: The incidence of cognitive impairment after coiling in patients with UIAs was 44% (17 of 39) at 1 week and 19% (7 of 37) at 4 weeks after coil embolization. DWI within 1 day after coil embolization revealed that 60% of patients (24 of 40) showed CSILs. However, no significant difference was found in any mean cognitive scores or in the number of cognitively impaired variables between patients with and without CSILs at weeks 1 and 4. Additional correlation analysis revealed no correlations between the number of CSILs on DWI and the cognitive sum z score at both 1 and 4 weeks. CONCLUSION: Exhaustive neuropsychological evaluation of UIA patients who underwent coil embolization demonstrated recovery or improvements from baseline cognitive function after 4 weeks, although some patients still showed cognitive deficits at 4 weeks after the procedure. However, we found no statistically significant relationship between the presence and number of CSILs on DWI and cognitive changes after the procedure. Copyright © 2012 by the Congress of Neurological Surgeons.","author":[{"dropping-particle":"","family":"Kang","given":"Dong Hun","non-dropping-particle":"","parse-names":false,"suffix":""},{"dropping-particle":"","family":"Hwang","given":"Yang Ha","non-dropping-particle":"","parse-names":false,"suffix":""},{"dropping-particle":"","family":"Kim","given":"Yong Sun","non-dropping-particle":"","parse-names":false,"suffix":""},{"dropping-particle":"","family":"Bae","given":"Geum Ye","non-dropping-particle":"","parse-names":false,"suffix":""},{"dropping-particle":"","family":"Lee","given":"Seung Jae","non-dropping-particle":"","parse-names":false,"suffix":""}],"container-title":"Neurosurgery","id":"ITEM-1","issue":"4","issued":{"date-parts":[["2013","4"]]},"page":"638-645","title":"Cognitive outcome and clinically silent thromboembolic events after coiling of asymptomatic unruptured intracranial aneurysms","type":"article-journal","volume":"72"},"uris":["http://www.mendeley.com/documents/?uuid=9861c6f8-ee2d-33cb-93fb-7d119a871c5f"]}],"mendeley":{"formattedCitation":"&lt;sup&gt;8&lt;/sup&gt;","plainTextFormattedCitation":"8","previouslyFormattedCitation":"&lt;sup&gt;8&lt;/sup&gt;"},"properties":{"noteIndex":0},"schema":"https://github.com/citation-style-language/schema/raw/master/csl-citation.json"}</w:instrText>
      </w:r>
      <w:r w:rsidRPr="006F2894">
        <w:rPr>
          <w:rFonts w:ascii="Arial" w:hAnsi="Arial" w:cs="Arial"/>
          <w:sz w:val="20"/>
          <w:szCs w:val="20"/>
        </w:rPr>
        <w:fldChar w:fldCharType="separate"/>
      </w:r>
      <w:r w:rsidRPr="006F2894">
        <w:rPr>
          <w:rFonts w:ascii="Arial" w:hAnsi="Arial" w:cs="Arial"/>
          <w:noProof/>
          <w:sz w:val="20"/>
          <w:szCs w:val="20"/>
          <w:vertAlign w:val="superscript"/>
        </w:rPr>
        <w:t>8</w:t>
      </w:r>
      <w:r w:rsidRPr="006F2894">
        <w:rPr>
          <w:rFonts w:ascii="Arial" w:hAnsi="Arial" w:cs="Arial"/>
          <w:sz w:val="20"/>
          <w:szCs w:val="20"/>
        </w:rPr>
        <w:fldChar w:fldCharType="end"/>
      </w:r>
      <w:r w:rsidRPr="006F2894">
        <w:rPr>
          <w:rFonts w:ascii="Arial" w:hAnsi="Arial" w:cs="Arial"/>
          <w:sz w:val="20"/>
          <w:szCs w:val="20"/>
        </w:rPr>
        <w:t xml:space="preserve">. </w:t>
      </w:r>
    </w:p>
    <w:p w14:paraId="7397415F" w14:textId="77777777" w:rsidR="00A9764A" w:rsidRPr="006F2894" w:rsidRDefault="00A9764A" w:rsidP="006F2894">
      <w:pPr>
        <w:spacing w:line="360" w:lineRule="auto"/>
        <w:jc w:val="both"/>
        <w:rPr>
          <w:rFonts w:ascii="Arial" w:hAnsi="Arial" w:cs="Arial"/>
          <w:sz w:val="20"/>
          <w:szCs w:val="20"/>
        </w:rPr>
      </w:pPr>
    </w:p>
    <w:p w14:paraId="0CB3C7CF" w14:textId="792B9BA0" w:rsidR="00A9764A" w:rsidRPr="006F2894" w:rsidRDefault="00A9764A" w:rsidP="006F2894">
      <w:pPr>
        <w:spacing w:line="360" w:lineRule="auto"/>
        <w:jc w:val="both"/>
        <w:rPr>
          <w:rFonts w:ascii="Arial" w:hAnsi="Arial" w:cs="Arial"/>
          <w:sz w:val="20"/>
          <w:szCs w:val="20"/>
        </w:rPr>
      </w:pPr>
      <w:r w:rsidRPr="006F2894">
        <w:rPr>
          <w:rFonts w:ascii="Arial" w:hAnsi="Arial" w:cs="Arial"/>
          <w:sz w:val="20"/>
          <w:szCs w:val="20"/>
        </w:rPr>
        <w:t>There are conflicting opinions on the risk factors for DWI lesions post neurointervention. A meta-analysis found that flow diversion was associated with a higher rate of thromboembolic complications compared to coiling</w:t>
      </w:r>
      <w:r w:rsidRPr="006F2894">
        <w:rPr>
          <w:rFonts w:ascii="Arial" w:hAnsi="Arial" w:cs="Arial"/>
          <w:sz w:val="20"/>
          <w:szCs w:val="20"/>
        </w:rPr>
        <w:fldChar w:fldCharType="begin" w:fldLock="1"/>
      </w:r>
      <w:r w:rsidR="00F45134">
        <w:rPr>
          <w:rFonts w:ascii="Arial" w:hAnsi="Arial" w:cs="Arial"/>
          <w:sz w:val="20"/>
          <w:szCs w:val="20"/>
        </w:rPr>
        <w:instrText>ADDIN CSL_CITATION {"citationItems":[{"id":"ITEM-1","itemData":{"author":[{"dropping-particle":"","family":"Bond","given":"K.M.","non-dropping-particle":"","parse-names":false,"suffix":""},{"dropping-particle":"","family":"Brinjikji","given":"W.","non-dropping-particle":"","parse-names":false,"suffix":""},{"dropping-particle":"","family":"Murad","given":"M.H.","non-dropping-particle":"","parse-names":false,"suffix":""},{"dropping-particle":"","family":"Kallmes","given":"D.F.","non-dropping-particle":"","parse-names":false,"suffix":""},{"dropping-particle":"","family":"Cloft","given":"H.J.","non-dropping-particle":"","parse-names":false,"suffix":""},{"dropping-particle":"","family":"Lanzino","given":"G.","non-dropping-particle":"","parse-names":false,"suffix":""}],"container-title":"American Journal of Neuroradiology","id":"ITEM-1","issue":"2","issued":{"date-parts":[["2017"]]},"title":"Diffusion-Weighted Imaging–Detected Ischemic Lesions following Endovascular Treatment of Cerebral Aneurysms: A Systematic Review and Meta-Analysis","type":"article-journal","volume":"38"},"uris":["http://www.mendeley.com/documents/?uuid=ba129aef-3df5-3ea3-9258-f811abe9ff97"]}],"mendeley":{"formattedCitation":"&lt;sup&gt;6&lt;/sup&gt;","plainTextFormattedCitation":"6","previouslyFormattedCitation":"&lt;sup&gt;6&lt;/sup&gt;"},"properties":{"noteIndex":0},"schema":"https://github.com/citation-style-language/schema/raw/master/csl-citation.json"}</w:instrText>
      </w:r>
      <w:r w:rsidRPr="006F2894">
        <w:rPr>
          <w:rFonts w:ascii="Arial" w:hAnsi="Arial" w:cs="Arial"/>
          <w:sz w:val="20"/>
          <w:szCs w:val="20"/>
        </w:rPr>
        <w:fldChar w:fldCharType="separate"/>
      </w:r>
      <w:r w:rsidRPr="006F2894">
        <w:rPr>
          <w:rFonts w:ascii="Arial" w:hAnsi="Arial" w:cs="Arial"/>
          <w:noProof/>
          <w:sz w:val="20"/>
          <w:szCs w:val="20"/>
          <w:vertAlign w:val="superscript"/>
        </w:rPr>
        <w:t>6</w:t>
      </w:r>
      <w:r w:rsidRPr="006F2894">
        <w:rPr>
          <w:rFonts w:ascii="Arial" w:hAnsi="Arial" w:cs="Arial"/>
          <w:sz w:val="20"/>
          <w:szCs w:val="20"/>
        </w:rPr>
        <w:fldChar w:fldCharType="end"/>
      </w:r>
      <w:r w:rsidRPr="006F2894">
        <w:rPr>
          <w:rFonts w:ascii="Arial" w:hAnsi="Arial" w:cs="Arial"/>
          <w:sz w:val="20"/>
          <w:szCs w:val="20"/>
        </w:rPr>
        <w:t>.  The limitations of many studies in post-procedure DWI lesions include being retrospective and non-randomised</w:t>
      </w:r>
      <w:r w:rsidRPr="006F2894">
        <w:rPr>
          <w:rFonts w:ascii="Arial" w:hAnsi="Arial" w:cs="Arial"/>
          <w:sz w:val="20"/>
          <w:szCs w:val="20"/>
        </w:rPr>
        <w:fldChar w:fldCharType="begin" w:fldLock="1"/>
      </w:r>
      <w:r w:rsidR="00F45134">
        <w:rPr>
          <w:rFonts w:ascii="Arial" w:hAnsi="Arial" w:cs="Arial"/>
          <w:sz w:val="20"/>
          <w:szCs w:val="20"/>
        </w:rPr>
        <w:instrText>ADDIN CSL_CITATION {"citationItems":[{"id":"ITEM-1","itemData":{"DOI":"10.3171/2015.3.JNS142835","ISSN":"19330693","abstract":"Objective The incidence and risk factors of microembolic lesions on MR diffusion-weighted imaging (DWI) were analyzed after the endovascular coiling of unruptured intracranial aneurysms (UIAs). Methods Data obtained from 271 consecutive patients (70 men and 201 women; median age 57 years; range 23-79 years) who presented with UIA for coil embolization between July 2011 and June 2013 were analyzed. Two independent reviewers examined the DWI and apparent diffusion coefficient maps obtained the following day for the presence of restrictive diffusion spots and counted the number of spots. Multivariate analysis was then performed to identify independent risk factors for developing microembolism following the coiling of an aneurysm. Results Microembolic lesions were noted in 101 of 271 patients (37.3%). The results of the multivariate analysis showed that the following factors significantly influenced the risk for microembolism: age, diabetes, previous history of ischemic stroke, high-signal FLAIR lesions in the white matter, multiple aneurysms, and the insertion of an Enterprise stent (all ORs &gt; 1.0 and all p values &lt; 0.05). Previously known risk factors such as prolonged procedure duration, aneurysm size, and decreased antiplatelet function did not show any significant influence. Conclusions The incidence of microembolism after endovascular coiling of UIA was not low. Lesions occurred more frequently in patients with vascular status associated with old age, diabetes, and previous stroke. Aneurysm multiplicity and the type of stent used for treatment also influenced lesion occurrence.","author":[{"dropping-particle":"","family":"Park","given":"Jung Cheol","non-dropping-particle":"","parse-names":false,"suffix":""},{"dropping-particle":"","family":"Lee","given":"Deok Hee","non-dropping-particle":"","parse-names":false,"suffix":""},{"dropping-particle":"","family":"Kim","given":"Jae Kyun","non-dropping-particle":"","parse-names":false,"suffix":""},{"dropping-particle":"","family":"Ahn","given":"Jae Sung","non-dropping-particle":"","parse-names":false,"suffix":""},{"dropping-particle":"","family":"Kwun","given":"Byung Duk","non-dropping-particle":"","parse-names":false,"suffix":""},{"dropping-particle":"","family":"Kim","given":"Dae Yoon","non-dropping-particle":"","parse-names":false,"suffix":""},{"dropping-particle":"","family":"Choi","given":"Choong Gon","non-dropping-particle":"","parse-names":false,"suffix":""}],"container-title":"Journal of Neurosurgery","id":"ITEM-1","issue":"3","issued":{"date-parts":[["2016","3","1"]]},"page":"777-783","publisher":"American Association of Neurological Surgeons","title":"Microembolism after endovascular coiling of unruptured cerebral aneurysms: Incidence and risk factors","type":"article-journal","volume":"124"},"uris":["http://www.mendeley.com/documents/?uuid=8933fa2e-a0d0-3088-9a43-1ac099fbbe97"]}],"mendeley":{"formattedCitation":"&lt;sup&gt;9&lt;/sup&gt;","plainTextFormattedCitation":"9","previouslyFormattedCitation":"&lt;sup&gt;9&lt;/sup&gt;"},"properties":{"noteIndex":0},"schema":"https://github.com/citation-style-language/schema/raw/master/csl-citation.json"}</w:instrText>
      </w:r>
      <w:r w:rsidRPr="006F2894">
        <w:rPr>
          <w:rFonts w:ascii="Arial" w:hAnsi="Arial" w:cs="Arial"/>
          <w:sz w:val="20"/>
          <w:szCs w:val="20"/>
        </w:rPr>
        <w:fldChar w:fldCharType="separate"/>
      </w:r>
      <w:r w:rsidRPr="006F2894">
        <w:rPr>
          <w:rFonts w:ascii="Arial" w:hAnsi="Arial" w:cs="Arial"/>
          <w:noProof/>
          <w:sz w:val="20"/>
          <w:szCs w:val="20"/>
          <w:vertAlign w:val="superscript"/>
        </w:rPr>
        <w:t>9</w:t>
      </w:r>
      <w:r w:rsidRPr="006F2894">
        <w:rPr>
          <w:rFonts w:ascii="Arial" w:hAnsi="Arial" w:cs="Arial"/>
          <w:sz w:val="20"/>
          <w:szCs w:val="20"/>
        </w:rPr>
        <w:fldChar w:fldCharType="end"/>
      </w:r>
      <w:r w:rsidRPr="006F2894">
        <w:rPr>
          <w:rFonts w:ascii="Arial" w:hAnsi="Arial" w:cs="Arial"/>
          <w:sz w:val="20"/>
          <w:szCs w:val="20"/>
        </w:rPr>
        <w:t xml:space="preserve">, and lacking pre-procedure imaging.  </w:t>
      </w:r>
    </w:p>
    <w:p w14:paraId="6805120F" w14:textId="77777777" w:rsidR="00A9764A" w:rsidRPr="006F2894" w:rsidRDefault="00A9764A" w:rsidP="006F2894">
      <w:pPr>
        <w:spacing w:line="360" w:lineRule="auto"/>
        <w:jc w:val="both"/>
        <w:rPr>
          <w:rFonts w:ascii="Arial" w:hAnsi="Arial" w:cs="Arial"/>
          <w:sz w:val="20"/>
          <w:szCs w:val="20"/>
        </w:rPr>
      </w:pPr>
    </w:p>
    <w:p w14:paraId="2592BCB1" w14:textId="77777777" w:rsidR="00A9764A" w:rsidRPr="006F2894" w:rsidRDefault="00A9764A" w:rsidP="006F2894">
      <w:pPr>
        <w:spacing w:line="360" w:lineRule="auto"/>
        <w:jc w:val="both"/>
        <w:rPr>
          <w:rFonts w:ascii="Arial" w:hAnsi="Arial" w:cs="Arial"/>
          <w:sz w:val="20"/>
          <w:szCs w:val="20"/>
        </w:rPr>
      </w:pPr>
      <w:r w:rsidRPr="006F2894">
        <w:rPr>
          <w:rFonts w:ascii="Arial" w:hAnsi="Arial" w:cs="Arial"/>
          <w:sz w:val="20"/>
          <w:szCs w:val="20"/>
        </w:rPr>
        <w:t>Our randomised prospective trial (EPPICS) comparing standard of care unfractionated heparin infusion (UFH) post procedure with either enoxaparin 1.5mg/kg at T=0 or enoxaparin 1.5mg/kg at T=0 and T=12h had a primary outcome measure of therapeutic anticoagulation at T=4hrs. Only 11% of the UFH group were within the therapeutic range compared with the two enoxaparin arms (p&lt;0.001). For the secondary outcome of puncture site complications there were no differences between UFH and the lower dose of enoxaparin, but the higher dose had an odds ratio of developing puncture site complications of 3 compared with UFH. Fewer new DWI lesions were noted in the higher dose enoxaparin group compared to UFH (p&lt;0.01).</w:t>
      </w:r>
    </w:p>
    <w:p w14:paraId="095D93B8" w14:textId="77777777" w:rsidR="00A9764A" w:rsidRPr="006F2894" w:rsidRDefault="00A9764A" w:rsidP="006F2894">
      <w:pPr>
        <w:spacing w:line="360" w:lineRule="auto"/>
        <w:jc w:val="both"/>
        <w:rPr>
          <w:rFonts w:ascii="Arial" w:hAnsi="Arial" w:cs="Arial"/>
          <w:sz w:val="20"/>
          <w:szCs w:val="20"/>
        </w:rPr>
      </w:pPr>
    </w:p>
    <w:p w14:paraId="50512D5A" w14:textId="65F89CE9" w:rsidR="00A9764A" w:rsidRPr="006F2894" w:rsidRDefault="00A9764A" w:rsidP="006F2894">
      <w:pPr>
        <w:pBdr>
          <w:bottom w:val="single" w:sz="6" w:space="1" w:color="auto"/>
        </w:pBdr>
        <w:spacing w:line="360" w:lineRule="auto"/>
        <w:jc w:val="both"/>
        <w:rPr>
          <w:rFonts w:ascii="Arial" w:hAnsi="Arial" w:cs="Arial"/>
          <w:bCs/>
          <w:sz w:val="20"/>
          <w:szCs w:val="20"/>
        </w:rPr>
      </w:pPr>
      <w:r w:rsidRPr="006F2894">
        <w:rPr>
          <w:rFonts w:ascii="Arial" w:hAnsi="Arial" w:cs="Arial"/>
          <w:sz w:val="20"/>
          <w:szCs w:val="20"/>
        </w:rPr>
        <w:t xml:space="preserve">There is a clear and significant benefit to using enoxaparin over unfractionated heparin in terms of therapeutic anticoagulation. The purpose of this study is to determine whether the two dose regimes of </w:t>
      </w:r>
      <w:r w:rsidRPr="006F2894">
        <w:rPr>
          <w:rFonts w:ascii="Arial" w:hAnsi="Arial" w:cs="Arial"/>
          <w:sz w:val="20"/>
          <w:szCs w:val="20"/>
        </w:rPr>
        <w:lastRenderedPageBreak/>
        <w:t>enoxaparin differ in terms of post procedural DWI lesions (thromboembolic events) and puncture site complications.</w:t>
      </w:r>
    </w:p>
    <w:p w14:paraId="670445E7" w14:textId="77777777" w:rsidR="00442555" w:rsidRPr="00A9764A" w:rsidRDefault="00442555" w:rsidP="007A3A88">
      <w:pPr>
        <w:pBdr>
          <w:bottom w:val="single" w:sz="6" w:space="1" w:color="auto"/>
        </w:pBdr>
        <w:spacing w:line="360" w:lineRule="auto"/>
        <w:jc w:val="both"/>
        <w:rPr>
          <w:rFonts w:ascii="Arial" w:hAnsi="Arial"/>
          <w:bCs/>
          <w:sz w:val="20"/>
          <w:szCs w:val="20"/>
        </w:rPr>
      </w:pPr>
    </w:p>
    <w:p w14:paraId="0B3A739F" w14:textId="77777777" w:rsidR="006438F5" w:rsidRDefault="006438F5" w:rsidP="007A3A88">
      <w:pPr>
        <w:pBdr>
          <w:bottom w:val="single" w:sz="6" w:space="1" w:color="auto"/>
        </w:pBdr>
        <w:spacing w:line="360" w:lineRule="auto"/>
        <w:jc w:val="both"/>
        <w:rPr>
          <w:rFonts w:ascii="Arial" w:hAnsi="Arial"/>
          <w:b/>
          <w:sz w:val="20"/>
          <w:szCs w:val="20"/>
        </w:rPr>
      </w:pPr>
    </w:p>
    <w:p w14:paraId="4B2A0FAE" w14:textId="77777777" w:rsidR="006E55AB" w:rsidRDefault="006E55AB" w:rsidP="007A3A88">
      <w:pPr>
        <w:spacing w:line="360" w:lineRule="auto"/>
        <w:jc w:val="both"/>
        <w:rPr>
          <w:rFonts w:ascii="Arial" w:hAnsi="Arial"/>
          <w:b/>
          <w:sz w:val="20"/>
          <w:szCs w:val="20"/>
        </w:rPr>
      </w:pPr>
    </w:p>
    <w:p w14:paraId="047B3FB3" w14:textId="119B3143" w:rsidR="009704BE" w:rsidRDefault="003D26F8" w:rsidP="007A3A88">
      <w:pPr>
        <w:spacing w:line="360" w:lineRule="auto"/>
        <w:jc w:val="both"/>
        <w:rPr>
          <w:rFonts w:ascii="Arial" w:hAnsi="Arial"/>
          <w:b/>
          <w:color w:val="31849B" w:themeColor="accent5" w:themeShade="BF"/>
          <w:sz w:val="20"/>
          <w:szCs w:val="20"/>
        </w:rPr>
      </w:pPr>
      <w:r>
        <w:rPr>
          <w:rFonts w:ascii="Arial" w:hAnsi="Arial"/>
          <w:b/>
          <w:color w:val="31849B" w:themeColor="accent5" w:themeShade="BF"/>
          <w:sz w:val="20"/>
          <w:szCs w:val="20"/>
        </w:rPr>
        <w:t>Aims /</w:t>
      </w:r>
      <w:r w:rsidR="009704BE" w:rsidRPr="00096021">
        <w:rPr>
          <w:rFonts w:ascii="Arial" w:hAnsi="Arial"/>
          <w:b/>
          <w:color w:val="31849B" w:themeColor="accent5" w:themeShade="BF"/>
          <w:sz w:val="20"/>
          <w:szCs w:val="20"/>
        </w:rPr>
        <w:t xml:space="preserve"> </w:t>
      </w:r>
      <w:r>
        <w:rPr>
          <w:rFonts w:ascii="Arial" w:hAnsi="Arial"/>
          <w:b/>
          <w:color w:val="31849B" w:themeColor="accent5" w:themeShade="BF"/>
          <w:sz w:val="20"/>
          <w:szCs w:val="20"/>
        </w:rPr>
        <w:t>O</w:t>
      </w:r>
      <w:r w:rsidR="009704BE" w:rsidRPr="00096021">
        <w:rPr>
          <w:rFonts w:ascii="Arial" w:hAnsi="Arial"/>
          <w:b/>
          <w:color w:val="31849B" w:themeColor="accent5" w:themeShade="BF"/>
          <w:sz w:val="20"/>
          <w:szCs w:val="20"/>
        </w:rPr>
        <w:t>bjectives</w:t>
      </w:r>
    </w:p>
    <w:p w14:paraId="7A9591E9" w14:textId="5E1DAA29" w:rsidR="007904CC" w:rsidRPr="007F5E90" w:rsidRDefault="007904CC" w:rsidP="007A3A88">
      <w:pPr>
        <w:spacing w:line="360" w:lineRule="auto"/>
        <w:jc w:val="both"/>
        <w:rPr>
          <w:rFonts w:ascii="Arial" w:hAnsi="Arial"/>
          <w:sz w:val="20"/>
          <w:szCs w:val="20"/>
        </w:rPr>
      </w:pPr>
      <w:r w:rsidRPr="007F5E90">
        <w:rPr>
          <w:rFonts w:ascii="Arial" w:hAnsi="Arial"/>
          <w:sz w:val="20"/>
          <w:szCs w:val="20"/>
        </w:rPr>
        <w:t xml:space="preserve">Patients undergoing elective endovascular aneurysm treatments will be divided into </w:t>
      </w:r>
      <w:r w:rsidR="008D6853">
        <w:rPr>
          <w:rFonts w:ascii="Arial" w:hAnsi="Arial"/>
          <w:sz w:val="20"/>
          <w:szCs w:val="20"/>
        </w:rPr>
        <w:t>two</w:t>
      </w:r>
      <w:r w:rsidRPr="007F5E90">
        <w:rPr>
          <w:rFonts w:ascii="Arial" w:hAnsi="Arial"/>
          <w:sz w:val="20"/>
          <w:szCs w:val="20"/>
        </w:rPr>
        <w:t xml:space="preserve"> anticoagulation ‘arms’, each with a differing anticoagulation regimen. Outcomes between these groups will be assessed with respect to the following </w:t>
      </w:r>
      <w:r w:rsidR="00251020">
        <w:rPr>
          <w:rFonts w:ascii="Arial" w:hAnsi="Arial"/>
          <w:sz w:val="20"/>
          <w:szCs w:val="20"/>
        </w:rPr>
        <w:t>outcomes</w:t>
      </w:r>
      <w:r w:rsidRPr="007F5E90">
        <w:rPr>
          <w:rFonts w:ascii="Arial" w:hAnsi="Arial"/>
          <w:sz w:val="20"/>
          <w:szCs w:val="20"/>
        </w:rPr>
        <w:t>:</w:t>
      </w:r>
    </w:p>
    <w:p w14:paraId="72062EBA" w14:textId="77777777" w:rsidR="007904CC" w:rsidRPr="00096021" w:rsidRDefault="007904CC" w:rsidP="007A3A88">
      <w:pPr>
        <w:spacing w:line="360" w:lineRule="auto"/>
        <w:jc w:val="both"/>
        <w:rPr>
          <w:rFonts w:ascii="Arial" w:hAnsi="Arial"/>
          <w:b/>
          <w:color w:val="31849B" w:themeColor="accent5" w:themeShade="BF"/>
          <w:sz w:val="20"/>
          <w:szCs w:val="20"/>
        </w:rPr>
      </w:pPr>
    </w:p>
    <w:p w14:paraId="0910F352" w14:textId="00AED547" w:rsidR="00224F64" w:rsidRDefault="00224F64" w:rsidP="00224F64">
      <w:pPr>
        <w:spacing w:line="360" w:lineRule="auto"/>
        <w:jc w:val="both"/>
        <w:rPr>
          <w:rFonts w:ascii="Arial" w:hAnsi="Arial"/>
          <w:i/>
          <w:sz w:val="20"/>
          <w:szCs w:val="20"/>
        </w:rPr>
      </w:pPr>
      <w:r w:rsidRPr="00A125F2">
        <w:rPr>
          <w:rFonts w:ascii="Arial" w:hAnsi="Arial"/>
          <w:i/>
          <w:sz w:val="20"/>
          <w:szCs w:val="20"/>
        </w:rPr>
        <w:t>Primary</w:t>
      </w:r>
      <w:r w:rsidR="00B348D5">
        <w:rPr>
          <w:rFonts w:ascii="Arial" w:hAnsi="Arial"/>
          <w:i/>
          <w:sz w:val="20"/>
          <w:szCs w:val="20"/>
        </w:rPr>
        <w:t xml:space="preserve"> outcome</w:t>
      </w:r>
    </w:p>
    <w:p w14:paraId="3DA549E7" w14:textId="13C17FAC" w:rsidR="00224F64" w:rsidRDefault="00795E42" w:rsidP="007A3A88">
      <w:pPr>
        <w:spacing w:line="360" w:lineRule="auto"/>
        <w:jc w:val="both"/>
        <w:rPr>
          <w:rFonts w:ascii="Arial" w:hAnsi="Arial"/>
          <w:sz w:val="20"/>
          <w:szCs w:val="20"/>
        </w:rPr>
      </w:pPr>
      <w:r>
        <w:rPr>
          <w:rFonts w:ascii="Arial" w:hAnsi="Arial"/>
          <w:sz w:val="20"/>
          <w:szCs w:val="20"/>
        </w:rPr>
        <w:t xml:space="preserve">The proportion of patients </w:t>
      </w:r>
      <w:r w:rsidR="002F48C6">
        <w:rPr>
          <w:rFonts w:ascii="Arial" w:hAnsi="Arial"/>
          <w:sz w:val="20"/>
          <w:szCs w:val="20"/>
        </w:rPr>
        <w:t xml:space="preserve">per group </w:t>
      </w:r>
      <w:r w:rsidR="00F8684D">
        <w:rPr>
          <w:rFonts w:ascii="Arial" w:hAnsi="Arial"/>
          <w:sz w:val="20"/>
          <w:szCs w:val="20"/>
        </w:rPr>
        <w:t xml:space="preserve">who develop </w:t>
      </w:r>
      <w:r w:rsidR="001862FC">
        <w:rPr>
          <w:rFonts w:ascii="Arial" w:hAnsi="Arial"/>
          <w:sz w:val="20"/>
          <w:szCs w:val="20"/>
        </w:rPr>
        <w:t xml:space="preserve">thromboembolic </w:t>
      </w:r>
      <w:r w:rsidR="000A37EB">
        <w:rPr>
          <w:rFonts w:ascii="Arial" w:hAnsi="Arial"/>
          <w:sz w:val="20"/>
          <w:szCs w:val="20"/>
        </w:rPr>
        <w:t>events</w:t>
      </w:r>
      <w:r w:rsidR="001862FC">
        <w:rPr>
          <w:rFonts w:ascii="Arial" w:hAnsi="Arial"/>
          <w:sz w:val="20"/>
          <w:szCs w:val="20"/>
        </w:rPr>
        <w:t xml:space="preserve"> detected</w:t>
      </w:r>
      <w:r w:rsidR="009E69EE">
        <w:rPr>
          <w:rFonts w:ascii="Arial" w:hAnsi="Arial"/>
          <w:sz w:val="20"/>
          <w:szCs w:val="20"/>
        </w:rPr>
        <w:t xml:space="preserve"> </w:t>
      </w:r>
      <w:r w:rsidR="004073D4">
        <w:rPr>
          <w:rFonts w:ascii="Arial" w:hAnsi="Arial"/>
          <w:sz w:val="20"/>
          <w:szCs w:val="20"/>
        </w:rPr>
        <w:t>as lesions on</w:t>
      </w:r>
      <w:r w:rsidR="009E69EE">
        <w:rPr>
          <w:rFonts w:ascii="Arial" w:hAnsi="Arial"/>
          <w:sz w:val="20"/>
          <w:szCs w:val="20"/>
        </w:rPr>
        <w:t xml:space="preserve"> DWI </w:t>
      </w:r>
      <w:r w:rsidR="004E7EF3">
        <w:rPr>
          <w:rFonts w:ascii="Arial" w:hAnsi="Arial"/>
          <w:sz w:val="20"/>
          <w:szCs w:val="20"/>
        </w:rPr>
        <w:t xml:space="preserve">MRI </w:t>
      </w:r>
      <w:r w:rsidR="00752784">
        <w:rPr>
          <w:rFonts w:ascii="Arial" w:hAnsi="Arial"/>
          <w:sz w:val="20"/>
          <w:szCs w:val="20"/>
        </w:rPr>
        <w:t xml:space="preserve">within 48 hours </w:t>
      </w:r>
      <w:r w:rsidR="00EC1612">
        <w:rPr>
          <w:rFonts w:ascii="Arial" w:hAnsi="Arial"/>
          <w:sz w:val="20"/>
          <w:szCs w:val="20"/>
        </w:rPr>
        <w:t xml:space="preserve">post </w:t>
      </w:r>
      <w:r w:rsidR="005E2859">
        <w:rPr>
          <w:rFonts w:ascii="Arial" w:hAnsi="Arial"/>
          <w:sz w:val="20"/>
          <w:szCs w:val="20"/>
        </w:rPr>
        <w:t>endovascular treatment of intracranial aneurysm</w:t>
      </w:r>
      <w:r w:rsidR="00503838">
        <w:rPr>
          <w:rFonts w:ascii="Arial" w:hAnsi="Arial"/>
          <w:sz w:val="20"/>
          <w:szCs w:val="20"/>
        </w:rPr>
        <w:t>s</w:t>
      </w:r>
      <w:r w:rsidR="009448ED">
        <w:rPr>
          <w:rFonts w:ascii="Arial" w:hAnsi="Arial"/>
          <w:sz w:val="20"/>
          <w:szCs w:val="20"/>
        </w:rPr>
        <w:t xml:space="preserve"> </w:t>
      </w:r>
    </w:p>
    <w:p w14:paraId="1EF31FDE" w14:textId="453BAA52" w:rsidR="009448ED" w:rsidRDefault="009448ED" w:rsidP="009448ED">
      <w:pPr>
        <w:pStyle w:val="ListParagraph"/>
        <w:numPr>
          <w:ilvl w:val="0"/>
          <w:numId w:val="12"/>
        </w:numPr>
        <w:spacing w:line="360" w:lineRule="auto"/>
        <w:jc w:val="both"/>
        <w:rPr>
          <w:rFonts w:ascii="Arial" w:hAnsi="Arial"/>
          <w:sz w:val="20"/>
          <w:szCs w:val="20"/>
        </w:rPr>
      </w:pPr>
      <w:r>
        <w:rPr>
          <w:rFonts w:ascii="Arial" w:hAnsi="Arial"/>
          <w:sz w:val="20"/>
          <w:szCs w:val="20"/>
        </w:rPr>
        <w:t xml:space="preserve">Thromboembolic </w:t>
      </w:r>
      <w:r w:rsidR="000A37EB">
        <w:rPr>
          <w:rFonts w:ascii="Arial" w:hAnsi="Arial"/>
          <w:sz w:val="20"/>
          <w:szCs w:val="20"/>
        </w:rPr>
        <w:t xml:space="preserve">events </w:t>
      </w:r>
      <w:r w:rsidR="00000819">
        <w:rPr>
          <w:rFonts w:ascii="Arial" w:hAnsi="Arial"/>
          <w:sz w:val="20"/>
          <w:szCs w:val="20"/>
        </w:rPr>
        <w:t>will be further characteri</w:t>
      </w:r>
      <w:r w:rsidR="007C7002">
        <w:rPr>
          <w:rFonts w:ascii="Arial" w:hAnsi="Arial"/>
          <w:sz w:val="20"/>
          <w:szCs w:val="20"/>
        </w:rPr>
        <w:t>se</w:t>
      </w:r>
      <w:r w:rsidR="00000819">
        <w:rPr>
          <w:rFonts w:ascii="Arial" w:hAnsi="Arial"/>
          <w:sz w:val="20"/>
          <w:szCs w:val="20"/>
        </w:rPr>
        <w:t>d as clinically evident or clinically silent</w:t>
      </w:r>
      <w:r w:rsidR="005C39AE">
        <w:rPr>
          <w:rFonts w:ascii="Arial" w:hAnsi="Arial"/>
          <w:sz w:val="20"/>
          <w:szCs w:val="20"/>
        </w:rPr>
        <w:t xml:space="preserve"> </w:t>
      </w:r>
      <w:r>
        <w:rPr>
          <w:rFonts w:ascii="Arial" w:hAnsi="Arial"/>
          <w:sz w:val="20"/>
          <w:szCs w:val="20"/>
        </w:rPr>
        <w:t xml:space="preserve"> </w:t>
      </w:r>
    </w:p>
    <w:p w14:paraId="30EF6324" w14:textId="3D35C766" w:rsidR="000D6C9E" w:rsidRDefault="000D6C9E" w:rsidP="000D6C9E">
      <w:pPr>
        <w:pStyle w:val="ListParagraph"/>
        <w:numPr>
          <w:ilvl w:val="1"/>
          <w:numId w:val="12"/>
        </w:numPr>
        <w:spacing w:line="360" w:lineRule="auto"/>
        <w:jc w:val="both"/>
        <w:rPr>
          <w:rFonts w:ascii="Arial" w:hAnsi="Arial"/>
          <w:sz w:val="20"/>
          <w:szCs w:val="20"/>
        </w:rPr>
      </w:pPr>
      <w:r>
        <w:rPr>
          <w:rFonts w:ascii="Arial" w:hAnsi="Arial"/>
          <w:sz w:val="20"/>
          <w:szCs w:val="20"/>
        </w:rPr>
        <w:t>Clinically evident ischaemic lesion (CEIL)</w:t>
      </w:r>
      <w:r w:rsidR="00B82EA8">
        <w:rPr>
          <w:rFonts w:ascii="Arial" w:hAnsi="Arial"/>
          <w:sz w:val="20"/>
          <w:szCs w:val="20"/>
        </w:rPr>
        <w:t xml:space="preserve"> – Defined as the presence of </w:t>
      </w:r>
      <w:r w:rsidR="00EC4383">
        <w:rPr>
          <w:rFonts w:ascii="Arial" w:hAnsi="Arial"/>
          <w:sz w:val="20"/>
          <w:szCs w:val="20"/>
        </w:rPr>
        <w:t xml:space="preserve">new DWI brain lesions AND </w:t>
      </w:r>
      <w:r w:rsidR="00FD0323">
        <w:rPr>
          <w:rFonts w:ascii="Arial" w:hAnsi="Arial"/>
          <w:sz w:val="20"/>
          <w:szCs w:val="20"/>
        </w:rPr>
        <w:t>an acute event of cerebrovascular origin causing focal or global neurological dysfunction, lasting either &lt;24 hours (</w:t>
      </w:r>
      <w:r w:rsidR="00855033">
        <w:rPr>
          <w:rFonts w:ascii="Arial" w:hAnsi="Arial"/>
          <w:sz w:val="20"/>
          <w:szCs w:val="20"/>
        </w:rPr>
        <w:t>TIA) or &gt;24 hours</w:t>
      </w:r>
    </w:p>
    <w:p w14:paraId="532F5C36" w14:textId="64AC7104" w:rsidR="00855033" w:rsidRPr="009448ED" w:rsidRDefault="00855033" w:rsidP="000D6C9E">
      <w:pPr>
        <w:pStyle w:val="ListParagraph"/>
        <w:numPr>
          <w:ilvl w:val="1"/>
          <w:numId w:val="12"/>
        </w:numPr>
        <w:spacing w:line="360" w:lineRule="auto"/>
        <w:jc w:val="both"/>
        <w:rPr>
          <w:rFonts w:ascii="Arial" w:hAnsi="Arial"/>
          <w:sz w:val="20"/>
          <w:szCs w:val="20"/>
        </w:rPr>
      </w:pPr>
      <w:r>
        <w:rPr>
          <w:rFonts w:ascii="Arial" w:hAnsi="Arial"/>
          <w:sz w:val="20"/>
          <w:szCs w:val="20"/>
        </w:rPr>
        <w:t xml:space="preserve">Clinically silent ischaemic lesion (CSIL) </w:t>
      </w:r>
      <w:r w:rsidR="001F1E4C">
        <w:rPr>
          <w:rFonts w:ascii="Arial" w:hAnsi="Arial"/>
          <w:sz w:val="20"/>
          <w:szCs w:val="20"/>
        </w:rPr>
        <w:t>–</w:t>
      </w:r>
      <w:r>
        <w:rPr>
          <w:rFonts w:ascii="Arial" w:hAnsi="Arial"/>
          <w:sz w:val="20"/>
          <w:szCs w:val="20"/>
        </w:rPr>
        <w:t xml:space="preserve"> </w:t>
      </w:r>
      <w:r w:rsidR="001F1E4C">
        <w:rPr>
          <w:rFonts w:ascii="Arial" w:hAnsi="Arial"/>
          <w:sz w:val="20"/>
          <w:szCs w:val="20"/>
        </w:rPr>
        <w:t xml:space="preserve">Radiological evidence of ischaemic intracranial lesions without overt neurological dysfunction </w:t>
      </w:r>
    </w:p>
    <w:p w14:paraId="605E79DD" w14:textId="388B0957" w:rsidR="00497A69" w:rsidRDefault="00497A69" w:rsidP="007A3A88">
      <w:pPr>
        <w:spacing w:line="360" w:lineRule="auto"/>
        <w:jc w:val="both"/>
        <w:rPr>
          <w:rFonts w:ascii="Arial" w:hAnsi="Arial"/>
          <w:sz w:val="20"/>
          <w:szCs w:val="20"/>
        </w:rPr>
      </w:pPr>
    </w:p>
    <w:p w14:paraId="48F22260" w14:textId="07CB10E2" w:rsidR="00DB40DA" w:rsidRPr="00DB40DA" w:rsidRDefault="00DB40DA" w:rsidP="007A3A88">
      <w:pPr>
        <w:spacing w:line="360" w:lineRule="auto"/>
        <w:jc w:val="both"/>
        <w:rPr>
          <w:rFonts w:ascii="Arial" w:hAnsi="Arial"/>
          <w:i/>
          <w:iCs/>
          <w:sz w:val="20"/>
          <w:szCs w:val="20"/>
        </w:rPr>
      </w:pPr>
      <w:r w:rsidRPr="00DB40DA">
        <w:rPr>
          <w:rFonts w:ascii="Arial" w:hAnsi="Arial"/>
          <w:i/>
          <w:iCs/>
          <w:sz w:val="20"/>
          <w:szCs w:val="20"/>
        </w:rPr>
        <w:t xml:space="preserve">Secondary outcome </w:t>
      </w:r>
    </w:p>
    <w:p w14:paraId="6A2BF620" w14:textId="145373B7" w:rsidR="002D21C7" w:rsidRPr="00626614" w:rsidRDefault="00662375">
      <w:pPr>
        <w:pStyle w:val="ListParagraph"/>
        <w:numPr>
          <w:ilvl w:val="0"/>
          <w:numId w:val="13"/>
        </w:numPr>
        <w:spacing w:line="360" w:lineRule="auto"/>
        <w:jc w:val="both"/>
        <w:rPr>
          <w:rFonts w:ascii="Arial" w:hAnsi="Arial"/>
          <w:sz w:val="20"/>
          <w:szCs w:val="20"/>
        </w:rPr>
      </w:pPr>
      <w:r w:rsidRPr="00E51B28">
        <w:rPr>
          <w:rFonts w:ascii="Arial" w:hAnsi="Arial"/>
          <w:sz w:val="20"/>
          <w:szCs w:val="20"/>
        </w:rPr>
        <w:t xml:space="preserve">The proportion of patients </w:t>
      </w:r>
      <w:r w:rsidR="005F56CC" w:rsidRPr="00E51B28">
        <w:rPr>
          <w:rFonts w:ascii="Arial" w:hAnsi="Arial"/>
          <w:sz w:val="20"/>
          <w:szCs w:val="20"/>
        </w:rPr>
        <w:t>who experience</w:t>
      </w:r>
      <w:r w:rsidR="00F93567" w:rsidRPr="00E51B28">
        <w:rPr>
          <w:rFonts w:ascii="Arial" w:hAnsi="Arial"/>
          <w:sz w:val="20"/>
          <w:szCs w:val="20"/>
        </w:rPr>
        <w:t xml:space="preserve"> </w:t>
      </w:r>
      <w:r w:rsidR="00CC4F31">
        <w:rPr>
          <w:rFonts w:ascii="Arial" w:hAnsi="Arial"/>
          <w:sz w:val="20"/>
          <w:szCs w:val="20"/>
        </w:rPr>
        <w:t xml:space="preserve">a </w:t>
      </w:r>
      <w:r w:rsidR="00F93567" w:rsidRPr="00E51B28">
        <w:rPr>
          <w:rFonts w:ascii="Arial" w:hAnsi="Arial"/>
          <w:sz w:val="20"/>
          <w:szCs w:val="20"/>
        </w:rPr>
        <w:t>puncture site complication</w:t>
      </w:r>
      <w:r w:rsidR="00787F60">
        <w:rPr>
          <w:rFonts w:ascii="Arial" w:hAnsi="Arial"/>
          <w:sz w:val="20"/>
          <w:szCs w:val="20"/>
        </w:rPr>
        <w:t xml:space="preserve"> </w:t>
      </w:r>
    </w:p>
    <w:p w14:paraId="7828267D" w14:textId="47640515" w:rsidR="00694BD6" w:rsidRDefault="00694BD6" w:rsidP="00694BD6">
      <w:pPr>
        <w:spacing w:line="360" w:lineRule="auto"/>
        <w:jc w:val="both"/>
        <w:rPr>
          <w:rFonts w:ascii="Arial" w:hAnsi="Arial"/>
          <w:sz w:val="20"/>
          <w:szCs w:val="20"/>
        </w:rPr>
      </w:pPr>
    </w:p>
    <w:p w14:paraId="6323DB68" w14:textId="125E34C5" w:rsidR="00694BD6" w:rsidRPr="00694BD6" w:rsidRDefault="00694BD6" w:rsidP="00694BD6">
      <w:pPr>
        <w:spacing w:line="360" w:lineRule="auto"/>
        <w:jc w:val="both"/>
        <w:rPr>
          <w:rFonts w:ascii="Arial" w:hAnsi="Arial"/>
          <w:i/>
          <w:iCs/>
          <w:sz w:val="20"/>
          <w:szCs w:val="20"/>
        </w:rPr>
      </w:pPr>
      <w:r w:rsidRPr="00694BD6">
        <w:rPr>
          <w:rFonts w:ascii="Arial" w:hAnsi="Arial"/>
          <w:i/>
          <w:iCs/>
          <w:sz w:val="20"/>
          <w:szCs w:val="20"/>
        </w:rPr>
        <w:t>Tertiary outcomes</w:t>
      </w:r>
    </w:p>
    <w:p w14:paraId="117599D0" w14:textId="179AFF28" w:rsidR="001E58F4" w:rsidRDefault="001E58F4" w:rsidP="00694BD6">
      <w:pPr>
        <w:pStyle w:val="ListParagraph"/>
        <w:numPr>
          <w:ilvl w:val="0"/>
          <w:numId w:val="14"/>
        </w:numPr>
        <w:spacing w:line="360" w:lineRule="auto"/>
        <w:jc w:val="both"/>
        <w:rPr>
          <w:rFonts w:ascii="Arial" w:hAnsi="Arial"/>
          <w:sz w:val="20"/>
          <w:szCs w:val="20"/>
        </w:rPr>
      </w:pPr>
      <w:r>
        <w:rPr>
          <w:rFonts w:ascii="Arial" w:hAnsi="Arial"/>
          <w:sz w:val="20"/>
          <w:szCs w:val="20"/>
        </w:rPr>
        <w:t xml:space="preserve">Frequency of </w:t>
      </w:r>
      <w:r w:rsidR="000E474E">
        <w:rPr>
          <w:rFonts w:ascii="Arial" w:hAnsi="Arial"/>
          <w:sz w:val="20"/>
          <w:szCs w:val="20"/>
        </w:rPr>
        <w:t xml:space="preserve">new parenchymal </w:t>
      </w:r>
      <w:r w:rsidR="0015584D">
        <w:rPr>
          <w:rFonts w:ascii="Arial" w:hAnsi="Arial"/>
          <w:sz w:val="20"/>
          <w:szCs w:val="20"/>
        </w:rPr>
        <w:t>susceptibility weighted imaging (</w:t>
      </w:r>
      <w:r w:rsidR="000E474E">
        <w:rPr>
          <w:rFonts w:ascii="Arial" w:hAnsi="Arial"/>
          <w:sz w:val="20"/>
          <w:szCs w:val="20"/>
        </w:rPr>
        <w:t>SWI</w:t>
      </w:r>
      <w:r w:rsidR="0015584D">
        <w:rPr>
          <w:rFonts w:ascii="Arial" w:hAnsi="Arial"/>
          <w:sz w:val="20"/>
          <w:szCs w:val="20"/>
        </w:rPr>
        <w:t>)</w:t>
      </w:r>
      <w:r w:rsidR="000E474E">
        <w:rPr>
          <w:rFonts w:ascii="Arial" w:hAnsi="Arial"/>
          <w:sz w:val="20"/>
          <w:szCs w:val="20"/>
        </w:rPr>
        <w:t xml:space="preserve"> lesions</w:t>
      </w:r>
      <w:r w:rsidR="00C45215">
        <w:rPr>
          <w:rFonts w:ascii="Arial" w:hAnsi="Arial"/>
          <w:sz w:val="20"/>
          <w:szCs w:val="20"/>
        </w:rPr>
        <w:t xml:space="preserve"> in the brain</w:t>
      </w:r>
      <w:r w:rsidR="00095EB9">
        <w:rPr>
          <w:rFonts w:ascii="Arial" w:hAnsi="Arial"/>
          <w:sz w:val="20"/>
          <w:szCs w:val="20"/>
        </w:rPr>
        <w:t xml:space="preserve"> (which may signify microbleeds)</w:t>
      </w:r>
    </w:p>
    <w:p w14:paraId="4D3CC887" w14:textId="515568E3" w:rsidR="00E51B28" w:rsidRDefault="00E51B28" w:rsidP="00694BD6">
      <w:pPr>
        <w:pStyle w:val="ListParagraph"/>
        <w:numPr>
          <w:ilvl w:val="0"/>
          <w:numId w:val="14"/>
        </w:numPr>
        <w:spacing w:line="360" w:lineRule="auto"/>
        <w:jc w:val="both"/>
        <w:rPr>
          <w:rFonts w:ascii="Arial" w:hAnsi="Arial"/>
          <w:sz w:val="20"/>
          <w:szCs w:val="20"/>
        </w:rPr>
      </w:pPr>
      <w:r>
        <w:rPr>
          <w:rFonts w:ascii="Arial" w:hAnsi="Arial"/>
          <w:sz w:val="20"/>
          <w:szCs w:val="20"/>
        </w:rPr>
        <w:t xml:space="preserve">Frequency of </w:t>
      </w:r>
      <w:r w:rsidR="002C11B4">
        <w:rPr>
          <w:rFonts w:ascii="Arial" w:hAnsi="Arial"/>
          <w:sz w:val="20"/>
          <w:szCs w:val="20"/>
        </w:rPr>
        <w:t xml:space="preserve">haemorrhage </w:t>
      </w:r>
      <w:r w:rsidR="001E58F4">
        <w:rPr>
          <w:rFonts w:ascii="Arial" w:hAnsi="Arial"/>
          <w:sz w:val="20"/>
          <w:szCs w:val="20"/>
        </w:rPr>
        <w:t>(major and minor)</w:t>
      </w:r>
    </w:p>
    <w:p w14:paraId="54A5BDFB" w14:textId="242D37CA" w:rsidR="00A371F0" w:rsidRDefault="00A371F0" w:rsidP="00694BD6">
      <w:pPr>
        <w:pStyle w:val="ListParagraph"/>
        <w:numPr>
          <w:ilvl w:val="1"/>
          <w:numId w:val="14"/>
        </w:numPr>
        <w:spacing w:line="360" w:lineRule="auto"/>
        <w:jc w:val="both"/>
        <w:rPr>
          <w:rFonts w:ascii="Arial" w:hAnsi="Arial"/>
          <w:sz w:val="20"/>
          <w:szCs w:val="20"/>
        </w:rPr>
      </w:pPr>
      <w:r>
        <w:rPr>
          <w:rFonts w:ascii="Arial" w:hAnsi="Arial"/>
          <w:sz w:val="20"/>
          <w:szCs w:val="20"/>
        </w:rPr>
        <w:t xml:space="preserve">Major haemorrhage – A clinically overt haemorrhage resulting in a fall of </w:t>
      </w:r>
      <w:r w:rsidR="00517C44">
        <w:rPr>
          <w:rFonts w:ascii="Arial" w:hAnsi="Arial"/>
          <w:sz w:val="20"/>
          <w:szCs w:val="20"/>
        </w:rPr>
        <w:t>more than 30 g/L</w:t>
      </w:r>
      <w:r w:rsidR="00654E11">
        <w:rPr>
          <w:rFonts w:ascii="Arial" w:hAnsi="Arial"/>
          <w:sz w:val="20"/>
          <w:szCs w:val="20"/>
        </w:rPr>
        <w:t xml:space="preserve"> in haemoglobin; or a retroperitoneal, intracranial or intraocular haemorrhage</w:t>
      </w:r>
    </w:p>
    <w:p w14:paraId="75C2169F" w14:textId="61D00E73" w:rsidR="00D869A5" w:rsidRPr="00E51B28" w:rsidRDefault="00D869A5" w:rsidP="00694BD6">
      <w:pPr>
        <w:pStyle w:val="ListParagraph"/>
        <w:numPr>
          <w:ilvl w:val="1"/>
          <w:numId w:val="14"/>
        </w:numPr>
        <w:spacing w:line="360" w:lineRule="auto"/>
        <w:jc w:val="both"/>
        <w:rPr>
          <w:rFonts w:ascii="Arial" w:hAnsi="Arial"/>
          <w:sz w:val="20"/>
          <w:szCs w:val="20"/>
        </w:rPr>
      </w:pPr>
      <w:r>
        <w:rPr>
          <w:rFonts w:ascii="Arial" w:hAnsi="Arial"/>
          <w:sz w:val="20"/>
          <w:szCs w:val="20"/>
        </w:rPr>
        <w:t>Episodes of bleeding that were clinically overt but d</w:t>
      </w:r>
      <w:r w:rsidR="00CF2073">
        <w:rPr>
          <w:rFonts w:ascii="Arial" w:hAnsi="Arial"/>
          <w:sz w:val="20"/>
          <w:szCs w:val="20"/>
        </w:rPr>
        <w:t>o</w:t>
      </w:r>
      <w:r>
        <w:rPr>
          <w:rFonts w:ascii="Arial" w:hAnsi="Arial"/>
          <w:sz w:val="20"/>
          <w:szCs w:val="20"/>
        </w:rPr>
        <w:t xml:space="preserve"> not meet these criteria </w:t>
      </w:r>
      <w:r w:rsidR="00DF3CF1">
        <w:rPr>
          <w:rFonts w:ascii="Arial" w:hAnsi="Arial"/>
          <w:sz w:val="20"/>
          <w:szCs w:val="20"/>
        </w:rPr>
        <w:t xml:space="preserve">are </w:t>
      </w:r>
      <w:r>
        <w:rPr>
          <w:rFonts w:ascii="Arial" w:hAnsi="Arial"/>
          <w:sz w:val="20"/>
          <w:szCs w:val="20"/>
        </w:rPr>
        <w:t>considered minor haemorrhages</w:t>
      </w:r>
    </w:p>
    <w:p w14:paraId="38E37813" w14:textId="77777777" w:rsidR="00DB40DA" w:rsidRDefault="00DB40DA" w:rsidP="007A3A88">
      <w:pPr>
        <w:spacing w:line="360" w:lineRule="auto"/>
        <w:jc w:val="both"/>
        <w:rPr>
          <w:rFonts w:ascii="Arial" w:hAnsi="Arial"/>
          <w:sz w:val="20"/>
          <w:szCs w:val="20"/>
        </w:rPr>
      </w:pPr>
    </w:p>
    <w:p w14:paraId="0E58817F" w14:textId="0EF4EE5E" w:rsidR="00EB7FC2" w:rsidRDefault="00EB7FC2" w:rsidP="007A3A88">
      <w:pPr>
        <w:spacing w:line="360" w:lineRule="auto"/>
        <w:jc w:val="both"/>
        <w:rPr>
          <w:rFonts w:ascii="Arial" w:hAnsi="Arial"/>
          <w:b/>
          <w:color w:val="31849B" w:themeColor="accent5" w:themeShade="BF"/>
          <w:sz w:val="20"/>
          <w:szCs w:val="20"/>
        </w:rPr>
      </w:pPr>
      <w:r w:rsidRPr="00EB7FC2">
        <w:rPr>
          <w:rFonts w:ascii="Arial" w:hAnsi="Arial"/>
          <w:b/>
          <w:color w:val="31849B" w:themeColor="accent5" w:themeShade="BF"/>
          <w:sz w:val="20"/>
          <w:szCs w:val="20"/>
        </w:rPr>
        <w:t>Hypothesis</w:t>
      </w:r>
    </w:p>
    <w:p w14:paraId="7C077502" w14:textId="4520B67A" w:rsidR="00D7480A" w:rsidRPr="00D7480A" w:rsidRDefault="00D7480A" w:rsidP="007A3A88">
      <w:pPr>
        <w:spacing w:line="360" w:lineRule="auto"/>
        <w:jc w:val="both"/>
        <w:rPr>
          <w:rFonts w:ascii="Arial" w:hAnsi="Arial"/>
          <w:b/>
          <w:sz w:val="20"/>
          <w:szCs w:val="20"/>
        </w:rPr>
      </w:pPr>
      <w:r w:rsidRPr="00D7480A">
        <w:rPr>
          <w:rFonts w:ascii="Arial" w:hAnsi="Arial"/>
          <w:b/>
          <w:sz w:val="20"/>
          <w:szCs w:val="20"/>
        </w:rPr>
        <w:t>Primary</w:t>
      </w:r>
    </w:p>
    <w:p w14:paraId="5E363907" w14:textId="058EFA93" w:rsidR="004877A8" w:rsidRPr="00D7480A" w:rsidRDefault="00895045" w:rsidP="00D7480A">
      <w:pPr>
        <w:pStyle w:val="ListParagraph"/>
        <w:numPr>
          <w:ilvl w:val="0"/>
          <w:numId w:val="10"/>
        </w:numPr>
        <w:spacing w:line="360" w:lineRule="auto"/>
        <w:jc w:val="both"/>
        <w:rPr>
          <w:rFonts w:ascii="Arial" w:hAnsi="Arial"/>
          <w:sz w:val="20"/>
          <w:szCs w:val="20"/>
        </w:rPr>
      </w:pPr>
      <w:r w:rsidRPr="00895045">
        <w:rPr>
          <w:rFonts w:ascii="Arial" w:hAnsi="Arial"/>
          <w:sz w:val="20"/>
          <w:szCs w:val="20"/>
        </w:rPr>
        <w:t>In patients who have elective endovascular treatment of unruptured intracranial aneurysms randomised to receive anticoagulation post procedure of either enoxaparin 1.5mg/kg at T=0 OR enoxaparin 1mg/kg at T=0 and T=12hrs there is no difference in the number of thromboembolic events post procedure (new DWI lesions at T=48hrs MRI).</w:t>
      </w:r>
    </w:p>
    <w:p w14:paraId="206642A5" w14:textId="0E17829F" w:rsidR="00D7480A" w:rsidRPr="00D7480A" w:rsidRDefault="00D7480A" w:rsidP="00D7480A">
      <w:pPr>
        <w:spacing w:line="360" w:lineRule="auto"/>
        <w:jc w:val="both"/>
        <w:rPr>
          <w:rFonts w:ascii="Arial" w:hAnsi="Arial"/>
          <w:b/>
          <w:sz w:val="20"/>
          <w:szCs w:val="20"/>
        </w:rPr>
      </w:pPr>
      <w:r w:rsidRPr="00D7480A">
        <w:rPr>
          <w:rFonts w:ascii="Arial" w:hAnsi="Arial"/>
          <w:b/>
          <w:sz w:val="20"/>
          <w:szCs w:val="20"/>
        </w:rPr>
        <w:t>Secondary</w:t>
      </w:r>
    </w:p>
    <w:p w14:paraId="05D9C8B1" w14:textId="102C8A68" w:rsidR="00EB7FC2" w:rsidRPr="00D7480A" w:rsidRDefault="00B435E1" w:rsidP="00D7480A">
      <w:pPr>
        <w:pStyle w:val="ListParagraph"/>
        <w:numPr>
          <w:ilvl w:val="0"/>
          <w:numId w:val="10"/>
        </w:numPr>
        <w:spacing w:line="360" w:lineRule="auto"/>
        <w:jc w:val="both"/>
        <w:rPr>
          <w:rFonts w:ascii="Arial" w:hAnsi="Arial"/>
          <w:sz w:val="20"/>
          <w:szCs w:val="20"/>
        </w:rPr>
      </w:pPr>
      <w:r w:rsidRPr="00B435E1">
        <w:rPr>
          <w:rFonts w:ascii="Arial" w:hAnsi="Arial"/>
          <w:sz w:val="20"/>
          <w:szCs w:val="20"/>
        </w:rPr>
        <w:t xml:space="preserve">In patients who have elective endovascular treatment of unruptured intracranial aneurysms randomised to receive anticoagulation post procedure of either enoxaparin 1.5mg/kg at T=0 OR </w:t>
      </w:r>
      <w:r w:rsidRPr="00B435E1">
        <w:rPr>
          <w:rFonts w:ascii="Arial" w:hAnsi="Arial"/>
          <w:sz w:val="20"/>
          <w:szCs w:val="20"/>
        </w:rPr>
        <w:lastRenderedPageBreak/>
        <w:t>enoxaparin 1mg/kg at T=0 and T=12hrs there is no difference in the frequency of puncture site complications.</w:t>
      </w:r>
    </w:p>
    <w:p w14:paraId="6E383A3F" w14:textId="77777777" w:rsidR="00AB4F00" w:rsidRDefault="00AB4F00" w:rsidP="007A3A88">
      <w:pPr>
        <w:spacing w:line="360" w:lineRule="auto"/>
        <w:jc w:val="both"/>
        <w:rPr>
          <w:rFonts w:ascii="Arial" w:hAnsi="Arial"/>
          <w:sz w:val="20"/>
          <w:szCs w:val="20"/>
        </w:rPr>
      </w:pPr>
    </w:p>
    <w:p w14:paraId="21AFCE98" w14:textId="77777777" w:rsidR="00BF7CA6" w:rsidRPr="004D06BB" w:rsidRDefault="00BF7CA6" w:rsidP="007A3A88">
      <w:pPr>
        <w:spacing w:line="360" w:lineRule="auto"/>
        <w:jc w:val="both"/>
        <w:rPr>
          <w:rFonts w:ascii="Arial" w:hAnsi="Arial"/>
          <w:b/>
          <w:color w:val="31849B" w:themeColor="accent5" w:themeShade="BF"/>
          <w:sz w:val="20"/>
          <w:szCs w:val="20"/>
        </w:rPr>
      </w:pPr>
      <w:r w:rsidRPr="004D06BB">
        <w:rPr>
          <w:rFonts w:ascii="Arial" w:hAnsi="Arial"/>
          <w:b/>
          <w:color w:val="31849B" w:themeColor="accent5" w:themeShade="BF"/>
          <w:sz w:val="20"/>
          <w:szCs w:val="20"/>
        </w:rPr>
        <w:t>Method</w:t>
      </w:r>
    </w:p>
    <w:p w14:paraId="378E6297" w14:textId="70BD9F29" w:rsidR="00793A50" w:rsidRDefault="009C4013" w:rsidP="00793A50">
      <w:pPr>
        <w:spacing w:line="360" w:lineRule="auto"/>
        <w:jc w:val="both"/>
        <w:rPr>
          <w:rFonts w:ascii="Arial" w:hAnsi="Arial"/>
          <w:sz w:val="20"/>
          <w:szCs w:val="20"/>
        </w:rPr>
      </w:pPr>
      <w:r w:rsidRPr="009C4013">
        <w:rPr>
          <w:rFonts w:ascii="Arial" w:hAnsi="Arial"/>
          <w:sz w:val="20"/>
          <w:szCs w:val="20"/>
        </w:rPr>
        <w:t>Patients presenting for an aneurysm coiling who fit the inclusion criteria will be recruited for the study pre-operatively. Informed consent will be obtained. A brain MRI will be obtained pre-operatively, utili</w:t>
      </w:r>
      <w:r w:rsidR="0099006F">
        <w:rPr>
          <w:rFonts w:ascii="Arial" w:hAnsi="Arial"/>
          <w:sz w:val="20"/>
          <w:szCs w:val="20"/>
        </w:rPr>
        <w:t>s</w:t>
      </w:r>
      <w:r w:rsidRPr="009C4013">
        <w:rPr>
          <w:rFonts w:ascii="Arial" w:hAnsi="Arial"/>
          <w:sz w:val="20"/>
          <w:szCs w:val="20"/>
        </w:rPr>
        <w:t>ing DWI, SWI and Axial FLAIR sequences in addition to standard of care imaging. Patients will undergo the endovascular coiling/stenting procedure as per local protocol and will subsequently be randomi</w:t>
      </w:r>
      <w:r>
        <w:rPr>
          <w:rFonts w:ascii="Arial" w:hAnsi="Arial"/>
          <w:sz w:val="20"/>
          <w:szCs w:val="20"/>
        </w:rPr>
        <w:t>s</w:t>
      </w:r>
      <w:r w:rsidRPr="009C4013">
        <w:rPr>
          <w:rFonts w:ascii="Arial" w:hAnsi="Arial"/>
          <w:sz w:val="20"/>
          <w:szCs w:val="20"/>
        </w:rPr>
        <w:t xml:space="preserve">ed into one of </w:t>
      </w:r>
      <w:r w:rsidR="00E6586D">
        <w:rPr>
          <w:rFonts w:ascii="Arial" w:hAnsi="Arial"/>
          <w:sz w:val="20"/>
          <w:szCs w:val="20"/>
        </w:rPr>
        <w:t>two</w:t>
      </w:r>
      <w:r w:rsidRPr="009C4013">
        <w:rPr>
          <w:rFonts w:ascii="Arial" w:hAnsi="Arial"/>
          <w:sz w:val="20"/>
          <w:szCs w:val="20"/>
        </w:rPr>
        <w:t xml:space="preserve"> categories of </w:t>
      </w:r>
      <w:r w:rsidR="00E6586D">
        <w:rPr>
          <w:rFonts w:ascii="Arial" w:hAnsi="Arial"/>
          <w:sz w:val="20"/>
          <w:szCs w:val="20"/>
        </w:rPr>
        <w:t>enoxaparin</w:t>
      </w:r>
      <w:r w:rsidRPr="009C4013">
        <w:rPr>
          <w:rFonts w:ascii="Arial" w:hAnsi="Arial"/>
          <w:sz w:val="20"/>
          <w:szCs w:val="20"/>
        </w:rPr>
        <w:t xml:space="preserve"> administration (see below).</w:t>
      </w:r>
      <w:r w:rsidR="007723F0">
        <w:rPr>
          <w:rFonts w:ascii="Arial" w:hAnsi="Arial"/>
          <w:sz w:val="20"/>
          <w:szCs w:val="20"/>
        </w:rPr>
        <w:t xml:space="preserve"> </w:t>
      </w:r>
      <w:r w:rsidR="007723F0" w:rsidRPr="007723F0">
        <w:rPr>
          <w:rFonts w:ascii="Arial" w:hAnsi="Arial"/>
          <w:sz w:val="20"/>
          <w:szCs w:val="20"/>
        </w:rPr>
        <w:t xml:space="preserve">Outcomes will be assessed starting from removal of the vascular sheath and </w:t>
      </w:r>
      <w:r w:rsidR="00F407F1">
        <w:rPr>
          <w:rFonts w:ascii="Arial" w:hAnsi="Arial"/>
          <w:sz w:val="20"/>
          <w:szCs w:val="20"/>
        </w:rPr>
        <w:t xml:space="preserve">extending </w:t>
      </w:r>
      <w:r w:rsidR="00CD38B4">
        <w:rPr>
          <w:rFonts w:ascii="Arial" w:hAnsi="Arial"/>
          <w:sz w:val="20"/>
          <w:szCs w:val="20"/>
        </w:rPr>
        <w:t>unti</w:t>
      </w:r>
      <w:r w:rsidR="00F2525B">
        <w:rPr>
          <w:rFonts w:ascii="Arial" w:hAnsi="Arial"/>
          <w:sz w:val="20"/>
          <w:szCs w:val="20"/>
        </w:rPr>
        <w:t xml:space="preserve">l </w:t>
      </w:r>
      <w:r w:rsidR="0004250B">
        <w:rPr>
          <w:rFonts w:ascii="Arial" w:hAnsi="Arial"/>
          <w:sz w:val="20"/>
          <w:szCs w:val="20"/>
        </w:rPr>
        <w:t>48 hours post procedure</w:t>
      </w:r>
      <w:r w:rsidR="00CB587A">
        <w:rPr>
          <w:rFonts w:ascii="Arial" w:hAnsi="Arial"/>
          <w:sz w:val="20"/>
          <w:szCs w:val="20"/>
        </w:rPr>
        <w:t xml:space="preserve"> or ICU discharge, whichever </w:t>
      </w:r>
      <w:r w:rsidR="00D911B3">
        <w:rPr>
          <w:rFonts w:ascii="Arial" w:hAnsi="Arial"/>
          <w:sz w:val="20"/>
          <w:szCs w:val="20"/>
        </w:rPr>
        <w:t>happens</w:t>
      </w:r>
      <w:r w:rsidR="00CB587A">
        <w:rPr>
          <w:rFonts w:ascii="Arial" w:hAnsi="Arial"/>
          <w:sz w:val="20"/>
          <w:szCs w:val="20"/>
        </w:rPr>
        <w:t xml:space="preserve"> later</w:t>
      </w:r>
      <w:r w:rsidR="00793A50">
        <w:rPr>
          <w:rFonts w:ascii="Arial" w:hAnsi="Arial"/>
          <w:sz w:val="20"/>
          <w:szCs w:val="20"/>
        </w:rPr>
        <w:t>. Patients will undergo an additional brain MRI with identical imaging sequences</w:t>
      </w:r>
      <w:r w:rsidR="009D6405">
        <w:rPr>
          <w:rFonts w:ascii="Arial" w:hAnsi="Arial"/>
          <w:sz w:val="20"/>
          <w:szCs w:val="20"/>
        </w:rPr>
        <w:t xml:space="preserve"> within 48 hours post procedure</w:t>
      </w:r>
      <w:r w:rsidR="00793A50">
        <w:rPr>
          <w:rFonts w:ascii="Arial" w:hAnsi="Arial"/>
          <w:sz w:val="20"/>
          <w:szCs w:val="20"/>
        </w:rPr>
        <w:t>. Data will be collected (as per Variables section) throughout the patient’s admission.</w:t>
      </w:r>
    </w:p>
    <w:p w14:paraId="7EC4E876" w14:textId="3D95BA68" w:rsidR="005F5203" w:rsidRDefault="005F5203" w:rsidP="007A3A88">
      <w:pPr>
        <w:spacing w:line="360" w:lineRule="auto"/>
        <w:jc w:val="both"/>
        <w:rPr>
          <w:rFonts w:ascii="Arial" w:hAnsi="Arial"/>
          <w:sz w:val="20"/>
          <w:szCs w:val="20"/>
        </w:rPr>
      </w:pPr>
    </w:p>
    <w:p w14:paraId="341CF269" w14:textId="7488B6ED" w:rsidR="006C2FE6" w:rsidRDefault="006C2FE6" w:rsidP="007A3A88">
      <w:pPr>
        <w:spacing w:line="360" w:lineRule="auto"/>
        <w:jc w:val="both"/>
        <w:rPr>
          <w:rFonts w:ascii="Arial" w:hAnsi="Arial"/>
          <w:sz w:val="20"/>
          <w:szCs w:val="20"/>
        </w:rPr>
      </w:pPr>
      <w:r>
        <w:rPr>
          <w:rFonts w:ascii="Arial" w:hAnsi="Arial"/>
          <w:sz w:val="20"/>
          <w:szCs w:val="20"/>
        </w:rPr>
        <w:t>The primary outcome</w:t>
      </w:r>
      <w:r w:rsidR="00FE5533">
        <w:rPr>
          <w:rFonts w:ascii="Arial" w:hAnsi="Arial"/>
          <w:sz w:val="20"/>
          <w:szCs w:val="20"/>
        </w:rPr>
        <w:t xml:space="preserve">, thromboembolic events, will be assessed through identifying </w:t>
      </w:r>
      <w:r w:rsidR="00A10CE4">
        <w:rPr>
          <w:rFonts w:ascii="Arial" w:hAnsi="Arial"/>
          <w:sz w:val="20"/>
          <w:szCs w:val="20"/>
        </w:rPr>
        <w:t>new DWI lesions on post-procedure MRI and clinical ex</w:t>
      </w:r>
      <w:r w:rsidR="001559B6">
        <w:rPr>
          <w:rFonts w:ascii="Arial" w:hAnsi="Arial"/>
          <w:sz w:val="20"/>
          <w:szCs w:val="20"/>
        </w:rPr>
        <w:t>amination for neurological deficit (</w:t>
      </w:r>
      <w:r w:rsidR="00DE77D6">
        <w:rPr>
          <w:rFonts w:ascii="Arial" w:hAnsi="Arial"/>
          <w:sz w:val="20"/>
          <w:szCs w:val="20"/>
        </w:rPr>
        <w:t xml:space="preserve">indicating </w:t>
      </w:r>
      <w:r w:rsidR="001559B6">
        <w:rPr>
          <w:rFonts w:ascii="Arial" w:hAnsi="Arial"/>
          <w:sz w:val="20"/>
          <w:szCs w:val="20"/>
        </w:rPr>
        <w:t xml:space="preserve">CEIL) or the </w:t>
      </w:r>
      <w:r w:rsidR="00004247">
        <w:rPr>
          <w:rFonts w:ascii="Arial" w:hAnsi="Arial"/>
          <w:sz w:val="20"/>
          <w:szCs w:val="20"/>
        </w:rPr>
        <w:t>lack thereof</w:t>
      </w:r>
      <w:r w:rsidR="001559B6">
        <w:rPr>
          <w:rFonts w:ascii="Arial" w:hAnsi="Arial"/>
          <w:sz w:val="20"/>
          <w:szCs w:val="20"/>
        </w:rPr>
        <w:t xml:space="preserve"> (CSIL)</w:t>
      </w:r>
      <w:r w:rsidR="00C8619D">
        <w:rPr>
          <w:rFonts w:ascii="Arial" w:hAnsi="Arial"/>
          <w:sz w:val="20"/>
          <w:szCs w:val="20"/>
        </w:rPr>
        <w:t>.</w:t>
      </w:r>
      <w:r w:rsidR="006A7C73">
        <w:rPr>
          <w:rFonts w:ascii="Arial" w:hAnsi="Arial"/>
          <w:sz w:val="20"/>
          <w:szCs w:val="20"/>
        </w:rPr>
        <w:t xml:space="preserve"> The number of </w:t>
      </w:r>
      <w:r w:rsidR="00FD37DE">
        <w:rPr>
          <w:rFonts w:ascii="Arial" w:hAnsi="Arial"/>
          <w:sz w:val="20"/>
          <w:szCs w:val="20"/>
        </w:rPr>
        <w:t>DWI brain lesions</w:t>
      </w:r>
      <w:r w:rsidR="006A7C73">
        <w:rPr>
          <w:rFonts w:ascii="Arial" w:hAnsi="Arial"/>
          <w:sz w:val="20"/>
          <w:szCs w:val="20"/>
        </w:rPr>
        <w:t xml:space="preserve"> will be interpreted by </w:t>
      </w:r>
      <w:r w:rsidR="00DE77D6">
        <w:rPr>
          <w:rFonts w:ascii="Arial" w:hAnsi="Arial"/>
          <w:sz w:val="20"/>
          <w:szCs w:val="20"/>
        </w:rPr>
        <w:t>an experienced radiologist</w:t>
      </w:r>
      <w:r w:rsidR="006A7C73">
        <w:rPr>
          <w:rFonts w:ascii="Arial" w:hAnsi="Arial"/>
          <w:sz w:val="20"/>
          <w:szCs w:val="20"/>
        </w:rPr>
        <w:t xml:space="preserve"> on both sets of brain MRI.</w:t>
      </w:r>
      <w:r w:rsidR="00B85D44">
        <w:rPr>
          <w:rFonts w:ascii="Arial" w:hAnsi="Arial"/>
          <w:sz w:val="20"/>
          <w:szCs w:val="20"/>
        </w:rPr>
        <w:t xml:space="preserve"> Both </w:t>
      </w:r>
      <w:r w:rsidR="00FA62B1">
        <w:rPr>
          <w:rFonts w:ascii="Arial" w:hAnsi="Arial"/>
          <w:sz w:val="20"/>
          <w:szCs w:val="20"/>
        </w:rPr>
        <w:t>trial arms will be compared</w:t>
      </w:r>
      <w:r w:rsidR="001E0B36">
        <w:rPr>
          <w:rFonts w:ascii="Arial" w:hAnsi="Arial"/>
          <w:sz w:val="20"/>
          <w:szCs w:val="20"/>
        </w:rPr>
        <w:t>.</w:t>
      </w:r>
      <w:r w:rsidR="00FA62B1">
        <w:rPr>
          <w:rFonts w:ascii="Arial" w:hAnsi="Arial"/>
          <w:sz w:val="20"/>
          <w:szCs w:val="20"/>
        </w:rPr>
        <w:t xml:space="preserve"> </w:t>
      </w:r>
    </w:p>
    <w:p w14:paraId="7C7B5153" w14:textId="21EBD351" w:rsidR="00C8619D" w:rsidRDefault="00C8619D" w:rsidP="007A3A88">
      <w:pPr>
        <w:spacing w:line="360" w:lineRule="auto"/>
        <w:jc w:val="both"/>
        <w:rPr>
          <w:rFonts w:ascii="Arial" w:hAnsi="Arial"/>
          <w:sz w:val="20"/>
          <w:szCs w:val="20"/>
        </w:rPr>
      </w:pPr>
    </w:p>
    <w:p w14:paraId="6F168F22" w14:textId="3FF16A95" w:rsidR="00C8619D" w:rsidRDefault="00C8619D" w:rsidP="007A3A88">
      <w:pPr>
        <w:spacing w:line="360" w:lineRule="auto"/>
        <w:jc w:val="both"/>
        <w:rPr>
          <w:rFonts w:ascii="Arial" w:hAnsi="Arial"/>
          <w:sz w:val="20"/>
          <w:szCs w:val="20"/>
        </w:rPr>
      </w:pPr>
      <w:r>
        <w:rPr>
          <w:rFonts w:ascii="Arial" w:hAnsi="Arial"/>
          <w:sz w:val="20"/>
          <w:szCs w:val="20"/>
        </w:rPr>
        <w:t xml:space="preserve">The secondary outcome, </w:t>
      </w:r>
      <w:r w:rsidR="00326E62">
        <w:rPr>
          <w:rFonts w:ascii="Arial" w:hAnsi="Arial"/>
          <w:sz w:val="20"/>
          <w:szCs w:val="20"/>
        </w:rPr>
        <w:t>puncture site complications</w:t>
      </w:r>
      <w:r w:rsidR="0097749E">
        <w:rPr>
          <w:rFonts w:ascii="Arial" w:hAnsi="Arial"/>
          <w:sz w:val="20"/>
          <w:szCs w:val="20"/>
        </w:rPr>
        <w:t xml:space="preserve">, will be assessed through clinical </w:t>
      </w:r>
      <w:r w:rsidR="003D3C6D">
        <w:rPr>
          <w:rFonts w:ascii="Arial" w:hAnsi="Arial"/>
          <w:sz w:val="20"/>
          <w:szCs w:val="20"/>
        </w:rPr>
        <w:t xml:space="preserve">observation. Puncture site complications </w:t>
      </w:r>
      <w:r w:rsidR="002E6FC0">
        <w:rPr>
          <w:rFonts w:ascii="Arial" w:hAnsi="Arial"/>
          <w:sz w:val="20"/>
          <w:szCs w:val="20"/>
        </w:rPr>
        <w:t xml:space="preserve">may </w:t>
      </w:r>
      <w:r w:rsidR="003D3C6D">
        <w:rPr>
          <w:rFonts w:ascii="Arial" w:hAnsi="Arial"/>
          <w:sz w:val="20"/>
          <w:szCs w:val="20"/>
        </w:rPr>
        <w:t xml:space="preserve">include </w:t>
      </w:r>
      <w:r w:rsidR="002E6FC0">
        <w:rPr>
          <w:rFonts w:ascii="Arial" w:hAnsi="Arial"/>
          <w:sz w:val="20"/>
          <w:szCs w:val="20"/>
        </w:rPr>
        <w:t xml:space="preserve">1) </w:t>
      </w:r>
      <w:r w:rsidR="003D3C6D">
        <w:rPr>
          <w:rFonts w:ascii="Arial" w:hAnsi="Arial"/>
          <w:sz w:val="20"/>
          <w:szCs w:val="20"/>
        </w:rPr>
        <w:t>haematoma</w:t>
      </w:r>
      <w:r w:rsidR="005B0115">
        <w:rPr>
          <w:rFonts w:ascii="Arial" w:hAnsi="Arial"/>
          <w:sz w:val="20"/>
          <w:szCs w:val="20"/>
        </w:rPr>
        <w:t>;</w:t>
      </w:r>
      <w:r w:rsidR="002E6FC0">
        <w:rPr>
          <w:rFonts w:ascii="Arial" w:hAnsi="Arial"/>
          <w:sz w:val="20"/>
          <w:szCs w:val="20"/>
        </w:rPr>
        <w:t xml:space="preserve"> 2)</w:t>
      </w:r>
      <w:r w:rsidR="005B0115">
        <w:rPr>
          <w:rFonts w:ascii="Arial" w:hAnsi="Arial"/>
          <w:sz w:val="20"/>
          <w:szCs w:val="20"/>
        </w:rPr>
        <w:t xml:space="preserve"> </w:t>
      </w:r>
      <w:r w:rsidR="003D3C6D">
        <w:rPr>
          <w:rFonts w:ascii="Arial" w:hAnsi="Arial"/>
          <w:sz w:val="20"/>
          <w:szCs w:val="20"/>
        </w:rPr>
        <w:t xml:space="preserve">requiring a vascular compression device </w:t>
      </w:r>
      <w:r w:rsidR="002E6FC0">
        <w:rPr>
          <w:rFonts w:ascii="Arial" w:hAnsi="Arial"/>
          <w:sz w:val="20"/>
          <w:szCs w:val="20"/>
        </w:rPr>
        <w:t>such as Femstop</w:t>
      </w:r>
      <w:r w:rsidR="005B0115">
        <w:rPr>
          <w:rFonts w:ascii="Arial" w:hAnsi="Arial"/>
          <w:sz w:val="20"/>
          <w:szCs w:val="20"/>
        </w:rPr>
        <w:t xml:space="preserve">; </w:t>
      </w:r>
      <w:r w:rsidR="003D3C6D">
        <w:rPr>
          <w:rFonts w:ascii="Arial" w:hAnsi="Arial"/>
          <w:sz w:val="20"/>
          <w:szCs w:val="20"/>
        </w:rPr>
        <w:t xml:space="preserve">or </w:t>
      </w:r>
      <w:r w:rsidR="005B0115">
        <w:rPr>
          <w:rFonts w:ascii="Arial" w:hAnsi="Arial"/>
          <w:sz w:val="20"/>
          <w:szCs w:val="20"/>
        </w:rPr>
        <w:t xml:space="preserve">3) </w:t>
      </w:r>
      <w:r w:rsidR="003D3C6D">
        <w:rPr>
          <w:rFonts w:ascii="Arial" w:hAnsi="Arial"/>
          <w:sz w:val="20"/>
          <w:szCs w:val="20"/>
        </w:rPr>
        <w:t>surgical intervention</w:t>
      </w:r>
      <w:r w:rsidR="00FD18DA">
        <w:rPr>
          <w:rFonts w:ascii="Arial" w:hAnsi="Arial"/>
          <w:sz w:val="20"/>
          <w:szCs w:val="20"/>
        </w:rPr>
        <w:t>.</w:t>
      </w:r>
    </w:p>
    <w:p w14:paraId="2B92A7F4" w14:textId="3441FC9B" w:rsidR="00FD18DA" w:rsidRDefault="00FD18DA" w:rsidP="007A3A88">
      <w:pPr>
        <w:spacing w:line="360" w:lineRule="auto"/>
        <w:jc w:val="both"/>
        <w:rPr>
          <w:rFonts w:ascii="Arial" w:hAnsi="Arial"/>
          <w:sz w:val="20"/>
          <w:szCs w:val="20"/>
        </w:rPr>
      </w:pPr>
    </w:p>
    <w:p w14:paraId="62848C4A" w14:textId="620C40A8" w:rsidR="00FD18DA" w:rsidRDefault="00FD18DA" w:rsidP="007A3A88">
      <w:pPr>
        <w:spacing w:line="360" w:lineRule="auto"/>
        <w:jc w:val="both"/>
        <w:rPr>
          <w:rFonts w:ascii="Arial" w:hAnsi="Arial"/>
          <w:sz w:val="20"/>
          <w:szCs w:val="20"/>
        </w:rPr>
      </w:pPr>
      <w:r>
        <w:rPr>
          <w:rFonts w:ascii="Arial" w:hAnsi="Arial"/>
          <w:sz w:val="20"/>
          <w:szCs w:val="20"/>
        </w:rPr>
        <w:t>Additional complications will also be assessed between these groups, especially major haemorrhage and microbleeds.</w:t>
      </w:r>
    </w:p>
    <w:p w14:paraId="0B195D6D" w14:textId="6721E3C1" w:rsidR="00681B7B" w:rsidRDefault="00681B7B" w:rsidP="007A3A88">
      <w:pPr>
        <w:spacing w:line="360" w:lineRule="auto"/>
        <w:jc w:val="both"/>
        <w:rPr>
          <w:rFonts w:ascii="Arial" w:hAnsi="Arial"/>
          <w:sz w:val="20"/>
          <w:szCs w:val="20"/>
        </w:rPr>
      </w:pPr>
    </w:p>
    <w:p w14:paraId="0B9122FE" w14:textId="78FA6FF3" w:rsidR="00681B7B" w:rsidRDefault="00681B7B" w:rsidP="00681B7B">
      <w:pPr>
        <w:spacing w:line="360" w:lineRule="auto"/>
        <w:rPr>
          <w:rFonts w:ascii="Arial" w:hAnsi="Arial" w:cs="Arial"/>
          <w:sz w:val="20"/>
          <w:szCs w:val="20"/>
        </w:rPr>
      </w:pPr>
      <w:r w:rsidRPr="007F5E90">
        <w:rPr>
          <w:rFonts w:ascii="Arial" w:hAnsi="Arial" w:cs="Arial"/>
          <w:sz w:val="20"/>
          <w:szCs w:val="20"/>
        </w:rPr>
        <w:t xml:space="preserve">The decision to anticoagulate or not is made at the end of the endovascular procedure, depending on the assessment by the operator that the patient is at higher risk of thromboembolic events. </w:t>
      </w:r>
      <w:r w:rsidR="000F3886">
        <w:rPr>
          <w:rFonts w:ascii="Arial" w:hAnsi="Arial" w:cs="Arial"/>
          <w:sz w:val="20"/>
          <w:szCs w:val="20"/>
        </w:rPr>
        <w:t xml:space="preserve">The </w:t>
      </w:r>
      <w:r w:rsidR="00454591" w:rsidRPr="00454591">
        <w:rPr>
          <w:rFonts w:ascii="Arial" w:hAnsi="Arial" w:cs="Arial"/>
          <w:sz w:val="20"/>
          <w:szCs w:val="20"/>
        </w:rPr>
        <w:t xml:space="preserve">indicators for post procedural anticoagulation </w:t>
      </w:r>
      <w:r w:rsidR="000A64FB">
        <w:rPr>
          <w:rFonts w:ascii="Arial" w:hAnsi="Arial" w:cs="Arial"/>
          <w:sz w:val="20"/>
          <w:szCs w:val="20"/>
        </w:rPr>
        <w:t>include placement of an endovascular device such as a stent, coil or loop protrusion into the parent vessel, large area of coil exposure at the aneurysm neck and intraprocedural platelet aggregation</w:t>
      </w:r>
      <w:r w:rsidR="00583006">
        <w:rPr>
          <w:rFonts w:ascii="Arial" w:hAnsi="Arial" w:cs="Arial"/>
          <w:sz w:val="20"/>
          <w:szCs w:val="20"/>
        </w:rPr>
        <w:t>. These are</w:t>
      </w:r>
      <w:r w:rsidR="000A64FB">
        <w:rPr>
          <w:rFonts w:ascii="Arial" w:hAnsi="Arial" w:cs="Arial"/>
          <w:sz w:val="20"/>
          <w:szCs w:val="20"/>
        </w:rPr>
        <w:t xml:space="preserve"> detailed in our inclusion criteria. </w:t>
      </w:r>
      <w:r w:rsidRPr="007F5E90">
        <w:rPr>
          <w:rFonts w:ascii="Arial" w:hAnsi="Arial" w:cs="Arial"/>
          <w:sz w:val="20"/>
          <w:szCs w:val="20"/>
        </w:rPr>
        <w:t xml:space="preserve">From our experience </w:t>
      </w:r>
      <w:r w:rsidR="008A2B67">
        <w:rPr>
          <w:rFonts w:ascii="Arial" w:hAnsi="Arial" w:cs="Arial"/>
          <w:sz w:val="20"/>
          <w:szCs w:val="20"/>
        </w:rPr>
        <w:t>approximately</w:t>
      </w:r>
      <w:r w:rsidRPr="007F5E90">
        <w:rPr>
          <w:rFonts w:ascii="Arial" w:hAnsi="Arial" w:cs="Arial"/>
          <w:sz w:val="20"/>
          <w:szCs w:val="20"/>
        </w:rPr>
        <w:t xml:space="preserve"> </w:t>
      </w:r>
      <w:r w:rsidR="00564BFB">
        <w:rPr>
          <w:rFonts w:ascii="Arial" w:hAnsi="Arial" w:cs="Arial"/>
          <w:sz w:val="20"/>
          <w:szCs w:val="20"/>
        </w:rPr>
        <w:t>70-90</w:t>
      </w:r>
      <w:r w:rsidRPr="007F5E90">
        <w:rPr>
          <w:rFonts w:ascii="Arial" w:hAnsi="Arial" w:cs="Arial"/>
          <w:sz w:val="20"/>
          <w:szCs w:val="20"/>
        </w:rPr>
        <w:t xml:space="preserve">% of the </w:t>
      </w:r>
      <w:r w:rsidRPr="009D7F29">
        <w:rPr>
          <w:rFonts w:ascii="Arial" w:hAnsi="Arial" w:cs="Arial"/>
          <w:sz w:val="20"/>
          <w:szCs w:val="20"/>
        </w:rPr>
        <w:t>consented subjects who have had baseline MRI</w:t>
      </w:r>
      <w:r w:rsidRPr="007F5E90">
        <w:rPr>
          <w:rFonts w:ascii="Arial" w:hAnsi="Arial" w:cs="Arial"/>
          <w:sz w:val="20"/>
          <w:szCs w:val="20"/>
        </w:rPr>
        <w:t xml:space="preserve"> will require post procedural anticoagulation. This </w:t>
      </w:r>
      <w:r w:rsidR="00B151D9">
        <w:rPr>
          <w:rFonts w:ascii="Arial" w:hAnsi="Arial" w:cs="Arial"/>
          <w:sz w:val="20"/>
          <w:szCs w:val="20"/>
        </w:rPr>
        <w:t>higher risk group</w:t>
      </w:r>
      <w:r w:rsidRPr="007F5E90">
        <w:rPr>
          <w:rFonts w:ascii="Arial" w:hAnsi="Arial" w:cs="Arial"/>
          <w:sz w:val="20"/>
          <w:szCs w:val="20"/>
        </w:rPr>
        <w:t xml:space="preserve"> will be randomised for either </w:t>
      </w:r>
      <w:r w:rsidR="00461F24" w:rsidRPr="00895045">
        <w:rPr>
          <w:rFonts w:ascii="Arial" w:hAnsi="Arial"/>
          <w:sz w:val="20"/>
          <w:szCs w:val="20"/>
        </w:rPr>
        <w:t>enoxaparin 1.5mg/kg at T=0</w:t>
      </w:r>
      <w:r w:rsidR="00E97A9C">
        <w:rPr>
          <w:rFonts w:ascii="Arial" w:hAnsi="Arial"/>
          <w:sz w:val="20"/>
          <w:szCs w:val="20"/>
        </w:rPr>
        <w:t>,</w:t>
      </w:r>
      <w:r w:rsidR="00461F24" w:rsidRPr="00895045">
        <w:rPr>
          <w:rFonts w:ascii="Arial" w:hAnsi="Arial"/>
          <w:sz w:val="20"/>
          <w:szCs w:val="20"/>
        </w:rPr>
        <w:t xml:space="preserve"> </w:t>
      </w:r>
      <w:r w:rsidR="00E97A9C">
        <w:rPr>
          <w:rFonts w:ascii="Arial" w:hAnsi="Arial"/>
          <w:sz w:val="20"/>
          <w:szCs w:val="20"/>
        </w:rPr>
        <w:t>or</w:t>
      </w:r>
      <w:r w:rsidR="00461F24" w:rsidRPr="00895045">
        <w:rPr>
          <w:rFonts w:ascii="Arial" w:hAnsi="Arial"/>
          <w:sz w:val="20"/>
          <w:szCs w:val="20"/>
        </w:rPr>
        <w:t xml:space="preserve"> enoxaparin 1mg/kg at T=0 and T=12hrs</w:t>
      </w:r>
      <w:r w:rsidRPr="007F5E90">
        <w:rPr>
          <w:rFonts w:ascii="Arial" w:hAnsi="Arial" w:cs="Arial"/>
          <w:sz w:val="20"/>
          <w:szCs w:val="20"/>
        </w:rPr>
        <w:t>. It is intended that the remain</w:t>
      </w:r>
      <w:r w:rsidR="00EB5BFF">
        <w:rPr>
          <w:rFonts w:ascii="Arial" w:hAnsi="Arial" w:cs="Arial"/>
          <w:sz w:val="20"/>
          <w:szCs w:val="20"/>
        </w:rPr>
        <w:t>ing participants</w:t>
      </w:r>
      <w:r w:rsidRPr="007F5E90">
        <w:rPr>
          <w:rFonts w:ascii="Arial" w:hAnsi="Arial" w:cs="Arial"/>
          <w:sz w:val="20"/>
          <w:szCs w:val="20"/>
        </w:rPr>
        <w:t xml:space="preserve"> (no anticoagulation, “low</w:t>
      </w:r>
      <w:r w:rsidR="00703441">
        <w:rPr>
          <w:rFonts w:ascii="Arial" w:hAnsi="Arial" w:cs="Arial"/>
          <w:sz w:val="20"/>
          <w:szCs w:val="20"/>
        </w:rPr>
        <w:t>er</w:t>
      </w:r>
      <w:r w:rsidRPr="007F5E90">
        <w:rPr>
          <w:rFonts w:ascii="Arial" w:hAnsi="Arial" w:cs="Arial"/>
          <w:sz w:val="20"/>
          <w:szCs w:val="20"/>
        </w:rPr>
        <w:t xml:space="preserve"> risk” group) form a separate study group adding data to our group’s research on thromboembolic outcomes after neuroendovascular procedures. They will be assessed for thromboembolic complications by neurological examination at 24 hours and MRI at 48 hours.</w:t>
      </w:r>
    </w:p>
    <w:p w14:paraId="24E2DF2D" w14:textId="77777777" w:rsidR="00D84924" w:rsidRPr="00DF0665" w:rsidRDefault="00D84924" w:rsidP="007A3A88">
      <w:pPr>
        <w:spacing w:line="360" w:lineRule="auto"/>
        <w:jc w:val="both"/>
        <w:rPr>
          <w:rFonts w:ascii="Arial" w:hAnsi="Arial"/>
          <w:sz w:val="20"/>
          <w:szCs w:val="20"/>
        </w:rPr>
      </w:pPr>
    </w:p>
    <w:p w14:paraId="6C0ABD57" w14:textId="14CF0DE2" w:rsidR="00F33517" w:rsidRPr="00F33517" w:rsidRDefault="00F33517" w:rsidP="007A3A88">
      <w:pPr>
        <w:spacing w:line="360" w:lineRule="auto"/>
        <w:jc w:val="both"/>
        <w:rPr>
          <w:rFonts w:ascii="Arial" w:hAnsi="Arial"/>
          <w:i/>
          <w:color w:val="92CDDC" w:themeColor="accent5" w:themeTint="99"/>
          <w:sz w:val="20"/>
          <w:szCs w:val="20"/>
        </w:rPr>
      </w:pPr>
      <w:r w:rsidRPr="00F33517">
        <w:rPr>
          <w:rFonts w:ascii="Arial" w:hAnsi="Arial"/>
          <w:i/>
          <w:color w:val="92CDDC" w:themeColor="accent5" w:themeTint="99"/>
          <w:sz w:val="20"/>
          <w:szCs w:val="20"/>
        </w:rPr>
        <w:t>Study Type</w:t>
      </w:r>
    </w:p>
    <w:p w14:paraId="730EAB50" w14:textId="62C17513" w:rsidR="00F33517" w:rsidRPr="00F33517" w:rsidRDefault="009710D8" w:rsidP="007A3A88">
      <w:pPr>
        <w:spacing w:line="360" w:lineRule="auto"/>
        <w:jc w:val="both"/>
        <w:rPr>
          <w:rFonts w:ascii="Arial" w:hAnsi="Arial"/>
          <w:sz w:val="20"/>
          <w:szCs w:val="20"/>
        </w:rPr>
      </w:pPr>
      <w:r>
        <w:rPr>
          <w:rFonts w:ascii="Arial" w:hAnsi="Arial"/>
          <w:sz w:val="20"/>
          <w:szCs w:val="20"/>
        </w:rPr>
        <w:t>R</w:t>
      </w:r>
      <w:r w:rsidR="008D6853">
        <w:rPr>
          <w:rFonts w:ascii="Arial" w:hAnsi="Arial"/>
          <w:sz w:val="20"/>
          <w:szCs w:val="20"/>
        </w:rPr>
        <w:t>andomi</w:t>
      </w:r>
      <w:r w:rsidR="00B50D9D">
        <w:rPr>
          <w:rFonts w:ascii="Arial" w:hAnsi="Arial"/>
          <w:sz w:val="20"/>
          <w:szCs w:val="20"/>
        </w:rPr>
        <w:t>s</w:t>
      </w:r>
      <w:r w:rsidR="008D6853">
        <w:rPr>
          <w:rFonts w:ascii="Arial" w:hAnsi="Arial"/>
          <w:sz w:val="20"/>
          <w:szCs w:val="20"/>
        </w:rPr>
        <w:t xml:space="preserve">ed </w:t>
      </w:r>
      <w:r w:rsidR="00F33517">
        <w:rPr>
          <w:rFonts w:ascii="Arial" w:hAnsi="Arial"/>
          <w:sz w:val="20"/>
          <w:szCs w:val="20"/>
        </w:rPr>
        <w:t>prospective single-centre study</w:t>
      </w:r>
    </w:p>
    <w:p w14:paraId="6DE7ADFD" w14:textId="77777777" w:rsidR="00F33517" w:rsidRDefault="00F33517" w:rsidP="007A3A88">
      <w:pPr>
        <w:spacing w:line="360" w:lineRule="auto"/>
        <w:jc w:val="both"/>
        <w:rPr>
          <w:rFonts w:ascii="Arial" w:hAnsi="Arial"/>
          <w:b/>
          <w:sz w:val="20"/>
          <w:szCs w:val="20"/>
        </w:rPr>
      </w:pPr>
    </w:p>
    <w:p w14:paraId="6E03E02D" w14:textId="3C4EC002" w:rsidR="002D2DF9" w:rsidRDefault="002D2DF9" w:rsidP="007A3A88">
      <w:pPr>
        <w:spacing w:line="360" w:lineRule="auto"/>
        <w:jc w:val="both"/>
        <w:rPr>
          <w:rFonts w:ascii="Arial" w:hAnsi="Arial"/>
          <w:color w:val="92CDDC" w:themeColor="accent5" w:themeTint="99"/>
          <w:sz w:val="20"/>
          <w:szCs w:val="20"/>
          <w:u w:val="single"/>
        </w:rPr>
      </w:pPr>
      <w:r w:rsidRPr="00F33517">
        <w:rPr>
          <w:rFonts w:ascii="Arial" w:hAnsi="Arial"/>
          <w:color w:val="92CDDC" w:themeColor="accent5" w:themeTint="99"/>
          <w:sz w:val="20"/>
          <w:szCs w:val="20"/>
          <w:u w:val="single"/>
        </w:rPr>
        <w:t>Population</w:t>
      </w:r>
    </w:p>
    <w:p w14:paraId="701E80D8" w14:textId="27E8542A" w:rsidR="001B2D26" w:rsidRPr="0098412F" w:rsidRDefault="001B2D26" w:rsidP="001B2D26">
      <w:pPr>
        <w:spacing w:line="360" w:lineRule="auto"/>
        <w:jc w:val="both"/>
        <w:rPr>
          <w:rFonts w:ascii="Arial" w:hAnsi="Arial"/>
          <w:sz w:val="20"/>
          <w:szCs w:val="20"/>
        </w:rPr>
      </w:pPr>
      <w:r>
        <w:rPr>
          <w:rFonts w:ascii="Arial" w:hAnsi="Arial"/>
          <w:sz w:val="20"/>
          <w:szCs w:val="20"/>
        </w:rPr>
        <w:lastRenderedPageBreak/>
        <w:t xml:space="preserve">Patients presenting with unruptured intracranial aneurysms who are scheduled to undergo </w:t>
      </w:r>
      <w:r w:rsidR="00C72AA2">
        <w:rPr>
          <w:rFonts w:ascii="Arial" w:hAnsi="Arial"/>
          <w:sz w:val="20"/>
          <w:szCs w:val="20"/>
        </w:rPr>
        <w:t>endovascular treatment</w:t>
      </w:r>
      <w:r w:rsidR="00FA1AB4">
        <w:rPr>
          <w:rFonts w:ascii="Arial" w:hAnsi="Arial"/>
          <w:sz w:val="20"/>
          <w:szCs w:val="20"/>
        </w:rPr>
        <w:t xml:space="preserve">, such as </w:t>
      </w:r>
      <w:r>
        <w:rPr>
          <w:rFonts w:ascii="Arial" w:hAnsi="Arial"/>
          <w:sz w:val="20"/>
          <w:szCs w:val="20"/>
        </w:rPr>
        <w:t>elective coiling, stent assisted coiling, balloon assisted coiling or flow diverting stents</w:t>
      </w:r>
    </w:p>
    <w:p w14:paraId="3D25D9BA" w14:textId="77777777" w:rsidR="001B2D26" w:rsidRPr="002D2DF9" w:rsidRDefault="001B2D26" w:rsidP="007A3A88">
      <w:pPr>
        <w:spacing w:line="360" w:lineRule="auto"/>
        <w:jc w:val="both"/>
        <w:rPr>
          <w:rFonts w:ascii="Arial" w:hAnsi="Arial"/>
          <w:color w:val="92CDDC" w:themeColor="accent5" w:themeTint="99"/>
          <w:sz w:val="20"/>
          <w:szCs w:val="20"/>
          <w:u w:val="single"/>
        </w:rPr>
      </w:pPr>
    </w:p>
    <w:p w14:paraId="72080DD2" w14:textId="77777777" w:rsidR="00BF7CA6" w:rsidRDefault="00BF7CA6" w:rsidP="007A3A88">
      <w:pPr>
        <w:spacing w:line="360" w:lineRule="auto"/>
        <w:jc w:val="both"/>
        <w:rPr>
          <w:rFonts w:ascii="Arial" w:hAnsi="Arial"/>
          <w:i/>
          <w:color w:val="92CDDC" w:themeColor="accent5" w:themeTint="99"/>
          <w:sz w:val="20"/>
          <w:szCs w:val="20"/>
        </w:rPr>
      </w:pPr>
      <w:r w:rsidRPr="004D06BB">
        <w:rPr>
          <w:rFonts w:ascii="Arial" w:hAnsi="Arial"/>
          <w:i/>
          <w:color w:val="92CDDC" w:themeColor="accent5" w:themeTint="99"/>
          <w:sz w:val="20"/>
          <w:szCs w:val="20"/>
        </w:rPr>
        <w:t>Inclusion criteria</w:t>
      </w:r>
    </w:p>
    <w:p w14:paraId="74EA8CE3" w14:textId="2DC2BD79" w:rsidR="006E275E" w:rsidRDefault="006E275E" w:rsidP="007A3A88">
      <w:pPr>
        <w:spacing w:line="360" w:lineRule="auto"/>
        <w:jc w:val="both"/>
        <w:rPr>
          <w:rFonts w:ascii="Arial" w:hAnsi="Arial"/>
          <w:sz w:val="20"/>
          <w:szCs w:val="20"/>
        </w:rPr>
      </w:pPr>
      <w:r>
        <w:rPr>
          <w:rFonts w:ascii="Arial" w:hAnsi="Arial"/>
          <w:sz w:val="20"/>
          <w:szCs w:val="20"/>
        </w:rPr>
        <w:t>Patients deemed fit for an elective endovascular aneurysm treatment</w:t>
      </w:r>
    </w:p>
    <w:p w14:paraId="1765F07F" w14:textId="69E0E7D9" w:rsidR="00756A51" w:rsidRDefault="00CC197F" w:rsidP="007A3A88">
      <w:pPr>
        <w:spacing w:line="360" w:lineRule="auto"/>
        <w:jc w:val="both"/>
        <w:rPr>
          <w:rFonts w:ascii="Arial" w:hAnsi="Arial"/>
          <w:sz w:val="20"/>
          <w:szCs w:val="20"/>
        </w:rPr>
      </w:pPr>
      <w:r>
        <w:rPr>
          <w:rFonts w:ascii="Arial" w:hAnsi="Arial"/>
          <w:sz w:val="20"/>
          <w:szCs w:val="20"/>
        </w:rPr>
        <w:t>P</w:t>
      </w:r>
      <w:r w:rsidR="007F5C63" w:rsidRPr="00A142D8">
        <w:rPr>
          <w:rFonts w:ascii="Arial" w:hAnsi="Arial"/>
          <w:sz w:val="20"/>
          <w:szCs w:val="20"/>
        </w:rPr>
        <w:t>atient</w:t>
      </w:r>
      <w:r>
        <w:rPr>
          <w:rFonts w:ascii="Arial" w:hAnsi="Arial"/>
          <w:sz w:val="20"/>
          <w:szCs w:val="20"/>
        </w:rPr>
        <w:t>s</w:t>
      </w:r>
      <w:r w:rsidR="007F5C63" w:rsidRPr="00A142D8">
        <w:rPr>
          <w:rFonts w:ascii="Arial" w:hAnsi="Arial"/>
          <w:sz w:val="20"/>
          <w:szCs w:val="20"/>
        </w:rPr>
        <w:t xml:space="preserve"> </w:t>
      </w:r>
      <w:r>
        <w:rPr>
          <w:rFonts w:ascii="Arial" w:hAnsi="Arial"/>
          <w:sz w:val="20"/>
          <w:szCs w:val="20"/>
        </w:rPr>
        <w:t>who</w:t>
      </w:r>
      <w:r w:rsidR="007F5C63" w:rsidRPr="00A142D8">
        <w:rPr>
          <w:rFonts w:ascii="Arial" w:hAnsi="Arial"/>
          <w:sz w:val="20"/>
          <w:szCs w:val="20"/>
        </w:rPr>
        <w:t xml:space="preserve"> require post procedure anticoagulation</w:t>
      </w:r>
      <w:r w:rsidR="00A142D8" w:rsidRPr="00A142D8">
        <w:rPr>
          <w:rFonts w:ascii="Arial" w:hAnsi="Arial"/>
          <w:sz w:val="20"/>
          <w:szCs w:val="20"/>
        </w:rPr>
        <w:t xml:space="preserve"> after intracranial </w:t>
      </w:r>
      <w:r w:rsidR="00B74BB8">
        <w:rPr>
          <w:rFonts w:ascii="Arial" w:hAnsi="Arial"/>
          <w:sz w:val="20"/>
          <w:szCs w:val="20"/>
        </w:rPr>
        <w:t>endovascular aneurysm treatment.</w:t>
      </w:r>
      <w:r w:rsidR="00594D4F">
        <w:rPr>
          <w:rFonts w:ascii="Arial" w:hAnsi="Arial"/>
          <w:sz w:val="20"/>
          <w:szCs w:val="20"/>
        </w:rPr>
        <w:t xml:space="preserve"> </w:t>
      </w:r>
      <w:r w:rsidR="00594D4F" w:rsidRPr="00594D4F">
        <w:rPr>
          <w:rFonts w:ascii="Arial" w:hAnsi="Arial"/>
          <w:sz w:val="20"/>
          <w:szCs w:val="20"/>
        </w:rPr>
        <w:t>The criteria for post procedural anticoagulation are any of the following:</w:t>
      </w:r>
    </w:p>
    <w:p w14:paraId="3FC8A552" w14:textId="77777777" w:rsidR="00756A51" w:rsidRPr="00756A51" w:rsidRDefault="00756A51" w:rsidP="00756A51">
      <w:pPr>
        <w:spacing w:line="360" w:lineRule="auto"/>
        <w:ind w:firstLine="720"/>
        <w:jc w:val="both"/>
        <w:rPr>
          <w:rFonts w:ascii="Arial" w:hAnsi="Arial"/>
          <w:sz w:val="20"/>
          <w:szCs w:val="20"/>
        </w:rPr>
      </w:pPr>
      <w:r w:rsidRPr="00756A51">
        <w:rPr>
          <w:rFonts w:ascii="Arial" w:hAnsi="Arial"/>
          <w:sz w:val="20"/>
          <w:szCs w:val="20"/>
        </w:rPr>
        <w:t>1) Placement of an Endovascular Device</w:t>
      </w:r>
    </w:p>
    <w:p w14:paraId="0F7B0D23" w14:textId="77777777" w:rsidR="00756A51" w:rsidRPr="00756A51" w:rsidRDefault="00756A51" w:rsidP="00756A51">
      <w:pPr>
        <w:spacing w:line="360" w:lineRule="auto"/>
        <w:ind w:firstLine="720"/>
        <w:jc w:val="both"/>
        <w:rPr>
          <w:rFonts w:ascii="Arial" w:hAnsi="Arial"/>
          <w:sz w:val="20"/>
          <w:szCs w:val="20"/>
        </w:rPr>
      </w:pPr>
      <w:r w:rsidRPr="00756A51">
        <w:rPr>
          <w:rFonts w:ascii="Arial" w:hAnsi="Arial"/>
          <w:sz w:val="20"/>
          <w:szCs w:val="20"/>
        </w:rPr>
        <w:t>2) Presence of procedural platelet aggregation</w:t>
      </w:r>
    </w:p>
    <w:p w14:paraId="7EB3C317" w14:textId="7F8867D7" w:rsidR="00756A51" w:rsidRPr="00756A51" w:rsidRDefault="00756A51" w:rsidP="00756A51">
      <w:pPr>
        <w:spacing w:line="360" w:lineRule="auto"/>
        <w:ind w:firstLine="720"/>
        <w:jc w:val="both"/>
        <w:rPr>
          <w:rFonts w:ascii="Arial" w:hAnsi="Arial"/>
          <w:sz w:val="20"/>
          <w:szCs w:val="20"/>
        </w:rPr>
      </w:pPr>
      <w:r w:rsidRPr="00756A51">
        <w:rPr>
          <w:rFonts w:ascii="Arial" w:hAnsi="Arial"/>
          <w:sz w:val="20"/>
          <w:szCs w:val="20"/>
        </w:rPr>
        <w:t xml:space="preserve">3) </w:t>
      </w:r>
      <w:r w:rsidR="00B93CE4">
        <w:rPr>
          <w:rFonts w:ascii="Arial" w:hAnsi="Arial"/>
          <w:sz w:val="20"/>
          <w:szCs w:val="20"/>
        </w:rPr>
        <w:t>I</w:t>
      </w:r>
      <w:r w:rsidRPr="00756A51">
        <w:rPr>
          <w:rFonts w:ascii="Arial" w:hAnsi="Arial"/>
          <w:sz w:val="20"/>
          <w:szCs w:val="20"/>
        </w:rPr>
        <w:t xml:space="preserve">ncreased risk of thromboembolic events due to </w:t>
      </w:r>
    </w:p>
    <w:p w14:paraId="51503F38" w14:textId="77777777" w:rsidR="00756A51" w:rsidRPr="00756A51" w:rsidRDefault="00756A51" w:rsidP="00756A51">
      <w:pPr>
        <w:spacing w:line="360" w:lineRule="auto"/>
        <w:ind w:left="720" w:firstLine="720"/>
        <w:jc w:val="both"/>
        <w:rPr>
          <w:rFonts w:ascii="Arial" w:hAnsi="Arial"/>
          <w:sz w:val="20"/>
          <w:szCs w:val="20"/>
        </w:rPr>
      </w:pPr>
      <w:r w:rsidRPr="00756A51">
        <w:rPr>
          <w:rFonts w:ascii="Arial" w:hAnsi="Arial"/>
          <w:sz w:val="20"/>
          <w:szCs w:val="20"/>
        </w:rPr>
        <w:t xml:space="preserve">(3a) large area of coil exposure at aneurysm neck </w:t>
      </w:r>
    </w:p>
    <w:p w14:paraId="0E96168C" w14:textId="77777777" w:rsidR="00756A51" w:rsidRPr="00756A51" w:rsidRDefault="00756A51" w:rsidP="00756A51">
      <w:pPr>
        <w:spacing w:line="360" w:lineRule="auto"/>
        <w:ind w:left="720" w:firstLine="720"/>
        <w:jc w:val="both"/>
        <w:rPr>
          <w:rFonts w:ascii="Arial" w:hAnsi="Arial"/>
          <w:sz w:val="20"/>
          <w:szCs w:val="20"/>
        </w:rPr>
      </w:pPr>
      <w:r w:rsidRPr="00756A51">
        <w:rPr>
          <w:rFonts w:ascii="Arial" w:hAnsi="Arial"/>
          <w:sz w:val="20"/>
          <w:szCs w:val="20"/>
        </w:rPr>
        <w:t>(3b) loop protrusion into parent artery</w:t>
      </w:r>
    </w:p>
    <w:p w14:paraId="6346DAF1" w14:textId="6C8B96AA" w:rsidR="001A2A7B" w:rsidRPr="0080341E" w:rsidRDefault="001A2A7B" w:rsidP="007A3A88">
      <w:pPr>
        <w:spacing w:line="360" w:lineRule="auto"/>
        <w:jc w:val="both"/>
        <w:rPr>
          <w:rFonts w:ascii="Arial" w:hAnsi="Arial"/>
          <w:color w:val="92CDDC" w:themeColor="accent5" w:themeTint="99"/>
          <w:sz w:val="20"/>
          <w:szCs w:val="20"/>
        </w:rPr>
      </w:pPr>
      <w:r>
        <w:rPr>
          <w:rFonts w:ascii="Arial" w:hAnsi="Arial"/>
          <w:sz w:val="20"/>
          <w:szCs w:val="20"/>
        </w:rPr>
        <w:t>Able to understand the project and provide voluntary consent</w:t>
      </w:r>
      <w:r w:rsidR="007D5B9D">
        <w:rPr>
          <w:rFonts w:ascii="Arial" w:hAnsi="Arial"/>
          <w:sz w:val="20"/>
          <w:szCs w:val="20"/>
        </w:rPr>
        <w:t xml:space="preserve"> and continued participation</w:t>
      </w:r>
    </w:p>
    <w:p w14:paraId="05B4240B" w14:textId="77777777" w:rsidR="003B4AC1" w:rsidRDefault="003B4AC1" w:rsidP="007A3A88">
      <w:pPr>
        <w:spacing w:line="360" w:lineRule="auto"/>
        <w:jc w:val="both"/>
        <w:rPr>
          <w:rFonts w:ascii="Arial" w:hAnsi="Arial"/>
          <w:i/>
          <w:sz w:val="20"/>
          <w:szCs w:val="20"/>
        </w:rPr>
      </w:pPr>
    </w:p>
    <w:p w14:paraId="3DFDD9AB" w14:textId="5F8AA684" w:rsidR="00BF7CA6" w:rsidRPr="00BF7CA6" w:rsidRDefault="00BF7CA6" w:rsidP="007A3A88">
      <w:pPr>
        <w:spacing w:line="360" w:lineRule="auto"/>
        <w:jc w:val="both"/>
        <w:rPr>
          <w:rFonts w:ascii="Arial" w:hAnsi="Arial"/>
          <w:i/>
          <w:color w:val="92CDDC" w:themeColor="accent5" w:themeTint="99"/>
          <w:sz w:val="20"/>
          <w:szCs w:val="20"/>
        </w:rPr>
      </w:pPr>
      <w:r w:rsidRPr="004D06BB">
        <w:rPr>
          <w:rFonts w:ascii="Arial" w:hAnsi="Arial"/>
          <w:i/>
          <w:color w:val="92CDDC" w:themeColor="accent5" w:themeTint="99"/>
          <w:sz w:val="20"/>
          <w:szCs w:val="20"/>
        </w:rPr>
        <w:t>Exclusion criteria</w:t>
      </w:r>
    </w:p>
    <w:p w14:paraId="5B338CBD" w14:textId="509272AC" w:rsidR="003B4AC1" w:rsidRDefault="003B4AC1" w:rsidP="007A3A88">
      <w:pPr>
        <w:spacing w:line="360" w:lineRule="auto"/>
        <w:jc w:val="both"/>
        <w:rPr>
          <w:rFonts w:ascii="Arial" w:hAnsi="Arial"/>
          <w:sz w:val="20"/>
          <w:szCs w:val="20"/>
        </w:rPr>
      </w:pPr>
      <w:r>
        <w:rPr>
          <w:rFonts w:ascii="Arial" w:hAnsi="Arial"/>
          <w:sz w:val="20"/>
          <w:szCs w:val="20"/>
        </w:rPr>
        <w:t>Patients under 18 years of age</w:t>
      </w:r>
      <w:r w:rsidR="00A5646C">
        <w:rPr>
          <w:rFonts w:ascii="Arial" w:hAnsi="Arial"/>
          <w:sz w:val="20"/>
          <w:szCs w:val="20"/>
        </w:rPr>
        <w:t xml:space="preserve"> (i.e. paediatric population)</w:t>
      </w:r>
    </w:p>
    <w:p w14:paraId="61D6B811" w14:textId="2565688A" w:rsidR="002B4344" w:rsidRDefault="002B4344" w:rsidP="007A3A88">
      <w:pPr>
        <w:spacing w:line="360" w:lineRule="auto"/>
        <w:jc w:val="both"/>
        <w:rPr>
          <w:rFonts w:ascii="Arial" w:hAnsi="Arial"/>
          <w:sz w:val="20"/>
          <w:szCs w:val="20"/>
        </w:rPr>
      </w:pPr>
      <w:r>
        <w:rPr>
          <w:rFonts w:ascii="Arial" w:hAnsi="Arial"/>
          <w:sz w:val="20"/>
          <w:szCs w:val="20"/>
        </w:rPr>
        <w:t xml:space="preserve">Patients presenting with </w:t>
      </w:r>
      <w:r w:rsidR="00A5646C">
        <w:rPr>
          <w:rFonts w:ascii="Arial" w:hAnsi="Arial"/>
          <w:sz w:val="20"/>
          <w:szCs w:val="20"/>
        </w:rPr>
        <w:t xml:space="preserve">acute </w:t>
      </w:r>
      <w:r>
        <w:rPr>
          <w:rFonts w:ascii="Arial" w:hAnsi="Arial"/>
          <w:sz w:val="20"/>
          <w:szCs w:val="20"/>
        </w:rPr>
        <w:t>subarachnoid haemorrhage</w:t>
      </w:r>
    </w:p>
    <w:p w14:paraId="753F69A0" w14:textId="1CC414EA" w:rsidR="00D63824" w:rsidRDefault="00D63824" w:rsidP="007A3A88">
      <w:pPr>
        <w:spacing w:line="360" w:lineRule="auto"/>
        <w:jc w:val="both"/>
        <w:rPr>
          <w:rFonts w:ascii="Arial" w:hAnsi="Arial"/>
          <w:sz w:val="20"/>
          <w:szCs w:val="20"/>
        </w:rPr>
      </w:pPr>
      <w:r>
        <w:rPr>
          <w:rFonts w:ascii="Arial" w:hAnsi="Arial"/>
          <w:sz w:val="20"/>
          <w:szCs w:val="20"/>
        </w:rPr>
        <w:t>Patients with significantly impaired renal function (eGFR &lt; 30)</w:t>
      </w:r>
    </w:p>
    <w:p w14:paraId="5193CDD5" w14:textId="35995796" w:rsidR="001A2A7B" w:rsidRDefault="00BE776F" w:rsidP="007A3A88">
      <w:pPr>
        <w:spacing w:line="360" w:lineRule="auto"/>
        <w:jc w:val="both"/>
        <w:rPr>
          <w:rFonts w:ascii="Arial" w:hAnsi="Arial"/>
          <w:sz w:val="20"/>
          <w:szCs w:val="20"/>
        </w:rPr>
      </w:pPr>
      <w:r>
        <w:rPr>
          <w:rFonts w:ascii="Arial" w:hAnsi="Arial"/>
          <w:sz w:val="20"/>
          <w:szCs w:val="20"/>
        </w:rPr>
        <w:t>Patients not suitable for 3T MR imaging (e.g. pacemakers)</w:t>
      </w:r>
    </w:p>
    <w:p w14:paraId="4595C070" w14:textId="32B551F0" w:rsidR="009849CE" w:rsidRDefault="009849CE" w:rsidP="007A3A88">
      <w:pPr>
        <w:spacing w:line="360" w:lineRule="auto"/>
        <w:jc w:val="both"/>
        <w:rPr>
          <w:rFonts w:ascii="Arial" w:hAnsi="Arial"/>
          <w:sz w:val="20"/>
          <w:szCs w:val="20"/>
        </w:rPr>
      </w:pPr>
      <w:r>
        <w:rPr>
          <w:rFonts w:ascii="Arial" w:hAnsi="Arial"/>
          <w:sz w:val="20"/>
          <w:szCs w:val="20"/>
        </w:rPr>
        <w:t xml:space="preserve">Pregnant </w:t>
      </w:r>
      <w:r w:rsidR="00DD18F8">
        <w:rPr>
          <w:rFonts w:ascii="Arial" w:hAnsi="Arial"/>
          <w:sz w:val="20"/>
          <w:szCs w:val="20"/>
        </w:rPr>
        <w:t>w</w:t>
      </w:r>
      <w:r>
        <w:rPr>
          <w:rFonts w:ascii="Arial" w:hAnsi="Arial"/>
          <w:sz w:val="20"/>
          <w:szCs w:val="20"/>
        </w:rPr>
        <w:t>omen</w:t>
      </w:r>
    </w:p>
    <w:p w14:paraId="2D810B93" w14:textId="4C20E20C" w:rsidR="00EF6FC9" w:rsidRDefault="00EF6FC9" w:rsidP="007A3A88">
      <w:pPr>
        <w:spacing w:line="360" w:lineRule="auto"/>
        <w:jc w:val="both"/>
        <w:rPr>
          <w:rFonts w:ascii="Arial" w:hAnsi="Arial"/>
          <w:i/>
          <w:sz w:val="20"/>
          <w:szCs w:val="20"/>
        </w:rPr>
      </w:pPr>
      <w:r>
        <w:rPr>
          <w:rFonts w:ascii="Arial" w:hAnsi="Arial"/>
          <w:i/>
          <w:sz w:val="20"/>
          <w:szCs w:val="20"/>
        </w:rPr>
        <w:t>Patients deemed not to require anti-coagulation (see Method section)</w:t>
      </w:r>
    </w:p>
    <w:p w14:paraId="4AA5E230" w14:textId="77777777" w:rsidR="00EF6FC9" w:rsidRDefault="00EF6FC9" w:rsidP="007A3A88">
      <w:pPr>
        <w:spacing w:line="360" w:lineRule="auto"/>
        <w:jc w:val="both"/>
        <w:rPr>
          <w:rFonts w:ascii="Arial" w:hAnsi="Arial"/>
          <w:i/>
          <w:sz w:val="20"/>
          <w:szCs w:val="20"/>
        </w:rPr>
      </w:pPr>
    </w:p>
    <w:p w14:paraId="2F15C4B4" w14:textId="23C7A0DB" w:rsidR="000C60A0" w:rsidRPr="000C60A0" w:rsidRDefault="000C60A0" w:rsidP="007A3A88">
      <w:pPr>
        <w:spacing w:line="360" w:lineRule="auto"/>
        <w:jc w:val="both"/>
        <w:rPr>
          <w:rFonts w:ascii="Arial" w:hAnsi="Arial"/>
          <w:i/>
          <w:color w:val="92CDDC" w:themeColor="accent5" w:themeTint="99"/>
          <w:sz w:val="20"/>
          <w:szCs w:val="20"/>
        </w:rPr>
      </w:pPr>
      <w:r w:rsidRPr="000C60A0">
        <w:rPr>
          <w:rFonts w:ascii="Arial" w:hAnsi="Arial"/>
          <w:i/>
          <w:color w:val="92CDDC" w:themeColor="accent5" w:themeTint="99"/>
          <w:sz w:val="20"/>
          <w:szCs w:val="20"/>
        </w:rPr>
        <w:t>Recruitment</w:t>
      </w:r>
    </w:p>
    <w:p w14:paraId="7127ED4D" w14:textId="24147FE3" w:rsidR="000C60A0" w:rsidRPr="005011BD" w:rsidRDefault="005011BD" w:rsidP="007A3A88">
      <w:pPr>
        <w:spacing w:line="360" w:lineRule="auto"/>
        <w:jc w:val="both"/>
        <w:rPr>
          <w:rFonts w:ascii="Arial" w:hAnsi="Arial"/>
          <w:sz w:val="20"/>
          <w:szCs w:val="20"/>
        </w:rPr>
      </w:pPr>
      <w:r w:rsidRPr="005011BD">
        <w:rPr>
          <w:rFonts w:ascii="Arial" w:hAnsi="Arial"/>
          <w:sz w:val="20"/>
          <w:szCs w:val="20"/>
        </w:rPr>
        <w:t>Preadmission clinic and/or prior to procedure</w:t>
      </w:r>
    </w:p>
    <w:p w14:paraId="26C0D13C" w14:textId="77777777" w:rsidR="005011BD" w:rsidRPr="001C2C39" w:rsidRDefault="005011BD" w:rsidP="007A3A88">
      <w:pPr>
        <w:spacing w:line="360" w:lineRule="auto"/>
        <w:jc w:val="both"/>
        <w:rPr>
          <w:rFonts w:ascii="Arial" w:hAnsi="Arial"/>
          <w:i/>
          <w:sz w:val="20"/>
          <w:szCs w:val="20"/>
        </w:rPr>
      </w:pPr>
    </w:p>
    <w:p w14:paraId="29B4A6E8" w14:textId="77777777" w:rsidR="00BF7CA6" w:rsidRPr="004D06BB" w:rsidRDefault="00BF7CA6" w:rsidP="007A3A88">
      <w:pPr>
        <w:spacing w:line="360" w:lineRule="auto"/>
        <w:jc w:val="both"/>
        <w:rPr>
          <w:rFonts w:ascii="Arial" w:hAnsi="Arial"/>
          <w:color w:val="92CDDC" w:themeColor="accent5" w:themeTint="99"/>
          <w:sz w:val="20"/>
          <w:szCs w:val="20"/>
        </w:rPr>
      </w:pPr>
      <w:r w:rsidRPr="004D06BB">
        <w:rPr>
          <w:rFonts w:ascii="Arial" w:hAnsi="Arial"/>
          <w:i/>
          <w:color w:val="92CDDC" w:themeColor="accent5" w:themeTint="99"/>
          <w:sz w:val="20"/>
          <w:szCs w:val="20"/>
        </w:rPr>
        <w:t>Number of participants</w:t>
      </w:r>
    </w:p>
    <w:p w14:paraId="0F12D366" w14:textId="79E69C9C" w:rsidR="00C26C49" w:rsidRDefault="00581FED" w:rsidP="007A3A88">
      <w:pPr>
        <w:spacing w:line="360" w:lineRule="auto"/>
        <w:jc w:val="both"/>
        <w:rPr>
          <w:rFonts w:ascii="Arial" w:hAnsi="Arial"/>
          <w:sz w:val="20"/>
          <w:szCs w:val="20"/>
        </w:rPr>
      </w:pPr>
      <w:r w:rsidRPr="00581FED">
        <w:rPr>
          <w:rFonts w:ascii="Arial" w:hAnsi="Arial" w:cs="Arial"/>
          <w:sz w:val="20"/>
          <w:szCs w:val="20"/>
        </w:rPr>
        <w:t>The sample size calculations are based on the comparison between enoxaparin 1mg/kg (given at T=0 and T=12hrs) and enoxaparin 1.5mg/kg (given at T=0) for the primary outcome, which is the proportion of patients experiencing a new DWI lesion post procedure. Sample size calculations were performed using a two-sided pooled Z test based on 80% power and equal number allocation to each group. An estimate of the proportion of patients with a new DWI lesion post procedure was derived from the EPPICS I study performed at the Royal Brisbane and Women’s Hospital (RBWH) between 2016-2020. EPPICS found 0.64 of patients experienced a new DWI lesion post procedure in the enoxaparin 1mg/kg group. With a clinically meaningful absolute decrease of 0.25 and a type I error rate (α) of 0.05, 62 participants are required for each of the two arms. Therefore we aim to recruit a total of 124 participants.</w:t>
      </w:r>
    </w:p>
    <w:p w14:paraId="0E120D36" w14:textId="77777777" w:rsidR="003B4AC1" w:rsidRPr="00C00730" w:rsidRDefault="003B4AC1" w:rsidP="007A3A88">
      <w:pPr>
        <w:spacing w:line="360" w:lineRule="auto"/>
        <w:jc w:val="both"/>
        <w:rPr>
          <w:rFonts w:ascii="Arial" w:hAnsi="Arial"/>
          <w:iCs/>
          <w:sz w:val="20"/>
          <w:szCs w:val="20"/>
        </w:rPr>
      </w:pPr>
    </w:p>
    <w:p w14:paraId="3C72AB07" w14:textId="3467DD32" w:rsidR="000C60A0" w:rsidRPr="000C60A0" w:rsidRDefault="000C60A0" w:rsidP="007A3A88">
      <w:pPr>
        <w:spacing w:line="360" w:lineRule="auto"/>
        <w:jc w:val="both"/>
        <w:rPr>
          <w:rFonts w:ascii="Arial" w:hAnsi="Arial"/>
          <w:i/>
          <w:color w:val="92CDDC" w:themeColor="accent5" w:themeTint="99"/>
          <w:sz w:val="20"/>
          <w:szCs w:val="20"/>
        </w:rPr>
      </w:pPr>
      <w:r w:rsidRPr="000C60A0">
        <w:rPr>
          <w:rFonts w:ascii="Arial" w:hAnsi="Arial"/>
          <w:i/>
          <w:color w:val="92CDDC" w:themeColor="accent5" w:themeTint="99"/>
          <w:sz w:val="20"/>
          <w:szCs w:val="20"/>
        </w:rPr>
        <w:t>Consent / Privacy</w:t>
      </w:r>
    </w:p>
    <w:p w14:paraId="16181199" w14:textId="2E70587E" w:rsidR="000C60A0" w:rsidRPr="00077A61" w:rsidRDefault="00077A61" w:rsidP="007A3A88">
      <w:pPr>
        <w:spacing w:line="360" w:lineRule="auto"/>
        <w:jc w:val="both"/>
        <w:rPr>
          <w:rFonts w:ascii="Arial" w:hAnsi="Arial"/>
          <w:sz w:val="20"/>
          <w:szCs w:val="20"/>
        </w:rPr>
      </w:pPr>
      <w:r>
        <w:rPr>
          <w:rFonts w:ascii="Arial" w:hAnsi="Arial"/>
          <w:sz w:val="20"/>
          <w:szCs w:val="20"/>
        </w:rPr>
        <w:t xml:space="preserve">A process of informed consent will be utilized for this study. Patients will be provided with all relevant details of the study to a level of their understanding. No identifiable patient information will be published. </w:t>
      </w:r>
      <w:r w:rsidR="00E94CEB">
        <w:rPr>
          <w:rFonts w:ascii="Arial" w:hAnsi="Arial"/>
          <w:sz w:val="20"/>
          <w:szCs w:val="20"/>
        </w:rPr>
        <w:t xml:space="preserve">All data will be kept securely at the Royal Brisbane and Women’s Hospital (RBWH) and handled as per the Data Security protocol (see below). </w:t>
      </w:r>
    </w:p>
    <w:p w14:paraId="25EF96EE" w14:textId="77777777" w:rsidR="00077A61" w:rsidRDefault="00077A61" w:rsidP="007A3A88">
      <w:pPr>
        <w:spacing w:line="360" w:lineRule="auto"/>
        <w:jc w:val="both"/>
        <w:rPr>
          <w:rFonts w:ascii="Arial" w:hAnsi="Arial"/>
          <w:i/>
          <w:sz w:val="20"/>
          <w:szCs w:val="20"/>
        </w:rPr>
      </w:pPr>
    </w:p>
    <w:p w14:paraId="0F9D8D00" w14:textId="19C442DB" w:rsidR="000C60A0" w:rsidRPr="000C60A0" w:rsidRDefault="000C60A0" w:rsidP="007A3A88">
      <w:pPr>
        <w:spacing w:line="360" w:lineRule="auto"/>
        <w:jc w:val="both"/>
        <w:rPr>
          <w:rFonts w:ascii="Arial" w:hAnsi="Arial"/>
          <w:i/>
          <w:color w:val="92CDDC" w:themeColor="accent5" w:themeTint="99"/>
          <w:sz w:val="20"/>
          <w:szCs w:val="20"/>
        </w:rPr>
      </w:pPr>
      <w:r w:rsidRPr="000C60A0">
        <w:rPr>
          <w:rFonts w:ascii="Arial" w:hAnsi="Arial"/>
          <w:i/>
          <w:color w:val="92CDDC" w:themeColor="accent5" w:themeTint="99"/>
          <w:sz w:val="20"/>
          <w:szCs w:val="20"/>
        </w:rPr>
        <w:lastRenderedPageBreak/>
        <w:t>Process</w:t>
      </w:r>
    </w:p>
    <w:p w14:paraId="2A36F791" w14:textId="3715D3D1" w:rsidR="000C60A0" w:rsidRPr="000861FD" w:rsidRDefault="000861FD" w:rsidP="000861FD">
      <w:pPr>
        <w:pStyle w:val="ListParagraph"/>
        <w:numPr>
          <w:ilvl w:val="0"/>
          <w:numId w:val="5"/>
        </w:numPr>
        <w:spacing w:line="360" w:lineRule="auto"/>
        <w:jc w:val="both"/>
        <w:rPr>
          <w:rFonts w:ascii="Arial" w:hAnsi="Arial"/>
          <w:sz w:val="20"/>
          <w:szCs w:val="20"/>
        </w:rPr>
      </w:pPr>
      <w:r w:rsidRPr="000861FD">
        <w:rPr>
          <w:rFonts w:ascii="Arial" w:hAnsi="Arial"/>
          <w:sz w:val="20"/>
          <w:szCs w:val="20"/>
        </w:rPr>
        <w:t xml:space="preserve">Patients will initially be identified after referral to the </w:t>
      </w:r>
      <w:r w:rsidR="00906E26">
        <w:rPr>
          <w:rFonts w:ascii="Arial" w:hAnsi="Arial"/>
          <w:sz w:val="20"/>
          <w:szCs w:val="20"/>
        </w:rPr>
        <w:t>Interventional Neuroradiology Service</w:t>
      </w:r>
      <w:r w:rsidRPr="000861FD">
        <w:rPr>
          <w:rFonts w:ascii="Arial" w:hAnsi="Arial"/>
          <w:sz w:val="20"/>
          <w:szCs w:val="20"/>
        </w:rPr>
        <w:t xml:space="preserve"> for consideration of </w:t>
      </w:r>
      <w:r w:rsidR="00906E26">
        <w:rPr>
          <w:rFonts w:ascii="Arial" w:hAnsi="Arial"/>
          <w:sz w:val="20"/>
          <w:szCs w:val="20"/>
        </w:rPr>
        <w:t>treatment</w:t>
      </w:r>
    </w:p>
    <w:p w14:paraId="486870F8" w14:textId="404E35BD" w:rsidR="000861FD" w:rsidRDefault="000861FD" w:rsidP="000861FD">
      <w:pPr>
        <w:pStyle w:val="ListParagraph"/>
        <w:numPr>
          <w:ilvl w:val="0"/>
          <w:numId w:val="5"/>
        </w:numPr>
        <w:spacing w:line="360" w:lineRule="auto"/>
        <w:jc w:val="both"/>
        <w:rPr>
          <w:rFonts w:ascii="Arial" w:hAnsi="Arial"/>
          <w:sz w:val="20"/>
          <w:szCs w:val="20"/>
        </w:rPr>
      </w:pPr>
      <w:r>
        <w:rPr>
          <w:rFonts w:ascii="Arial" w:hAnsi="Arial"/>
          <w:sz w:val="20"/>
          <w:szCs w:val="20"/>
        </w:rPr>
        <w:t xml:space="preserve">Discussion of the research project may initially be done here and patients will be provided with an information </w:t>
      </w:r>
      <w:r w:rsidR="00F91A52">
        <w:rPr>
          <w:rFonts w:ascii="Arial" w:hAnsi="Arial"/>
          <w:sz w:val="20"/>
          <w:szCs w:val="20"/>
        </w:rPr>
        <w:t>sheet</w:t>
      </w:r>
    </w:p>
    <w:p w14:paraId="7EC58134" w14:textId="26DA0759" w:rsidR="000861FD" w:rsidRDefault="000861FD" w:rsidP="000861FD">
      <w:pPr>
        <w:pStyle w:val="ListParagraph"/>
        <w:numPr>
          <w:ilvl w:val="0"/>
          <w:numId w:val="5"/>
        </w:numPr>
        <w:spacing w:line="360" w:lineRule="auto"/>
        <w:jc w:val="both"/>
        <w:rPr>
          <w:rFonts w:ascii="Arial" w:hAnsi="Arial"/>
          <w:sz w:val="20"/>
          <w:szCs w:val="20"/>
        </w:rPr>
      </w:pPr>
      <w:r>
        <w:rPr>
          <w:rFonts w:ascii="Arial" w:hAnsi="Arial"/>
          <w:sz w:val="20"/>
          <w:szCs w:val="20"/>
        </w:rPr>
        <w:t xml:space="preserve">Alternatively, patients may be recruited </w:t>
      </w:r>
      <w:r w:rsidR="00F91A52">
        <w:rPr>
          <w:rFonts w:ascii="Arial" w:hAnsi="Arial"/>
          <w:sz w:val="20"/>
          <w:szCs w:val="20"/>
        </w:rPr>
        <w:t>after confirmation booking for their procedure</w:t>
      </w:r>
    </w:p>
    <w:p w14:paraId="5FA3B816" w14:textId="36E0EDFB" w:rsidR="00F91A52" w:rsidRDefault="00F91A52" w:rsidP="000861FD">
      <w:pPr>
        <w:pStyle w:val="ListParagraph"/>
        <w:numPr>
          <w:ilvl w:val="0"/>
          <w:numId w:val="5"/>
        </w:numPr>
        <w:spacing w:line="360" w:lineRule="auto"/>
        <w:jc w:val="both"/>
        <w:rPr>
          <w:rFonts w:ascii="Arial" w:hAnsi="Arial"/>
          <w:sz w:val="20"/>
          <w:szCs w:val="20"/>
        </w:rPr>
      </w:pPr>
      <w:r>
        <w:rPr>
          <w:rFonts w:ascii="Arial" w:hAnsi="Arial"/>
          <w:sz w:val="20"/>
          <w:szCs w:val="20"/>
        </w:rPr>
        <w:t>A letter of invitation and patient information and consent form (PICF) will be mailed out to patients at this time for their consideration</w:t>
      </w:r>
    </w:p>
    <w:p w14:paraId="18CF6FB9" w14:textId="6DCA3C7C" w:rsidR="00F91A52" w:rsidRPr="00FD2D4A" w:rsidRDefault="00F91A52">
      <w:pPr>
        <w:pStyle w:val="ListParagraph"/>
        <w:numPr>
          <w:ilvl w:val="0"/>
          <w:numId w:val="5"/>
        </w:numPr>
        <w:spacing w:line="360" w:lineRule="auto"/>
        <w:jc w:val="both"/>
        <w:rPr>
          <w:rFonts w:ascii="Arial" w:hAnsi="Arial"/>
          <w:sz w:val="20"/>
          <w:szCs w:val="20"/>
        </w:rPr>
      </w:pPr>
      <w:r w:rsidRPr="00FD2D4A">
        <w:rPr>
          <w:rFonts w:ascii="Arial" w:hAnsi="Arial"/>
          <w:sz w:val="20"/>
          <w:szCs w:val="20"/>
        </w:rPr>
        <w:t xml:space="preserve">Patients will attend an </w:t>
      </w:r>
      <w:r w:rsidRPr="00A100AF">
        <w:rPr>
          <w:rFonts w:ascii="Arial" w:hAnsi="Arial"/>
          <w:sz w:val="20"/>
          <w:szCs w:val="20"/>
        </w:rPr>
        <w:t xml:space="preserve">anaesthetic pre-admission appointment </w:t>
      </w:r>
      <w:r w:rsidRPr="00FD2D4A">
        <w:rPr>
          <w:rFonts w:ascii="Arial" w:hAnsi="Arial"/>
          <w:sz w:val="20"/>
          <w:szCs w:val="20"/>
        </w:rPr>
        <w:t>prior to their scheduled intervention</w:t>
      </w:r>
      <w:r w:rsidR="00FD2D4A" w:rsidRPr="00FD2D4A">
        <w:rPr>
          <w:rFonts w:ascii="Arial" w:hAnsi="Arial"/>
          <w:sz w:val="20"/>
          <w:szCs w:val="20"/>
        </w:rPr>
        <w:t>.</w:t>
      </w:r>
      <w:r w:rsidR="00FD2D4A">
        <w:rPr>
          <w:rFonts w:ascii="Arial" w:hAnsi="Arial"/>
          <w:sz w:val="20"/>
          <w:szCs w:val="20"/>
        </w:rPr>
        <w:t xml:space="preserve"> </w:t>
      </w:r>
      <w:r w:rsidR="009A5D97">
        <w:rPr>
          <w:rFonts w:ascii="Arial" w:hAnsi="Arial"/>
          <w:sz w:val="20"/>
          <w:szCs w:val="20"/>
        </w:rPr>
        <w:t>A</w:t>
      </w:r>
      <w:r w:rsidR="00465425" w:rsidRPr="00FD2D4A">
        <w:rPr>
          <w:rFonts w:ascii="Arial" w:hAnsi="Arial"/>
          <w:sz w:val="20"/>
          <w:szCs w:val="20"/>
        </w:rPr>
        <w:t xml:space="preserve"> </w:t>
      </w:r>
      <w:r w:rsidRPr="00FD2D4A">
        <w:rPr>
          <w:rFonts w:ascii="Arial" w:hAnsi="Arial"/>
          <w:sz w:val="20"/>
          <w:szCs w:val="20"/>
        </w:rPr>
        <w:t>researcher</w:t>
      </w:r>
      <w:r w:rsidR="008C78D2">
        <w:rPr>
          <w:rFonts w:ascii="Arial" w:hAnsi="Arial"/>
          <w:sz w:val="20"/>
          <w:szCs w:val="20"/>
        </w:rPr>
        <w:t>/resident</w:t>
      </w:r>
      <w:r w:rsidRPr="00FD2D4A">
        <w:rPr>
          <w:rFonts w:ascii="Arial" w:hAnsi="Arial"/>
          <w:sz w:val="20"/>
          <w:szCs w:val="20"/>
        </w:rPr>
        <w:t xml:space="preserve"> </w:t>
      </w:r>
      <w:r w:rsidR="00E1569C">
        <w:rPr>
          <w:rFonts w:ascii="Arial" w:hAnsi="Arial"/>
          <w:sz w:val="20"/>
          <w:szCs w:val="20"/>
        </w:rPr>
        <w:t>from the RBWH</w:t>
      </w:r>
      <w:r w:rsidR="00E14123">
        <w:rPr>
          <w:rFonts w:ascii="Arial" w:hAnsi="Arial"/>
          <w:sz w:val="20"/>
          <w:szCs w:val="20"/>
        </w:rPr>
        <w:t xml:space="preserve"> </w:t>
      </w:r>
      <w:r w:rsidR="00E1569C">
        <w:rPr>
          <w:rFonts w:ascii="Arial" w:hAnsi="Arial"/>
          <w:sz w:val="20"/>
          <w:szCs w:val="20"/>
        </w:rPr>
        <w:t xml:space="preserve">Department of Medical Imaging </w:t>
      </w:r>
      <w:r w:rsidRPr="00FD2D4A">
        <w:rPr>
          <w:rFonts w:ascii="Arial" w:hAnsi="Arial"/>
          <w:sz w:val="20"/>
          <w:szCs w:val="20"/>
        </w:rPr>
        <w:t>will attempt to liaise with the patient</w:t>
      </w:r>
      <w:r w:rsidR="004C60DC">
        <w:rPr>
          <w:rFonts w:ascii="Arial" w:hAnsi="Arial"/>
          <w:sz w:val="20"/>
          <w:szCs w:val="20"/>
        </w:rPr>
        <w:t xml:space="preserve"> between this time and the day of the procedure. </w:t>
      </w:r>
      <w:r w:rsidR="00AE5F39">
        <w:rPr>
          <w:rFonts w:ascii="Arial" w:hAnsi="Arial"/>
          <w:sz w:val="20"/>
          <w:szCs w:val="20"/>
        </w:rPr>
        <w:t>Contact may be in person in the Department or over the telephone</w:t>
      </w:r>
    </w:p>
    <w:p w14:paraId="53429429" w14:textId="7FC74A09" w:rsidR="00F91A52" w:rsidRDefault="00124416" w:rsidP="000861FD">
      <w:pPr>
        <w:pStyle w:val="ListParagraph"/>
        <w:numPr>
          <w:ilvl w:val="0"/>
          <w:numId w:val="5"/>
        </w:numPr>
        <w:spacing w:line="360" w:lineRule="auto"/>
        <w:jc w:val="both"/>
        <w:rPr>
          <w:rFonts w:ascii="Arial" w:hAnsi="Arial"/>
          <w:sz w:val="20"/>
          <w:szCs w:val="20"/>
        </w:rPr>
      </w:pPr>
      <w:r>
        <w:rPr>
          <w:rFonts w:ascii="Arial" w:hAnsi="Arial"/>
          <w:sz w:val="20"/>
          <w:szCs w:val="20"/>
        </w:rPr>
        <w:t xml:space="preserve">On the day of the procedure they </w:t>
      </w:r>
      <w:r w:rsidR="00EE02A7">
        <w:rPr>
          <w:rFonts w:ascii="Arial" w:hAnsi="Arial"/>
          <w:sz w:val="20"/>
          <w:szCs w:val="20"/>
        </w:rPr>
        <w:t>will undergo initial MRI</w:t>
      </w:r>
      <w:r w:rsidR="006D2073">
        <w:rPr>
          <w:rFonts w:ascii="Arial" w:hAnsi="Arial"/>
          <w:sz w:val="20"/>
          <w:szCs w:val="20"/>
        </w:rPr>
        <w:t xml:space="preserve"> (DWI, SWI, FLAIR)</w:t>
      </w:r>
    </w:p>
    <w:p w14:paraId="190D0397" w14:textId="77777777" w:rsidR="00EE02A7" w:rsidRDefault="00EE02A7" w:rsidP="000861FD">
      <w:pPr>
        <w:pStyle w:val="ListParagraph"/>
        <w:numPr>
          <w:ilvl w:val="0"/>
          <w:numId w:val="5"/>
        </w:numPr>
        <w:spacing w:line="360" w:lineRule="auto"/>
        <w:jc w:val="both"/>
        <w:rPr>
          <w:rFonts w:ascii="Arial" w:hAnsi="Arial"/>
          <w:sz w:val="20"/>
          <w:szCs w:val="20"/>
        </w:rPr>
      </w:pPr>
      <w:r>
        <w:rPr>
          <w:rFonts w:ascii="Arial" w:hAnsi="Arial"/>
          <w:sz w:val="20"/>
          <w:szCs w:val="20"/>
        </w:rPr>
        <w:t>The coiling/stenting procedure will be performed according to operator discretion and local protocol</w:t>
      </w:r>
    </w:p>
    <w:p w14:paraId="09CC1726" w14:textId="77777777" w:rsidR="00EE02A7" w:rsidRDefault="00EE02A7" w:rsidP="000861FD">
      <w:pPr>
        <w:pStyle w:val="ListParagraph"/>
        <w:numPr>
          <w:ilvl w:val="0"/>
          <w:numId w:val="5"/>
        </w:numPr>
        <w:spacing w:line="360" w:lineRule="auto"/>
        <w:jc w:val="both"/>
        <w:rPr>
          <w:rFonts w:ascii="Arial" w:hAnsi="Arial"/>
          <w:sz w:val="20"/>
          <w:szCs w:val="20"/>
        </w:rPr>
      </w:pPr>
      <w:r>
        <w:rPr>
          <w:rFonts w:ascii="Arial" w:hAnsi="Arial"/>
          <w:sz w:val="20"/>
          <w:szCs w:val="20"/>
        </w:rPr>
        <w:t>Intraoperative anticoagulation will be administered in the form of heparin with a target ACT of 200-300s</w:t>
      </w:r>
    </w:p>
    <w:p w14:paraId="7C4B9E03" w14:textId="52A68572" w:rsidR="00EE02A7" w:rsidRDefault="00EE02A7" w:rsidP="000861FD">
      <w:pPr>
        <w:pStyle w:val="ListParagraph"/>
        <w:numPr>
          <w:ilvl w:val="0"/>
          <w:numId w:val="5"/>
        </w:numPr>
        <w:spacing w:line="360" w:lineRule="auto"/>
        <w:jc w:val="both"/>
        <w:rPr>
          <w:rFonts w:ascii="Arial" w:hAnsi="Arial"/>
          <w:sz w:val="20"/>
          <w:szCs w:val="20"/>
        </w:rPr>
      </w:pPr>
      <w:r>
        <w:rPr>
          <w:rFonts w:ascii="Arial" w:hAnsi="Arial"/>
          <w:sz w:val="20"/>
          <w:szCs w:val="20"/>
        </w:rPr>
        <w:t>At the conclusion of the procedure the femoral</w:t>
      </w:r>
      <w:r w:rsidR="0093606D">
        <w:rPr>
          <w:rFonts w:ascii="Arial" w:hAnsi="Arial"/>
          <w:sz w:val="20"/>
          <w:szCs w:val="20"/>
        </w:rPr>
        <w:t>/radial</w:t>
      </w:r>
      <w:r>
        <w:rPr>
          <w:rFonts w:ascii="Arial" w:hAnsi="Arial"/>
          <w:sz w:val="20"/>
          <w:szCs w:val="20"/>
        </w:rPr>
        <w:t xml:space="preserve"> catheter sheath will be removed</w:t>
      </w:r>
    </w:p>
    <w:p w14:paraId="2DD35F8B" w14:textId="06DAD61F" w:rsidR="00EE02A7" w:rsidRDefault="00EE02A7" w:rsidP="000861FD">
      <w:pPr>
        <w:pStyle w:val="ListParagraph"/>
        <w:numPr>
          <w:ilvl w:val="0"/>
          <w:numId w:val="5"/>
        </w:numPr>
        <w:spacing w:line="360" w:lineRule="auto"/>
        <w:jc w:val="both"/>
        <w:rPr>
          <w:rFonts w:ascii="Arial" w:hAnsi="Arial"/>
          <w:sz w:val="20"/>
          <w:szCs w:val="20"/>
        </w:rPr>
      </w:pPr>
      <w:r>
        <w:rPr>
          <w:rFonts w:ascii="Arial" w:hAnsi="Arial"/>
          <w:sz w:val="20"/>
          <w:szCs w:val="20"/>
        </w:rPr>
        <w:t xml:space="preserve">Patients will then be randomized into one of the </w:t>
      </w:r>
      <w:r w:rsidR="0093606D">
        <w:rPr>
          <w:rFonts w:ascii="Arial" w:hAnsi="Arial"/>
          <w:sz w:val="20"/>
          <w:szCs w:val="20"/>
        </w:rPr>
        <w:t xml:space="preserve">two </w:t>
      </w:r>
      <w:r>
        <w:rPr>
          <w:rFonts w:ascii="Arial" w:hAnsi="Arial"/>
          <w:sz w:val="20"/>
          <w:szCs w:val="20"/>
        </w:rPr>
        <w:t xml:space="preserve">aforementioned post-operative </w:t>
      </w:r>
      <w:r w:rsidR="00902324">
        <w:rPr>
          <w:rFonts w:ascii="Arial" w:hAnsi="Arial"/>
          <w:sz w:val="20"/>
          <w:szCs w:val="20"/>
        </w:rPr>
        <w:t>anticoagulation</w:t>
      </w:r>
      <w:r>
        <w:rPr>
          <w:rFonts w:ascii="Arial" w:hAnsi="Arial"/>
          <w:sz w:val="20"/>
          <w:szCs w:val="20"/>
        </w:rPr>
        <w:t xml:space="preserve"> groups </w:t>
      </w:r>
    </w:p>
    <w:p w14:paraId="1B703BC6" w14:textId="6CE4EE73" w:rsidR="006D2073" w:rsidRDefault="006D2073" w:rsidP="006D2073">
      <w:pPr>
        <w:pStyle w:val="ListParagraph"/>
        <w:numPr>
          <w:ilvl w:val="1"/>
          <w:numId w:val="5"/>
        </w:numPr>
        <w:spacing w:line="360" w:lineRule="auto"/>
        <w:jc w:val="both"/>
        <w:rPr>
          <w:rFonts w:ascii="Arial" w:hAnsi="Arial"/>
          <w:sz w:val="20"/>
          <w:szCs w:val="20"/>
        </w:rPr>
      </w:pPr>
      <w:r>
        <w:rPr>
          <w:rFonts w:ascii="Arial" w:hAnsi="Arial"/>
          <w:sz w:val="20"/>
          <w:szCs w:val="20"/>
        </w:rPr>
        <w:t>A randomi</w:t>
      </w:r>
      <w:r w:rsidR="00240925">
        <w:rPr>
          <w:rFonts w:ascii="Arial" w:hAnsi="Arial"/>
          <w:sz w:val="20"/>
          <w:szCs w:val="20"/>
        </w:rPr>
        <w:t>s</w:t>
      </w:r>
      <w:r>
        <w:rPr>
          <w:rFonts w:ascii="Arial" w:hAnsi="Arial"/>
          <w:sz w:val="20"/>
          <w:szCs w:val="20"/>
        </w:rPr>
        <w:t xml:space="preserve">ed database will be generated </w:t>
      </w:r>
      <w:r w:rsidR="00240925">
        <w:rPr>
          <w:rFonts w:ascii="Arial" w:hAnsi="Arial"/>
          <w:sz w:val="20"/>
          <w:szCs w:val="20"/>
        </w:rPr>
        <w:t>using a Microsoft Excel spreadsheet</w:t>
      </w:r>
      <w:r w:rsidR="008C7525">
        <w:rPr>
          <w:rFonts w:ascii="Arial" w:hAnsi="Arial"/>
          <w:sz w:val="20"/>
          <w:szCs w:val="20"/>
        </w:rPr>
        <w:t xml:space="preserve"> randomise function</w:t>
      </w:r>
    </w:p>
    <w:p w14:paraId="012AF012" w14:textId="25B562A7" w:rsidR="006D2073" w:rsidRDefault="008A4702" w:rsidP="006D2073">
      <w:pPr>
        <w:pStyle w:val="ListParagraph"/>
        <w:numPr>
          <w:ilvl w:val="1"/>
          <w:numId w:val="5"/>
        </w:numPr>
        <w:spacing w:line="360" w:lineRule="auto"/>
        <w:jc w:val="both"/>
        <w:rPr>
          <w:rFonts w:ascii="Arial" w:hAnsi="Arial"/>
          <w:sz w:val="20"/>
          <w:szCs w:val="20"/>
        </w:rPr>
      </w:pPr>
      <w:r w:rsidRPr="00626614">
        <w:rPr>
          <w:rFonts w:ascii="Arial" w:hAnsi="Arial"/>
          <w:sz w:val="20"/>
          <w:szCs w:val="20"/>
        </w:rPr>
        <w:t>1</w:t>
      </w:r>
      <w:r w:rsidR="00240925" w:rsidRPr="00626614">
        <w:rPr>
          <w:rFonts w:ascii="Arial" w:hAnsi="Arial"/>
          <w:sz w:val="20"/>
          <w:szCs w:val="20"/>
        </w:rPr>
        <w:t>24</w:t>
      </w:r>
      <w:r w:rsidRPr="00C606AF">
        <w:rPr>
          <w:rFonts w:ascii="Arial" w:hAnsi="Arial"/>
          <w:sz w:val="20"/>
          <w:szCs w:val="20"/>
        </w:rPr>
        <w:t xml:space="preserve"> </w:t>
      </w:r>
      <w:r w:rsidR="006D2073">
        <w:rPr>
          <w:rFonts w:ascii="Arial" w:hAnsi="Arial"/>
          <w:sz w:val="20"/>
          <w:szCs w:val="20"/>
        </w:rPr>
        <w:t>physical packets will be generated containing the randomi</w:t>
      </w:r>
      <w:r w:rsidR="00922D2A">
        <w:rPr>
          <w:rFonts w:ascii="Arial" w:hAnsi="Arial"/>
          <w:sz w:val="20"/>
          <w:szCs w:val="20"/>
        </w:rPr>
        <w:t>s</w:t>
      </w:r>
      <w:r w:rsidR="006D2073">
        <w:rPr>
          <w:rFonts w:ascii="Arial" w:hAnsi="Arial"/>
          <w:sz w:val="20"/>
          <w:szCs w:val="20"/>
        </w:rPr>
        <w:t>ed group</w:t>
      </w:r>
      <w:r w:rsidR="00865E9B">
        <w:rPr>
          <w:rFonts w:ascii="Arial" w:hAnsi="Arial"/>
          <w:sz w:val="20"/>
          <w:szCs w:val="20"/>
        </w:rPr>
        <w:t xml:space="preserve"> (</w:t>
      </w:r>
      <w:r w:rsidR="00922D2A">
        <w:rPr>
          <w:rFonts w:ascii="Arial" w:hAnsi="Arial"/>
          <w:sz w:val="20"/>
          <w:szCs w:val="20"/>
        </w:rPr>
        <w:t>62</w:t>
      </w:r>
      <w:r>
        <w:rPr>
          <w:rFonts w:ascii="Arial" w:hAnsi="Arial"/>
          <w:sz w:val="20"/>
          <w:szCs w:val="20"/>
        </w:rPr>
        <w:t xml:space="preserve"> </w:t>
      </w:r>
      <w:r w:rsidR="00865E9B">
        <w:rPr>
          <w:rFonts w:ascii="Arial" w:hAnsi="Arial"/>
          <w:sz w:val="20"/>
          <w:szCs w:val="20"/>
        </w:rPr>
        <w:t>per group)</w:t>
      </w:r>
      <w:r w:rsidR="00921AA5">
        <w:rPr>
          <w:rFonts w:ascii="Arial" w:hAnsi="Arial"/>
          <w:sz w:val="20"/>
          <w:szCs w:val="20"/>
        </w:rPr>
        <w:t>, in addition to important research instructions (e.g. forms detailing required observations etc)</w:t>
      </w:r>
    </w:p>
    <w:p w14:paraId="082AC692" w14:textId="4165CBBB" w:rsidR="00921AA5" w:rsidRDefault="00921AA5" w:rsidP="006D2073">
      <w:pPr>
        <w:pStyle w:val="ListParagraph"/>
        <w:numPr>
          <w:ilvl w:val="1"/>
          <w:numId w:val="5"/>
        </w:numPr>
        <w:spacing w:line="360" w:lineRule="auto"/>
        <w:jc w:val="both"/>
        <w:rPr>
          <w:rFonts w:ascii="Arial" w:hAnsi="Arial"/>
          <w:sz w:val="20"/>
          <w:szCs w:val="20"/>
        </w:rPr>
      </w:pPr>
      <w:r>
        <w:rPr>
          <w:rFonts w:ascii="Arial" w:hAnsi="Arial"/>
          <w:sz w:val="20"/>
          <w:szCs w:val="20"/>
        </w:rPr>
        <w:t xml:space="preserve">The </w:t>
      </w:r>
      <w:r w:rsidR="00760B7A">
        <w:rPr>
          <w:rFonts w:ascii="Arial" w:hAnsi="Arial"/>
          <w:sz w:val="20"/>
          <w:szCs w:val="20"/>
        </w:rPr>
        <w:t>operating int</w:t>
      </w:r>
      <w:r>
        <w:rPr>
          <w:rFonts w:ascii="Arial" w:hAnsi="Arial"/>
          <w:sz w:val="20"/>
          <w:szCs w:val="20"/>
        </w:rPr>
        <w:t xml:space="preserve">erventional neuroradiologist will </w:t>
      </w:r>
      <w:r w:rsidR="00E06FE5">
        <w:rPr>
          <w:rFonts w:ascii="Arial" w:hAnsi="Arial"/>
          <w:sz w:val="20"/>
          <w:szCs w:val="20"/>
        </w:rPr>
        <w:t xml:space="preserve">be given </w:t>
      </w:r>
      <w:r>
        <w:rPr>
          <w:rFonts w:ascii="Arial" w:hAnsi="Arial"/>
          <w:sz w:val="20"/>
          <w:szCs w:val="20"/>
        </w:rPr>
        <w:t xml:space="preserve">the </w:t>
      </w:r>
      <w:r w:rsidR="00E06FE5">
        <w:rPr>
          <w:rFonts w:ascii="Arial" w:hAnsi="Arial"/>
          <w:sz w:val="20"/>
          <w:szCs w:val="20"/>
        </w:rPr>
        <w:t xml:space="preserve">next </w:t>
      </w:r>
      <w:r>
        <w:rPr>
          <w:rFonts w:ascii="Arial" w:hAnsi="Arial"/>
          <w:sz w:val="20"/>
          <w:szCs w:val="20"/>
        </w:rPr>
        <w:t xml:space="preserve">packet </w:t>
      </w:r>
      <w:r w:rsidR="00E06FE5">
        <w:rPr>
          <w:rFonts w:ascii="Arial" w:hAnsi="Arial"/>
          <w:sz w:val="20"/>
          <w:szCs w:val="20"/>
        </w:rPr>
        <w:t>in se</w:t>
      </w:r>
      <w:r w:rsidR="00E430BF">
        <w:rPr>
          <w:rFonts w:ascii="Arial" w:hAnsi="Arial"/>
          <w:sz w:val="20"/>
          <w:szCs w:val="20"/>
        </w:rPr>
        <w:t>quence</w:t>
      </w:r>
    </w:p>
    <w:p w14:paraId="2BB9386F" w14:textId="2B39E105" w:rsidR="00D04203" w:rsidRDefault="008E617C" w:rsidP="000861FD">
      <w:pPr>
        <w:pStyle w:val="ListParagraph"/>
        <w:numPr>
          <w:ilvl w:val="0"/>
          <w:numId w:val="5"/>
        </w:numPr>
        <w:spacing w:line="360" w:lineRule="auto"/>
        <w:jc w:val="both"/>
        <w:rPr>
          <w:rFonts w:ascii="Arial" w:hAnsi="Arial"/>
          <w:sz w:val="20"/>
          <w:szCs w:val="20"/>
        </w:rPr>
      </w:pPr>
      <w:r>
        <w:rPr>
          <w:rFonts w:ascii="Arial" w:hAnsi="Arial"/>
          <w:sz w:val="20"/>
          <w:szCs w:val="20"/>
        </w:rPr>
        <w:t>Patients will be kept for at least 24-48 hours in the Intensive Care Unit (ICU) for observation [standard of care]</w:t>
      </w:r>
    </w:p>
    <w:p w14:paraId="65467351" w14:textId="0E25ACF8" w:rsidR="009573B5" w:rsidRDefault="009573B5" w:rsidP="000861FD">
      <w:pPr>
        <w:pStyle w:val="ListParagraph"/>
        <w:numPr>
          <w:ilvl w:val="0"/>
          <w:numId w:val="5"/>
        </w:numPr>
        <w:spacing w:line="360" w:lineRule="auto"/>
        <w:jc w:val="both"/>
        <w:rPr>
          <w:rFonts w:ascii="Arial" w:hAnsi="Arial"/>
          <w:sz w:val="20"/>
          <w:szCs w:val="20"/>
        </w:rPr>
      </w:pPr>
      <w:r>
        <w:rPr>
          <w:rFonts w:ascii="Arial" w:hAnsi="Arial"/>
          <w:sz w:val="20"/>
          <w:szCs w:val="20"/>
        </w:rPr>
        <w:t>Patients will receive a neurological examination day 1 post-procedure</w:t>
      </w:r>
    </w:p>
    <w:p w14:paraId="637E9085" w14:textId="0122BA24" w:rsidR="008E617C" w:rsidRDefault="008E617C" w:rsidP="000861FD">
      <w:pPr>
        <w:pStyle w:val="ListParagraph"/>
        <w:numPr>
          <w:ilvl w:val="0"/>
          <w:numId w:val="5"/>
        </w:numPr>
        <w:spacing w:line="360" w:lineRule="auto"/>
        <w:jc w:val="both"/>
        <w:rPr>
          <w:rFonts w:ascii="Arial" w:hAnsi="Arial"/>
          <w:sz w:val="20"/>
          <w:szCs w:val="20"/>
        </w:rPr>
      </w:pPr>
      <w:r>
        <w:rPr>
          <w:rFonts w:ascii="Arial" w:hAnsi="Arial"/>
          <w:sz w:val="20"/>
          <w:szCs w:val="20"/>
        </w:rPr>
        <w:t>Post-operative complications will be documented in the patient’s chart</w:t>
      </w:r>
    </w:p>
    <w:p w14:paraId="350AF9ED" w14:textId="3EEBAE81" w:rsidR="008E617C" w:rsidRDefault="008E617C" w:rsidP="000861FD">
      <w:pPr>
        <w:pStyle w:val="ListParagraph"/>
        <w:numPr>
          <w:ilvl w:val="0"/>
          <w:numId w:val="5"/>
        </w:numPr>
        <w:spacing w:line="360" w:lineRule="auto"/>
        <w:jc w:val="both"/>
        <w:rPr>
          <w:rFonts w:ascii="Arial" w:hAnsi="Arial"/>
          <w:sz w:val="20"/>
          <w:szCs w:val="20"/>
        </w:rPr>
      </w:pPr>
      <w:r>
        <w:rPr>
          <w:rFonts w:ascii="Arial" w:hAnsi="Arial"/>
          <w:sz w:val="20"/>
          <w:szCs w:val="20"/>
        </w:rPr>
        <w:t>Medical Emergencies will be dealt with according to the local protocols and practitioner experience</w:t>
      </w:r>
    </w:p>
    <w:p w14:paraId="72926812" w14:textId="0F8AE611" w:rsidR="008E617C" w:rsidRDefault="008E617C" w:rsidP="000861FD">
      <w:pPr>
        <w:pStyle w:val="ListParagraph"/>
        <w:numPr>
          <w:ilvl w:val="0"/>
          <w:numId w:val="5"/>
        </w:numPr>
        <w:spacing w:line="360" w:lineRule="auto"/>
        <w:jc w:val="both"/>
        <w:rPr>
          <w:rFonts w:ascii="Arial" w:hAnsi="Arial"/>
          <w:sz w:val="20"/>
          <w:szCs w:val="20"/>
        </w:rPr>
      </w:pPr>
      <w:r>
        <w:rPr>
          <w:rFonts w:ascii="Arial" w:hAnsi="Arial"/>
          <w:sz w:val="20"/>
          <w:szCs w:val="20"/>
        </w:rPr>
        <w:t>At post-operative day 1</w:t>
      </w:r>
      <w:r w:rsidR="00E430BF">
        <w:rPr>
          <w:rFonts w:ascii="Arial" w:hAnsi="Arial"/>
          <w:sz w:val="20"/>
          <w:szCs w:val="20"/>
        </w:rPr>
        <w:t xml:space="preserve"> or </w:t>
      </w:r>
      <w:r w:rsidR="00590812">
        <w:rPr>
          <w:rFonts w:ascii="Arial" w:hAnsi="Arial"/>
          <w:sz w:val="20"/>
          <w:szCs w:val="20"/>
        </w:rPr>
        <w:t>2</w:t>
      </w:r>
      <w:r w:rsidR="00E430BF">
        <w:rPr>
          <w:rFonts w:ascii="Arial" w:hAnsi="Arial"/>
          <w:sz w:val="20"/>
          <w:szCs w:val="20"/>
        </w:rPr>
        <w:t>,</w:t>
      </w:r>
      <w:r>
        <w:rPr>
          <w:rFonts w:ascii="Arial" w:hAnsi="Arial"/>
          <w:sz w:val="20"/>
          <w:szCs w:val="20"/>
        </w:rPr>
        <w:t xml:space="preserve"> patients will receive an additional MRI</w:t>
      </w:r>
    </w:p>
    <w:p w14:paraId="2492CD3A" w14:textId="4A894F86" w:rsidR="00C215E1" w:rsidRDefault="00C215E1" w:rsidP="000861FD">
      <w:pPr>
        <w:pStyle w:val="ListParagraph"/>
        <w:numPr>
          <w:ilvl w:val="0"/>
          <w:numId w:val="5"/>
        </w:numPr>
        <w:spacing w:line="360" w:lineRule="auto"/>
        <w:jc w:val="both"/>
        <w:rPr>
          <w:rFonts w:ascii="Arial" w:hAnsi="Arial"/>
          <w:sz w:val="20"/>
          <w:szCs w:val="20"/>
        </w:rPr>
      </w:pPr>
      <w:r>
        <w:rPr>
          <w:rFonts w:ascii="Arial" w:hAnsi="Arial"/>
          <w:sz w:val="20"/>
          <w:szCs w:val="20"/>
        </w:rPr>
        <w:t xml:space="preserve">Patients who were deemed not to require post-operative anti-coagulation will follow the same pathway, but will not have any anticoagulation. They will still receive their Day 1-2 MRI scan. </w:t>
      </w:r>
    </w:p>
    <w:p w14:paraId="1F776669" w14:textId="0FFE11E9" w:rsidR="008E617C" w:rsidRDefault="008E617C" w:rsidP="000861FD">
      <w:pPr>
        <w:pStyle w:val="ListParagraph"/>
        <w:numPr>
          <w:ilvl w:val="0"/>
          <w:numId w:val="5"/>
        </w:numPr>
        <w:spacing w:line="360" w:lineRule="auto"/>
        <w:jc w:val="both"/>
        <w:rPr>
          <w:rFonts w:ascii="Arial" w:hAnsi="Arial"/>
          <w:sz w:val="20"/>
          <w:szCs w:val="20"/>
        </w:rPr>
      </w:pPr>
      <w:r>
        <w:rPr>
          <w:rFonts w:ascii="Arial" w:hAnsi="Arial"/>
          <w:sz w:val="20"/>
          <w:szCs w:val="20"/>
        </w:rPr>
        <w:t>Patients will be discharged home once medically stable</w:t>
      </w:r>
    </w:p>
    <w:p w14:paraId="3F731AC4" w14:textId="77777777" w:rsidR="0024134C" w:rsidRDefault="0024134C" w:rsidP="0024134C">
      <w:pPr>
        <w:spacing w:line="360" w:lineRule="auto"/>
        <w:jc w:val="both"/>
        <w:rPr>
          <w:rFonts w:ascii="Arial" w:hAnsi="Arial"/>
          <w:b/>
          <w:sz w:val="20"/>
          <w:szCs w:val="20"/>
        </w:rPr>
      </w:pPr>
    </w:p>
    <w:p w14:paraId="2101BF6F" w14:textId="77777777" w:rsidR="00EF1C9A" w:rsidRDefault="00EF1C9A" w:rsidP="00EF1C9A">
      <w:pPr>
        <w:spacing w:line="360" w:lineRule="auto"/>
        <w:jc w:val="both"/>
        <w:rPr>
          <w:rFonts w:ascii="Arial" w:hAnsi="Arial"/>
          <w:sz w:val="20"/>
          <w:szCs w:val="20"/>
        </w:rPr>
      </w:pPr>
    </w:p>
    <w:p w14:paraId="48A7FE69" w14:textId="591BF98E" w:rsidR="003C7A4A" w:rsidRPr="0016523B" w:rsidRDefault="003C7A4A" w:rsidP="00EF1C9A">
      <w:pPr>
        <w:spacing w:line="360" w:lineRule="auto"/>
        <w:jc w:val="both"/>
        <w:rPr>
          <w:rFonts w:ascii="Arial" w:hAnsi="Arial"/>
          <w:b/>
          <w:sz w:val="20"/>
          <w:szCs w:val="20"/>
        </w:rPr>
      </w:pPr>
      <w:r w:rsidRPr="0016523B">
        <w:rPr>
          <w:rFonts w:ascii="Arial" w:hAnsi="Arial"/>
          <w:b/>
          <w:sz w:val="20"/>
          <w:szCs w:val="20"/>
        </w:rPr>
        <w:t>Image Analysis (pre- and post- procedure MR-DWI</w:t>
      </w:r>
      <w:r w:rsidR="0021513A">
        <w:rPr>
          <w:rFonts w:ascii="Arial" w:hAnsi="Arial"/>
          <w:b/>
          <w:sz w:val="20"/>
          <w:szCs w:val="20"/>
        </w:rPr>
        <w:t>, SWI</w:t>
      </w:r>
      <w:r w:rsidR="00BB1B6F">
        <w:rPr>
          <w:rFonts w:ascii="Arial" w:hAnsi="Arial"/>
          <w:b/>
          <w:sz w:val="20"/>
          <w:szCs w:val="20"/>
        </w:rPr>
        <w:t xml:space="preserve"> and FLAIR</w:t>
      </w:r>
      <w:r w:rsidRPr="0016523B">
        <w:rPr>
          <w:rFonts w:ascii="Arial" w:hAnsi="Arial"/>
          <w:b/>
          <w:sz w:val="20"/>
          <w:szCs w:val="20"/>
        </w:rPr>
        <w:t>)</w:t>
      </w:r>
    </w:p>
    <w:p w14:paraId="3D09C849" w14:textId="77777777" w:rsidR="00142717" w:rsidRDefault="0046284E" w:rsidP="0046284E">
      <w:pPr>
        <w:pStyle w:val="ListParagraph"/>
        <w:numPr>
          <w:ilvl w:val="0"/>
          <w:numId w:val="5"/>
        </w:numPr>
        <w:spacing w:line="360" w:lineRule="auto"/>
        <w:jc w:val="both"/>
        <w:rPr>
          <w:rFonts w:ascii="Arial" w:hAnsi="Arial"/>
          <w:sz w:val="20"/>
          <w:szCs w:val="20"/>
        </w:rPr>
      </w:pPr>
      <w:r w:rsidRPr="0046284E">
        <w:rPr>
          <w:rFonts w:ascii="Arial" w:hAnsi="Arial"/>
          <w:sz w:val="20"/>
          <w:szCs w:val="20"/>
        </w:rPr>
        <w:t xml:space="preserve">All acquired images will be reviewed by an experienced radiologist and compared. </w:t>
      </w:r>
    </w:p>
    <w:p w14:paraId="46F49E26" w14:textId="77777777" w:rsidR="00F66985" w:rsidRDefault="00142717" w:rsidP="0015032E">
      <w:pPr>
        <w:pStyle w:val="ListParagraph"/>
        <w:numPr>
          <w:ilvl w:val="0"/>
          <w:numId w:val="5"/>
        </w:numPr>
        <w:spacing w:line="360" w:lineRule="auto"/>
        <w:jc w:val="both"/>
        <w:rPr>
          <w:rFonts w:ascii="Arial" w:hAnsi="Arial"/>
          <w:sz w:val="20"/>
          <w:szCs w:val="20"/>
        </w:rPr>
      </w:pPr>
      <w:r w:rsidRPr="00DE67E3">
        <w:rPr>
          <w:rFonts w:ascii="Arial" w:hAnsi="Arial"/>
          <w:sz w:val="20"/>
          <w:szCs w:val="20"/>
        </w:rPr>
        <w:lastRenderedPageBreak/>
        <w:t xml:space="preserve">DWI lesions </w:t>
      </w:r>
    </w:p>
    <w:p w14:paraId="587D3DC9" w14:textId="77777777" w:rsidR="0061425D" w:rsidRPr="000049CB" w:rsidRDefault="0061425D" w:rsidP="0061425D">
      <w:pPr>
        <w:pStyle w:val="ListParagraph"/>
        <w:numPr>
          <w:ilvl w:val="1"/>
          <w:numId w:val="5"/>
        </w:numPr>
        <w:spacing w:line="360" w:lineRule="auto"/>
        <w:jc w:val="both"/>
        <w:rPr>
          <w:rFonts w:ascii="Arial" w:hAnsi="Arial"/>
          <w:sz w:val="20"/>
          <w:szCs w:val="20"/>
        </w:rPr>
      </w:pPr>
      <w:r w:rsidRPr="000049CB">
        <w:rPr>
          <w:rFonts w:ascii="Arial" w:hAnsi="Arial"/>
          <w:sz w:val="20"/>
          <w:szCs w:val="20"/>
        </w:rPr>
        <w:t>Location</w:t>
      </w:r>
      <w:r>
        <w:rPr>
          <w:rFonts w:ascii="Arial" w:hAnsi="Arial"/>
          <w:sz w:val="20"/>
          <w:szCs w:val="20"/>
        </w:rPr>
        <w:t xml:space="preserve"> </w:t>
      </w:r>
      <w:r w:rsidRPr="000049CB">
        <w:rPr>
          <w:rFonts w:ascii="Arial" w:hAnsi="Arial"/>
          <w:sz w:val="20"/>
          <w:szCs w:val="20"/>
        </w:rPr>
        <w:t>(intra or extra-territorial to treated aneurysm)</w:t>
      </w:r>
    </w:p>
    <w:p w14:paraId="57B84034" w14:textId="77777777" w:rsidR="0061425D" w:rsidRDefault="0061425D" w:rsidP="0061425D">
      <w:pPr>
        <w:pStyle w:val="ListParagraph"/>
        <w:numPr>
          <w:ilvl w:val="1"/>
          <w:numId w:val="5"/>
        </w:numPr>
        <w:spacing w:line="360" w:lineRule="auto"/>
        <w:jc w:val="both"/>
        <w:rPr>
          <w:rFonts w:ascii="Arial" w:hAnsi="Arial"/>
          <w:sz w:val="20"/>
          <w:szCs w:val="20"/>
        </w:rPr>
      </w:pPr>
      <w:r>
        <w:rPr>
          <w:rFonts w:ascii="Arial" w:hAnsi="Arial"/>
          <w:sz w:val="20"/>
          <w:szCs w:val="20"/>
        </w:rPr>
        <w:t>Size : &lt;20mm or &gt;20mm</w:t>
      </w:r>
    </w:p>
    <w:p w14:paraId="5283F237" w14:textId="77777777" w:rsidR="0061425D" w:rsidRDefault="0061425D" w:rsidP="0061425D">
      <w:pPr>
        <w:pStyle w:val="ListParagraph"/>
        <w:numPr>
          <w:ilvl w:val="1"/>
          <w:numId w:val="5"/>
        </w:numPr>
        <w:spacing w:line="360" w:lineRule="auto"/>
        <w:jc w:val="both"/>
        <w:rPr>
          <w:rFonts w:ascii="Arial" w:hAnsi="Arial"/>
          <w:sz w:val="20"/>
          <w:szCs w:val="20"/>
        </w:rPr>
      </w:pPr>
      <w:r>
        <w:rPr>
          <w:rFonts w:ascii="Arial" w:hAnsi="Arial"/>
          <w:sz w:val="20"/>
          <w:szCs w:val="20"/>
        </w:rPr>
        <w:t>Number</w:t>
      </w:r>
    </w:p>
    <w:p w14:paraId="473D96A1" w14:textId="48194FF7" w:rsidR="003C7A4A" w:rsidRPr="00DE67E3" w:rsidRDefault="00DE67E3" w:rsidP="00626614">
      <w:pPr>
        <w:pStyle w:val="ListParagraph"/>
        <w:numPr>
          <w:ilvl w:val="0"/>
          <w:numId w:val="5"/>
        </w:numPr>
        <w:spacing w:line="360" w:lineRule="auto"/>
        <w:rPr>
          <w:rFonts w:ascii="Arial" w:hAnsi="Arial"/>
          <w:sz w:val="20"/>
          <w:szCs w:val="20"/>
        </w:rPr>
      </w:pPr>
      <w:r w:rsidRPr="00DE67E3">
        <w:rPr>
          <w:rFonts w:ascii="Arial" w:hAnsi="Arial"/>
          <w:sz w:val="20"/>
          <w:szCs w:val="20"/>
        </w:rPr>
        <w:t>Positive lesions defined as area of high signal on DWI with corresponding low signal on ADC (i.e. suggestive of restricted diffusion of H2O).</w:t>
      </w:r>
      <w:r>
        <w:rPr>
          <w:rFonts w:ascii="Arial" w:hAnsi="Arial"/>
          <w:sz w:val="20"/>
          <w:szCs w:val="20"/>
        </w:rPr>
        <w:t xml:space="preserve"> </w:t>
      </w:r>
      <w:r w:rsidR="006B45B1" w:rsidRPr="00DE67E3">
        <w:rPr>
          <w:rFonts w:ascii="Arial" w:hAnsi="Arial"/>
          <w:sz w:val="20"/>
          <w:szCs w:val="20"/>
        </w:rPr>
        <w:t>In the unlikely event that additional opinion is needed, it will be obtained from another neuroradiologist within the medical imaging department.</w:t>
      </w:r>
    </w:p>
    <w:p w14:paraId="762CED9C" w14:textId="7DE87407" w:rsidR="0046284E" w:rsidRDefault="0046284E" w:rsidP="0046284E">
      <w:pPr>
        <w:pStyle w:val="ListParagraph"/>
        <w:numPr>
          <w:ilvl w:val="0"/>
          <w:numId w:val="5"/>
        </w:numPr>
        <w:spacing w:line="360" w:lineRule="auto"/>
        <w:jc w:val="both"/>
        <w:rPr>
          <w:rFonts w:ascii="Arial" w:hAnsi="Arial"/>
          <w:sz w:val="20"/>
          <w:szCs w:val="20"/>
        </w:rPr>
      </w:pPr>
      <w:r>
        <w:rPr>
          <w:rFonts w:ascii="Arial" w:hAnsi="Arial"/>
          <w:sz w:val="20"/>
          <w:szCs w:val="20"/>
        </w:rPr>
        <w:t xml:space="preserve">Pre- and post- images will be reviewed for evidence of </w:t>
      </w:r>
      <w:r w:rsidR="008D27CA">
        <w:rPr>
          <w:rFonts w:ascii="Arial" w:hAnsi="Arial"/>
          <w:sz w:val="20"/>
          <w:szCs w:val="20"/>
        </w:rPr>
        <w:t xml:space="preserve">new </w:t>
      </w:r>
      <w:r>
        <w:rPr>
          <w:rFonts w:ascii="Arial" w:hAnsi="Arial"/>
          <w:sz w:val="20"/>
          <w:szCs w:val="20"/>
        </w:rPr>
        <w:t>ischaemic lesions and compared</w:t>
      </w:r>
    </w:p>
    <w:p w14:paraId="09536483" w14:textId="5F64272D" w:rsidR="00274871" w:rsidRDefault="00274871" w:rsidP="00274871">
      <w:pPr>
        <w:pStyle w:val="ListParagraph"/>
        <w:numPr>
          <w:ilvl w:val="0"/>
          <w:numId w:val="5"/>
        </w:numPr>
        <w:spacing w:line="360" w:lineRule="auto"/>
        <w:jc w:val="both"/>
        <w:rPr>
          <w:rFonts w:ascii="Arial" w:hAnsi="Arial"/>
          <w:sz w:val="20"/>
          <w:szCs w:val="20"/>
        </w:rPr>
      </w:pPr>
      <w:r>
        <w:rPr>
          <w:rFonts w:ascii="Arial" w:hAnsi="Arial"/>
          <w:sz w:val="20"/>
          <w:szCs w:val="20"/>
        </w:rPr>
        <w:t>S</w:t>
      </w:r>
      <w:r w:rsidR="009517C7" w:rsidRPr="009517C7">
        <w:rPr>
          <w:rFonts w:ascii="Arial" w:hAnsi="Arial"/>
          <w:sz w:val="20"/>
          <w:szCs w:val="20"/>
        </w:rPr>
        <w:t>WI lesions</w:t>
      </w:r>
      <w:r>
        <w:rPr>
          <w:rFonts w:ascii="Arial" w:hAnsi="Arial"/>
          <w:sz w:val="20"/>
          <w:szCs w:val="20"/>
        </w:rPr>
        <w:t xml:space="preserve"> - Pre- and post- images will be reviewed for evidence of new SWI lesions and compared</w:t>
      </w:r>
    </w:p>
    <w:p w14:paraId="6A519F17" w14:textId="4E96E243" w:rsidR="009517C7" w:rsidRDefault="00274871" w:rsidP="0046284E">
      <w:pPr>
        <w:pStyle w:val="ListParagraph"/>
        <w:numPr>
          <w:ilvl w:val="0"/>
          <w:numId w:val="5"/>
        </w:numPr>
        <w:spacing w:line="360" w:lineRule="auto"/>
        <w:jc w:val="both"/>
        <w:rPr>
          <w:rFonts w:ascii="Arial" w:hAnsi="Arial"/>
          <w:sz w:val="20"/>
          <w:szCs w:val="20"/>
        </w:rPr>
      </w:pPr>
      <w:r>
        <w:rPr>
          <w:rFonts w:ascii="Arial" w:hAnsi="Arial"/>
          <w:sz w:val="20"/>
          <w:szCs w:val="20"/>
        </w:rPr>
        <w:t>FLAIR</w:t>
      </w:r>
      <w:r w:rsidR="000922CF">
        <w:rPr>
          <w:rFonts w:ascii="Arial" w:hAnsi="Arial"/>
          <w:sz w:val="20"/>
          <w:szCs w:val="20"/>
        </w:rPr>
        <w:t xml:space="preserve"> – pre-procedural FLAIR images will be assessed for </w:t>
      </w:r>
      <w:r w:rsidR="00DA37A2">
        <w:rPr>
          <w:rFonts w:ascii="Arial" w:hAnsi="Arial"/>
          <w:sz w:val="20"/>
          <w:szCs w:val="20"/>
        </w:rPr>
        <w:t xml:space="preserve">previous infarcts or </w:t>
      </w:r>
      <w:r w:rsidR="000922CF">
        <w:rPr>
          <w:rFonts w:ascii="Arial" w:hAnsi="Arial"/>
          <w:sz w:val="20"/>
          <w:szCs w:val="20"/>
        </w:rPr>
        <w:t xml:space="preserve">cerebral </w:t>
      </w:r>
      <w:r w:rsidR="003600E2">
        <w:rPr>
          <w:rFonts w:ascii="Arial" w:hAnsi="Arial"/>
          <w:sz w:val="20"/>
          <w:szCs w:val="20"/>
        </w:rPr>
        <w:t>microangiopathy</w:t>
      </w:r>
      <w:r w:rsidR="00D8252D">
        <w:rPr>
          <w:rFonts w:ascii="Arial" w:hAnsi="Arial"/>
          <w:sz w:val="20"/>
          <w:szCs w:val="20"/>
        </w:rPr>
        <w:t>.</w:t>
      </w:r>
      <w:r w:rsidR="003600E2">
        <w:rPr>
          <w:rFonts w:ascii="Arial" w:hAnsi="Arial"/>
          <w:sz w:val="20"/>
          <w:szCs w:val="20"/>
        </w:rPr>
        <w:t xml:space="preserve"> The white matter will be graded using Swieten’s scale</w:t>
      </w:r>
      <w:r w:rsidR="00017FDE">
        <w:rPr>
          <w:rFonts w:ascii="Arial" w:hAnsi="Arial"/>
          <w:sz w:val="20"/>
          <w:szCs w:val="20"/>
        </w:rPr>
        <w:fldChar w:fldCharType="begin" w:fldLock="1"/>
      </w:r>
      <w:r w:rsidR="004A4C1F">
        <w:rPr>
          <w:rFonts w:ascii="Arial" w:hAnsi="Arial"/>
          <w:sz w:val="20"/>
          <w:szCs w:val="20"/>
        </w:rPr>
        <w:instrText>ADDIN CSL_CITATION {"citationItems":[{"id":"ITEM-1","itemData":{"DOI":"10.1136/jnnp.53.12.1080","ISSN":"00223050","PMID":"2292703","abstract":"We developed and tested a simple threepoint scale for grading white matter lesions in anterior and posterior regions of the brain. Twenty four CT scans and 24 MRI scans were separately judged by 11 and five observers, respectively, on the presence and severity of white matter lesions. The observers were radiologists and neurologists. For CT scans, these periventricular changes were graded according to their extent as absent, or partly involving the white matter, or extending up to the subcortical region. The MRI lesions were graded as no lesion or only a single one, multiple focal lesions, and multiple confluent lesions. The pairwise agreements of all possible combinations of observers for each scan were corrected for chance (kappa statistics; maximal agreement 1-0). The weighted kappa value, for anterior and posterior regions combined, was 0-63 for CT scans, and 078 for MRI scans. This three-point scale for two separate regions seems suitable as a basis for cross-sectional or longitudinal studies of large series of patients.","author":[{"dropping-particle":"","family":"Swieten","given":"J. C.","non-dropping-particle":"Van","parse-names":false,"suffix":""},{"dropping-particle":"","family":"Gijn","given":"J.","non-dropping-particle":"Van","parse-names":false,"suffix":""},{"dropping-particle":"","family":"Hijdra","given":"A.","non-dropping-particle":"","parse-names":false,"suffix":""},{"dropping-particle":"","family":"Koudstaal","given":"P. J.","non-dropping-particle":"","parse-names":false,"suffix":""}],"container-title":"Journal of Neurology, Neurosurgery and Psychiatry","id":"ITEM-1","issue":"12","issued":{"date-parts":[["1990","12","1"]]},"page":"1080-1083","publisher":"BMJ Publishing Group","title":"Grading white matter lesions on CT and MRI: A simple scale","type":"article-journal","volume":"53"},"uris":["http://www.mendeley.com/documents/?uuid=87a9b72e-87f4-3b5d-9f89-156d1a24b685"]}],"mendeley":{"formattedCitation":"&lt;sup&gt;10&lt;/sup&gt;","plainTextFormattedCitation":"10","previouslyFormattedCitation":"&lt;sup&gt;10&lt;/sup&gt;"},"properties":{"noteIndex":0},"schema":"https://github.com/citation-style-language/schema/raw/master/csl-citation.json"}</w:instrText>
      </w:r>
      <w:r w:rsidR="00017FDE">
        <w:rPr>
          <w:rFonts w:ascii="Arial" w:hAnsi="Arial"/>
          <w:sz w:val="20"/>
          <w:szCs w:val="20"/>
        </w:rPr>
        <w:fldChar w:fldCharType="separate"/>
      </w:r>
      <w:r w:rsidR="00017FDE" w:rsidRPr="00017FDE">
        <w:rPr>
          <w:rFonts w:ascii="Arial" w:hAnsi="Arial"/>
          <w:noProof/>
          <w:sz w:val="20"/>
          <w:szCs w:val="20"/>
          <w:vertAlign w:val="superscript"/>
        </w:rPr>
        <w:t>10</w:t>
      </w:r>
      <w:r w:rsidR="00017FDE">
        <w:rPr>
          <w:rFonts w:ascii="Arial" w:hAnsi="Arial"/>
          <w:sz w:val="20"/>
          <w:szCs w:val="20"/>
        </w:rPr>
        <w:fldChar w:fldCharType="end"/>
      </w:r>
      <w:r w:rsidR="003600E2">
        <w:rPr>
          <w:rFonts w:ascii="Arial" w:hAnsi="Arial"/>
          <w:sz w:val="20"/>
          <w:szCs w:val="20"/>
        </w:rPr>
        <w:t>.</w:t>
      </w:r>
    </w:p>
    <w:p w14:paraId="65046500" w14:textId="77777777" w:rsidR="00745A6F" w:rsidRPr="00295205" w:rsidRDefault="00745A6F" w:rsidP="007A3A88">
      <w:pPr>
        <w:spacing w:line="360" w:lineRule="auto"/>
        <w:jc w:val="both"/>
        <w:rPr>
          <w:rFonts w:ascii="Arial" w:hAnsi="Arial"/>
          <w:sz w:val="20"/>
          <w:szCs w:val="20"/>
        </w:rPr>
      </w:pPr>
    </w:p>
    <w:p w14:paraId="421CBE5B" w14:textId="77777777" w:rsidR="00BF7CA6" w:rsidRPr="004D06BB" w:rsidRDefault="00BF7CA6" w:rsidP="007A3A88">
      <w:pPr>
        <w:spacing w:line="360" w:lineRule="auto"/>
        <w:jc w:val="both"/>
        <w:rPr>
          <w:rFonts w:ascii="Arial" w:hAnsi="Arial"/>
          <w:i/>
          <w:color w:val="92CDDC" w:themeColor="accent5" w:themeTint="99"/>
          <w:sz w:val="20"/>
          <w:szCs w:val="20"/>
        </w:rPr>
      </w:pPr>
      <w:r w:rsidRPr="004D06BB">
        <w:rPr>
          <w:rFonts w:ascii="Arial" w:hAnsi="Arial"/>
          <w:i/>
          <w:color w:val="92CDDC" w:themeColor="accent5" w:themeTint="99"/>
          <w:sz w:val="20"/>
          <w:szCs w:val="20"/>
        </w:rPr>
        <w:t>Variables</w:t>
      </w:r>
    </w:p>
    <w:p w14:paraId="5CE20C5A" w14:textId="6965A3E6" w:rsidR="00BF7CA6" w:rsidRDefault="001244F0" w:rsidP="007A3A88">
      <w:pPr>
        <w:spacing w:line="360" w:lineRule="auto"/>
        <w:jc w:val="both"/>
        <w:rPr>
          <w:rFonts w:ascii="Arial" w:hAnsi="Arial"/>
          <w:sz w:val="20"/>
          <w:szCs w:val="20"/>
        </w:rPr>
      </w:pPr>
      <w:r>
        <w:rPr>
          <w:rFonts w:ascii="Arial" w:hAnsi="Arial"/>
          <w:sz w:val="20"/>
          <w:szCs w:val="20"/>
        </w:rPr>
        <w:t>Anticoagulation</w:t>
      </w:r>
      <w:r w:rsidR="00505A76">
        <w:rPr>
          <w:rFonts w:ascii="Arial" w:hAnsi="Arial"/>
          <w:sz w:val="20"/>
          <w:szCs w:val="20"/>
        </w:rPr>
        <w:t xml:space="preserve"> dosing regime </w:t>
      </w:r>
    </w:p>
    <w:p w14:paraId="7E785F1D" w14:textId="2348DFF3" w:rsidR="00505A76" w:rsidRPr="00653D1E" w:rsidRDefault="00505A76" w:rsidP="007A3A88">
      <w:pPr>
        <w:pStyle w:val="ListParagraph"/>
        <w:numPr>
          <w:ilvl w:val="0"/>
          <w:numId w:val="5"/>
        </w:numPr>
        <w:spacing w:line="360" w:lineRule="auto"/>
        <w:jc w:val="both"/>
        <w:rPr>
          <w:rFonts w:ascii="Arial" w:hAnsi="Arial"/>
          <w:sz w:val="20"/>
          <w:szCs w:val="20"/>
        </w:rPr>
      </w:pPr>
      <w:r w:rsidRPr="00653D1E">
        <w:rPr>
          <w:rFonts w:ascii="Arial" w:hAnsi="Arial"/>
          <w:sz w:val="20"/>
          <w:szCs w:val="20"/>
        </w:rPr>
        <w:t xml:space="preserve">Single Dose – </w:t>
      </w:r>
      <w:r w:rsidR="00E578A0">
        <w:rPr>
          <w:rFonts w:ascii="Arial" w:hAnsi="Arial"/>
          <w:sz w:val="20"/>
          <w:szCs w:val="20"/>
        </w:rPr>
        <w:t>1</w:t>
      </w:r>
      <w:r w:rsidR="008A409F">
        <w:rPr>
          <w:rFonts w:ascii="Arial" w:hAnsi="Arial"/>
          <w:sz w:val="20"/>
          <w:szCs w:val="20"/>
        </w:rPr>
        <w:t xml:space="preserve">.5 </w:t>
      </w:r>
      <w:r w:rsidR="00E578A0">
        <w:rPr>
          <w:rFonts w:ascii="Arial" w:hAnsi="Arial"/>
          <w:sz w:val="20"/>
          <w:szCs w:val="20"/>
        </w:rPr>
        <w:t>mg/kg</w:t>
      </w:r>
      <w:r w:rsidRPr="00653D1E">
        <w:rPr>
          <w:rFonts w:ascii="Arial" w:hAnsi="Arial"/>
          <w:sz w:val="20"/>
          <w:szCs w:val="20"/>
        </w:rPr>
        <w:t xml:space="preserve"> </w:t>
      </w:r>
      <w:r w:rsidR="00CE6123">
        <w:rPr>
          <w:rFonts w:ascii="Arial" w:hAnsi="Arial"/>
          <w:sz w:val="20"/>
          <w:szCs w:val="20"/>
        </w:rPr>
        <w:t>subcutaneous</w:t>
      </w:r>
      <w:r w:rsidR="00785CB8" w:rsidRPr="00653D1E">
        <w:rPr>
          <w:rFonts w:ascii="Arial" w:hAnsi="Arial"/>
          <w:sz w:val="20"/>
          <w:szCs w:val="20"/>
        </w:rPr>
        <w:t xml:space="preserve"> </w:t>
      </w:r>
      <w:r w:rsidR="00E52663">
        <w:rPr>
          <w:rFonts w:ascii="Arial" w:hAnsi="Arial"/>
          <w:sz w:val="20"/>
          <w:szCs w:val="20"/>
        </w:rPr>
        <w:t>enoxaparin</w:t>
      </w:r>
      <w:r w:rsidRPr="00653D1E">
        <w:rPr>
          <w:rFonts w:ascii="Arial" w:hAnsi="Arial"/>
          <w:sz w:val="20"/>
          <w:szCs w:val="20"/>
        </w:rPr>
        <w:t xml:space="preserve"> given immediately post operatively</w:t>
      </w:r>
      <w:r w:rsidR="00A46EB4">
        <w:rPr>
          <w:rFonts w:ascii="Arial" w:hAnsi="Arial"/>
          <w:sz w:val="20"/>
          <w:szCs w:val="20"/>
        </w:rPr>
        <w:t xml:space="preserve"> (T=0)</w:t>
      </w:r>
    </w:p>
    <w:p w14:paraId="71F71A38" w14:textId="172A86E8" w:rsidR="00653D1E" w:rsidRDefault="00505A76" w:rsidP="007A3A88">
      <w:pPr>
        <w:pStyle w:val="ListParagraph"/>
        <w:numPr>
          <w:ilvl w:val="0"/>
          <w:numId w:val="5"/>
        </w:numPr>
        <w:spacing w:line="360" w:lineRule="auto"/>
        <w:jc w:val="both"/>
        <w:rPr>
          <w:rFonts w:ascii="Arial" w:hAnsi="Arial"/>
          <w:sz w:val="20"/>
          <w:szCs w:val="20"/>
        </w:rPr>
      </w:pPr>
      <w:r w:rsidRPr="00653D1E">
        <w:rPr>
          <w:rFonts w:ascii="Arial" w:hAnsi="Arial"/>
          <w:sz w:val="20"/>
          <w:szCs w:val="20"/>
        </w:rPr>
        <w:t xml:space="preserve">Split Dose – </w:t>
      </w:r>
      <w:r w:rsidR="008A409F">
        <w:rPr>
          <w:rFonts w:ascii="Arial" w:hAnsi="Arial"/>
          <w:sz w:val="20"/>
          <w:szCs w:val="20"/>
        </w:rPr>
        <w:t xml:space="preserve">1.0 </w:t>
      </w:r>
      <w:r w:rsidR="00E578A0">
        <w:rPr>
          <w:rFonts w:ascii="Arial" w:hAnsi="Arial"/>
          <w:sz w:val="20"/>
          <w:szCs w:val="20"/>
        </w:rPr>
        <w:t>mg/kg</w:t>
      </w:r>
      <w:r w:rsidRPr="00653D1E">
        <w:rPr>
          <w:rFonts w:ascii="Arial" w:hAnsi="Arial"/>
          <w:sz w:val="20"/>
          <w:szCs w:val="20"/>
        </w:rPr>
        <w:t xml:space="preserve"> </w:t>
      </w:r>
      <w:r w:rsidR="00CE6123">
        <w:rPr>
          <w:rFonts w:ascii="Arial" w:hAnsi="Arial"/>
          <w:sz w:val="20"/>
          <w:szCs w:val="20"/>
        </w:rPr>
        <w:t>subcutaneous</w:t>
      </w:r>
      <w:r w:rsidR="00785CB8" w:rsidRPr="00653D1E">
        <w:rPr>
          <w:rFonts w:ascii="Arial" w:hAnsi="Arial"/>
          <w:sz w:val="20"/>
          <w:szCs w:val="20"/>
        </w:rPr>
        <w:t xml:space="preserve"> </w:t>
      </w:r>
      <w:r w:rsidR="00E52663">
        <w:rPr>
          <w:rFonts w:ascii="Arial" w:hAnsi="Arial"/>
          <w:sz w:val="20"/>
          <w:szCs w:val="20"/>
        </w:rPr>
        <w:t>enoxaparin</w:t>
      </w:r>
      <w:r w:rsidRPr="00653D1E">
        <w:rPr>
          <w:rFonts w:ascii="Arial" w:hAnsi="Arial"/>
          <w:sz w:val="20"/>
          <w:szCs w:val="20"/>
        </w:rPr>
        <w:t xml:space="preserve"> given immediately post operatively</w:t>
      </w:r>
      <w:r w:rsidR="00A46EB4">
        <w:rPr>
          <w:rFonts w:ascii="Arial" w:hAnsi="Arial"/>
          <w:sz w:val="20"/>
          <w:szCs w:val="20"/>
        </w:rPr>
        <w:t>(T=0)</w:t>
      </w:r>
      <w:r w:rsidRPr="00653D1E">
        <w:rPr>
          <w:rFonts w:ascii="Arial" w:hAnsi="Arial"/>
          <w:sz w:val="20"/>
          <w:szCs w:val="20"/>
        </w:rPr>
        <w:t xml:space="preserve">, followed by another </w:t>
      </w:r>
      <w:r w:rsidR="008A409F">
        <w:rPr>
          <w:rFonts w:ascii="Arial" w:hAnsi="Arial"/>
          <w:sz w:val="20"/>
          <w:szCs w:val="20"/>
        </w:rPr>
        <w:t xml:space="preserve">1.0 </w:t>
      </w:r>
      <w:r w:rsidR="00E578A0">
        <w:rPr>
          <w:rFonts w:ascii="Arial" w:hAnsi="Arial"/>
          <w:sz w:val="20"/>
          <w:szCs w:val="20"/>
        </w:rPr>
        <w:t>mg/kg</w:t>
      </w:r>
      <w:r w:rsidRPr="00653D1E">
        <w:rPr>
          <w:rFonts w:ascii="Arial" w:hAnsi="Arial"/>
          <w:sz w:val="20"/>
          <w:szCs w:val="20"/>
        </w:rPr>
        <w:t xml:space="preserve"> at 12 hours</w:t>
      </w:r>
      <w:r w:rsidR="00A46EB4">
        <w:rPr>
          <w:rFonts w:ascii="Arial" w:hAnsi="Arial"/>
          <w:sz w:val="20"/>
          <w:szCs w:val="20"/>
        </w:rPr>
        <w:t>(T=12h)</w:t>
      </w:r>
    </w:p>
    <w:p w14:paraId="55863989" w14:textId="2C996532" w:rsidR="00C76DF8" w:rsidRPr="001A7432" w:rsidRDefault="00C76DF8" w:rsidP="001A7432">
      <w:pPr>
        <w:pStyle w:val="ListParagraph"/>
        <w:numPr>
          <w:ilvl w:val="0"/>
          <w:numId w:val="5"/>
        </w:numPr>
        <w:rPr>
          <w:rFonts w:ascii="Arial" w:hAnsi="Arial" w:cs="Arial"/>
          <w:sz w:val="20"/>
          <w:szCs w:val="20"/>
        </w:rPr>
      </w:pPr>
      <w:r w:rsidRPr="001A7432">
        <w:rPr>
          <w:rFonts w:ascii="Arial" w:hAnsi="Arial" w:cs="Arial"/>
          <w:sz w:val="20"/>
          <w:szCs w:val="20"/>
        </w:rPr>
        <w:t>Maximum dose will be capped at 150mg as per local guidelines</w:t>
      </w:r>
      <w:r w:rsidRPr="001A7432">
        <w:rPr>
          <w:rFonts w:ascii="Arial" w:hAnsi="Arial" w:cs="Arial"/>
          <w:sz w:val="20"/>
          <w:szCs w:val="20"/>
        </w:rPr>
        <w:fldChar w:fldCharType="begin" w:fldLock="1"/>
      </w:r>
      <w:r w:rsidR="004A4C1F" w:rsidRPr="001A7432">
        <w:rPr>
          <w:rFonts w:ascii="Arial" w:hAnsi="Arial" w:cs="Arial"/>
          <w:sz w:val="20"/>
          <w:szCs w:val="20"/>
        </w:rPr>
        <w:instrText>ADDIN CSL_CITATION {"citationItems":[{"id":"ITEM-1","itemData":{"container-title":"Therapeutic Guidelines eTG","id":"ITEM-1","issued":{"date-parts":[["2018"]]},"title":"Venous thromboembolism: treatment","type":"book"},"uris":["http://www.mendeley.com/documents/?uuid=54d1e602-dd4c-4cc3-b58e-b85178fd79ff"]},{"id":"ITEM-2","itemData":{"container-title":"Australian Medicines Handbook","id":"ITEM-2","issued":{"date-parts":[["2020"]]},"title":"Enoxaparin","type":"webpage"},"uris":["http://www.mendeley.com/documents/?uuid=e0a8653e-8598-4f6e-a0ca-f8eb42bd446d"]}],"mendeley":{"formattedCitation":"&lt;sup&gt;11&lt;/sup&gt;,&lt;sup&gt;12&lt;/sup&gt;","plainTextFormattedCitation":"11,12","previouslyFormattedCitation":"&lt;sup&gt;10&lt;/sup&gt;,&lt;sup&gt;11&lt;/sup&gt;"},"properties":{"noteIndex":0},"schema":"https://github.com/citation-style-language/schema/raw/master/csl-citation.json"}</w:instrText>
      </w:r>
      <w:r w:rsidRPr="001A7432">
        <w:rPr>
          <w:rFonts w:ascii="Arial" w:hAnsi="Arial" w:cs="Arial"/>
          <w:sz w:val="20"/>
          <w:szCs w:val="20"/>
        </w:rPr>
        <w:fldChar w:fldCharType="separate"/>
      </w:r>
      <w:r w:rsidR="004A4C1F" w:rsidRPr="001A7432">
        <w:rPr>
          <w:rFonts w:ascii="Arial" w:hAnsi="Arial" w:cs="Arial"/>
          <w:noProof/>
          <w:sz w:val="20"/>
          <w:szCs w:val="20"/>
          <w:vertAlign w:val="superscript"/>
        </w:rPr>
        <w:t>11</w:t>
      </w:r>
      <w:r w:rsidR="004A4C1F" w:rsidRPr="001A7432">
        <w:rPr>
          <w:rFonts w:ascii="Arial" w:hAnsi="Arial" w:cs="Arial"/>
          <w:noProof/>
          <w:sz w:val="20"/>
          <w:szCs w:val="20"/>
        </w:rPr>
        <w:t>,</w:t>
      </w:r>
      <w:r w:rsidR="004A4C1F" w:rsidRPr="001A7432">
        <w:rPr>
          <w:rFonts w:ascii="Arial" w:hAnsi="Arial" w:cs="Arial"/>
          <w:noProof/>
          <w:sz w:val="20"/>
          <w:szCs w:val="20"/>
          <w:vertAlign w:val="superscript"/>
        </w:rPr>
        <w:t>12</w:t>
      </w:r>
      <w:r w:rsidRPr="001A7432">
        <w:rPr>
          <w:rFonts w:ascii="Arial" w:hAnsi="Arial" w:cs="Arial"/>
          <w:sz w:val="20"/>
          <w:szCs w:val="20"/>
        </w:rPr>
        <w:fldChar w:fldCharType="end"/>
      </w:r>
      <w:r w:rsidRPr="001A7432">
        <w:rPr>
          <w:rFonts w:ascii="Arial" w:hAnsi="Arial" w:cs="Arial"/>
          <w:sz w:val="20"/>
          <w:szCs w:val="20"/>
        </w:rPr>
        <w:t xml:space="preserve"> </w:t>
      </w:r>
    </w:p>
    <w:p w14:paraId="1ECE449C" w14:textId="77777777" w:rsidR="00296843" w:rsidRDefault="00296843" w:rsidP="007A3A88">
      <w:pPr>
        <w:spacing w:line="360" w:lineRule="auto"/>
        <w:jc w:val="both"/>
        <w:rPr>
          <w:rFonts w:ascii="Arial" w:hAnsi="Arial"/>
          <w:i/>
          <w:sz w:val="20"/>
          <w:szCs w:val="20"/>
        </w:rPr>
      </w:pPr>
    </w:p>
    <w:p w14:paraId="2E6F039E" w14:textId="5AEF5284" w:rsidR="00B52CB6" w:rsidRPr="00B52CB6" w:rsidRDefault="00B52CB6" w:rsidP="007A3A88">
      <w:pPr>
        <w:spacing w:line="360" w:lineRule="auto"/>
        <w:jc w:val="both"/>
        <w:rPr>
          <w:rFonts w:ascii="Arial" w:hAnsi="Arial"/>
          <w:i/>
          <w:sz w:val="20"/>
          <w:szCs w:val="20"/>
        </w:rPr>
      </w:pPr>
      <w:r w:rsidRPr="00B52CB6">
        <w:rPr>
          <w:rFonts w:ascii="Arial" w:hAnsi="Arial"/>
          <w:i/>
          <w:sz w:val="20"/>
          <w:szCs w:val="20"/>
        </w:rPr>
        <w:t>All complications will use the “Common Terminology Criteria for Adverse Event (CTCAE) 4.0” for definition and grading</w:t>
      </w:r>
      <w:r w:rsidR="0008363B">
        <w:rPr>
          <w:rFonts w:ascii="Arial" w:hAnsi="Arial"/>
          <w:i/>
          <w:sz w:val="20"/>
          <w:szCs w:val="20"/>
        </w:rPr>
        <w:t xml:space="preserve"> – Severe Adverse Events are defined as CTCAE Grade 4 of greater.</w:t>
      </w:r>
    </w:p>
    <w:p w14:paraId="6FE300CB" w14:textId="0C4EB91C" w:rsidR="00125D13" w:rsidRDefault="00125D13" w:rsidP="007A3A88">
      <w:pPr>
        <w:spacing w:line="360" w:lineRule="auto"/>
        <w:jc w:val="both"/>
        <w:rPr>
          <w:rFonts w:ascii="Arial" w:eastAsia="Times New Roman" w:hAnsi="Arial" w:cs="Arial"/>
          <w:sz w:val="20"/>
          <w:szCs w:val="20"/>
        </w:rPr>
      </w:pPr>
      <w:r>
        <w:rPr>
          <w:rFonts w:ascii="Arial" w:eastAsia="Times New Roman" w:hAnsi="Arial" w:cs="Arial"/>
          <w:sz w:val="20"/>
          <w:szCs w:val="20"/>
        </w:rPr>
        <w:t>Thromboembolic event</w:t>
      </w:r>
      <w:r w:rsidR="009B5FA3">
        <w:rPr>
          <w:rFonts w:ascii="Arial" w:eastAsia="Times New Roman" w:hAnsi="Arial" w:cs="Arial"/>
          <w:sz w:val="20"/>
          <w:szCs w:val="20"/>
        </w:rPr>
        <w:t>s</w:t>
      </w:r>
      <w:r w:rsidR="009B627F">
        <w:rPr>
          <w:rFonts w:ascii="Arial" w:eastAsia="Times New Roman" w:hAnsi="Arial" w:cs="Arial"/>
          <w:sz w:val="20"/>
          <w:szCs w:val="20"/>
        </w:rPr>
        <w:t xml:space="preserve"> (CTCAE ‘Stroke’)</w:t>
      </w:r>
    </w:p>
    <w:p w14:paraId="1BA04D4D" w14:textId="29A4A0E5" w:rsidR="00C51793" w:rsidRPr="00C51793" w:rsidRDefault="00C51793" w:rsidP="007A3A88">
      <w:pPr>
        <w:pStyle w:val="ListParagraph"/>
        <w:numPr>
          <w:ilvl w:val="0"/>
          <w:numId w:val="5"/>
        </w:numPr>
        <w:spacing w:line="360" w:lineRule="auto"/>
        <w:jc w:val="both"/>
        <w:rPr>
          <w:rFonts w:ascii="Arial" w:eastAsia="Times New Roman" w:hAnsi="Arial" w:cs="Arial"/>
          <w:sz w:val="20"/>
          <w:szCs w:val="20"/>
        </w:rPr>
      </w:pPr>
      <w:r w:rsidRPr="00C51793">
        <w:rPr>
          <w:rFonts w:ascii="Arial" w:eastAsia="Times New Roman" w:hAnsi="Arial" w:cs="Arial"/>
          <w:sz w:val="20"/>
          <w:szCs w:val="20"/>
        </w:rPr>
        <w:t>Clinical events</w:t>
      </w:r>
      <w:r w:rsidR="00B72433">
        <w:rPr>
          <w:rFonts w:ascii="Arial" w:eastAsia="Times New Roman" w:hAnsi="Arial" w:cs="Arial"/>
          <w:sz w:val="20"/>
          <w:szCs w:val="20"/>
        </w:rPr>
        <w:t xml:space="preserve"> (CEIL</w:t>
      </w:r>
      <w:r w:rsidR="009B627F">
        <w:rPr>
          <w:rFonts w:ascii="Arial" w:eastAsia="Times New Roman" w:hAnsi="Arial" w:cs="Arial"/>
          <w:sz w:val="20"/>
          <w:szCs w:val="20"/>
        </w:rPr>
        <w:t xml:space="preserve"> [CTCAE Grade 2-5]</w:t>
      </w:r>
      <w:r w:rsidR="00B72433">
        <w:rPr>
          <w:rFonts w:ascii="Arial" w:eastAsia="Times New Roman" w:hAnsi="Arial" w:cs="Arial"/>
          <w:sz w:val="20"/>
          <w:szCs w:val="20"/>
        </w:rPr>
        <w:t>, CSIL</w:t>
      </w:r>
      <w:r w:rsidR="009B627F">
        <w:rPr>
          <w:rFonts w:ascii="Arial" w:eastAsia="Times New Roman" w:hAnsi="Arial" w:cs="Arial"/>
          <w:sz w:val="20"/>
          <w:szCs w:val="20"/>
        </w:rPr>
        <w:t xml:space="preserve"> [CTCAE Grade 1]</w:t>
      </w:r>
      <w:r w:rsidR="00B72433">
        <w:rPr>
          <w:rFonts w:ascii="Arial" w:eastAsia="Times New Roman" w:hAnsi="Arial" w:cs="Arial"/>
          <w:sz w:val="20"/>
          <w:szCs w:val="20"/>
        </w:rPr>
        <w:t>)</w:t>
      </w:r>
    </w:p>
    <w:p w14:paraId="4BD4CE16" w14:textId="2DFDE6DA" w:rsidR="00991E8C" w:rsidRDefault="004D281F" w:rsidP="00626614">
      <w:pPr>
        <w:pStyle w:val="ListParagraph"/>
        <w:numPr>
          <w:ilvl w:val="0"/>
          <w:numId w:val="5"/>
        </w:numPr>
        <w:spacing w:line="360" w:lineRule="auto"/>
        <w:jc w:val="both"/>
        <w:rPr>
          <w:rFonts w:ascii="Arial" w:eastAsia="Times New Roman" w:hAnsi="Arial" w:cs="Arial"/>
          <w:sz w:val="20"/>
          <w:szCs w:val="20"/>
        </w:rPr>
      </w:pPr>
      <w:r>
        <w:rPr>
          <w:rFonts w:ascii="Arial" w:eastAsia="Times New Roman" w:hAnsi="Arial" w:cs="Arial"/>
          <w:sz w:val="20"/>
          <w:szCs w:val="20"/>
        </w:rPr>
        <w:t xml:space="preserve">Post-procedural MRI will be assessed as </w:t>
      </w:r>
      <w:r w:rsidR="00882E2C">
        <w:rPr>
          <w:rFonts w:ascii="Arial" w:eastAsia="Times New Roman" w:hAnsi="Arial" w:cs="Arial"/>
          <w:sz w:val="20"/>
          <w:szCs w:val="20"/>
        </w:rPr>
        <w:t>detailed in Imaging Analysis</w:t>
      </w:r>
    </w:p>
    <w:p w14:paraId="56C3DD1A" w14:textId="7A582903" w:rsidR="00030EEA" w:rsidRDefault="00030EEA" w:rsidP="00030EEA">
      <w:pPr>
        <w:pStyle w:val="Caption"/>
        <w:keepNext/>
      </w:pPr>
      <w:bookmarkStart w:id="1" w:name="_Ref42544357"/>
      <w:r>
        <w:t xml:space="preserve">Table </w:t>
      </w:r>
      <w:r>
        <w:fldChar w:fldCharType="begin"/>
      </w:r>
      <w:r>
        <w:instrText xml:space="preserve"> SEQ Table \* ARABIC </w:instrText>
      </w:r>
      <w:r>
        <w:fldChar w:fldCharType="separate"/>
      </w:r>
      <w:r w:rsidR="00900405">
        <w:rPr>
          <w:noProof/>
        </w:rPr>
        <w:t>1</w:t>
      </w:r>
      <w:r>
        <w:fldChar w:fldCharType="end"/>
      </w:r>
      <w:bookmarkEnd w:id="1"/>
      <w:r>
        <w:t xml:space="preserve"> - Variables</w:t>
      </w:r>
    </w:p>
    <w:tbl>
      <w:tblPr>
        <w:tblStyle w:val="TableGrid"/>
        <w:tblW w:w="0" w:type="auto"/>
        <w:tblLook w:val="04A0" w:firstRow="1" w:lastRow="0" w:firstColumn="1" w:lastColumn="0" w:noHBand="0" w:noVBand="1"/>
      </w:tblPr>
      <w:tblGrid>
        <w:gridCol w:w="1696"/>
        <w:gridCol w:w="4224"/>
        <w:gridCol w:w="3260"/>
      </w:tblGrid>
      <w:tr w:rsidR="00030EEA" w:rsidRPr="009449FB" w14:paraId="74105DD7" w14:textId="77777777" w:rsidTr="00626614">
        <w:tc>
          <w:tcPr>
            <w:tcW w:w="1696" w:type="dxa"/>
          </w:tcPr>
          <w:p w14:paraId="330618D8" w14:textId="77777777" w:rsidR="00030EEA" w:rsidRPr="00626614" w:rsidRDefault="00030EEA" w:rsidP="004E2F9C">
            <w:pPr>
              <w:spacing w:line="360" w:lineRule="auto"/>
              <w:jc w:val="both"/>
              <w:rPr>
                <w:rFonts w:ascii="Arial" w:hAnsi="Arial" w:cs="Arial"/>
                <w:sz w:val="16"/>
                <w:szCs w:val="20"/>
              </w:rPr>
            </w:pPr>
            <w:r w:rsidRPr="00626614">
              <w:rPr>
                <w:rFonts w:ascii="Arial" w:hAnsi="Arial" w:cs="Arial"/>
                <w:sz w:val="16"/>
                <w:szCs w:val="20"/>
              </w:rPr>
              <w:t xml:space="preserve">Anticoagulation </w:t>
            </w:r>
          </w:p>
        </w:tc>
        <w:tc>
          <w:tcPr>
            <w:tcW w:w="4224" w:type="dxa"/>
            <w:tcBorders>
              <w:right w:val="nil"/>
            </w:tcBorders>
          </w:tcPr>
          <w:p w14:paraId="0BF3ED9D" w14:textId="77777777" w:rsidR="00030EEA" w:rsidRPr="00626614" w:rsidRDefault="00030EEA" w:rsidP="004E2F9C">
            <w:pPr>
              <w:spacing w:line="360" w:lineRule="auto"/>
              <w:rPr>
                <w:rFonts w:ascii="Arial" w:hAnsi="Arial" w:cs="Arial"/>
                <w:sz w:val="16"/>
                <w:szCs w:val="20"/>
              </w:rPr>
            </w:pPr>
            <w:r w:rsidRPr="00626614">
              <w:rPr>
                <w:rFonts w:ascii="Arial" w:hAnsi="Arial" w:cs="Arial"/>
                <w:sz w:val="16"/>
                <w:szCs w:val="20"/>
              </w:rPr>
              <w:t xml:space="preserve">Arm A(enoxaparin 1mg/kg at T=0 and T=12h) ; or </w:t>
            </w:r>
          </w:p>
          <w:p w14:paraId="27EF5D07" w14:textId="77777777" w:rsidR="00030EEA" w:rsidRPr="00626614" w:rsidRDefault="00030EEA" w:rsidP="004E2F9C">
            <w:pPr>
              <w:spacing w:line="360" w:lineRule="auto"/>
              <w:rPr>
                <w:rFonts w:ascii="Arial" w:hAnsi="Arial" w:cs="Arial"/>
                <w:sz w:val="16"/>
                <w:szCs w:val="20"/>
              </w:rPr>
            </w:pPr>
            <w:r w:rsidRPr="00626614">
              <w:rPr>
                <w:rFonts w:ascii="Arial" w:hAnsi="Arial" w:cs="Arial"/>
                <w:sz w:val="16"/>
                <w:szCs w:val="20"/>
              </w:rPr>
              <w:t xml:space="preserve">Arm B (enoxaparin 1.5mg/kg at T=0) </w:t>
            </w:r>
          </w:p>
        </w:tc>
        <w:tc>
          <w:tcPr>
            <w:tcW w:w="3260" w:type="dxa"/>
            <w:tcBorders>
              <w:left w:val="nil"/>
            </w:tcBorders>
          </w:tcPr>
          <w:p w14:paraId="24D0A9D7" w14:textId="77777777" w:rsidR="00030EEA" w:rsidRPr="00626614" w:rsidRDefault="00030EEA" w:rsidP="004E2F9C">
            <w:pPr>
              <w:spacing w:line="360" w:lineRule="auto"/>
              <w:jc w:val="both"/>
              <w:rPr>
                <w:rFonts w:ascii="Arial" w:hAnsi="Arial" w:cs="Arial"/>
                <w:sz w:val="16"/>
                <w:szCs w:val="20"/>
              </w:rPr>
            </w:pPr>
            <w:r w:rsidRPr="00626614">
              <w:rPr>
                <w:rFonts w:ascii="Arial" w:hAnsi="Arial" w:cs="Arial"/>
                <w:sz w:val="16"/>
                <w:szCs w:val="20"/>
              </w:rPr>
              <w:t>Dose administered (mg)</w:t>
            </w:r>
          </w:p>
        </w:tc>
      </w:tr>
      <w:tr w:rsidR="00030EEA" w:rsidRPr="009449FB" w14:paraId="77EA8D96" w14:textId="77777777" w:rsidTr="00626614">
        <w:tc>
          <w:tcPr>
            <w:tcW w:w="1696" w:type="dxa"/>
          </w:tcPr>
          <w:p w14:paraId="32ECFEE9" w14:textId="77777777" w:rsidR="00030EEA" w:rsidRPr="00626614" w:rsidRDefault="00030EEA" w:rsidP="004E2F9C">
            <w:pPr>
              <w:spacing w:line="360" w:lineRule="auto"/>
              <w:jc w:val="both"/>
              <w:rPr>
                <w:rFonts w:ascii="Arial" w:hAnsi="Arial" w:cs="Arial"/>
                <w:sz w:val="16"/>
                <w:szCs w:val="20"/>
              </w:rPr>
            </w:pPr>
            <w:r w:rsidRPr="00626614">
              <w:rPr>
                <w:rFonts w:ascii="Arial" w:hAnsi="Arial" w:cs="Arial"/>
                <w:sz w:val="16"/>
                <w:szCs w:val="20"/>
              </w:rPr>
              <w:t>Medical History</w:t>
            </w:r>
          </w:p>
        </w:tc>
        <w:tc>
          <w:tcPr>
            <w:tcW w:w="4224" w:type="dxa"/>
            <w:tcBorders>
              <w:right w:val="nil"/>
            </w:tcBorders>
          </w:tcPr>
          <w:p w14:paraId="48FC0996" w14:textId="77777777" w:rsidR="00030EEA" w:rsidRPr="00626614" w:rsidRDefault="00030EEA" w:rsidP="004E2F9C">
            <w:pPr>
              <w:spacing w:line="360" w:lineRule="auto"/>
              <w:jc w:val="both"/>
              <w:rPr>
                <w:rFonts w:ascii="Arial" w:hAnsi="Arial" w:cs="Arial"/>
                <w:sz w:val="16"/>
                <w:szCs w:val="20"/>
              </w:rPr>
            </w:pPr>
            <w:r w:rsidRPr="00626614">
              <w:rPr>
                <w:rFonts w:ascii="Arial" w:hAnsi="Arial" w:cs="Arial"/>
                <w:sz w:val="16"/>
                <w:szCs w:val="20"/>
              </w:rPr>
              <w:t>Hypertension (0,1)</w:t>
            </w:r>
          </w:p>
          <w:p w14:paraId="08088A46" w14:textId="77777777" w:rsidR="00030EEA" w:rsidRPr="00626614" w:rsidRDefault="00030EEA" w:rsidP="004E2F9C">
            <w:pPr>
              <w:spacing w:line="360" w:lineRule="auto"/>
              <w:jc w:val="both"/>
              <w:rPr>
                <w:rFonts w:ascii="Arial" w:hAnsi="Arial" w:cs="Arial"/>
                <w:sz w:val="16"/>
                <w:szCs w:val="20"/>
              </w:rPr>
            </w:pPr>
            <w:r w:rsidRPr="00626614">
              <w:rPr>
                <w:rFonts w:ascii="Arial" w:hAnsi="Arial" w:cs="Arial"/>
                <w:sz w:val="16"/>
                <w:szCs w:val="20"/>
              </w:rPr>
              <w:t>Diabetes mellitus (0,1)</w:t>
            </w:r>
          </w:p>
        </w:tc>
        <w:tc>
          <w:tcPr>
            <w:tcW w:w="3260" w:type="dxa"/>
            <w:tcBorders>
              <w:left w:val="nil"/>
            </w:tcBorders>
          </w:tcPr>
          <w:p w14:paraId="4AAD5D8B" w14:textId="77777777" w:rsidR="00030EEA" w:rsidRPr="00626614" w:rsidRDefault="00030EEA" w:rsidP="004E2F9C">
            <w:pPr>
              <w:spacing w:line="360" w:lineRule="auto"/>
              <w:jc w:val="both"/>
              <w:rPr>
                <w:rFonts w:ascii="Arial" w:hAnsi="Arial" w:cs="Arial"/>
                <w:sz w:val="16"/>
                <w:szCs w:val="20"/>
              </w:rPr>
            </w:pPr>
          </w:p>
        </w:tc>
      </w:tr>
      <w:tr w:rsidR="00030EEA" w:rsidRPr="009449FB" w14:paraId="603639E5" w14:textId="77777777" w:rsidTr="00626614">
        <w:tc>
          <w:tcPr>
            <w:tcW w:w="1696" w:type="dxa"/>
          </w:tcPr>
          <w:p w14:paraId="7C46A980" w14:textId="77777777" w:rsidR="00030EEA" w:rsidRPr="00626614" w:rsidRDefault="00030EEA" w:rsidP="004E2F9C">
            <w:pPr>
              <w:spacing w:line="360" w:lineRule="auto"/>
              <w:jc w:val="both"/>
              <w:rPr>
                <w:rFonts w:ascii="Arial" w:hAnsi="Arial" w:cs="Arial"/>
                <w:sz w:val="16"/>
                <w:szCs w:val="20"/>
              </w:rPr>
            </w:pPr>
            <w:r w:rsidRPr="00626614">
              <w:rPr>
                <w:rFonts w:ascii="Arial" w:hAnsi="Arial" w:cs="Arial"/>
                <w:sz w:val="16"/>
                <w:szCs w:val="20"/>
              </w:rPr>
              <w:t xml:space="preserve">Demographics </w:t>
            </w:r>
          </w:p>
        </w:tc>
        <w:tc>
          <w:tcPr>
            <w:tcW w:w="4224" w:type="dxa"/>
            <w:tcBorders>
              <w:right w:val="nil"/>
            </w:tcBorders>
          </w:tcPr>
          <w:p w14:paraId="3DE19700" w14:textId="77777777" w:rsidR="00030EEA" w:rsidRPr="00626614" w:rsidRDefault="00030EEA" w:rsidP="004E2F9C">
            <w:pPr>
              <w:spacing w:line="360" w:lineRule="auto"/>
              <w:jc w:val="both"/>
              <w:rPr>
                <w:rFonts w:ascii="Arial" w:hAnsi="Arial" w:cs="Arial"/>
                <w:sz w:val="16"/>
                <w:szCs w:val="20"/>
              </w:rPr>
            </w:pPr>
            <w:r w:rsidRPr="00626614">
              <w:rPr>
                <w:rFonts w:ascii="Arial" w:hAnsi="Arial" w:cs="Arial"/>
                <w:sz w:val="16"/>
                <w:szCs w:val="20"/>
              </w:rPr>
              <w:t>Age</w:t>
            </w:r>
          </w:p>
          <w:p w14:paraId="126AAC73" w14:textId="77777777" w:rsidR="00030EEA" w:rsidRPr="00626614" w:rsidRDefault="00030EEA" w:rsidP="004E2F9C">
            <w:pPr>
              <w:spacing w:line="360" w:lineRule="auto"/>
              <w:jc w:val="both"/>
              <w:rPr>
                <w:rFonts w:ascii="Arial" w:hAnsi="Arial" w:cs="Arial"/>
                <w:sz w:val="16"/>
                <w:szCs w:val="20"/>
              </w:rPr>
            </w:pPr>
            <w:r w:rsidRPr="00626614">
              <w:rPr>
                <w:rFonts w:ascii="Arial" w:hAnsi="Arial" w:cs="Arial"/>
                <w:sz w:val="16"/>
                <w:szCs w:val="20"/>
              </w:rPr>
              <w:t>Gender (m/f)</w:t>
            </w:r>
          </w:p>
          <w:p w14:paraId="21667C44" w14:textId="77777777" w:rsidR="00030EEA" w:rsidRPr="00626614" w:rsidRDefault="00030EEA" w:rsidP="004E2F9C">
            <w:pPr>
              <w:spacing w:line="360" w:lineRule="auto"/>
              <w:jc w:val="both"/>
              <w:rPr>
                <w:rFonts w:ascii="Arial" w:hAnsi="Arial" w:cs="Arial"/>
                <w:sz w:val="16"/>
                <w:szCs w:val="20"/>
              </w:rPr>
            </w:pPr>
            <w:r w:rsidRPr="00626614">
              <w:rPr>
                <w:rFonts w:ascii="Arial" w:hAnsi="Arial" w:cs="Arial"/>
                <w:sz w:val="16"/>
                <w:szCs w:val="20"/>
              </w:rPr>
              <w:t>Ethnicity</w:t>
            </w:r>
          </w:p>
        </w:tc>
        <w:tc>
          <w:tcPr>
            <w:tcW w:w="3260" w:type="dxa"/>
            <w:tcBorders>
              <w:left w:val="nil"/>
            </w:tcBorders>
          </w:tcPr>
          <w:p w14:paraId="73B9F0ED" w14:textId="77777777" w:rsidR="00030EEA" w:rsidRPr="00626614" w:rsidRDefault="00030EEA" w:rsidP="004E2F9C">
            <w:pPr>
              <w:spacing w:line="360" w:lineRule="auto"/>
              <w:jc w:val="both"/>
              <w:rPr>
                <w:rFonts w:ascii="Arial" w:hAnsi="Arial" w:cs="Arial"/>
                <w:sz w:val="16"/>
                <w:szCs w:val="20"/>
              </w:rPr>
            </w:pPr>
            <w:r w:rsidRPr="00626614">
              <w:rPr>
                <w:rFonts w:ascii="Arial" w:hAnsi="Arial" w:cs="Arial"/>
                <w:sz w:val="16"/>
                <w:szCs w:val="20"/>
              </w:rPr>
              <w:t>Weight (kg), Height (cm), BMI</w:t>
            </w:r>
          </w:p>
          <w:p w14:paraId="3F5CA517" w14:textId="77777777" w:rsidR="00030EEA" w:rsidRPr="00626614" w:rsidRDefault="00030EEA" w:rsidP="004E2F9C">
            <w:pPr>
              <w:spacing w:line="360" w:lineRule="auto"/>
              <w:jc w:val="both"/>
              <w:rPr>
                <w:rFonts w:ascii="Arial" w:hAnsi="Arial" w:cs="Arial"/>
                <w:sz w:val="16"/>
                <w:szCs w:val="20"/>
              </w:rPr>
            </w:pPr>
            <w:r w:rsidRPr="00626614">
              <w:rPr>
                <w:rFonts w:ascii="Arial" w:hAnsi="Arial" w:cs="Arial"/>
                <w:sz w:val="16"/>
                <w:szCs w:val="20"/>
              </w:rPr>
              <w:t>Current Smoker (0,1)</w:t>
            </w:r>
          </w:p>
        </w:tc>
      </w:tr>
      <w:tr w:rsidR="00030EEA" w:rsidRPr="009449FB" w14:paraId="1E409B56" w14:textId="77777777" w:rsidTr="00626614">
        <w:tc>
          <w:tcPr>
            <w:tcW w:w="1696" w:type="dxa"/>
          </w:tcPr>
          <w:p w14:paraId="1B57FE87" w14:textId="77777777" w:rsidR="00030EEA" w:rsidRPr="00626614" w:rsidRDefault="00030EEA" w:rsidP="004E2F9C">
            <w:pPr>
              <w:spacing w:line="360" w:lineRule="auto"/>
              <w:jc w:val="both"/>
              <w:rPr>
                <w:rFonts w:ascii="Arial" w:hAnsi="Arial" w:cs="Arial"/>
                <w:sz w:val="16"/>
                <w:szCs w:val="20"/>
              </w:rPr>
            </w:pPr>
            <w:r w:rsidRPr="00626614">
              <w:rPr>
                <w:rFonts w:ascii="Arial" w:hAnsi="Arial" w:cs="Arial"/>
                <w:sz w:val="16"/>
                <w:szCs w:val="20"/>
              </w:rPr>
              <w:t>Relevant Medications</w:t>
            </w:r>
          </w:p>
        </w:tc>
        <w:tc>
          <w:tcPr>
            <w:tcW w:w="4224" w:type="dxa"/>
            <w:tcBorders>
              <w:right w:val="nil"/>
            </w:tcBorders>
          </w:tcPr>
          <w:p w14:paraId="19CC4FF2" w14:textId="77777777" w:rsidR="00030EEA" w:rsidRPr="00626614" w:rsidRDefault="00030EEA" w:rsidP="004E2F9C">
            <w:pPr>
              <w:spacing w:line="360" w:lineRule="auto"/>
              <w:jc w:val="both"/>
              <w:rPr>
                <w:rFonts w:ascii="Arial" w:hAnsi="Arial" w:cs="Arial"/>
                <w:sz w:val="16"/>
                <w:szCs w:val="20"/>
              </w:rPr>
            </w:pPr>
            <w:r w:rsidRPr="00626614">
              <w:rPr>
                <w:rFonts w:ascii="Arial" w:hAnsi="Arial" w:cs="Arial"/>
                <w:sz w:val="16"/>
                <w:szCs w:val="20"/>
              </w:rPr>
              <w:t>Aspirin (pre-op) (0,1)</w:t>
            </w:r>
          </w:p>
          <w:p w14:paraId="4E23B4A8" w14:textId="77777777" w:rsidR="00030EEA" w:rsidRPr="00626614" w:rsidRDefault="00030EEA" w:rsidP="004E2F9C">
            <w:pPr>
              <w:spacing w:line="360" w:lineRule="auto"/>
              <w:jc w:val="both"/>
              <w:rPr>
                <w:rFonts w:ascii="Arial" w:hAnsi="Arial" w:cs="Arial"/>
                <w:sz w:val="16"/>
                <w:szCs w:val="20"/>
              </w:rPr>
            </w:pPr>
            <w:r w:rsidRPr="00626614">
              <w:rPr>
                <w:rFonts w:ascii="Arial" w:hAnsi="Arial" w:cs="Arial"/>
                <w:sz w:val="16"/>
                <w:szCs w:val="20"/>
              </w:rPr>
              <w:t>P2Y12 inhibitor (pre-op) (0,1)</w:t>
            </w:r>
          </w:p>
          <w:p w14:paraId="4AD65E48" w14:textId="77777777" w:rsidR="00030EEA" w:rsidRPr="00626614" w:rsidRDefault="00030EEA" w:rsidP="004E2F9C">
            <w:pPr>
              <w:spacing w:line="360" w:lineRule="auto"/>
              <w:jc w:val="both"/>
              <w:rPr>
                <w:rFonts w:ascii="Arial" w:hAnsi="Arial" w:cs="Arial"/>
                <w:sz w:val="16"/>
                <w:szCs w:val="20"/>
              </w:rPr>
            </w:pPr>
            <w:r w:rsidRPr="00626614">
              <w:rPr>
                <w:rFonts w:ascii="Arial" w:hAnsi="Arial" w:cs="Arial"/>
                <w:sz w:val="16"/>
                <w:szCs w:val="20"/>
              </w:rPr>
              <w:t>Proton pump inhibitor (0,1)</w:t>
            </w:r>
          </w:p>
        </w:tc>
        <w:tc>
          <w:tcPr>
            <w:tcW w:w="3260" w:type="dxa"/>
            <w:tcBorders>
              <w:left w:val="nil"/>
            </w:tcBorders>
          </w:tcPr>
          <w:p w14:paraId="1CEBD46A" w14:textId="77777777" w:rsidR="00030EEA" w:rsidRPr="00626614" w:rsidRDefault="00030EEA" w:rsidP="004E2F9C">
            <w:pPr>
              <w:spacing w:line="360" w:lineRule="auto"/>
              <w:jc w:val="both"/>
              <w:rPr>
                <w:rFonts w:ascii="Arial" w:hAnsi="Arial" w:cs="Arial"/>
                <w:sz w:val="16"/>
                <w:szCs w:val="20"/>
              </w:rPr>
            </w:pPr>
          </w:p>
        </w:tc>
      </w:tr>
      <w:tr w:rsidR="00030EEA" w:rsidRPr="009449FB" w14:paraId="2A95A526" w14:textId="77777777" w:rsidTr="00626614">
        <w:tc>
          <w:tcPr>
            <w:tcW w:w="1696" w:type="dxa"/>
          </w:tcPr>
          <w:p w14:paraId="2F93E7E4" w14:textId="77777777" w:rsidR="00030EEA" w:rsidRPr="00626614" w:rsidRDefault="00030EEA" w:rsidP="004E2F9C">
            <w:pPr>
              <w:spacing w:line="360" w:lineRule="auto"/>
              <w:jc w:val="both"/>
              <w:rPr>
                <w:rFonts w:ascii="Arial" w:hAnsi="Arial" w:cs="Arial"/>
                <w:sz w:val="16"/>
                <w:szCs w:val="20"/>
              </w:rPr>
            </w:pPr>
            <w:r w:rsidRPr="00626614">
              <w:rPr>
                <w:rFonts w:ascii="Arial" w:hAnsi="Arial" w:cs="Arial"/>
                <w:sz w:val="16"/>
                <w:szCs w:val="20"/>
              </w:rPr>
              <w:t>Procedure</w:t>
            </w:r>
          </w:p>
        </w:tc>
        <w:tc>
          <w:tcPr>
            <w:tcW w:w="4224" w:type="dxa"/>
            <w:tcBorders>
              <w:right w:val="nil"/>
            </w:tcBorders>
          </w:tcPr>
          <w:p w14:paraId="5833F1C4" w14:textId="76270766" w:rsidR="00030EEA" w:rsidRPr="00626614" w:rsidRDefault="00030EEA" w:rsidP="004E2F9C">
            <w:pPr>
              <w:spacing w:line="360" w:lineRule="auto"/>
              <w:jc w:val="both"/>
              <w:rPr>
                <w:rFonts w:ascii="Arial" w:hAnsi="Arial" w:cs="Arial"/>
                <w:sz w:val="16"/>
                <w:szCs w:val="20"/>
              </w:rPr>
            </w:pPr>
            <w:r w:rsidRPr="00626614">
              <w:rPr>
                <w:rFonts w:ascii="Arial" w:hAnsi="Arial" w:cs="Arial"/>
                <w:sz w:val="16"/>
                <w:szCs w:val="20"/>
              </w:rPr>
              <w:t>Procedure Type (coil, BAC, SAC, FDS)</w:t>
            </w:r>
          </w:p>
          <w:p w14:paraId="7A67EFC2" w14:textId="69833E59" w:rsidR="00CD5598" w:rsidRPr="00626614" w:rsidRDefault="00CD5598" w:rsidP="004E2F9C">
            <w:pPr>
              <w:spacing w:line="360" w:lineRule="auto"/>
              <w:jc w:val="both"/>
              <w:rPr>
                <w:rFonts w:ascii="Arial" w:hAnsi="Arial" w:cs="Arial"/>
                <w:sz w:val="16"/>
                <w:szCs w:val="20"/>
              </w:rPr>
            </w:pPr>
            <w:r>
              <w:rPr>
                <w:rFonts w:ascii="Arial" w:hAnsi="Arial" w:cs="Arial"/>
                <w:sz w:val="16"/>
                <w:szCs w:val="20"/>
              </w:rPr>
              <w:t xml:space="preserve">Number of aneurysms treated during procedure </w:t>
            </w:r>
          </w:p>
          <w:p w14:paraId="14A054A3" w14:textId="77777777" w:rsidR="00030EEA" w:rsidRPr="00626614" w:rsidRDefault="00030EEA" w:rsidP="004E2F9C">
            <w:pPr>
              <w:spacing w:line="360" w:lineRule="auto"/>
              <w:jc w:val="both"/>
              <w:rPr>
                <w:rFonts w:ascii="Arial" w:hAnsi="Arial" w:cs="Arial"/>
                <w:sz w:val="16"/>
                <w:szCs w:val="20"/>
              </w:rPr>
            </w:pPr>
            <w:r w:rsidRPr="00626614">
              <w:rPr>
                <w:rFonts w:ascii="Arial" w:hAnsi="Arial" w:cs="Arial"/>
                <w:sz w:val="16"/>
                <w:szCs w:val="20"/>
              </w:rPr>
              <w:t>Operator rating of procedure complexity</w:t>
            </w:r>
          </w:p>
        </w:tc>
        <w:tc>
          <w:tcPr>
            <w:tcW w:w="3260" w:type="dxa"/>
            <w:tcBorders>
              <w:left w:val="nil"/>
            </w:tcBorders>
          </w:tcPr>
          <w:p w14:paraId="65DBBBB1" w14:textId="77777777" w:rsidR="00030EEA" w:rsidRPr="009D2728" w:rsidRDefault="00030EEA" w:rsidP="004E2F9C">
            <w:pPr>
              <w:spacing w:line="360" w:lineRule="auto"/>
              <w:jc w:val="both"/>
              <w:rPr>
                <w:rFonts w:ascii="Arial" w:hAnsi="Arial" w:cs="Arial"/>
                <w:sz w:val="16"/>
                <w:szCs w:val="20"/>
              </w:rPr>
            </w:pPr>
            <w:r w:rsidRPr="009D2728">
              <w:rPr>
                <w:rFonts w:ascii="Arial" w:hAnsi="Arial" w:cs="Arial"/>
                <w:sz w:val="16"/>
                <w:szCs w:val="20"/>
              </w:rPr>
              <w:t>Procedure Time (minutes)</w:t>
            </w:r>
          </w:p>
          <w:p w14:paraId="39BC6445" w14:textId="77777777" w:rsidR="00030EEA" w:rsidRPr="00626614" w:rsidRDefault="00030EEA" w:rsidP="004E2F9C">
            <w:pPr>
              <w:spacing w:line="360" w:lineRule="auto"/>
              <w:jc w:val="both"/>
              <w:rPr>
                <w:rFonts w:ascii="Arial" w:hAnsi="Arial" w:cs="Arial"/>
                <w:sz w:val="16"/>
                <w:szCs w:val="20"/>
              </w:rPr>
            </w:pPr>
            <w:r w:rsidRPr="00626614">
              <w:rPr>
                <w:rFonts w:ascii="Arial" w:hAnsi="Arial" w:cs="Arial"/>
                <w:sz w:val="16"/>
                <w:szCs w:val="20"/>
              </w:rPr>
              <w:t>Mean ACT (intra-op)</w:t>
            </w:r>
          </w:p>
          <w:p w14:paraId="0B5F8549" w14:textId="77777777" w:rsidR="00030EEA" w:rsidRPr="00626614" w:rsidRDefault="00030EEA" w:rsidP="004E2F9C">
            <w:pPr>
              <w:spacing w:line="360" w:lineRule="auto"/>
              <w:jc w:val="both"/>
              <w:rPr>
                <w:rFonts w:ascii="Arial" w:hAnsi="Arial" w:cs="Arial"/>
                <w:sz w:val="16"/>
                <w:szCs w:val="20"/>
              </w:rPr>
            </w:pPr>
            <w:r w:rsidRPr="00626614">
              <w:rPr>
                <w:rFonts w:ascii="Arial" w:hAnsi="Arial" w:cs="Arial"/>
                <w:sz w:val="16"/>
                <w:szCs w:val="20"/>
              </w:rPr>
              <w:t>Highest ACT (intra-op)</w:t>
            </w:r>
          </w:p>
          <w:p w14:paraId="6A88E94E" w14:textId="77777777" w:rsidR="00030EEA" w:rsidRPr="00626614" w:rsidRDefault="00030EEA" w:rsidP="004E2F9C">
            <w:pPr>
              <w:spacing w:line="360" w:lineRule="auto"/>
              <w:jc w:val="both"/>
              <w:rPr>
                <w:rFonts w:ascii="Arial" w:hAnsi="Arial" w:cs="Arial"/>
                <w:sz w:val="16"/>
                <w:szCs w:val="20"/>
              </w:rPr>
            </w:pPr>
            <w:r w:rsidRPr="00626614">
              <w:rPr>
                <w:rFonts w:ascii="Arial" w:hAnsi="Arial" w:cs="Arial"/>
                <w:sz w:val="16"/>
                <w:szCs w:val="20"/>
              </w:rPr>
              <w:t>Inpatient Duration (days)</w:t>
            </w:r>
          </w:p>
          <w:p w14:paraId="216B407C" w14:textId="77777777" w:rsidR="00030EEA" w:rsidRPr="00626614" w:rsidRDefault="00030EEA" w:rsidP="004E2F9C">
            <w:pPr>
              <w:spacing w:line="360" w:lineRule="auto"/>
              <w:jc w:val="both"/>
              <w:rPr>
                <w:rFonts w:ascii="Arial" w:hAnsi="Arial" w:cs="Arial"/>
                <w:sz w:val="16"/>
                <w:szCs w:val="20"/>
              </w:rPr>
            </w:pPr>
            <w:r w:rsidRPr="00626614">
              <w:rPr>
                <w:rFonts w:ascii="Arial" w:hAnsi="Arial" w:cs="Arial"/>
                <w:sz w:val="16"/>
                <w:szCs w:val="20"/>
              </w:rPr>
              <w:t>Reason for Anti-coagulation</w:t>
            </w:r>
          </w:p>
        </w:tc>
      </w:tr>
      <w:tr w:rsidR="00030EEA" w:rsidRPr="009449FB" w14:paraId="31EEF856" w14:textId="77777777" w:rsidTr="00626614">
        <w:tc>
          <w:tcPr>
            <w:tcW w:w="1696" w:type="dxa"/>
          </w:tcPr>
          <w:p w14:paraId="49ED5CF3" w14:textId="77777777" w:rsidR="00030EEA" w:rsidRPr="00626614" w:rsidRDefault="00030EEA" w:rsidP="004E2F9C">
            <w:pPr>
              <w:spacing w:line="360" w:lineRule="auto"/>
              <w:jc w:val="both"/>
              <w:rPr>
                <w:rFonts w:ascii="Arial" w:hAnsi="Arial" w:cs="Arial"/>
                <w:sz w:val="16"/>
                <w:szCs w:val="20"/>
              </w:rPr>
            </w:pPr>
            <w:r w:rsidRPr="00626614">
              <w:rPr>
                <w:rFonts w:ascii="Arial" w:hAnsi="Arial" w:cs="Arial"/>
                <w:sz w:val="16"/>
                <w:szCs w:val="20"/>
              </w:rPr>
              <w:t>Aneurysm</w:t>
            </w:r>
          </w:p>
        </w:tc>
        <w:tc>
          <w:tcPr>
            <w:tcW w:w="4224" w:type="dxa"/>
            <w:tcBorders>
              <w:right w:val="nil"/>
            </w:tcBorders>
          </w:tcPr>
          <w:p w14:paraId="381343AD" w14:textId="55B8032E" w:rsidR="00030EEA" w:rsidRPr="00626614" w:rsidRDefault="00030EEA" w:rsidP="004E2F9C">
            <w:pPr>
              <w:spacing w:line="360" w:lineRule="auto"/>
              <w:jc w:val="both"/>
              <w:rPr>
                <w:rFonts w:ascii="Arial" w:hAnsi="Arial" w:cs="Arial"/>
                <w:sz w:val="16"/>
                <w:szCs w:val="20"/>
              </w:rPr>
            </w:pPr>
            <w:r w:rsidRPr="00626614">
              <w:rPr>
                <w:rFonts w:ascii="Arial" w:hAnsi="Arial" w:cs="Arial"/>
                <w:sz w:val="16"/>
                <w:szCs w:val="20"/>
              </w:rPr>
              <w:t>Aneurysm Location</w:t>
            </w:r>
            <w:r w:rsidR="00AC7885">
              <w:rPr>
                <w:rFonts w:ascii="Arial" w:hAnsi="Arial" w:cs="Arial"/>
                <w:sz w:val="16"/>
                <w:szCs w:val="20"/>
              </w:rPr>
              <w:t xml:space="preserve"> (vessel</w:t>
            </w:r>
            <w:r w:rsidR="00F34660">
              <w:rPr>
                <w:rFonts w:ascii="Arial" w:hAnsi="Arial" w:cs="Arial"/>
                <w:sz w:val="16"/>
                <w:szCs w:val="20"/>
              </w:rPr>
              <w:t>, right/left/midline)</w:t>
            </w:r>
          </w:p>
          <w:p w14:paraId="56180D0D" w14:textId="77777777" w:rsidR="00030EEA" w:rsidRPr="00626614" w:rsidRDefault="00030EEA" w:rsidP="004E2F9C">
            <w:pPr>
              <w:spacing w:line="360" w:lineRule="auto"/>
              <w:jc w:val="both"/>
              <w:rPr>
                <w:rFonts w:ascii="Arial" w:hAnsi="Arial" w:cs="Arial"/>
                <w:sz w:val="16"/>
                <w:szCs w:val="20"/>
              </w:rPr>
            </w:pPr>
            <w:r w:rsidRPr="00626614">
              <w:rPr>
                <w:rFonts w:ascii="Arial" w:hAnsi="Arial" w:cs="Arial"/>
                <w:sz w:val="16"/>
                <w:szCs w:val="20"/>
              </w:rPr>
              <w:t>Aneurysm Size (largest dimension [mm])</w:t>
            </w:r>
          </w:p>
        </w:tc>
        <w:tc>
          <w:tcPr>
            <w:tcW w:w="3260" w:type="dxa"/>
            <w:tcBorders>
              <w:left w:val="nil"/>
            </w:tcBorders>
          </w:tcPr>
          <w:p w14:paraId="73B99751" w14:textId="77777777" w:rsidR="00030EEA" w:rsidRPr="00626614" w:rsidRDefault="00030EEA" w:rsidP="004E2F9C">
            <w:pPr>
              <w:spacing w:line="360" w:lineRule="auto"/>
              <w:jc w:val="both"/>
              <w:rPr>
                <w:rFonts w:ascii="Arial" w:hAnsi="Arial" w:cs="Arial"/>
                <w:sz w:val="16"/>
                <w:szCs w:val="20"/>
              </w:rPr>
            </w:pPr>
          </w:p>
        </w:tc>
      </w:tr>
      <w:tr w:rsidR="00030EEA" w:rsidRPr="009449FB" w14:paraId="248F55CB" w14:textId="77777777" w:rsidTr="00626614">
        <w:tc>
          <w:tcPr>
            <w:tcW w:w="1696" w:type="dxa"/>
          </w:tcPr>
          <w:p w14:paraId="37B9C319" w14:textId="77777777" w:rsidR="00030EEA" w:rsidRPr="00626614" w:rsidRDefault="00030EEA" w:rsidP="004E2F9C">
            <w:pPr>
              <w:spacing w:line="360" w:lineRule="auto"/>
              <w:jc w:val="both"/>
              <w:rPr>
                <w:rFonts w:ascii="Arial" w:hAnsi="Arial" w:cs="Arial"/>
                <w:sz w:val="16"/>
                <w:szCs w:val="20"/>
              </w:rPr>
            </w:pPr>
            <w:r w:rsidRPr="00626614">
              <w:rPr>
                <w:rFonts w:ascii="Arial" w:hAnsi="Arial" w:cs="Arial"/>
                <w:sz w:val="16"/>
                <w:szCs w:val="20"/>
              </w:rPr>
              <w:t>Bloodwork</w:t>
            </w:r>
          </w:p>
        </w:tc>
        <w:tc>
          <w:tcPr>
            <w:tcW w:w="4224" w:type="dxa"/>
            <w:tcBorders>
              <w:right w:val="nil"/>
            </w:tcBorders>
          </w:tcPr>
          <w:p w14:paraId="6C7E7756" w14:textId="77777777" w:rsidR="00030EEA" w:rsidRPr="00626614" w:rsidRDefault="00030EEA" w:rsidP="004E2F9C">
            <w:pPr>
              <w:spacing w:line="360" w:lineRule="auto"/>
              <w:jc w:val="both"/>
              <w:rPr>
                <w:rFonts w:ascii="Arial" w:hAnsi="Arial" w:cs="Arial"/>
                <w:sz w:val="16"/>
                <w:szCs w:val="20"/>
              </w:rPr>
            </w:pPr>
            <w:r w:rsidRPr="00626614">
              <w:rPr>
                <w:rFonts w:ascii="Arial" w:hAnsi="Arial" w:cs="Arial"/>
                <w:sz w:val="16"/>
                <w:szCs w:val="20"/>
              </w:rPr>
              <w:t>P2Y12 Reaction Unit (pre-op value)</w:t>
            </w:r>
          </w:p>
          <w:p w14:paraId="200A9C6C" w14:textId="77777777" w:rsidR="00030EEA" w:rsidRPr="00626614" w:rsidRDefault="00030EEA" w:rsidP="004E2F9C">
            <w:pPr>
              <w:spacing w:line="360" w:lineRule="auto"/>
              <w:jc w:val="both"/>
              <w:rPr>
                <w:rFonts w:ascii="Arial" w:hAnsi="Arial" w:cs="Arial"/>
                <w:sz w:val="16"/>
                <w:szCs w:val="20"/>
              </w:rPr>
            </w:pPr>
            <w:r w:rsidRPr="00626614">
              <w:rPr>
                <w:rFonts w:ascii="Arial" w:hAnsi="Arial" w:cs="Arial"/>
                <w:sz w:val="16"/>
                <w:szCs w:val="20"/>
              </w:rPr>
              <w:lastRenderedPageBreak/>
              <w:t>Haemoglobin (Hb) (pre-op and post-op)</w:t>
            </w:r>
          </w:p>
        </w:tc>
        <w:tc>
          <w:tcPr>
            <w:tcW w:w="3260" w:type="dxa"/>
            <w:tcBorders>
              <w:left w:val="nil"/>
            </w:tcBorders>
          </w:tcPr>
          <w:p w14:paraId="521FAF27" w14:textId="77777777" w:rsidR="00030EEA" w:rsidRPr="00626614" w:rsidRDefault="00030EEA" w:rsidP="004E2F9C">
            <w:pPr>
              <w:spacing w:line="360" w:lineRule="auto"/>
              <w:jc w:val="both"/>
              <w:rPr>
                <w:rFonts w:ascii="Arial" w:hAnsi="Arial" w:cs="Arial"/>
                <w:sz w:val="16"/>
                <w:szCs w:val="20"/>
              </w:rPr>
            </w:pPr>
          </w:p>
        </w:tc>
      </w:tr>
      <w:tr w:rsidR="00030EEA" w:rsidRPr="009449FB" w14:paraId="7F41F9B4" w14:textId="77777777" w:rsidTr="00626614">
        <w:tc>
          <w:tcPr>
            <w:tcW w:w="1696" w:type="dxa"/>
          </w:tcPr>
          <w:p w14:paraId="29DB126E" w14:textId="77777777" w:rsidR="00030EEA" w:rsidRPr="00626614" w:rsidRDefault="00030EEA" w:rsidP="004E2F9C">
            <w:pPr>
              <w:spacing w:line="360" w:lineRule="auto"/>
              <w:jc w:val="both"/>
              <w:rPr>
                <w:rFonts w:ascii="Arial" w:hAnsi="Arial" w:cs="Arial"/>
                <w:sz w:val="16"/>
                <w:szCs w:val="20"/>
              </w:rPr>
            </w:pPr>
            <w:r w:rsidRPr="00626614">
              <w:rPr>
                <w:rFonts w:ascii="Arial" w:hAnsi="Arial" w:cs="Arial"/>
                <w:sz w:val="16"/>
                <w:szCs w:val="20"/>
              </w:rPr>
              <w:t>Complications</w:t>
            </w:r>
          </w:p>
        </w:tc>
        <w:tc>
          <w:tcPr>
            <w:tcW w:w="4224" w:type="dxa"/>
            <w:tcBorders>
              <w:right w:val="nil"/>
            </w:tcBorders>
          </w:tcPr>
          <w:p w14:paraId="545EDCF4" w14:textId="77777777" w:rsidR="00030EEA" w:rsidRPr="00626614" w:rsidRDefault="00030EEA" w:rsidP="004E2F9C">
            <w:pPr>
              <w:spacing w:line="360" w:lineRule="auto"/>
              <w:jc w:val="both"/>
              <w:rPr>
                <w:rFonts w:ascii="Arial" w:hAnsi="Arial" w:cs="Arial"/>
                <w:sz w:val="16"/>
                <w:szCs w:val="20"/>
              </w:rPr>
            </w:pPr>
            <w:r w:rsidRPr="00626614">
              <w:rPr>
                <w:rFonts w:ascii="Arial" w:hAnsi="Arial" w:cs="Arial"/>
                <w:sz w:val="16"/>
                <w:szCs w:val="20"/>
              </w:rPr>
              <w:t>Intracranial Thromboembolism (0 [no], 1 [yes])</w:t>
            </w:r>
          </w:p>
          <w:p w14:paraId="564F520F" w14:textId="77777777" w:rsidR="00030EEA" w:rsidRPr="00626614" w:rsidRDefault="00030EEA" w:rsidP="00030EEA">
            <w:pPr>
              <w:pStyle w:val="ListParagraph"/>
              <w:numPr>
                <w:ilvl w:val="0"/>
                <w:numId w:val="5"/>
              </w:numPr>
              <w:spacing w:line="360" w:lineRule="auto"/>
              <w:jc w:val="both"/>
              <w:rPr>
                <w:rFonts w:ascii="Arial" w:hAnsi="Arial" w:cs="Arial"/>
                <w:sz w:val="16"/>
                <w:szCs w:val="20"/>
              </w:rPr>
            </w:pPr>
            <w:r w:rsidRPr="00626614">
              <w:rPr>
                <w:rFonts w:ascii="Arial" w:hAnsi="Arial" w:cs="Arial"/>
                <w:sz w:val="16"/>
                <w:szCs w:val="20"/>
              </w:rPr>
              <w:t>Intraoperative (0,1)</w:t>
            </w:r>
          </w:p>
          <w:p w14:paraId="3C0BE5FC" w14:textId="77777777" w:rsidR="00030EEA" w:rsidRPr="00626614" w:rsidRDefault="00030EEA" w:rsidP="00030EEA">
            <w:pPr>
              <w:pStyle w:val="ListParagraph"/>
              <w:numPr>
                <w:ilvl w:val="0"/>
                <w:numId w:val="5"/>
              </w:numPr>
              <w:spacing w:line="360" w:lineRule="auto"/>
              <w:jc w:val="both"/>
              <w:rPr>
                <w:rFonts w:ascii="Arial" w:hAnsi="Arial" w:cs="Arial"/>
                <w:sz w:val="16"/>
                <w:szCs w:val="20"/>
              </w:rPr>
            </w:pPr>
            <w:r w:rsidRPr="00626614">
              <w:rPr>
                <w:rFonts w:ascii="Arial" w:hAnsi="Arial" w:cs="Arial"/>
                <w:sz w:val="16"/>
                <w:szCs w:val="20"/>
              </w:rPr>
              <w:t>Post-operative (0,1)</w:t>
            </w:r>
          </w:p>
          <w:p w14:paraId="2F82DAE6" w14:textId="77777777" w:rsidR="00030EEA" w:rsidRPr="00626614" w:rsidRDefault="00030EEA" w:rsidP="004E2F9C">
            <w:pPr>
              <w:spacing w:line="360" w:lineRule="auto"/>
              <w:jc w:val="both"/>
              <w:rPr>
                <w:rFonts w:ascii="Arial" w:hAnsi="Arial" w:cs="Arial"/>
                <w:sz w:val="16"/>
                <w:szCs w:val="20"/>
              </w:rPr>
            </w:pPr>
            <w:r w:rsidRPr="00626614">
              <w:rPr>
                <w:rFonts w:ascii="Arial" w:eastAsia="Times New Roman" w:hAnsi="Arial" w:cs="Arial"/>
                <w:sz w:val="16"/>
                <w:szCs w:val="20"/>
              </w:rPr>
              <w:t>CSIL (CTCAE Grade 1)</w:t>
            </w:r>
          </w:p>
          <w:p w14:paraId="4A14880A" w14:textId="77777777" w:rsidR="00030EEA" w:rsidRPr="00626614" w:rsidRDefault="00030EEA" w:rsidP="004E2F9C">
            <w:pPr>
              <w:spacing w:line="360" w:lineRule="auto"/>
              <w:jc w:val="both"/>
              <w:rPr>
                <w:rFonts w:ascii="Arial" w:eastAsia="Times New Roman" w:hAnsi="Arial" w:cs="Arial"/>
                <w:sz w:val="16"/>
                <w:szCs w:val="20"/>
              </w:rPr>
            </w:pPr>
            <w:r w:rsidRPr="00626614">
              <w:rPr>
                <w:rFonts w:ascii="Arial" w:eastAsia="Times New Roman" w:hAnsi="Arial" w:cs="Arial"/>
                <w:sz w:val="16"/>
                <w:szCs w:val="20"/>
              </w:rPr>
              <w:t xml:space="preserve">CEIL (CTCAE Grade 2-5) </w:t>
            </w:r>
          </w:p>
          <w:p w14:paraId="10B3C359" w14:textId="77777777" w:rsidR="00030EEA" w:rsidRPr="00626614" w:rsidRDefault="00030EEA" w:rsidP="004E2F9C">
            <w:pPr>
              <w:spacing w:line="360" w:lineRule="auto"/>
              <w:jc w:val="both"/>
              <w:rPr>
                <w:rFonts w:ascii="Arial" w:hAnsi="Arial" w:cs="Arial"/>
                <w:sz w:val="16"/>
                <w:szCs w:val="20"/>
              </w:rPr>
            </w:pPr>
            <w:r w:rsidRPr="00626614">
              <w:rPr>
                <w:rFonts w:ascii="Arial" w:eastAsia="Times New Roman" w:hAnsi="Arial" w:cs="Arial"/>
                <w:sz w:val="16"/>
                <w:szCs w:val="20"/>
              </w:rPr>
              <w:t>Puncture site (normal, haematoma, Femstop, surgical intervention)</w:t>
            </w:r>
          </w:p>
        </w:tc>
        <w:tc>
          <w:tcPr>
            <w:tcW w:w="3260" w:type="dxa"/>
            <w:tcBorders>
              <w:left w:val="nil"/>
            </w:tcBorders>
          </w:tcPr>
          <w:p w14:paraId="5B59ED65" w14:textId="15687BB0" w:rsidR="00030EEA" w:rsidRPr="00626614" w:rsidRDefault="00030EEA" w:rsidP="004E2F9C">
            <w:pPr>
              <w:spacing w:line="360" w:lineRule="auto"/>
              <w:rPr>
                <w:rFonts w:ascii="Arial" w:hAnsi="Arial" w:cs="Arial"/>
                <w:sz w:val="16"/>
                <w:szCs w:val="20"/>
              </w:rPr>
            </w:pPr>
            <w:r w:rsidRPr="00626614">
              <w:rPr>
                <w:rFonts w:ascii="Arial" w:hAnsi="Arial" w:cs="Arial"/>
                <w:sz w:val="16"/>
                <w:szCs w:val="20"/>
              </w:rPr>
              <w:t>Major Bleed (</w:t>
            </w:r>
            <w:r w:rsidR="00460859">
              <w:rPr>
                <w:rFonts w:ascii="Arial" w:hAnsi="Arial" w:cs="Arial"/>
                <w:sz w:val="16"/>
                <w:szCs w:val="20"/>
              </w:rPr>
              <w:t xml:space="preserve">clinically overt with Hb drop &gt;30g/L, </w:t>
            </w:r>
            <w:r w:rsidRPr="00626614">
              <w:rPr>
                <w:rFonts w:ascii="Arial" w:hAnsi="Arial" w:cs="Arial"/>
                <w:sz w:val="16"/>
                <w:szCs w:val="20"/>
              </w:rPr>
              <w:t>intracranial, intraocular, retroperitoneal)</w:t>
            </w:r>
          </w:p>
          <w:p w14:paraId="23F52125" w14:textId="77777777" w:rsidR="00030EEA" w:rsidRPr="00626614" w:rsidRDefault="00030EEA" w:rsidP="004E2F9C">
            <w:pPr>
              <w:spacing w:line="360" w:lineRule="auto"/>
              <w:jc w:val="both"/>
              <w:rPr>
                <w:rFonts w:ascii="Arial" w:hAnsi="Arial" w:cs="Arial"/>
                <w:sz w:val="16"/>
                <w:szCs w:val="20"/>
              </w:rPr>
            </w:pPr>
            <w:r w:rsidRPr="00626614">
              <w:rPr>
                <w:rFonts w:ascii="Arial" w:hAnsi="Arial" w:cs="Arial"/>
                <w:sz w:val="16"/>
                <w:szCs w:val="20"/>
              </w:rPr>
              <w:t>Minor Bleed</w:t>
            </w:r>
          </w:p>
          <w:p w14:paraId="0E056009" w14:textId="77777777" w:rsidR="00030EEA" w:rsidRPr="00626614" w:rsidRDefault="00030EEA" w:rsidP="004E2F9C">
            <w:pPr>
              <w:spacing w:line="360" w:lineRule="auto"/>
              <w:jc w:val="both"/>
              <w:rPr>
                <w:rFonts w:ascii="Arial" w:hAnsi="Arial" w:cs="Arial"/>
                <w:sz w:val="16"/>
                <w:szCs w:val="20"/>
              </w:rPr>
            </w:pPr>
            <w:r w:rsidRPr="00626614">
              <w:rPr>
                <w:rFonts w:ascii="Arial" w:hAnsi="Arial" w:cs="Arial"/>
                <w:sz w:val="16"/>
                <w:szCs w:val="20"/>
              </w:rPr>
              <w:t>Other Complication (e.g. hydrocephalus, DVT, PE)</w:t>
            </w:r>
          </w:p>
        </w:tc>
      </w:tr>
      <w:tr w:rsidR="00030EEA" w:rsidRPr="009449FB" w14:paraId="2D349B00" w14:textId="77777777" w:rsidTr="00626614">
        <w:tc>
          <w:tcPr>
            <w:tcW w:w="1696" w:type="dxa"/>
          </w:tcPr>
          <w:p w14:paraId="211576B0" w14:textId="77777777" w:rsidR="00030EEA" w:rsidRPr="00626614" w:rsidRDefault="00030EEA" w:rsidP="004E2F9C">
            <w:pPr>
              <w:spacing w:line="360" w:lineRule="auto"/>
              <w:jc w:val="both"/>
              <w:rPr>
                <w:rFonts w:ascii="Arial" w:hAnsi="Arial" w:cs="Arial"/>
                <w:sz w:val="16"/>
                <w:szCs w:val="20"/>
              </w:rPr>
            </w:pPr>
            <w:r w:rsidRPr="00626614">
              <w:rPr>
                <w:rFonts w:ascii="Arial" w:hAnsi="Arial" w:cs="Arial"/>
                <w:sz w:val="16"/>
                <w:szCs w:val="20"/>
              </w:rPr>
              <w:t>Imaging</w:t>
            </w:r>
          </w:p>
        </w:tc>
        <w:tc>
          <w:tcPr>
            <w:tcW w:w="4224" w:type="dxa"/>
            <w:tcBorders>
              <w:right w:val="nil"/>
            </w:tcBorders>
          </w:tcPr>
          <w:p w14:paraId="4F7700FF" w14:textId="77777777" w:rsidR="00030EEA" w:rsidRPr="00626614" w:rsidRDefault="00030EEA" w:rsidP="004E2F9C">
            <w:pPr>
              <w:spacing w:line="360" w:lineRule="auto"/>
              <w:jc w:val="both"/>
              <w:rPr>
                <w:rFonts w:ascii="Arial" w:hAnsi="Arial" w:cs="Arial"/>
                <w:sz w:val="16"/>
                <w:szCs w:val="20"/>
              </w:rPr>
            </w:pPr>
            <w:r w:rsidRPr="00626614">
              <w:rPr>
                <w:rFonts w:ascii="Arial" w:hAnsi="Arial" w:cs="Arial"/>
                <w:sz w:val="16"/>
                <w:szCs w:val="20"/>
              </w:rPr>
              <w:t>Ischaemic Lesions (Pre and post op MRI)</w:t>
            </w:r>
          </w:p>
          <w:p w14:paraId="53BF645C" w14:textId="77777777" w:rsidR="00030EEA" w:rsidRPr="00626614" w:rsidRDefault="00030EEA" w:rsidP="00030EEA">
            <w:pPr>
              <w:pStyle w:val="ListParagraph"/>
              <w:numPr>
                <w:ilvl w:val="0"/>
                <w:numId w:val="15"/>
              </w:numPr>
              <w:spacing w:before="1" w:line="360" w:lineRule="auto"/>
              <w:rPr>
                <w:rFonts w:ascii="Arial" w:hAnsi="Arial" w:cs="Arial"/>
                <w:sz w:val="16"/>
                <w:szCs w:val="20"/>
              </w:rPr>
            </w:pPr>
            <w:r w:rsidRPr="00626614">
              <w:rPr>
                <w:rFonts w:ascii="Arial" w:hAnsi="Arial" w:cs="Arial"/>
                <w:sz w:val="16"/>
                <w:szCs w:val="20"/>
              </w:rPr>
              <w:t>Location (intra or extra-territorial to treated aneurysm)</w:t>
            </w:r>
          </w:p>
          <w:p w14:paraId="707A7A4C" w14:textId="03CE4C9E" w:rsidR="00030EEA" w:rsidRDefault="00030EEA" w:rsidP="00030EEA">
            <w:pPr>
              <w:pStyle w:val="ListParagraph"/>
              <w:numPr>
                <w:ilvl w:val="0"/>
                <w:numId w:val="15"/>
              </w:numPr>
              <w:spacing w:before="1" w:line="360" w:lineRule="auto"/>
              <w:rPr>
                <w:rFonts w:ascii="Arial" w:hAnsi="Arial" w:cs="Arial"/>
                <w:sz w:val="16"/>
                <w:szCs w:val="20"/>
              </w:rPr>
            </w:pPr>
            <w:r w:rsidRPr="00626614">
              <w:rPr>
                <w:rFonts w:ascii="Arial" w:hAnsi="Arial" w:cs="Arial"/>
                <w:sz w:val="16"/>
                <w:szCs w:val="20"/>
              </w:rPr>
              <w:t>Number</w:t>
            </w:r>
            <w:r w:rsidR="00425806">
              <w:rPr>
                <w:rFonts w:ascii="Arial" w:hAnsi="Arial" w:cs="Arial"/>
                <w:sz w:val="16"/>
                <w:szCs w:val="20"/>
              </w:rPr>
              <w:t xml:space="preserve"> of lesions and size </w:t>
            </w:r>
            <w:r w:rsidR="00425806" w:rsidRPr="00767FF0">
              <w:rPr>
                <w:rFonts w:ascii="Arial" w:hAnsi="Arial" w:cs="Arial"/>
                <w:sz w:val="16"/>
                <w:szCs w:val="20"/>
              </w:rPr>
              <w:t>(&lt;20mm, &gt;20mm)</w:t>
            </w:r>
          </w:p>
          <w:p w14:paraId="014D00CE" w14:textId="77777777" w:rsidR="00A13D50" w:rsidRDefault="00A13D50" w:rsidP="00A13D50">
            <w:pPr>
              <w:spacing w:before="1" w:line="360" w:lineRule="auto"/>
              <w:rPr>
                <w:rFonts w:ascii="Arial" w:hAnsi="Arial" w:cs="Arial"/>
                <w:sz w:val="16"/>
                <w:szCs w:val="20"/>
              </w:rPr>
            </w:pPr>
          </w:p>
          <w:p w14:paraId="5D706D32" w14:textId="51BA807B" w:rsidR="00A13D50" w:rsidRDefault="0015140F" w:rsidP="00A13D50">
            <w:pPr>
              <w:spacing w:before="1" w:line="360" w:lineRule="auto"/>
              <w:rPr>
                <w:rFonts w:ascii="Arial" w:hAnsi="Arial" w:cs="Arial"/>
                <w:sz w:val="16"/>
                <w:szCs w:val="20"/>
              </w:rPr>
            </w:pPr>
            <w:r>
              <w:rPr>
                <w:rFonts w:ascii="Arial" w:hAnsi="Arial" w:cs="Arial"/>
                <w:sz w:val="16"/>
                <w:szCs w:val="20"/>
              </w:rPr>
              <w:t xml:space="preserve">Pre-op </w:t>
            </w:r>
            <w:r w:rsidR="00A13D50">
              <w:rPr>
                <w:rFonts w:ascii="Arial" w:hAnsi="Arial" w:cs="Arial"/>
                <w:sz w:val="16"/>
                <w:szCs w:val="20"/>
              </w:rPr>
              <w:t>FLAIR</w:t>
            </w:r>
          </w:p>
          <w:p w14:paraId="0157D5E9" w14:textId="77777777" w:rsidR="00A13D50" w:rsidRDefault="006F321B" w:rsidP="00A13D50">
            <w:pPr>
              <w:pStyle w:val="ListParagraph"/>
              <w:numPr>
                <w:ilvl w:val="0"/>
                <w:numId w:val="15"/>
              </w:numPr>
              <w:spacing w:before="1" w:line="360" w:lineRule="auto"/>
              <w:rPr>
                <w:rFonts w:ascii="Arial" w:hAnsi="Arial" w:cs="Arial"/>
                <w:sz w:val="16"/>
                <w:szCs w:val="20"/>
              </w:rPr>
            </w:pPr>
            <w:r>
              <w:rPr>
                <w:rFonts w:ascii="Arial" w:hAnsi="Arial" w:cs="Arial"/>
                <w:sz w:val="16"/>
                <w:szCs w:val="20"/>
              </w:rPr>
              <w:t>White matter hyperintensity Swietens grading</w:t>
            </w:r>
          </w:p>
          <w:p w14:paraId="7079ECD8" w14:textId="51115D25" w:rsidR="0015140F" w:rsidRPr="00626614" w:rsidRDefault="006F321B">
            <w:pPr>
              <w:pStyle w:val="ListParagraph"/>
              <w:numPr>
                <w:ilvl w:val="0"/>
                <w:numId w:val="15"/>
              </w:numPr>
              <w:spacing w:before="1" w:line="360" w:lineRule="auto"/>
              <w:rPr>
                <w:rFonts w:ascii="Arial" w:hAnsi="Arial" w:cs="Arial"/>
                <w:sz w:val="16"/>
                <w:szCs w:val="20"/>
              </w:rPr>
            </w:pPr>
            <w:r>
              <w:rPr>
                <w:rFonts w:ascii="Arial" w:hAnsi="Arial" w:cs="Arial"/>
                <w:sz w:val="16"/>
                <w:szCs w:val="20"/>
              </w:rPr>
              <w:t>Previous infarct</w:t>
            </w:r>
          </w:p>
        </w:tc>
        <w:tc>
          <w:tcPr>
            <w:tcW w:w="3260" w:type="dxa"/>
            <w:tcBorders>
              <w:left w:val="nil"/>
            </w:tcBorders>
          </w:tcPr>
          <w:p w14:paraId="108008FE" w14:textId="77777777" w:rsidR="00030EEA" w:rsidRPr="00626614" w:rsidRDefault="00030EEA" w:rsidP="004E2F9C">
            <w:pPr>
              <w:spacing w:line="360" w:lineRule="auto"/>
              <w:jc w:val="both"/>
              <w:rPr>
                <w:rFonts w:ascii="Arial" w:hAnsi="Arial" w:cs="Arial"/>
                <w:sz w:val="16"/>
                <w:szCs w:val="20"/>
              </w:rPr>
            </w:pPr>
            <w:r w:rsidRPr="00626614">
              <w:rPr>
                <w:rFonts w:ascii="Arial" w:hAnsi="Arial" w:cs="Arial"/>
                <w:sz w:val="16"/>
                <w:szCs w:val="20"/>
              </w:rPr>
              <w:t>Microbleed SWI lesions (Pre and post-op MRI within 48 hours)</w:t>
            </w:r>
          </w:p>
          <w:p w14:paraId="7787BB98" w14:textId="5C26398A" w:rsidR="00030EEA" w:rsidRPr="00626614" w:rsidRDefault="00030EEA" w:rsidP="00030EEA">
            <w:pPr>
              <w:pStyle w:val="ListParagraph"/>
              <w:numPr>
                <w:ilvl w:val="0"/>
                <w:numId w:val="16"/>
              </w:numPr>
              <w:spacing w:before="1" w:line="360" w:lineRule="auto"/>
              <w:rPr>
                <w:rFonts w:ascii="Arial" w:hAnsi="Arial" w:cs="Arial"/>
                <w:sz w:val="16"/>
                <w:szCs w:val="20"/>
              </w:rPr>
            </w:pPr>
            <w:r w:rsidRPr="00626614">
              <w:rPr>
                <w:rFonts w:ascii="Arial" w:hAnsi="Arial" w:cs="Arial"/>
                <w:sz w:val="16"/>
                <w:szCs w:val="20"/>
              </w:rPr>
              <w:t>Number</w:t>
            </w:r>
            <w:r w:rsidR="006C3B09">
              <w:rPr>
                <w:rFonts w:ascii="Arial" w:hAnsi="Arial" w:cs="Arial"/>
                <w:sz w:val="16"/>
                <w:szCs w:val="20"/>
              </w:rPr>
              <w:t xml:space="preserve"> of lesions</w:t>
            </w:r>
          </w:p>
        </w:tc>
      </w:tr>
    </w:tbl>
    <w:p w14:paraId="06F2DF49" w14:textId="77777777" w:rsidR="00991E8C" w:rsidRDefault="00991E8C" w:rsidP="00991E8C">
      <w:pPr>
        <w:spacing w:line="360" w:lineRule="auto"/>
        <w:jc w:val="both"/>
        <w:rPr>
          <w:rFonts w:ascii="Arial" w:eastAsia="Times New Roman" w:hAnsi="Arial" w:cs="Arial"/>
          <w:sz w:val="20"/>
          <w:szCs w:val="20"/>
        </w:rPr>
      </w:pPr>
    </w:p>
    <w:p w14:paraId="2A90ACFD" w14:textId="19F2BFE5" w:rsidR="00BF7CA6" w:rsidRDefault="00C269B0" w:rsidP="007A3A88">
      <w:pPr>
        <w:spacing w:line="360" w:lineRule="auto"/>
        <w:jc w:val="both"/>
        <w:rPr>
          <w:rFonts w:ascii="Arial" w:hAnsi="Arial"/>
          <w:i/>
          <w:color w:val="92CDDC" w:themeColor="accent5" w:themeTint="99"/>
          <w:sz w:val="20"/>
          <w:szCs w:val="20"/>
        </w:rPr>
      </w:pPr>
      <w:r>
        <w:rPr>
          <w:rFonts w:ascii="Arial" w:hAnsi="Arial"/>
          <w:i/>
          <w:color w:val="92CDDC" w:themeColor="accent5" w:themeTint="99"/>
          <w:sz w:val="20"/>
          <w:szCs w:val="20"/>
        </w:rPr>
        <w:t xml:space="preserve">Data </w:t>
      </w:r>
      <w:r w:rsidRPr="00953275">
        <w:rPr>
          <w:rFonts w:ascii="Arial" w:hAnsi="Arial"/>
          <w:i/>
          <w:color w:val="92CDDC" w:themeColor="accent5" w:themeTint="99"/>
          <w:sz w:val="20"/>
          <w:szCs w:val="20"/>
        </w:rPr>
        <w:t>Collection and Security</w:t>
      </w:r>
    </w:p>
    <w:p w14:paraId="5CE62359" w14:textId="353040D7" w:rsidR="00FB5A7B" w:rsidRDefault="001376B5" w:rsidP="007A3A88">
      <w:pPr>
        <w:spacing w:line="360" w:lineRule="auto"/>
        <w:jc w:val="both"/>
        <w:rPr>
          <w:rFonts w:ascii="Arial" w:hAnsi="Arial"/>
          <w:sz w:val="20"/>
          <w:szCs w:val="20"/>
        </w:rPr>
      </w:pPr>
      <w:r w:rsidRPr="001376B5">
        <w:rPr>
          <w:rFonts w:ascii="Arial" w:hAnsi="Arial"/>
          <w:sz w:val="20"/>
          <w:szCs w:val="20"/>
        </w:rPr>
        <w:t xml:space="preserve">Data will be </w:t>
      </w:r>
      <w:r w:rsidR="003675BF">
        <w:rPr>
          <w:rFonts w:ascii="Arial" w:hAnsi="Arial"/>
          <w:sz w:val="20"/>
          <w:szCs w:val="20"/>
        </w:rPr>
        <w:t>e</w:t>
      </w:r>
      <w:r w:rsidRPr="001376B5">
        <w:rPr>
          <w:rFonts w:ascii="Arial" w:hAnsi="Arial"/>
          <w:sz w:val="20"/>
          <w:szCs w:val="20"/>
        </w:rPr>
        <w:t xml:space="preserve">ntered into </w:t>
      </w:r>
      <w:r w:rsidR="00BD030D">
        <w:rPr>
          <w:rFonts w:ascii="Arial" w:hAnsi="Arial"/>
          <w:sz w:val="20"/>
          <w:szCs w:val="20"/>
        </w:rPr>
        <w:t xml:space="preserve">a </w:t>
      </w:r>
      <w:r w:rsidR="00C758B5">
        <w:rPr>
          <w:rFonts w:ascii="Arial" w:hAnsi="Arial"/>
          <w:sz w:val="20"/>
          <w:szCs w:val="20"/>
        </w:rPr>
        <w:t xml:space="preserve">spreadsheet </w:t>
      </w:r>
      <w:r w:rsidR="008B52B5">
        <w:rPr>
          <w:rFonts w:ascii="Arial" w:hAnsi="Arial"/>
          <w:sz w:val="20"/>
          <w:szCs w:val="20"/>
        </w:rPr>
        <w:t>kept in a password-protected drive</w:t>
      </w:r>
      <w:r w:rsidR="00391FE2" w:rsidRPr="001376B5">
        <w:rPr>
          <w:rFonts w:ascii="Arial" w:hAnsi="Arial"/>
          <w:sz w:val="20"/>
          <w:szCs w:val="20"/>
        </w:rPr>
        <w:t xml:space="preserve"> </w:t>
      </w:r>
      <w:r w:rsidR="00BD030D">
        <w:rPr>
          <w:rFonts w:ascii="Arial" w:hAnsi="Arial"/>
          <w:sz w:val="20"/>
          <w:szCs w:val="20"/>
        </w:rPr>
        <w:t xml:space="preserve">at RBWH </w:t>
      </w:r>
      <w:r w:rsidRPr="001376B5">
        <w:rPr>
          <w:rFonts w:ascii="Arial" w:hAnsi="Arial"/>
          <w:sz w:val="20"/>
          <w:szCs w:val="20"/>
        </w:rPr>
        <w:t>during review of patient imaging and medical records. Patients will be assigned a</w:t>
      </w:r>
      <w:r w:rsidR="00450819">
        <w:rPr>
          <w:rFonts w:ascii="Arial" w:hAnsi="Arial"/>
          <w:sz w:val="20"/>
          <w:szCs w:val="20"/>
        </w:rPr>
        <w:t xml:space="preserve"> </w:t>
      </w:r>
      <w:r w:rsidRPr="001376B5">
        <w:rPr>
          <w:rFonts w:ascii="Arial" w:hAnsi="Arial"/>
          <w:sz w:val="20"/>
          <w:szCs w:val="20"/>
        </w:rPr>
        <w:t xml:space="preserve">participant identification number. This will be recorded and referred to in all data during analysis. </w:t>
      </w:r>
      <w:r w:rsidR="00A60D97" w:rsidRPr="00A60D97">
        <w:rPr>
          <w:rFonts w:ascii="Arial" w:hAnsi="Arial"/>
          <w:sz w:val="20"/>
          <w:szCs w:val="20"/>
        </w:rPr>
        <w:t xml:space="preserve">Patient MRI scans will be stored on the password protected picture archiving and communications system (PACS) at RBWH. </w:t>
      </w:r>
      <w:r w:rsidRPr="001376B5">
        <w:rPr>
          <w:rFonts w:ascii="Arial" w:hAnsi="Arial"/>
          <w:sz w:val="20"/>
          <w:szCs w:val="20"/>
        </w:rPr>
        <w:t>Images used in publications will be de</w:t>
      </w:r>
      <w:r>
        <w:rPr>
          <w:rFonts w:ascii="Arial" w:hAnsi="Arial"/>
          <w:sz w:val="20"/>
          <w:szCs w:val="20"/>
        </w:rPr>
        <w:t>-</w:t>
      </w:r>
      <w:r w:rsidRPr="001376B5">
        <w:rPr>
          <w:rFonts w:ascii="Arial" w:hAnsi="Arial"/>
          <w:sz w:val="20"/>
          <w:szCs w:val="20"/>
        </w:rPr>
        <w:t xml:space="preserve">identified and show only the region of interest. </w:t>
      </w:r>
    </w:p>
    <w:p w14:paraId="4D112B37" w14:textId="77777777" w:rsidR="00FB5A7B" w:rsidRDefault="00FB5A7B" w:rsidP="007A3A88">
      <w:pPr>
        <w:spacing w:line="360" w:lineRule="auto"/>
        <w:jc w:val="both"/>
        <w:rPr>
          <w:rFonts w:ascii="Arial" w:hAnsi="Arial"/>
          <w:sz w:val="20"/>
          <w:szCs w:val="20"/>
        </w:rPr>
      </w:pPr>
    </w:p>
    <w:p w14:paraId="309069CA" w14:textId="08E79397" w:rsidR="000169E0" w:rsidRDefault="001376B5" w:rsidP="007A3A88">
      <w:pPr>
        <w:spacing w:line="360" w:lineRule="auto"/>
        <w:jc w:val="both"/>
        <w:rPr>
          <w:rFonts w:ascii="Arial" w:hAnsi="Arial"/>
          <w:sz w:val="20"/>
          <w:szCs w:val="20"/>
        </w:rPr>
      </w:pPr>
      <w:r w:rsidRPr="001376B5">
        <w:rPr>
          <w:rFonts w:ascii="Arial" w:hAnsi="Arial"/>
          <w:sz w:val="20"/>
          <w:szCs w:val="20"/>
        </w:rPr>
        <w:t xml:space="preserve">A file with the unit record (UR) number and name of participants linking them to the participant identification numbers will be </w:t>
      </w:r>
      <w:r w:rsidR="003014EF">
        <w:rPr>
          <w:rFonts w:ascii="Arial" w:hAnsi="Arial"/>
          <w:sz w:val="20"/>
          <w:szCs w:val="20"/>
        </w:rPr>
        <w:t xml:space="preserve">stored on a </w:t>
      </w:r>
      <w:r w:rsidR="00D1063F">
        <w:rPr>
          <w:rFonts w:ascii="Arial" w:hAnsi="Arial"/>
          <w:sz w:val="20"/>
          <w:szCs w:val="20"/>
        </w:rPr>
        <w:t>password-protected drive at RBWH</w:t>
      </w:r>
      <w:r w:rsidRPr="001376B5">
        <w:rPr>
          <w:rFonts w:ascii="Arial" w:hAnsi="Arial"/>
          <w:sz w:val="20"/>
          <w:szCs w:val="20"/>
        </w:rPr>
        <w:t xml:space="preserve">. Only the principal investigators will have access to data files. </w:t>
      </w:r>
    </w:p>
    <w:p w14:paraId="76E20922" w14:textId="77777777" w:rsidR="000169E0" w:rsidRDefault="000169E0" w:rsidP="007A3A88">
      <w:pPr>
        <w:spacing w:line="360" w:lineRule="auto"/>
        <w:jc w:val="both"/>
        <w:rPr>
          <w:rFonts w:ascii="Arial" w:hAnsi="Arial"/>
          <w:sz w:val="20"/>
          <w:szCs w:val="20"/>
        </w:rPr>
      </w:pPr>
    </w:p>
    <w:p w14:paraId="6BFA26D1" w14:textId="446BF4FB" w:rsidR="00FB5A7B" w:rsidRDefault="000169E0" w:rsidP="007A3A88">
      <w:pPr>
        <w:spacing w:line="360" w:lineRule="auto"/>
        <w:jc w:val="both"/>
        <w:rPr>
          <w:rFonts w:ascii="Arial" w:hAnsi="Arial"/>
          <w:sz w:val="20"/>
          <w:szCs w:val="20"/>
        </w:rPr>
      </w:pPr>
      <w:r>
        <w:rPr>
          <w:rFonts w:ascii="Arial" w:hAnsi="Arial"/>
          <w:sz w:val="20"/>
          <w:szCs w:val="20"/>
        </w:rPr>
        <w:t>To preserve participant privacy, d</w:t>
      </w:r>
      <w:r w:rsidR="001376B5" w:rsidRPr="001376B5">
        <w:rPr>
          <w:rFonts w:ascii="Arial" w:hAnsi="Arial"/>
          <w:sz w:val="20"/>
          <w:szCs w:val="20"/>
        </w:rPr>
        <w:t>e</w:t>
      </w:r>
      <w:r w:rsidR="00FB5A7B">
        <w:rPr>
          <w:rFonts w:ascii="Arial" w:hAnsi="Arial"/>
          <w:sz w:val="20"/>
          <w:szCs w:val="20"/>
        </w:rPr>
        <w:t>-</w:t>
      </w:r>
      <w:r w:rsidR="001376B5" w:rsidRPr="001376B5">
        <w:rPr>
          <w:rFonts w:ascii="Arial" w:hAnsi="Arial"/>
          <w:sz w:val="20"/>
          <w:szCs w:val="20"/>
        </w:rPr>
        <w:t xml:space="preserve">identified data will be sent to the biostatistician for analysis at the QIMR Berghofer Research Institute. The completed analysis will be returned to the principal investigators and remaining files at QIMR Berghofer will be promptly destroyed. </w:t>
      </w:r>
    </w:p>
    <w:p w14:paraId="5A1E8E27" w14:textId="77777777" w:rsidR="00FB5A7B" w:rsidRDefault="00FB5A7B" w:rsidP="007A3A88">
      <w:pPr>
        <w:spacing w:line="360" w:lineRule="auto"/>
        <w:jc w:val="both"/>
        <w:rPr>
          <w:rFonts w:ascii="Arial" w:hAnsi="Arial"/>
          <w:sz w:val="20"/>
          <w:szCs w:val="20"/>
        </w:rPr>
      </w:pPr>
    </w:p>
    <w:p w14:paraId="4D5C359F" w14:textId="7121B04A" w:rsidR="001376B5" w:rsidRDefault="001376B5" w:rsidP="007A3A88">
      <w:pPr>
        <w:spacing w:line="360" w:lineRule="auto"/>
        <w:jc w:val="both"/>
        <w:rPr>
          <w:rFonts w:ascii="Arial" w:hAnsi="Arial"/>
          <w:sz w:val="20"/>
          <w:szCs w:val="20"/>
        </w:rPr>
      </w:pPr>
      <w:r w:rsidRPr="00F257E2">
        <w:rPr>
          <w:rFonts w:ascii="Arial" w:hAnsi="Arial"/>
          <w:sz w:val="20"/>
          <w:szCs w:val="20"/>
        </w:rPr>
        <w:t xml:space="preserve">Deletion of electronic files in accordance with RBWH Information Technology Service's data disposal protocol will occur at the end of a </w:t>
      </w:r>
      <w:r w:rsidR="00445799" w:rsidRPr="00F257E2">
        <w:rPr>
          <w:rFonts w:ascii="Arial" w:hAnsi="Arial"/>
          <w:sz w:val="20"/>
          <w:szCs w:val="20"/>
        </w:rPr>
        <w:t>1</w:t>
      </w:r>
      <w:r w:rsidR="00FB5A7B" w:rsidRPr="00F257E2">
        <w:rPr>
          <w:rFonts w:ascii="Arial" w:hAnsi="Arial"/>
          <w:sz w:val="20"/>
          <w:szCs w:val="20"/>
        </w:rPr>
        <w:t xml:space="preserve">5-year period ending </w:t>
      </w:r>
      <w:r w:rsidR="00F257E2" w:rsidRPr="00626614">
        <w:rPr>
          <w:rFonts w:ascii="Arial" w:hAnsi="Arial"/>
          <w:sz w:val="20"/>
          <w:szCs w:val="20"/>
        </w:rPr>
        <w:t>31</w:t>
      </w:r>
      <w:r w:rsidRPr="00F257E2">
        <w:rPr>
          <w:rFonts w:ascii="Arial" w:hAnsi="Arial"/>
          <w:sz w:val="20"/>
          <w:szCs w:val="20"/>
        </w:rPr>
        <w:t>/</w:t>
      </w:r>
      <w:r w:rsidR="00D94325" w:rsidRPr="00F257E2">
        <w:rPr>
          <w:rFonts w:ascii="Arial" w:hAnsi="Arial"/>
          <w:sz w:val="20"/>
          <w:szCs w:val="20"/>
        </w:rPr>
        <w:t>09</w:t>
      </w:r>
      <w:r w:rsidRPr="00F257E2">
        <w:rPr>
          <w:rFonts w:ascii="Arial" w:hAnsi="Arial"/>
          <w:sz w:val="20"/>
          <w:szCs w:val="20"/>
        </w:rPr>
        <w:t>/20</w:t>
      </w:r>
      <w:r w:rsidR="00445799" w:rsidRPr="00F257E2">
        <w:rPr>
          <w:rFonts w:ascii="Arial" w:hAnsi="Arial"/>
          <w:sz w:val="20"/>
          <w:szCs w:val="20"/>
        </w:rPr>
        <w:t>3</w:t>
      </w:r>
      <w:r w:rsidR="00F257E2" w:rsidRPr="00626614">
        <w:rPr>
          <w:rFonts w:ascii="Arial" w:hAnsi="Arial"/>
          <w:sz w:val="20"/>
          <w:szCs w:val="20"/>
        </w:rPr>
        <w:t>8</w:t>
      </w:r>
      <w:r w:rsidRPr="00F257E2">
        <w:rPr>
          <w:rFonts w:ascii="Arial" w:hAnsi="Arial"/>
          <w:sz w:val="20"/>
          <w:szCs w:val="20"/>
        </w:rPr>
        <w:t>.</w:t>
      </w:r>
      <w:r w:rsidRPr="001376B5">
        <w:rPr>
          <w:rFonts w:ascii="Arial" w:hAnsi="Arial"/>
          <w:sz w:val="20"/>
          <w:szCs w:val="20"/>
        </w:rPr>
        <w:t xml:space="preserve"> </w:t>
      </w:r>
      <w:r w:rsidR="004F5F13" w:rsidRPr="00D778BE">
        <w:rPr>
          <w:rFonts w:ascii="Arial" w:hAnsi="Arial"/>
          <w:sz w:val="20"/>
          <w:szCs w:val="20"/>
        </w:rPr>
        <w:t>Printed documents will be held in the Department of Medical Imaging Research Office, Level 3, Ned Hanlon Building, Royal Brisbane and Women's Hospital (RBWH).</w:t>
      </w:r>
      <w:r w:rsidR="004F5F13">
        <w:rPr>
          <w:rFonts w:ascii="Arial" w:hAnsi="Arial"/>
          <w:sz w:val="20"/>
          <w:szCs w:val="20"/>
        </w:rPr>
        <w:t xml:space="preserve"> </w:t>
      </w:r>
      <w:r w:rsidRPr="001376B5">
        <w:rPr>
          <w:rFonts w:ascii="Arial" w:hAnsi="Arial"/>
          <w:sz w:val="20"/>
          <w:szCs w:val="20"/>
        </w:rPr>
        <w:t>Printed documents will be destroyed through RBWH secure document disposal service.</w:t>
      </w:r>
    </w:p>
    <w:p w14:paraId="17B80D20" w14:textId="77777777" w:rsidR="007B688C" w:rsidRDefault="007B688C" w:rsidP="007A3A88">
      <w:pPr>
        <w:spacing w:line="360" w:lineRule="auto"/>
        <w:jc w:val="both"/>
        <w:rPr>
          <w:rFonts w:ascii="Arial" w:hAnsi="Arial"/>
          <w:sz w:val="20"/>
          <w:szCs w:val="20"/>
        </w:rPr>
      </w:pPr>
    </w:p>
    <w:p w14:paraId="6E1D00BD" w14:textId="6CBDA3B7" w:rsidR="007B688C" w:rsidRPr="001376B5" w:rsidRDefault="007B688C">
      <w:pPr>
        <w:spacing w:line="360" w:lineRule="auto"/>
        <w:jc w:val="both"/>
        <w:rPr>
          <w:rFonts w:ascii="Arial" w:hAnsi="Arial"/>
          <w:sz w:val="20"/>
          <w:szCs w:val="20"/>
        </w:rPr>
      </w:pPr>
      <w:r>
        <w:rPr>
          <w:rFonts w:ascii="Arial" w:hAnsi="Arial"/>
          <w:sz w:val="20"/>
          <w:szCs w:val="20"/>
        </w:rPr>
        <w:t xml:space="preserve">An </w:t>
      </w:r>
      <w:r w:rsidR="000A7840">
        <w:rPr>
          <w:rFonts w:ascii="Arial" w:hAnsi="Arial"/>
          <w:sz w:val="20"/>
          <w:szCs w:val="20"/>
        </w:rPr>
        <w:t>interim</w:t>
      </w:r>
      <w:r>
        <w:rPr>
          <w:rFonts w:ascii="Arial" w:hAnsi="Arial"/>
          <w:sz w:val="20"/>
          <w:szCs w:val="20"/>
        </w:rPr>
        <w:t xml:space="preserve"> review of cases will occur at 6 months, or when half of the participants have been recruited. </w:t>
      </w:r>
    </w:p>
    <w:p w14:paraId="2F0F85C8" w14:textId="77777777" w:rsidR="00BF7CA6" w:rsidRPr="00AC7A78" w:rsidRDefault="00BF7CA6" w:rsidP="007A3A88">
      <w:pPr>
        <w:spacing w:line="360" w:lineRule="auto"/>
        <w:jc w:val="both"/>
        <w:rPr>
          <w:rFonts w:ascii="Arial" w:hAnsi="Arial"/>
          <w:sz w:val="20"/>
          <w:szCs w:val="20"/>
        </w:rPr>
      </w:pPr>
    </w:p>
    <w:p w14:paraId="018C169D" w14:textId="16B1AE8F" w:rsidR="00BF7CA6" w:rsidRPr="004D06BB" w:rsidRDefault="00B30D76" w:rsidP="007A3A88">
      <w:pPr>
        <w:spacing w:line="360" w:lineRule="auto"/>
        <w:jc w:val="both"/>
        <w:rPr>
          <w:rFonts w:ascii="Arial" w:hAnsi="Arial"/>
          <w:i/>
          <w:color w:val="92CDDC" w:themeColor="accent5" w:themeTint="99"/>
          <w:sz w:val="20"/>
          <w:szCs w:val="20"/>
        </w:rPr>
      </w:pPr>
      <w:r>
        <w:rPr>
          <w:rFonts w:ascii="Arial" w:hAnsi="Arial"/>
          <w:i/>
          <w:color w:val="92CDDC" w:themeColor="accent5" w:themeTint="99"/>
          <w:sz w:val="20"/>
          <w:szCs w:val="20"/>
        </w:rPr>
        <w:t>Statistical</w:t>
      </w:r>
      <w:r w:rsidR="00BF7CA6" w:rsidRPr="004D06BB">
        <w:rPr>
          <w:rFonts w:ascii="Arial" w:hAnsi="Arial"/>
          <w:i/>
          <w:color w:val="92CDDC" w:themeColor="accent5" w:themeTint="99"/>
          <w:sz w:val="20"/>
          <w:szCs w:val="20"/>
        </w:rPr>
        <w:t xml:space="preserve"> Analysis</w:t>
      </w:r>
    </w:p>
    <w:p w14:paraId="7FE170B1" w14:textId="77777777" w:rsidR="00B30D76" w:rsidRPr="00B30D76" w:rsidRDefault="00B30D76" w:rsidP="00B30D76">
      <w:pPr>
        <w:spacing w:line="360" w:lineRule="auto"/>
        <w:jc w:val="both"/>
        <w:rPr>
          <w:rFonts w:ascii="Arial" w:hAnsi="Arial"/>
          <w:sz w:val="20"/>
          <w:szCs w:val="20"/>
        </w:rPr>
      </w:pPr>
      <w:r w:rsidRPr="00B30D76">
        <w:rPr>
          <w:rFonts w:ascii="Arial" w:hAnsi="Arial"/>
          <w:sz w:val="20"/>
          <w:szCs w:val="20"/>
        </w:rPr>
        <w:t>This will be done in collaboration with the QIMR Berghofer Medical Research Institute Statistics Unit.</w:t>
      </w:r>
    </w:p>
    <w:p w14:paraId="70EBB7EF" w14:textId="13B61C34" w:rsidR="002765EB" w:rsidRDefault="00B30D76" w:rsidP="000C54C7">
      <w:pPr>
        <w:spacing w:line="360" w:lineRule="auto"/>
        <w:jc w:val="both"/>
        <w:rPr>
          <w:rFonts w:ascii="Arial" w:hAnsi="Arial"/>
          <w:sz w:val="20"/>
          <w:szCs w:val="20"/>
        </w:rPr>
      </w:pPr>
      <w:r w:rsidRPr="00B30D76">
        <w:rPr>
          <w:rFonts w:ascii="Arial" w:hAnsi="Arial"/>
          <w:sz w:val="20"/>
          <w:szCs w:val="20"/>
        </w:rPr>
        <w:t xml:space="preserve">The primary endpoint will be the proportion of patients with new DWI lesions detected on post procedure MRI for each arm. We will further determine whether there are differences between the arms with respect to the secondary endpoints of the proportion of patients who experience puncture site or haemorrhagic </w:t>
      </w:r>
      <w:r w:rsidRPr="00B30D76">
        <w:rPr>
          <w:rFonts w:ascii="Arial" w:hAnsi="Arial"/>
          <w:sz w:val="20"/>
          <w:szCs w:val="20"/>
        </w:rPr>
        <w:lastRenderedPageBreak/>
        <w:t xml:space="preserve">complications. Characteristics of each arm will be summarised using frequency and percent, mean and standard deviation for normally distributed continuous variables and median and interquartile range for non-normally distributed continuous variables. Chi-square tests will be used to compare randomised groups for categorical outcomes (includes primary outcome), t-tests for continuous normally distributed outcomes and Mann-Whitney U tests for continuous non-normally distributed outcomes. Statistical significance will be set at α&lt;0.05. As a secondary analysis to improve effect size estimates, a meta-analysis will also be performed with data from the previous EPPICS study. </w:t>
      </w:r>
    </w:p>
    <w:p w14:paraId="5FD7DB1D" w14:textId="77777777" w:rsidR="00B30D76" w:rsidRPr="00D94325" w:rsidRDefault="00B30D76" w:rsidP="000C54C7">
      <w:pPr>
        <w:spacing w:line="360" w:lineRule="auto"/>
        <w:jc w:val="both"/>
        <w:rPr>
          <w:rFonts w:ascii="Arial" w:hAnsi="Arial"/>
          <w:sz w:val="20"/>
          <w:szCs w:val="20"/>
        </w:rPr>
      </w:pPr>
    </w:p>
    <w:p w14:paraId="6B123ADE" w14:textId="77777777" w:rsidR="00BF7CA6" w:rsidRPr="004D06BB" w:rsidRDefault="00BF7CA6" w:rsidP="007A3A88">
      <w:pPr>
        <w:spacing w:line="360" w:lineRule="auto"/>
        <w:jc w:val="both"/>
        <w:rPr>
          <w:rFonts w:ascii="Arial" w:hAnsi="Arial"/>
          <w:i/>
          <w:color w:val="92CDDC" w:themeColor="accent5" w:themeTint="99"/>
          <w:sz w:val="20"/>
          <w:szCs w:val="20"/>
        </w:rPr>
      </w:pPr>
      <w:r w:rsidRPr="004D06BB">
        <w:rPr>
          <w:rFonts w:ascii="Arial" w:hAnsi="Arial"/>
          <w:i/>
          <w:color w:val="92CDDC" w:themeColor="accent5" w:themeTint="99"/>
          <w:sz w:val="20"/>
          <w:szCs w:val="20"/>
        </w:rPr>
        <w:t>Timeline</w:t>
      </w:r>
    </w:p>
    <w:p w14:paraId="280511D6" w14:textId="481CF66A" w:rsidR="00BF7CA6" w:rsidRPr="002765EB" w:rsidRDefault="002765EB" w:rsidP="007A3A88">
      <w:pPr>
        <w:spacing w:line="360" w:lineRule="auto"/>
        <w:jc w:val="both"/>
        <w:rPr>
          <w:rFonts w:ascii="Arial" w:hAnsi="Arial" w:cs="Arial"/>
          <w:sz w:val="20"/>
          <w:szCs w:val="20"/>
        </w:rPr>
      </w:pPr>
      <w:r w:rsidRPr="002765EB">
        <w:rPr>
          <w:rFonts w:ascii="Arial" w:hAnsi="Arial" w:cs="Arial"/>
          <w:sz w:val="20"/>
          <w:szCs w:val="20"/>
        </w:rPr>
        <w:t xml:space="preserve">The project aims to start recruitment in </w:t>
      </w:r>
      <w:r w:rsidR="00C34891">
        <w:rPr>
          <w:rFonts w:ascii="Arial" w:hAnsi="Arial" w:cs="Arial"/>
          <w:sz w:val="20"/>
          <w:szCs w:val="20"/>
        </w:rPr>
        <w:t xml:space="preserve">4Q </w:t>
      </w:r>
      <w:r w:rsidRPr="002765EB">
        <w:rPr>
          <w:rFonts w:ascii="Arial" w:hAnsi="Arial" w:cs="Arial"/>
          <w:sz w:val="20"/>
          <w:szCs w:val="20"/>
        </w:rPr>
        <w:t>20</w:t>
      </w:r>
      <w:r w:rsidR="00C34891">
        <w:rPr>
          <w:rFonts w:ascii="Arial" w:hAnsi="Arial" w:cs="Arial"/>
          <w:sz w:val="20"/>
          <w:szCs w:val="20"/>
        </w:rPr>
        <w:t>20</w:t>
      </w:r>
      <w:r w:rsidRPr="002765EB">
        <w:rPr>
          <w:rFonts w:ascii="Arial" w:hAnsi="Arial" w:cs="Arial"/>
          <w:sz w:val="20"/>
          <w:szCs w:val="20"/>
        </w:rPr>
        <w:t xml:space="preserve">. </w:t>
      </w:r>
      <w:r w:rsidR="00643D81">
        <w:rPr>
          <w:rFonts w:ascii="Arial" w:hAnsi="Arial" w:cs="Arial"/>
          <w:sz w:val="20"/>
          <w:szCs w:val="20"/>
        </w:rPr>
        <w:t xml:space="preserve">Recruitment of 124 participants is expected to </w:t>
      </w:r>
      <w:r w:rsidR="006A7B4D">
        <w:rPr>
          <w:rFonts w:ascii="Arial" w:hAnsi="Arial" w:cs="Arial"/>
          <w:sz w:val="20"/>
          <w:szCs w:val="20"/>
        </w:rPr>
        <w:t>complete between 4Q 2022</w:t>
      </w:r>
      <w:r w:rsidR="003F3F78">
        <w:rPr>
          <w:rFonts w:ascii="Arial" w:hAnsi="Arial" w:cs="Arial"/>
          <w:sz w:val="20"/>
          <w:szCs w:val="20"/>
        </w:rPr>
        <w:t xml:space="preserve"> to </w:t>
      </w:r>
      <w:r w:rsidR="000C0594">
        <w:rPr>
          <w:rFonts w:ascii="Arial" w:hAnsi="Arial" w:cs="Arial"/>
          <w:sz w:val="20"/>
          <w:szCs w:val="20"/>
        </w:rPr>
        <w:t>1Q</w:t>
      </w:r>
      <w:r w:rsidR="00947152">
        <w:rPr>
          <w:rFonts w:ascii="Arial" w:hAnsi="Arial" w:cs="Arial"/>
          <w:sz w:val="20"/>
          <w:szCs w:val="20"/>
        </w:rPr>
        <w:t xml:space="preserve"> </w:t>
      </w:r>
      <w:r w:rsidR="000C0594">
        <w:rPr>
          <w:rFonts w:ascii="Arial" w:hAnsi="Arial" w:cs="Arial"/>
          <w:sz w:val="20"/>
          <w:szCs w:val="20"/>
        </w:rPr>
        <w:t>2023</w:t>
      </w:r>
      <w:r w:rsidR="00591CDD">
        <w:rPr>
          <w:rFonts w:ascii="Arial" w:hAnsi="Arial" w:cs="Arial"/>
          <w:sz w:val="20"/>
          <w:szCs w:val="20"/>
        </w:rPr>
        <w:t>.</w:t>
      </w:r>
      <w:r w:rsidR="000C0594">
        <w:rPr>
          <w:rFonts w:ascii="Arial" w:hAnsi="Arial" w:cs="Arial"/>
          <w:sz w:val="20"/>
          <w:szCs w:val="20"/>
        </w:rPr>
        <w:t xml:space="preserve"> </w:t>
      </w:r>
      <w:r w:rsidR="00A4466E" w:rsidRPr="00626614">
        <w:rPr>
          <w:rFonts w:ascii="Arial" w:hAnsi="Arial" w:cs="Arial"/>
          <w:sz w:val="20"/>
          <w:szCs w:val="20"/>
        </w:rPr>
        <w:t>Records from 2019 suggest about 50 patients per year meeting inclusion criteria</w:t>
      </w:r>
      <w:r w:rsidR="000C0594">
        <w:rPr>
          <w:rFonts w:ascii="Arial" w:hAnsi="Arial" w:cs="Arial"/>
          <w:sz w:val="20"/>
          <w:szCs w:val="20"/>
        </w:rPr>
        <w:t>.</w:t>
      </w:r>
      <w:r w:rsidRPr="002765EB">
        <w:rPr>
          <w:rFonts w:ascii="Arial" w:hAnsi="Arial" w:cs="Arial"/>
          <w:sz w:val="20"/>
          <w:szCs w:val="20"/>
        </w:rPr>
        <w:t xml:space="preserve"> Statistical analysis and manuscript development, in addition to other administrative duties will likely take an additional </w:t>
      </w:r>
      <w:r w:rsidR="00DC591E">
        <w:rPr>
          <w:rFonts w:ascii="Arial" w:hAnsi="Arial" w:cs="Arial"/>
          <w:sz w:val="20"/>
          <w:szCs w:val="20"/>
        </w:rPr>
        <w:t>3-4</w:t>
      </w:r>
      <w:r w:rsidRPr="002765EB">
        <w:rPr>
          <w:rFonts w:ascii="Arial" w:hAnsi="Arial" w:cs="Arial"/>
          <w:sz w:val="20"/>
          <w:szCs w:val="20"/>
        </w:rPr>
        <w:t xml:space="preserve"> months to complete. Factoring in patient drop-out and unfor</w:t>
      </w:r>
      <w:r w:rsidR="00DC591E">
        <w:rPr>
          <w:rFonts w:ascii="Arial" w:hAnsi="Arial" w:cs="Arial"/>
          <w:sz w:val="20"/>
          <w:szCs w:val="20"/>
        </w:rPr>
        <w:t>e</w:t>
      </w:r>
      <w:r w:rsidRPr="002765EB">
        <w:rPr>
          <w:rFonts w:ascii="Arial" w:hAnsi="Arial" w:cs="Arial"/>
          <w:sz w:val="20"/>
          <w:szCs w:val="20"/>
        </w:rPr>
        <w:t xml:space="preserve">seen delays, the anticipated duration of this project is </w:t>
      </w:r>
      <w:r w:rsidR="008A4702">
        <w:rPr>
          <w:rFonts w:ascii="Arial" w:hAnsi="Arial" w:cs="Arial"/>
          <w:sz w:val="20"/>
          <w:szCs w:val="20"/>
        </w:rPr>
        <w:t>3 years</w:t>
      </w:r>
      <w:r w:rsidRPr="002765EB">
        <w:rPr>
          <w:rFonts w:ascii="Arial" w:hAnsi="Arial" w:cs="Arial"/>
          <w:sz w:val="20"/>
          <w:szCs w:val="20"/>
        </w:rPr>
        <w:t xml:space="preserve">. </w:t>
      </w:r>
    </w:p>
    <w:p w14:paraId="1A670080" w14:textId="77777777" w:rsidR="001C4C1E" w:rsidRDefault="001C4C1E">
      <w:pPr>
        <w:rPr>
          <w:rFonts w:ascii="Arial" w:hAnsi="Arial"/>
          <w:sz w:val="20"/>
          <w:szCs w:val="20"/>
        </w:rPr>
      </w:pPr>
    </w:p>
    <w:p w14:paraId="7C8AF049" w14:textId="2F484ED4" w:rsidR="001C4C1E" w:rsidRPr="004D06BB" w:rsidRDefault="001C4C1E" w:rsidP="001C4C1E">
      <w:pPr>
        <w:spacing w:line="360" w:lineRule="auto"/>
        <w:jc w:val="both"/>
        <w:rPr>
          <w:rFonts w:ascii="Arial" w:hAnsi="Arial"/>
          <w:i/>
          <w:color w:val="92CDDC" w:themeColor="accent5" w:themeTint="99"/>
          <w:sz w:val="20"/>
          <w:szCs w:val="20"/>
        </w:rPr>
      </w:pPr>
      <w:r>
        <w:rPr>
          <w:rFonts w:ascii="Arial" w:hAnsi="Arial"/>
          <w:i/>
          <w:color w:val="92CDDC" w:themeColor="accent5" w:themeTint="99"/>
          <w:sz w:val="20"/>
          <w:szCs w:val="20"/>
        </w:rPr>
        <w:t>Dissemination</w:t>
      </w:r>
    </w:p>
    <w:p w14:paraId="2CA10CFE" w14:textId="74BBA23F" w:rsidR="002F16DA" w:rsidRDefault="001C4C1E" w:rsidP="00323C78">
      <w:pPr>
        <w:spacing w:line="360" w:lineRule="auto"/>
        <w:jc w:val="both"/>
        <w:rPr>
          <w:rFonts w:ascii="Arial" w:hAnsi="Arial"/>
          <w:sz w:val="20"/>
          <w:szCs w:val="20"/>
        </w:rPr>
      </w:pPr>
      <w:r w:rsidRPr="000A6C7F">
        <w:rPr>
          <w:rFonts w:ascii="Arial" w:hAnsi="Arial" w:cs="Arial"/>
          <w:sz w:val="20"/>
          <w:szCs w:val="20"/>
        </w:rPr>
        <w:t xml:space="preserve">The results of the trial will </w:t>
      </w:r>
      <w:r w:rsidR="000B1589">
        <w:rPr>
          <w:rFonts w:ascii="Arial" w:hAnsi="Arial" w:cs="Arial"/>
          <w:sz w:val="20"/>
          <w:szCs w:val="20"/>
        </w:rPr>
        <w:t>reported</w:t>
      </w:r>
      <w:r w:rsidRPr="000A6C7F">
        <w:rPr>
          <w:rFonts w:ascii="Arial" w:hAnsi="Arial" w:cs="Arial"/>
          <w:sz w:val="20"/>
          <w:szCs w:val="20"/>
        </w:rPr>
        <w:t xml:space="preserve"> locally at RBWH, including the Department of Medical Imaging Interventional Neuroradiology Service. We also aim to </w:t>
      </w:r>
      <w:r w:rsidR="00FA0A2E">
        <w:rPr>
          <w:rFonts w:ascii="Arial" w:hAnsi="Arial" w:cs="Arial"/>
          <w:sz w:val="20"/>
          <w:szCs w:val="20"/>
        </w:rPr>
        <w:t>communicate</w:t>
      </w:r>
      <w:r w:rsidRPr="000A6C7F">
        <w:rPr>
          <w:rFonts w:ascii="Arial" w:hAnsi="Arial" w:cs="Arial"/>
          <w:sz w:val="20"/>
          <w:szCs w:val="20"/>
        </w:rPr>
        <w:t xml:space="preserve"> the findings</w:t>
      </w:r>
      <w:r w:rsidR="009B3CA7">
        <w:rPr>
          <w:rFonts w:ascii="Arial" w:hAnsi="Arial" w:cs="Arial"/>
          <w:sz w:val="20"/>
          <w:szCs w:val="20"/>
        </w:rPr>
        <w:t xml:space="preserve"> to the wider medical community</w:t>
      </w:r>
      <w:r w:rsidRPr="000A6C7F">
        <w:rPr>
          <w:rFonts w:ascii="Arial" w:hAnsi="Arial" w:cs="Arial"/>
          <w:sz w:val="20"/>
          <w:szCs w:val="20"/>
        </w:rPr>
        <w:t xml:space="preserve"> through scientific meetings such as the RANZCR Annual Scientific Meeting and </w:t>
      </w:r>
      <w:r w:rsidRPr="004A4C1F">
        <w:rPr>
          <w:rFonts w:ascii="Arial" w:hAnsi="Arial" w:cs="Arial"/>
          <w:sz w:val="20"/>
          <w:szCs w:val="20"/>
        </w:rPr>
        <w:t>publication.</w:t>
      </w:r>
      <w:r>
        <w:rPr>
          <w:rFonts w:ascii="Arial" w:hAnsi="Arial"/>
          <w:sz w:val="20"/>
          <w:szCs w:val="20"/>
        </w:rPr>
        <w:t xml:space="preserve"> </w:t>
      </w:r>
      <w:r w:rsidR="003C05B9">
        <w:rPr>
          <w:rFonts w:ascii="Arial" w:hAnsi="Arial"/>
          <w:sz w:val="20"/>
          <w:szCs w:val="20"/>
        </w:rPr>
        <w:t xml:space="preserve">Participants </w:t>
      </w:r>
      <w:r w:rsidR="00A61E10">
        <w:rPr>
          <w:rFonts w:ascii="Arial" w:hAnsi="Arial"/>
          <w:sz w:val="20"/>
          <w:szCs w:val="20"/>
        </w:rPr>
        <w:t>can</w:t>
      </w:r>
      <w:r w:rsidR="00B175FC">
        <w:rPr>
          <w:rFonts w:ascii="Arial" w:hAnsi="Arial"/>
          <w:sz w:val="20"/>
          <w:szCs w:val="20"/>
        </w:rPr>
        <w:t xml:space="preserve"> also</w:t>
      </w:r>
      <w:r w:rsidR="003C05B9">
        <w:rPr>
          <w:rFonts w:ascii="Arial" w:hAnsi="Arial"/>
          <w:sz w:val="20"/>
          <w:szCs w:val="20"/>
        </w:rPr>
        <w:t xml:space="preserve"> ind</w:t>
      </w:r>
      <w:r w:rsidR="00CF4EED">
        <w:rPr>
          <w:rFonts w:ascii="Arial" w:hAnsi="Arial"/>
          <w:sz w:val="20"/>
          <w:szCs w:val="20"/>
        </w:rPr>
        <w:t xml:space="preserve">icate </w:t>
      </w:r>
      <w:r w:rsidR="0009347F">
        <w:rPr>
          <w:rFonts w:ascii="Arial" w:hAnsi="Arial"/>
          <w:sz w:val="20"/>
          <w:szCs w:val="20"/>
        </w:rPr>
        <w:t>their</w:t>
      </w:r>
      <w:r w:rsidR="00CF4EED">
        <w:rPr>
          <w:rFonts w:ascii="Arial" w:hAnsi="Arial"/>
          <w:sz w:val="20"/>
          <w:szCs w:val="20"/>
        </w:rPr>
        <w:t xml:space="preserve"> interest in receiving a summary of the </w:t>
      </w:r>
      <w:r w:rsidR="007E31FD">
        <w:rPr>
          <w:rFonts w:ascii="Arial" w:hAnsi="Arial"/>
          <w:sz w:val="20"/>
          <w:szCs w:val="20"/>
        </w:rPr>
        <w:t xml:space="preserve">key findings of the </w:t>
      </w:r>
      <w:r w:rsidR="00FF5C48">
        <w:rPr>
          <w:rFonts w:ascii="Arial" w:hAnsi="Arial"/>
          <w:sz w:val="20"/>
          <w:szCs w:val="20"/>
        </w:rPr>
        <w:t>study</w:t>
      </w:r>
      <w:r w:rsidR="007E31FD">
        <w:rPr>
          <w:rFonts w:ascii="Arial" w:hAnsi="Arial"/>
          <w:sz w:val="20"/>
          <w:szCs w:val="20"/>
        </w:rPr>
        <w:t xml:space="preserve"> as part of the</w:t>
      </w:r>
      <w:r w:rsidR="00CF4EED">
        <w:rPr>
          <w:rFonts w:ascii="Arial" w:hAnsi="Arial"/>
          <w:sz w:val="20"/>
          <w:szCs w:val="20"/>
        </w:rPr>
        <w:t xml:space="preserve"> consent process.</w:t>
      </w:r>
    </w:p>
    <w:p w14:paraId="503758B4" w14:textId="19D1B2D0" w:rsidR="004D1202" w:rsidRDefault="004D1202">
      <w:pPr>
        <w:rPr>
          <w:rFonts w:ascii="Arial" w:hAnsi="Arial"/>
          <w:sz w:val="20"/>
          <w:szCs w:val="20"/>
        </w:rPr>
      </w:pPr>
      <w:r>
        <w:rPr>
          <w:rFonts w:ascii="Arial" w:hAnsi="Arial"/>
          <w:sz w:val="20"/>
          <w:szCs w:val="20"/>
        </w:rPr>
        <w:br w:type="page"/>
      </w:r>
    </w:p>
    <w:p w14:paraId="16B8ECE9" w14:textId="50689DA5" w:rsidR="003C7F0C" w:rsidRPr="005011BD" w:rsidRDefault="00BF7CA6" w:rsidP="007A3A88">
      <w:pPr>
        <w:spacing w:line="360" w:lineRule="auto"/>
        <w:jc w:val="both"/>
        <w:rPr>
          <w:rFonts w:ascii="Arial" w:hAnsi="Arial" w:cs="Arial"/>
          <w:b/>
          <w:color w:val="31849B" w:themeColor="accent5" w:themeShade="BF"/>
          <w:sz w:val="20"/>
          <w:szCs w:val="20"/>
        </w:rPr>
      </w:pPr>
      <w:r w:rsidRPr="00BF7CA6">
        <w:rPr>
          <w:rFonts w:ascii="Arial" w:hAnsi="Arial" w:cs="Arial"/>
          <w:b/>
          <w:color w:val="31849B" w:themeColor="accent5" w:themeShade="BF"/>
          <w:sz w:val="20"/>
          <w:szCs w:val="20"/>
        </w:rPr>
        <w:lastRenderedPageBreak/>
        <w:t>References</w:t>
      </w:r>
    </w:p>
    <w:p w14:paraId="5CCE722C" w14:textId="77777777" w:rsidR="00B8611E" w:rsidRDefault="00B8611E" w:rsidP="006438F5">
      <w:pPr>
        <w:rPr>
          <w:rFonts w:ascii="Arial" w:hAnsi="Arial" w:cs="Arial"/>
          <w:sz w:val="20"/>
          <w:szCs w:val="20"/>
        </w:rPr>
      </w:pPr>
    </w:p>
    <w:p w14:paraId="3F51F5D3" w14:textId="6FFB9AF4" w:rsidR="004A4C1F" w:rsidRPr="004A4C1F" w:rsidRDefault="00F45134" w:rsidP="004A4C1F">
      <w:pPr>
        <w:widowControl w:val="0"/>
        <w:autoSpaceDE w:val="0"/>
        <w:autoSpaceDN w:val="0"/>
        <w:adjustRightInd w:val="0"/>
        <w:ind w:left="640" w:hanging="640"/>
        <w:rPr>
          <w:rFonts w:ascii="Arial" w:hAnsi="Arial" w:cs="Arial"/>
          <w:noProof/>
          <w:sz w:val="20"/>
        </w:rPr>
      </w:pPr>
      <w:r>
        <w:rPr>
          <w:rFonts w:ascii="Arial" w:hAnsi="Arial" w:cs="Arial"/>
          <w:sz w:val="20"/>
          <w:szCs w:val="20"/>
        </w:rPr>
        <w:fldChar w:fldCharType="begin" w:fldLock="1"/>
      </w:r>
      <w:r>
        <w:rPr>
          <w:rFonts w:ascii="Arial" w:hAnsi="Arial" w:cs="Arial"/>
          <w:sz w:val="20"/>
          <w:szCs w:val="20"/>
        </w:rPr>
        <w:instrText xml:space="preserve">ADDIN Mendeley Bibliography CSL_BIBLIOGRAPHY </w:instrText>
      </w:r>
      <w:r>
        <w:rPr>
          <w:rFonts w:ascii="Arial" w:hAnsi="Arial" w:cs="Arial"/>
          <w:sz w:val="20"/>
          <w:szCs w:val="20"/>
        </w:rPr>
        <w:fldChar w:fldCharType="separate"/>
      </w:r>
      <w:r w:rsidR="004A4C1F" w:rsidRPr="004A4C1F">
        <w:rPr>
          <w:rFonts w:ascii="Arial" w:hAnsi="Arial" w:cs="Arial"/>
          <w:noProof/>
          <w:sz w:val="20"/>
        </w:rPr>
        <w:t xml:space="preserve">1. </w:t>
      </w:r>
      <w:r w:rsidR="004A4C1F" w:rsidRPr="004A4C1F">
        <w:rPr>
          <w:rFonts w:ascii="Arial" w:hAnsi="Arial" w:cs="Arial"/>
          <w:noProof/>
          <w:sz w:val="20"/>
        </w:rPr>
        <w:tab/>
        <w:t xml:space="preserve">Shapiro M, Babb J, Becske T, Nelson PK. Safety and efficacy of adjunctive balloon remodeling during endovascular treatment of intracranial aneurysms: A literature review. Am J Neuroradiol. 2008 Oct 1;29(9):1777–81. </w:t>
      </w:r>
    </w:p>
    <w:p w14:paraId="465084E1" w14:textId="77777777" w:rsidR="004A4C1F" w:rsidRPr="004A4C1F" w:rsidRDefault="004A4C1F" w:rsidP="004A4C1F">
      <w:pPr>
        <w:widowControl w:val="0"/>
        <w:autoSpaceDE w:val="0"/>
        <w:autoSpaceDN w:val="0"/>
        <w:adjustRightInd w:val="0"/>
        <w:ind w:left="640" w:hanging="640"/>
        <w:rPr>
          <w:rFonts w:ascii="Arial" w:hAnsi="Arial" w:cs="Arial"/>
          <w:noProof/>
          <w:sz w:val="20"/>
        </w:rPr>
      </w:pPr>
      <w:r w:rsidRPr="004A4C1F">
        <w:rPr>
          <w:rFonts w:ascii="Arial" w:hAnsi="Arial" w:cs="Arial"/>
          <w:noProof/>
          <w:sz w:val="20"/>
        </w:rPr>
        <w:t xml:space="preserve">2. </w:t>
      </w:r>
      <w:r w:rsidRPr="004A4C1F">
        <w:rPr>
          <w:rFonts w:ascii="Arial" w:hAnsi="Arial" w:cs="Arial"/>
          <w:noProof/>
          <w:sz w:val="20"/>
        </w:rPr>
        <w:tab/>
        <w:t xml:space="preserve">Bracard S, Barbier C, Derelle AL, Anxionnat R. Endovascular treatment of aneurisms: Pre, intra and post operative management. Eur J Radiol. 2013 Oct 1;82(10):1633–7. </w:t>
      </w:r>
    </w:p>
    <w:p w14:paraId="1A0694CA" w14:textId="77777777" w:rsidR="004A4C1F" w:rsidRPr="004A4C1F" w:rsidRDefault="004A4C1F" w:rsidP="004A4C1F">
      <w:pPr>
        <w:widowControl w:val="0"/>
        <w:autoSpaceDE w:val="0"/>
        <w:autoSpaceDN w:val="0"/>
        <w:adjustRightInd w:val="0"/>
        <w:ind w:left="640" w:hanging="640"/>
        <w:rPr>
          <w:rFonts w:ascii="Arial" w:hAnsi="Arial" w:cs="Arial"/>
          <w:noProof/>
          <w:sz w:val="20"/>
        </w:rPr>
      </w:pPr>
      <w:r w:rsidRPr="004A4C1F">
        <w:rPr>
          <w:rFonts w:ascii="Arial" w:hAnsi="Arial" w:cs="Arial"/>
          <w:noProof/>
          <w:sz w:val="20"/>
        </w:rPr>
        <w:t xml:space="preserve">3. </w:t>
      </w:r>
      <w:r w:rsidRPr="004A4C1F">
        <w:rPr>
          <w:rFonts w:ascii="Arial" w:hAnsi="Arial" w:cs="Arial"/>
          <w:noProof/>
          <w:sz w:val="20"/>
        </w:rPr>
        <w:tab/>
        <w:t xml:space="preserve">Oxley TJ, Dowling RJ, Mitchell PJ, Davis S, Yan B. Antiplatelet resistance and thromboembolic complications in neurointerventional procedures. Front Neurol. 2011;DEC. </w:t>
      </w:r>
    </w:p>
    <w:p w14:paraId="0986D630" w14:textId="77777777" w:rsidR="004A4C1F" w:rsidRPr="004A4C1F" w:rsidRDefault="004A4C1F" w:rsidP="004A4C1F">
      <w:pPr>
        <w:widowControl w:val="0"/>
        <w:autoSpaceDE w:val="0"/>
        <w:autoSpaceDN w:val="0"/>
        <w:adjustRightInd w:val="0"/>
        <w:ind w:left="640" w:hanging="640"/>
        <w:rPr>
          <w:rFonts w:ascii="Arial" w:hAnsi="Arial" w:cs="Arial"/>
          <w:noProof/>
          <w:sz w:val="20"/>
        </w:rPr>
      </w:pPr>
      <w:r w:rsidRPr="004A4C1F">
        <w:rPr>
          <w:rFonts w:ascii="Arial" w:hAnsi="Arial" w:cs="Arial"/>
          <w:noProof/>
          <w:sz w:val="20"/>
        </w:rPr>
        <w:t xml:space="preserve">4. </w:t>
      </w:r>
      <w:r w:rsidRPr="004A4C1F">
        <w:rPr>
          <w:rFonts w:ascii="Arial" w:hAnsi="Arial" w:cs="Arial"/>
          <w:noProof/>
          <w:sz w:val="20"/>
        </w:rPr>
        <w:tab/>
        <w:t xml:space="preserve">Arias E, Patel B, Cross D, Moran C, Dacey Jr R, Zipfel G, et al. Timing and nature of in-house postoperative events following uncomplicated elective endovascular aneurysm treatment. J Neurosurg. 2014;121(5 (Nov 2014)):1011–293. </w:t>
      </w:r>
    </w:p>
    <w:p w14:paraId="14D3A9E2" w14:textId="77777777" w:rsidR="004A4C1F" w:rsidRPr="004A4C1F" w:rsidRDefault="004A4C1F" w:rsidP="004A4C1F">
      <w:pPr>
        <w:widowControl w:val="0"/>
        <w:autoSpaceDE w:val="0"/>
        <w:autoSpaceDN w:val="0"/>
        <w:adjustRightInd w:val="0"/>
        <w:ind w:left="640" w:hanging="640"/>
        <w:rPr>
          <w:rFonts w:ascii="Arial" w:hAnsi="Arial" w:cs="Arial"/>
          <w:noProof/>
          <w:sz w:val="20"/>
        </w:rPr>
      </w:pPr>
      <w:r w:rsidRPr="004A4C1F">
        <w:rPr>
          <w:rFonts w:ascii="Arial" w:hAnsi="Arial" w:cs="Arial"/>
          <w:noProof/>
          <w:sz w:val="20"/>
        </w:rPr>
        <w:t xml:space="preserve">5. </w:t>
      </w:r>
      <w:r w:rsidRPr="004A4C1F">
        <w:rPr>
          <w:rFonts w:ascii="Arial" w:hAnsi="Arial" w:cs="Arial"/>
          <w:noProof/>
          <w:sz w:val="20"/>
        </w:rPr>
        <w:tab/>
        <w:t>Qureshi AI, Luft AR, Sharma M, Guterman LR, Hopkins LN. Prevention and Treatment of Thromboembolic and Ischemic Complications Associated with Endovascular Procedures: Part II—Clinical Aspects and Recommendations. Neurosurgery [Internet]. 2000 Jun 1 [cited 2020 May 26];46(6):1360–76. Available from: https://academic.oup.com/neurosurgery/article/46/6/1360/2925961</w:t>
      </w:r>
    </w:p>
    <w:p w14:paraId="172910A8" w14:textId="77777777" w:rsidR="004A4C1F" w:rsidRPr="004A4C1F" w:rsidRDefault="004A4C1F" w:rsidP="004A4C1F">
      <w:pPr>
        <w:widowControl w:val="0"/>
        <w:autoSpaceDE w:val="0"/>
        <w:autoSpaceDN w:val="0"/>
        <w:adjustRightInd w:val="0"/>
        <w:ind w:left="640" w:hanging="640"/>
        <w:rPr>
          <w:rFonts w:ascii="Arial" w:hAnsi="Arial" w:cs="Arial"/>
          <w:noProof/>
          <w:sz w:val="20"/>
        </w:rPr>
      </w:pPr>
      <w:r w:rsidRPr="004A4C1F">
        <w:rPr>
          <w:rFonts w:ascii="Arial" w:hAnsi="Arial" w:cs="Arial"/>
          <w:noProof/>
          <w:sz w:val="20"/>
        </w:rPr>
        <w:t xml:space="preserve">6. </w:t>
      </w:r>
      <w:r w:rsidRPr="004A4C1F">
        <w:rPr>
          <w:rFonts w:ascii="Arial" w:hAnsi="Arial" w:cs="Arial"/>
          <w:noProof/>
          <w:sz w:val="20"/>
        </w:rPr>
        <w:tab/>
        <w:t>Bond KM, Brinjikji W, Murad MH, Kallmes DF, Cloft HJ, Lanzino G. Diffusion-Weighted Imaging–Detected Ischemic Lesions following Endovascular Treatment of Cerebral Aneurysms: A Systematic Review and Meta-Analysis. Am J Neuroradiol [Internet]. 2017;38(2). Available from: http://www.ajnr.org/content/38/2/304</w:t>
      </w:r>
    </w:p>
    <w:p w14:paraId="1D70B06F" w14:textId="77777777" w:rsidR="004A4C1F" w:rsidRPr="004A4C1F" w:rsidRDefault="004A4C1F" w:rsidP="004A4C1F">
      <w:pPr>
        <w:widowControl w:val="0"/>
        <w:autoSpaceDE w:val="0"/>
        <w:autoSpaceDN w:val="0"/>
        <w:adjustRightInd w:val="0"/>
        <w:ind w:left="640" w:hanging="640"/>
        <w:rPr>
          <w:rFonts w:ascii="Arial" w:hAnsi="Arial" w:cs="Arial"/>
          <w:noProof/>
          <w:sz w:val="20"/>
        </w:rPr>
      </w:pPr>
      <w:r w:rsidRPr="004A4C1F">
        <w:rPr>
          <w:rFonts w:ascii="Arial" w:hAnsi="Arial" w:cs="Arial"/>
          <w:noProof/>
          <w:sz w:val="20"/>
        </w:rPr>
        <w:t xml:space="preserve">7. </w:t>
      </w:r>
      <w:r w:rsidRPr="004A4C1F">
        <w:rPr>
          <w:rFonts w:ascii="Arial" w:hAnsi="Arial" w:cs="Arial"/>
          <w:noProof/>
          <w:sz w:val="20"/>
        </w:rPr>
        <w:tab/>
        <w:t xml:space="preserve">Vermeer SE, Prins ND, Den Heijer T, Hofman A, Koudstaal PJ, Breteler MMB. Silent brain infarcts and the risk of dementia and cognitive decline. N Engl J Med. 2003 Mar 27;348(13):1215–22. </w:t>
      </w:r>
    </w:p>
    <w:p w14:paraId="072D5D08" w14:textId="77777777" w:rsidR="004A4C1F" w:rsidRPr="004A4C1F" w:rsidRDefault="004A4C1F" w:rsidP="004A4C1F">
      <w:pPr>
        <w:widowControl w:val="0"/>
        <w:autoSpaceDE w:val="0"/>
        <w:autoSpaceDN w:val="0"/>
        <w:adjustRightInd w:val="0"/>
        <w:ind w:left="640" w:hanging="640"/>
        <w:rPr>
          <w:rFonts w:ascii="Arial" w:hAnsi="Arial" w:cs="Arial"/>
          <w:noProof/>
          <w:sz w:val="20"/>
        </w:rPr>
      </w:pPr>
      <w:r w:rsidRPr="004A4C1F">
        <w:rPr>
          <w:rFonts w:ascii="Arial" w:hAnsi="Arial" w:cs="Arial"/>
          <w:noProof/>
          <w:sz w:val="20"/>
        </w:rPr>
        <w:t xml:space="preserve">8. </w:t>
      </w:r>
      <w:r w:rsidRPr="004A4C1F">
        <w:rPr>
          <w:rFonts w:ascii="Arial" w:hAnsi="Arial" w:cs="Arial"/>
          <w:noProof/>
          <w:sz w:val="20"/>
        </w:rPr>
        <w:tab/>
        <w:t xml:space="preserve">Kang DH, Hwang YH, Kim YS, Bae GY, Lee SJ. Cognitive outcome and clinically silent thromboembolic events after coiling of asymptomatic unruptured intracranial aneurysms. Neurosurgery. 2013 Apr;72(4):638–45. </w:t>
      </w:r>
    </w:p>
    <w:p w14:paraId="7256B30D" w14:textId="77777777" w:rsidR="004A4C1F" w:rsidRPr="004A4C1F" w:rsidRDefault="004A4C1F" w:rsidP="004A4C1F">
      <w:pPr>
        <w:widowControl w:val="0"/>
        <w:autoSpaceDE w:val="0"/>
        <w:autoSpaceDN w:val="0"/>
        <w:adjustRightInd w:val="0"/>
        <w:ind w:left="640" w:hanging="640"/>
        <w:rPr>
          <w:rFonts w:ascii="Arial" w:hAnsi="Arial" w:cs="Arial"/>
          <w:noProof/>
          <w:sz w:val="20"/>
        </w:rPr>
      </w:pPr>
      <w:r w:rsidRPr="004A4C1F">
        <w:rPr>
          <w:rFonts w:ascii="Arial" w:hAnsi="Arial" w:cs="Arial"/>
          <w:noProof/>
          <w:sz w:val="20"/>
        </w:rPr>
        <w:t xml:space="preserve">9. </w:t>
      </w:r>
      <w:r w:rsidRPr="004A4C1F">
        <w:rPr>
          <w:rFonts w:ascii="Arial" w:hAnsi="Arial" w:cs="Arial"/>
          <w:noProof/>
          <w:sz w:val="20"/>
        </w:rPr>
        <w:tab/>
        <w:t xml:space="preserve">Park JC, Lee DH, Kim JK, Ahn JS, Kwun BD, Kim DY, et al. Microembolism after endovascular coiling of unruptured cerebral aneurysms: Incidence and risk factors. J Neurosurg. 2016 Mar 1;124(3):777–83. </w:t>
      </w:r>
    </w:p>
    <w:p w14:paraId="031FEDF1" w14:textId="77777777" w:rsidR="004A4C1F" w:rsidRPr="004A4C1F" w:rsidRDefault="004A4C1F" w:rsidP="004A4C1F">
      <w:pPr>
        <w:widowControl w:val="0"/>
        <w:autoSpaceDE w:val="0"/>
        <w:autoSpaceDN w:val="0"/>
        <w:adjustRightInd w:val="0"/>
        <w:ind w:left="640" w:hanging="640"/>
        <w:rPr>
          <w:rFonts w:ascii="Arial" w:hAnsi="Arial" w:cs="Arial"/>
          <w:noProof/>
          <w:sz w:val="20"/>
        </w:rPr>
      </w:pPr>
      <w:r w:rsidRPr="004A4C1F">
        <w:rPr>
          <w:rFonts w:ascii="Arial" w:hAnsi="Arial" w:cs="Arial"/>
          <w:noProof/>
          <w:sz w:val="20"/>
        </w:rPr>
        <w:t xml:space="preserve">10. </w:t>
      </w:r>
      <w:r w:rsidRPr="004A4C1F">
        <w:rPr>
          <w:rFonts w:ascii="Arial" w:hAnsi="Arial" w:cs="Arial"/>
          <w:noProof/>
          <w:sz w:val="20"/>
        </w:rPr>
        <w:tab/>
        <w:t>Van Swieten JC, Van Gijn J, Hijdra A, Koudstaal PJ. Grading white matter lesions on CT and MRI: A simple scale. J Neurol Neurosurg Psychiatry [Internet]. 1990 Dec 1 [cited 2020 Aug 29];53(12):1080–3. Available from: http://jnnp.bmj.com/</w:t>
      </w:r>
    </w:p>
    <w:p w14:paraId="7AF7DF89" w14:textId="77777777" w:rsidR="004A4C1F" w:rsidRPr="004A4C1F" w:rsidRDefault="004A4C1F" w:rsidP="004A4C1F">
      <w:pPr>
        <w:widowControl w:val="0"/>
        <w:autoSpaceDE w:val="0"/>
        <w:autoSpaceDN w:val="0"/>
        <w:adjustRightInd w:val="0"/>
        <w:ind w:left="640" w:hanging="640"/>
        <w:rPr>
          <w:rFonts w:ascii="Arial" w:hAnsi="Arial" w:cs="Arial"/>
          <w:noProof/>
          <w:sz w:val="20"/>
        </w:rPr>
      </w:pPr>
      <w:r w:rsidRPr="004A4C1F">
        <w:rPr>
          <w:rFonts w:ascii="Arial" w:hAnsi="Arial" w:cs="Arial"/>
          <w:noProof/>
          <w:sz w:val="20"/>
        </w:rPr>
        <w:t xml:space="preserve">11. </w:t>
      </w:r>
      <w:r w:rsidRPr="004A4C1F">
        <w:rPr>
          <w:rFonts w:ascii="Arial" w:hAnsi="Arial" w:cs="Arial"/>
          <w:noProof/>
          <w:sz w:val="20"/>
        </w:rPr>
        <w:tab/>
        <w:t xml:space="preserve">Venous thromboembolism: treatment. Therapeutic Guidelines eTG. 2018. </w:t>
      </w:r>
    </w:p>
    <w:p w14:paraId="12477253" w14:textId="77777777" w:rsidR="004A4C1F" w:rsidRPr="004A4C1F" w:rsidRDefault="004A4C1F" w:rsidP="004A4C1F">
      <w:pPr>
        <w:widowControl w:val="0"/>
        <w:autoSpaceDE w:val="0"/>
        <w:autoSpaceDN w:val="0"/>
        <w:adjustRightInd w:val="0"/>
        <w:ind w:left="640" w:hanging="640"/>
        <w:rPr>
          <w:rFonts w:ascii="Arial" w:hAnsi="Arial" w:cs="Arial"/>
          <w:noProof/>
          <w:sz w:val="20"/>
        </w:rPr>
      </w:pPr>
      <w:r w:rsidRPr="004A4C1F">
        <w:rPr>
          <w:rFonts w:ascii="Arial" w:hAnsi="Arial" w:cs="Arial"/>
          <w:noProof/>
          <w:sz w:val="20"/>
        </w:rPr>
        <w:t xml:space="preserve">12. </w:t>
      </w:r>
      <w:r w:rsidRPr="004A4C1F">
        <w:rPr>
          <w:rFonts w:ascii="Arial" w:hAnsi="Arial" w:cs="Arial"/>
          <w:noProof/>
          <w:sz w:val="20"/>
        </w:rPr>
        <w:tab/>
        <w:t xml:space="preserve">Enoxaparin. Australian Medicines Handbook. 2020. </w:t>
      </w:r>
    </w:p>
    <w:p w14:paraId="3B2E6769" w14:textId="62D8D9AC" w:rsidR="001F0F74" w:rsidRPr="00607E05" w:rsidRDefault="00F45134" w:rsidP="006438F5">
      <w:pPr>
        <w:rPr>
          <w:rFonts w:ascii="Arial" w:hAnsi="Arial" w:cs="Arial"/>
          <w:sz w:val="20"/>
          <w:szCs w:val="20"/>
        </w:rPr>
      </w:pPr>
      <w:r>
        <w:rPr>
          <w:rFonts w:ascii="Arial" w:hAnsi="Arial" w:cs="Arial"/>
          <w:sz w:val="20"/>
          <w:szCs w:val="20"/>
        </w:rPr>
        <w:fldChar w:fldCharType="end"/>
      </w:r>
    </w:p>
    <w:sectPr w:rsidR="001F0F74" w:rsidRPr="00607E05" w:rsidSect="00EB73C9">
      <w:footerReference w:type="default" r:id="rId11"/>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7CC13" w14:textId="77777777" w:rsidR="0014325B" w:rsidRDefault="0014325B" w:rsidP="00DE010A">
      <w:r>
        <w:separator/>
      </w:r>
    </w:p>
  </w:endnote>
  <w:endnote w:type="continuationSeparator" w:id="0">
    <w:p w14:paraId="320D1D7B" w14:textId="77777777" w:rsidR="0014325B" w:rsidRDefault="0014325B" w:rsidP="00DE0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AC9A9" w14:textId="41FCC9AC" w:rsidR="00513FD2" w:rsidRPr="00E6232D" w:rsidRDefault="00513FD2">
    <w:pPr>
      <w:pStyle w:val="Footer"/>
      <w:rPr>
        <w:rFonts w:ascii="Arial" w:hAnsi="Arial" w:cs="Arial"/>
        <w:sz w:val="16"/>
        <w:szCs w:val="16"/>
      </w:rPr>
    </w:pPr>
    <w:r w:rsidRPr="00E6232D">
      <w:rPr>
        <w:rFonts w:ascii="Arial" w:hAnsi="Arial" w:cs="Arial"/>
        <w:sz w:val="16"/>
        <w:szCs w:val="16"/>
      </w:rPr>
      <w:t xml:space="preserve">EPPICS </w:t>
    </w:r>
    <w:r w:rsidR="00FC3535">
      <w:rPr>
        <w:rFonts w:ascii="Arial" w:hAnsi="Arial" w:cs="Arial"/>
        <w:sz w:val="16"/>
        <w:szCs w:val="16"/>
      </w:rPr>
      <w:t xml:space="preserve">II </w:t>
    </w:r>
    <w:r w:rsidRPr="00E6232D">
      <w:rPr>
        <w:rFonts w:ascii="Arial" w:hAnsi="Arial" w:cs="Arial"/>
        <w:sz w:val="16"/>
        <w:szCs w:val="16"/>
      </w:rPr>
      <w:t>Study – Protocol v</w:t>
    </w:r>
    <w:r w:rsidR="00B93CE4">
      <w:rPr>
        <w:rFonts w:ascii="Arial" w:hAnsi="Arial" w:cs="Arial"/>
        <w:sz w:val="16"/>
        <w:szCs w:val="16"/>
      </w:rPr>
      <w:t>2</w:t>
    </w:r>
    <w:r w:rsidRPr="00E6232D">
      <w:rPr>
        <w:rFonts w:ascii="Arial" w:hAnsi="Arial" w:cs="Arial"/>
        <w:sz w:val="16"/>
        <w:szCs w:val="16"/>
      </w:rPr>
      <w:t xml:space="preserve"> </w:t>
    </w:r>
    <w:r w:rsidR="00B93CE4">
      <w:rPr>
        <w:rFonts w:ascii="Arial" w:hAnsi="Arial" w:cs="Arial"/>
        <w:sz w:val="16"/>
        <w:szCs w:val="16"/>
      </w:rPr>
      <w:t>17/9</w:t>
    </w:r>
    <w:r w:rsidR="00FA36F1">
      <w:rPr>
        <w:rFonts w:ascii="Arial" w:hAnsi="Arial" w:cs="Arial"/>
        <w:sz w:val="16"/>
        <w:szCs w:val="16"/>
      </w:rPr>
      <w:t>/20</w:t>
    </w:r>
    <w:r w:rsidR="00FC3535">
      <w:rPr>
        <w:rFonts w:ascii="Arial" w:hAnsi="Arial" w:cs="Arial"/>
        <w:sz w:val="16"/>
        <w:szCs w:val="16"/>
      </w:rPr>
      <w:t>20</w:t>
    </w:r>
    <w:r>
      <w:rPr>
        <w:rFonts w:ascii="Arial" w:hAnsi="Arial" w:cs="Arial"/>
        <w:sz w:val="16"/>
        <w:szCs w:val="16"/>
      </w:rPr>
      <w:tab/>
    </w:r>
    <w:r>
      <w:rPr>
        <w:rFonts w:ascii="Arial" w:hAnsi="Arial" w:cs="Arial"/>
        <w:sz w:val="16"/>
        <w:szCs w:val="16"/>
      </w:rPr>
      <w:tab/>
      <w:t xml:space="preserve"> </w:t>
    </w:r>
    <w:r w:rsidRPr="00C53CB4">
      <w:rPr>
        <w:rFonts w:ascii="Times New Roman" w:hAnsi="Times New Roman" w:cs="Times New Roman"/>
        <w:sz w:val="16"/>
        <w:szCs w:val="16"/>
      </w:rPr>
      <w:t xml:space="preserve">Page </w:t>
    </w:r>
    <w:r w:rsidRPr="00C53CB4">
      <w:rPr>
        <w:rFonts w:ascii="Times New Roman" w:hAnsi="Times New Roman" w:cs="Times New Roman"/>
        <w:sz w:val="16"/>
        <w:szCs w:val="16"/>
      </w:rPr>
      <w:fldChar w:fldCharType="begin"/>
    </w:r>
    <w:r w:rsidRPr="00C53CB4">
      <w:rPr>
        <w:rFonts w:ascii="Times New Roman" w:hAnsi="Times New Roman" w:cs="Times New Roman"/>
        <w:sz w:val="16"/>
        <w:szCs w:val="16"/>
      </w:rPr>
      <w:instrText xml:space="preserve"> PAGE </w:instrText>
    </w:r>
    <w:r w:rsidRPr="00C53CB4">
      <w:rPr>
        <w:rFonts w:ascii="Times New Roman" w:hAnsi="Times New Roman" w:cs="Times New Roman"/>
        <w:sz w:val="16"/>
        <w:szCs w:val="16"/>
      </w:rPr>
      <w:fldChar w:fldCharType="separate"/>
    </w:r>
    <w:r w:rsidR="00ED2796">
      <w:rPr>
        <w:rFonts w:ascii="Times New Roman" w:hAnsi="Times New Roman" w:cs="Times New Roman"/>
        <w:noProof/>
        <w:sz w:val="16"/>
        <w:szCs w:val="16"/>
      </w:rPr>
      <w:t>12</w:t>
    </w:r>
    <w:r w:rsidRPr="00C53CB4">
      <w:rPr>
        <w:rFonts w:ascii="Times New Roman" w:hAnsi="Times New Roman" w:cs="Times New Roman"/>
        <w:sz w:val="16"/>
        <w:szCs w:val="16"/>
      </w:rPr>
      <w:fldChar w:fldCharType="end"/>
    </w:r>
    <w:r w:rsidRPr="00C53CB4">
      <w:rPr>
        <w:rFonts w:ascii="Times New Roman" w:hAnsi="Times New Roman" w:cs="Times New Roman"/>
        <w:sz w:val="16"/>
        <w:szCs w:val="16"/>
      </w:rPr>
      <w:t xml:space="preserve"> of </w:t>
    </w:r>
    <w:r w:rsidRPr="00C53CB4">
      <w:rPr>
        <w:rFonts w:ascii="Times New Roman" w:hAnsi="Times New Roman" w:cs="Times New Roman"/>
        <w:sz w:val="16"/>
        <w:szCs w:val="16"/>
      </w:rPr>
      <w:fldChar w:fldCharType="begin"/>
    </w:r>
    <w:r w:rsidRPr="00C53CB4">
      <w:rPr>
        <w:rFonts w:ascii="Times New Roman" w:hAnsi="Times New Roman" w:cs="Times New Roman"/>
        <w:sz w:val="16"/>
        <w:szCs w:val="16"/>
      </w:rPr>
      <w:instrText xml:space="preserve"> NUMPAGES </w:instrText>
    </w:r>
    <w:r w:rsidRPr="00C53CB4">
      <w:rPr>
        <w:rFonts w:ascii="Times New Roman" w:hAnsi="Times New Roman" w:cs="Times New Roman"/>
        <w:sz w:val="16"/>
        <w:szCs w:val="16"/>
      </w:rPr>
      <w:fldChar w:fldCharType="separate"/>
    </w:r>
    <w:r w:rsidR="00ED2796">
      <w:rPr>
        <w:rFonts w:ascii="Times New Roman" w:hAnsi="Times New Roman" w:cs="Times New Roman"/>
        <w:noProof/>
        <w:sz w:val="16"/>
        <w:szCs w:val="16"/>
      </w:rPr>
      <w:t>14</w:t>
    </w:r>
    <w:r w:rsidRPr="00C53CB4">
      <w:rPr>
        <w:rFonts w:ascii="Times New Roman" w:hAnsi="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606AF" w14:textId="77777777" w:rsidR="0014325B" w:rsidRDefault="0014325B" w:rsidP="00DE010A">
      <w:r>
        <w:separator/>
      </w:r>
    </w:p>
  </w:footnote>
  <w:footnote w:type="continuationSeparator" w:id="0">
    <w:p w14:paraId="647AD29E" w14:textId="77777777" w:rsidR="0014325B" w:rsidRDefault="0014325B" w:rsidP="00DE0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B33A8"/>
    <w:multiLevelType w:val="hybridMultilevel"/>
    <w:tmpl w:val="B7105E2E"/>
    <w:lvl w:ilvl="0" w:tplc="EBD4D3AE">
      <w:numFmt w:val="bullet"/>
      <w:lvlText w:val="-"/>
      <w:lvlJc w:val="left"/>
      <w:pPr>
        <w:ind w:left="1080" w:hanging="720"/>
      </w:pPr>
      <w:rPr>
        <w:rFonts w:ascii="Arial" w:eastAsiaTheme="minorEastAsia"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42F52"/>
    <w:multiLevelType w:val="hybridMultilevel"/>
    <w:tmpl w:val="310AB306"/>
    <w:lvl w:ilvl="0" w:tplc="AA3AFFA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5766AE"/>
    <w:multiLevelType w:val="hybridMultilevel"/>
    <w:tmpl w:val="FDEA9D40"/>
    <w:lvl w:ilvl="0" w:tplc="EDA80D90">
      <w:start w:val="5"/>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423F29"/>
    <w:multiLevelType w:val="hybridMultilevel"/>
    <w:tmpl w:val="C824BAFE"/>
    <w:lvl w:ilvl="0" w:tplc="68F85204">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0029B"/>
    <w:multiLevelType w:val="hybridMultilevel"/>
    <w:tmpl w:val="1A6E4AD0"/>
    <w:lvl w:ilvl="0" w:tplc="8C0E803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730E6"/>
    <w:multiLevelType w:val="hybridMultilevel"/>
    <w:tmpl w:val="671ADF14"/>
    <w:lvl w:ilvl="0" w:tplc="0C09000F">
      <w:start w:val="1"/>
      <w:numFmt w:val="decimal"/>
      <w:lvlText w:val="%1."/>
      <w:lvlJc w:val="left"/>
      <w:pPr>
        <w:ind w:left="720" w:hanging="360"/>
      </w:pPr>
    </w:lvl>
    <w:lvl w:ilvl="1" w:tplc="EBD4D3AE">
      <w:numFmt w:val="bullet"/>
      <w:lvlText w:val="-"/>
      <w:lvlJc w:val="left"/>
      <w:pPr>
        <w:ind w:left="1440" w:hanging="360"/>
      </w:pPr>
      <w:rPr>
        <w:rFonts w:ascii="Arial" w:eastAsiaTheme="minorEastAsia"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DA29B7"/>
    <w:multiLevelType w:val="hybridMultilevel"/>
    <w:tmpl w:val="CEB6A5B2"/>
    <w:lvl w:ilvl="0" w:tplc="2F1246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673AC2"/>
    <w:multiLevelType w:val="hybridMultilevel"/>
    <w:tmpl w:val="A4305B00"/>
    <w:lvl w:ilvl="0" w:tplc="EDA80D90">
      <w:start w:val="5"/>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A6C0968"/>
    <w:multiLevelType w:val="hybridMultilevel"/>
    <w:tmpl w:val="9BFA6A12"/>
    <w:lvl w:ilvl="0" w:tplc="FC0E61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1A0235"/>
    <w:multiLevelType w:val="hybridMultilevel"/>
    <w:tmpl w:val="51129A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3530318"/>
    <w:multiLevelType w:val="hybridMultilevel"/>
    <w:tmpl w:val="E9FE6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953CD5"/>
    <w:multiLevelType w:val="hybridMultilevel"/>
    <w:tmpl w:val="56A6939C"/>
    <w:lvl w:ilvl="0" w:tplc="EBD4D3AE">
      <w:numFmt w:val="bullet"/>
      <w:lvlText w:val="-"/>
      <w:lvlJc w:val="left"/>
      <w:pPr>
        <w:ind w:left="720" w:hanging="360"/>
      </w:pPr>
      <w:rPr>
        <w:rFonts w:ascii="Arial" w:eastAsiaTheme="min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DA0E11"/>
    <w:multiLevelType w:val="hybridMultilevel"/>
    <w:tmpl w:val="76C4D732"/>
    <w:lvl w:ilvl="0" w:tplc="2F8E9FFE">
      <w:numFmt w:val="bullet"/>
      <w:lvlText w:val="-"/>
      <w:lvlJc w:val="left"/>
      <w:pPr>
        <w:ind w:left="1440" w:hanging="360"/>
      </w:pPr>
      <w:rPr>
        <w:rFonts w:ascii="Arial" w:eastAsiaTheme="minorEastAsia" w:hAnsi="Arial" w:cs="Aria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96339A0"/>
    <w:multiLevelType w:val="hybridMultilevel"/>
    <w:tmpl w:val="B9208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DD0D57"/>
    <w:multiLevelType w:val="hybridMultilevel"/>
    <w:tmpl w:val="EEFE1668"/>
    <w:lvl w:ilvl="0" w:tplc="AA3AFFA6">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C52E42"/>
    <w:multiLevelType w:val="hybridMultilevel"/>
    <w:tmpl w:val="89F29B6A"/>
    <w:lvl w:ilvl="0" w:tplc="D45697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14"/>
  </w:num>
  <w:num w:numId="5">
    <w:abstractNumId w:val="12"/>
  </w:num>
  <w:num w:numId="6">
    <w:abstractNumId w:val="8"/>
  </w:num>
  <w:num w:numId="7">
    <w:abstractNumId w:val="13"/>
  </w:num>
  <w:num w:numId="8">
    <w:abstractNumId w:val="10"/>
  </w:num>
  <w:num w:numId="9">
    <w:abstractNumId w:val="4"/>
  </w:num>
  <w:num w:numId="10">
    <w:abstractNumId w:val="0"/>
  </w:num>
  <w:num w:numId="11">
    <w:abstractNumId w:val="15"/>
  </w:num>
  <w:num w:numId="12">
    <w:abstractNumId w:val="11"/>
  </w:num>
  <w:num w:numId="13">
    <w:abstractNumId w:val="5"/>
  </w:num>
  <w:num w:numId="14">
    <w:abstractNumId w:val="9"/>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st2r2r2k29fv0eatpvpw0ef2dztpv2trtd5&quot;&gt;Jeff&amp;apos;s Endnote Library&lt;record-ids&gt;&lt;item&gt;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4&lt;/item&gt;&lt;item&gt;35&lt;/item&gt;&lt;item&gt;36&lt;/item&gt;&lt;item&gt;37&lt;/item&gt;&lt;item&gt;38&lt;/item&gt;&lt;item&gt;39&lt;/item&gt;&lt;item&gt;95&lt;/item&gt;&lt;item&gt;96&lt;/item&gt;&lt;item&gt;97&lt;/item&gt;&lt;item&gt;98&lt;/item&gt;&lt;item&gt;99&lt;/item&gt;&lt;item&gt;107&lt;/item&gt;&lt;item&gt;116&lt;/item&gt;&lt;item&gt;119&lt;/item&gt;&lt;item&gt;120&lt;/item&gt;&lt;item&gt;121&lt;/item&gt;&lt;item&gt;123&lt;/item&gt;&lt;item&gt;124&lt;/item&gt;&lt;item&gt;191&lt;/item&gt;&lt;item&gt;194&lt;/item&gt;&lt;item&gt;196&lt;/item&gt;&lt;item&gt;197&lt;/item&gt;&lt;item&gt;198&lt;/item&gt;&lt;item&gt;199&lt;/item&gt;&lt;item&gt;202&lt;/item&gt;&lt;item&gt;203&lt;/item&gt;&lt;/record-ids&gt;&lt;/item&gt;&lt;/Libraries&gt;"/>
  </w:docVars>
  <w:rsids>
    <w:rsidRoot w:val="009704BE"/>
    <w:rsid w:val="00000819"/>
    <w:rsid w:val="00004247"/>
    <w:rsid w:val="00007128"/>
    <w:rsid w:val="00007995"/>
    <w:rsid w:val="00014EDC"/>
    <w:rsid w:val="000169E0"/>
    <w:rsid w:val="00017FDE"/>
    <w:rsid w:val="0002315F"/>
    <w:rsid w:val="000279FA"/>
    <w:rsid w:val="00027E96"/>
    <w:rsid w:val="00030EEA"/>
    <w:rsid w:val="000338FF"/>
    <w:rsid w:val="00034F29"/>
    <w:rsid w:val="000353DB"/>
    <w:rsid w:val="000413F5"/>
    <w:rsid w:val="0004250B"/>
    <w:rsid w:val="00051F7C"/>
    <w:rsid w:val="00052CD3"/>
    <w:rsid w:val="00063673"/>
    <w:rsid w:val="000712F6"/>
    <w:rsid w:val="0007282A"/>
    <w:rsid w:val="00073286"/>
    <w:rsid w:val="00077A36"/>
    <w:rsid w:val="00077A61"/>
    <w:rsid w:val="0008048E"/>
    <w:rsid w:val="00080AA8"/>
    <w:rsid w:val="000825F4"/>
    <w:rsid w:val="0008363B"/>
    <w:rsid w:val="000861FD"/>
    <w:rsid w:val="000901F2"/>
    <w:rsid w:val="00092170"/>
    <w:rsid w:val="000922CF"/>
    <w:rsid w:val="00092415"/>
    <w:rsid w:val="0009347F"/>
    <w:rsid w:val="00095EB9"/>
    <w:rsid w:val="00096021"/>
    <w:rsid w:val="000973FE"/>
    <w:rsid w:val="0009776D"/>
    <w:rsid w:val="000A1724"/>
    <w:rsid w:val="000A1C83"/>
    <w:rsid w:val="000A37EB"/>
    <w:rsid w:val="000A3A86"/>
    <w:rsid w:val="000A46A1"/>
    <w:rsid w:val="000A5DBF"/>
    <w:rsid w:val="000A64FB"/>
    <w:rsid w:val="000A6BCB"/>
    <w:rsid w:val="000A6C7F"/>
    <w:rsid w:val="000A7840"/>
    <w:rsid w:val="000B1005"/>
    <w:rsid w:val="000B1589"/>
    <w:rsid w:val="000C0594"/>
    <w:rsid w:val="000C08F4"/>
    <w:rsid w:val="000C3EBF"/>
    <w:rsid w:val="000C4E24"/>
    <w:rsid w:val="000C4F61"/>
    <w:rsid w:val="000C54C7"/>
    <w:rsid w:val="000C60A0"/>
    <w:rsid w:val="000C64D5"/>
    <w:rsid w:val="000D03F9"/>
    <w:rsid w:val="000D117B"/>
    <w:rsid w:val="000D3589"/>
    <w:rsid w:val="000D3F02"/>
    <w:rsid w:val="000D45C4"/>
    <w:rsid w:val="000D4D89"/>
    <w:rsid w:val="000D57C2"/>
    <w:rsid w:val="000D6C58"/>
    <w:rsid w:val="000D6C9E"/>
    <w:rsid w:val="000D765A"/>
    <w:rsid w:val="000E0022"/>
    <w:rsid w:val="000E474E"/>
    <w:rsid w:val="000E602A"/>
    <w:rsid w:val="000F3886"/>
    <w:rsid w:val="000F4934"/>
    <w:rsid w:val="000F6EAF"/>
    <w:rsid w:val="001010FF"/>
    <w:rsid w:val="00101FC5"/>
    <w:rsid w:val="00103C9C"/>
    <w:rsid w:val="0011612F"/>
    <w:rsid w:val="0012017C"/>
    <w:rsid w:val="00123754"/>
    <w:rsid w:val="001239FB"/>
    <w:rsid w:val="00123B05"/>
    <w:rsid w:val="00124416"/>
    <w:rsid w:val="001244F0"/>
    <w:rsid w:val="00125D13"/>
    <w:rsid w:val="00127203"/>
    <w:rsid w:val="001330EA"/>
    <w:rsid w:val="001376B5"/>
    <w:rsid w:val="00137A32"/>
    <w:rsid w:val="0014058E"/>
    <w:rsid w:val="00141CD8"/>
    <w:rsid w:val="00142717"/>
    <w:rsid w:val="0014325B"/>
    <w:rsid w:val="0014610E"/>
    <w:rsid w:val="001462B0"/>
    <w:rsid w:val="00147F21"/>
    <w:rsid w:val="00150E1B"/>
    <w:rsid w:val="00150EF2"/>
    <w:rsid w:val="0015140F"/>
    <w:rsid w:val="0015231A"/>
    <w:rsid w:val="0015584D"/>
    <w:rsid w:val="001559B6"/>
    <w:rsid w:val="00157159"/>
    <w:rsid w:val="00157F38"/>
    <w:rsid w:val="001617CF"/>
    <w:rsid w:val="00162B87"/>
    <w:rsid w:val="00164F8F"/>
    <w:rsid w:val="0016523B"/>
    <w:rsid w:val="00165B90"/>
    <w:rsid w:val="00166E46"/>
    <w:rsid w:val="0016727D"/>
    <w:rsid w:val="001711AC"/>
    <w:rsid w:val="00176088"/>
    <w:rsid w:val="00181F63"/>
    <w:rsid w:val="00182D92"/>
    <w:rsid w:val="001832FC"/>
    <w:rsid w:val="00183C9F"/>
    <w:rsid w:val="001862FC"/>
    <w:rsid w:val="0019242C"/>
    <w:rsid w:val="00192A06"/>
    <w:rsid w:val="00193037"/>
    <w:rsid w:val="00197424"/>
    <w:rsid w:val="001A155C"/>
    <w:rsid w:val="001A2A7B"/>
    <w:rsid w:val="001A5F18"/>
    <w:rsid w:val="001A7432"/>
    <w:rsid w:val="001B2D26"/>
    <w:rsid w:val="001B5FE7"/>
    <w:rsid w:val="001B7576"/>
    <w:rsid w:val="001C2ABE"/>
    <w:rsid w:val="001C2C42"/>
    <w:rsid w:val="001C4C1E"/>
    <w:rsid w:val="001C6305"/>
    <w:rsid w:val="001C69A8"/>
    <w:rsid w:val="001C6CAD"/>
    <w:rsid w:val="001E0B36"/>
    <w:rsid w:val="001E3B89"/>
    <w:rsid w:val="001E4A03"/>
    <w:rsid w:val="001E4D06"/>
    <w:rsid w:val="001E58F4"/>
    <w:rsid w:val="001E6E89"/>
    <w:rsid w:val="001F0F74"/>
    <w:rsid w:val="001F1E4C"/>
    <w:rsid w:val="001F572B"/>
    <w:rsid w:val="001F660B"/>
    <w:rsid w:val="00201C62"/>
    <w:rsid w:val="002058DF"/>
    <w:rsid w:val="00207E6D"/>
    <w:rsid w:val="00207EF9"/>
    <w:rsid w:val="00210992"/>
    <w:rsid w:val="002110B7"/>
    <w:rsid w:val="0021183B"/>
    <w:rsid w:val="00213D72"/>
    <w:rsid w:val="0021513A"/>
    <w:rsid w:val="00216BF7"/>
    <w:rsid w:val="00222ADD"/>
    <w:rsid w:val="00224AB5"/>
    <w:rsid w:val="00224F64"/>
    <w:rsid w:val="00230E0F"/>
    <w:rsid w:val="002327AB"/>
    <w:rsid w:val="00240925"/>
    <w:rsid w:val="0024134C"/>
    <w:rsid w:val="00244E4A"/>
    <w:rsid w:val="00246D03"/>
    <w:rsid w:val="002471CC"/>
    <w:rsid w:val="00251020"/>
    <w:rsid w:val="00251FFA"/>
    <w:rsid w:val="00253238"/>
    <w:rsid w:val="00255EED"/>
    <w:rsid w:val="00256AEA"/>
    <w:rsid w:val="00260C34"/>
    <w:rsid w:val="00260DAA"/>
    <w:rsid w:val="002615C0"/>
    <w:rsid w:val="00264317"/>
    <w:rsid w:val="002664D0"/>
    <w:rsid w:val="00272680"/>
    <w:rsid w:val="002735F7"/>
    <w:rsid w:val="00273BB7"/>
    <w:rsid w:val="00274871"/>
    <w:rsid w:val="002765EB"/>
    <w:rsid w:val="00277EEF"/>
    <w:rsid w:val="00280974"/>
    <w:rsid w:val="00283711"/>
    <w:rsid w:val="002837FC"/>
    <w:rsid w:val="00293FAA"/>
    <w:rsid w:val="00295B73"/>
    <w:rsid w:val="00296843"/>
    <w:rsid w:val="002A62C1"/>
    <w:rsid w:val="002A71E5"/>
    <w:rsid w:val="002B4344"/>
    <w:rsid w:val="002C0103"/>
    <w:rsid w:val="002C11B4"/>
    <w:rsid w:val="002C1699"/>
    <w:rsid w:val="002C4FB8"/>
    <w:rsid w:val="002D21C7"/>
    <w:rsid w:val="002D24D3"/>
    <w:rsid w:val="002D2DF9"/>
    <w:rsid w:val="002D5815"/>
    <w:rsid w:val="002E11F0"/>
    <w:rsid w:val="002E6FC0"/>
    <w:rsid w:val="002F0277"/>
    <w:rsid w:val="002F16DA"/>
    <w:rsid w:val="002F1CA4"/>
    <w:rsid w:val="002F48C6"/>
    <w:rsid w:val="002F615E"/>
    <w:rsid w:val="003014EF"/>
    <w:rsid w:val="00301C41"/>
    <w:rsid w:val="00302058"/>
    <w:rsid w:val="003048F1"/>
    <w:rsid w:val="0031191D"/>
    <w:rsid w:val="00313D0D"/>
    <w:rsid w:val="00314BDD"/>
    <w:rsid w:val="00315717"/>
    <w:rsid w:val="00320120"/>
    <w:rsid w:val="00322BE9"/>
    <w:rsid w:val="00323C78"/>
    <w:rsid w:val="0032563E"/>
    <w:rsid w:val="00326E62"/>
    <w:rsid w:val="0033174A"/>
    <w:rsid w:val="00332BCA"/>
    <w:rsid w:val="00336AE0"/>
    <w:rsid w:val="003400F9"/>
    <w:rsid w:val="003457BC"/>
    <w:rsid w:val="0035127C"/>
    <w:rsid w:val="00354B96"/>
    <w:rsid w:val="00354BCC"/>
    <w:rsid w:val="003600E2"/>
    <w:rsid w:val="003611AB"/>
    <w:rsid w:val="00366356"/>
    <w:rsid w:val="00366FEB"/>
    <w:rsid w:val="003675BF"/>
    <w:rsid w:val="00372FE1"/>
    <w:rsid w:val="00373B09"/>
    <w:rsid w:val="00375B83"/>
    <w:rsid w:val="003768E0"/>
    <w:rsid w:val="00380808"/>
    <w:rsid w:val="00383CA9"/>
    <w:rsid w:val="00384112"/>
    <w:rsid w:val="00384FC1"/>
    <w:rsid w:val="00387066"/>
    <w:rsid w:val="00387863"/>
    <w:rsid w:val="00391FE2"/>
    <w:rsid w:val="00392321"/>
    <w:rsid w:val="00396F9B"/>
    <w:rsid w:val="003A5127"/>
    <w:rsid w:val="003A57CE"/>
    <w:rsid w:val="003B0620"/>
    <w:rsid w:val="003B2617"/>
    <w:rsid w:val="003B2A12"/>
    <w:rsid w:val="003B3FEA"/>
    <w:rsid w:val="003B450D"/>
    <w:rsid w:val="003B4AC1"/>
    <w:rsid w:val="003B51BC"/>
    <w:rsid w:val="003B7EE2"/>
    <w:rsid w:val="003C05B9"/>
    <w:rsid w:val="003C26EF"/>
    <w:rsid w:val="003C2A48"/>
    <w:rsid w:val="003C36E3"/>
    <w:rsid w:val="003C3CFD"/>
    <w:rsid w:val="003C6E22"/>
    <w:rsid w:val="003C75BC"/>
    <w:rsid w:val="003C7A4A"/>
    <w:rsid w:val="003C7F0C"/>
    <w:rsid w:val="003D26F8"/>
    <w:rsid w:val="003D312D"/>
    <w:rsid w:val="003D3C6D"/>
    <w:rsid w:val="003D5BF2"/>
    <w:rsid w:val="003D6500"/>
    <w:rsid w:val="003E03E6"/>
    <w:rsid w:val="003F228F"/>
    <w:rsid w:val="003F3F78"/>
    <w:rsid w:val="003F51AE"/>
    <w:rsid w:val="003F615A"/>
    <w:rsid w:val="003F730A"/>
    <w:rsid w:val="00401AB4"/>
    <w:rsid w:val="004073D4"/>
    <w:rsid w:val="00410DF4"/>
    <w:rsid w:val="004216AA"/>
    <w:rsid w:val="004234F4"/>
    <w:rsid w:val="0042403D"/>
    <w:rsid w:val="00424B12"/>
    <w:rsid w:val="00425806"/>
    <w:rsid w:val="00427567"/>
    <w:rsid w:val="004345E1"/>
    <w:rsid w:val="00442555"/>
    <w:rsid w:val="00442C51"/>
    <w:rsid w:val="00443F17"/>
    <w:rsid w:val="00445799"/>
    <w:rsid w:val="00445A27"/>
    <w:rsid w:val="004462B7"/>
    <w:rsid w:val="00450819"/>
    <w:rsid w:val="00451384"/>
    <w:rsid w:val="00451788"/>
    <w:rsid w:val="00451F65"/>
    <w:rsid w:val="00454591"/>
    <w:rsid w:val="00457772"/>
    <w:rsid w:val="00460859"/>
    <w:rsid w:val="00461F24"/>
    <w:rsid w:val="004622D6"/>
    <w:rsid w:val="0046284E"/>
    <w:rsid w:val="0046411A"/>
    <w:rsid w:val="00465425"/>
    <w:rsid w:val="00474B63"/>
    <w:rsid w:val="00476036"/>
    <w:rsid w:val="00481626"/>
    <w:rsid w:val="00483E02"/>
    <w:rsid w:val="004877A8"/>
    <w:rsid w:val="00487F25"/>
    <w:rsid w:val="00497A69"/>
    <w:rsid w:val="004A0B6D"/>
    <w:rsid w:val="004A27B7"/>
    <w:rsid w:val="004A4C1F"/>
    <w:rsid w:val="004A4EF3"/>
    <w:rsid w:val="004C15AC"/>
    <w:rsid w:val="004C233C"/>
    <w:rsid w:val="004C3661"/>
    <w:rsid w:val="004C60DC"/>
    <w:rsid w:val="004C6E23"/>
    <w:rsid w:val="004C716E"/>
    <w:rsid w:val="004D1202"/>
    <w:rsid w:val="004D281F"/>
    <w:rsid w:val="004E1827"/>
    <w:rsid w:val="004E291A"/>
    <w:rsid w:val="004E6AF3"/>
    <w:rsid w:val="004E7EF3"/>
    <w:rsid w:val="004F31CB"/>
    <w:rsid w:val="004F4A9D"/>
    <w:rsid w:val="004F5F13"/>
    <w:rsid w:val="004F77A5"/>
    <w:rsid w:val="005011BD"/>
    <w:rsid w:val="00503394"/>
    <w:rsid w:val="00503838"/>
    <w:rsid w:val="005043E5"/>
    <w:rsid w:val="00505A76"/>
    <w:rsid w:val="00513FD2"/>
    <w:rsid w:val="00517C44"/>
    <w:rsid w:val="00521915"/>
    <w:rsid w:val="00521E6F"/>
    <w:rsid w:val="005241BF"/>
    <w:rsid w:val="00525BEA"/>
    <w:rsid w:val="00530588"/>
    <w:rsid w:val="0053179D"/>
    <w:rsid w:val="005337E3"/>
    <w:rsid w:val="00536A12"/>
    <w:rsid w:val="00536B91"/>
    <w:rsid w:val="00545F3E"/>
    <w:rsid w:val="0055052D"/>
    <w:rsid w:val="00550D41"/>
    <w:rsid w:val="005606BE"/>
    <w:rsid w:val="00564BFB"/>
    <w:rsid w:val="005654D2"/>
    <w:rsid w:val="00566A28"/>
    <w:rsid w:val="00566E2F"/>
    <w:rsid w:val="00566E85"/>
    <w:rsid w:val="00571F5F"/>
    <w:rsid w:val="00575453"/>
    <w:rsid w:val="0057710E"/>
    <w:rsid w:val="00580609"/>
    <w:rsid w:val="00581FED"/>
    <w:rsid w:val="00583006"/>
    <w:rsid w:val="0058328A"/>
    <w:rsid w:val="005853C0"/>
    <w:rsid w:val="005905CB"/>
    <w:rsid w:val="00590812"/>
    <w:rsid w:val="00591C08"/>
    <w:rsid w:val="00591CDD"/>
    <w:rsid w:val="00594D4F"/>
    <w:rsid w:val="00596320"/>
    <w:rsid w:val="005A1697"/>
    <w:rsid w:val="005A4705"/>
    <w:rsid w:val="005A5833"/>
    <w:rsid w:val="005A700E"/>
    <w:rsid w:val="005B0115"/>
    <w:rsid w:val="005B1481"/>
    <w:rsid w:val="005B28E6"/>
    <w:rsid w:val="005B3706"/>
    <w:rsid w:val="005B5151"/>
    <w:rsid w:val="005B532F"/>
    <w:rsid w:val="005B616D"/>
    <w:rsid w:val="005B6AD3"/>
    <w:rsid w:val="005C13C4"/>
    <w:rsid w:val="005C39AE"/>
    <w:rsid w:val="005C4878"/>
    <w:rsid w:val="005C4B82"/>
    <w:rsid w:val="005D1C21"/>
    <w:rsid w:val="005D5D6B"/>
    <w:rsid w:val="005D5DB7"/>
    <w:rsid w:val="005D698E"/>
    <w:rsid w:val="005E2859"/>
    <w:rsid w:val="005E7FE7"/>
    <w:rsid w:val="005F1C13"/>
    <w:rsid w:val="005F5203"/>
    <w:rsid w:val="005F56CC"/>
    <w:rsid w:val="00607E05"/>
    <w:rsid w:val="0061425D"/>
    <w:rsid w:val="00614279"/>
    <w:rsid w:val="006158E5"/>
    <w:rsid w:val="006161A8"/>
    <w:rsid w:val="0062089F"/>
    <w:rsid w:val="00623AC2"/>
    <w:rsid w:val="00626614"/>
    <w:rsid w:val="006269AB"/>
    <w:rsid w:val="006277C7"/>
    <w:rsid w:val="00627D34"/>
    <w:rsid w:val="00630FF1"/>
    <w:rsid w:val="00631FA9"/>
    <w:rsid w:val="0063209C"/>
    <w:rsid w:val="00632808"/>
    <w:rsid w:val="00634F0B"/>
    <w:rsid w:val="00634FFC"/>
    <w:rsid w:val="0064284B"/>
    <w:rsid w:val="006438F5"/>
    <w:rsid w:val="00643D81"/>
    <w:rsid w:val="006452B8"/>
    <w:rsid w:val="0065008F"/>
    <w:rsid w:val="00650F86"/>
    <w:rsid w:val="00653757"/>
    <w:rsid w:val="00653D1E"/>
    <w:rsid w:val="006540E1"/>
    <w:rsid w:val="0065457B"/>
    <w:rsid w:val="00654E11"/>
    <w:rsid w:val="00657DBF"/>
    <w:rsid w:val="00661C16"/>
    <w:rsid w:val="00662375"/>
    <w:rsid w:val="006658A7"/>
    <w:rsid w:val="006678CD"/>
    <w:rsid w:val="00674965"/>
    <w:rsid w:val="006772EF"/>
    <w:rsid w:val="0068080B"/>
    <w:rsid w:val="00681B7B"/>
    <w:rsid w:val="00682573"/>
    <w:rsid w:val="00682708"/>
    <w:rsid w:val="00684451"/>
    <w:rsid w:val="00684CA2"/>
    <w:rsid w:val="0068565A"/>
    <w:rsid w:val="0068589D"/>
    <w:rsid w:val="0068752A"/>
    <w:rsid w:val="00690258"/>
    <w:rsid w:val="00694BD6"/>
    <w:rsid w:val="006A010D"/>
    <w:rsid w:val="006A1D10"/>
    <w:rsid w:val="006A6096"/>
    <w:rsid w:val="006A7B4D"/>
    <w:rsid w:val="006A7C73"/>
    <w:rsid w:val="006A7FD9"/>
    <w:rsid w:val="006B1643"/>
    <w:rsid w:val="006B4399"/>
    <w:rsid w:val="006B45B1"/>
    <w:rsid w:val="006B5F96"/>
    <w:rsid w:val="006C1382"/>
    <w:rsid w:val="006C2FE6"/>
    <w:rsid w:val="006C3B09"/>
    <w:rsid w:val="006C3FCD"/>
    <w:rsid w:val="006D0FDB"/>
    <w:rsid w:val="006D2073"/>
    <w:rsid w:val="006D2313"/>
    <w:rsid w:val="006E1186"/>
    <w:rsid w:val="006E275E"/>
    <w:rsid w:val="006E3C3A"/>
    <w:rsid w:val="006E55AB"/>
    <w:rsid w:val="006F2560"/>
    <w:rsid w:val="006F2894"/>
    <w:rsid w:val="006F321B"/>
    <w:rsid w:val="006F4C20"/>
    <w:rsid w:val="006F7610"/>
    <w:rsid w:val="00703441"/>
    <w:rsid w:val="007064B6"/>
    <w:rsid w:val="00707306"/>
    <w:rsid w:val="0070794B"/>
    <w:rsid w:val="00711404"/>
    <w:rsid w:val="00714006"/>
    <w:rsid w:val="00715389"/>
    <w:rsid w:val="00715420"/>
    <w:rsid w:val="00715EB2"/>
    <w:rsid w:val="00716E21"/>
    <w:rsid w:val="0072101A"/>
    <w:rsid w:val="00721442"/>
    <w:rsid w:val="00727B04"/>
    <w:rsid w:val="007314EA"/>
    <w:rsid w:val="00731BFF"/>
    <w:rsid w:val="00733C50"/>
    <w:rsid w:val="00735851"/>
    <w:rsid w:val="00737091"/>
    <w:rsid w:val="007409D2"/>
    <w:rsid w:val="0074238E"/>
    <w:rsid w:val="00745A6F"/>
    <w:rsid w:val="00745FDA"/>
    <w:rsid w:val="00752784"/>
    <w:rsid w:val="00753791"/>
    <w:rsid w:val="0075468F"/>
    <w:rsid w:val="00756A51"/>
    <w:rsid w:val="00760B7A"/>
    <w:rsid w:val="007723F0"/>
    <w:rsid w:val="00775F4C"/>
    <w:rsid w:val="007770C9"/>
    <w:rsid w:val="00785CB8"/>
    <w:rsid w:val="0078704B"/>
    <w:rsid w:val="00787F60"/>
    <w:rsid w:val="007904CC"/>
    <w:rsid w:val="00791DEF"/>
    <w:rsid w:val="00793805"/>
    <w:rsid w:val="00793A50"/>
    <w:rsid w:val="00794A2C"/>
    <w:rsid w:val="0079592C"/>
    <w:rsid w:val="00795E42"/>
    <w:rsid w:val="007A27A8"/>
    <w:rsid w:val="007A3685"/>
    <w:rsid w:val="007A3886"/>
    <w:rsid w:val="007A3A88"/>
    <w:rsid w:val="007A5766"/>
    <w:rsid w:val="007A69DB"/>
    <w:rsid w:val="007A6BE7"/>
    <w:rsid w:val="007A72C0"/>
    <w:rsid w:val="007A7FD3"/>
    <w:rsid w:val="007B1599"/>
    <w:rsid w:val="007B25C0"/>
    <w:rsid w:val="007B688C"/>
    <w:rsid w:val="007B7D0F"/>
    <w:rsid w:val="007C0106"/>
    <w:rsid w:val="007C7002"/>
    <w:rsid w:val="007D32C4"/>
    <w:rsid w:val="007D5B9D"/>
    <w:rsid w:val="007E0871"/>
    <w:rsid w:val="007E19F5"/>
    <w:rsid w:val="007E1F74"/>
    <w:rsid w:val="007E22DE"/>
    <w:rsid w:val="007E31FD"/>
    <w:rsid w:val="007E3BDE"/>
    <w:rsid w:val="007F2C88"/>
    <w:rsid w:val="007F33CC"/>
    <w:rsid w:val="007F3A8B"/>
    <w:rsid w:val="007F5153"/>
    <w:rsid w:val="007F5C63"/>
    <w:rsid w:val="007F5E90"/>
    <w:rsid w:val="00800326"/>
    <w:rsid w:val="0080189B"/>
    <w:rsid w:val="0080341E"/>
    <w:rsid w:val="00805D9E"/>
    <w:rsid w:val="0081029A"/>
    <w:rsid w:val="0081130C"/>
    <w:rsid w:val="008127A4"/>
    <w:rsid w:val="0081500E"/>
    <w:rsid w:val="00815FC1"/>
    <w:rsid w:val="008203DF"/>
    <w:rsid w:val="00824ABB"/>
    <w:rsid w:val="008266AF"/>
    <w:rsid w:val="00826DDC"/>
    <w:rsid w:val="008272FC"/>
    <w:rsid w:val="00830E5A"/>
    <w:rsid w:val="0083264A"/>
    <w:rsid w:val="00832AF6"/>
    <w:rsid w:val="00833143"/>
    <w:rsid w:val="00833F2F"/>
    <w:rsid w:val="0083706F"/>
    <w:rsid w:val="008418B1"/>
    <w:rsid w:val="00844C6E"/>
    <w:rsid w:val="00845764"/>
    <w:rsid w:val="00847AF4"/>
    <w:rsid w:val="00850B1C"/>
    <w:rsid w:val="00852C2B"/>
    <w:rsid w:val="00855033"/>
    <w:rsid w:val="00857A65"/>
    <w:rsid w:val="00865E9B"/>
    <w:rsid w:val="008676B8"/>
    <w:rsid w:val="00871C54"/>
    <w:rsid w:val="00874047"/>
    <w:rsid w:val="00874BDF"/>
    <w:rsid w:val="00876587"/>
    <w:rsid w:val="00876B9D"/>
    <w:rsid w:val="00882E2C"/>
    <w:rsid w:val="0088669C"/>
    <w:rsid w:val="00887368"/>
    <w:rsid w:val="008902F3"/>
    <w:rsid w:val="00893159"/>
    <w:rsid w:val="00895045"/>
    <w:rsid w:val="008952DE"/>
    <w:rsid w:val="00895913"/>
    <w:rsid w:val="0089629B"/>
    <w:rsid w:val="008A0F71"/>
    <w:rsid w:val="008A235D"/>
    <w:rsid w:val="008A2B67"/>
    <w:rsid w:val="008A409F"/>
    <w:rsid w:val="008A4702"/>
    <w:rsid w:val="008B3A5F"/>
    <w:rsid w:val="008B52B5"/>
    <w:rsid w:val="008B5B8A"/>
    <w:rsid w:val="008B718B"/>
    <w:rsid w:val="008C2D73"/>
    <w:rsid w:val="008C57E8"/>
    <w:rsid w:val="008C69CA"/>
    <w:rsid w:val="008C7525"/>
    <w:rsid w:val="008C78D2"/>
    <w:rsid w:val="008D27CA"/>
    <w:rsid w:val="008D4418"/>
    <w:rsid w:val="008D6853"/>
    <w:rsid w:val="008D7EED"/>
    <w:rsid w:val="008E1EE6"/>
    <w:rsid w:val="008E4D15"/>
    <w:rsid w:val="008E617C"/>
    <w:rsid w:val="008F18FD"/>
    <w:rsid w:val="008F3B1D"/>
    <w:rsid w:val="008F6446"/>
    <w:rsid w:val="008F6F30"/>
    <w:rsid w:val="008F75EC"/>
    <w:rsid w:val="008F7F4A"/>
    <w:rsid w:val="009001B9"/>
    <w:rsid w:val="00900405"/>
    <w:rsid w:val="00902324"/>
    <w:rsid w:val="00904EAB"/>
    <w:rsid w:val="0090535A"/>
    <w:rsid w:val="0090603C"/>
    <w:rsid w:val="00906930"/>
    <w:rsid w:val="00906E26"/>
    <w:rsid w:val="009072E4"/>
    <w:rsid w:val="00910C07"/>
    <w:rsid w:val="00913858"/>
    <w:rsid w:val="00915F06"/>
    <w:rsid w:val="00916F8C"/>
    <w:rsid w:val="009205F3"/>
    <w:rsid w:val="00921AA5"/>
    <w:rsid w:val="00922D2A"/>
    <w:rsid w:val="0092347D"/>
    <w:rsid w:val="00926374"/>
    <w:rsid w:val="009321C9"/>
    <w:rsid w:val="00933EBD"/>
    <w:rsid w:val="00935744"/>
    <w:rsid w:val="00935AFF"/>
    <w:rsid w:val="0093606D"/>
    <w:rsid w:val="00937205"/>
    <w:rsid w:val="009412D9"/>
    <w:rsid w:val="009426B7"/>
    <w:rsid w:val="009448ED"/>
    <w:rsid w:val="009449FB"/>
    <w:rsid w:val="00947152"/>
    <w:rsid w:val="009478EF"/>
    <w:rsid w:val="009517C7"/>
    <w:rsid w:val="00953275"/>
    <w:rsid w:val="009555CB"/>
    <w:rsid w:val="009573B5"/>
    <w:rsid w:val="009577C0"/>
    <w:rsid w:val="00962459"/>
    <w:rsid w:val="0096327D"/>
    <w:rsid w:val="009704BE"/>
    <w:rsid w:val="009710D8"/>
    <w:rsid w:val="00971F19"/>
    <w:rsid w:val="0097749E"/>
    <w:rsid w:val="009818B0"/>
    <w:rsid w:val="0098412F"/>
    <w:rsid w:val="009849CE"/>
    <w:rsid w:val="0099006F"/>
    <w:rsid w:val="009915E9"/>
    <w:rsid w:val="00991E8C"/>
    <w:rsid w:val="00995C9F"/>
    <w:rsid w:val="00996233"/>
    <w:rsid w:val="00996AFB"/>
    <w:rsid w:val="00996D4C"/>
    <w:rsid w:val="00996F1E"/>
    <w:rsid w:val="009A0941"/>
    <w:rsid w:val="009A441E"/>
    <w:rsid w:val="009A48F7"/>
    <w:rsid w:val="009A546C"/>
    <w:rsid w:val="009A5D97"/>
    <w:rsid w:val="009A6401"/>
    <w:rsid w:val="009B3CA7"/>
    <w:rsid w:val="009B42EA"/>
    <w:rsid w:val="009B5FA3"/>
    <w:rsid w:val="009B627F"/>
    <w:rsid w:val="009B6AD9"/>
    <w:rsid w:val="009C4013"/>
    <w:rsid w:val="009D053A"/>
    <w:rsid w:val="009D0901"/>
    <w:rsid w:val="009D2728"/>
    <w:rsid w:val="009D5095"/>
    <w:rsid w:val="009D6405"/>
    <w:rsid w:val="009D7F29"/>
    <w:rsid w:val="009E0A6D"/>
    <w:rsid w:val="009E2956"/>
    <w:rsid w:val="009E50DE"/>
    <w:rsid w:val="009E5109"/>
    <w:rsid w:val="009E69EE"/>
    <w:rsid w:val="009E6AFE"/>
    <w:rsid w:val="009F231B"/>
    <w:rsid w:val="009F3917"/>
    <w:rsid w:val="009F4F91"/>
    <w:rsid w:val="009F5A5D"/>
    <w:rsid w:val="00A021D6"/>
    <w:rsid w:val="00A0267B"/>
    <w:rsid w:val="00A04032"/>
    <w:rsid w:val="00A100AF"/>
    <w:rsid w:val="00A10CE4"/>
    <w:rsid w:val="00A126B2"/>
    <w:rsid w:val="00A130B1"/>
    <w:rsid w:val="00A13D50"/>
    <w:rsid w:val="00A142D8"/>
    <w:rsid w:val="00A1621E"/>
    <w:rsid w:val="00A237E6"/>
    <w:rsid w:val="00A25C19"/>
    <w:rsid w:val="00A25F72"/>
    <w:rsid w:val="00A274ED"/>
    <w:rsid w:val="00A3138E"/>
    <w:rsid w:val="00A34912"/>
    <w:rsid w:val="00A371F0"/>
    <w:rsid w:val="00A37370"/>
    <w:rsid w:val="00A41A0D"/>
    <w:rsid w:val="00A4466E"/>
    <w:rsid w:val="00A45E6D"/>
    <w:rsid w:val="00A467A7"/>
    <w:rsid w:val="00A46EB4"/>
    <w:rsid w:val="00A54290"/>
    <w:rsid w:val="00A5646C"/>
    <w:rsid w:val="00A60D97"/>
    <w:rsid w:val="00A61116"/>
    <w:rsid w:val="00A61E10"/>
    <w:rsid w:val="00A72141"/>
    <w:rsid w:val="00A77FA7"/>
    <w:rsid w:val="00A806F6"/>
    <w:rsid w:val="00A82565"/>
    <w:rsid w:val="00A829DE"/>
    <w:rsid w:val="00A85B9F"/>
    <w:rsid w:val="00A86C1E"/>
    <w:rsid w:val="00A9027E"/>
    <w:rsid w:val="00A959DA"/>
    <w:rsid w:val="00A9757D"/>
    <w:rsid w:val="00A9764A"/>
    <w:rsid w:val="00A97B99"/>
    <w:rsid w:val="00A97BF3"/>
    <w:rsid w:val="00AA01BF"/>
    <w:rsid w:val="00AA6DD5"/>
    <w:rsid w:val="00AB3851"/>
    <w:rsid w:val="00AB3A71"/>
    <w:rsid w:val="00AB4F00"/>
    <w:rsid w:val="00AB6669"/>
    <w:rsid w:val="00AB6F4D"/>
    <w:rsid w:val="00AC0E1A"/>
    <w:rsid w:val="00AC1814"/>
    <w:rsid w:val="00AC7885"/>
    <w:rsid w:val="00AD1886"/>
    <w:rsid w:val="00AD277B"/>
    <w:rsid w:val="00AD4415"/>
    <w:rsid w:val="00AE2849"/>
    <w:rsid w:val="00AE4775"/>
    <w:rsid w:val="00AE5F39"/>
    <w:rsid w:val="00AE5FE1"/>
    <w:rsid w:val="00AF00E3"/>
    <w:rsid w:val="00AF193C"/>
    <w:rsid w:val="00AF7188"/>
    <w:rsid w:val="00B076BA"/>
    <w:rsid w:val="00B078FA"/>
    <w:rsid w:val="00B10A3A"/>
    <w:rsid w:val="00B110C3"/>
    <w:rsid w:val="00B1269E"/>
    <w:rsid w:val="00B151D9"/>
    <w:rsid w:val="00B15321"/>
    <w:rsid w:val="00B175FC"/>
    <w:rsid w:val="00B23628"/>
    <w:rsid w:val="00B30D76"/>
    <w:rsid w:val="00B3311F"/>
    <w:rsid w:val="00B348D5"/>
    <w:rsid w:val="00B35CE2"/>
    <w:rsid w:val="00B369ED"/>
    <w:rsid w:val="00B37E02"/>
    <w:rsid w:val="00B410B5"/>
    <w:rsid w:val="00B421D0"/>
    <w:rsid w:val="00B435E1"/>
    <w:rsid w:val="00B4412D"/>
    <w:rsid w:val="00B50D9D"/>
    <w:rsid w:val="00B52CB6"/>
    <w:rsid w:val="00B530AF"/>
    <w:rsid w:val="00B53706"/>
    <w:rsid w:val="00B564D3"/>
    <w:rsid w:val="00B60495"/>
    <w:rsid w:val="00B61735"/>
    <w:rsid w:val="00B7106D"/>
    <w:rsid w:val="00B71BEB"/>
    <w:rsid w:val="00B72433"/>
    <w:rsid w:val="00B74BB8"/>
    <w:rsid w:val="00B76717"/>
    <w:rsid w:val="00B77DC5"/>
    <w:rsid w:val="00B8032A"/>
    <w:rsid w:val="00B82EA8"/>
    <w:rsid w:val="00B839E6"/>
    <w:rsid w:val="00B85D44"/>
    <w:rsid w:val="00B8611E"/>
    <w:rsid w:val="00B924A8"/>
    <w:rsid w:val="00B924BD"/>
    <w:rsid w:val="00B93CE4"/>
    <w:rsid w:val="00B95016"/>
    <w:rsid w:val="00B977CB"/>
    <w:rsid w:val="00BA0D13"/>
    <w:rsid w:val="00BA59F0"/>
    <w:rsid w:val="00BA5CFB"/>
    <w:rsid w:val="00BA618A"/>
    <w:rsid w:val="00BA6877"/>
    <w:rsid w:val="00BB15A5"/>
    <w:rsid w:val="00BB1B6F"/>
    <w:rsid w:val="00BB4955"/>
    <w:rsid w:val="00BB6704"/>
    <w:rsid w:val="00BB7E4A"/>
    <w:rsid w:val="00BB7FF4"/>
    <w:rsid w:val="00BC0DE6"/>
    <w:rsid w:val="00BC2C8B"/>
    <w:rsid w:val="00BC7124"/>
    <w:rsid w:val="00BD030D"/>
    <w:rsid w:val="00BD2029"/>
    <w:rsid w:val="00BD7835"/>
    <w:rsid w:val="00BE1726"/>
    <w:rsid w:val="00BE2E79"/>
    <w:rsid w:val="00BE776F"/>
    <w:rsid w:val="00BF161F"/>
    <w:rsid w:val="00BF468B"/>
    <w:rsid w:val="00BF4AEB"/>
    <w:rsid w:val="00BF6F80"/>
    <w:rsid w:val="00BF7CA6"/>
    <w:rsid w:val="00C00730"/>
    <w:rsid w:val="00C00B01"/>
    <w:rsid w:val="00C05C89"/>
    <w:rsid w:val="00C06F44"/>
    <w:rsid w:val="00C14EEF"/>
    <w:rsid w:val="00C1629C"/>
    <w:rsid w:val="00C1643F"/>
    <w:rsid w:val="00C215E1"/>
    <w:rsid w:val="00C216A2"/>
    <w:rsid w:val="00C2227B"/>
    <w:rsid w:val="00C22E89"/>
    <w:rsid w:val="00C24B02"/>
    <w:rsid w:val="00C269B0"/>
    <w:rsid w:val="00C26C49"/>
    <w:rsid w:val="00C302E2"/>
    <w:rsid w:val="00C34891"/>
    <w:rsid w:val="00C34D2D"/>
    <w:rsid w:val="00C35994"/>
    <w:rsid w:val="00C40201"/>
    <w:rsid w:val="00C44729"/>
    <w:rsid w:val="00C45215"/>
    <w:rsid w:val="00C452B9"/>
    <w:rsid w:val="00C51793"/>
    <w:rsid w:val="00C51C2D"/>
    <w:rsid w:val="00C53CB4"/>
    <w:rsid w:val="00C56976"/>
    <w:rsid w:val="00C575D0"/>
    <w:rsid w:val="00C606AF"/>
    <w:rsid w:val="00C6374B"/>
    <w:rsid w:val="00C715DD"/>
    <w:rsid w:val="00C71F09"/>
    <w:rsid w:val="00C72AA2"/>
    <w:rsid w:val="00C758B5"/>
    <w:rsid w:val="00C76DF8"/>
    <w:rsid w:val="00C7776D"/>
    <w:rsid w:val="00C80051"/>
    <w:rsid w:val="00C80639"/>
    <w:rsid w:val="00C81104"/>
    <w:rsid w:val="00C81318"/>
    <w:rsid w:val="00C81842"/>
    <w:rsid w:val="00C8400A"/>
    <w:rsid w:val="00C84D36"/>
    <w:rsid w:val="00C8619D"/>
    <w:rsid w:val="00C86414"/>
    <w:rsid w:val="00C870E6"/>
    <w:rsid w:val="00C9376B"/>
    <w:rsid w:val="00C97407"/>
    <w:rsid w:val="00CA5697"/>
    <w:rsid w:val="00CB5123"/>
    <w:rsid w:val="00CB5695"/>
    <w:rsid w:val="00CB587A"/>
    <w:rsid w:val="00CC0929"/>
    <w:rsid w:val="00CC197F"/>
    <w:rsid w:val="00CC1DBD"/>
    <w:rsid w:val="00CC3A8A"/>
    <w:rsid w:val="00CC4F31"/>
    <w:rsid w:val="00CC55E1"/>
    <w:rsid w:val="00CD1BC0"/>
    <w:rsid w:val="00CD38B4"/>
    <w:rsid w:val="00CD5598"/>
    <w:rsid w:val="00CD7C82"/>
    <w:rsid w:val="00CE3B5C"/>
    <w:rsid w:val="00CE6123"/>
    <w:rsid w:val="00CE7E30"/>
    <w:rsid w:val="00CF076F"/>
    <w:rsid w:val="00CF1739"/>
    <w:rsid w:val="00CF2073"/>
    <w:rsid w:val="00CF2520"/>
    <w:rsid w:val="00CF288B"/>
    <w:rsid w:val="00CF484A"/>
    <w:rsid w:val="00CF4EED"/>
    <w:rsid w:val="00D00D58"/>
    <w:rsid w:val="00D04203"/>
    <w:rsid w:val="00D06D60"/>
    <w:rsid w:val="00D07575"/>
    <w:rsid w:val="00D076BF"/>
    <w:rsid w:val="00D1063F"/>
    <w:rsid w:val="00D11D00"/>
    <w:rsid w:val="00D13318"/>
    <w:rsid w:val="00D22E95"/>
    <w:rsid w:val="00D23D78"/>
    <w:rsid w:val="00D245D4"/>
    <w:rsid w:val="00D24C1B"/>
    <w:rsid w:val="00D27361"/>
    <w:rsid w:val="00D35209"/>
    <w:rsid w:val="00D3533A"/>
    <w:rsid w:val="00D37AAA"/>
    <w:rsid w:val="00D4116F"/>
    <w:rsid w:val="00D41531"/>
    <w:rsid w:val="00D417F1"/>
    <w:rsid w:val="00D566DB"/>
    <w:rsid w:val="00D60A14"/>
    <w:rsid w:val="00D63824"/>
    <w:rsid w:val="00D677A1"/>
    <w:rsid w:val="00D71D23"/>
    <w:rsid w:val="00D72828"/>
    <w:rsid w:val="00D7480A"/>
    <w:rsid w:val="00D7714F"/>
    <w:rsid w:val="00D778BE"/>
    <w:rsid w:val="00D8252D"/>
    <w:rsid w:val="00D83792"/>
    <w:rsid w:val="00D845EB"/>
    <w:rsid w:val="00D84924"/>
    <w:rsid w:val="00D869A5"/>
    <w:rsid w:val="00D86AE3"/>
    <w:rsid w:val="00D87FF7"/>
    <w:rsid w:val="00D9080E"/>
    <w:rsid w:val="00D911B3"/>
    <w:rsid w:val="00D91EFA"/>
    <w:rsid w:val="00D92742"/>
    <w:rsid w:val="00D93BF2"/>
    <w:rsid w:val="00D94325"/>
    <w:rsid w:val="00D97E81"/>
    <w:rsid w:val="00DA37A2"/>
    <w:rsid w:val="00DB2668"/>
    <w:rsid w:val="00DB40DA"/>
    <w:rsid w:val="00DB4305"/>
    <w:rsid w:val="00DB6B5D"/>
    <w:rsid w:val="00DC06A8"/>
    <w:rsid w:val="00DC35A9"/>
    <w:rsid w:val="00DC4B6C"/>
    <w:rsid w:val="00DC591E"/>
    <w:rsid w:val="00DD18F8"/>
    <w:rsid w:val="00DD2981"/>
    <w:rsid w:val="00DD659E"/>
    <w:rsid w:val="00DE010A"/>
    <w:rsid w:val="00DE3FF1"/>
    <w:rsid w:val="00DE4445"/>
    <w:rsid w:val="00DE67E3"/>
    <w:rsid w:val="00DE77D6"/>
    <w:rsid w:val="00DF0665"/>
    <w:rsid w:val="00DF3CF1"/>
    <w:rsid w:val="00DF4468"/>
    <w:rsid w:val="00DF4CF0"/>
    <w:rsid w:val="00DF529A"/>
    <w:rsid w:val="00DF5876"/>
    <w:rsid w:val="00E00DA5"/>
    <w:rsid w:val="00E06FE5"/>
    <w:rsid w:val="00E14123"/>
    <w:rsid w:val="00E1569C"/>
    <w:rsid w:val="00E15B3D"/>
    <w:rsid w:val="00E15C71"/>
    <w:rsid w:val="00E20665"/>
    <w:rsid w:val="00E225F5"/>
    <w:rsid w:val="00E25937"/>
    <w:rsid w:val="00E3712C"/>
    <w:rsid w:val="00E37996"/>
    <w:rsid w:val="00E4202D"/>
    <w:rsid w:val="00E424AE"/>
    <w:rsid w:val="00E430BF"/>
    <w:rsid w:val="00E43BD2"/>
    <w:rsid w:val="00E50A73"/>
    <w:rsid w:val="00E50B1E"/>
    <w:rsid w:val="00E51B28"/>
    <w:rsid w:val="00E52663"/>
    <w:rsid w:val="00E53939"/>
    <w:rsid w:val="00E53C67"/>
    <w:rsid w:val="00E578A0"/>
    <w:rsid w:val="00E578C1"/>
    <w:rsid w:val="00E6232D"/>
    <w:rsid w:val="00E64ED8"/>
    <w:rsid w:val="00E65239"/>
    <w:rsid w:val="00E6586D"/>
    <w:rsid w:val="00E704B0"/>
    <w:rsid w:val="00E70C1B"/>
    <w:rsid w:val="00E71762"/>
    <w:rsid w:val="00E73834"/>
    <w:rsid w:val="00E74F82"/>
    <w:rsid w:val="00E775CD"/>
    <w:rsid w:val="00E82ABA"/>
    <w:rsid w:val="00E85F12"/>
    <w:rsid w:val="00E90612"/>
    <w:rsid w:val="00E927D9"/>
    <w:rsid w:val="00E94CEB"/>
    <w:rsid w:val="00E961A1"/>
    <w:rsid w:val="00E97A9C"/>
    <w:rsid w:val="00EA09DA"/>
    <w:rsid w:val="00EA172B"/>
    <w:rsid w:val="00EA17DF"/>
    <w:rsid w:val="00EA3396"/>
    <w:rsid w:val="00EA3F74"/>
    <w:rsid w:val="00EA4944"/>
    <w:rsid w:val="00EA763C"/>
    <w:rsid w:val="00EB0176"/>
    <w:rsid w:val="00EB16EB"/>
    <w:rsid w:val="00EB2348"/>
    <w:rsid w:val="00EB3C1E"/>
    <w:rsid w:val="00EB5BFF"/>
    <w:rsid w:val="00EB6339"/>
    <w:rsid w:val="00EB73C9"/>
    <w:rsid w:val="00EB7559"/>
    <w:rsid w:val="00EB7FC2"/>
    <w:rsid w:val="00EC15D4"/>
    <w:rsid w:val="00EC1612"/>
    <w:rsid w:val="00EC2768"/>
    <w:rsid w:val="00EC4383"/>
    <w:rsid w:val="00ED1899"/>
    <w:rsid w:val="00ED2796"/>
    <w:rsid w:val="00ED3A8C"/>
    <w:rsid w:val="00ED3A91"/>
    <w:rsid w:val="00ED60F7"/>
    <w:rsid w:val="00EE02A7"/>
    <w:rsid w:val="00EE23D5"/>
    <w:rsid w:val="00EF1C9A"/>
    <w:rsid w:val="00EF49C2"/>
    <w:rsid w:val="00EF58A8"/>
    <w:rsid w:val="00EF6ADD"/>
    <w:rsid w:val="00EF6FC9"/>
    <w:rsid w:val="00F006F8"/>
    <w:rsid w:val="00F02ABA"/>
    <w:rsid w:val="00F036A2"/>
    <w:rsid w:val="00F05B5F"/>
    <w:rsid w:val="00F11158"/>
    <w:rsid w:val="00F114AD"/>
    <w:rsid w:val="00F12E60"/>
    <w:rsid w:val="00F1368B"/>
    <w:rsid w:val="00F13B92"/>
    <w:rsid w:val="00F15830"/>
    <w:rsid w:val="00F17A95"/>
    <w:rsid w:val="00F20D60"/>
    <w:rsid w:val="00F24027"/>
    <w:rsid w:val="00F2525B"/>
    <w:rsid w:val="00F257E2"/>
    <w:rsid w:val="00F31255"/>
    <w:rsid w:val="00F321D2"/>
    <w:rsid w:val="00F33517"/>
    <w:rsid w:val="00F33D5E"/>
    <w:rsid w:val="00F34660"/>
    <w:rsid w:val="00F3621D"/>
    <w:rsid w:val="00F370A0"/>
    <w:rsid w:val="00F407F1"/>
    <w:rsid w:val="00F41C2E"/>
    <w:rsid w:val="00F42AA2"/>
    <w:rsid w:val="00F42BDA"/>
    <w:rsid w:val="00F45134"/>
    <w:rsid w:val="00F47EA2"/>
    <w:rsid w:val="00F55579"/>
    <w:rsid w:val="00F61CB5"/>
    <w:rsid w:val="00F66985"/>
    <w:rsid w:val="00F6750E"/>
    <w:rsid w:val="00F70723"/>
    <w:rsid w:val="00F721F4"/>
    <w:rsid w:val="00F73AB5"/>
    <w:rsid w:val="00F74375"/>
    <w:rsid w:val="00F74722"/>
    <w:rsid w:val="00F81921"/>
    <w:rsid w:val="00F8684D"/>
    <w:rsid w:val="00F91A52"/>
    <w:rsid w:val="00F920BD"/>
    <w:rsid w:val="00F93567"/>
    <w:rsid w:val="00F93FC6"/>
    <w:rsid w:val="00F947FC"/>
    <w:rsid w:val="00F94FDD"/>
    <w:rsid w:val="00F95A15"/>
    <w:rsid w:val="00F9675A"/>
    <w:rsid w:val="00F96F77"/>
    <w:rsid w:val="00F97A42"/>
    <w:rsid w:val="00F97DF6"/>
    <w:rsid w:val="00FA0A2E"/>
    <w:rsid w:val="00FA1AB4"/>
    <w:rsid w:val="00FA2B62"/>
    <w:rsid w:val="00FA36F1"/>
    <w:rsid w:val="00FA39EF"/>
    <w:rsid w:val="00FA54A8"/>
    <w:rsid w:val="00FA62B1"/>
    <w:rsid w:val="00FB45C5"/>
    <w:rsid w:val="00FB5A7B"/>
    <w:rsid w:val="00FB5B8A"/>
    <w:rsid w:val="00FB6855"/>
    <w:rsid w:val="00FC043A"/>
    <w:rsid w:val="00FC22C7"/>
    <w:rsid w:val="00FC3535"/>
    <w:rsid w:val="00FD0323"/>
    <w:rsid w:val="00FD18DA"/>
    <w:rsid w:val="00FD1CD2"/>
    <w:rsid w:val="00FD2D4A"/>
    <w:rsid w:val="00FD37DE"/>
    <w:rsid w:val="00FD5FDC"/>
    <w:rsid w:val="00FD6301"/>
    <w:rsid w:val="00FD68D0"/>
    <w:rsid w:val="00FE21EF"/>
    <w:rsid w:val="00FE4543"/>
    <w:rsid w:val="00FE5533"/>
    <w:rsid w:val="00FE60AA"/>
    <w:rsid w:val="00FF4A54"/>
    <w:rsid w:val="00FF5611"/>
    <w:rsid w:val="00FF5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801CFA"/>
  <w14:defaultImageDpi w14:val="300"/>
  <w15:docId w15:val="{756CE705-FA03-48B7-9A32-DB1C2565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04BE"/>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rsid w:val="009704BE"/>
    <w:pPr>
      <w:jc w:val="both"/>
    </w:pPr>
    <w:rPr>
      <w:rFonts w:ascii="Cambria" w:hAnsi="Cambria"/>
    </w:rPr>
  </w:style>
  <w:style w:type="paragraph" w:styleId="ListParagraph">
    <w:name w:val="List Paragraph"/>
    <w:basedOn w:val="Normal"/>
    <w:uiPriority w:val="34"/>
    <w:qFormat/>
    <w:rsid w:val="00EA763C"/>
    <w:pPr>
      <w:ind w:left="720"/>
      <w:contextualSpacing/>
    </w:pPr>
  </w:style>
  <w:style w:type="paragraph" w:customStyle="1" w:styleId="EndNoteBibliographyTitle">
    <w:name w:val="EndNote Bibliography Title"/>
    <w:basedOn w:val="Normal"/>
    <w:rsid w:val="004C15AC"/>
    <w:pPr>
      <w:jc w:val="center"/>
    </w:pPr>
    <w:rPr>
      <w:rFonts w:ascii="Cambria" w:hAnsi="Cambria"/>
    </w:rPr>
  </w:style>
  <w:style w:type="paragraph" w:styleId="BalloonText">
    <w:name w:val="Balloon Text"/>
    <w:basedOn w:val="Normal"/>
    <w:link w:val="BalloonTextChar"/>
    <w:uiPriority w:val="99"/>
    <w:semiHidden/>
    <w:unhideWhenUsed/>
    <w:rsid w:val="007F5C6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5C63"/>
    <w:rPr>
      <w:rFonts w:ascii="Times New Roman" w:hAnsi="Times New Roman" w:cs="Times New Roman"/>
      <w:sz w:val="18"/>
      <w:szCs w:val="18"/>
    </w:rPr>
  </w:style>
  <w:style w:type="table" w:styleId="MediumGrid2-Accent5">
    <w:name w:val="Medium Grid 2 Accent 5"/>
    <w:basedOn w:val="TableNormal"/>
    <w:uiPriority w:val="68"/>
    <w:rsid w:val="00716E21"/>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TableGrid">
    <w:name w:val="Table Grid"/>
    <w:basedOn w:val="TableNormal"/>
    <w:uiPriority w:val="59"/>
    <w:rsid w:val="00345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2073"/>
    <w:rPr>
      <w:color w:val="0000FF" w:themeColor="hyperlink"/>
      <w:u w:val="single"/>
    </w:rPr>
  </w:style>
  <w:style w:type="paragraph" w:styleId="Header">
    <w:name w:val="header"/>
    <w:basedOn w:val="Normal"/>
    <w:link w:val="HeaderChar"/>
    <w:uiPriority w:val="99"/>
    <w:unhideWhenUsed/>
    <w:rsid w:val="00DE010A"/>
    <w:pPr>
      <w:tabs>
        <w:tab w:val="center" w:pos="4320"/>
        <w:tab w:val="right" w:pos="8640"/>
      </w:tabs>
    </w:pPr>
  </w:style>
  <w:style w:type="character" w:customStyle="1" w:styleId="HeaderChar">
    <w:name w:val="Header Char"/>
    <w:basedOn w:val="DefaultParagraphFont"/>
    <w:link w:val="Header"/>
    <w:uiPriority w:val="99"/>
    <w:rsid w:val="00DE010A"/>
  </w:style>
  <w:style w:type="paragraph" w:styleId="Footer">
    <w:name w:val="footer"/>
    <w:basedOn w:val="Normal"/>
    <w:link w:val="FooterChar"/>
    <w:uiPriority w:val="99"/>
    <w:unhideWhenUsed/>
    <w:rsid w:val="00DE010A"/>
    <w:pPr>
      <w:tabs>
        <w:tab w:val="center" w:pos="4320"/>
        <w:tab w:val="right" w:pos="8640"/>
      </w:tabs>
    </w:pPr>
  </w:style>
  <w:style w:type="character" w:customStyle="1" w:styleId="FooterChar">
    <w:name w:val="Footer Char"/>
    <w:basedOn w:val="DefaultParagraphFont"/>
    <w:link w:val="Footer"/>
    <w:uiPriority w:val="99"/>
    <w:rsid w:val="00DE010A"/>
  </w:style>
  <w:style w:type="character" w:styleId="CommentReference">
    <w:name w:val="annotation reference"/>
    <w:basedOn w:val="DefaultParagraphFont"/>
    <w:uiPriority w:val="99"/>
    <w:semiHidden/>
    <w:unhideWhenUsed/>
    <w:rsid w:val="005B6AD3"/>
    <w:rPr>
      <w:sz w:val="16"/>
      <w:szCs w:val="16"/>
    </w:rPr>
  </w:style>
  <w:style w:type="paragraph" w:styleId="CommentText">
    <w:name w:val="annotation text"/>
    <w:basedOn w:val="Normal"/>
    <w:link w:val="CommentTextChar"/>
    <w:uiPriority w:val="99"/>
    <w:semiHidden/>
    <w:unhideWhenUsed/>
    <w:rsid w:val="005B6AD3"/>
    <w:rPr>
      <w:sz w:val="20"/>
      <w:szCs w:val="20"/>
    </w:rPr>
  </w:style>
  <w:style w:type="character" w:customStyle="1" w:styleId="CommentTextChar">
    <w:name w:val="Comment Text Char"/>
    <w:basedOn w:val="DefaultParagraphFont"/>
    <w:link w:val="CommentText"/>
    <w:uiPriority w:val="99"/>
    <w:semiHidden/>
    <w:rsid w:val="005B6AD3"/>
    <w:rPr>
      <w:sz w:val="20"/>
      <w:szCs w:val="20"/>
    </w:rPr>
  </w:style>
  <w:style w:type="paragraph" w:styleId="CommentSubject">
    <w:name w:val="annotation subject"/>
    <w:basedOn w:val="CommentText"/>
    <w:next w:val="CommentText"/>
    <w:link w:val="CommentSubjectChar"/>
    <w:uiPriority w:val="99"/>
    <w:semiHidden/>
    <w:unhideWhenUsed/>
    <w:rsid w:val="005B6AD3"/>
    <w:rPr>
      <w:b/>
      <w:bCs/>
    </w:rPr>
  </w:style>
  <w:style w:type="character" w:customStyle="1" w:styleId="CommentSubjectChar">
    <w:name w:val="Comment Subject Char"/>
    <w:basedOn w:val="CommentTextChar"/>
    <w:link w:val="CommentSubject"/>
    <w:uiPriority w:val="99"/>
    <w:semiHidden/>
    <w:rsid w:val="005B6AD3"/>
    <w:rPr>
      <w:b/>
      <w:bCs/>
      <w:sz w:val="20"/>
      <w:szCs w:val="20"/>
    </w:rPr>
  </w:style>
  <w:style w:type="paragraph" w:styleId="Caption">
    <w:name w:val="caption"/>
    <w:basedOn w:val="Normal"/>
    <w:next w:val="Normal"/>
    <w:uiPriority w:val="35"/>
    <w:unhideWhenUsed/>
    <w:qFormat/>
    <w:rsid w:val="00030EEA"/>
    <w:pPr>
      <w:widowControl w:val="0"/>
      <w:autoSpaceDE w:val="0"/>
      <w:autoSpaceDN w:val="0"/>
      <w:spacing w:after="200"/>
    </w:pPr>
    <w:rPr>
      <w:rFonts w:ascii="Arial" w:eastAsia="Arial" w:hAnsi="Arial" w:cs="Arial"/>
      <w:b/>
      <w:bCs/>
      <w:color w:val="4F81BD" w:themeColor="accent1"/>
      <w:sz w:val="18"/>
      <w:szCs w:val="18"/>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9352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F304D38D4EC840B543C5D5A219C64E" ma:contentTypeVersion="13" ma:contentTypeDescription="Create a new document." ma:contentTypeScope="" ma:versionID="cde8c5836670b5e1f8c6dba1a012301a">
  <xsd:schema xmlns:xsd="http://www.w3.org/2001/XMLSchema" xmlns:xs="http://www.w3.org/2001/XMLSchema" xmlns:p="http://schemas.microsoft.com/office/2006/metadata/properties" xmlns:ns3="99c2d291-211c-4dbc-80ba-0f34c6320a44" xmlns:ns4="7795ca9a-296e-49cc-94be-0a725b1a71e0" targetNamespace="http://schemas.microsoft.com/office/2006/metadata/properties" ma:root="true" ma:fieldsID="7e080cea791b53648f6154c69dd83b37" ns3:_="" ns4:_="">
    <xsd:import namespace="99c2d291-211c-4dbc-80ba-0f34c6320a44"/>
    <xsd:import namespace="7795ca9a-296e-49cc-94be-0a725b1a71e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2d291-211c-4dbc-80ba-0f34c6320a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5ca9a-296e-49cc-94be-0a725b1a71e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EB038-CA39-423F-9ECF-02E1651500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A3CC2E-55FF-401A-A2F7-42050AEB6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2d291-211c-4dbc-80ba-0f34c6320a44"/>
    <ds:schemaRef ds:uri="7795ca9a-296e-49cc-94be-0a725b1a7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896C21-181B-49F0-A8F2-89612C98BBC8}">
  <ds:schemaRefs>
    <ds:schemaRef ds:uri="http://schemas.microsoft.com/sharepoint/v3/contenttype/forms"/>
  </ds:schemaRefs>
</ds:datastoreItem>
</file>

<file path=customXml/itemProps4.xml><?xml version="1.0" encoding="utf-8"?>
<ds:datastoreItem xmlns:ds="http://schemas.openxmlformats.org/officeDocument/2006/customXml" ds:itemID="{63B09206-9F69-4792-AE5B-A04A63396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8282</Words>
  <Characters>47209</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DMI</Company>
  <LinksUpToDate>false</LinksUpToDate>
  <CharactersWithSpaces>55381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 Research Office</dc:creator>
  <cp:lastModifiedBy>Rebecca Liong</cp:lastModifiedBy>
  <cp:revision>4</cp:revision>
  <cp:lastPrinted>2020-08-31T01:03:00Z</cp:lastPrinted>
  <dcterms:created xsi:type="dcterms:W3CDTF">2020-09-28T06:45:00Z</dcterms:created>
  <dcterms:modified xsi:type="dcterms:W3CDTF">2020-09-30T01:43:00Z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0x010100ADF304D38D4EC840B543C5D5A219C64E</vt:lpwstr>
  </property>
  <property fmtid="{D5CDD505-2E9C-101B-9397-08002B2CF9AE}" pid="3" name="Mendeley Document_1">
    <vt:lpwstr>True</vt:lpwstr>
  </property>
  <property fmtid="{D5CDD505-2E9C-101B-9397-08002B2CF9AE}" pid="4" name="Mendeley Unique User Id_1">
    <vt:lpwstr>418eb511-aac1-3615-a153-9043a6ac5fb0</vt:lpwstr>
  </property>
  <property fmtid="{D5CDD505-2E9C-101B-9397-08002B2CF9AE}" pid="5" name="Mendeley Citation Style_1">
    <vt:lpwstr>https://csl.mendeley.com/styles/468914621/vancouver-CiteSuperscript</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10th edition - Harvard</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8th edition</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https://csl.mendeley.com/styles/468914621/vancouver-CiteSuperscript</vt:lpwstr>
  </property>
  <property fmtid="{D5CDD505-2E9C-101B-9397-08002B2CF9AE}" pid="25" name="Mendeley Recent Style Name 9_1">
    <vt:lpwstr>Vancouver - R L</vt:lpwstr>
  </property>
</Properties>
</file>