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BA68D" w14:textId="5138A116" w:rsidR="005B6985" w:rsidRPr="00864641" w:rsidRDefault="000C6303" w:rsidP="005B6985">
      <w:pPr>
        <w:spacing w:line="276" w:lineRule="auto"/>
        <w:rPr>
          <w:rFonts w:ascii="Helvetica Light" w:hAnsi="Helvetica Light"/>
          <w:b/>
          <w:bCs/>
          <w:sz w:val="32"/>
          <w:szCs w:val="32"/>
          <w:lang w:val="en-US"/>
        </w:rPr>
      </w:pPr>
      <w:r>
        <w:rPr>
          <w:rFonts w:ascii="Helvetica Light" w:hAnsi="Helvetica Light"/>
          <w:b/>
          <w:bCs/>
          <w:sz w:val="32"/>
          <w:szCs w:val="32"/>
          <w:lang w:val="en-US"/>
        </w:rPr>
        <w:t xml:space="preserve">Project </w:t>
      </w:r>
      <w:r w:rsidR="00414235">
        <w:rPr>
          <w:rFonts w:ascii="Helvetica Light" w:hAnsi="Helvetica Light"/>
          <w:b/>
          <w:bCs/>
          <w:sz w:val="32"/>
          <w:szCs w:val="32"/>
          <w:lang w:val="en-US"/>
        </w:rPr>
        <w:t>Protocol</w:t>
      </w:r>
      <w:r w:rsidR="003171B4">
        <w:rPr>
          <w:rFonts w:ascii="Helvetica Light" w:hAnsi="Helvetica Light"/>
          <w:b/>
          <w:bCs/>
          <w:sz w:val="32"/>
          <w:szCs w:val="32"/>
          <w:lang w:val="en-US"/>
        </w:rPr>
        <w:t xml:space="preserve"> </w:t>
      </w:r>
    </w:p>
    <w:p w14:paraId="5E517E24" w14:textId="77777777" w:rsidR="005B6985" w:rsidRPr="008B4764" w:rsidRDefault="005B6985" w:rsidP="005B6985">
      <w:pPr>
        <w:spacing w:line="276" w:lineRule="auto"/>
        <w:rPr>
          <w:b/>
          <w:bCs/>
          <w:sz w:val="10"/>
          <w:szCs w:val="10"/>
          <w:lang w:val="en-US"/>
        </w:rPr>
      </w:pPr>
    </w:p>
    <w:p w14:paraId="617C2C3B" w14:textId="17BA7BE5" w:rsidR="005B6985" w:rsidRPr="005B6985" w:rsidRDefault="005B6985" w:rsidP="005B6985">
      <w:pPr>
        <w:spacing w:line="276" w:lineRule="auto"/>
        <w:rPr>
          <w:b/>
          <w:bCs/>
          <w:sz w:val="22"/>
          <w:szCs w:val="22"/>
          <w:lang w:val="en-US"/>
        </w:rPr>
      </w:pPr>
      <w:r w:rsidRPr="005B6985">
        <w:rPr>
          <w:b/>
          <w:bCs/>
          <w:sz w:val="22"/>
          <w:szCs w:val="22"/>
          <w:u w:val="single"/>
          <w:lang w:val="en-US"/>
        </w:rPr>
        <w:t>Project Title</w:t>
      </w:r>
    </w:p>
    <w:p w14:paraId="7F57136A" w14:textId="0E1AF66B" w:rsidR="00EF55EF" w:rsidRDefault="00414235" w:rsidP="005B6985">
      <w:pPr>
        <w:spacing w:line="276" w:lineRule="auto"/>
        <w:rPr>
          <w:sz w:val="22"/>
          <w:szCs w:val="22"/>
          <w:lang w:val="en-US"/>
        </w:rPr>
      </w:pPr>
      <w:r w:rsidRPr="00414235">
        <w:rPr>
          <w:sz w:val="22"/>
          <w:szCs w:val="22"/>
          <w:lang w:val="en-US"/>
        </w:rPr>
        <w:t xml:space="preserve">Comparison of the </w:t>
      </w:r>
      <w:r w:rsidR="00A7688B">
        <w:rPr>
          <w:sz w:val="22"/>
          <w:szCs w:val="22"/>
          <w:lang w:val="en-US"/>
        </w:rPr>
        <w:t xml:space="preserve">efficacy and safety </w:t>
      </w:r>
      <w:r w:rsidRPr="00414235">
        <w:rPr>
          <w:sz w:val="22"/>
          <w:szCs w:val="22"/>
          <w:lang w:val="en-US"/>
        </w:rPr>
        <w:t xml:space="preserve">of </w:t>
      </w:r>
      <w:r w:rsidR="00A7688B">
        <w:rPr>
          <w:sz w:val="22"/>
          <w:szCs w:val="22"/>
          <w:lang w:val="en-US"/>
        </w:rPr>
        <w:t xml:space="preserve">steroid-impregnated </w:t>
      </w:r>
      <w:r w:rsidRPr="00414235">
        <w:rPr>
          <w:sz w:val="22"/>
          <w:szCs w:val="22"/>
          <w:lang w:val="en-US"/>
        </w:rPr>
        <w:t>self-crosslinked hyaluronic acid (</w:t>
      </w:r>
      <w:proofErr w:type="spellStart"/>
      <w:r w:rsidRPr="00414235">
        <w:rPr>
          <w:sz w:val="22"/>
          <w:szCs w:val="22"/>
          <w:lang w:val="en-US"/>
        </w:rPr>
        <w:t>PureRegen</w:t>
      </w:r>
      <w:proofErr w:type="spellEnd"/>
      <w:r>
        <w:rPr>
          <w:sz w:val="22"/>
          <w:szCs w:val="22"/>
          <w:lang w:val="en-US"/>
        </w:rPr>
        <w:t>®</w:t>
      </w:r>
      <w:r w:rsidRPr="00414235">
        <w:rPr>
          <w:sz w:val="22"/>
          <w:szCs w:val="22"/>
          <w:lang w:val="en-US"/>
        </w:rPr>
        <w:t>)</w:t>
      </w:r>
      <w:r w:rsidR="00A7688B">
        <w:rPr>
          <w:sz w:val="22"/>
          <w:szCs w:val="22"/>
          <w:lang w:val="en-US"/>
        </w:rPr>
        <w:t xml:space="preserve"> and</w:t>
      </w:r>
      <w:r w:rsidRPr="00414235">
        <w:rPr>
          <w:sz w:val="22"/>
          <w:szCs w:val="22"/>
          <w:lang w:val="en-US"/>
        </w:rPr>
        <w:t xml:space="preserve"> </w:t>
      </w:r>
      <w:r w:rsidR="00A7688B">
        <w:rPr>
          <w:sz w:val="22"/>
          <w:szCs w:val="22"/>
          <w:lang w:val="en-US"/>
        </w:rPr>
        <w:t xml:space="preserve">steroid-impregnated </w:t>
      </w:r>
      <w:r w:rsidRPr="00414235">
        <w:rPr>
          <w:sz w:val="22"/>
          <w:szCs w:val="22"/>
          <w:lang w:val="en-US"/>
        </w:rPr>
        <w:t>bioabsorbable polyurethane foam</w:t>
      </w:r>
      <w:r>
        <w:rPr>
          <w:sz w:val="22"/>
          <w:szCs w:val="22"/>
          <w:lang w:val="en-US"/>
        </w:rPr>
        <w:t xml:space="preserve"> (</w:t>
      </w:r>
      <w:proofErr w:type="spellStart"/>
      <w:r>
        <w:rPr>
          <w:sz w:val="22"/>
          <w:szCs w:val="22"/>
          <w:lang w:val="en-US"/>
        </w:rPr>
        <w:t>Nasopore</w:t>
      </w:r>
      <w:proofErr w:type="spellEnd"/>
      <w:r>
        <w:rPr>
          <w:sz w:val="22"/>
          <w:szCs w:val="22"/>
          <w:lang w:val="en-US"/>
        </w:rPr>
        <w:t>®)</w:t>
      </w:r>
      <w:r w:rsidRPr="00414235">
        <w:rPr>
          <w:sz w:val="22"/>
          <w:szCs w:val="22"/>
          <w:lang w:val="en-US"/>
        </w:rPr>
        <w:t xml:space="preserve"> in adults undergoing functional </w:t>
      </w:r>
      <w:r>
        <w:rPr>
          <w:sz w:val="22"/>
          <w:szCs w:val="22"/>
          <w:lang w:val="en-US"/>
        </w:rPr>
        <w:t>endoscopic sinus surgery (FESS) for chronic rhinosinusitis (CRS):</w:t>
      </w:r>
      <w:r w:rsidRPr="00414235">
        <w:rPr>
          <w:sz w:val="22"/>
          <w:szCs w:val="22"/>
          <w:lang w:val="en-US"/>
        </w:rPr>
        <w:t xml:space="preserve"> a randomised controlled trial.</w:t>
      </w:r>
    </w:p>
    <w:p w14:paraId="30F1B1BA" w14:textId="433C01EA" w:rsidR="00414235" w:rsidRDefault="00414235" w:rsidP="005B6985">
      <w:pPr>
        <w:spacing w:line="276" w:lineRule="auto"/>
        <w:rPr>
          <w:sz w:val="22"/>
          <w:szCs w:val="22"/>
          <w:lang w:val="en-US"/>
        </w:rPr>
      </w:pPr>
    </w:p>
    <w:p w14:paraId="5C4BDF41" w14:textId="7737547D" w:rsidR="00414235" w:rsidRPr="00414235" w:rsidRDefault="00414235" w:rsidP="005B6985">
      <w:pPr>
        <w:spacing w:line="276" w:lineRule="auto"/>
        <w:rPr>
          <w:b/>
          <w:bCs/>
          <w:sz w:val="22"/>
          <w:szCs w:val="22"/>
          <w:u w:val="single"/>
          <w:lang w:val="en-US"/>
        </w:rPr>
      </w:pPr>
      <w:r w:rsidRPr="00414235">
        <w:rPr>
          <w:b/>
          <w:bCs/>
          <w:sz w:val="22"/>
          <w:szCs w:val="22"/>
          <w:u w:val="single"/>
          <w:lang w:val="en-US"/>
        </w:rPr>
        <w:t>Trial Registration</w:t>
      </w:r>
      <w:r w:rsidR="00F36481">
        <w:rPr>
          <w:b/>
          <w:bCs/>
          <w:sz w:val="22"/>
          <w:szCs w:val="22"/>
          <w:u w:val="single"/>
          <w:lang w:val="en-US"/>
        </w:rPr>
        <w:t>/Ethics Approval</w:t>
      </w:r>
    </w:p>
    <w:p w14:paraId="7EE4F58B" w14:textId="5939A44C" w:rsidR="00414235" w:rsidRDefault="00414235" w:rsidP="005B6985">
      <w:pPr>
        <w:spacing w:line="276" w:lineRule="auto"/>
        <w:rPr>
          <w:sz w:val="22"/>
          <w:szCs w:val="22"/>
          <w:lang w:val="en-US"/>
        </w:rPr>
      </w:pPr>
      <w:r>
        <w:rPr>
          <w:sz w:val="22"/>
          <w:szCs w:val="22"/>
          <w:lang w:val="en-US"/>
        </w:rPr>
        <w:t>This randomised controlled trial will be registered with the Australia and New Zealand Clinical Trials Registry (ANZCTR)</w:t>
      </w:r>
      <w:r w:rsidR="00F36481">
        <w:rPr>
          <w:sz w:val="22"/>
          <w:szCs w:val="22"/>
          <w:lang w:val="en-US"/>
        </w:rPr>
        <w:t xml:space="preserve"> and ethics approval will be sought from the Hunter New England HREC. </w:t>
      </w:r>
    </w:p>
    <w:p w14:paraId="724A4D80" w14:textId="77777777" w:rsidR="00414235" w:rsidRPr="005B6985" w:rsidRDefault="00414235" w:rsidP="005B6985">
      <w:pPr>
        <w:spacing w:line="276" w:lineRule="auto"/>
        <w:rPr>
          <w:b/>
          <w:bCs/>
          <w:i/>
          <w:iCs/>
          <w:sz w:val="22"/>
          <w:szCs w:val="22"/>
          <w:lang w:val="en-US"/>
        </w:rPr>
      </w:pPr>
    </w:p>
    <w:p w14:paraId="309CB12C" w14:textId="1C177E86" w:rsidR="00EF55EF" w:rsidRPr="008B4764" w:rsidRDefault="00414235" w:rsidP="005B6985">
      <w:pPr>
        <w:spacing w:line="276" w:lineRule="auto"/>
        <w:rPr>
          <w:b/>
          <w:bCs/>
          <w:sz w:val="22"/>
          <w:szCs w:val="22"/>
          <w:lang w:val="en-US"/>
        </w:rPr>
      </w:pPr>
      <w:r>
        <w:rPr>
          <w:b/>
          <w:bCs/>
          <w:sz w:val="22"/>
          <w:szCs w:val="22"/>
          <w:u w:val="single"/>
          <w:lang w:val="en-US"/>
        </w:rPr>
        <w:t>Protocol Version</w:t>
      </w:r>
      <w:r w:rsidR="008B4764">
        <w:rPr>
          <w:b/>
          <w:bCs/>
          <w:sz w:val="22"/>
          <w:szCs w:val="22"/>
          <w:lang w:val="en-US"/>
        </w:rPr>
        <w:t xml:space="preserve"> – </w:t>
      </w:r>
      <w:r>
        <w:rPr>
          <w:sz w:val="22"/>
          <w:szCs w:val="22"/>
          <w:lang w:val="en-US"/>
        </w:rPr>
        <w:t xml:space="preserve">Version </w:t>
      </w:r>
      <w:r w:rsidR="00A376D9">
        <w:rPr>
          <w:sz w:val="22"/>
          <w:szCs w:val="22"/>
          <w:lang w:val="en-US"/>
        </w:rPr>
        <w:t>3</w:t>
      </w:r>
      <w:r>
        <w:rPr>
          <w:sz w:val="22"/>
          <w:szCs w:val="22"/>
          <w:lang w:val="en-US"/>
        </w:rPr>
        <w:t xml:space="preserve">, </w:t>
      </w:r>
      <w:r w:rsidR="00A376D9">
        <w:rPr>
          <w:sz w:val="22"/>
          <w:szCs w:val="22"/>
          <w:lang w:val="en-US"/>
        </w:rPr>
        <w:t>12</w:t>
      </w:r>
      <w:r w:rsidRPr="00414235">
        <w:rPr>
          <w:sz w:val="22"/>
          <w:szCs w:val="22"/>
          <w:vertAlign w:val="superscript"/>
          <w:lang w:val="en-US"/>
        </w:rPr>
        <w:t>th</w:t>
      </w:r>
      <w:r>
        <w:rPr>
          <w:sz w:val="22"/>
          <w:szCs w:val="22"/>
          <w:lang w:val="en-US"/>
        </w:rPr>
        <w:t xml:space="preserve"> </w:t>
      </w:r>
      <w:r w:rsidR="00A376D9">
        <w:rPr>
          <w:sz w:val="22"/>
          <w:szCs w:val="22"/>
          <w:lang w:val="en-US"/>
        </w:rPr>
        <w:t>January</w:t>
      </w:r>
      <w:r>
        <w:rPr>
          <w:sz w:val="22"/>
          <w:szCs w:val="22"/>
          <w:lang w:val="en-US"/>
        </w:rPr>
        <w:t xml:space="preserve"> 202</w:t>
      </w:r>
      <w:r w:rsidR="00A376D9">
        <w:rPr>
          <w:sz w:val="22"/>
          <w:szCs w:val="22"/>
          <w:lang w:val="en-US"/>
        </w:rPr>
        <w:t>1</w:t>
      </w:r>
      <w:r w:rsidR="000C6303">
        <w:rPr>
          <w:sz w:val="22"/>
          <w:szCs w:val="22"/>
          <w:lang w:val="en-US"/>
        </w:rPr>
        <w:t xml:space="preserve">, in accordance with </w:t>
      </w:r>
      <w:r w:rsidR="00F36481">
        <w:rPr>
          <w:sz w:val="22"/>
          <w:szCs w:val="22"/>
          <w:lang w:val="en-US"/>
        </w:rPr>
        <w:t xml:space="preserve">the </w:t>
      </w:r>
      <w:r w:rsidR="000C6303">
        <w:rPr>
          <w:sz w:val="22"/>
          <w:szCs w:val="22"/>
          <w:lang w:val="en-US"/>
        </w:rPr>
        <w:t xml:space="preserve">SPIRIT </w:t>
      </w:r>
      <w:r w:rsidR="00F36481">
        <w:rPr>
          <w:sz w:val="22"/>
          <w:szCs w:val="22"/>
          <w:lang w:val="en-US"/>
        </w:rPr>
        <w:t>statement</w:t>
      </w:r>
    </w:p>
    <w:p w14:paraId="4C477E39" w14:textId="68C3D8DE" w:rsidR="0069171D" w:rsidRPr="008B4764" w:rsidRDefault="00414235" w:rsidP="005B6985">
      <w:pPr>
        <w:spacing w:line="276" w:lineRule="auto"/>
        <w:rPr>
          <w:b/>
          <w:bCs/>
          <w:sz w:val="22"/>
          <w:szCs w:val="22"/>
          <w:u w:val="single"/>
          <w:lang w:val="en-US"/>
        </w:rPr>
      </w:pPr>
      <w:r>
        <w:rPr>
          <w:b/>
          <w:bCs/>
          <w:sz w:val="22"/>
          <w:szCs w:val="22"/>
          <w:u w:val="single"/>
          <w:lang w:val="en-US"/>
        </w:rPr>
        <w:t>Funding</w:t>
      </w:r>
      <w:r w:rsidR="008B4764" w:rsidRPr="008B4764">
        <w:rPr>
          <w:b/>
          <w:bCs/>
          <w:sz w:val="22"/>
          <w:szCs w:val="22"/>
          <w:lang w:val="en-US"/>
        </w:rPr>
        <w:t xml:space="preserve"> </w:t>
      </w:r>
      <w:r w:rsidR="008B4764">
        <w:rPr>
          <w:b/>
          <w:bCs/>
          <w:sz w:val="22"/>
          <w:szCs w:val="22"/>
          <w:lang w:val="en-US"/>
        </w:rPr>
        <w:t>–</w:t>
      </w:r>
      <w:r w:rsidR="008B4764" w:rsidRPr="008B4764">
        <w:rPr>
          <w:b/>
          <w:bCs/>
          <w:sz w:val="22"/>
          <w:szCs w:val="22"/>
          <w:lang w:val="en-US"/>
        </w:rPr>
        <w:t xml:space="preserve"> </w:t>
      </w:r>
      <w:r>
        <w:rPr>
          <w:sz w:val="22"/>
          <w:szCs w:val="22"/>
          <w:lang w:val="en-US"/>
        </w:rPr>
        <w:t>Nil external source of funding obtained for this study</w:t>
      </w:r>
    </w:p>
    <w:p w14:paraId="62F662C1" w14:textId="21377A7B" w:rsidR="00414235" w:rsidRDefault="00414235" w:rsidP="005B6985">
      <w:pPr>
        <w:spacing w:line="276" w:lineRule="auto"/>
        <w:rPr>
          <w:sz w:val="22"/>
          <w:szCs w:val="22"/>
          <w:lang w:val="en-US"/>
        </w:rPr>
      </w:pPr>
    </w:p>
    <w:p w14:paraId="40DFC6C3" w14:textId="730063B4" w:rsidR="000C6303" w:rsidRDefault="00414235" w:rsidP="005B6985">
      <w:pPr>
        <w:spacing w:line="276" w:lineRule="auto"/>
        <w:rPr>
          <w:b/>
          <w:bCs/>
          <w:sz w:val="22"/>
          <w:szCs w:val="22"/>
          <w:u w:val="single"/>
          <w:lang w:val="en-US"/>
        </w:rPr>
      </w:pPr>
      <w:r>
        <w:rPr>
          <w:b/>
          <w:bCs/>
          <w:sz w:val="22"/>
          <w:szCs w:val="22"/>
          <w:u w:val="single"/>
          <w:lang w:val="en-US"/>
        </w:rPr>
        <w:t>Investigators</w:t>
      </w:r>
    </w:p>
    <w:p w14:paraId="15E10B58" w14:textId="546B6222" w:rsidR="000C6303" w:rsidRPr="00986B1E" w:rsidRDefault="00414235" w:rsidP="005B6985">
      <w:pPr>
        <w:spacing w:line="276" w:lineRule="auto"/>
        <w:rPr>
          <w:b/>
          <w:bCs/>
          <w:sz w:val="22"/>
          <w:szCs w:val="22"/>
          <w:lang w:val="en-US"/>
        </w:rPr>
      </w:pPr>
      <w:r w:rsidRPr="000C6303">
        <w:rPr>
          <w:b/>
          <w:bCs/>
          <w:sz w:val="22"/>
          <w:szCs w:val="22"/>
          <w:lang w:val="en-US"/>
        </w:rPr>
        <w:t>Dr Michael Zhang</w:t>
      </w:r>
      <w:r w:rsidR="000C6303" w:rsidRPr="000C6303">
        <w:rPr>
          <w:b/>
          <w:bCs/>
          <w:sz w:val="22"/>
          <w:szCs w:val="22"/>
          <w:lang w:val="en-US"/>
        </w:rPr>
        <w:t xml:space="preserve"> </w:t>
      </w:r>
      <w:r w:rsidR="000C6303" w:rsidRPr="00986B1E">
        <w:rPr>
          <w:b/>
          <w:bCs/>
          <w:sz w:val="22"/>
          <w:szCs w:val="22"/>
          <w:lang w:val="en-US"/>
        </w:rPr>
        <w:t>MBBS (Hons)</w:t>
      </w:r>
      <w:r w:rsidR="00986B1E">
        <w:rPr>
          <w:b/>
          <w:bCs/>
          <w:sz w:val="22"/>
          <w:szCs w:val="22"/>
          <w:lang w:val="en-US"/>
        </w:rPr>
        <w:t xml:space="preserve"> </w:t>
      </w:r>
      <w:r w:rsidR="00986B1E" w:rsidRPr="00986B1E">
        <w:rPr>
          <w:sz w:val="22"/>
          <w:szCs w:val="22"/>
          <w:lang w:val="en-US"/>
        </w:rPr>
        <w:t xml:space="preserve">– </w:t>
      </w:r>
      <w:r w:rsidR="000C6303" w:rsidRPr="00986B1E">
        <w:rPr>
          <w:i/>
          <w:iCs/>
          <w:sz w:val="22"/>
          <w:szCs w:val="22"/>
          <w:lang w:val="en-US"/>
        </w:rPr>
        <w:t>Co</w:t>
      </w:r>
      <w:r w:rsidR="000C6303" w:rsidRPr="000C6303">
        <w:rPr>
          <w:i/>
          <w:iCs/>
          <w:sz w:val="22"/>
          <w:szCs w:val="22"/>
          <w:lang w:val="en-US"/>
        </w:rPr>
        <w:t>-ordinating Principal Investigator</w:t>
      </w:r>
    </w:p>
    <w:p w14:paraId="21759009" w14:textId="51CF8BA0" w:rsidR="000C6303" w:rsidRDefault="00986B1E" w:rsidP="005B6985">
      <w:pPr>
        <w:spacing w:line="276" w:lineRule="auto"/>
        <w:rPr>
          <w:sz w:val="22"/>
          <w:szCs w:val="22"/>
          <w:lang w:val="en-US"/>
        </w:rPr>
      </w:pPr>
      <w:r>
        <w:rPr>
          <w:sz w:val="22"/>
          <w:szCs w:val="22"/>
          <w:lang w:val="en-US"/>
        </w:rPr>
        <w:t xml:space="preserve">Unaccredited </w:t>
      </w:r>
      <w:r w:rsidR="000C6303">
        <w:rPr>
          <w:sz w:val="22"/>
          <w:szCs w:val="22"/>
          <w:lang w:val="en-US"/>
        </w:rPr>
        <w:t>Otolaryngology, Head and Neck Surgery Registrar</w:t>
      </w:r>
      <w:r>
        <w:rPr>
          <w:sz w:val="22"/>
          <w:szCs w:val="22"/>
          <w:lang w:val="en-US"/>
        </w:rPr>
        <w:t>/Trainee</w:t>
      </w:r>
    </w:p>
    <w:p w14:paraId="7842BE43" w14:textId="121D8656" w:rsidR="000C6303" w:rsidRDefault="000C6303" w:rsidP="005B6985">
      <w:pPr>
        <w:spacing w:line="276" w:lineRule="auto"/>
        <w:rPr>
          <w:sz w:val="22"/>
          <w:szCs w:val="22"/>
          <w:lang w:val="en-US"/>
        </w:rPr>
      </w:pPr>
      <w:r>
        <w:rPr>
          <w:sz w:val="22"/>
          <w:szCs w:val="22"/>
          <w:lang w:val="en-US"/>
        </w:rPr>
        <w:t>Gosford Hospital – NSW Health Central Coast Local Health District</w:t>
      </w:r>
    </w:p>
    <w:p w14:paraId="11B74432" w14:textId="5A9A7827" w:rsidR="000C6303" w:rsidRDefault="000C6303" w:rsidP="005B6985">
      <w:pPr>
        <w:spacing w:line="276" w:lineRule="auto"/>
        <w:rPr>
          <w:sz w:val="22"/>
          <w:szCs w:val="22"/>
          <w:lang w:val="en-US"/>
        </w:rPr>
      </w:pPr>
      <w:r>
        <w:rPr>
          <w:sz w:val="22"/>
          <w:szCs w:val="22"/>
          <w:lang w:val="en-US"/>
        </w:rPr>
        <w:t xml:space="preserve">Email: </w:t>
      </w:r>
      <w:hyperlink r:id="rId7" w:history="1">
        <w:r w:rsidRPr="00D4592C">
          <w:rPr>
            <w:rStyle w:val="Hyperlink"/>
            <w:sz w:val="22"/>
            <w:szCs w:val="22"/>
            <w:lang w:val="en-US"/>
          </w:rPr>
          <w:t>michael.zhang@outlook.com.au</w:t>
        </w:r>
      </w:hyperlink>
      <w:r>
        <w:rPr>
          <w:sz w:val="22"/>
          <w:szCs w:val="22"/>
          <w:lang w:val="en-US"/>
        </w:rPr>
        <w:t xml:space="preserve"> </w:t>
      </w:r>
    </w:p>
    <w:p w14:paraId="26D306A0" w14:textId="63D90D1D" w:rsidR="000C6303" w:rsidRDefault="000C6303" w:rsidP="005B6985">
      <w:pPr>
        <w:spacing w:line="276" w:lineRule="auto"/>
        <w:rPr>
          <w:sz w:val="22"/>
          <w:szCs w:val="22"/>
          <w:lang w:val="en-US"/>
        </w:rPr>
      </w:pPr>
    </w:p>
    <w:p w14:paraId="0CE967BB" w14:textId="77777777" w:rsidR="005C6CE3" w:rsidRDefault="000C6303" w:rsidP="005B6985">
      <w:pPr>
        <w:spacing w:line="276" w:lineRule="auto"/>
        <w:rPr>
          <w:i/>
          <w:iCs/>
          <w:sz w:val="22"/>
          <w:szCs w:val="22"/>
          <w:lang w:val="en-US"/>
        </w:rPr>
      </w:pPr>
      <w:r>
        <w:rPr>
          <w:b/>
          <w:bCs/>
          <w:sz w:val="22"/>
          <w:szCs w:val="22"/>
          <w:lang w:val="en-US"/>
        </w:rPr>
        <w:t xml:space="preserve">Professor Ian </w:t>
      </w:r>
      <w:proofErr w:type="spellStart"/>
      <w:r>
        <w:rPr>
          <w:b/>
          <w:bCs/>
          <w:sz w:val="22"/>
          <w:szCs w:val="22"/>
          <w:lang w:val="en-US"/>
        </w:rPr>
        <w:t>Incoll</w:t>
      </w:r>
      <w:proofErr w:type="spellEnd"/>
      <w:r w:rsidR="007160C7">
        <w:rPr>
          <w:b/>
          <w:bCs/>
          <w:sz w:val="22"/>
          <w:szCs w:val="22"/>
          <w:lang w:val="en-US"/>
        </w:rPr>
        <w:t xml:space="preserve"> </w:t>
      </w:r>
      <w:r w:rsidR="007160C7" w:rsidRPr="00986B1E">
        <w:rPr>
          <w:b/>
          <w:bCs/>
          <w:sz w:val="22"/>
          <w:szCs w:val="22"/>
          <w:lang w:val="en-US"/>
        </w:rPr>
        <w:t xml:space="preserve">FRACS </w:t>
      </w:r>
      <w:proofErr w:type="spellStart"/>
      <w:r w:rsidR="007160C7" w:rsidRPr="00986B1E">
        <w:rPr>
          <w:b/>
          <w:bCs/>
          <w:sz w:val="22"/>
          <w:szCs w:val="22"/>
          <w:lang w:val="en-US"/>
        </w:rPr>
        <w:t>MSurgicalEd</w:t>
      </w:r>
      <w:proofErr w:type="spellEnd"/>
      <w:r w:rsidR="007160C7" w:rsidRPr="00986B1E">
        <w:rPr>
          <w:b/>
          <w:bCs/>
          <w:sz w:val="22"/>
          <w:szCs w:val="22"/>
          <w:lang w:val="en-US"/>
        </w:rPr>
        <w:t xml:space="preserve"> MBBS</w:t>
      </w:r>
      <w:r w:rsidR="00986B1E">
        <w:rPr>
          <w:b/>
          <w:bCs/>
          <w:i/>
          <w:iCs/>
          <w:sz w:val="22"/>
          <w:szCs w:val="22"/>
          <w:lang w:val="en-US"/>
        </w:rPr>
        <w:t xml:space="preserve"> </w:t>
      </w:r>
      <w:r w:rsidR="00986B1E" w:rsidRPr="00986B1E">
        <w:rPr>
          <w:i/>
          <w:iCs/>
          <w:sz w:val="22"/>
          <w:szCs w:val="22"/>
          <w:lang w:val="en-US"/>
        </w:rPr>
        <w:t>–</w:t>
      </w:r>
      <w:r w:rsidR="00986B1E">
        <w:rPr>
          <w:b/>
          <w:bCs/>
          <w:i/>
          <w:iCs/>
          <w:sz w:val="22"/>
          <w:szCs w:val="22"/>
          <w:lang w:val="en-US"/>
        </w:rPr>
        <w:t xml:space="preserve"> </w:t>
      </w:r>
      <w:r>
        <w:rPr>
          <w:i/>
          <w:iCs/>
          <w:sz w:val="22"/>
          <w:szCs w:val="22"/>
          <w:lang w:val="en-US"/>
        </w:rPr>
        <w:t>Principal Supervisor, Investigato</w:t>
      </w:r>
      <w:r w:rsidR="00986B1E">
        <w:rPr>
          <w:i/>
          <w:iCs/>
          <w:sz w:val="22"/>
          <w:szCs w:val="22"/>
          <w:lang w:val="en-US"/>
        </w:rPr>
        <w:t>r</w:t>
      </w:r>
    </w:p>
    <w:p w14:paraId="04849CB3" w14:textId="713D3929" w:rsidR="000C6303" w:rsidRPr="00986B1E" w:rsidRDefault="000C6303" w:rsidP="005B6985">
      <w:pPr>
        <w:spacing w:line="276" w:lineRule="auto"/>
        <w:rPr>
          <w:i/>
          <w:iCs/>
          <w:sz w:val="22"/>
          <w:szCs w:val="22"/>
          <w:lang w:val="en-US"/>
        </w:rPr>
      </w:pPr>
      <w:r w:rsidRPr="00986B1E">
        <w:rPr>
          <w:sz w:val="22"/>
          <w:szCs w:val="22"/>
          <w:lang w:val="en-US"/>
        </w:rPr>
        <w:t>Conjoint Professor</w:t>
      </w:r>
      <w:r w:rsidR="00986B1E">
        <w:rPr>
          <w:i/>
          <w:iCs/>
          <w:sz w:val="22"/>
          <w:szCs w:val="22"/>
          <w:lang w:val="en-US"/>
        </w:rPr>
        <w:t xml:space="preserve"> – </w:t>
      </w:r>
      <w:r>
        <w:rPr>
          <w:sz w:val="22"/>
          <w:szCs w:val="22"/>
          <w:lang w:val="en-US"/>
        </w:rPr>
        <w:t>University of Newcastle</w:t>
      </w:r>
    </w:p>
    <w:p w14:paraId="0F2DF57A" w14:textId="712F05C9" w:rsidR="000C6303" w:rsidRDefault="000C6303" w:rsidP="005B6985">
      <w:pPr>
        <w:spacing w:line="276" w:lineRule="auto"/>
        <w:rPr>
          <w:b/>
          <w:bCs/>
          <w:sz w:val="22"/>
          <w:szCs w:val="22"/>
          <w:lang w:val="en-US"/>
        </w:rPr>
      </w:pPr>
    </w:p>
    <w:p w14:paraId="2EC63BC2" w14:textId="54C6DDFE" w:rsidR="000C6303" w:rsidRPr="00986B1E" w:rsidRDefault="000C6303" w:rsidP="005B6985">
      <w:pPr>
        <w:spacing w:line="276" w:lineRule="auto"/>
        <w:rPr>
          <w:b/>
          <w:bCs/>
          <w:sz w:val="22"/>
          <w:szCs w:val="22"/>
          <w:lang w:val="en-US"/>
        </w:rPr>
      </w:pPr>
      <w:r>
        <w:rPr>
          <w:b/>
          <w:bCs/>
          <w:sz w:val="22"/>
          <w:szCs w:val="22"/>
          <w:lang w:val="en-US"/>
        </w:rPr>
        <w:t xml:space="preserve">Dr </w:t>
      </w:r>
      <w:proofErr w:type="spellStart"/>
      <w:r>
        <w:rPr>
          <w:b/>
          <w:bCs/>
          <w:sz w:val="22"/>
          <w:szCs w:val="22"/>
          <w:lang w:val="en-US"/>
        </w:rPr>
        <w:t>Shashinder</w:t>
      </w:r>
      <w:proofErr w:type="spellEnd"/>
      <w:r>
        <w:rPr>
          <w:b/>
          <w:bCs/>
          <w:sz w:val="22"/>
          <w:szCs w:val="22"/>
          <w:lang w:val="en-US"/>
        </w:rPr>
        <w:t xml:space="preserve"> Singh</w:t>
      </w:r>
      <w:r w:rsidR="007160C7">
        <w:rPr>
          <w:b/>
          <w:bCs/>
          <w:sz w:val="22"/>
          <w:szCs w:val="22"/>
          <w:lang w:val="en-US"/>
        </w:rPr>
        <w:t xml:space="preserve"> </w:t>
      </w:r>
      <w:r w:rsidR="007160C7" w:rsidRPr="00986B1E">
        <w:rPr>
          <w:b/>
          <w:bCs/>
          <w:sz w:val="22"/>
          <w:szCs w:val="22"/>
          <w:lang w:val="en-US"/>
        </w:rPr>
        <w:t>FRACS MS (ORL-HNS) MBB</w:t>
      </w:r>
      <w:r w:rsidR="00986B1E" w:rsidRPr="00986B1E">
        <w:rPr>
          <w:b/>
          <w:bCs/>
          <w:sz w:val="22"/>
          <w:szCs w:val="22"/>
          <w:lang w:val="en-US"/>
        </w:rPr>
        <w:t xml:space="preserve">S </w:t>
      </w:r>
      <w:r w:rsidR="00986B1E" w:rsidRPr="00986B1E">
        <w:rPr>
          <w:sz w:val="22"/>
          <w:szCs w:val="22"/>
          <w:lang w:val="en-US"/>
        </w:rPr>
        <w:t xml:space="preserve">– </w:t>
      </w:r>
      <w:r w:rsidRPr="000C6303">
        <w:rPr>
          <w:i/>
          <w:iCs/>
          <w:sz w:val="22"/>
          <w:szCs w:val="22"/>
          <w:lang w:val="en-US"/>
        </w:rPr>
        <w:t>Supervisor</w:t>
      </w:r>
      <w:r>
        <w:rPr>
          <w:i/>
          <w:iCs/>
          <w:sz w:val="22"/>
          <w:szCs w:val="22"/>
          <w:lang w:val="en-US"/>
        </w:rPr>
        <w:t>, Investigator</w:t>
      </w:r>
    </w:p>
    <w:p w14:paraId="48FC9634" w14:textId="7C10DC34" w:rsidR="000C6303" w:rsidRDefault="000C6303" w:rsidP="005B6985">
      <w:pPr>
        <w:spacing w:line="276" w:lineRule="auto"/>
        <w:rPr>
          <w:sz w:val="22"/>
          <w:szCs w:val="22"/>
          <w:lang w:val="en-US"/>
        </w:rPr>
      </w:pPr>
      <w:r>
        <w:rPr>
          <w:sz w:val="22"/>
          <w:szCs w:val="22"/>
          <w:lang w:val="en-US"/>
        </w:rPr>
        <w:t>Head of Otolaryngology, Head and Neck Surgery</w:t>
      </w:r>
    </w:p>
    <w:p w14:paraId="1C8BCBFB" w14:textId="77777777" w:rsidR="000C6303" w:rsidRDefault="000C6303" w:rsidP="000C6303">
      <w:pPr>
        <w:spacing w:line="276" w:lineRule="auto"/>
        <w:rPr>
          <w:sz w:val="22"/>
          <w:szCs w:val="22"/>
          <w:lang w:val="en-US"/>
        </w:rPr>
      </w:pPr>
      <w:r>
        <w:rPr>
          <w:sz w:val="22"/>
          <w:szCs w:val="22"/>
          <w:lang w:val="en-US"/>
        </w:rPr>
        <w:t>Gosford Hospital – NSW Health Central Coast Local Health District</w:t>
      </w:r>
    </w:p>
    <w:p w14:paraId="722BAE75" w14:textId="77777777" w:rsidR="000C6303" w:rsidRDefault="000C6303" w:rsidP="005B6985">
      <w:pPr>
        <w:spacing w:line="276" w:lineRule="auto"/>
        <w:rPr>
          <w:b/>
          <w:bCs/>
          <w:sz w:val="22"/>
          <w:szCs w:val="22"/>
          <w:lang w:val="en-US"/>
        </w:rPr>
      </w:pPr>
    </w:p>
    <w:p w14:paraId="1605BEF8" w14:textId="6C3F3C1A" w:rsidR="000C6303" w:rsidRPr="00986B1E" w:rsidRDefault="000C6303" w:rsidP="000C6303">
      <w:pPr>
        <w:spacing w:line="276" w:lineRule="auto"/>
        <w:rPr>
          <w:b/>
          <w:bCs/>
          <w:sz w:val="22"/>
          <w:szCs w:val="22"/>
          <w:lang w:val="en-US"/>
        </w:rPr>
      </w:pPr>
      <w:r>
        <w:rPr>
          <w:b/>
          <w:bCs/>
          <w:sz w:val="22"/>
          <w:szCs w:val="22"/>
          <w:lang w:val="en-US"/>
        </w:rPr>
        <w:t>Dr Neil Thomson</w:t>
      </w:r>
      <w:r w:rsidR="007160C7">
        <w:rPr>
          <w:b/>
          <w:bCs/>
          <w:sz w:val="22"/>
          <w:szCs w:val="22"/>
          <w:lang w:val="en-US"/>
        </w:rPr>
        <w:t xml:space="preserve"> FRACS</w:t>
      </w:r>
      <w:r w:rsidR="00986B1E">
        <w:rPr>
          <w:b/>
          <w:bCs/>
          <w:sz w:val="22"/>
          <w:szCs w:val="22"/>
          <w:lang w:val="en-US"/>
        </w:rPr>
        <w:t xml:space="preserve"> </w:t>
      </w:r>
      <w:r w:rsidR="00986B1E" w:rsidRPr="00986B1E">
        <w:rPr>
          <w:sz w:val="22"/>
          <w:szCs w:val="22"/>
          <w:lang w:val="en-US"/>
        </w:rPr>
        <w:t>–</w:t>
      </w:r>
      <w:r w:rsidR="00986B1E">
        <w:rPr>
          <w:b/>
          <w:bCs/>
          <w:sz w:val="22"/>
          <w:szCs w:val="22"/>
          <w:lang w:val="en-US"/>
        </w:rPr>
        <w:t xml:space="preserve"> </w:t>
      </w:r>
      <w:r w:rsidRPr="000C6303">
        <w:rPr>
          <w:i/>
          <w:iCs/>
          <w:sz w:val="22"/>
          <w:szCs w:val="22"/>
          <w:lang w:val="en-US"/>
        </w:rPr>
        <w:t>Supervisor</w:t>
      </w:r>
      <w:r>
        <w:rPr>
          <w:i/>
          <w:iCs/>
          <w:sz w:val="22"/>
          <w:szCs w:val="22"/>
          <w:lang w:val="en-US"/>
        </w:rPr>
        <w:t>, Investigator</w:t>
      </w:r>
    </w:p>
    <w:p w14:paraId="757BE238" w14:textId="51190521" w:rsidR="000C6303" w:rsidRDefault="000C6303" w:rsidP="000C6303">
      <w:pPr>
        <w:spacing w:line="276" w:lineRule="auto"/>
        <w:rPr>
          <w:sz w:val="22"/>
          <w:szCs w:val="22"/>
          <w:lang w:val="en-US"/>
        </w:rPr>
      </w:pPr>
      <w:r>
        <w:rPr>
          <w:sz w:val="22"/>
          <w:szCs w:val="22"/>
          <w:lang w:val="en-US"/>
        </w:rPr>
        <w:t>Consultant Otolaryngologist, Head and Neck Surgeon</w:t>
      </w:r>
    </w:p>
    <w:p w14:paraId="2CA26C0A" w14:textId="77777777" w:rsidR="000C6303" w:rsidRDefault="000C6303" w:rsidP="000C6303">
      <w:pPr>
        <w:spacing w:line="276" w:lineRule="auto"/>
        <w:rPr>
          <w:sz w:val="22"/>
          <w:szCs w:val="22"/>
          <w:lang w:val="en-US"/>
        </w:rPr>
      </w:pPr>
      <w:r>
        <w:rPr>
          <w:sz w:val="22"/>
          <w:szCs w:val="22"/>
          <w:lang w:val="en-US"/>
        </w:rPr>
        <w:t>Gosford Hospital – NSW Health Central Coast Local Health District</w:t>
      </w:r>
    </w:p>
    <w:p w14:paraId="57C7727A" w14:textId="197F98FA" w:rsidR="000C6303" w:rsidRDefault="000C6303" w:rsidP="005B6985">
      <w:pPr>
        <w:spacing w:line="276" w:lineRule="auto"/>
        <w:rPr>
          <w:b/>
          <w:bCs/>
          <w:sz w:val="22"/>
          <w:szCs w:val="22"/>
          <w:lang w:val="en-US"/>
        </w:rPr>
      </w:pPr>
    </w:p>
    <w:p w14:paraId="721BB990" w14:textId="49965533" w:rsidR="000C6303" w:rsidRPr="00986B1E" w:rsidRDefault="000C6303" w:rsidP="000C6303">
      <w:pPr>
        <w:spacing w:line="276" w:lineRule="auto"/>
        <w:rPr>
          <w:b/>
          <w:bCs/>
          <w:sz w:val="22"/>
          <w:szCs w:val="22"/>
          <w:lang w:val="en-US"/>
        </w:rPr>
      </w:pPr>
      <w:r>
        <w:rPr>
          <w:b/>
          <w:bCs/>
          <w:sz w:val="22"/>
          <w:szCs w:val="22"/>
          <w:lang w:val="en-US"/>
        </w:rPr>
        <w:t>Associate Professor Amanda Dawson</w:t>
      </w:r>
      <w:r w:rsidR="00FA0CEC">
        <w:rPr>
          <w:b/>
          <w:bCs/>
          <w:sz w:val="22"/>
          <w:szCs w:val="22"/>
          <w:lang w:val="en-US"/>
        </w:rPr>
        <w:t xml:space="preserve"> FRACS MS </w:t>
      </w:r>
      <w:proofErr w:type="spellStart"/>
      <w:r w:rsidR="00FA0CEC">
        <w:rPr>
          <w:b/>
          <w:bCs/>
          <w:sz w:val="22"/>
          <w:szCs w:val="22"/>
          <w:lang w:val="en-US"/>
        </w:rPr>
        <w:t>MMed</w:t>
      </w:r>
      <w:proofErr w:type="spellEnd"/>
      <w:r w:rsidR="00FA0CEC">
        <w:rPr>
          <w:b/>
          <w:bCs/>
          <w:sz w:val="22"/>
          <w:szCs w:val="22"/>
          <w:lang w:val="en-US"/>
        </w:rPr>
        <w:t xml:space="preserve"> MBBS</w:t>
      </w:r>
      <w:r w:rsidR="00986B1E">
        <w:rPr>
          <w:b/>
          <w:bCs/>
          <w:sz w:val="22"/>
          <w:szCs w:val="22"/>
          <w:lang w:val="en-US"/>
        </w:rPr>
        <w:t xml:space="preserve"> </w:t>
      </w:r>
      <w:r w:rsidR="00986B1E" w:rsidRPr="00986B1E">
        <w:rPr>
          <w:sz w:val="22"/>
          <w:szCs w:val="22"/>
          <w:lang w:val="en-US"/>
        </w:rPr>
        <w:t xml:space="preserve">– </w:t>
      </w:r>
      <w:r w:rsidRPr="000C6303">
        <w:rPr>
          <w:i/>
          <w:iCs/>
          <w:sz w:val="22"/>
          <w:szCs w:val="22"/>
          <w:lang w:val="en-US"/>
        </w:rPr>
        <w:t>Supervisor</w:t>
      </w:r>
      <w:r>
        <w:rPr>
          <w:i/>
          <w:iCs/>
          <w:sz w:val="22"/>
          <w:szCs w:val="22"/>
          <w:lang w:val="en-US"/>
        </w:rPr>
        <w:t>, Associate Investigator</w:t>
      </w:r>
    </w:p>
    <w:p w14:paraId="0333BA2C" w14:textId="21008E6E" w:rsidR="000C6303" w:rsidRPr="000C6303" w:rsidRDefault="00FA0CEC" w:rsidP="005B6985">
      <w:pPr>
        <w:spacing w:line="276" w:lineRule="auto"/>
        <w:rPr>
          <w:sz w:val="22"/>
          <w:szCs w:val="22"/>
          <w:lang w:val="en-US"/>
        </w:rPr>
      </w:pPr>
      <w:r>
        <w:rPr>
          <w:sz w:val="22"/>
          <w:szCs w:val="22"/>
          <w:lang w:val="en-US"/>
        </w:rPr>
        <w:t>Clinical Dean</w:t>
      </w:r>
      <w:r w:rsidR="00986B1E">
        <w:rPr>
          <w:sz w:val="22"/>
          <w:szCs w:val="22"/>
          <w:lang w:val="en-US"/>
        </w:rPr>
        <w:t xml:space="preserve"> – </w:t>
      </w:r>
      <w:r>
        <w:rPr>
          <w:sz w:val="22"/>
          <w:szCs w:val="22"/>
          <w:lang w:val="en-US"/>
        </w:rPr>
        <w:t>Central Coast Medical School – University of Newcastle</w:t>
      </w:r>
    </w:p>
    <w:p w14:paraId="2FBD025A" w14:textId="223F94C4" w:rsidR="000C6303" w:rsidRDefault="000C6303" w:rsidP="005B6985">
      <w:pPr>
        <w:spacing w:line="276" w:lineRule="auto"/>
        <w:rPr>
          <w:b/>
          <w:bCs/>
          <w:sz w:val="22"/>
          <w:szCs w:val="22"/>
          <w:lang w:val="en-US"/>
        </w:rPr>
      </w:pPr>
    </w:p>
    <w:p w14:paraId="167185DF" w14:textId="42AA1E5E" w:rsidR="007160C7" w:rsidRPr="00986B1E" w:rsidRDefault="000C6303" w:rsidP="000C6303">
      <w:pPr>
        <w:spacing w:line="276" w:lineRule="auto"/>
        <w:rPr>
          <w:b/>
          <w:bCs/>
          <w:sz w:val="22"/>
          <w:szCs w:val="22"/>
          <w:lang w:val="en-US"/>
        </w:rPr>
      </w:pPr>
      <w:r>
        <w:rPr>
          <w:b/>
          <w:bCs/>
          <w:sz w:val="22"/>
          <w:szCs w:val="22"/>
          <w:lang w:val="en-US"/>
        </w:rPr>
        <w:t xml:space="preserve">Dr Tony </w:t>
      </w:r>
      <w:proofErr w:type="spellStart"/>
      <w:r>
        <w:rPr>
          <w:b/>
          <w:bCs/>
          <w:sz w:val="22"/>
          <w:szCs w:val="22"/>
          <w:lang w:val="en-US"/>
        </w:rPr>
        <w:t>Kuo</w:t>
      </w:r>
      <w:proofErr w:type="spellEnd"/>
      <w:r w:rsidR="00FA0CEC">
        <w:rPr>
          <w:b/>
          <w:bCs/>
          <w:sz w:val="22"/>
          <w:szCs w:val="22"/>
          <w:lang w:val="en-US"/>
        </w:rPr>
        <w:t xml:space="preserve"> FRACS MBChB</w:t>
      </w:r>
      <w:r w:rsidR="00986B1E">
        <w:rPr>
          <w:b/>
          <w:bCs/>
          <w:sz w:val="22"/>
          <w:szCs w:val="22"/>
          <w:lang w:val="en-US"/>
        </w:rPr>
        <w:t xml:space="preserve"> </w:t>
      </w:r>
      <w:r w:rsidR="00986B1E" w:rsidRPr="00986B1E">
        <w:rPr>
          <w:sz w:val="22"/>
          <w:szCs w:val="22"/>
          <w:lang w:val="en-US"/>
        </w:rPr>
        <w:t xml:space="preserve">– </w:t>
      </w:r>
      <w:r w:rsidR="007160C7" w:rsidRPr="00986B1E">
        <w:rPr>
          <w:i/>
          <w:iCs/>
          <w:sz w:val="22"/>
          <w:szCs w:val="22"/>
          <w:lang w:val="en-US"/>
        </w:rPr>
        <w:t>Associate Investigator</w:t>
      </w:r>
    </w:p>
    <w:p w14:paraId="0D07E311" w14:textId="77777777" w:rsidR="000C6303" w:rsidRDefault="000C6303" w:rsidP="000C6303">
      <w:pPr>
        <w:spacing w:line="276" w:lineRule="auto"/>
        <w:rPr>
          <w:sz w:val="22"/>
          <w:szCs w:val="22"/>
          <w:lang w:val="en-US"/>
        </w:rPr>
      </w:pPr>
      <w:r>
        <w:rPr>
          <w:sz w:val="22"/>
          <w:szCs w:val="22"/>
          <w:lang w:val="en-US"/>
        </w:rPr>
        <w:t>Consultant Otolaryngologist, Head and Neck Surgeon</w:t>
      </w:r>
    </w:p>
    <w:p w14:paraId="2F08C2CC" w14:textId="1FE2DE8C" w:rsidR="000C6303" w:rsidRPr="000C6303" w:rsidRDefault="000C6303" w:rsidP="005B6985">
      <w:pPr>
        <w:spacing w:line="276" w:lineRule="auto"/>
        <w:rPr>
          <w:sz w:val="22"/>
          <w:szCs w:val="22"/>
          <w:lang w:val="en-US"/>
        </w:rPr>
      </w:pPr>
      <w:r>
        <w:rPr>
          <w:sz w:val="22"/>
          <w:szCs w:val="22"/>
          <w:lang w:val="en-US"/>
        </w:rPr>
        <w:t>Gosford Hospital – NSW Health Central Coast Local Health District</w:t>
      </w:r>
    </w:p>
    <w:p w14:paraId="2BC96308" w14:textId="77777777" w:rsidR="000C6303" w:rsidRPr="00414235" w:rsidRDefault="000C6303" w:rsidP="005B6985">
      <w:pPr>
        <w:spacing w:line="276" w:lineRule="auto"/>
        <w:rPr>
          <w:sz w:val="22"/>
          <w:szCs w:val="22"/>
          <w:lang w:val="en-US"/>
        </w:rPr>
      </w:pPr>
    </w:p>
    <w:p w14:paraId="53883B76" w14:textId="15D5DC5B" w:rsidR="000C6303" w:rsidRPr="00986B1E" w:rsidRDefault="000C6303" w:rsidP="000C6303">
      <w:pPr>
        <w:spacing w:line="276" w:lineRule="auto"/>
        <w:rPr>
          <w:b/>
          <w:bCs/>
          <w:sz w:val="22"/>
          <w:szCs w:val="22"/>
          <w:lang w:val="en-US"/>
        </w:rPr>
      </w:pPr>
      <w:r>
        <w:rPr>
          <w:b/>
          <w:bCs/>
          <w:sz w:val="22"/>
          <w:szCs w:val="22"/>
          <w:lang w:val="en-US"/>
        </w:rPr>
        <w:t xml:space="preserve">Dr </w:t>
      </w:r>
      <w:proofErr w:type="spellStart"/>
      <w:r>
        <w:rPr>
          <w:b/>
          <w:bCs/>
          <w:sz w:val="22"/>
          <w:szCs w:val="22"/>
          <w:lang w:val="en-US"/>
        </w:rPr>
        <w:t>Indu</w:t>
      </w:r>
      <w:proofErr w:type="spellEnd"/>
      <w:r>
        <w:rPr>
          <w:b/>
          <w:bCs/>
          <w:sz w:val="22"/>
          <w:szCs w:val="22"/>
          <w:lang w:val="en-US"/>
        </w:rPr>
        <w:t xml:space="preserve"> Gunawardena</w:t>
      </w:r>
      <w:r w:rsidR="00FA0CEC">
        <w:rPr>
          <w:b/>
          <w:bCs/>
          <w:sz w:val="22"/>
          <w:szCs w:val="22"/>
          <w:lang w:val="en-US"/>
        </w:rPr>
        <w:t xml:space="preserve"> FRACS MBBS</w:t>
      </w:r>
      <w:r w:rsidR="00986B1E">
        <w:rPr>
          <w:b/>
          <w:bCs/>
          <w:sz w:val="22"/>
          <w:szCs w:val="22"/>
          <w:lang w:val="en-US"/>
        </w:rPr>
        <w:t xml:space="preserve"> </w:t>
      </w:r>
      <w:r w:rsidR="00986B1E" w:rsidRPr="00986B1E">
        <w:rPr>
          <w:sz w:val="22"/>
          <w:szCs w:val="22"/>
          <w:lang w:val="en-US"/>
        </w:rPr>
        <w:t xml:space="preserve">– </w:t>
      </w:r>
      <w:r>
        <w:rPr>
          <w:i/>
          <w:iCs/>
          <w:sz w:val="22"/>
          <w:szCs w:val="22"/>
          <w:lang w:val="en-US"/>
        </w:rPr>
        <w:t>Associate Investigator</w:t>
      </w:r>
    </w:p>
    <w:p w14:paraId="2C5E0F3C" w14:textId="77777777" w:rsidR="000C6303" w:rsidRDefault="000C6303" w:rsidP="000C6303">
      <w:pPr>
        <w:spacing w:line="276" w:lineRule="auto"/>
        <w:rPr>
          <w:sz w:val="22"/>
          <w:szCs w:val="22"/>
          <w:lang w:val="en-US"/>
        </w:rPr>
      </w:pPr>
      <w:r>
        <w:rPr>
          <w:sz w:val="22"/>
          <w:szCs w:val="22"/>
          <w:lang w:val="en-US"/>
        </w:rPr>
        <w:t>Consultant Otolaryngologist, Head and Neck Surgeon</w:t>
      </w:r>
    </w:p>
    <w:p w14:paraId="2F7B43D2" w14:textId="77777777" w:rsidR="000C6303" w:rsidRDefault="000C6303" w:rsidP="000C6303">
      <w:pPr>
        <w:spacing w:line="276" w:lineRule="auto"/>
        <w:rPr>
          <w:sz w:val="22"/>
          <w:szCs w:val="22"/>
          <w:lang w:val="en-US"/>
        </w:rPr>
      </w:pPr>
      <w:r>
        <w:rPr>
          <w:sz w:val="22"/>
          <w:szCs w:val="22"/>
          <w:lang w:val="en-US"/>
        </w:rPr>
        <w:t>Gosford Hospital – NSW Health Central Coast Local Health District</w:t>
      </w:r>
    </w:p>
    <w:p w14:paraId="4F51D9CE" w14:textId="77777777" w:rsidR="000C6303" w:rsidRDefault="000C6303" w:rsidP="000C6303">
      <w:pPr>
        <w:spacing w:line="276" w:lineRule="auto"/>
        <w:rPr>
          <w:b/>
          <w:bCs/>
          <w:sz w:val="22"/>
          <w:szCs w:val="22"/>
          <w:lang w:val="en-US"/>
        </w:rPr>
      </w:pPr>
    </w:p>
    <w:p w14:paraId="3D7F4BBA" w14:textId="5B143FCC" w:rsidR="000C6303" w:rsidRPr="00986B1E" w:rsidRDefault="000C6303" w:rsidP="000C6303">
      <w:pPr>
        <w:spacing w:line="276" w:lineRule="auto"/>
        <w:rPr>
          <w:b/>
          <w:bCs/>
          <w:sz w:val="22"/>
          <w:szCs w:val="22"/>
          <w:lang w:val="en-US"/>
        </w:rPr>
      </w:pPr>
      <w:r>
        <w:rPr>
          <w:b/>
          <w:bCs/>
          <w:sz w:val="22"/>
          <w:szCs w:val="22"/>
          <w:lang w:val="en-US"/>
        </w:rPr>
        <w:t xml:space="preserve">Dr Sebastian </w:t>
      </w:r>
      <w:proofErr w:type="spellStart"/>
      <w:r>
        <w:rPr>
          <w:b/>
          <w:bCs/>
          <w:sz w:val="22"/>
          <w:szCs w:val="22"/>
          <w:lang w:val="en-US"/>
        </w:rPr>
        <w:t>Ranguis</w:t>
      </w:r>
      <w:proofErr w:type="spellEnd"/>
      <w:r w:rsidR="00FA0CEC">
        <w:rPr>
          <w:b/>
          <w:bCs/>
          <w:sz w:val="22"/>
          <w:szCs w:val="22"/>
          <w:lang w:val="en-US"/>
        </w:rPr>
        <w:t xml:space="preserve"> FRACS MBBS </w:t>
      </w:r>
      <w:proofErr w:type="gramStart"/>
      <w:r w:rsidR="00FA0CEC">
        <w:rPr>
          <w:b/>
          <w:bCs/>
          <w:sz w:val="22"/>
          <w:szCs w:val="22"/>
          <w:lang w:val="en-US"/>
        </w:rPr>
        <w:t>BSc(</w:t>
      </w:r>
      <w:proofErr w:type="gramEnd"/>
      <w:r w:rsidR="00FA0CEC">
        <w:rPr>
          <w:b/>
          <w:bCs/>
          <w:sz w:val="22"/>
          <w:szCs w:val="22"/>
          <w:lang w:val="en-US"/>
        </w:rPr>
        <w:t>Med) MM(</w:t>
      </w:r>
      <w:proofErr w:type="spellStart"/>
      <w:r w:rsidR="00FA0CEC">
        <w:rPr>
          <w:b/>
          <w:bCs/>
          <w:sz w:val="22"/>
          <w:szCs w:val="22"/>
          <w:lang w:val="en-US"/>
        </w:rPr>
        <w:t>ClinEpi</w:t>
      </w:r>
      <w:proofErr w:type="spellEnd"/>
      <w:r w:rsidR="00FA0CEC">
        <w:rPr>
          <w:b/>
          <w:bCs/>
          <w:sz w:val="22"/>
          <w:szCs w:val="22"/>
          <w:lang w:val="en-US"/>
        </w:rPr>
        <w:t>) GDAAD</w:t>
      </w:r>
      <w:r w:rsidR="00986B1E">
        <w:rPr>
          <w:b/>
          <w:bCs/>
          <w:sz w:val="22"/>
          <w:szCs w:val="22"/>
          <w:lang w:val="en-US"/>
        </w:rPr>
        <w:t xml:space="preserve"> </w:t>
      </w:r>
      <w:r w:rsidR="00986B1E" w:rsidRPr="00986B1E">
        <w:rPr>
          <w:sz w:val="22"/>
          <w:szCs w:val="22"/>
          <w:lang w:val="en-US"/>
        </w:rPr>
        <w:t>–</w:t>
      </w:r>
      <w:r w:rsidR="00986B1E">
        <w:rPr>
          <w:b/>
          <w:bCs/>
          <w:sz w:val="22"/>
          <w:szCs w:val="22"/>
          <w:lang w:val="en-US"/>
        </w:rPr>
        <w:t xml:space="preserve"> </w:t>
      </w:r>
      <w:r>
        <w:rPr>
          <w:i/>
          <w:iCs/>
          <w:sz w:val="22"/>
          <w:szCs w:val="22"/>
          <w:lang w:val="en-US"/>
        </w:rPr>
        <w:t>Associate Investigator</w:t>
      </w:r>
    </w:p>
    <w:p w14:paraId="5788E5C0" w14:textId="77777777" w:rsidR="000C6303" w:rsidRDefault="000C6303" w:rsidP="000C6303">
      <w:pPr>
        <w:spacing w:line="276" w:lineRule="auto"/>
        <w:rPr>
          <w:sz w:val="22"/>
          <w:szCs w:val="22"/>
          <w:lang w:val="en-US"/>
        </w:rPr>
      </w:pPr>
      <w:r>
        <w:rPr>
          <w:sz w:val="22"/>
          <w:szCs w:val="22"/>
          <w:lang w:val="en-US"/>
        </w:rPr>
        <w:t>Consultant Otolaryngologist, Head and Neck Surgeon</w:t>
      </w:r>
    </w:p>
    <w:p w14:paraId="7FE88202" w14:textId="12AAE652" w:rsidR="004C7CB9" w:rsidRDefault="000C6303" w:rsidP="005B6985">
      <w:pPr>
        <w:spacing w:line="276" w:lineRule="auto"/>
        <w:rPr>
          <w:sz w:val="22"/>
          <w:szCs w:val="22"/>
          <w:lang w:val="en-US"/>
        </w:rPr>
      </w:pPr>
      <w:r>
        <w:rPr>
          <w:sz w:val="22"/>
          <w:szCs w:val="22"/>
          <w:lang w:val="en-US"/>
        </w:rPr>
        <w:t>Gosford Hospital – NSW Health Central Coast Local Health District</w:t>
      </w:r>
    </w:p>
    <w:p w14:paraId="415285CC" w14:textId="15E3AAD2" w:rsidR="008B4764" w:rsidRDefault="008B4764" w:rsidP="005B6985">
      <w:pPr>
        <w:spacing w:line="276" w:lineRule="auto"/>
        <w:rPr>
          <w:sz w:val="22"/>
          <w:szCs w:val="22"/>
          <w:lang w:val="en-US"/>
        </w:rPr>
      </w:pPr>
    </w:p>
    <w:p w14:paraId="72F11B4E" w14:textId="77777777" w:rsidR="008B4764" w:rsidRDefault="008B4764" w:rsidP="008B4764">
      <w:pPr>
        <w:spacing w:line="276" w:lineRule="auto"/>
        <w:rPr>
          <w:sz w:val="22"/>
          <w:szCs w:val="22"/>
          <w:lang w:val="en-US"/>
        </w:rPr>
      </w:pPr>
      <w:r w:rsidRPr="008B4764">
        <w:rPr>
          <w:b/>
          <w:bCs/>
          <w:sz w:val="22"/>
          <w:szCs w:val="22"/>
          <w:lang w:val="en-US"/>
        </w:rPr>
        <w:t xml:space="preserve">Dr James </w:t>
      </w:r>
      <w:proofErr w:type="spellStart"/>
      <w:r w:rsidRPr="008B4764">
        <w:rPr>
          <w:b/>
          <w:bCs/>
          <w:sz w:val="22"/>
          <w:szCs w:val="22"/>
          <w:lang w:val="en-US"/>
        </w:rPr>
        <w:t>Deves</w:t>
      </w:r>
      <w:proofErr w:type="spellEnd"/>
      <w:r w:rsidRPr="008B4764">
        <w:rPr>
          <w:b/>
          <w:bCs/>
          <w:sz w:val="22"/>
          <w:szCs w:val="22"/>
          <w:lang w:val="en-US"/>
        </w:rPr>
        <w:t xml:space="preserve"> FRACS </w:t>
      </w:r>
      <w:r>
        <w:rPr>
          <w:b/>
          <w:bCs/>
          <w:sz w:val="22"/>
          <w:szCs w:val="22"/>
          <w:lang w:val="en-US"/>
        </w:rPr>
        <w:t xml:space="preserve">– </w:t>
      </w:r>
      <w:r w:rsidRPr="008B4764">
        <w:rPr>
          <w:i/>
          <w:iCs/>
          <w:sz w:val="22"/>
          <w:szCs w:val="22"/>
          <w:lang w:val="en-US"/>
        </w:rPr>
        <w:t>Associate Investigator</w:t>
      </w:r>
      <w:r w:rsidRPr="008B4764">
        <w:rPr>
          <w:sz w:val="22"/>
          <w:szCs w:val="22"/>
          <w:lang w:val="en-US"/>
        </w:rPr>
        <w:t xml:space="preserve"> </w:t>
      </w:r>
    </w:p>
    <w:p w14:paraId="45110D7E" w14:textId="18759C12" w:rsidR="008B4764" w:rsidRDefault="008B4764" w:rsidP="008B4764">
      <w:pPr>
        <w:spacing w:line="276" w:lineRule="auto"/>
        <w:rPr>
          <w:sz w:val="22"/>
          <w:szCs w:val="22"/>
          <w:lang w:val="en-US"/>
        </w:rPr>
      </w:pPr>
      <w:r>
        <w:rPr>
          <w:sz w:val="22"/>
          <w:szCs w:val="22"/>
          <w:lang w:val="en-US"/>
        </w:rPr>
        <w:t>Consultant Otolaryngologist, Head and Neck Surgeon</w:t>
      </w:r>
    </w:p>
    <w:p w14:paraId="5A1CE73F" w14:textId="7E7FF09A" w:rsidR="008B4764" w:rsidRPr="008B4764" w:rsidRDefault="008B4764" w:rsidP="005B6985">
      <w:pPr>
        <w:spacing w:line="276" w:lineRule="auto"/>
        <w:rPr>
          <w:sz w:val="22"/>
          <w:szCs w:val="22"/>
          <w:lang w:val="en-US"/>
        </w:rPr>
      </w:pPr>
      <w:r>
        <w:rPr>
          <w:sz w:val="22"/>
          <w:szCs w:val="22"/>
          <w:lang w:val="en-US"/>
        </w:rPr>
        <w:t>Gosford Hospital – NSW Health Central Coast Local Health District</w:t>
      </w:r>
    </w:p>
    <w:p w14:paraId="0C5D8D25" w14:textId="7957BBE0" w:rsidR="005228DF" w:rsidRPr="00397518" w:rsidRDefault="00B50E54" w:rsidP="005228DF">
      <w:pPr>
        <w:spacing w:line="276" w:lineRule="auto"/>
        <w:rPr>
          <w:b/>
          <w:bCs/>
          <w:sz w:val="22"/>
          <w:szCs w:val="22"/>
          <w:u w:val="single"/>
        </w:rPr>
      </w:pPr>
      <w:r>
        <w:rPr>
          <w:b/>
          <w:bCs/>
          <w:sz w:val="22"/>
          <w:szCs w:val="22"/>
          <w:u w:val="single"/>
        </w:rPr>
        <w:lastRenderedPageBreak/>
        <w:t>Background/</w:t>
      </w:r>
      <w:r w:rsidR="005228DF" w:rsidRPr="00397518">
        <w:rPr>
          <w:b/>
          <w:bCs/>
          <w:sz w:val="22"/>
          <w:szCs w:val="22"/>
          <w:u w:val="single"/>
        </w:rPr>
        <w:t>Rationale</w:t>
      </w:r>
    </w:p>
    <w:p w14:paraId="7BFC7D75" w14:textId="13DA73F1" w:rsidR="005228DF" w:rsidRPr="00397518" w:rsidRDefault="005228DF" w:rsidP="005228DF">
      <w:pPr>
        <w:spacing w:line="276" w:lineRule="auto"/>
        <w:rPr>
          <w:sz w:val="22"/>
          <w:szCs w:val="22"/>
        </w:rPr>
      </w:pPr>
      <w:r w:rsidRPr="00397518">
        <w:rPr>
          <w:sz w:val="22"/>
          <w:szCs w:val="22"/>
        </w:rPr>
        <w:t>Chronic rhinosinusitis (CRS) affects between 12 and 15.2% of the adult population in the United States</w:t>
      </w:r>
      <w:r w:rsidR="00733B8C">
        <w:rPr>
          <w:sz w:val="22"/>
          <w:szCs w:val="22"/>
          <w:vertAlign w:val="superscript"/>
        </w:rPr>
        <w:t>1,2</w:t>
      </w:r>
      <w:r w:rsidRPr="00397518">
        <w:rPr>
          <w:sz w:val="22"/>
          <w:szCs w:val="22"/>
        </w:rPr>
        <w:t>, with direct and indirect costs of management exceeding twelve billion US dollars annually</w:t>
      </w:r>
      <w:r w:rsidR="00733B8C">
        <w:rPr>
          <w:sz w:val="22"/>
          <w:szCs w:val="22"/>
          <w:vertAlign w:val="superscript"/>
        </w:rPr>
        <w:t>2</w:t>
      </w:r>
      <w:r w:rsidRPr="00397518">
        <w:rPr>
          <w:sz w:val="22"/>
          <w:szCs w:val="22"/>
        </w:rPr>
        <w:t>. Common treatment regimens include systemic and/or topical corticosteroids, systemic antibiotics, various adjunct therapies, with some centres also utilising novel monoclonal antibodies directed at Interleukin-5. Nasal saline irrigation has been shown to safely, cost-effectively and reliably reduce CRS symptoms, improving patients’ quality of life, with the efficacy of intranasal or systemic corticosteroids, antimicrobial and antifungal agents dependent on the severity and aetiology of a patient’s CRS</w:t>
      </w:r>
      <w:r w:rsidR="00733B8C">
        <w:rPr>
          <w:sz w:val="22"/>
          <w:szCs w:val="22"/>
          <w:vertAlign w:val="superscript"/>
        </w:rPr>
        <w:t>3,4</w:t>
      </w:r>
      <w:r w:rsidRPr="00397518">
        <w:rPr>
          <w:sz w:val="22"/>
          <w:szCs w:val="22"/>
        </w:rPr>
        <w:t xml:space="preserve">. </w:t>
      </w:r>
      <w:r w:rsidRPr="00397518">
        <w:rPr>
          <w:sz w:val="22"/>
          <w:szCs w:val="22"/>
        </w:rPr>
        <w:br/>
      </w:r>
    </w:p>
    <w:p w14:paraId="2065FA7A" w14:textId="2269E423" w:rsidR="005228DF" w:rsidRPr="00397518" w:rsidRDefault="005228DF" w:rsidP="005228DF">
      <w:pPr>
        <w:spacing w:line="276" w:lineRule="auto"/>
        <w:rPr>
          <w:sz w:val="22"/>
          <w:szCs w:val="22"/>
        </w:rPr>
      </w:pPr>
      <w:r w:rsidRPr="00397518">
        <w:rPr>
          <w:sz w:val="22"/>
          <w:szCs w:val="22"/>
        </w:rPr>
        <w:t>In patients whose CRS is refractory to pharmacological or medical management, functional endoscopic sinus surgery (FESS) has become a well-recognised, established and safe surgical option to re-open sinus ostia, restoring the physiological drainage pathways of the sinuses and facilitating mucociliary clearance</w:t>
      </w:r>
      <w:r w:rsidR="007F022B">
        <w:rPr>
          <w:sz w:val="22"/>
          <w:szCs w:val="22"/>
          <w:vertAlign w:val="superscript"/>
        </w:rPr>
        <w:t>5</w:t>
      </w:r>
      <w:r w:rsidRPr="00397518">
        <w:rPr>
          <w:sz w:val="22"/>
          <w:szCs w:val="22"/>
        </w:rPr>
        <w:t xml:space="preserve">. This enables the thorough application of topical therapies to the </w:t>
      </w:r>
      <w:proofErr w:type="spellStart"/>
      <w:r w:rsidRPr="00397518">
        <w:rPr>
          <w:sz w:val="22"/>
          <w:szCs w:val="22"/>
        </w:rPr>
        <w:t>sinonasal</w:t>
      </w:r>
      <w:proofErr w:type="spellEnd"/>
      <w:r w:rsidRPr="00397518">
        <w:rPr>
          <w:sz w:val="22"/>
          <w:szCs w:val="22"/>
        </w:rPr>
        <w:t xml:space="preserve"> mucosa, increasing the likelihood of successful medical management</w:t>
      </w:r>
      <w:r w:rsidR="007F022B">
        <w:rPr>
          <w:sz w:val="22"/>
          <w:szCs w:val="22"/>
          <w:vertAlign w:val="superscript"/>
        </w:rPr>
        <w:t>6,7</w:t>
      </w:r>
      <w:r w:rsidRPr="00397518">
        <w:rPr>
          <w:sz w:val="22"/>
          <w:szCs w:val="22"/>
        </w:rPr>
        <w:t xml:space="preserve">. </w:t>
      </w:r>
    </w:p>
    <w:p w14:paraId="0346CF4C" w14:textId="77777777" w:rsidR="005228DF" w:rsidRPr="00397518" w:rsidRDefault="005228DF" w:rsidP="005228DF">
      <w:pPr>
        <w:spacing w:line="276" w:lineRule="auto"/>
        <w:rPr>
          <w:sz w:val="22"/>
          <w:szCs w:val="22"/>
        </w:rPr>
      </w:pPr>
    </w:p>
    <w:p w14:paraId="212BE57B" w14:textId="77777777" w:rsidR="00FA0CEC" w:rsidRDefault="005228DF" w:rsidP="005228DF">
      <w:pPr>
        <w:spacing w:line="276" w:lineRule="auto"/>
        <w:rPr>
          <w:sz w:val="22"/>
          <w:szCs w:val="22"/>
        </w:rPr>
      </w:pPr>
      <w:r w:rsidRPr="00397518">
        <w:rPr>
          <w:sz w:val="22"/>
          <w:szCs w:val="22"/>
        </w:rPr>
        <w:t>The efficacy and desirable outcomes of FESS can be reduced by postoperative inflammation, polyp recurrence and adhesions</w:t>
      </w:r>
      <w:r w:rsidR="00DB655C">
        <w:rPr>
          <w:sz w:val="22"/>
          <w:szCs w:val="22"/>
          <w:vertAlign w:val="superscript"/>
        </w:rPr>
        <w:t>8</w:t>
      </w:r>
      <w:r w:rsidRPr="00397518">
        <w:rPr>
          <w:sz w:val="22"/>
          <w:szCs w:val="22"/>
        </w:rPr>
        <w:t>. With recent literature associating polyp recurrence with increasing rates of revision FESS</w:t>
      </w:r>
      <w:r w:rsidR="00DB655C">
        <w:rPr>
          <w:sz w:val="22"/>
          <w:szCs w:val="22"/>
          <w:vertAlign w:val="superscript"/>
        </w:rPr>
        <w:t>9</w:t>
      </w:r>
      <w:r w:rsidRPr="00397518">
        <w:rPr>
          <w:sz w:val="22"/>
          <w:szCs w:val="22"/>
        </w:rPr>
        <w:t>, and published rates of polyp recurrence is as high as 70% at 18 months</w:t>
      </w:r>
      <w:r w:rsidR="00DB655C">
        <w:rPr>
          <w:sz w:val="22"/>
          <w:szCs w:val="22"/>
          <w:vertAlign w:val="superscript"/>
        </w:rPr>
        <w:t>10</w:t>
      </w:r>
      <w:r w:rsidRPr="00397518">
        <w:rPr>
          <w:sz w:val="22"/>
          <w:szCs w:val="22"/>
        </w:rPr>
        <w:t>, there has been research into cost-effective medical devices which can potentially reduce rates of revision by reducing postoperative scarring, adhesions and polyp recurrence. Topical steroids in the form of nasal sprays are well established in preventing these adverse outcomes</w:t>
      </w:r>
      <w:r w:rsidR="00DB655C">
        <w:rPr>
          <w:sz w:val="22"/>
          <w:szCs w:val="22"/>
          <w:vertAlign w:val="superscript"/>
        </w:rPr>
        <w:t>11,12</w:t>
      </w:r>
      <w:r w:rsidRPr="00397518">
        <w:rPr>
          <w:sz w:val="22"/>
          <w:szCs w:val="22"/>
        </w:rPr>
        <w:t xml:space="preserve"> and as such, there has been considerable recent investigation of intraoperative placement of bioabsorbable products to both improve and increase the longevity of the desired postoperative outcomes, thereby reducing rates of revision FESS. </w:t>
      </w:r>
    </w:p>
    <w:p w14:paraId="66ECCFEA" w14:textId="77777777" w:rsidR="00FA0CEC" w:rsidRDefault="00FA0CEC" w:rsidP="005228DF">
      <w:pPr>
        <w:spacing w:line="276" w:lineRule="auto"/>
        <w:rPr>
          <w:sz w:val="22"/>
          <w:szCs w:val="22"/>
        </w:rPr>
      </w:pPr>
    </w:p>
    <w:p w14:paraId="4E8B5A32" w14:textId="33B092DB" w:rsidR="005228DF" w:rsidRPr="00397518" w:rsidRDefault="005228DF" w:rsidP="005228DF">
      <w:pPr>
        <w:spacing w:line="276" w:lineRule="auto"/>
        <w:rPr>
          <w:sz w:val="22"/>
          <w:szCs w:val="22"/>
        </w:rPr>
      </w:pPr>
      <w:r w:rsidRPr="00397518">
        <w:rPr>
          <w:sz w:val="22"/>
          <w:szCs w:val="22"/>
        </w:rPr>
        <w:t xml:space="preserve">To our knowledge, whether </w:t>
      </w:r>
      <w:r w:rsidR="00A7688B">
        <w:rPr>
          <w:sz w:val="22"/>
          <w:szCs w:val="22"/>
        </w:rPr>
        <w:t>steroid</w:t>
      </w:r>
      <w:r w:rsidRPr="00397518">
        <w:rPr>
          <w:sz w:val="22"/>
          <w:szCs w:val="22"/>
        </w:rPr>
        <w:t>-impregnated bioabsorbable synthetic polyurethane foam (</w:t>
      </w:r>
      <w:proofErr w:type="spellStart"/>
      <w:r w:rsidRPr="00397518">
        <w:rPr>
          <w:sz w:val="22"/>
          <w:szCs w:val="22"/>
        </w:rPr>
        <w:t>Nasopore</w:t>
      </w:r>
      <w:proofErr w:type="spellEnd"/>
      <w:r w:rsidRPr="00397518">
        <w:rPr>
          <w:sz w:val="22"/>
          <w:szCs w:val="22"/>
        </w:rPr>
        <w:t>®)</w:t>
      </w:r>
      <w:r w:rsidR="003B057D">
        <w:rPr>
          <w:sz w:val="22"/>
          <w:szCs w:val="22"/>
        </w:rPr>
        <w:t xml:space="preserve"> confers any objective or subjective postoperative benefit over </w:t>
      </w:r>
      <w:r w:rsidR="00A7688B">
        <w:rPr>
          <w:sz w:val="22"/>
          <w:szCs w:val="22"/>
        </w:rPr>
        <w:t>steroid</w:t>
      </w:r>
      <w:r w:rsidR="003B057D">
        <w:rPr>
          <w:sz w:val="22"/>
          <w:szCs w:val="22"/>
        </w:rPr>
        <w:t>-impregnated self-crosslinked hyaluronic acid (</w:t>
      </w:r>
      <w:proofErr w:type="spellStart"/>
      <w:r w:rsidR="003B057D">
        <w:rPr>
          <w:sz w:val="22"/>
          <w:szCs w:val="22"/>
        </w:rPr>
        <w:t>PureRegen</w:t>
      </w:r>
      <w:proofErr w:type="spellEnd"/>
      <w:r w:rsidR="003B057D">
        <w:rPr>
          <w:sz w:val="22"/>
          <w:szCs w:val="22"/>
        </w:rPr>
        <w:t xml:space="preserve">®), and </w:t>
      </w:r>
      <w:r w:rsidR="006A56B0">
        <w:rPr>
          <w:sz w:val="22"/>
          <w:szCs w:val="22"/>
        </w:rPr>
        <w:t xml:space="preserve">the systemic and ocular safety of </w:t>
      </w:r>
      <w:r w:rsidR="00A7688B">
        <w:rPr>
          <w:sz w:val="22"/>
          <w:szCs w:val="22"/>
        </w:rPr>
        <w:t xml:space="preserve">the </w:t>
      </w:r>
      <w:r w:rsidR="006A56B0">
        <w:rPr>
          <w:sz w:val="22"/>
          <w:szCs w:val="22"/>
        </w:rPr>
        <w:t>use</w:t>
      </w:r>
      <w:r w:rsidRPr="00397518">
        <w:rPr>
          <w:sz w:val="22"/>
          <w:szCs w:val="22"/>
        </w:rPr>
        <w:t xml:space="preserve"> </w:t>
      </w:r>
      <w:r w:rsidR="00A7688B">
        <w:rPr>
          <w:sz w:val="22"/>
          <w:szCs w:val="22"/>
        </w:rPr>
        <w:t xml:space="preserve">of either </w:t>
      </w:r>
      <w:r w:rsidRPr="00397518">
        <w:rPr>
          <w:sz w:val="22"/>
          <w:szCs w:val="22"/>
        </w:rPr>
        <w:t>has not yet been studied.</w:t>
      </w:r>
    </w:p>
    <w:p w14:paraId="4DAD4C86" w14:textId="77777777" w:rsidR="005228DF" w:rsidRPr="005B6985" w:rsidRDefault="005228DF" w:rsidP="005B6985">
      <w:pPr>
        <w:spacing w:line="276" w:lineRule="auto"/>
        <w:rPr>
          <w:sz w:val="22"/>
          <w:szCs w:val="22"/>
          <w:lang w:val="en-US"/>
        </w:rPr>
      </w:pPr>
    </w:p>
    <w:p w14:paraId="7E16F023" w14:textId="7D98DBEC" w:rsidR="004C7CB9" w:rsidRPr="005B6985" w:rsidRDefault="00FA0CEC" w:rsidP="005B6985">
      <w:pPr>
        <w:spacing w:line="276" w:lineRule="auto"/>
        <w:rPr>
          <w:b/>
          <w:bCs/>
          <w:sz w:val="22"/>
          <w:szCs w:val="22"/>
          <w:u w:val="single"/>
          <w:lang w:val="en-US"/>
        </w:rPr>
      </w:pPr>
      <w:r>
        <w:rPr>
          <w:b/>
          <w:bCs/>
          <w:sz w:val="22"/>
          <w:szCs w:val="22"/>
          <w:u w:val="single"/>
          <w:lang w:val="en-US"/>
        </w:rPr>
        <w:t>Objective</w:t>
      </w:r>
    </w:p>
    <w:p w14:paraId="4FC02675" w14:textId="55FE1A2D" w:rsidR="004C7CB9" w:rsidRDefault="004C7CB9" w:rsidP="005B6985">
      <w:pPr>
        <w:spacing w:line="276" w:lineRule="auto"/>
        <w:rPr>
          <w:sz w:val="22"/>
          <w:szCs w:val="22"/>
        </w:rPr>
      </w:pPr>
      <w:r w:rsidRPr="005B6985">
        <w:rPr>
          <w:sz w:val="22"/>
          <w:szCs w:val="22"/>
          <w:lang w:val="en-US"/>
        </w:rPr>
        <w:t xml:space="preserve">To </w:t>
      </w:r>
      <w:r w:rsidRPr="005B6985">
        <w:rPr>
          <w:sz w:val="22"/>
          <w:szCs w:val="22"/>
        </w:rPr>
        <w:t xml:space="preserve">evaluate the </w:t>
      </w:r>
      <w:r w:rsidR="00A7688B">
        <w:rPr>
          <w:sz w:val="22"/>
          <w:szCs w:val="22"/>
          <w:lang w:val="en-US"/>
        </w:rPr>
        <w:t xml:space="preserve">efficacy and safety </w:t>
      </w:r>
      <w:r w:rsidR="00A7688B" w:rsidRPr="00414235">
        <w:rPr>
          <w:sz w:val="22"/>
          <w:szCs w:val="22"/>
          <w:lang w:val="en-US"/>
        </w:rPr>
        <w:t xml:space="preserve">of </w:t>
      </w:r>
      <w:r w:rsidR="00A7688B">
        <w:rPr>
          <w:sz w:val="22"/>
          <w:szCs w:val="22"/>
          <w:lang w:val="en-US"/>
        </w:rPr>
        <w:t xml:space="preserve">steroid-impregnated </w:t>
      </w:r>
      <w:r w:rsidR="00A7688B" w:rsidRPr="00414235">
        <w:rPr>
          <w:sz w:val="22"/>
          <w:szCs w:val="22"/>
          <w:lang w:val="en-US"/>
        </w:rPr>
        <w:t>self-crosslinked hyaluronic acid (</w:t>
      </w:r>
      <w:proofErr w:type="spellStart"/>
      <w:r w:rsidR="00A7688B" w:rsidRPr="00414235">
        <w:rPr>
          <w:sz w:val="22"/>
          <w:szCs w:val="22"/>
          <w:lang w:val="en-US"/>
        </w:rPr>
        <w:t>PureRegen</w:t>
      </w:r>
      <w:proofErr w:type="spellEnd"/>
      <w:r w:rsidR="00A7688B">
        <w:rPr>
          <w:sz w:val="22"/>
          <w:szCs w:val="22"/>
          <w:lang w:val="en-US"/>
        </w:rPr>
        <w:t>®</w:t>
      </w:r>
      <w:r w:rsidR="00A7688B" w:rsidRPr="00414235">
        <w:rPr>
          <w:sz w:val="22"/>
          <w:szCs w:val="22"/>
          <w:lang w:val="en-US"/>
        </w:rPr>
        <w:t>)</w:t>
      </w:r>
      <w:r w:rsidR="006C745E">
        <w:rPr>
          <w:sz w:val="22"/>
          <w:szCs w:val="22"/>
          <w:lang w:val="en-US"/>
        </w:rPr>
        <w:t xml:space="preserve"> when compared to</w:t>
      </w:r>
      <w:r w:rsidR="00A7688B" w:rsidRPr="00414235">
        <w:rPr>
          <w:sz w:val="22"/>
          <w:szCs w:val="22"/>
          <w:lang w:val="en-US"/>
        </w:rPr>
        <w:t xml:space="preserve"> </w:t>
      </w:r>
      <w:r w:rsidR="00A7688B">
        <w:rPr>
          <w:sz w:val="22"/>
          <w:szCs w:val="22"/>
          <w:lang w:val="en-US"/>
        </w:rPr>
        <w:t xml:space="preserve">steroid-impregnated </w:t>
      </w:r>
      <w:r w:rsidR="00A7688B" w:rsidRPr="00414235">
        <w:rPr>
          <w:sz w:val="22"/>
          <w:szCs w:val="22"/>
          <w:lang w:val="en-US"/>
        </w:rPr>
        <w:t>bioabsorbable polyurethane foam</w:t>
      </w:r>
      <w:r w:rsidR="00A7688B">
        <w:rPr>
          <w:sz w:val="22"/>
          <w:szCs w:val="22"/>
          <w:lang w:val="en-US"/>
        </w:rPr>
        <w:t xml:space="preserve"> (</w:t>
      </w:r>
      <w:proofErr w:type="spellStart"/>
      <w:r w:rsidR="00A7688B">
        <w:rPr>
          <w:sz w:val="22"/>
          <w:szCs w:val="22"/>
          <w:lang w:val="en-US"/>
        </w:rPr>
        <w:t>Nasopore</w:t>
      </w:r>
      <w:proofErr w:type="spellEnd"/>
      <w:r w:rsidR="00A7688B">
        <w:rPr>
          <w:sz w:val="22"/>
          <w:szCs w:val="22"/>
          <w:lang w:val="en-US"/>
        </w:rPr>
        <w:t>®)</w:t>
      </w:r>
      <w:r w:rsidR="00A7688B" w:rsidRPr="00414235">
        <w:rPr>
          <w:sz w:val="22"/>
          <w:szCs w:val="22"/>
          <w:lang w:val="en-US"/>
        </w:rPr>
        <w:t xml:space="preserve"> in adults undergoing functional </w:t>
      </w:r>
      <w:r w:rsidR="00A7688B">
        <w:rPr>
          <w:sz w:val="22"/>
          <w:szCs w:val="22"/>
          <w:lang w:val="en-US"/>
        </w:rPr>
        <w:t>endoscopic sinus surgery (FESS) for chronic rhinosinusitis.</w:t>
      </w:r>
    </w:p>
    <w:p w14:paraId="04E76C7F" w14:textId="3D3A09D2" w:rsidR="00FA0CEC" w:rsidRDefault="00FA0CEC" w:rsidP="005B6985">
      <w:pPr>
        <w:spacing w:line="276" w:lineRule="auto"/>
        <w:rPr>
          <w:sz w:val="22"/>
          <w:szCs w:val="22"/>
        </w:rPr>
      </w:pPr>
    </w:p>
    <w:p w14:paraId="76979447" w14:textId="235E2E8B" w:rsidR="00FA0CEC" w:rsidRPr="00FA0CEC" w:rsidRDefault="00FA0CEC" w:rsidP="005B6985">
      <w:pPr>
        <w:spacing w:line="276" w:lineRule="auto"/>
        <w:rPr>
          <w:b/>
          <w:bCs/>
          <w:sz w:val="22"/>
          <w:szCs w:val="22"/>
          <w:u w:val="single"/>
        </w:rPr>
      </w:pPr>
      <w:r w:rsidRPr="00FA0CEC">
        <w:rPr>
          <w:b/>
          <w:bCs/>
          <w:sz w:val="22"/>
          <w:szCs w:val="22"/>
          <w:u w:val="single"/>
        </w:rPr>
        <w:t>Trial Design</w:t>
      </w:r>
    </w:p>
    <w:p w14:paraId="12121282" w14:textId="3C4652C6" w:rsidR="005228DF" w:rsidRDefault="002D434A" w:rsidP="005B6985">
      <w:pPr>
        <w:spacing w:line="276" w:lineRule="auto"/>
        <w:rPr>
          <w:sz w:val="22"/>
          <w:szCs w:val="22"/>
        </w:rPr>
      </w:pPr>
      <w:r>
        <w:rPr>
          <w:sz w:val="22"/>
          <w:szCs w:val="22"/>
        </w:rPr>
        <w:t>Prospective, double-blinded, r</w:t>
      </w:r>
      <w:r w:rsidR="00FA0CEC">
        <w:rPr>
          <w:sz w:val="22"/>
          <w:szCs w:val="22"/>
        </w:rPr>
        <w:t>andomised</w:t>
      </w:r>
      <w:r>
        <w:rPr>
          <w:sz w:val="22"/>
          <w:szCs w:val="22"/>
        </w:rPr>
        <w:t xml:space="preserve"> controlled trial. </w:t>
      </w:r>
      <w:r w:rsidR="00B14420">
        <w:rPr>
          <w:sz w:val="22"/>
          <w:szCs w:val="22"/>
        </w:rPr>
        <w:t xml:space="preserve">1:1 allocation between intervention groups. </w:t>
      </w:r>
    </w:p>
    <w:p w14:paraId="519F0B7F" w14:textId="5D88F641" w:rsidR="00B14420" w:rsidRDefault="00B14420" w:rsidP="005B6985">
      <w:pPr>
        <w:spacing w:line="276" w:lineRule="auto"/>
        <w:rPr>
          <w:sz w:val="22"/>
          <w:szCs w:val="22"/>
        </w:rPr>
      </w:pPr>
    </w:p>
    <w:p w14:paraId="6A5C03C3" w14:textId="23B523D4" w:rsidR="00B14420" w:rsidRPr="00B14420" w:rsidRDefault="00B14420" w:rsidP="005B6985">
      <w:pPr>
        <w:spacing w:line="276" w:lineRule="auto"/>
        <w:rPr>
          <w:b/>
          <w:bCs/>
          <w:sz w:val="22"/>
          <w:szCs w:val="22"/>
          <w:u w:val="single"/>
        </w:rPr>
      </w:pPr>
      <w:r w:rsidRPr="00B14420">
        <w:rPr>
          <w:b/>
          <w:bCs/>
          <w:sz w:val="22"/>
          <w:szCs w:val="22"/>
          <w:u w:val="single"/>
        </w:rPr>
        <w:t>Study Setting</w:t>
      </w:r>
    </w:p>
    <w:p w14:paraId="772C33FD" w14:textId="017C488B" w:rsidR="00B14420" w:rsidRDefault="00B14420" w:rsidP="005B6985">
      <w:pPr>
        <w:spacing w:line="276" w:lineRule="auto"/>
        <w:rPr>
          <w:sz w:val="22"/>
          <w:szCs w:val="22"/>
        </w:rPr>
      </w:pPr>
      <w:r>
        <w:rPr>
          <w:sz w:val="22"/>
          <w:szCs w:val="22"/>
        </w:rPr>
        <w:t>Gosford Hospital, North Gosford Private Hospital</w:t>
      </w:r>
    </w:p>
    <w:p w14:paraId="17F7ABC7" w14:textId="1385BC60" w:rsidR="00F90765" w:rsidRDefault="00F90765" w:rsidP="005B6985">
      <w:pPr>
        <w:spacing w:line="276" w:lineRule="auto"/>
        <w:rPr>
          <w:sz w:val="22"/>
          <w:szCs w:val="22"/>
        </w:rPr>
      </w:pPr>
    </w:p>
    <w:p w14:paraId="4EC0E442" w14:textId="77777777" w:rsidR="00F90765" w:rsidRPr="00B50E54" w:rsidRDefault="00F90765" w:rsidP="00F90765">
      <w:pPr>
        <w:spacing w:line="276" w:lineRule="auto"/>
        <w:rPr>
          <w:b/>
          <w:bCs/>
          <w:sz w:val="21"/>
          <w:szCs w:val="21"/>
          <w:u w:val="single"/>
        </w:rPr>
      </w:pPr>
      <w:r w:rsidRPr="00B50E54">
        <w:rPr>
          <w:b/>
          <w:bCs/>
          <w:sz w:val="21"/>
          <w:szCs w:val="21"/>
          <w:u w:val="single"/>
        </w:rPr>
        <w:t>Inclusion Criteria</w:t>
      </w:r>
    </w:p>
    <w:p w14:paraId="59018989" w14:textId="77777777" w:rsidR="00F90765" w:rsidRPr="00B50E54" w:rsidRDefault="00F90765" w:rsidP="00F90765">
      <w:pPr>
        <w:spacing w:line="276" w:lineRule="auto"/>
        <w:rPr>
          <w:i/>
          <w:iCs/>
          <w:sz w:val="21"/>
          <w:szCs w:val="21"/>
          <w:u w:val="single"/>
        </w:rPr>
      </w:pPr>
      <w:r w:rsidRPr="00B50E54">
        <w:rPr>
          <w:i/>
          <w:iCs/>
          <w:sz w:val="21"/>
          <w:szCs w:val="21"/>
          <w:u w:val="single"/>
        </w:rPr>
        <w:t>Eligibility for FESS:</w:t>
      </w:r>
    </w:p>
    <w:p w14:paraId="2B062EED" w14:textId="77777777" w:rsidR="00F90765" w:rsidRPr="0091161D" w:rsidRDefault="00F90765" w:rsidP="00F90765">
      <w:pPr>
        <w:pStyle w:val="ListParagraph"/>
        <w:numPr>
          <w:ilvl w:val="0"/>
          <w:numId w:val="3"/>
        </w:numPr>
        <w:spacing w:line="276" w:lineRule="auto"/>
        <w:rPr>
          <w:sz w:val="21"/>
          <w:szCs w:val="21"/>
        </w:rPr>
      </w:pPr>
      <w:r w:rsidRPr="0091161D">
        <w:rPr>
          <w:sz w:val="21"/>
          <w:szCs w:val="21"/>
        </w:rPr>
        <w:t>CT Lund-Mackay score was ≥1, AND</w:t>
      </w:r>
    </w:p>
    <w:p w14:paraId="274311FE" w14:textId="77777777" w:rsidR="00F90765" w:rsidRPr="0091161D" w:rsidRDefault="00F90765" w:rsidP="00F90765">
      <w:pPr>
        <w:pStyle w:val="ListParagraph"/>
        <w:numPr>
          <w:ilvl w:val="0"/>
          <w:numId w:val="3"/>
        </w:numPr>
        <w:spacing w:line="276" w:lineRule="auto"/>
        <w:rPr>
          <w:sz w:val="21"/>
          <w:szCs w:val="21"/>
        </w:rPr>
      </w:pPr>
      <w:r w:rsidRPr="0091161D">
        <w:rPr>
          <w:sz w:val="21"/>
          <w:szCs w:val="21"/>
        </w:rPr>
        <w:t>Minimum trial of at least eight weeks’ duration of a topical intranasal corticosteroid, AND</w:t>
      </w:r>
    </w:p>
    <w:p w14:paraId="5315F339" w14:textId="77777777" w:rsidR="00F90765" w:rsidRPr="0091161D" w:rsidRDefault="00F90765" w:rsidP="00F90765">
      <w:pPr>
        <w:pStyle w:val="ListParagraph"/>
        <w:numPr>
          <w:ilvl w:val="0"/>
          <w:numId w:val="3"/>
        </w:numPr>
        <w:spacing w:line="276" w:lineRule="auto"/>
        <w:rPr>
          <w:sz w:val="21"/>
          <w:szCs w:val="21"/>
        </w:rPr>
      </w:pPr>
      <w:r w:rsidRPr="0091161D">
        <w:rPr>
          <w:sz w:val="21"/>
          <w:szCs w:val="21"/>
        </w:rPr>
        <w:t xml:space="preserve">Short course of systemic corticosteroid (CRSwNP) OR either a short-course of a broad spectrum / culture-directed systemic antibiotic OR the use of a prolonged course of systemic low-dose anti-inflammatory antibiotic (CRSsNP) </w:t>
      </w:r>
    </w:p>
    <w:p w14:paraId="74C7460A" w14:textId="45E5A904" w:rsidR="00F90765" w:rsidRPr="00F90765" w:rsidRDefault="00F90765" w:rsidP="00F90765">
      <w:pPr>
        <w:pStyle w:val="ListParagraph"/>
        <w:numPr>
          <w:ilvl w:val="0"/>
          <w:numId w:val="3"/>
        </w:numPr>
        <w:spacing w:line="276" w:lineRule="auto"/>
        <w:rPr>
          <w:sz w:val="21"/>
          <w:szCs w:val="21"/>
        </w:rPr>
      </w:pPr>
      <w:r w:rsidRPr="0091161D">
        <w:rPr>
          <w:sz w:val="21"/>
          <w:szCs w:val="21"/>
        </w:rPr>
        <w:t>Post-</w:t>
      </w:r>
      <w:r>
        <w:rPr>
          <w:sz w:val="21"/>
          <w:szCs w:val="21"/>
        </w:rPr>
        <w:t xml:space="preserve">medical </w:t>
      </w:r>
      <w:r w:rsidRPr="0091161D">
        <w:rPr>
          <w:sz w:val="21"/>
          <w:szCs w:val="21"/>
        </w:rPr>
        <w:t xml:space="preserve">treatment total SNOT-22 score ≥20. </w:t>
      </w:r>
    </w:p>
    <w:p w14:paraId="6EEDEB3B" w14:textId="77777777" w:rsidR="00A7688B" w:rsidRDefault="00A7688B" w:rsidP="00F90765">
      <w:pPr>
        <w:spacing w:line="276" w:lineRule="auto"/>
        <w:rPr>
          <w:i/>
          <w:iCs/>
          <w:sz w:val="21"/>
          <w:szCs w:val="21"/>
          <w:u w:val="single"/>
        </w:rPr>
      </w:pPr>
    </w:p>
    <w:p w14:paraId="1BD6DEA1" w14:textId="113D1226" w:rsidR="00F90765" w:rsidRPr="00B50E54" w:rsidRDefault="00F90765" w:rsidP="00F90765">
      <w:pPr>
        <w:spacing w:line="276" w:lineRule="auto"/>
        <w:rPr>
          <w:i/>
          <w:iCs/>
          <w:sz w:val="21"/>
          <w:szCs w:val="21"/>
          <w:u w:val="single"/>
        </w:rPr>
      </w:pPr>
      <w:r w:rsidRPr="00B50E54">
        <w:rPr>
          <w:i/>
          <w:iCs/>
          <w:sz w:val="21"/>
          <w:szCs w:val="21"/>
          <w:u w:val="single"/>
        </w:rPr>
        <w:lastRenderedPageBreak/>
        <w:t>Eligibility for study:</w:t>
      </w:r>
    </w:p>
    <w:p w14:paraId="1D2776AB" w14:textId="77777777" w:rsidR="00F90765" w:rsidRDefault="00F90765" w:rsidP="00F90765">
      <w:pPr>
        <w:pStyle w:val="ListParagraph"/>
        <w:numPr>
          <w:ilvl w:val="0"/>
          <w:numId w:val="4"/>
        </w:numPr>
        <w:spacing w:line="276" w:lineRule="auto"/>
        <w:rPr>
          <w:sz w:val="21"/>
          <w:szCs w:val="21"/>
        </w:rPr>
      </w:pPr>
      <w:r w:rsidRPr="0091161D">
        <w:rPr>
          <w:sz w:val="21"/>
          <w:szCs w:val="21"/>
        </w:rPr>
        <w:t>Over 18 years of age</w:t>
      </w:r>
    </w:p>
    <w:p w14:paraId="0E005019" w14:textId="77777777" w:rsidR="00F90765" w:rsidRPr="0091161D" w:rsidRDefault="00F90765" w:rsidP="00F90765">
      <w:pPr>
        <w:pStyle w:val="ListParagraph"/>
        <w:numPr>
          <w:ilvl w:val="0"/>
          <w:numId w:val="4"/>
        </w:numPr>
        <w:spacing w:line="276" w:lineRule="auto"/>
        <w:rPr>
          <w:sz w:val="21"/>
          <w:szCs w:val="21"/>
        </w:rPr>
      </w:pPr>
      <w:r>
        <w:rPr>
          <w:sz w:val="21"/>
          <w:szCs w:val="21"/>
        </w:rPr>
        <w:t>Able to consent</w:t>
      </w:r>
    </w:p>
    <w:p w14:paraId="3D0D779E" w14:textId="77777777" w:rsidR="00F90765" w:rsidRPr="0091161D" w:rsidRDefault="00F90765" w:rsidP="00F90765">
      <w:pPr>
        <w:pStyle w:val="ListParagraph"/>
        <w:numPr>
          <w:ilvl w:val="0"/>
          <w:numId w:val="4"/>
        </w:numPr>
        <w:spacing w:line="276" w:lineRule="auto"/>
        <w:rPr>
          <w:sz w:val="21"/>
          <w:szCs w:val="21"/>
        </w:rPr>
      </w:pPr>
      <w:r w:rsidRPr="0091161D">
        <w:rPr>
          <w:sz w:val="21"/>
          <w:szCs w:val="21"/>
        </w:rPr>
        <w:t>Refractory to above medical treatment</w:t>
      </w:r>
    </w:p>
    <w:p w14:paraId="48B2CC81" w14:textId="77777777" w:rsidR="00F90765" w:rsidRDefault="00F90765" w:rsidP="00F90765">
      <w:pPr>
        <w:spacing w:line="276" w:lineRule="auto"/>
        <w:rPr>
          <w:sz w:val="21"/>
          <w:szCs w:val="21"/>
        </w:rPr>
      </w:pPr>
    </w:p>
    <w:p w14:paraId="0E5C3E1E" w14:textId="77777777" w:rsidR="00F90765" w:rsidRPr="00B50E54" w:rsidRDefault="00F90765" w:rsidP="00F90765">
      <w:pPr>
        <w:spacing w:line="276" w:lineRule="auto"/>
        <w:rPr>
          <w:b/>
          <w:bCs/>
          <w:sz w:val="21"/>
          <w:szCs w:val="21"/>
          <w:u w:val="single"/>
        </w:rPr>
      </w:pPr>
      <w:r w:rsidRPr="00B50E54">
        <w:rPr>
          <w:b/>
          <w:bCs/>
          <w:sz w:val="21"/>
          <w:szCs w:val="21"/>
          <w:u w:val="single"/>
        </w:rPr>
        <w:t>Exclusion Criteria</w:t>
      </w:r>
    </w:p>
    <w:p w14:paraId="03C7C2CB" w14:textId="77777777" w:rsidR="00F90765" w:rsidRPr="00B50E54" w:rsidRDefault="00F90765" w:rsidP="00F90765">
      <w:pPr>
        <w:spacing w:line="276" w:lineRule="auto"/>
        <w:rPr>
          <w:i/>
          <w:iCs/>
          <w:sz w:val="21"/>
          <w:szCs w:val="21"/>
        </w:rPr>
      </w:pPr>
      <w:r w:rsidRPr="00B50E54">
        <w:rPr>
          <w:i/>
          <w:iCs/>
          <w:sz w:val="21"/>
          <w:szCs w:val="21"/>
        </w:rPr>
        <w:t>Patients with the following are ineligible for inclusion in this study:</w:t>
      </w:r>
    </w:p>
    <w:p w14:paraId="21889A93"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Immunodeficiency</w:t>
      </w:r>
    </w:p>
    <w:p w14:paraId="109EAF0E"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 xml:space="preserve">Cystic fibrosis </w:t>
      </w:r>
    </w:p>
    <w:p w14:paraId="32AE61A9" w14:textId="77777777" w:rsidR="00F90765" w:rsidRPr="00B50E54" w:rsidRDefault="00F90765" w:rsidP="00F90765">
      <w:pPr>
        <w:pStyle w:val="ListParagraph"/>
        <w:numPr>
          <w:ilvl w:val="0"/>
          <w:numId w:val="6"/>
        </w:numPr>
        <w:spacing w:line="276" w:lineRule="auto"/>
        <w:rPr>
          <w:sz w:val="21"/>
          <w:szCs w:val="21"/>
        </w:rPr>
      </w:pPr>
      <w:proofErr w:type="spellStart"/>
      <w:r w:rsidRPr="00B50E54">
        <w:rPr>
          <w:sz w:val="21"/>
          <w:szCs w:val="21"/>
        </w:rPr>
        <w:t>Rhinologic</w:t>
      </w:r>
      <w:proofErr w:type="spellEnd"/>
      <w:r w:rsidRPr="00B50E54">
        <w:rPr>
          <w:sz w:val="21"/>
          <w:szCs w:val="21"/>
        </w:rPr>
        <w:t xml:space="preserve"> granulomatous disease</w:t>
      </w:r>
    </w:p>
    <w:p w14:paraId="66E5655C"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 xml:space="preserve">Use of oral/nasal steroids </w:t>
      </w:r>
      <w:r>
        <w:rPr>
          <w:sz w:val="21"/>
          <w:szCs w:val="21"/>
        </w:rPr>
        <w:t xml:space="preserve">from 30 days preoperatively to 30 days postoperatively </w:t>
      </w:r>
    </w:p>
    <w:p w14:paraId="096E79E1"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Previous sinus surgery</w:t>
      </w:r>
    </w:p>
    <w:p w14:paraId="6E465F16"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Aspirin intolerance</w:t>
      </w:r>
    </w:p>
    <w:p w14:paraId="1CBAD198"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Asthma</w:t>
      </w:r>
    </w:p>
    <w:p w14:paraId="46077EC6" w14:textId="77777777" w:rsidR="00F90765" w:rsidRDefault="00F90765" w:rsidP="00F90765">
      <w:pPr>
        <w:pStyle w:val="ListParagraph"/>
        <w:numPr>
          <w:ilvl w:val="0"/>
          <w:numId w:val="6"/>
        </w:numPr>
        <w:spacing w:line="276" w:lineRule="auto"/>
        <w:rPr>
          <w:sz w:val="21"/>
          <w:szCs w:val="21"/>
        </w:rPr>
      </w:pPr>
      <w:r w:rsidRPr="00B50E54">
        <w:rPr>
          <w:sz w:val="21"/>
          <w:szCs w:val="21"/>
        </w:rPr>
        <w:t>Mucociliary disorder</w:t>
      </w:r>
    </w:p>
    <w:p w14:paraId="28974181"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History of Glaucoma</w:t>
      </w:r>
    </w:p>
    <w:p w14:paraId="4DB8C7F5" w14:textId="77777777" w:rsidR="00F90765" w:rsidRPr="00B50E54" w:rsidRDefault="00F90765" w:rsidP="00F90765">
      <w:pPr>
        <w:pStyle w:val="ListParagraph"/>
        <w:numPr>
          <w:ilvl w:val="0"/>
          <w:numId w:val="6"/>
        </w:numPr>
        <w:spacing w:line="276" w:lineRule="auto"/>
        <w:rPr>
          <w:sz w:val="21"/>
          <w:szCs w:val="21"/>
        </w:rPr>
      </w:pPr>
      <w:r w:rsidRPr="00B50E54">
        <w:rPr>
          <w:sz w:val="21"/>
          <w:szCs w:val="21"/>
        </w:rPr>
        <w:t>Unable to provide informed consent</w:t>
      </w:r>
    </w:p>
    <w:p w14:paraId="0C986E01" w14:textId="5F09F50E" w:rsidR="00F90765" w:rsidRDefault="00F90765" w:rsidP="005B6985">
      <w:pPr>
        <w:pStyle w:val="ListParagraph"/>
        <w:numPr>
          <w:ilvl w:val="0"/>
          <w:numId w:val="6"/>
        </w:numPr>
        <w:spacing w:line="276" w:lineRule="auto"/>
        <w:rPr>
          <w:sz w:val="21"/>
          <w:szCs w:val="21"/>
        </w:rPr>
      </w:pPr>
      <w:r w:rsidRPr="00B50E54">
        <w:rPr>
          <w:sz w:val="21"/>
          <w:szCs w:val="21"/>
        </w:rPr>
        <w:t>Unable to commit to attending follow-up appointments</w:t>
      </w:r>
    </w:p>
    <w:p w14:paraId="0B8BD688" w14:textId="45334709" w:rsidR="00F90765" w:rsidRDefault="00F90765" w:rsidP="00F90765">
      <w:pPr>
        <w:spacing w:line="276" w:lineRule="auto"/>
        <w:rPr>
          <w:sz w:val="21"/>
          <w:szCs w:val="21"/>
        </w:rPr>
      </w:pPr>
    </w:p>
    <w:p w14:paraId="5B391064" w14:textId="2B143CA7" w:rsidR="00F90765" w:rsidRPr="00F90765" w:rsidRDefault="00F90765" w:rsidP="00F90765">
      <w:pPr>
        <w:spacing w:line="276" w:lineRule="auto"/>
        <w:rPr>
          <w:sz w:val="21"/>
          <w:szCs w:val="21"/>
        </w:rPr>
      </w:pPr>
      <w:r w:rsidRPr="00F90765">
        <w:rPr>
          <w:b/>
          <w:bCs/>
          <w:sz w:val="22"/>
          <w:szCs w:val="22"/>
          <w:u w:val="single"/>
        </w:rPr>
        <w:t>Intervention</w:t>
      </w:r>
      <w:r w:rsidR="00553D95">
        <w:rPr>
          <w:b/>
          <w:bCs/>
          <w:sz w:val="22"/>
          <w:szCs w:val="22"/>
          <w:u w:val="single"/>
        </w:rPr>
        <w:t xml:space="preserve"> Groups</w:t>
      </w:r>
    </w:p>
    <w:p w14:paraId="1380E40E" w14:textId="4B7B3FAA" w:rsidR="00F90765" w:rsidRDefault="00A7688B" w:rsidP="00F90765">
      <w:pPr>
        <w:pStyle w:val="ListParagraph"/>
        <w:numPr>
          <w:ilvl w:val="0"/>
          <w:numId w:val="10"/>
        </w:numPr>
        <w:spacing w:line="276" w:lineRule="auto"/>
        <w:rPr>
          <w:sz w:val="22"/>
          <w:szCs w:val="22"/>
        </w:rPr>
      </w:pPr>
      <w:r>
        <w:rPr>
          <w:sz w:val="22"/>
          <w:szCs w:val="22"/>
        </w:rPr>
        <w:t>Steroid-i</w:t>
      </w:r>
      <w:r w:rsidR="00F90765">
        <w:rPr>
          <w:sz w:val="22"/>
          <w:szCs w:val="22"/>
        </w:rPr>
        <w:t xml:space="preserve">mpregnated </w:t>
      </w:r>
      <w:proofErr w:type="spellStart"/>
      <w:r w:rsidR="00F90765">
        <w:rPr>
          <w:sz w:val="22"/>
          <w:szCs w:val="22"/>
        </w:rPr>
        <w:t>Nasopore</w:t>
      </w:r>
      <w:proofErr w:type="spellEnd"/>
      <w:r w:rsidR="00F90765">
        <w:rPr>
          <w:sz w:val="22"/>
          <w:szCs w:val="22"/>
        </w:rPr>
        <w:t>®</w:t>
      </w:r>
      <w:r>
        <w:rPr>
          <w:sz w:val="22"/>
          <w:szCs w:val="22"/>
        </w:rPr>
        <w:t xml:space="preserve"> *</w:t>
      </w:r>
    </w:p>
    <w:p w14:paraId="447C9706" w14:textId="2D92FABD" w:rsidR="00A7688B" w:rsidRDefault="00A7688B" w:rsidP="00A376D9">
      <w:pPr>
        <w:pStyle w:val="ListParagraph"/>
        <w:numPr>
          <w:ilvl w:val="0"/>
          <w:numId w:val="10"/>
        </w:numPr>
        <w:spacing w:line="276" w:lineRule="auto"/>
        <w:rPr>
          <w:sz w:val="22"/>
          <w:szCs w:val="22"/>
        </w:rPr>
      </w:pPr>
      <w:r>
        <w:rPr>
          <w:sz w:val="22"/>
          <w:szCs w:val="22"/>
        </w:rPr>
        <w:t xml:space="preserve">Steroid-impregnated </w:t>
      </w:r>
      <w:proofErr w:type="spellStart"/>
      <w:r>
        <w:rPr>
          <w:sz w:val="22"/>
          <w:szCs w:val="22"/>
        </w:rPr>
        <w:t>PureRegen</w:t>
      </w:r>
      <w:proofErr w:type="spellEnd"/>
      <w:r>
        <w:rPr>
          <w:sz w:val="22"/>
          <w:szCs w:val="22"/>
        </w:rPr>
        <w:t>® *</w:t>
      </w:r>
    </w:p>
    <w:p w14:paraId="7AA9E219" w14:textId="77777777" w:rsidR="00A376D9" w:rsidRDefault="00A376D9" w:rsidP="00A376D9">
      <w:pPr>
        <w:pStyle w:val="ListParagraph"/>
        <w:spacing w:line="276" w:lineRule="auto"/>
        <w:rPr>
          <w:sz w:val="22"/>
          <w:szCs w:val="22"/>
        </w:rPr>
      </w:pPr>
    </w:p>
    <w:p w14:paraId="7E0ADAD0" w14:textId="304A3EAE" w:rsidR="00A7688B" w:rsidRPr="00A7688B" w:rsidRDefault="00A7688B" w:rsidP="00A376D9">
      <w:pPr>
        <w:spacing w:line="276" w:lineRule="auto"/>
        <w:rPr>
          <w:i/>
          <w:iCs/>
          <w:sz w:val="22"/>
          <w:szCs w:val="22"/>
        </w:rPr>
      </w:pPr>
      <w:r w:rsidRPr="00A7688B">
        <w:rPr>
          <w:i/>
          <w:iCs/>
          <w:sz w:val="22"/>
          <w:szCs w:val="22"/>
        </w:rPr>
        <w:t xml:space="preserve">* - </w:t>
      </w:r>
      <w:r>
        <w:rPr>
          <w:i/>
          <w:iCs/>
          <w:sz w:val="22"/>
          <w:szCs w:val="22"/>
        </w:rPr>
        <w:t>S</w:t>
      </w:r>
      <w:r w:rsidRPr="00A7688B">
        <w:rPr>
          <w:i/>
          <w:iCs/>
          <w:sz w:val="22"/>
          <w:szCs w:val="22"/>
        </w:rPr>
        <w:t xml:space="preserve">teroid </w:t>
      </w:r>
      <w:r w:rsidR="00A376D9">
        <w:rPr>
          <w:i/>
          <w:iCs/>
          <w:sz w:val="22"/>
          <w:szCs w:val="22"/>
        </w:rPr>
        <w:t>will be Triamcinolone pending availability</w:t>
      </w:r>
      <w:r w:rsidRPr="00A7688B">
        <w:rPr>
          <w:i/>
          <w:iCs/>
          <w:sz w:val="22"/>
          <w:szCs w:val="22"/>
        </w:rPr>
        <w:t>. An alternative liquid steroid such as budesonide</w:t>
      </w:r>
      <w:r w:rsidR="00C53CE5">
        <w:rPr>
          <w:i/>
          <w:iCs/>
          <w:sz w:val="22"/>
          <w:szCs w:val="22"/>
        </w:rPr>
        <w:t xml:space="preserve"> </w:t>
      </w:r>
      <w:r w:rsidRPr="00A7688B">
        <w:rPr>
          <w:i/>
          <w:iCs/>
          <w:sz w:val="22"/>
          <w:szCs w:val="22"/>
        </w:rPr>
        <w:t xml:space="preserve">may be utilised. </w:t>
      </w:r>
      <w:r w:rsidR="006C745E">
        <w:rPr>
          <w:i/>
          <w:iCs/>
          <w:sz w:val="22"/>
          <w:szCs w:val="22"/>
        </w:rPr>
        <w:t>Both</w:t>
      </w:r>
      <w:r w:rsidR="00521F83">
        <w:rPr>
          <w:i/>
          <w:iCs/>
          <w:sz w:val="22"/>
          <w:szCs w:val="22"/>
        </w:rPr>
        <w:t xml:space="preserve"> steroids considered for use are TGA approved and are currently used in routine </w:t>
      </w:r>
      <w:proofErr w:type="gramStart"/>
      <w:r w:rsidR="00521F83">
        <w:rPr>
          <w:i/>
          <w:iCs/>
          <w:sz w:val="22"/>
          <w:szCs w:val="22"/>
        </w:rPr>
        <w:t>practice</w:t>
      </w:r>
      <w:r w:rsidR="00C53CE5">
        <w:rPr>
          <w:i/>
          <w:iCs/>
          <w:sz w:val="22"/>
          <w:szCs w:val="22"/>
        </w:rPr>
        <w:t>, and</w:t>
      </w:r>
      <w:proofErr w:type="gramEnd"/>
      <w:r w:rsidR="00C53CE5">
        <w:rPr>
          <w:i/>
          <w:iCs/>
          <w:sz w:val="22"/>
          <w:szCs w:val="22"/>
        </w:rPr>
        <w:t xml:space="preserve"> have similar safety profiles.</w:t>
      </w:r>
    </w:p>
    <w:p w14:paraId="4FC0E432" w14:textId="77777777" w:rsidR="00F90765" w:rsidRPr="00F90765" w:rsidRDefault="00F90765" w:rsidP="00F90765">
      <w:pPr>
        <w:pStyle w:val="ListParagraph"/>
        <w:spacing w:line="276" w:lineRule="auto"/>
        <w:rPr>
          <w:sz w:val="22"/>
          <w:szCs w:val="22"/>
        </w:rPr>
      </w:pPr>
    </w:p>
    <w:p w14:paraId="1D6EEEB3" w14:textId="2358E1AB" w:rsidR="004C7CB9" w:rsidRPr="005B6985" w:rsidRDefault="004C7CB9" w:rsidP="005B6985">
      <w:pPr>
        <w:spacing w:line="276" w:lineRule="auto"/>
        <w:rPr>
          <w:b/>
          <w:bCs/>
          <w:sz w:val="22"/>
          <w:szCs w:val="22"/>
          <w:u w:val="single"/>
        </w:rPr>
      </w:pPr>
      <w:r w:rsidRPr="005B6985">
        <w:rPr>
          <w:b/>
          <w:bCs/>
          <w:sz w:val="22"/>
          <w:szCs w:val="22"/>
          <w:u w:val="single"/>
        </w:rPr>
        <w:t>Primary Outcome</w:t>
      </w:r>
    </w:p>
    <w:p w14:paraId="23D627F8" w14:textId="2EF3B959" w:rsidR="004C7CB9" w:rsidRPr="005B6985" w:rsidRDefault="00A7688B" w:rsidP="005B6985">
      <w:pPr>
        <w:spacing w:line="276" w:lineRule="auto"/>
        <w:rPr>
          <w:sz w:val="22"/>
          <w:szCs w:val="22"/>
        </w:rPr>
      </w:pPr>
      <w:r>
        <w:rPr>
          <w:sz w:val="22"/>
          <w:szCs w:val="22"/>
        </w:rPr>
        <w:t xml:space="preserve">Endoscopic appearances of </w:t>
      </w:r>
      <w:proofErr w:type="spellStart"/>
      <w:r>
        <w:rPr>
          <w:sz w:val="22"/>
          <w:szCs w:val="22"/>
        </w:rPr>
        <w:t>sinonasal</w:t>
      </w:r>
      <w:proofErr w:type="spellEnd"/>
      <w:r>
        <w:rPr>
          <w:sz w:val="22"/>
          <w:szCs w:val="22"/>
        </w:rPr>
        <w:t xml:space="preserve"> cavities at 2 weeks, </w:t>
      </w:r>
      <w:r w:rsidR="00A376D9">
        <w:rPr>
          <w:sz w:val="22"/>
          <w:szCs w:val="22"/>
        </w:rPr>
        <w:t>1-, 2- and 3-months</w:t>
      </w:r>
      <w:r>
        <w:rPr>
          <w:sz w:val="22"/>
          <w:szCs w:val="22"/>
        </w:rPr>
        <w:t xml:space="preserve"> post application of steroid-impregnated </w:t>
      </w:r>
      <w:proofErr w:type="spellStart"/>
      <w:r>
        <w:rPr>
          <w:sz w:val="22"/>
          <w:szCs w:val="22"/>
        </w:rPr>
        <w:t>Nasopore</w:t>
      </w:r>
      <w:proofErr w:type="spellEnd"/>
      <w:r>
        <w:rPr>
          <w:sz w:val="22"/>
          <w:szCs w:val="22"/>
        </w:rPr>
        <w:t xml:space="preserve">® or </w:t>
      </w:r>
      <w:proofErr w:type="spellStart"/>
      <w:r>
        <w:rPr>
          <w:sz w:val="22"/>
          <w:szCs w:val="22"/>
        </w:rPr>
        <w:t>PureRegen</w:t>
      </w:r>
      <w:proofErr w:type="spellEnd"/>
      <w:r>
        <w:rPr>
          <w:sz w:val="22"/>
          <w:szCs w:val="22"/>
        </w:rPr>
        <w:t>®</w:t>
      </w:r>
      <w:r w:rsidR="0069171D" w:rsidRPr="005B6985">
        <w:rPr>
          <w:sz w:val="22"/>
          <w:szCs w:val="22"/>
        </w:rPr>
        <w:t xml:space="preserve"> </w:t>
      </w:r>
      <w:r>
        <w:rPr>
          <w:sz w:val="22"/>
          <w:szCs w:val="22"/>
        </w:rPr>
        <w:t xml:space="preserve">as </w:t>
      </w:r>
      <w:r w:rsidR="00F90765">
        <w:rPr>
          <w:sz w:val="22"/>
          <w:szCs w:val="22"/>
        </w:rPr>
        <w:t>score</w:t>
      </w:r>
      <w:r>
        <w:rPr>
          <w:sz w:val="22"/>
          <w:szCs w:val="22"/>
        </w:rPr>
        <w:t xml:space="preserve">d per the validated Lund-Kennedy and </w:t>
      </w:r>
      <w:proofErr w:type="spellStart"/>
      <w:r>
        <w:rPr>
          <w:sz w:val="22"/>
          <w:szCs w:val="22"/>
        </w:rPr>
        <w:t>PeriOperative</w:t>
      </w:r>
      <w:proofErr w:type="spellEnd"/>
      <w:r>
        <w:rPr>
          <w:sz w:val="22"/>
          <w:szCs w:val="22"/>
        </w:rPr>
        <w:t xml:space="preserve"> Sinus Endoscopy (POSE) scor</w:t>
      </w:r>
      <w:r w:rsidR="00A376D9">
        <w:rPr>
          <w:sz w:val="22"/>
          <w:szCs w:val="22"/>
        </w:rPr>
        <w:t>ing systems.</w:t>
      </w:r>
    </w:p>
    <w:p w14:paraId="3A5826A3" w14:textId="62CF1906" w:rsidR="004C7CB9" w:rsidRPr="005B6985" w:rsidRDefault="004C7CB9" w:rsidP="005B6985">
      <w:pPr>
        <w:spacing w:line="276" w:lineRule="auto"/>
        <w:rPr>
          <w:sz w:val="22"/>
          <w:szCs w:val="22"/>
        </w:rPr>
      </w:pPr>
    </w:p>
    <w:p w14:paraId="3DFFE4E7" w14:textId="3DC9FD72" w:rsidR="004C7CB9" w:rsidRPr="005B6985" w:rsidRDefault="004C7CB9" w:rsidP="005B6985">
      <w:pPr>
        <w:spacing w:line="276" w:lineRule="auto"/>
        <w:rPr>
          <w:b/>
          <w:bCs/>
          <w:sz w:val="22"/>
          <w:szCs w:val="22"/>
          <w:u w:val="single"/>
          <w:lang w:val="en-US"/>
        </w:rPr>
      </w:pPr>
      <w:r w:rsidRPr="005B6985">
        <w:rPr>
          <w:b/>
          <w:bCs/>
          <w:sz w:val="22"/>
          <w:szCs w:val="22"/>
          <w:u w:val="single"/>
        </w:rPr>
        <w:t>Secondary Outcomes</w:t>
      </w:r>
    </w:p>
    <w:p w14:paraId="02BD1CED" w14:textId="6339AE80" w:rsidR="005228DF" w:rsidRDefault="00A7688B" w:rsidP="005B6985">
      <w:pPr>
        <w:pStyle w:val="ListParagraph"/>
        <w:numPr>
          <w:ilvl w:val="0"/>
          <w:numId w:val="1"/>
        </w:numPr>
        <w:spacing w:line="276" w:lineRule="auto"/>
        <w:rPr>
          <w:sz w:val="22"/>
          <w:szCs w:val="22"/>
        </w:rPr>
      </w:pPr>
      <w:r>
        <w:rPr>
          <w:sz w:val="22"/>
          <w:szCs w:val="22"/>
        </w:rPr>
        <w:t>S</w:t>
      </w:r>
      <w:r w:rsidR="005B6985" w:rsidRPr="005B6985">
        <w:rPr>
          <w:sz w:val="22"/>
          <w:szCs w:val="22"/>
        </w:rPr>
        <w:t xml:space="preserve">ystemic </w:t>
      </w:r>
      <w:r>
        <w:rPr>
          <w:sz w:val="22"/>
          <w:szCs w:val="22"/>
        </w:rPr>
        <w:t>safety</w:t>
      </w:r>
      <w:r w:rsidR="00500DCD">
        <w:rPr>
          <w:sz w:val="22"/>
          <w:szCs w:val="22"/>
        </w:rPr>
        <w:t xml:space="preserve"> (</w:t>
      </w:r>
      <w:r>
        <w:rPr>
          <w:sz w:val="22"/>
          <w:szCs w:val="22"/>
        </w:rPr>
        <w:t>absorption and suppression of hypothalamus-pituitary-adrenal axis</w:t>
      </w:r>
      <w:r w:rsidR="00500DCD">
        <w:rPr>
          <w:sz w:val="22"/>
          <w:szCs w:val="22"/>
        </w:rPr>
        <w:t>) of</w:t>
      </w:r>
      <w:r>
        <w:rPr>
          <w:sz w:val="22"/>
          <w:szCs w:val="22"/>
        </w:rPr>
        <w:t xml:space="preserve"> steroid-impregnated</w:t>
      </w:r>
      <w:r w:rsidR="005B6985" w:rsidRPr="005B6985">
        <w:rPr>
          <w:sz w:val="22"/>
          <w:szCs w:val="22"/>
        </w:rPr>
        <w:t xml:space="preserve"> </w:t>
      </w:r>
      <w:proofErr w:type="spellStart"/>
      <w:r w:rsidR="005B6985" w:rsidRPr="005B6985">
        <w:rPr>
          <w:sz w:val="22"/>
          <w:szCs w:val="22"/>
        </w:rPr>
        <w:t>Nasopore</w:t>
      </w:r>
      <w:proofErr w:type="spellEnd"/>
      <w:r w:rsidR="005228DF">
        <w:rPr>
          <w:sz w:val="22"/>
          <w:szCs w:val="22"/>
        </w:rPr>
        <w:t>®</w:t>
      </w:r>
      <w:r w:rsidR="00500DCD">
        <w:rPr>
          <w:sz w:val="22"/>
          <w:szCs w:val="22"/>
        </w:rPr>
        <w:t>/</w:t>
      </w:r>
      <w:proofErr w:type="spellStart"/>
      <w:r>
        <w:rPr>
          <w:sz w:val="22"/>
          <w:szCs w:val="22"/>
        </w:rPr>
        <w:t>PureRegen</w:t>
      </w:r>
      <w:proofErr w:type="spellEnd"/>
      <w:r>
        <w:rPr>
          <w:sz w:val="22"/>
          <w:szCs w:val="22"/>
        </w:rPr>
        <w:t>®</w:t>
      </w:r>
      <w:r w:rsidR="00500DCD">
        <w:rPr>
          <w:sz w:val="22"/>
          <w:szCs w:val="22"/>
        </w:rPr>
        <w:t xml:space="preserve"> vs saline-impregnated </w:t>
      </w:r>
      <w:proofErr w:type="spellStart"/>
      <w:r w:rsidR="00500DCD" w:rsidRPr="005B6985">
        <w:rPr>
          <w:sz w:val="22"/>
          <w:szCs w:val="22"/>
        </w:rPr>
        <w:t>Nasopore</w:t>
      </w:r>
      <w:proofErr w:type="spellEnd"/>
      <w:r w:rsidR="00500DCD">
        <w:rPr>
          <w:sz w:val="22"/>
          <w:szCs w:val="22"/>
        </w:rPr>
        <w:t>®/</w:t>
      </w:r>
      <w:proofErr w:type="spellStart"/>
      <w:r w:rsidR="00500DCD">
        <w:rPr>
          <w:sz w:val="22"/>
          <w:szCs w:val="22"/>
        </w:rPr>
        <w:t>PureRegen</w:t>
      </w:r>
      <w:proofErr w:type="spellEnd"/>
      <w:r w:rsidR="00500DCD">
        <w:rPr>
          <w:sz w:val="22"/>
          <w:szCs w:val="22"/>
        </w:rPr>
        <w:t>®</w:t>
      </w:r>
      <w:r w:rsidR="00F90765">
        <w:rPr>
          <w:sz w:val="22"/>
          <w:szCs w:val="22"/>
        </w:rPr>
        <w:t xml:space="preserve"> via </w:t>
      </w:r>
      <w:r w:rsidR="00500DCD">
        <w:rPr>
          <w:sz w:val="22"/>
          <w:szCs w:val="22"/>
        </w:rPr>
        <w:t xml:space="preserve">serial </w:t>
      </w:r>
      <w:r>
        <w:rPr>
          <w:sz w:val="22"/>
          <w:szCs w:val="22"/>
        </w:rPr>
        <w:t xml:space="preserve">measurement of early morning </w:t>
      </w:r>
      <w:r w:rsidR="00F90765">
        <w:rPr>
          <w:sz w:val="22"/>
          <w:szCs w:val="22"/>
        </w:rPr>
        <w:t xml:space="preserve">serum ACTH, serum cortisol </w:t>
      </w:r>
      <w:r w:rsidR="00500DCD">
        <w:rPr>
          <w:sz w:val="22"/>
          <w:szCs w:val="22"/>
        </w:rPr>
        <w:t>(preoperatively, day 7</w:t>
      </w:r>
      <w:r w:rsidR="00634A20">
        <w:rPr>
          <w:sz w:val="22"/>
          <w:szCs w:val="22"/>
        </w:rPr>
        <w:t xml:space="preserve">, </w:t>
      </w:r>
      <w:r w:rsidR="00500DCD">
        <w:rPr>
          <w:sz w:val="22"/>
          <w:szCs w:val="22"/>
        </w:rPr>
        <w:t>14</w:t>
      </w:r>
      <w:r w:rsidR="00634A20">
        <w:rPr>
          <w:sz w:val="22"/>
          <w:szCs w:val="22"/>
        </w:rPr>
        <w:t xml:space="preserve"> and 28</w:t>
      </w:r>
      <w:r w:rsidR="00500DCD">
        <w:rPr>
          <w:sz w:val="22"/>
          <w:szCs w:val="22"/>
        </w:rPr>
        <w:t xml:space="preserve"> postoperatively).</w:t>
      </w:r>
    </w:p>
    <w:p w14:paraId="56BF6819" w14:textId="61058524" w:rsidR="005228DF" w:rsidRDefault="00500DCD" w:rsidP="005B6985">
      <w:pPr>
        <w:pStyle w:val="ListParagraph"/>
        <w:numPr>
          <w:ilvl w:val="0"/>
          <w:numId w:val="1"/>
        </w:numPr>
        <w:spacing w:line="276" w:lineRule="auto"/>
        <w:rPr>
          <w:sz w:val="22"/>
          <w:szCs w:val="22"/>
        </w:rPr>
      </w:pPr>
      <w:r>
        <w:rPr>
          <w:sz w:val="22"/>
          <w:szCs w:val="22"/>
        </w:rPr>
        <w:t>Ocular safety (</w:t>
      </w:r>
      <w:proofErr w:type="gramStart"/>
      <w:r>
        <w:rPr>
          <w:sz w:val="22"/>
          <w:szCs w:val="22"/>
        </w:rPr>
        <w:t>e.g.</w:t>
      </w:r>
      <w:proofErr w:type="gramEnd"/>
      <w:r>
        <w:rPr>
          <w:sz w:val="22"/>
          <w:szCs w:val="22"/>
        </w:rPr>
        <w:t xml:space="preserve"> presence of intraocular hypertension) of</w:t>
      </w:r>
      <w:r w:rsidR="005228DF">
        <w:rPr>
          <w:sz w:val="22"/>
          <w:szCs w:val="22"/>
        </w:rPr>
        <w:t xml:space="preserve"> </w:t>
      </w:r>
      <w:r>
        <w:rPr>
          <w:sz w:val="22"/>
          <w:szCs w:val="22"/>
        </w:rPr>
        <w:t>steroid-</w:t>
      </w:r>
      <w:r w:rsidR="005228DF">
        <w:rPr>
          <w:sz w:val="22"/>
          <w:szCs w:val="22"/>
        </w:rPr>
        <w:t xml:space="preserve">impregnated </w:t>
      </w:r>
      <w:proofErr w:type="spellStart"/>
      <w:r w:rsidR="005228DF">
        <w:rPr>
          <w:sz w:val="22"/>
          <w:szCs w:val="22"/>
        </w:rPr>
        <w:t>Nasopore</w:t>
      </w:r>
      <w:proofErr w:type="spellEnd"/>
      <w:r w:rsidR="005228DF">
        <w:rPr>
          <w:sz w:val="22"/>
          <w:szCs w:val="22"/>
        </w:rPr>
        <w:t>®</w:t>
      </w:r>
      <w:r>
        <w:rPr>
          <w:sz w:val="22"/>
          <w:szCs w:val="22"/>
        </w:rPr>
        <w:t>/</w:t>
      </w:r>
      <w:proofErr w:type="spellStart"/>
      <w:r>
        <w:rPr>
          <w:sz w:val="22"/>
          <w:szCs w:val="22"/>
        </w:rPr>
        <w:t>PureRegen</w:t>
      </w:r>
      <w:proofErr w:type="spellEnd"/>
      <w:r>
        <w:rPr>
          <w:sz w:val="22"/>
          <w:szCs w:val="22"/>
        </w:rPr>
        <w:t xml:space="preserve">® vs saline-impregnated </w:t>
      </w:r>
      <w:proofErr w:type="spellStart"/>
      <w:r>
        <w:rPr>
          <w:sz w:val="22"/>
          <w:szCs w:val="22"/>
        </w:rPr>
        <w:t>Nasopore</w:t>
      </w:r>
      <w:proofErr w:type="spellEnd"/>
      <w:r>
        <w:rPr>
          <w:sz w:val="22"/>
          <w:szCs w:val="22"/>
        </w:rPr>
        <w:t>®/</w:t>
      </w:r>
      <w:proofErr w:type="spellStart"/>
      <w:r>
        <w:rPr>
          <w:sz w:val="22"/>
          <w:szCs w:val="22"/>
        </w:rPr>
        <w:t>PureRegen</w:t>
      </w:r>
      <w:proofErr w:type="spellEnd"/>
      <w:r>
        <w:rPr>
          <w:sz w:val="22"/>
          <w:szCs w:val="22"/>
        </w:rPr>
        <w:t xml:space="preserve">® </w:t>
      </w:r>
      <w:r w:rsidR="00F90765">
        <w:rPr>
          <w:sz w:val="22"/>
          <w:szCs w:val="22"/>
        </w:rPr>
        <w:t>via serial tonometry measurements</w:t>
      </w:r>
      <w:r>
        <w:rPr>
          <w:sz w:val="22"/>
          <w:szCs w:val="22"/>
        </w:rPr>
        <w:t xml:space="preserve"> (preoperatively, day 1 postoperatively, day 7, 14 and 1 month postoperatively).</w:t>
      </w:r>
    </w:p>
    <w:p w14:paraId="4B6D73B6" w14:textId="2EE05628" w:rsidR="004C7CB9" w:rsidRPr="00F90765" w:rsidRDefault="00500DCD" w:rsidP="00F90765">
      <w:pPr>
        <w:pStyle w:val="ListParagraph"/>
        <w:numPr>
          <w:ilvl w:val="0"/>
          <w:numId w:val="1"/>
        </w:numPr>
        <w:spacing w:line="276" w:lineRule="auto"/>
        <w:rPr>
          <w:sz w:val="22"/>
          <w:szCs w:val="22"/>
          <w:lang w:val="en-US"/>
        </w:rPr>
      </w:pPr>
      <w:r>
        <w:rPr>
          <w:sz w:val="22"/>
          <w:szCs w:val="22"/>
        </w:rPr>
        <w:t>Subjective postoperative benefit of steroid-impregnated</w:t>
      </w:r>
      <w:r w:rsidRPr="005B6985">
        <w:rPr>
          <w:sz w:val="22"/>
          <w:szCs w:val="22"/>
        </w:rPr>
        <w:t xml:space="preserve"> </w:t>
      </w:r>
      <w:proofErr w:type="spellStart"/>
      <w:r w:rsidRPr="005B6985">
        <w:rPr>
          <w:sz w:val="22"/>
          <w:szCs w:val="22"/>
        </w:rPr>
        <w:t>Nasopore</w:t>
      </w:r>
      <w:proofErr w:type="spellEnd"/>
      <w:r>
        <w:rPr>
          <w:sz w:val="22"/>
          <w:szCs w:val="22"/>
        </w:rPr>
        <w:t>®/</w:t>
      </w:r>
      <w:proofErr w:type="spellStart"/>
      <w:r>
        <w:rPr>
          <w:sz w:val="22"/>
          <w:szCs w:val="22"/>
        </w:rPr>
        <w:t>PureRegen</w:t>
      </w:r>
      <w:proofErr w:type="spellEnd"/>
      <w:r>
        <w:rPr>
          <w:sz w:val="22"/>
          <w:szCs w:val="22"/>
        </w:rPr>
        <w:t xml:space="preserve">® vs saline-impregnated </w:t>
      </w:r>
      <w:proofErr w:type="spellStart"/>
      <w:r w:rsidRPr="005B6985">
        <w:rPr>
          <w:sz w:val="22"/>
          <w:szCs w:val="22"/>
        </w:rPr>
        <w:t>Nasopore</w:t>
      </w:r>
      <w:proofErr w:type="spellEnd"/>
      <w:r>
        <w:rPr>
          <w:sz w:val="22"/>
          <w:szCs w:val="22"/>
        </w:rPr>
        <w:t>®/</w:t>
      </w:r>
      <w:proofErr w:type="spellStart"/>
      <w:r>
        <w:rPr>
          <w:sz w:val="22"/>
          <w:szCs w:val="22"/>
        </w:rPr>
        <w:t>PureRegen</w:t>
      </w:r>
      <w:proofErr w:type="spellEnd"/>
      <w:r>
        <w:rPr>
          <w:sz w:val="22"/>
          <w:szCs w:val="22"/>
        </w:rPr>
        <w:t>® via</w:t>
      </w:r>
      <w:r w:rsidR="005228DF" w:rsidRPr="005B6985">
        <w:rPr>
          <w:sz w:val="22"/>
          <w:szCs w:val="22"/>
        </w:rPr>
        <w:t xml:space="preserve"> </w:t>
      </w:r>
      <w:r>
        <w:rPr>
          <w:sz w:val="22"/>
          <w:szCs w:val="22"/>
        </w:rPr>
        <w:t xml:space="preserve">serial </w:t>
      </w:r>
      <w:r w:rsidR="005228DF" w:rsidRPr="005B6985">
        <w:rPr>
          <w:sz w:val="22"/>
          <w:szCs w:val="22"/>
        </w:rPr>
        <w:t>SNOT-22 patient reported symptom questionnaire</w:t>
      </w:r>
      <w:r>
        <w:rPr>
          <w:sz w:val="22"/>
          <w:szCs w:val="22"/>
        </w:rPr>
        <w:t xml:space="preserve"> (preoperatively, day 14 and 1, 2, 3 month/s postoperatively).</w:t>
      </w:r>
    </w:p>
    <w:p w14:paraId="6B3C3F4A" w14:textId="77777777" w:rsidR="00500DCD" w:rsidRPr="00521F83" w:rsidRDefault="00500DCD" w:rsidP="00521F83">
      <w:pPr>
        <w:spacing w:line="276" w:lineRule="auto"/>
        <w:rPr>
          <w:sz w:val="22"/>
          <w:szCs w:val="22"/>
          <w:lang w:val="en-US"/>
        </w:rPr>
      </w:pPr>
    </w:p>
    <w:p w14:paraId="1C474E84" w14:textId="4EDB9568" w:rsidR="00A376D9" w:rsidRDefault="00A376D9" w:rsidP="005228DF">
      <w:pPr>
        <w:spacing w:line="276" w:lineRule="auto"/>
        <w:rPr>
          <w:b/>
          <w:bCs/>
          <w:sz w:val="22"/>
          <w:szCs w:val="22"/>
          <w:u w:val="single"/>
        </w:rPr>
      </w:pPr>
      <w:r>
        <w:rPr>
          <w:b/>
          <w:bCs/>
          <w:sz w:val="22"/>
          <w:szCs w:val="22"/>
          <w:u w:val="single"/>
        </w:rPr>
        <w:t>Hypotheses</w:t>
      </w:r>
      <w:r w:rsidR="0036603F">
        <w:rPr>
          <w:b/>
          <w:bCs/>
          <w:sz w:val="22"/>
          <w:szCs w:val="22"/>
          <w:u w:val="single"/>
        </w:rPr>
        <w:t>/Expected Outcomes</w:t>
      </w:r>
    </w:p>
    <w:p w14:paraId="53CC6E7A" w14:textId="6AF048D7" w:rsidR="00A376D9" w:rsidRPr="0036603F" w:rsidRDefault="0036603F" w:rsidP="005228DF">
      <w:pPr>
        <w:spacing w:line="276" w:lineRule="auto"/>
        <w:rPr>
          <w:sz w:val="22"/>
          <w:szCs w:val="22"/>
        </w:rPr>
      </w:pPr>
      <w:r>
        <w:rPr>
          <w:sz w:val="22"/>
          <w:szCs w:val="22"/>
          <w:lang w:val="en-US"/>
        </w:rPr>
        <w:t xml:space="preserve">The field of chronic rhinosinusitis is an ever-evolving field, with developing literature on different diagnostic modalities in evaluating emerging endotypes and phenotypes of the disease. </w:t>
      </w:r>
      <w:r>
        <w:rPr>
          <w:sz w:val="22"/>
          <w:szCs w:val="22"/>
          <w:lang w:val="en-US"/>
        </w:rPr>
        <w:t xml:space="preserve">We expect that </w:t>
      </w:r>
      <w:r>
        <w:rPr>
          <w:sz w:val="22"/>
          <w:szCs w:val="22"/>
        </w:rPr>
        <w:t>s</w:t>
      </w:r>
      <w:r w:rsidR="00A376D9">
        <w:rPr>
          <w:sz w:val="22"/>
          <w:szCs w:val="22"/>
        </w:rPr>
        <w:t xml:space="preserve">teroid-impregnated </w:t>
      </w:r>
      <w:proofErr w:type="spellStart"/>
      <w:r w:rsidR="00A376D9">
        <w:rPr>
          <w:sz w:val="22"/>
          <w:szCs w:val="22"/>
        </w:rPr>
        <w:t>PureRegen</w:t>
      </w:r>
      <w:proofErr w:type="spellEnd"/>
      <w:r w:rsidR="00A376D9">
        <w:rPr>
          <w:sz w:val="22"/>
          <w:szCs w:val="22"/>
        </w:rPr>
        <w:t xml:space="preserve">® </w:t>
      </w:r>
      <w:r>
        <w:rPr>
          <w:sz w:val="22"/>
          <w:szCs w:val="22"/>
        </w:rPr>
        <w:t xml:space="preserve">will confer a greater benefit in postoperative endoscopic appearances and subjective benefit than steroid-impregnated </w:t>
      </w:r>
      <w:proofErr w:type="spellStart"/>
      <w:r>
        <w:rPr>
          <w:sz w:val="22"/>
          <w:szCs w:val="22"/>
        </w:rPr>
        <w:t>Nasopore</w:t>
      </w:r>
      <w:proofErr w:type="spellEnd"/>
      <w:r>
        <w:rPr>
          <w:sz w:val="22"/>
          <w:szCs w:val="22"/>
        </w:rPr>
        <w:t>, with both interventions being safe from a systemic and ocular point of view.</w:t>
      </w:r>
    </w:p>
    <w:p w14:paraId="5E00E849" w14:textId="769BD878" w:rsidR="005228DF" w:rsidRPr="0091161D" w:rsidRDefault="005228DF" w:rsidP="005228DF">
      <w:pPr>
        <w:spacing w:line="276" w:lineRule="auto"/>
        <w:rPr>
          <w:b/>
          <w:bCs/>
          <w:sz w:val="22"/>
          <w:szCs w:val="22"/>
          <w:u w:val="single"/>
        </w:rPr>
      </w:pPr>
      <w:r w:rsidRPr="0091161D">
        <w:rPr>
          <w:b/>
          <w:bCs/>
          <w:sz w:val="22"/>
          <w:szCs w:val="22"/>
          <w:u w:val="single"/>
        </w:rPr>
        <w:lastRenderedPageBreak/>
        <w:t>Methods</w:t>
      </w:r>
    </w:p>
    <w:p w14:paraId="0B03849A" w14:textId="1FF63FCF" w:rsidR="00B14420" w:rsidRPr="000A14B0" w:rsidRDefault="0036603F" w:rsidP="005228DF">
      <w:pPr>
        <w:spacing w:line="276" w:lineRule="auto"/>
        <w:rPr>
          <w:sz w:val="22"/>
          <w:szCs w:val="22"/>
        </w:rPr>
      </w:pPr>
      <w:r>
        <w:rPr>
          <w:sz w:val="22"/>
          <w:szCs w:val="22"/>
        </w:rPr>
        <w:t>6</w:t>
      </w:r>
      <w:r w:rsidR="005228DF" w:rsidRPr="000A14B0">
        <w:rPr>
          <w:sz w:val="22"/>
          <w:szCs w:val="22"/>
        </w:rPr>
        <w:t>0 consenting consecutive adults (1</w:t>
      </w:r>
      <w:r>
        <w:rPr>
          <w:sz w:val="22"/>
          <w:szCs w:val="22"/>
        </w:rPr>
        <w:t>2</w:t>
      </w:r>
      <w:r w:rsidR="005228DF" w:rsidRPr="000A14B0">
        <w:rPr>
          <w:sz w:val="22"/>
          <w:szCs w:val="22"/>
        </w:rPr>
        <w:t xml:space="preserve">0 sinuses) </w:t>
      </w:r>
      <w:r w:rsidR="00522E9E" w:rsidRPr="000A14B0">
        <w:rPr>
          <w:sz w:val="22"/>
          <w:szCs w:val="22"/>
        </w:rPr>
        <w:t xml:space="preserve">meeting inclusion criteria </w:t>
      </w:r>
      <w:r w:rsidR="005228DF" w:rsidRPr="000A14B0">
        <w:rPr>
          <w:sz w:val="22"/>
          <w:szCs w:val="22"/>
        </w:rPr>
        <w:t>with diffuse/bilateral chronic rhinosinusitis (CRS) undergoing bilateral FESS will be randomised into</w:t>
      </w:r>
      <w:r>
        <w:rPr>
          <w:sz w:val="22"/>
          <w:szCs w:val="22"/>
        </w:rPr>
        <w:t xml:space="preserve"> two</w:t>
      </w:r>
      <w:r w:rsidR="005228DF" w:rsidRPr="000A14B0">
        <w:rPr>
          <w:sz w:val="22"/>
          <w:szCs w:val="22"/>
        </w:rPr>
        <w:t xml:space="preserve"> intervention groups (of </w:t>
      </w:r>
      <w:r>
        <w:rPr>
          <w:sz w:val="22"/>
          <w:szCs w:val="22"/>
        </w:rPr>
        <w:t>3</w:t>
      </w:r>
      <w:r w:rsidR="005228DF" w:rsidRPr="000A14B0">
        <w:rPr>
          <w:sz w:val="22"/>
          <w:szCs w:val="22"/>
        </w:rPr>
        <w:t xml:space="preserve">0 patients, or </w:t>
      </w:r>
      <w:r>
        <w:rPr>
          <w:sz w:val="22"/>
          <w:szCs w:val="22"/>
        </w:rPr>
        <w:t>6</w:t>
      </w:r>
      <w:r w:rsidR="005228DF" w:rsidRPr="000A14B0">
        <w:rPr>
          <w:sz w:val="22"/>
          <w:szCs w:val="22"/>
        </w:rPr>
        <w:t xml:space="preserve">0 sinuses) for inclusion. The intervention groups will be </w:t>
      </w:r>
      <w:r w:rsidR="00500DCD" w:rsidRPr="000A14B0">
        <w:rPr>
          <w:sz w:val="22"/>
          <w:szCs w:val="22"/>
        </w:rPr>
        <w:t>steroid-</w:t>
      </w:r>
      <w:r w:rsidR="005228DF" w:rsidRPr="000A14B0">
        <w:rPr>
          <w:sz w:val="22"/>
          <w:szCs w:val="22"/>
        </w:rPr>
        <w:t xml:space="preserve">impregnated </w:t>
      </w:r>
      <w:proofErr w:type="spellStart"/>
      <w:r w:rsidR="005228DF" w:rsidRPr="000A14B0">
        <w:rPr>
          <w:sz w:val="22"/>
          <w:szCs w:val="22"/>
        </w:rPr>
        <w:t>Nasopore</w:t>
      </w:r>
      <w:proofErr w:type="spellEnd"/>
      <w:r w:rsidR="005228DF" w:rsidRPr="000A14B0">
        <w:rPr>
          <w:sz w:val="22"/>
          <w:szCs w:val="22"/>
        </w:rPr>
        <w:t>®</w:t>
      </w:r>
      <w:r>
        <w:rPr>
          <w:sz w:val="22"/>
          <w:szCs w:val="22"/>
        </w:rPr>
        <w:t xml:space="preserve"> and steroid-impregnated </w:t>
      </w:r>
      <w:proofErr w:type="spellStart"/>
      <w:r>
        <w:rPr>
          <w:sz w:val="22"/>
          <w:szCs w:val="22"/>
        </w:rPr>
        <w:t>PureRegen</w:t>
      </w:r>
      <w:proofErr w:type="spellEnd"/>
      <w:r>
        <w:rPr>
          <w:sz w:val="22"/>
          <w:szCs w:val="22"/>
        </w:rPr>
        <w:t>®.</w:t>
      </w:r>
    </w:p>
    <w:p w14:paraId="010AEDD7" w14:textId="687F27F3" w:rsidR="00B14420" w:rsidRDefault="00B14420" w:rsidP="005228DF">
      <w:pPr>
        <w:spacing w:line="276" w:lineRule="auto"/>
        <w:rPr>
          <w:sz w:val="21"/>
          <w:szCs w:val="21"/>
        </w:rPr>
      </w:pPr>
    </w:p>
    <w:p w14:paraId="712C90D5" w14:textId="4D8CC98A" w:rsidR="004841CB" w:rsidRPr="004841CB" w:rsidRDefault="004841CB" w:rsidP="005228DF">
      <w:pPr>
        <w:spacing w:line="276" w:lineRule="auto"/>
        <w:rPr>
          <w:sz w:val="21"/>
          <w:szCs w:val="21"/>
          <w:u w:val="single"/>
        </w:rPr>
      </w:pPr>
      <w:r>
        <w:rPr>
          <w:sz w:val="21"/>
          <w:szCs w:val="21"/>
          <w:u w:val="single"/>
        </w:rPr>
        <w:t xml:space="preserve">Randomisation and </w:t>
      </w:r>
      <w:r w:rsidR="00553D95">
        <w:rPr>
          <w:sz w:val="21"/>
          <w:szCs w:val="21"/>
          <w:u w:val="single"/>
        </w:rPr>
        <w:t>Blinding</w:t>
      </w:r>
    </w:p>
    <w:p w14:paraId="62164297" w14:textId="04A4239B" w:rsidR="00F90765" w:rsidRPr="000A14B0" w:rsidRDefault="005228DF" w:rsidP="00522E9E">
      <w:pPr>
        <w:spacing w:line="276" w:lineRule="auto"/>
        <w:rPr>
          <w:sz w:val="22"/>
          <w:szCs w:val="22"/>
        </w:rPr>
      </w:pPr>
      <w:r w:rsidRPr="000A14B0">
        <w:rPr>
          <w:sz w:val="22"/>
          <w:szCs w:val="22"/>
        </w:rPr>
        <w:t xml:space="preserve">Randomisation will be performed using a computer-generated randomisation sequence and sealed envelopes. </w:t>
      </w:r>
      <w:r w:rsidR="00B14420" w:rsidRPr="000A14B0">
        <w:rPr>
          <w:sz w:val="22"/>
          <w:szCs w:val="22"/>
        </w:rPr>
        <w:t xml:space="preserve">Trial participants will be blinded to the intervention they have </w:t>
      </w:r>
      <w:r w:rsidR="00F90765" w:rsidRPr="000A14B0">
        <w:rPr>
          <w:sz w:val="22"/>
          <w:szCs w:val="22"/>
        </w:rPr>
        <w:t>received, and</w:t>
      </w:r>
      <w:r w:rsidR="00B14420" w:rsidRPr="000A14B0">
        <w:rPr>
          <w:sz w:val="22"/>
          <w:szCs w:val="22"/>
        </w:rPr>
        <w:t xml:space="preserve"> </w:t>
      </w:r>
      <w:r w:rsidR="00F90765" w:rsidRPr="000A14B0">
        <w:rPr>
          <w:sz w:val="22"/>
          <w:szCs w:val="22"/>
        </w:rPr>
        <w:t>the outcome assessors (POSE/LK score</w:t>
      </w:r>
      <w:r w:rsidR="00500DCD" w:rsidRPr="000A14B0">
        <w:rPr>
          <w:sz w:val="22"/>
          <w:szCs w:val="22"/>
        </w:rPr>
        <w:t>rs</w:t>
      </w:r>
      <w:r w:rsidR="00F90765" w:rsidRPr="000A14B0">
        <w:rPr>
          <w:sz w:val="22"/>
          <w:szCs w:val="22"/>
        </w:rPr>
        <w:t>) will be blinded to the intervention received. Given the nature of the interventions, the surgeon placing these interventions is unable to be blinded.</w:t>
      </w:r>
    </w:p>
    <w:p w14:paraId="3ECE564C" w14:textId="77777777" w:rsidR="00553D95" w:rsidRPr="000A14B0" w:rsidRDefault="00553D95" w:rsidP="00522E9E">
      <w:pPr>
        <w:spacing w:line="276" w:lineRule="auto"/>
        <w:rPr>
          <w:sz w:val="22"/>
          <w:szCs w:val="22"/>
          <w:u w:val="single"/>
        </w:rPr>
      </w:pPr>
    </w:p>
    <w:p w14:paraId="3CB928D9" w14:textId="0B0597FD" w:rsidR="00522E9E" w:rsidRPr="000A14B0" w:rsidRDefault="005228DF" w:rsidP="00522E9E">
      <w:pPr>
        <w:spacing w:line="276" w:lineRule="auto"/>
        <w:rPr>
          <w:sz w:val="22"/>
          <w:szCs w:val="22"/>
        </w:rPr>
      </w:pPr>
      <w:r w:rsidRPr="000A14B0">
        <w:rPr>
          <w:sz w:val="22"/>
          <w:szCs w:val="22"/>
        </w:rPr>
        <w:t xml:space="preserve">Preoperatively, patients </w:t>
      </w:r>
      <w:r w:rsidR="00522E9E" w:rsidRPr="000A14B0">
        <w:rPr>
          <w:sz w:val="22"/>
          <w:szCs w:val="22"/>
        </w:rPr>
        <w:t>will have their basic demographic information recorded, their early morning serum cortisol, serum ACTH</w:t>
      </w:r>
      <w:r w:rsidR="0068436F" w:rsidRPr="000A14B0">
        <w:rPr>
          <w:sz w:val="22"/>
          <w:szCs w:val="22"/>
        </w:rPr>
        <w:t xml:space="preserve">, </w:t>
      </w:r>
      <w:r w:rsidR="003E17B5" w:rsidRPr="000A14B0">
        <w:rPr>
          <w:sz w:val="22"/>
          <w:szCs w:val="22"/>
        </w:rPr>
        <w:t xml:space="preserve">total </w:t>
      </w:r>
      <w:r w:rsidR="0068436F" w:rsidRPr="000A14B0">
        <w:rPr>
          <w:sz w:val="22"/>
          <w:szCs w:val="22"/>
        </w:rPr>
        <w:t xml:space="preserve">serum </w:t>
      </w:r>
      <w:proofErr w:type="spellStart"/>
      <w:r w:rsidR="0068436F" w:rsidRPr="000A14B0">
        <w:rPr>
          <w:sz w:val="22"/>
          <w:szCs w:val="22"/>
        </w:rPr>
        <w:t>IgE</w:t>
      </w:r>
      <w:proofErr w:type="spellEnd"/>
      <w:r w:rsidR="0068436F" w:rsidRPr="000A14B0">
        <w:rPr>
          <w:sz w:val="22"/>
          <w:szCs w:val="22"/>
        </w:rPr>
        <w:t xml:space="preserve"> and a full blood count </w:t>
      </w:r>
      <w:r w:rsidR="003E17B5" w:rsidRPr="000A14B0">
        <w:rPr>
          <w:sz w:val="22"/>
          <w:szCs w:val="22"/>
        </w:rPr>
        <w:t xml:space="preserve">(including serum eosinophils) </w:t>
      </w:r>
      <w:r w:rsidR="0068436F" w:rsidRPr="000A14B0">
        <w:rPr>
          <w:sz w:val="22"/>
          <w:szCs w:val="22"/>
        </w:rPr>
        <w:t>taken. Bilateral</w:t>
      </w:r>
      <w:r w:rsidR="00522E9E" w:rsidRPr="000A14B0">
        <w:rPr>
          <w:sz w:val="22"/>
          <w:szCs w:val="22"/>
        </w:rPr>
        <w:t xml:space="preserve"> intraocular pressures </w:t>
      </w:r>
      <w:r w:rsidR="0068436F" w:rsidRPr="000A14B0">
        <w:rPr>
          <w:sz w:val="22"/>
          <w:szCs w:val="22"/>
        </w:rPr>
        <w:t xml:space="preserve">will be </w:t>
      </w:r>
      <w:r w:rsidR="00522E9E" w:rsidRPr="000A14B0">
        <w:rPr>
          <w:sz w:val="22"/>
          <w:szCs w:val="22"/>
        </w:rPr>
        <w:t>measured</w:t>
      </w:r>
      <w:r w:rsidR="0068436F" w:rsidRPr="000A14B0">
        <w:rPr>
          <w:sz w:val="22"/>
          <w:szCs w:val="22"/>
        </w:rPr>
        <w:t xml:space="preserve"> via tonometry</w:t>
      </w:r>
      <w:r w:rsidR="00522E9E" w:rsidRPr="000A14B0">
        <w:rPr>
          <w:sz w:val="22"/>
          <w:szCs w:val="22"/>
        </w:rPr>
        <w:t>, and</w:t>
      </w:r>
      <w:r w:rsidR="0068436F" w:rsidRPr="000A14B0">
        <w:rPr>
          <w:sz w:val="22"/>
          <w:szCs w:val="22"/>
        </w:rPr>
        <w:t xml:space="preserve"> patients wil</w:t>
      </w:r>
      <w:r w:rsidR="003E17B5" w:rsidRPr="000A14B0">
        <w:rPr>
          <w:sz w:val="22"/>
          <w:szCs w:val="22"/>
        </w:rPr>
        <w:t>l</w:t>
      </w:r>
      <w:r w:rsidR="00522E9E" w:rsidRPr="000A14B0">
        <w:rPr>
          <w:sz w:val="22"/>
          <w:szCs w:val="22"/>
        </w:rPr>
        <w:t xml:space="preserve"> be asked to complete the SNOT-22 Questionnaire. Their CT Paranasal Sinuses done </w:t>
      </w:r>
      <w:r w:rsidR="00D22823" w:rsidRPr="000A14B0">
        <w:rPr>
          <w:sz w:val="22"/>
          <w:szCs w:val="22"/>
        </w:rPr>
        <w:t>as part of</w:t>
      </w:r>
      <w:r w:rsidR="00522E9E" w:rsidRPr="000A14B0">
        <w:rPr>
          <w:sz w:val="22"/>
          <w:szCs w:val="22"/>
        </w:rPr>
        <w:t xml:space="preserve"> their workup w</w:t>
      </w:r>
      <w:r w:rsidR="00D22823" w:rsidRPr="000A14B0">
        <w:rPr>
          <w:sz w:val="22"/>
          <w:szCs w:val="22"/>
        </w:rPr>
        <w:t xml:space="preserve">ill be evaluated and scored as per the validated Lund-Mackay scoring system. </w:t>
      </w:r>
    </w:p>
    <w:p w14:paraId="211D75E2" w14:textId="02401D5F" w:rsidR="00D22823" w:rsidRPr="000A14B0" w:rsidRDefault="00D22823" w:rsidP="00522E9E">
      <w:pPr>
        <w:spacing w:line="276" w:lineRule="auto"/>
        <w:rPr>
          <w:sz w:val="22"/>
          <w:szCs w:val="22"/>
        </w:rPr>
      </w:pPr>
    </w:p>
    <w:p w14:paraId="0B9174B3" w14:textId="1D331BF5" w:rsidR="00B50E54" w:rsidRPr="000A14B0" w:rsidRDefault="00D22823" w:rsidP="005228DF">
      <w:pPr>
        <w:spacing w:line="276" w:lineRule="auto"/>
        <w:rPr>
          <w:sz w:val="22"/>
          <w:szCs w:val="22"/>
        </w:rPr>
      </w:pPr>
      <w:r w:rsidRPr="000A14B0">
        <w:rPr>
          <w:sz w:val="22"/>
          <w:szCs w:val="22"/>
        </w:rPr>
        <w:t xml:space="preserve">Intraoperatively, the </w:t>
      </w:r>
      <w:r w:rsidR="00521F83" w:rsidRPr="000A14B0">
        <w:rPr>
          <w:sz w:val="22"/>
          <w:szCs w:val="22"/>
        </w:rPr>
        <w:t>surgeon</w:t>
      </w:r>
      <w:r w:rsidRPr="000A14B0">
        <w:rPr>
          <w:sz w:val="22"/>
          <w:szCs w:val="22"/>
        </w:rPr>
        <w:t xml:space="preserve"> will record endoscopic video of the paranasal sinuses prior to performing the FESS and placing the intervention. </w:t>
      </w:r>
      <w:r w:rsidR="005228DF" w:rsidRPr="000A14B0">
        <w:rPr>
          <w:sz w:val="22"/>
          <w:szCs w:val="22"/>
        </w:rPr>
        <w:t xml:space="preserve">Postoperatively, patients will be instructed to complete a one-week course of oral antibiotics (doxycycline 100mg daily) and be instructed to commence nasal saline sprays </w:t>
      </w:r>
      <w:r w:rsidR="00500DCD" w:rsidRPr="000A14B0">
        <w:rPr>
          <w:sz w:val="22"/>
          <w:szCs w:val="22"/>
        </w:rPr>
        <w:t>(</w:t>
      </w:r>
      <w:proofErr w:type="gramStart"/>
      <w:r w:rsidR="00500DCD" w:rsidRPr="000A14B0">
        <w:rPr>
          <w:sz w:val="22"/>
          <w:szCs w:val="22"/>
        </w:rPr>
        <w:t>e.g.</w:t>
      </w:r>
      <w:proofErr w:type="gramEnd"/>
      <w:r w:rsidR="00500DCD" w:rsidRPr="000A14B0">
        <w:rPr>
          <w:sz w:val="22"/>
          <w:szCs w:val="22"/>
        </w:rPr>
        <w:t xml:space="preserve"> FESS Nasal Saline Spray) </w:t>
      </w:r>
      <w:r w:rsidR="005228DF" w:rsidRPr="000A14B0">
        <w:rPr>
          <w:sz w:val="22"/>
          <w:szCs w:val="22"/>
        </w:rPr>
        <w:t xml:space="preserve">from day </w:t>
      </w:r>
      <w:r w:rsidR="00522E9E" w:rsidRPr="000A14B0">
        <w:rPr>
          <w:sz w:val="22"/>
          <w:szCs w:val="22"/>
        </w:rPr>
        <w:t>2</w:t>
      </w:r>
      <w:r w:rsidR="005228DF" w:rsidRPr="000A14B0">
        <w:rPr>
          <w:sz w:val="22"/>
          <w:szCs w:val="22"/>
        </w:rPr>
        <w:t xml:space="preserve"> post-operatively</w:t>
      </w:r>
      <w:r w:rsidR="00522E9E" w:rsidRPr="000A14B0">
        <w:rPr>
          <w:sz w:val="22"/>
          <w:szCs w:val="22"/>
        </w:rPr>
        <w:t>, and saline rinses</w:t>
      </w:r>
      <w:r w:rsidR="00500DCD" w:rsidRPr="000A14B0">
        <w:rPr>
          <w:sz w:val="22"/>
          <w:szCs w:val="22"/>
        </w:rPr>
        <w:t xml:space="preserve"> (e.g. FLO Sinus Rinse)</w:t>
      </w:r>
      <w:r w:rsidR="00522E9E" w:rsidRPr="000A14B0">
        <w:rPr>
          <w:sz w:val="22"/>
          <w:szCs w:val="22"/>
        </w:rPr>
        <w:t xml:space="preserve"> four times a day from day 14 postoperatively. </w:t>
      </w:r>
    </w:p>
    <w:p w14:paraId="5AF5A000" w14:textId="77777777" w:rsidR="00B50E54" w:rsidRPr="000A14B0" w:rsidRDefault="00B50E54" w:rsidP="005228DF">
      <w:pPr>
        <w:spacing w:line="276" w:lineRule="auto"/>
        <w:rPr>
          <w:sz w:val="22"/>
          <w:szCs w:val="22"/>
        </w:rPr>
      </w:pPr>
    </w:p>
    <w:p w14:paraId="017DCB2F" w14:textId="59DAD0A4" w:rsidR="005228DF" w:rsidRPr="000A14B0" w:rsidRDefault="005228DF" w:rsidP="005228DF">
      <w:pPr>
        <w:spacing w:line="276" w:lineRule="auto"/>
        <w:rPr>
          <w:sz w:val="22"/>
          <w:szCs w:val="22"/>
        </w:rPr>
      </w:pPr>
      <w:r w:rsidRPr="000A14B0">
        <w:rPr>
          <w:sz w:val="22"/>
          <w:szCs w:val="22"/>
        </w:rPr>
        <w:t>Patients will be followed up at postoperative days 7</w:t>
      </w:r>
      <w:r w:rsidR="00500DCD" w:rsidRPr="000A14B0">
        <w:rPr>
          <w:sz w:val="22"/>
          <w:szCs w:val="22"/>
        </w:rPr>
        <w:t xml:space="preserve"> and 14, as well as at 1, 2,</w:t>
      </w:r>
      <w:r w:rsidRPr="000A14B0">
        <w:rPr>
          <w:sz w:val="22"/>
          <w:szCs w:val="22"/>
        </w:rPr>
        <w:t xml:space="preserve"> </w:t>
      </w:r>
      <w:r w:rsidR="00500DCD" w:rsidRPr="000A14B0">
        <w:rPr>
          <w:sz w:val="22"/>
          <w:szCs w:val="22"/>
        </w:rPr>
        <w:t>and 3</w:t>
      </w:r>
      <w:r w:rsidRPr="000A14B0">
        <w:rPr>
          <w:sz w:val="22"/>
          <w:szCs w:val="22"/>
        </w:rPr>
        <w:t xml:space="preserve"> months. Endoscopic inspectio</w:t>
      </w:r>
      <w:r w:rsidR="00D22823" w:rsidRPr="000A14B0">
        <w:rPr>
          <w:sz w:val="22"/>
          <w:szCs w:val="22"/>
        </w:rPr>
        <w:t xml:space="preserve">n </w:t>
      </w:r>
      <w:r w:rsidRPr="000A14B0">
        <w:rPr>
          <w:sz w:val="22"/>
          <w:szCs w:val="22"/>
        </w:rPr>
        <w:t>will be performed at each of these visits with debridement when necessary.</w:t>
      </w:r>
      <w:r w:rsidR="00D22823" w:rsidRPr="000A14B0">
        <w:rPr>
          <w:sz w:val="22"/>
          <w:szCs w:val="22"/>
        </w:rPr>
        <w:t xml:space="preserve"> Endoscopic video will also be recorded for sinus assessment.</w:t>
      </w:r>
      <w:r w:rsidRPr="000A14B0">
        <w:rPr>
          <w:sz w:val="22"/>
          <w:szCs w:val="22"/>
        </w:rPr>
        <w:t xml:space="preserve"> All nasal dressings will be suctioned out at 14 days if not dissolved prior. </w:t>
      </w:r>
    </w:p>
    <w:p w14:paraId="51E8863E" w14:textId="77777777" w:rsidR="005228DF" w:rsidRPr="000A14B0" w:rsidRDefault="005228DF" w:rsidP="005228DF">
      <w:pPr>
        <w:spacing w:line="276" w:lineRule="auto"/>
        <w:rPr>
          <w:sz w:val="22"/>
          <w:szCs w:val="22"/>
        </w:rPr>
      </w:pPr>
    </w:p>
    <w:p w14:paraId="74F7FE4D" w14:textId="55B6FAE6" w:rsidR="00B50E54" w:rsidRPr="000A14B0" w:rsidRDefault="005228DF" w:rsidP="005228DF">
      <w:pPr>
        <w:spacing w:line="276" w:lineRule="auto"/>
        <w:rPr>
          <w:sz w:val="22"/>
          <w:szCs w:val="22"/>
        </w:rPr>
      </w:pPr>
      <w:r w:rsidRPr="000A14B0">
        <w:rPr>
          <w:sz w:val="22"/>
          <w:szCs w:val="22"/>
        </w:rPr>
        <w:t xml:space="preserve">Post-operative healing assessments of </w:t>
      </w:r>
      <w:r w:rsidR="00D22823" w:rsidRPr="000A14B0">
        <w:rPr>
          <w:sz w:val="22"/>
          <w:szCs w:val="22"/>
        </w:rPr>
        <w:t>o</w:t>
      </w:r>
      <w:r w:rsidRPr="000A14B0">
        <w:rPr>
          <w:sz w:val="22"/>
          <w:szCs w:val="22"/>
        </w:rPr>
        <w:t xml:space="preserve">edema, crusting, secretions and scarring will be performed at these times using the validated Lund-Kennedy and Perioperative Sinus Endoscopy (POSE) scores, with subjective improvement of symptoms being assessed with the SNOT-22 score at 28 days, </w:t>
      </w:r>
      <w:r w:rsidR="00500DCD" w:rsidRPr="000A14B0">
        <w:rPr>
          <w:sz w:val="22"/>
          <w:szCs w:val="22"/>
        </w:rPr>
        <w:t>1, 2</w:t>
      </w:r>
      <w:r w:rsidRPr="000A14B0">
        <w:rPr>
          <w:sz w:val="22"/>
          <w:szCs w:val="22"/>
        </w:rPr>
        <w:t xml:space="preserve"> and </w:t>
      </w:r>
      <w:r w:rsidR="00500DCD" w:rsidRPr="000A14B0">
        <w:rPr>
          <w:sz w:val="22"/>
          <w:szCs w:val="22"/>
        </w:rPr>
        <w:t>3</w:t>
      </w:r>
      <w:r w:rsidRPr="000A14B0">
        <w:rPr>
          <w:sz w:val="22"/>
          <w:szCs w:val="22"/>
        </w:rPr>
        <w:t xml:space="preserve"> months. Th</w:t>
      </w:r>
      <w:r w:rsidR="00D22823" w:rsidRPr="000A14B0">
        <w:rPr>
          <w:sz w:val="22"/>
          <w:szCs w:val="22"/>
        </w:rPr>
        <w:t xml:space="preserve">e assessment of the recorded endoscopic video of preoperative and </w:t>
      </w:r>
      <w:r w:rsidRPr="000A14B0">
        <w:rPr>
          <w:sz w:val="22"/>
          <w:szCs w:val="22"/>
        </w:rPr>
        <w:t xml:space="preserve">postoperative </w:t>
      </w:r>
      <w:r w:rsidR="00D22823" w:rsidRPr="000A14B0">
        <w:rPr>
          <w:sz w:val="22"/>
          <w:szCs w:val="22"/>
        </w:rPr>
        <w:t>sinuses</w:t>
      </w:r>
      <w:r w:rsidRPr="000A14B0">
        <w:rPr>
          <w:sz w:val="22"/>
          <w:szCs w:val="22"/>
        </w:rPr>
        <w:t xml:space="preserve"> will be performed by two independent </w:t>
      </w:r>
      <w:r w:rsidR="00D22823" w:rsidRPr="000A14B0">
        <w:rPr>
          <w:sz w:val="22"/>
          <w:szCs w:val="22"/>
        </w:rPr>
        <w:t>consultant otolaryngologists</w:t>
      </w:r>
      <w:r w:rsidR="00500DCD" w:rsidRPr="000A14B0">
        <w:rPr>
          <w:sz w:val="22"/>
          <w:szCs w:val="22"/>
        </w:rPr>
        <w:t xml:space="preserve"> who were</w:t>
      </w:r>
      <w:r w:rsidRPr="000A14B0">
        <w:rPr>
          <w:sz w:val="22"/>
          <w:szCs w:val="22"/>
        </w:rPr>
        <w:t xml:space="preserve"> not present at the initial operation</w:t>
      </w:r>
      <w:r w:rsidR="00D22823" w:rsidRPr="000A14B0">
        <w:rPr>
          <w:sz w:val="22"/>
          <w:szCs w:val="22"/>
        </w:rPr>
        <w:t xml:space="preserve">, blinded to the intervention received. </w:t>
      </w:r>
      <w:r w:rsidR="00394212">
        <w:rPr>
          <w:sz w:val="22"/>
          <w:szCs w:val="22"/>
        </w:rPr>
        <w:t>At day 1, 7 and 14 postoperatively, serum ACTH and serum cortisol will be collected from the patient. At day 7, 14 and 1 month, tonometry will be performed.</w:t>
      </w:r>
    </w:p>
    <w:p w14:paraId="6A1E1F22" w14:textId="209D4A3F" w:rsidR="008078B1" w:rsidRDefault="008078B1" w:rsidP="005228DF">
      <w:pPr>
        <w:spacing w:line="276" w:lineRule="auto"/>
        <w:rPr>
          <w:sz w:val="21"/>
          <w:szCs w:val="21"/>
        </w:rPr>
      </w:pPr>
    </w:p>
    <w:p w14:paraId="4D362622" w14:textId="314BFFF7" w:rsidR="008078B1" w:rsidRDefault="008078B1" w:rsidP="005228DF">
      <w:pPr>
        <w:spacing w:line="276" w:lineRule="auto"/>
        <w:rPr>
          <w:sz w:val="21"/>
          <w:szCs w:val="21"/>
        </w:rPr>
      </w:pPr>
      <w:r>
        <w:rPr>
          <w:b/>
          <w:bCs/>
          <w:sz w:val="21"/>
          <w:szCs w:val="21"/>
          <w:u w:val="single"/>
        </w:rPr>
        <w:t>Co</w:t>
      </w:r>
      <w:r w:rsidRPr="008078B1">
        <w:rPr>
          <w:b/>
          <w:bCs/>
          <w:sz w:val="21"/>
          <w:szCs w:val="21"/>
          <w:u w:val="single"/>
        </w:rPr>
        <w:t>nsent</w:t>
      </w:r>
    </w:p>
    <w:p w14:paraId="5AEA02EA" w14:textId="34075653" w:rsidR="00553D95" w:rsidRPr="000A14B0" w:rsidRDefault="008078B1" w:rsidP="005228DF">
      <w:pPr>
        <w:spacing w:line="276" w:lineRule="auto"/>
        <w:rPr>
          <w:sz w:val="22"/>
          <w:szCs w:val="22"/>
        </w:rPr>
      </w:pPr>
      <w:r w:rsidRPr="000A14B0">
        <w:rPr>
          <w:sz w:val="22"/>
          <w:szCs w:val="22"/>
        </w:rPr>
        <w:t xml:space="preserve">Verbal and written consent will be gained from consenting participants prior to their inclusion in the trial. Consent may be withdrawn by the participant at any time and will not affect the care they receive. </w:t>
      </w:r>
    </w:p>
    <w:p w14:paraId="16FABCC1" w14:textId="124F6ED2" w:rsidR="008078B1" w:rsidRPr="000A14B0" w:rsidRDefault="008078B1" w:rsidP="005228DF">
      <w:pPr>
        <w:spacing w:line="276" w:lineRule="auto"/>
        <w:rPr>
          <w:sz w:val="22"/>
          <w:szCs w:val="22"/>
        </w:rPr>
      </w:pPr>
    </w:p>
    <w:p w14:paraId="0C5B1D7F" w14:textId="3E751BC4" w:rsidR="008078B1" w:rsidRPr="000A14B0" w:rsidRDefault="008078B1" w:rsidP="005228DF">
      <w:pPr>
        <w:spacing w:line="276" w:lineRule="auto"/>
        <w:rPr>
          <w:sz w:val="22"/>
          <w:szCs w:val="22"/>
        </w:rPr>
      </w:pPr>
      <w:r w:rsidRPr="000A14B0">
        <w:rPr>
          <w:sz w:val="22"/>
          <w:szCs w:val="22"/>
        </w:rPr>
        <w:t>Patients who require a FESS will be consented for a FESS as per normal operating procedure. Should they further meet inclusion/exclusion criteria, they will be consented for involvement in this trial. All four arms of the trial will be explained, with a Participant Information Form provided to them for their perusal. The data required for collection will be outlined to them, and the difference between investigations that are sta</w:t>
      </w:r>
      <w:r w:rsidR="00344F21" w:rsidRPr="000A14B0">
        <w:rPr>
          <w:sz w:val="22"/>
          <w:szCs w:val="22"/>
        </w:rPr>
        <w:t>n</w:t>
      </w:r>
      <w:r w:rsidRPr="000A14B0">
        <w:rPr>
          <w:sz w:val="22"/>
          <w:szCs w:val="22"/>
        </w:rPr>
        <w:t>dard procedure and investigations that are for the sole purpose of this trial will be explained.</w:t>
      </w:r>
    </w:p>
    <w:p w14:paraId="1168BA4E" w14:textId="7A6C9AF7" w:rsidR="008078B1" w:rsidRPr="000A14B0" w:rsidRDefault="008078B1" w:rsidP="005228DF">
      <w:pPr>
        <w:spacing w:line="276" w:lineRule="auto"/>
        <w:rPr>
          <w:sz w:val="22"/>
          <w:szCs w:val="22"/>
        </w:rPr>
      </w:pPr>
    </w:p>
    <w:p w14:paraId="3381EA78" w14:textId="35FF0DC0" w:rsidR="008078B1" w:rsidRPr="000A14B0" w:rsidRDefault="008078B1" w:rsidP="005228DF">
      <w:pPr>
        <w:spacing w:line="276" w:lineRule="auto"/>
        <w:rPr>
          <w:sz w:val="22"/>
          <w:szCs w:val="22"/>
        </w:rPr>
      </w:pPr>
      <w:r w:rsidRPr="000A14B0">
        <w:rPr>
          <w:sz w:val="22"/>
          <w:szCs w:val="22"/>
        </w:rPr>
        <w:t>All participants who are involved in the trial will have provided informed written and verbal consent.</w:t>
      </w:r>
    </w:p>
    <w:p w14:paraId="628FE5E9" w14:textId="6520D099" w:rsidR="008078B1" w:rsidRDefault="008078B1" w:rsidP="005228DF">
      <w:pPr>
        <w:spacing w:line="276" w:lineRule="auto"/>
        <w:rPr>
          <w:sz w:val="21"/>
          <w:szCs w:val="21"/>
        </w:rPr>
      </w:pPr>
    </w:p>
    <w:p w14:paraId="46D76F84" w14:textId="51DDF923" w:rsidR="00475EC8" w:rsidRDefault="00475EC8" w:rsidP="005228DF">
      <w:pPr>
        <w:spacing w:line="276" w:lineRule="auto"/>
        <w:rPr>
          <w:sz w:val="21"/>
          <w:szCs w:val="21"/>
        </w:rPr>
      </w:pPr>
    </w:p>
    <w:p w14:paraId="4BAB99EB" w14:textId="72F42D3D" w:rsidR="00475EC8" w:rsidRPr="00475EC8" w:rsidRDefault="00475EC8" w:rsidP="005228DF">
      <w:pPr>
        <w:spacing w:line="276" w:lineRule="auto"/>
        <w:rPr>
          <w:b/>
          <w:bCs/>
          <w:sz w:val="21"/>
          <w:szCs w:val="21"/>
          <w:u w:val="single"/>
        </w:rPr>
      </w:pPr>
      <w:r w:rsidRPr="00475EC8">
        <w:rPr>
          <w:b/>
          <w:bCs/>
          <w:sz w:val="21"/>
          <w:szCs w:val="21"/>
          <w:u w:val="single"/>
        </w:rPr>
        <w:lastRenderedPageBreak/>
        <w:t>Risks</w:t>
      </w:r>
    </w:p>
    <w:p w14:paraId="3E52057E" w14:textId="21D9AD60" w:rsidR="00475EC8" w:rsidRDefault="00475EC8" w:rsidP="00475EC8">
      <w:pPr>
        <w:spacing w:line="276" w:lineRule="auto"/>
        <w:rPr>
          <w:sz w:val="22"/>
          <w:szCs w:val="22"/>
          <w:lang w:val="en-US"/>
        </w:rPr>
      </w:pPr>
      <w:r w:rsidRPr="00475EC8">
        <w:rPr>
          <w:sz w:val="22"/>
          <w:szCs w:val="22"/>
          <w:lang w:val="en-US"/>
        </w:rPr>
        <w:t>The risks associated with being involved in this trial are minimal, and centre around the risks of the FESS surgery itself. Risks of physical and psychological harm are the same as those attributed to the FESS operation. All data is deidentified to protect privacy and no sensitive personal information is collected.</w:t>
      </w:r>
      <w:r>
        <w:rPr>
          <w:sz w:val="22"/>
          <w:szCs w:val="22"/>
          <w:lang w:val="en-US"/>
        </w:rPr>
        <w:t xml:space="preserve"> There will be no economic harm to participants as participation in the trial is free, with all associated follow-up costs the same as </w:t>
      </w:r>
      <w:r w:rsidR="00100F3E">
        <w:rPr>
          <w:sz w:val="22"/>
          <w:szCs w:val="22"/>
          <w:lang w:val="en-US"/>
        </w:rPr>
        <w:t xml:space="preserve">standard patients undergoing a FESS. </w:t>
      </w:r>
    </w:p>
    <w:p w14:paraId="36DCF2F3" w14:textId="55611B29" w:rsidR="00100F3E" w:rsidRDefault="00100F3E" w:rsidP="00475EC8">
      <w:pPr>
        <w:spacing w:line="276" w:lineRule="auto"/>
        <w:rPr>
          <w:sz w:val="22"/>
          <w:szCs w:val="22"/>
          <w:lang w:val="en-US"/>
        </w:rPr>
      </w:pPr>
    </w:p>
    <w:p w14:paraId="095BC74B" w14:textId="1D371F0B" w:rsidR="00100F3E" w:rsidRDefault="00100F3E" w:rsidP="00475EC8">
      <w:pPr>
        <w:spacing w:line="276" w:lineRule="auto"/>
        <w:rPr>
          <w:sz w:val="22"/>
          <w:szCs w:val="22"/>
          <w:lang w:val="en-US"/>
        </w:rPr>
      </w:pPr>
      <w:r>
        <w:rPr>
          <w:sz w:val="22"/>
          <w:szCs w:val="22"/>
          <w:lang w:val="en-US"/>
        </w:rPr>
        <w:t>The only additional risk that this trial confers is:</w:t>
      </w:r>
    </w:p>
    <w:p w14:paraId="66AE9953" w14:textId="1E7E7744" w:rsidR="00100F3E" w:rsidRDefault="00100F3E" w:rsidP="00100F3E">
      <w:pPr>
        <w:pStyle w:val="ListParagraph"/>
        <w:numPr>
          <w:ilvl w:val="0"/>
          <w:numId w:val="6"/>
        </w:numPr>
        <w:spacing w:line="276" w:lineRule="auto"/>
        <w:rPr>
          <w:sz w:val="22"/>
          <w:szCs w:val="22"/>
          <w:lang w:val="en-US"/>
        </w:rPr>
      </w:pPr>
      <w:r>
        <w:rPr>
          <w:sz w:val="22"/>
          <w:szCs w:val="22"/>
          <w:lang w:val="en-US"/>
        </w:rPr>
        <w:t>Inconvenience</w:t>
      </w:r>
    </w:p>
    <w:p w14:paraId="74B23ECC" w14:textId="6194D8B2" w:rsidR="00100F3E" w:rsidRDefault="00100F3E" w:rsidP="00100F3E">
      <w:pPr>
        <w:pStyle w:val="ListParagraph"/>
        <w:numPr>
          <w:ilvl w:val="1"/>
          <w:numId w:val="6"/>
        </w:numPr>
        <w:spacing w:line="276" w:lineRule="auto"/>
        <w:rPr>
          <w:sz w:val="22"/>
          <w:szCs w:val="22"/>
          <w:lang w:val="en-US"/>
        </w:rPr>
      </w:pPr>
      <w:r>
        <w:rPr>
          <w:sz w:val="22"/>
          <w:szCs w:val="22"/>
          <w:lang w:val="en-US"/>
        </w:rPr>
        <w:t xml:space="preserve">Despite the designated follow-up times (7 days, 14 days, 1 month, 2 months, 3 months) being routine, the addition of SNOT-22 Questionnaires at 14 days, 1 month, 2 month, 3 months postoperatively represents a minor inconvenience to the patient. These questionnaires will take approximately 5 minutes on each occasion. </w:t>
      </w:r>
    </w:p>
    <w:p w14:paraId="2649FC55" w14:textId="63FD08E6" w:rsidR="008C7D5D" w:rsidRDefault="008C7D5D" w:rsidP="00100F3E">
      <w:pPr>
        <w:pStyle w:val="ListParagraph"/>
        <w:numPr>
          <w:ilvl w:val="1"/>
          <w:numId w:val="6"/>
        </w:numPr>
        <w:spacing w:line="276" w:lineRule="auto"/>
        <w:rPr>
          <w:sz w:val="22"/>
          <w:szCs w:val="22"/>
          <w:lang w:val="en-US"/>
        </w:rPr>
      </w:pPr>
      <w:r>
        <w:rPr>
          <w:sz w:val="22"/>
          <w:szCs w:val="22"/>
          <w:lang w:val="en-US"/>
        </w:rPr>
        <w:t xml:space="preserve">Tonometry (painless) will be performed at each postoperative follow-up encounter – will take approximately 2 additional minutes. </w:t>
      </w:r>
    </w:p>
    <w:p w14:paraId="0C3128D7" w14:textId="7346774C" w:rsidR="00100F3E" w:rsidRDefault="008C7D5D" w:rsidP="00100F3E">
      <w:pPr>
        <w:pStyle w:val="ListParagraph"/>
        <w:numPr>
          <w:ilvl w:val="0"/>
          <w:numId w:val="6"/>
        </w:numPr>
        <w:spacing w:line="276" w:lineRule="auto"/>
        <w:rPr>
          <w:sz w:val="22"/>
          <w:szCs w:val="22"/>
          <w:lang w:val="en-US"/>
        </w:rPr>
      </w:pPr>
      <w:r>
        <w:rPr>
          <w:sz w:val="22"/>
          <w:szCs w:val="22"/>
          <w:lang w:val="en-US"/>
        </w:rPr>
        <w:t>3</w:t>
      </w:r>
      <w:r w:rsidR="00100F3E">
        <w:rPr>
          <w:sz w:val="22"/>
          <w:szCs w:val="22"/>
          <w:lang w:val="en-US"/>
        </w:rPr>
        <w:t>x Additional Blood Tests</w:t>
      </w:r>
    </w:p>
    <w:p w14:paraId="6929B723" w14:textId="74F100AF" w:rsidR="008C7D5D" w:rsidRPr="008C7D5D" w:rsidRDefault="008C7D5D" w:rsidP="008C7D5D">
      <w:pPr>
        <w:pStyle w:val="ListParagraph"/>
        <w:numPr>
          <w:ilvl w:val="1"/>
          <w:numId w:val="6"/>
        </w:numPr>
        <w:spacing w:line="276" w:lineRule="auto"/>
        <w:rPr>
          <w:sz w:val="22"/>
          <w:szCs w:val="22"/>
          <w:lang w:val="en-US"/>
        </w:rPr>
      </w:pPr>
      <w:r>
        <w:rPr>
          <w:sz w:val="22"/>
          <w:szCs w:val="22"/>
          <w:lang w:val="en-US"/>
        </w:rPr>
        <w:t>Routinely, blood is tested</w:t>
      </w:r>
      <w:r w:rsidR="00100F3E">
        <w:rPr>
          <w:sz w:val="22"/>
          <w:szCs w:val="22"/>
          <w:lang w:val="en-US"/>
        </w:rPr>
        <w:t xml:space="preserve"> preoperatively, however will</w:t>
      </w:r>
      <w:r>
        <w:rPr>
          <w:sz w:val="22"/>
          <w:szCs w:val="22"/>
          <w:lang w:val="en-US"/>
        </w:rPr>
        <w:t xml:space="preserve"> it</w:t>
      </w:r>
      <w:r w:rsidR="00100F3E">
        <w:rPr>
          <w:sz w:val="22"/>
          <w:szCs w:val="22"/>
          <w:lang w:val="en-US"/>
        </w:rPr>
        <w:t xml:space="preserve"> also be collected on postoperative day 1, </w:t>
      </w:r>
      <w:r>
        <w:rPr>
          <w:sz w:val="22"/>
          <w:szCs w:val="22"/>
          <w:lang w:val="en-US"/>
        </w:rPr>
        <w:t>1 week postoperatively, 2 weeks postoperatively for measurements of serum ACTH and serum cortisol.</w:t>
      </w:r>
    </w:p>
    <w:p w14:paraId="1C787F9D" w14:textId="097B14A5" w:rsidR="00475EC8" w:rsidRPr="008C7D5D" w:rsidRDefault="00100F3E" w:rsidP="008C7D5D">
      <w:pPr>
        <w:pStyle w:val="ListParagraph"/>
        <w:numPr>
          <w:ilvl w:val="0"/>
          <w:numId w:val="6"/>
        </w:numPr>
        <w:spacing w:line="276" w:lineRule="auto"/>
        <w:rPr>
          <w:sz w:val="21"/>
          <w:szCs w:val="21"/>
        </w:rPr>
      </w:pPr>
      <w:r>
        <w:rPr>
          <w:sz w:val="22"/>
          <w:szCs w:val="22"/>
          <w:lang w:val="en-US"/>
        </w:rPr>
        <w:t>Incidental Findings</w:t>
      </w:r>
    </w:p>
    <w:p w14:paraId="51D3C546" w14:textId="214C4622" w:rsidR="008C7D5D" w:rsidRDefault="008C7D5D" w:rsidP="008C7D5D">
      <w:pPr>
        <w:pStyle w:val="ListParagraph"/>
        <w:numPr>
          <w:ilvl w:val="1"/>
          <w:numId w:val="6"/>
        </w:numPr>
        <w:spacing w:line="276" w:lineRule="auto"/>
        <w:rPr>
          <w:sz w:val="21"/>
          <w:szCs w:val="21"/>
        </w:rPr>
      </w:pPr>
      <w:r>
        <w:rPr>
          <w:sz w:val="22"/>
          <w:szCs w:val="22"/>
          <w:lang w:val="en-US"/>
        </w:rPr>
        <w:t xml:space="preserve">Any incidental findings of intraocular hypertension or HPA-axis suppression will be managed by referral to the appropriate specialty. </w:t>
      </w:r>
    </w:p>
    <w:p w14:paraId="7F621717" w14:textId="77777777" w:rsidR="00475EC8" w:rsidRDefault="00475EC8" w:rsidP="005228DF">
      <w:pPr>
        <w:spacing w:line="276" w:lineRule="auto"/>
        <w:rPr>
          <w:sz w:val="21"/>
          <w:szCs w:val="21"/>
        </w:rPr>
      </w:pPr>
    </w:p>
    <w:p w14:paraId="6AA2EC7B" w14:textId="28752A56" w:rsidR="00475EC8" w:rsidRDefault="00475EC8" w:rsidP="005228DF">
      <w:pPr>
        <w:spacing w:line="276" w:lineRule="auto"/>
        <w:rPr>
          <w:b/>
          <w:bCs/>
          <w:sz w:val="21"/>
          <w:szCs w:val="21"/>
          <w:u w:val="single"/>
        </w:rPr>
      </w:pPr>
      <w:r w:rsidRPr="00475EC8">
        <w:rPr>
          <w:b/>
          <w:bCs/>
          <w:sz w:val="21"/>
          <w:szCs w:val="21"/>
          <w:u w:val="single"/>
        </w:rPr>
        <w:t>Benefits</w:t>
      </w:r>
    </w:p>
    <w:p w14:paraId="70DB4162" w14:textId="77777777" w:rsidR="00850D57" w:rsidRDefault="009F2F8D" w:rsidP="00EE7C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sz w:val="22"/>
          <w:szCs w:val="22"/>
        </w:rPr>
      </w:pPr>
      <w:r w:rsidRPr="00EE7C95">
        <w:rPr>
          <w:sz w:val="22"/>
          <w:szCs w:val="22"/>
        </w:rPr>
        <w:t xml:space="preserve">The benefits of participating in the trial </w:t>
      </w:r>
      <w:r w:rsidR="00EE7C95">
        <w:rPr>
          <w:sz w:val="22"/>
          <w:szCs w:val="22"/>
        </w:rPr>
        <w:t xml:space="preserve">is that it aims to </w:t>
      </w:r>
      <w:r w:rsidR="00EE7C95" w:rsidRPr="00EE7C95">
        <w:rPr>
          <w:sz w:val="22"/>
          <w:szCs w:val="22"/>
        </w:rPr>
        <w:t>further medical knowledge and may improve outcomes of functional endoscopic sinus surgery in the future,</w:t>
      </w:r>
      <w:r w:rsidR="00850D57">
        <w:rPr>
          <w:sz w:val="22"/>
          <w:szCs w:val="22"/>
        </w:rPr>
        <w:t xml:space="preserve"> the longevity of the desired outcomes of f</w:t>
      </w:r>
      <w:r w:rsidR="00850D57" w:rsidRPr="00EE7C95">
        <w:rPr>
          <w:sz w:val="22"/>
          <w:szCs w:val="22"/>
        </w:rPr>
        <w:t>unctional endoscopic sinus surgery</w:t>
      </w:r>
      <w:r w:rsidR="00850D57">
        <w:rPr>
          <w:sz w:val="22"/>
          <w:szCs w:val="22"/>
        </w:rPr>
        <w:t xml:space="preserve"> and thus reduce the rate and need of revision FESS.</w:t>
      </w:r>
    </w:p>
    <w:p w14:paraId="0726F151" w14:textId="77777777" w:rsidR="00850D57" w:rsidRDefault="00850D57" w:rsidP="00EE7C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sz w:val="22"/>
          <w:szCs w:val="22"/>
        </w:rPr>
      </w:pPr>
    </w:p>
    <w:p w14:paraId="1FA2C390" w14:textId="524CB6DF" w:rsidR="00644841" w:rsidRPr="00EE7C95" w:rsidRDefault="00850D57" w:rsidP="00EE7C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uppressAutoHyphens/>
        <w:spacing w:line="276" w:lineRule="auto"/>
        <w:rPr>
          <w:rFonts w:ascii="Arial" w:hAnsi="Arial" w:cs="Arial"/>
          <w:sz w:val="22"/>
          <w:szCs w:val="22"/>
          <w:lang w:val="en-AU"/>
        </w:rPr>
      </w:pPr>
      <w:r>
        <w:rPr>
          <w:sz w:val="22"/>
          <w:szCs w:val="22"/>
        </w:rPr>
        <w:t>The study’s</w:t>
      </w:r>
      <w:r w:rsidR="00EE7C95">
        <w:rPr>
          <w:sz w:val="22"/>
          <w:szCs w:val="22"/>
        </w:rPr>
        <w:t xml:space="preserve"> benefit to each individual </w:t>
      </w:r>
      <w:r w:rsidR="000A14B0">
        <w:rPr>
          <w:sz w:val="22"/>
          <w:szCs w:val="22"/>
        </w:rPr>
        <w:t>patient,</w:t>
      </w:r>
      <w:r w:rsidR="00EE7C95">
        <w:rPr>
          <w:sz w:val="22"/>
          <w:szCs w:val="22"/>
        </w:rPr>
        <w:t xml:space="preserve"> </w:t>
      </w:r>
      <w:r>
        <w:rPr>
          <w:sz w:val="22"/>
          <w:szCs w:val="22"/>
        </w:rPr>
        <w:t>however, is unknown, hence the reason for this trial.</w:t>
      </w:r>
    </w:p>
    <w:p w14:paraId="6F9B9215" w14:textId="77777777" w:rsidR="00344F21" w:rsidRDefault="00344F21" w:rsidP="005228DF">
      <w:pPr>
        <w:spacing w:line="276" w:lineRule="auto"/>
        <w:rPr>
          <w:sz w:val="21"/>
          <w:szCs w:val="21"/>
        </w:rPr>
      </w:pPr>
    </w:p>
    <w:p w14:paraId="3D97D2B5" w14:textId="24F6DB91" w:rsidR="00553D95" w:rsidRPr="00553D95" w:rsidRDefault="00553D95" w:rsidP="005228DF">
      <w:pPr>
        <w:spacing w:line="276" w:lineRule="auto"/>
        <w:rPr>
          <w:b/>
          <w:bCs/>
          <w:sz w:val="21"/>
          <w:szCs w:val="21"/>
          <w:u w:val="single"/>
        </w:rPr>
      </w:pPr>
      <w:r w:rsidRPr="00553D95">
        <w:rPr>
          <w:b/>
          <w:bCs/>
          <w:sz w:val="21"/>
          <w:szCs w:val="21"/>
          <w:u w:val="single"/>
        </w:rPr>
        <w:t>Statistical Methods</w:t>
      </w:r>
    </w:p>
    <w:p w14:paraId="6787C0EB" w14:textId="33B60110" w:rsidR="005228DF" w:rsidRDefault="00553D95" w:rsidP="005B6985">
      <w:pPr>
        <w:spacing w:line="276" w:lineRule="auto"/>
        <w:rPr>
          <w:sz w:val="22"/>
          <w:szCs w:val="22"/>
          <w:lang w:val="en-US"/>
        </w:rPr>
      </w:pPr>
      <w:r>
        <w:rPr>
          <w:sz w:val="22"/>
          <w:szCs w:val="22"/>
          <w:lang w:val="en-US"/>
        </w:rPr>
        <w:t xml:space="preserve">All data will be presented in the mean +/- standard deviation format. Differences between intervention group will be assessed </w:t>
      </w:r>
      <w:r w:rsidR="00BE2544">
        <w:rPr>
          <w:sz w:val="22"/>
          <w:szCs w:val="22"/>
          <w:lang w:val="en-US"/>
        </w:rPr>
        <w:t xml:space="preserve">with a two-sample </w:t>
      </w:r>
      <w:r w:rsidR="00BE2544">
        <w:rPr>
          <w:i/>
          <w:iCs/>
          <w:sz w:val="22"/>
          <w:szCs w:val="22"/>
          <w:lang w:val="en-US"/>
        </w:rPr>
        <w:t>t</w:t>
      </w:r>
      <w:r w:rsidR="00BE2544" w:rsidRPr="00BE2544">
        <w:rPr>
          <w:i/>
          <w:iCs/>
          <w:sz w:val="22"/>
          <w:szCs w:val="22"/>
          <w:lang w:val="en-US"/>
        </w:rPr>
        <w:t>-test</w:t>
      </w:r>
      <w:r w:rsidR="00BE2544">
        <w:rPr>
          <w:sz w:val="22"/>
          <w:szCs w:val="22"/>
          <w:lang w:val="en-US"/>
        </w:rPr>
        <w:t xml:space="preserve"> if normally distributed, or the with the M</w:t>
      </w:r>
      <w:r>
        <w:rPr>
          <w:sz w:val="22"/>
          <w:szCs w:val="22"/>
          <w:lang w:val="en-US"/>
        </w:rPr>
        <w:t>ann-Whitney U (</w:t>
      </w:r>
      <w:r w:rsidR="00BE2544">
        <w:rPr>
          <w:sz w:val="22"/>
          <w:szCs w:val="22"/>
          <w:lang w:val="en-US"/>
        </w:rPr>
        <w:t>Wilcoxon</w:t>
      </w:r>
      <w:r>
        <w:rPr>
          <w:sz w:val="22"/>
          <w:szCs w:val="22"/>
          <w:lang w:val="en-US"/>
        </w:rPr>
        <w:t xml:space="preserve"> Rank Sum) test</w:t>
      </w:r>
      <w:r w:rsidR="00BE2544">
        <w:rPr>
          <w:sz w:val="22"/>
          <w:szCs w:val="22"/>
          <w:lang w:val="en-US"/>
        </w:rPr>
        <w:t xml:space="preserve"> if skewed.</w:t>
      </w:r>
      <w:r>
        <w:rPr>
          <w:sz w:val="22"/>
          <w:szCs w:val="22"/>
          <w:lang w:val="en-US"/>
        </w:rPr>
        <w:t xml:space="preserve"> </w:t>
      </w:r>
      <w:r w:rsidR="00BE2544">
        <w:rPr>
          <w:sz w:val="22"/>
          <w:szCs w:val="22"/>
          <w:lang w:val="en-US"/>
        </w:rPr>
        <w:t xml:space="preserve">All differences will be presented with a </w:t>
      </w:r>
      <w:r>
        <w:rPr>
          <w:sz w:val="22"/>
          <w:szCs w:val="22"/>
          <w:lang w:val="en-US"/>
        </w:rPr>
        <w:t xml:space="preserve">95% confidence interval, with statistical significance defined as a p &lt; 0.05. </w:t>
      </w:r>
    </w:p>
    <w:p w14:paraId="7F4FAD4A" w14:textId="77777777" w:rsidR="00553D95" w:rsidRDefault="00553D95" w:rsidP="005B6985">
      <w:pPr>
        <w:spacing w:line="276" w:lineRule="auto"/>
        <w:rPr>
          <w:sz w:val="22"/>
          <w:szCs w:val="22"/>
          <w:lang w:val="en-US"/>
        </w:rPr>
      </w:pPr>
    </w:p>
    <w:p w14:paraId="613FB973" w14:textId="64BA6597" w:rsidR="00EE7C95" w:rsidRDefault="00EE7C95" w:rsidP="005B6985">
      <w:pPr>
        <w:spacing w:line="276" w:lineRule="auto"/>
        <w:rPr>
          <w:sz w:val="22"/>
          <w:szCs w:val="22"/>
          <w:lang w:val="en-US"/>
        </w:rPr>
      </w:pPr>
    </w:p>
    <w:p w14:paraId="5DD83283" w14:textId="17B21633" w:rsidR="00EE7C95" w:rsidRDefault="00EE7C95" w:rsidP="005B6985">
      <w:pPr>
        <w:spacing w:line="276" w:lineRule="auto"/>
        <w:rPr>
          <w:sz w:val="22"/>
          <w:szCs w:val="22"/>
          <w:lang w:val="en-US"/>
        </w:rPr>
      </w:pPr>
    </w:p>
    <w:p w14:paraId="260A73D4" w14:textId="77777777" w:rsidR="004A7D1D" w:rsidRDefault="004A7D1D" w:rsidP="005B6985">
      <w:pPr>
        <w:spacing w:line="276" w:lineRule="auto"/>
        <w:rPr>
          <w:sz w:val="22"/>
          <w:szCs w:val="22"/>
          <w:lang w:val="en-US"/>
        </w:rPr>
      </w:pPr>
    </w:p>
    <w:p w14:paraId="048EC2C7" w14:textId="73D2F068" w:rsidR="00733B8C" w:rsidRDefault="00733B8C" w:rsidP="005B6985">
      <w:pPr>
        <w:spacing w:line="276" w:lineRule="auto"/>
        <w:rPr>
          <w:sz w:val="22"/>
          <w:szCs w:val="22"/>
          <w:lang w:val="en-US"/>
        </w:rPr>
      </w:pPr>
    </w:p>
    <w:p w14:paraId="655D94A9" w14:textId="49B29E90" w:rsidR="00733B8C" w:rsidRDefault="00733B8C" w:rsidP="005B6985">
      <w:pPr>
        <w:spacing w:line="276" w:lineRule="auto"/>
        <w:rPr>
          <w:b/>
          <w:bCs/>
          <w:sz w:val="22"/>
          <w:szCs w:val="22"/>
          <w:u w:val="single"/>
          <w:lang w:val="en-US"/>
        </w:rPr>
      </w:pPr>
      <w:r w:rsidRPr="00733B8C">
        <w:rPr>
          <w:b/>
          <w:bCs/>
          <w:sz w:val="22"/>
          <w:szCs w:val="22"/>
          <w:u w:val="single"/>
          <w:lang w:val="en-US"/>
        </w:rPr>
        <w:t>References</w:t>
      </w:r>
    </w:p>
    <w:p w14:paraId="0B6D12E8" w14:textId="77777777" w:rsidR="00733B8C" w:rsidRPr="00733B8C" w:rsidRDefault="00733B8C" w:rsidP="00733B8C">
      <w:pPr>
        <w:pStyle w:val="ListParagraph"/>
        <w:numPr>
          <w:ilvl w:val="0"/>
          <w:numId w:val="7"/>
        </w:numPr>
        <w:spacing w:line="276" w:lineRule="auto"/>
        <w:rPr>
          <w:sz w:val="22"/>
          <w:szCs w:val="22"/>
          <w:lang w:val="en-US"/>
        </w:rPr>
      </w:pPr>
      <w:r w:rsidRPr="00733B8C">
        <w:rPr>
          <w:sz w:val="22"/>
          <w:szCs w:val="22"/>
          <w:lang w:val="en-US"/>
        </w:rPr>
        <w:t xml:space="preserve">Bhattacharyya N. Contemporary Assessment of the Disease Burden of Sinusitis. </w:t>
      </w:r>
      <w:r w:rsidRPr="00733B8C">
        <w:rPr>
          <w:i/>
          <w:sz w:val="22"/>
          <w:szCs w:val="22"/>
          <w:lang w:val="en-US"/>
        </w:rPr>
        <w:t xml:space="preserve">Allergy &amp; Rhinology. </w:t>
      </w:r>
      <w:r w:rsidRPr="00733B8C">
        <w:rPr>
          <w:sz w:val="22"/>
          <w:szCs w:val="22"/>
          <w:lang w:val="en-US"/>
        </w:rPr>
        <w:t>2010;1(1</w:t>
      </w:r>
      <w:proofErr w:type="gramStart"/>
      <w:r w:rsidRPr="00733B8C">
        <w:rPr>
          <w:sz w:val="22"/>
          <w:szCs w:val="22"/>
          <w:lang w:val="en-US"/>
        </w:rPr>
        <w:t>):ajra</w:t>
      </w:r>
      <w:proofErr w:type="gramEnd"/>
      <w:r w:rsidRPr="00733B8C">
        <w:rPr>
          <w:sz w:val="22"/>
          <w:szCs w:val="22"/>
          <w:lang w:val="en-US"/>
        </w:rPr>
        <w:t>.2009.2023.3355.</w:t>
      </w:r>
    </w:p>
    <w:p w14:paraId="0D19125A" w14:textId="77777777" w:rsidR="00733B8C" w:rsidRPr="00733B8C" w:rsidRDefault="00733B8C" w:rsidP="00733B8C">
      <w:pPr>
        <w:pStyle w:val="ListParagraph"/>
        <w:numPr>
          <w:ilvl w:val="0"/>
          <w:numId w:val="7"/>
        </w:numPr>
        <w:spacing w:line="276" w:lineRule="auto"/>
        <w:rPr>
          <w:sz w:val="22"/>
          <w:szCs w:val="22"/>
          <w:lang w:val="en-US"/>
        </w:rPr>
      </w:pPr>
      <w:proofErr w:type="spellStart"/>
      <w:r w:rsidRPr="00733B8C">
        <w:rPr>
          <w:sz w:val="22"/>
          <w:szCs w:val="22"/>
          <w:lang w:val="en-US"/>
        </w:rPr>
        <w:t>DeConde</w:t>
      </w:r>
      <w:proofErr w:type="spellEnd"/>
      <w:r w:rsidRPr="00733B8C">
        <w:rPr>
          <w:sz w:val="22"/>
          <w:szCs w:val="22"/>
          <w:lang w:val="en-US"/>
        </w:rPr>
        <w:t xml:space="preserve"> AS, Soler ZM. Chronic Rhinosinusitis: Epidemiology and Burden of Disease. American Journal of Rhinology &amp; Allergy. 2016;30(2):134-139.</w:t>
      </w:r>
    </w:p>
    <w:p w14:paraId="0DBBD22A" w14:textId="77777777" w:rsidR="00733B8C" w:rsidRPr="00733B8C" w:rsidRDefault="00733B8C" w:rsidP="00733B8C">
      <w:pPr>
        <w:pStyle w:val="ListParagraph"/>
        <w:numPr>
          <w:ilvl w:val="0"/>
          <w:numId w:val="7"/>
        </w:numPr>
        <w:spacing w:line="276" w:lineRule="auto"/>
        <w:rPr>
          <w:sz w:val="22"/>
          <w:szCs w:val="22"/>
          <w:lang w:val="en-US"/>
        </w:rPr>
      </w:pPr>
      <w:proofErr w:type="spellStart"/>
      <w:r w:rsidRPr="00733B8C">
        <w:rPr>
          <w:sz w:val="22"/>
          <w:szCs w:val="22"/>
          <w:lang w:val="en-US"/>
        </w:rPr>
        <w:t>Orlandi</w:t>
      </w:r>
      <w:proofErr w:type="spellEnd"/>
      <w:r w:rsidRPr="00733B8C">
        <w:rPr>
          <w:sz w:val="22"/>
          <w:szCs w:val="22"/>
          <w:lang w:val="en-US"/>
        </w:rPr>
        <w:t xml:space="preserve"> RR, Kingdom TT, Hwang PH, et al. International Consensus Statement on Allergy and Rhinology: Rhinosinusitis. Int Forum Allergy </w:t>
      </w:r>
      <w:proofErr w:type="spellStart"/>
      <w:r w:rsidRPr="00733B8C">
        <w:rPr>
          <w:sz w:val="22"/>
          <w:szCs w:val="22"/>
          <w:lang w:val="en-US"/>
        </w:rPr>
        <w:t>Rhinol</w:t>
      </w:r>
      <w:proofErr w:type="spellEnd"/>
      <w:r w:rsidRPr="00733B8C">
        <w:rPr>
          <w:sz w:val="22"/>
          <w:szCs w:val="22"/>
          <w:lang w:val="en-US"/>
        </w:rPr>
        <w:t xml:space="preserve">. 2016;6 Suppl </w:t>
      </w:r>
      <w:proofErr w:type="gramStart"/>
      <w:r w:rsidRPr="00733B8C">
        <w:rPr>
          <w:sz w:val="22"/>
          <w:szCs w:val="22"/>
          <w:lang w:val="en-US"/>
        </w:rPr>
        <w:t>1:S</w:t>
      </w:r>
      <w:proofErr w:type="gramEnd"/>
      <w:r w:rsidRPr="00733B8C">
        <w:rPr>
          <w:sz w:val="22"/>
          <w:szCs w:val="22"/>
          <w:lang w:val="en-US"/>
        </w:rPr>
        <w:t>22-209.</w:t>
      </w:r>
    </w:p>
    <w:p w14:paraId="616DBB2D" w14:textId="77777777" w:rsidR="00733B8C" w:rsidRPr="00733B8C" w:rsidRDefault="00733B8C" w:rsidP="00733B8C">
      <w:pPr>
        <w:pStyle w:val="ListParagraph"/>
        <w:numPr>
          <w:ilvl w:val="0"/>
          <w:numId w:val="7"/>
        </w:numPr>
        <w:spacing w:line="276" w:lineRule="auto"/>
        <w:rPr>
          <w:sz w:val="22"/>
          <w:szCs w:val="22"/>
          <w:lang w:val="en-US"/>
        </w:rPr>
      </w:pPr>
      <w:r w:rsidRPr="00733B8C">
        <w:rPr>
          <w:sz w:val="22"/>
          <w:szCs w:val="22"/>
          <w:lang w:val="en-US"/>
        </w:rPr>
        <w:t xml:space="preserve">Harvey R, Hannan SA, </w:t>
      </w:r>
      <w:proofErr w:type="spellStart"/>
      <w:r w:rsidRPr="00733B8C">
        <w:rPr>
          <w:sz w:val="22"/>
          <w:szCs w:val="22"/>
          <w:lang w:val="en-US"/>
        </w:rPr>
        <w:t>Badia</w:t>
      </w:r>
      <w:proofErr w:type="spellEnd"/>
      <w:r w:rsidRPr="00733B8C">
        <w:rPr>
          <w:sz w:val="22"/>
          <w:szCs w:val="22"/>
          <w:lang w:val="en-US"/>
        </w:rPr>
        <w:t xml:space="preserve"> L, </w:t>
      </w:r>
      <w:proofErr w:type="spellStart"/>
      <w:r w:rsidRPr="00733B8C">
        <w:rPr>
          <w:sz w:val="22"/>
          <w:szCs w:val="22"/>
          <w:lang w:val="en-US"/>
        </w:rPr>
        <w:t>Scadding</w:t>
      </w:r>
      <w:proofErr w:type="spellEnd"/>
      <w:r w:rsidRPr="00733B8C">
        <w:rPr>
          <w:sz w:val="22"/>
          <w:szCs w:val="22"/>
          <w:lang w:val="en-US"/>
        </w:rPr>
        <w:t xml:space="preserve"> G. Nasal saline irrigations for the symptoms of chronic rhinosinusitis. Cochrane Database of Systematic Reviews. 2007(3).</w:t>
      </w:r>
    </w:p>
    <w:p w14:paraId="5047E211" w14:textId="516237C5" w:rsidR="007F022B" w:rsidRPr="007F022B" w:rsidRDefault="007F022B" w:rsidP="007F022B">
      <w:pPr>
        <w:pStyle w:val="ListParagraph"/>
        <w:numPr>
          <w:ilvl w:val="0"/>
          <w:numId w:val="7"/>
        </w:numPr>
        <w:spacing w:line="276" w:lineRule="auto"/>
        <w:rPr>
          <w:sz w:val="22"/>
          <w:szCs w:val="22"/>
          <w:lang w:val="en-US"/>
        </w:rPr>
      </w:pPr>
      <w:r w:rsidRPr="007F022B">
        <w:rPr>
          <w:sz w:val="22"/>
          <w:szCs w:val="22"/>
          <w:lang w:val="en-US"/>
        </w:rPr>
        <w:lastRenderedPageBreak/>
        <w:t>Lazar RH, Younis RT, Long TE. Functional endonasal sinus surgery in adults and children. The Laryngoscope. 1993;103(1):1-5.</w:t>
      </w:r>
    </w:p>
    <w:p w14:paraId="70B89777" w14:textId="73F2EB03" w:rsidR="007F022B" w:rsidRPr="007F022B" w:rsidRDefault="007F022B" w:rsidP="007F022B">
      <w:pPr>
        <w:pStyle w:val="ListParagraph"/>
        <w:numPr>
          <w:ilvl w:val="0"/>
          <w:numId w:val="7"/>
        </w:numPr>
        <w:spacing w:line="276" w:lineRule="auto"/>
        <w:rPr>
          <w:sz w:val="22"/>
          <w:szCs w:val="22"/>
          <w:lang w:val="en-US"/>
        </w:rPr>
      </w:pPr>
      <w:r w:rsidRPr="007F022B">
        <w:rPr>
          <w:sz w:val="22"/>
          <w:szCs w:val="22"/>
          <w:lang w:val="en-US"/>
        </w:rPr>
        <w:t>Luong A, Marple BF. Sinus surgery. Clinical Reviews in Allergy &amp; Immunology. 2006;30(3):217-222.</w:t>
      </w:r>
    </w:p>
    <w:p w14:paraId="3F646E2C" w14:textId="37A5B081" w:rsidR="00733B8C" w:rsidRPr="00DB655C" w:rsidRDefault="007F022B" w:rsidP="007F022B">
      <w:pPr>
        <w:pStyle w:val="ListParagraph"/>
        <w:numPr>
          <w:ilvl w:val="0"/>
          <w:numId w:val="7"/>
        </w:numPr>
        <w:spacing w:line="276" w:lineRule="auto"/>
        <w:rPr>
          <w:sz w:val="22"/>
          <w:szCs w:val="22"/>
          <w:lang w:val="en-US"/>
        </w:rPr>
      </w:pPr>
      <w:r w:rsidRPr="007F022B">
        <w:rPr>
          <w:sz w:val="22"/>
          <w:szCs w:val="22"/>
          <w:lang w:val="en-US"/>
        </w:rPr>
        <w:t xml:space="preserve">Smith TL, Batra PS, </w:t>
      </w:r>
      <w:proofErr w:type="spellStart"/>
      <w:r w:rsidRPr="007F022B">
        <w:rPr>
          <w:sz w:val="22"/>
          <w:szCs w:val="22"/>
          <w:lang w:val="en-US"/>
        </w:rPr>
        <w:t>Seiden</w:t>
      </w:r>
      <w:proofErr w:type="spellEnd"/>
      <w:r w:rsidRPr="007F022B">
        <w:rPr>
          <w:sz w:val="22"/>
          <w:szCs w:val="22"/>
          <w:lang w:val="en-US"/>
        </w:rPr>
        <w:t xml:space="preserve"> AM, </w:t>
      </w:r>
      <w:proofErr w:type="spellStart"/>
      <w:r w:rsidRPr="007F022B">
        <w:rPr>
          <w:sz w:val="22"/>
          <w:szCs w:val="22"/>
          <w:lang w:val="en-US"/>
        </w:rPr>
        <w:t>Hannley</w:t>
      </w:r>
      <w:proofErr w:type="spellEnd"/>
      <w:r w:rsidRPr="007F022B">
        <w:rPr>
          <w:sz w:val="22"/>
          <w:szCs w:val="22"/>
          <w:lang w:val="en-US"/>
        </w:rPr>
        <w:t xml:space="preserve"> M. Evidence Supporting Endoscopic Sinus Surgery in the Management of Adult Chronic Rhinosinusitis: A</w:t>
      </w:r>
      <w:r w:rsidR="00DB655C" w:rsidRPr="00DB655C">
        <w:rPr>
          <w:rFonts w:ascii="Arial" w:hAnsi="Arial" w:cs="Arial"/>
          <w:noProof/>
        </w:rPr>
        <w:t xml:space="preserve"> </w:t>
      </w:r>
      <w:r w:rsidR="00DB655C" w:rsidRPr="00DB655C">
        <w:rPr>
          <w:sz w:val="22"/>
          <w:szCs w:val="22"/>
        </w:rPr>
        <w:t xml:space="preserve">Systematic Review. </w:t>
      </w:r>
      <w:r w:rsidR="00DB655C" w:rsidRPr="00DB655C">
        <w:rPr>
          <w:i/>
          <w:sz w:val="22"/>
          <w:szCs w:val="22"/>
        </w:rPr>
        <w:t xml:space="preserve">American Journal of Rhinology. </w:t>
      </w:r>
      <w:r w:rsidR="00DB655C" w:rsidRPr="00DB655C">
        <w:rPr>
          <w:sz w:val="22"/>
          <w:szCs w:val="22"/>
        </w:rPr>
        <w:t>2005;19(6):537-543.</w:t>
      </w:r>
    </w:p>
    <w:p w14:paraId="10C7D029" w14:textId="74353C36" w:rsidR="00DB655C" w:rsidRPr="00DB655C" w:rsidRDefault="00DB655C" w:rsidP="00DB655C">
      <w:pPr>
        <w:pStyle w:val="ListParagraph"/>
        <w:numPr>
          <w:ilvl w:val="0"/>
          <w:numId w:val="7"/>
        </w:numPr>
        <w:spacing w:line="276" w:lineRule="auto"/>
        <w:rPr>
          <w:sz w:val="22"/>
          <w:szCs w:val="22"/>
          <w:lang w:val="en-US"/>
        </w:rPr>
      </w:pPr>
      <w:r w:rsidRPr="00DB655C">
        <w:rPr>
          <w:sz w:val="22"/>
          <w:szCs w:val="22"/>
          <w:lang w:val="en-US"/>
        </w:rPr>
        <w:t>Ramadan HH. Surgical Causes of Failure in Endoscopic Sinus Surgery. The Laryngoscope. 1999;109(1):27-29.</w:t>
      </w:r>
    </w:p>
    <w:p w14:paraId="5C89716F" w14:textId="1604C270" w:rsidR="00DB655C" w:rsidRPr="00DB655C" w:rsidRDefault="00DB655C" w:rsidP="00DB655C">
      <w:pPr>
        <w:pStyle w:val="ListParagraph"/>
        <w:numPr>
          <w:ilvl w:val="0"/>
          <w:numId w:val="7"/>
        </w:numPr>
        <w:spacing w:line="276" w:lineRule="auto"/>
        <w:rPr>
          <w:sz w:val="22"/>
          <w:szCs w:val="22"/>
          <w:lang w:val="en-US"/>
        </w:rPr>
      </w:pPr>
      <w:r w:rsidRPr="00DB655C">
        <w:rPr>
          <w:sz w:val="22"/>
          <w:szCs w:val="22"/>
          <w:lang w:val="en-US"/>
        </w:rPr>
        <w:t xml:space="preserve">Stein NR, Jafari A, </w:t>
      </w:r>
      <w:proofErr w:type="spellStart"/>
      <w:r w:rsidRPr="00DB655C">
        <w:rPr>
          <w:sz w:val="22"/>
          <w:szCs w:val="22"/>
          <w:lang w:val="en-US"/>
        </w:rPr>
        <w:t>DeConde</w:t>
      </w:r>
      <w:proofErr w:type="spellEnd"/>
      <w:r w:rsidRPr="00DB655C">
        <w:rPr>
          <w:sz w:val="22"/>
          <w:szCs w:val="22"/>
          <w:lang w:val="en-US"/>
        </w:rPr>
        <w:t xml:space="preserve"> AS. Revision rates and time to revision following endoscopic sinus surgery: A large database analysis. The Laryngoscope. 2018;128(1):31-36.</w:t>
      </w:r>
    </w:p>
    <w:p w14:paraId="1FD1A68A" w14:textId="0404B466" w:rsidR="00DB655C" w:rsidRPr="00DB655C" w:rsidRDefault="00DB655C" w:rsidP="00DB655C">
      <w:pPr>
        <w:pStyle w:val="ListParagraph"/>
        <w:numPr>
          <w:ilvl w:val="0"/>
          <w:numId w:val="7"/>
        </w:numPr>
        <w:spacing w:line="276" w:lineRule="auto"/>
        <w:rPr>
          <w:sz w:val="22"/>
          <w:szCs w:val="22"/>
          <w:lang w:val="en-US"/>
        </w:rPr>
      </w:pPr>
      <w:proofErr w:type="spellStart"/>
      <w:r w:rsidRPr="00DB655C">
        <w:rPr>
          <w:sz w:val="22"/>
          <w:szCs w:val="22"/>
          <w:lang w:val="en-US"/>
        </w:rPr>
        <w:t>DeConde</w:t>
      </w:r>
      <w:proofErr w:type="spellEnd"/>
      <w:r w:rsidRPr="00DB655C">
        <w:rPr>
          <w:sz w:val="22"/>
          <w:szCs w:val="22"/>
          <w:lang w:val="en-US"/>
        </w:rPr>
        <w:t xml:space="preserve"> AS, Mace JC, Levy JM, </w:t>
      </w:r>
      <w:proofErr w:type="spellStart"/>
      <w:r w:rsidRPr="00DB655C">
        <w:rPr>
          <w:sz w:val="22"/>
          <w:szCs w:val="22"/>
          <w:lang w:val="en-US"/>
        </w:rPr>
        <w:t>Rudmik</w:t>
      </w:r>
      <w:proofErr w:type="spellEnd"/>
      <w:r w:rsidRPr="00DB655C">
        <w:rPr>
          <w:sz w:val="22"/>
          <w:szCs w:val="22"/>
          <w:lang w:val="en-US"/>
        </w:rPr>
        <w:t xml:space="preserve"> L, Alt JA, Smith TL. Prevalence of polyp recurrence after endoscopic sinus surgery for chronic rhinosinusitis with nasal polyposis. The Laryngoscope. 2017;127(3):550-555.</w:t>
      </w:r>
    </w:p>
    <w:p w14:paraId="6A711F39" w14:textId="6C231A04" w:rsidR="00DB655C" w:rsidRPr="00DB655C" w:rsidRDefault="00DB655C" w:rsidP="00DB655C">
      <w:pPr>
        <w:pStyle w:val="ListParagraph"/>
        <w:numPr>
          <w:ilvl w:val="0"/>
          <w:numId w:val="7"/>
        </w:numPr>
        <w:spacing w:line="276" w:lineRule="auto"/>
        <w:rPr>
          <w:sz w:val="22"/>
          <w:szCs w:val="22"/>
          <w:lang w:val="en-US"/>
        </w:rPr>
      </w:pPr>
      <w:proofErr w:type="spellStart"/>
      <w:r w:rsidRPr="00DB655C">
        <w:rPr>
          <w:sz w:val="22"/>
          <w:szCs w:val="22"/>
          <w:lang w:val="en-US"/>
        </w:rPr>
        <w:t>Fandino</w:t>
      </w:r>
      <w:proofErr w:type="spellEnd"/>
      <w:r w:rsidRPr="00DB655C">
        <w:rPr>
          <w:sz w:val="22"/>
          <w:szCs w:val="22"/>
          <w:lang w:val="en-US"/>
        </w:rPr>
        <w:t xml:space="preserve"> M, Macdonald KI, Lee J, </w:t>
      </w:r>
      <w:proofErr w:type="spellStart"/>
      <w:r w:rsidRPr="00DB655C">
        <w:rPr>
          <w:sz w:val="22"/>
          <w:szCs w:val="22"/>
          <w:lang w:val="en-US"/>
        </w:rPr>
        <w:t>Witterick</w:t>
      </w:r>
      <w:proofErr w:type="spellEnd"/>
      <w:r w:rsidRPr="00DB655C">
        <w:rPr>
          <w:sz w:val="22"/>
          <w:szCs w:val="22"/>
          <w:lang w:val="en-US"/>
        </w:rPr>
        <w:t xml:space="preserve"> IJ. The use of postoperative topical corticosteroids in chronic rhinosinusitis with nasal polyps: a systematic review and meta-analysis. Am J </w:t>
      </w:r>
      <w:proofErr w:type="spellStart"/>
      <w:r w:rsidRPr="00DB655C">
        <w:rPr>
          <w:sz w:val="22"/>
          <w:szCs w:val="22"/>
          <w:lang w:val="en-US"/>
        </w:rPr>
        <w:t>Rhinol</w:t>
      </w:r>
      <w:proofErr w:type="spellEnd"/>
      <w:r w:rsidRPr="00DB655C">
        <w:rPr>
          <w:sz w:val="22"/>
          <w:szCs w:val="22"/>
          <w:lang w:val="en-US"/>
        </w:rPr>
        <w:t xml:space="preserve"> Allergy. 2013;27(5</w:t>
      </w:r>
      <w:proofErr w:type="gramStart"/>
      <w:r w:rsidRPr="00DB655C">
        <w:rPr>
          <w:sz w:val="22"/>
          <w:szCs w:val="22"/>
          <w:lang w:val="en-US"/>
        </w:rPr>
        <w:t>):e</w:t>
      </w:r>
      <w:proofErr w:type="gramEnd"/>
      <w:r w:rsidRPr="00DB655C">
        <w:rPr>
          <w:sz w:val="22"/>
          <w:szCs w:val="22"/>
          <w:lang w:val="en-US"/>
        </w:rPr>
        <w:t>146-157.</w:t>
      </w:r>
    </w:p>
    <w:sectPr w:rsidR="00DB655C" w:rsidRPr="00DB655C" w:rsidSect="00864641">
      <w:footerReference w:type="even" r:id="rId8"/>
      <w:footerReference w:type="default" r:id="rId9"/>
      <w:pgSz w:w="11900" w:h="16840"/>
      <w:pgMar w:top="851" w:right="851" w:bottom="851" w:left="851"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6A4D4" w14:textId="77777777" w:rsidR="00041CDA" w:rsidRDefault="00041CDA" w:rsidP="00864641">
      <w:r>
        <w:separator/>
      </w:r>
    </w:p>
  </w:endnote>
  <w:endnote w:type="continuationSeparator" w:id="0">
    <w:p w14:paraId="4F14DDEC" w14:textId="77777777" w:rsidR="00041CDA" w:rsidRDefault="00041CDA" w:rsidP="0086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Light">
    <w:altName w:val="﷽﷽﷽﷽﷽﷽﷽﷽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4869791"/>
      <w:docPartObj>
        <w:docPartGallery w:val="Page Numbers (Bottom of Page)"/>
        <w:docPartUnique/>
      </w:docPartObj>
    </w:sdtPr>
    <w:sdtEndPr>
      <w:rPr>
        <w:rStyle w:val="PageNumber"/>
      </w:rPr>
    </w:sdtEndPr>
    <w:sdtContent>
      <w:p w14:paraId="17A52F79" w14:textId="1F117376" w:rsidR="00864641" w:rsidRDefault="00864641" w:rsidP="007A759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6A1658" w14:textId="77777777" w:rsidR="00864641" w:rsidRDefault="00864641" w:rsidP="008646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60936" w14:textId="3D2B5BBC" w:rsidR="007160C7" w:rsidRDefault="00041CDA" w:rsidP="007A759F">
    <w:pPr>
      <w:pStyle w:val="Footer"/>
      <w:framePr w:wrap="none" w:vAnchor="text" w:hAnchor="margin" w:y="1"/>
      <w:rPr>
        <w:rStyle w:val="PageNumber"/>
        <w:rFonts w:ascii="Helvetica Light" w:hAnsi="Helvetica Light"/>
      </w:rPr>
    </w:pPr>
    <w:sdt>
      <w:sdtPr>
        <w:rPr>
          <w:rStyle w:val="PageNumber"/>
          <w:rFonts w:ascii="Helvetica Light" w:hAnsi="Helvetica Light"/>
        </w:rPr>
        <w:id w:val="1102919193"/>
        <w:docPartObj>
          <w:docPartGallery w:val="Page Numbers (Bottom of Page)"/>
          <w:docPartUnique/>
        </w:docPartObj>
      </w:sdtPr>
      <w:sdtEndPr>
        <w:rPr>
          <w:rStyle w:val="PageNumber"/>
        </w:rPr>
      </w:sdtEndPr>
      <w:sdtContent>
        <w:r w:rsidR="000C6303">
          <w:rPr>
            <w:rStyle w:val="PageNumber"/>
            <w:rFonts w:ascii="Helvetica Light" w:hAnsi="Helvetica Light"/>
          </w:rPr>
          <w:t xml:space="preserve">Page </w:t>
        </w:r>
        <w:r w:rsidR="007160C7">
          <w:rPr>
            <w:rStyle w:val="PageNumber"/>
            <w:rFonts w:ascii="Helvetica Light" w:hAnsi="Helvetica Light"/>
          </w:rPr>
          <w:fldChar w:fldCharType="begin"/>
        </w:r>
        <w:r w:rsidR="007160C7">
          <w:rPr>
            <w:rStyle w:val="PageNumber"/>
            <w:rFonts w:ascii="Helvetica Light" w:hAnsi="Helvetica Light"/>
          </w:rPr>
          <w:instrText xml:space="preserve"> PAGE  \* MERGEFORMAT </w:instrText>
        </w:r>
        <w:r w:rsidR="007160C7">
          <w:rPr>
            <w:rStyle w:val="PageNumber"/>
            <w:rFonts w:ascii="Helvetica Light" w:hAnsi="Helvetica Light"/>
          </w:rPr>
          <w:fldChar w:fldCharType="separate"/>
        </w:r>
        <w:r w:rsidR="007160C7">
          <w:rPr>
            <w:rStyle w:val="PageNumber"/>
            <w:rFonts w:ascii="Helvetica Light" w:hAnsi="Helvetica Light"/>
            <w:noProof/>
          </w:rPr>
          <w:t>1</w:t>
        </w:r>
        <w:r w:rsidR="007160C7">
          <w:rPr>
            <w:rStyle w:val="PageNumber"/>
            <w:rFonts w:ascii="Helvetica Light" w:hAnsi="Helvetica Light"/>
          </w:rPr>
          <w:fldChar w:fldCharType="end"/>
        </w:r>
        <w:r w:rsidR="007160C7">
          <w:rPr>
            <w:rStyle w:val="PageNumber"/>
            <w:rFonts w:ascii="Helvetica Light" w:hAnsi="Helvetica Light"/>
          </w:rPr>
          <w:t xml:space="preserve"> of </w:t>
        </w:r>
        <w:r w:rsidR="007160C7">
          <w:rPr>
            <w:rStyle w:val="PageNumber"/>
            <w:rFonts w:ascii="Helvetica Light" w:hAnsi="Helvetica Light"/>
          </w:rPr>
          <w:fldChar w:fldCharType="begin"/>
        </w:r>
        <w:r w:rsidR="007160C7">
          <w:rPr>
            <w:rStyle w:val="PageNumber"/>
            <w:rFonts w:ascii="Helvetica Light" w:hAnsi="Helvetica Light"/>
          </w:rPr>
          <w:instrText xml:space="preserve"> NUMPAGES  \* MERGEFORMAT </w:instrText>
        </w:r>
        <w:r w:rsidR="007160C7">
          <w:rPr>
            <w:rStyle w:val="PageNumber"/>
            <w:rFonts w:ascii="Helvetica Light" w:hAnsi="Helvetica Light"/>
          </w:rPr>
          <w:fldChar w:fldCharType="separate"/>
        </w:r>
        <w:r w:rsidR="007160C7">
          <w:rPr>
            <w:rStyle w:val="PageNumber"/>
            <w:rFonts w:ascii="Helvetica Light" w:hAnsi="Helvetica Light"/>
            <w:noProof/>
          </w:rPr>
          <w:t>5</w:t>
        </w:r>
        <w:r w:rsidR="007160C7">
          <w:rPr>
            <w:rStyle w:val="PageNumber"/>
            <w:rFonts w:ascii="Helvetica Light" w:hAnsi="Helvetica Light"/>
          </w:rPr>
          <w:fldChar w:fldCharType="end"/>
        </w:r>
      </w:sdtContent>
    </w:sdt>
    <w:r w:rsidR="007160C7">
      <w:rPr>
        <w:rStyle w:val="PageNumber"/>
        <w:rFonts w:ascii="Helvetica Light" w:hAnsi="Helvetica Light"/>
      </w:rPr>
      <w:t xml:space="preserve"> – Project Protocol, Version </w:t>
    </w:r>
    <w:r w:rsidR="003D551F">
      <w:rPr>
        <w:rStyle w:val="PageNumber"/>
        <w:rFonts w:ascii="Helvetica Light" w:hAnsi="Helvetica Light"/>
      </w:rPr>
      <w:t>2</w:t>
    </w:r>
    <w:r w:rsidR="007160C7">
      <w:rPr>
        <w:rStyle w:val="PageNumber"/>
        <w:rFonts w:ascii="Helvetica Light" w:hAnsi="Helvetica Light"/>
      </w:rPr>
      <w:t xml:space="preserve">, </w:t>
    </w:r>
    <w:r w:rsidR="003D551F">
      <w:rPr>
        <w:rStyle w:val="PageNumber"/>
        <w:rFonts w:ascii="Helvetica Light" w:hAnsi="Helvetica Light"/>
      </w:rPr>
      <w:t>30</w:t>
    </w:r>
    <w:r w:rsidR="007160C7" w:rsidRPr="007160C7">
      <w:rPr>
        <w:rStyle w:val="PageNumber"/>
        <w:rFonts w:ascii="Helvetica Light" w:hAnsi="Helvetica Light"/>
        <w:vertAlign w:val="superscript"/>
      </w:rPr>
      <w:t>th</w:t>
    </w:r>
    <w:r w:rsidR="007160C7">
      <w:rPr>
        <w:rStyle w:val="PageNumber"/>
        <w:rFonts w:ascii="Helvetica Light" w:hAnsi="Helvetica Light"/>
      </w:rPr>
      <w:t xml:space="preserve"> November 2020</w:t>
    </w:r>
  </w:p>
  <w:p w14:paraId="5184FBE8" w14:textId="77777777" w:rsidR="007160C7" w:rsidRPr="00864641" w:rsidRDefault="007160C7" w:rsidP="007A759F">
    <w:pPr>
      <w:pStyle w:val="Footer"/>
      <w:framePr w:wrap="none" w:vAnchor="text" w:hAnchor="margin" w:y="1"/>
      <w:rPr>
        <w:rStyle w:val="PageNumber"/>
        <w:rFonts w:ascii="Helvetica Light" w:hAnsi="Helvetica Light"/>
      </w:rPr>
    </w:pPr>
  </w:p>
  <w:p w14:paraId="739D8723" w14:textId="6D352647" w:rsidR="00864641" w:rsidRPr="00864641" w:rsidRDefault="00864641" w:rsidP="00864641">
    <w:pPr>
      <w:pStyle w:val="Footer"/>
      <w:ind w:firstLine="360"/>
      <w:jc w:val="right"/>
      <w:rPr>
        <w:rFonts w:ascii="Helvetica Light" w:hAnsi="Helvetica Ligh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C777B" w14:textId="77777777" w:rsidR="00041CDA" w:rsidRDefault="00041CDA" w:rsidP="00864641">
      <w:r>
        <w:separator/>
      </w:r>
    </w:p>
  </w:footnote>
  <w:footnote w:type="continuationSeparator" w:id="0">
    <w:p w14:paraId="3FF04B85" w14:textId="77777777" w:rsidR="00041CDA" w:rsidRDefault="00041CDA" w:rsidP="00864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DD17D3"/>
    <w:multiLevelType w:val="hybridMultilevel"/>
    <w:tmpl w:val="DCC630EC"/>
    <w:lvl w:ilvl="0" w:tplc="951CD3B2">
      <w:start w:val="60"/>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B6921"/>
    <w:multiLevelType w:val="hybridMultilevel"/>
    <w:tmpl w:val="E4B81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F70A7B"/>
    <w:multiLevelType w:val="hybridMultilevel"/>
    <w:tmpl w:val="A18E3C34"/>
    <w:lvl w:ilvl="0" w:tplc="951CD3B2">
      <w:start w:val="60"/>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5074C"/>
    <w:multiLevelType w:val="hybridMultilevel"/>
    <w:tmpl w:val="990832BE"/>
    <w:lvl w:ilvl="0" w:tplc="19264FB2">
      <w:start w:val="1"/>
      <w:numFmt w:val="decimal"/>
      <w:lvlText w:val="%1)"/>
      <w:lvlJc w:val="left"/>
      <w:pPr>
        <w:ind w:left="720" w:hanging="360"/>
      </w:pPr>
      <w:rPr>
        <w:rFonts w:ascii="Helvetica" w:eastAsiaTheme="minorHAnsi" w:hAnsi="Helvetic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755894"/>
    <w:multiLevelType w:val="hybridMultilevel"/>
    <w:tmpl w:val="58AEA884"/>
    <w:lvl w:ilvl="0" w:tplc="EDF097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603554"/>
    <w:multiLevelType w:val="hybridMultilevel"/>
    <w:tmpl w:val="005AC422"/>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77D736AC"/>
    <w:multiLevelType w:val="hybridMultilevel"/>
    <w:tmpl w:val="9BCC6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466966"/>
    <w:multiLevelType w:val="hybridMultilevel"/>
    <w:tmpl w:val="A2F0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DE1DE1"/>
    <w:multiLevelType w:val="hybridMultilevel"/>
    <w:tmpl w:val="380EEF50"/>
    <w:lvl w:ilvl="0" w:tplc="951CD3B2">
      <w:numFmt w:val="bullet"/>
      <w:lvlText w:val="-"/>
      <w:lvlJc w:val="left"/>
      <w:pPr>
        <w:ind w:left="720" w:hanging="360"/>
      </w:pPr>
      <w:rPr>
        <w:rFonts w:ascii="Helvetica" w:eastAsiaTheme="minorHAnsi" w:hAnsi="Helvetica"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02701"/>
    <w:multiLevelType w:val="hybridMultilevel"/>
    <w:tmpl w:val="C85CEB9E"/>
    <w:lvl w:ilvl="0" w:tplc="F15043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8"/>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B9"/>
    <w:rsid w:val="00007C22"/>
    <w:rsid w:val="00041CDA"/>
    <w:rsid w:val="000479A5"/>
    <w:rsid w:val="00080F10"/>
    <w:rsid w:val="000A12AB"/>
    <w:rsid w:val="000A14B0"/>
    <w:rsid w:val="000C6303"/>
    <w:rsid w:val="000D54FE"/>
    <w:rsid w:val="00100406"/>
    <w:rsid w:val="00100F3E"/>
    <w:rsid w:val="00114C6B"/>
    <w:rsid w:val="00160315"/>
    <w:rsid w:val="0018536C"/>
    <w:rsid w:val="00186DE0"/>
    <w:rsid w:val="001E1DC4"/>
    <w:rsid w:val="002133F7"/>
    <w:rsid w:val="0025198B"/>
    <w:rsid w:val="00253C1D"/>
    <w:rsid w:val="00287F82"/>
    <w:rsid w:val="002D434A"/>
    <w:rsid w:val="002F3E48"/>
    <w:rsid w:val="00301E3B"/>
    <w:rsid w:val="00307294"/>
    <w:rsid w:val="003171B4"/>
    <w:rsid w:val="00344F21"/>
    <w:rsid w:val="003634E3"/>
    <w:rsid w:val="0036603F"/>
    <w:rsid w:val="00394212"/>
    <w:rsid w:val="00397518"/>
    <w:rsid w:val="003B057D"/>
    <w:rsid w:val="003B6BF9"/>
    <w:rsid w:val="003D551F"/>
    <w:rsid w:val="003E17B5"/>
    <w:rsid w:val="00414235"/>
    <w:rsid w:val="004511B6"/>
    <w:rsid w:val="0047414C"/>
    <w:rsid w:val="00475EC8"/>
    <w:rsid w:val="004841CB"/>
    <w:rsid w:val="004A7D1D"/>
    <w:rsid w:val="004C7CB9"/>
    <w:rsid w:val="004E6869"/>
    <w:rsid w:val="004E7D15"/>
    <w:rsid w:val="00500DCD"/>
    <w:rsid w:val="00521F83"/>
    <w:rsid w:val="005228DF"/>
    <w:rsid w:val="00522E9E"/>
    <w:rsid w:val="00553D95"/>
    <w:rsid w:val="005779FC"/>
    <w:rsid w:val="0058380F"/>
    <w:rsid w:val="005869D9"/>
    <w:rsid w:val="005B6985"/>
    <w:rsid w:val="005C68B1"/>
    <w:rsid w:val="005C6CE3"/>
    <w:rsid w:val="00603278"/>
    <w:rsid w:val="00634A20"/>
    <w:rsid w:val="00644841"/>
    <w:rsid w:val="0068436F"/>
    <w:rsid w:val="006862DF"/>
    <w:rsid w:val="0069171D"/>
    <w:rsid w:val="006A56B0"/>
    <w:rsid w:val="006B70C8"/>
    <w:rsid w:val="006C2E90"/>
    <w:rsid w:val="006C745E"/>
    <w:rsid w:val="006E7590"/>
    <w:rsid w:val="007160C7"/>
    <w:rsid w:val="00733B8C"/>
    <w:rsid w:val="007437AD"/>
    <w:rsid w:val="007A6BCC"/>
    <w:rsid w:val="007B3015"/>
    <w:rsid w:val="007F022B"/>
    <w:rsid w:val="008078B1"/>
    <w:rsid w:val="00847BF1"/>
    <w:rsid w:val="00850D57"/>
    <w:rsid w:val="00864641"/>
    <w:rsid w:val="008B4764"/>
    <w:rsid w:val="008B4A4E"/>
    <w:rsid w:val="008C57FB"/>
    <w:rsid w:val="008C7D5D"/>
    <w:rsid w:val="008D568F"/>
    <w:rsid w:val="008F4A31"/>
    <w:rsid w:val="00956831"/>
    <w:rsid w:val="00986B1E"/>
    <w:rsid w:val="009917F0"/>
    <w:rsid w:val="00996605"/>
    <w:rsid w:val="009C0B78"/>
    <w:rsid w:val="009E7C66"/>
    <w:rsid w:val="009F2F8D"/>
    <w:rsid w:val="00A11208"/>
    <w:rsid w:val="00A2053A"/>
    <w:rsid w:val="00A376D9"/>
    <w:rsid w:val="00A413CD"/>
    <w:rsid w:val="00A602BE"/>
    <w:rsid w:val="00A64429"/>
    <w:rsid w:val="00A7688B"/>
    <w:rsid w:val="00A97007"/>
    <w:rsid w:val="00AA1307"/>
    <w:rsid w:val="00AA6751"/>
    <w:rsid w:val="00AD0776"/>
    <w:rsid w:val="00B14420"/>
    <w:rsid w:val="00B50E54"/>
    <w:rsid w:val="00B5404B"/>
    <w:rsid w:val="00B941B1"/>
    <w:rsid w:val="00BE1415"/>
    <w:rsid w:val="00BE2544"/>
    <w:rsid w:val="00C12A4E"/>
    <w:rsid w:val="00C324A3"/>
    <w:rsid w:val="00C3782D"/>
    <w:rsid w:val="00C53CE5"/>
    <w:rsid w:val="00C93C40"/>
    <w:rsid w:val="00C967CA"/>
    <w:rsid w:val="00CD3BB7"/>
    <w:rsid w:val="00D22823"/>
    <w:rsid w:val="00D611E2"/>
    <w:rsid w:val="00DB2BDE"/>
    <w:rsid w:val="00DB655C"/>
    <w:rsid w:val="00E11F8A"/>
    <w:rsid w:val="00E313D4"/>
    <w:rsid w:val="00E347A7"/>
    <w:rsid w:val="00E44C59"/>
    <w:rsid w:val="00E8466F"/>
    <w:rsid w:val="00ED33CE"/>
    <w:rsid w:val="00EE7C95"/>
    <w:rsid w:val="00EF55EF"/>
    <w:rsid w:val="00F36481"/>
    <w:rsid w:val="00F476E0"/>
    <w:rsid w:val="00F76C04"/>
    <w:rsid w:val="00F90765"/>
    <w:rsid w:val="00FA0CEC"/>
    <w:rsid w:val="00FB2E85"/>
    <w:rsid w:val="00FB72E4"/>
    <w:rsid w:val="00FC6DC9"/>
    <w:rsid w:val="00FD2DE4"/>
    <w:rsid w:val="00FE1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062955"/>
  <w14:defaultImageDpi w14:val="32767"/>
  <w15:chartTrackingRefBased/>
  <w15:docId w15:val="{A7B0D5EA-0A4C-844F-A8CA-2A4B9DDE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7CB9"/>
  </w:style>
  <w:style w:type="paragraph" w:styleId="Heading1">
    <w:name w:val="heading 1"/>
    <w:basedOn w:val="Normal"/>
    <w:next w:val="Normal"/>
    <w:link w:val="Heading1Char"/>
    <w:uiPriority w:val="9"/>
    <w:qFormat/>
    <w:rsid w:val="00FE1E02"/>
    <w:pPr>
      <w:keepNext/>
      <w:keepLines/>
      <w:spacing w:before="240"/>
      <w:outlineLvl w:val="0"/>
    </w:pPr>
    <w:rPr>
      <w:rFonts w:eastAsiaTheme="majorEastAsia" w:cstheme="majorBidi"/>
      <w:b/>
      <w:color w:val="000000" w:themeColor="text1"/>
      <w:sz w:val="32"/>
      <w:szCs w:val="32"/>
      <w:u w:val="single"/>
    </w:rPr>
  </w:style>
  <w:style w:type="paragraph" w:styleId="Heading2">
    <w:name w:val="heading 2"/>
    <w:basedOn w:val="Normal"/>
    <w:next w:val="Normal"/>
    <w:link w:val="Heading2Char"/>
    <w:uiPriority w:val="9"/>
    <w:semiHidden/>
    <w:unhideWhenUsed/>
    <w:qFormat/>
    <w:rsid w:val="00FE1E02"/>
    <w:pPr>
      <w:keepNext/>
      <w:keepLines/>
      <w:spacing w:before="40"/>
      <w:outlineLvl w:val="1"/>
    </w:pPr>
    <w:rPr>
      <w:rFonts w:eastAsiaTheme="majorEastAsia" w:cstheme="majorBidi"/>
      <w:color w:val="000000" w:themeColor="text1"/>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1E02"/>
    <w:pPr>
      <w:contextualSpacing/>
    </w:pPr>
    <w:rPr>
      <w:rFonts w:ascii="Helvetica Light" w:eastAsiaTheme="majorEastAsia" w:hAnsi="Helvetica Light" w:cstheme="majorBidi"/>
      <w:spacing w:val="-10"/>
      <w:kern w:val="28"/>
      <w:sz w:val="56"/>
      <w:szCs w:val="56"/>
      <w:u w:val="single"/>
    </w:rPr>
  </w:style>
  <w:style w:type="character" w:customStyle="1" w:styleId="TitleChar">
    <w:name w:val="Title Char"/>
    <w:basedOn w:val="DefaultParagraphFont"/>
    <w:link w:val="Title"/>
    <w:uiPriority w:val="10"/>
    <w:rsid w:val="00FE1E02"/>
    <w:rPr>
      <w:rFonts w:ascii="Helvetica Light" w:eastAsiaTheme="majorEastAsia" w:hAnsi="Helvetica Light" w:cstheme="majorBidi"/>
      <w:spacing w:val="-10"/>
      <w:kern w:val="28"/>
      <w:sz w:val="56"/>
      <w:szCs w:val="56"/>
      <w:u w:val="single"/>
    </w:rPr>
  </w:style>
  <w:style w:type="character" w:customStyle="1" w:styleId="Heading1Char">
    <w:name w:val="Heading 1 Char"/>
    <w:basedOn w:val="DefaultParagraphFont"/>
    <w:link w:val="Heading1"/>
    <w:uiPriority w:val="9"/>
    <w:rsid w:val="00FE1E02"/>
    <w:rPr>
      <w:rFonts w:eastAsiaTheme="majorEastAsia" w:cstheme="majorBidi"/>
      <w:b/>
      <w:color w:val="000000" w:themeColor="text1"/>
      <w:sz w:val="32"/>
      <w:szCs w:val="32"/>
      <w:u w:val="single"/>
    </w:rPr>
  </w:style>
  <w:style w:type="character" w:customStyle="1" w:styleId="Heading2Char">
    <w:name w:val="Heading 2 Char"/>
    <w:basedOn w:val="DefaultParagraphFont"/>
    <w:link w:val="Heading2"/>
    <w:uiPriority w:val="9"/>
    <w:semiHidden/>
    <w:rsid w:val="00FE1E02"/>
    <w:rPr>
      <w:rFonts w:eastAsiaTheme="majorEastAsia" w:cstheme="majorBidi"/>
      <w:color w:val="000000" w:themeColor="text1"/>
      <w:sz w:val="26"/>
      <w:szCs w:val="26"/>
      <w:u w:val="single"/>
    </w:rPr>
  </w:style>
  <w:style w:type="paragraph" w:styleId="ListParagraph">
    <w:name w:val="List Paragraph"/>
    <w:basedOn w:val="Normal"/>
    <w:uiPriority w:val="34"/>
    <w:qFormat/>
    <w:rsid w:val="005B6985"/>
    <w:pPr>
      <w:ind w:left="720"/>
      <w:contextualSpacing/>
    </w:pPr>
  </w:style>
  <w:style w:type="paragraph" w:customStyle="1" w:styleId="EndNoteBibliography">
    <w:name w:val="EndNote Bibliography"/>
    <w:basedOn w:val="Normal"/>
    <w:link w:val="EndNoteBibliographyChar"/>
    <w:rsid w:val="00733B8C"/>
    <w:rPr>
      <w:sz w:val="20"/>
      <w:lang w:val="en-US"/>
    </w:rPr>
  </w:style>
  <w:style w:type="character" w:customStyle="1" w:styleId="EndNoteBibliographyChar">
    <w:name w:val="EndNote Bibliography Char"/>
    <w:basedOn w:val="DefaultParagraphFont"/>
    <w:link w:val="EndNoteBibliography"/>
    <w:rsid w:val="00733B8C"/>
    <w:rPr>
      <w:sz w:val="20"/>
      <w:lang w:val="en-US"/>
    </w:rPr>
  </w:style>
  <w:style w:type="table" w:styleId="GridTable2">
    <w:name w:val="Grid Table 2"/>
    <w:basedOn w:val="TableNormal"/>
    <w:uiPriority w:val="47"/>
    <w:rsid w:val="007F022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64641"/>
    <w:pPr>
      <w:tabs>
        <w:tab w:val="center" w:pos="4513"/>
        <w:tab w:val="right" w:pos="9026"/>
      </w:tabs>
    </w:pPr>
  </w:style>
  <w:style w:type="character" w:customStyle="1" w:styleId="HeaderChar">
    <w:name w:val="Header Char"/>
    <w:basedOn w:val="DefaultParagraphFont"/>
    <w:link w:val="Header"/>
    <w:uiPriority w:val="99"/>
    <w:rsid w:val="00864641"/>
  </w:style>
  <w:style w:type="paragraph" w:styleId="Footer">
    <w:name w:val="footer"/>
    <w:basedOn w:val="Normal"/>
    <w:link w:val="FooterChar"/>
    <w:uiPriority w:val="99"/>
    <w:unhideWhenUsed/>
    <w:rsid w:val="00864641"/>
    <w:pPr>
      <w:tabs>
        <w:tab w:val="center" w:pos="4513"/>
        <w:tab w:val="right" w:pos="9026"/>
      </w:tabs>
    </w:pPr>
  </w:style>
  <w:style w:type="character" w:customStyle="1" w:styleId="FooterChar">
    <w:name w:val="Footer Char"/>
    <w:basedOn w:val="DefaultParagraphFont"/>
    <w:link w:val="Footer"/>
    <w:uiPriority w:val="99"/>
    <w:rsid w:val="00864641"/>
  </w:style>
  <w:style w:type="character" w:styleId="PageNumber">
    <w:name w:val="page number"/>
    <w:basedOn w:val="DefaultParagraphFont"/>
    <w:uiPriority w:val="99"/>
    <w:semiHidden/>
    <w:unhideWhenUsed/>
    <w:rsid w:val="00864641"/>
  </w:style>
  <w:style w:type="paragraph" w:styleId="BalloonText">
    <w:name w:val="Balloon Text"/>
    <w:basedOn w:val="Normal"/>
    <w:link w:val="BalloonTextChar"/>
    <w:uiPriority w:val="99"/>
    <w:semiHidden/>
    <w:unhideWhenUsed/>
    <w:rsid w:val="00A205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053A"/>
    <w:rPr>
      <w:rFonts w:ascii="Times New Roman" w:hAnsi="Times New Roman" w:cs="Times New Roman"/>
      <w:sz w:val="18"/>
      <w:szCs w:val="18"/>
    </w:rPr>
  </w:style>
  <w:style w:type="character" w:styleId="Hyperlink">
    <w:name w:val="Hyperlink"/>
    <w:basedOn w:val="DefaultParagraphFont"/>
    <w:uiPriority w:val="99"/>
    <w:unhideWhenUsed/>
    <w:rsid w:val="000C6303"/>
    <w:rPr>
      <w:color w:val="0563C1" w:themeColor="hyperlink"/>
      <w:u w:val="single"/>
    </w:rPr>
  </w:style>
  <w:style w:type="character" w:styleId="UnresolvedMention">
    <w:name w:val="Unresolved Mention"/>
    <w:basedOn w:val="DefaultParagraphFont"/>
    <w:uiPriority w:val="99"/>
    <w:rsid w:val="000C6303"/>
    <w:rPr>
      <w:color w:val="605E5C"/>
      <w:shd w:val="clear" w:color="auto" w:fill="E1DFDD"/>
    </w:rPr>
  </w:style>
  <w:style w:type="paragraph" w:styleId="NormalWeb">
    <w:name w:val="Normal (Web)"/>
    <w:basedOn w:val="Normal"/>
    <w:uiPriority w:val="99"/>
    <w:semiHidden/>
    <w:unhideWhenUsed/>
    <w:rsid w:val="00475EC8"/>
    <w:pPr>
      <w:spacing w:before="100" w:beforeAutospacing="1" w:after="100" w:afterAutospacing="1"/>
    </w:pPr>
    <w:rPr>
      <w:rFonts w:ascii="Times New Roman" w:eastAsia="Times New Roman" w:hAnsi="Times New Roman" w:cs="Times New Roman"/>
      <w:lang w:val="en-AU" w:eastAsia="en-GB"/>
    </w:rPr>
  </w:style>
  <w:style w:type="character" w:customStyle="1" w:styleId="apple-converted-space">
    <w:name w:val="apple-converted-space"/>
    <w:basedOn w:val="DefaultParagraphFont"/>
    <w:rsid w:val="0047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20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chael.zhang@outlook.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Zhang</dc:creator>
  <cp:keywords/>
  <dc:description/>
  <cp:lastModifiedBy>Michael Zhang</cp:lastModifiedBy>
  <cp:revision>3</cp:revision>
  <dcterms:created xsi:type="dcterms:W3CDTF">2021-01-11T22:38:00Z</dcterms:created>
  <dcterms:modified xsi:type="dcterms:W3CDTF">2021-01-11T23:51:00Z</dcterms:modified>
</cp:coreProperties>
</file>