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F926" w14:textId="01E3BEA3" w:rsidR="00192ADB" w:rsidRPr="00F6799E" w:rsidRDefault="005B5ADB" w:rsidP="005B5ADB">
      <w:pPr>
        <w:pStyle w:val="Heading1"/>
        <w:jc w:val="center"/>
      </w:pPr>
      <w:r w:rsidRPr="00F6799E">
        <w:t>Statistical analysis plan</w:t>
      </w:r>
    </w:p>
    <w:p w14:paraId="08D753B8" w14:textId="77777777" w:rsidR="005B5ADB" w:rsidRDefault="005B5ADB" w:rsidP="005B5ADB">
      <w:pPr>
        <w:pStyle w:val="Heading2"/>
      </w:pPr>
    </w:p>
    <w:p w14:paraId="7AF5A302" w14:textId="2F346A1B" w:rsidR="005B5ADB" w:rsidRDefault="005B5ADB" w:rsidP="005B5ADB">
      <w:pPr>
        <w:pStyle w:val="Heading2"/>
      </w:pPr>
      <w:r>
        <w:t>Sample size</w:t>
      </w:r>
    </w:p>
    <w:p w14:paraId="3C7B8D98" w14:textId="15A81ACC" w:rsidR="005B5ADB" w:rsidRDefault="005B5ADB" w:rsidP="005B5ADB">
      <w:pPr>
        <w:rPr>
          <w:rFonts w:cs="Times New Roman"/>
        </w:rPr>
      </w:pPr>
      <w:r w:rsidRPr="00E824DF">
        <w:rPr>
          <w:rFonts w:cs="Times New Roman"/>
          <w:i/>
          <w:iCs/>
        </w:rPr>
        <w:t>A priori</w:t>
      </w:r>
      <w:r w:rsidRPr="00E824DF">
        <w:rPr>
          <w:rFonts w:cs="Times New Roman"/>
        </w:rPr>
        <w:t xml:space="preserve"> sample size calculation based on </w:t>
      </w:r>
      <w:r>
        <w:rPr>
          <w:rFonts w:cs="Times New Roman"/>
        </w:rPr>
        <w:t xml:space="preserve">the expected difference between groups for </w:t>
      </w:r>
      <w:r w:rsidRPr="00E824DF">
        <w:rPr>
          <w:rFonts w:cs="Times New Roman"/>
        </w:rPr>
        <w:t xml:space="preserve">size of </w:t>
      </w:r>
      <w:r>
        <w:rPr>
          <w:rFonts w:cs="Times New Roman"/>
        </w:rPr>
        <w:t xml:space="preserve">breast </w:t>
      </w:r>
      <w:r w:rsidRPr="00E824DF">
        <w:rPr>
          <w:rFonts w:cs="Times New Roman"/>
        </w:rPr>
        <w:t>hardness</w:t>
      </w:r>
      <w:r>
        <w:rPr>
          <w:rFonts w:cs="Times New Roman"/>
        </w:rPr>
        <w:t xml:space="preserve"> area</w:t>
      </w:r>
      <w:r w:rsidRPr="00E824DF">
        <w:rPr>
          <w:rFonts w:cs="Times New Roman"/>
        </w:rPr>
        <w:t xml:space="preserve"> </w:t>
      </w:r>
      <w:r>
        <w:rPr>
          <w:rFonts w:cs="Times New Roman"/>
        </w:rPr>
        <w:t xml:space="preserve">over 3 days </w:t>
      </w:r>
      <w:r w:rsidRPr="00E824DF">
        <w:rPr>
          <w:rFonts w:cs="Times New Roman"/>
        </w:rPr>
        <w:t>(unpublished data from previous study by primary supervisor Leanda McKenna)</w:t>
      </w:r>
      <w:r>
        <w:rPr>
          <w:rFonts w:cs="Times New Roman"/>
        </w:rPr>
        <w:t xml:space="preserve"> revealed a </w:t>
      </w:r>
      <w:r w:rsidRPr="00452C72">
        <w:rPr>
          <w:rFonts w:cs="Times New Roman"/>
        </w:rPr>
        <w:t>sample of n=</w:t>
      </w:r>
      <w:r>
        <w:rPr>
          <w:rFonts w:cs="Times New Roman"/>
        </w:rPr>
        <w:t xml:space="preserve"> 156</w:t>
      </w:r>
      <w:r w:rsidRPr="00452C72">
        <w:rPr>
          <w:rFonts w:cs="Times New Roman"/>
        </w:rPr>
        <w:t xml:space="preserve"> (</w:t>
      </w:r>
      <w:r>
        <w:rPr>
          <w:rFonts w:cs="Times New Roman"/>
        </w:rPr>
        <w:t>52</w:t>
      </w:r>
      <w:r w:rsidRPr="00452C72">
        <w:rPr>
          <w:rFonts w:cs="Times New Roman"/>
        </w:rPr>
        <w:t xml:space="preserve"> per group) has 80% power to show an effect size difference f=</w:t>
      </w:r>
      <w:r>
        <w:rPr>
          <w:rFonts w:cs="Times New Roman"/>
        </w:rPr>
        <w:t xml:space="preserve"> </w:t>
      </w:r>
      <w:r w:rsidRPr="00452C72">
        <w:rPr>
          <w:rFonts w:cs="Times New Roman"/>
        </w:rPr>
        <w:t>0.2</w:t>
      </w:r>
      <w:r>
        <w:rPr>
          <w:rFonts w:cs="Times New Roman"/>
        </w:rPr>
        <w:t>0</w:t>
      </w:r>
      <w:r w:rsidRPr="00452C72">
        <w:rPr>
          <w:rFonts w:cs="Times New Roman"/>
        </w:rPr>
        <w:t xml:space="preserve"> (based on mean difference=</w:t>
      </w:r>
      <w:r>
        <w:rPr>
          <w:rFonts w:cs="Times New Roman"/>
        </w:rPr>
        <w:t xml:space="preserve"> 2.0cm</w:t>
      </w:r>
      <w:r w:rsidRPr="001039F4">
        <w:rPr>
          <w:rFonts w:cs="Times New Roman"/>
          <w:vertAlign w:val="superscript"/>
        </w:rPr>
        <w:t>2</w:t>
      </w:r>
      <w:r w:rsidRPr="00452C72">
        <w:rPr>
          <w:rFonts w:cs="Times New Roman"/>
        </w:rPr>
        <w:t xml:space="preserve">, </w:t>
      </w:r>
      <w:r>
        <w:rPr>
          <w:rFonts w:cs="Times New Roman"/>
        </w:rPr>
        <w:t>standard deviation (</w:t>
      </w:r>
      <w:r w:rsidRPr="00452C72">
        <w:rPr>
          <w:rFonts w:cs="Times New Roman"/>
        </w:rPr>
        <w:t>SD</w:t>
      </w:r>
      <w:r>
        <w:rPr>
          <w:rFonts w:cs="Times New Roman"/>
        </w:rPr>
        <w:t>)</w:t>
      </w:r>
      <w:r w:rsidRPr="00452C72">
        <w:rPr>
          <w:rFonts w:cs="Times New Roman"/>
        </w:rPr>
        <w:t>=</w:t>
      </w:r>
      <w:r>
        <w:rPr>
          <w:rFonts w:cs="Times New Roman"/>
        </w:rPr>
        <w:t xml:space="preserve"> </w:t>
      </w:r>
      <w:r w:rsidRPr="00452C72">
        <w:rPr>
          <w:rFonts w:cs="Times New Roman"/>
        </w:rPr>
        <w:t>5</w:t>
      </w:r>
      <w:r>
        <w:rPr>
          <w:rFonts w:cs="Times New Roman"/>
        </w:rPr>
        <w:t>.0cm</w:t>
      </w:r>
      <w:r w:rsidRPr="001039F4">
        <w:rPr>
          <w:rFonts w:cs="Times New Roman"/>
          <w:vertAlign w:val="superscript"/>
        </w:rPr>
        <w:t>2</w:t>
      </w:r>
      <w:r w:rsidRPr="00452C72">
        <w:rPr>
          <w:rFonts w:cs="Times New Roman"/>
        </w:rPr>
        <w:t xml:space="preserve">), in a </w:t>
      </w:r>
      <w:r>
        <w:rPr>
          <w:rFonts w:cs="Times New Roman"/>
        </w:rPr>
        <w:t>linear mixed model</w:t>
      </w:r>
      <w:r w:rsidRPr="00452C72">
        <w:rPr>
          <w:rFonts w:cs="Times New Roman"/>
        </w:rPr>
        <w:t xml:space="preserve"> with 3 groups and </w:t>
      </w:r>
      <w:r>
        <w:rPr>
          <w:rFonts w:cs="Times New Roman"/>
        </w:rPr>
        <w:t>4</w:t>
      </w:r>
      <w:r w:rsidRPr="00452C72">
        <w:rPr>
          <w:rFonts w:cs="Times New Roman"/>
        </w:rPr>
        <w:t xml:space="preserve"> timepoints (G*Power </w:t>
      </w:r>
      <w:r>
        <w:rPr>
          <w:rFonts w:cs="Times New Roman"/>
        </w:rPr>
        <w:t>V</w:t>
      </w:r>
      <w:r w:rsidRPr="00452C72">
        <w:rPr>
          <w:rFonts w:cs="Times New Roman"/>
        </w:rPr>
        <w:t>3.1.9.4)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ADDIN EN.CITE &lt;EndNote&gt;&lt;Cite&gt;&lt;Author&gt;Faul&lt;/Author&gt;&lt;Year&gt;2009&lt;/Year&gt;&lt;RecNum&gt;1498&lt;/RecNum&gt;&lt;DisplayText&gt;&lt;style face="superscript"&gt;1&lt;/style&gt;&lt;/DisplayText&gt;&lt;record&gt;&lt;rec-number&gt;1498&lt;/rec-number&gt;&lt;foreign-keys&gt;&lt;key app="EN" db-id="v2satptdn5tvw8e9dt5xv2s0ft2pv5szr905" timestamp="1592657356"&gt;1498&lt;/key&gt;&lt;/foreign-keys&gt;&lt;ref-type name="Journal Article"&gt;17&lt;/ref-type&gt;&lt;contributors&gt;&lt;authors&gt;&lt;author&gt;Faul, F.&lt;/author&gt;&lt;author&gt;Erdfelder, E.&lt;/author&gt;&lt;author&gt;Buchner, A.&lt;/author&gt;&lt;author&gt;Lang, A. G.&lt;/author&gt;&lt;/authors&gt;&lt;/contributors&gt;&lt;auth-address&gt;Christian-Albrechts-Universität, Kiel, Germany. ffaul@psychologie.uni-kiel.de&lt;/auth-address&gt;&lt;titles&gt;&lt;title&gt;Statistical power analyses using G*Power 3.1: tests for correlation and regression analyses&lt;/title&gt;&lt;secondary-title&gt;Behavior Research Methods&lt;/secondary-title&gt;&lt;/titles&gt;&lt;periodical&gt;&lt;full-title&gt;Behavior Research Methods&lt;/full-title&gt;&lt;/periodical&gt;&lt;pages&gt;1149-60&lt;/pages&gt;&lt;volume&gt;41&lt;/volume&gt;&lt;number&gt;4&lt;/number&gt;&lt;edition&gt;2009/11/10&lt;/edition&gt;&lt;keywords&gt;&lt;keyword&gt;Algorithms&lt;/keyword&gt;&lt;keyword&gt;*Data Interpretation, Statistical&lt;/keyword&gt;&lt;keyword&gt;Linear Models&lt;/keyword&gt;&lt;keyword&gt;Regression Analysis&lt;/keyword&gt;&lt;keyword&gt;*Software&lt;/keyword&gt;&lt;/keywords&gt;&lt;dates&gt;&lt;year&gt;2009&lt;/year&gt;&lt;pub-dates&gt;&lt;date&gt;Nov&lt;/date&gt;&lt;/pub-dates&gt;&lt;/dates&gt;&lt;isbn&gt;1554-351x&lt;/isbn&gt;&lt;accession-num&gt;19897823&lt;/accession-num&gt;&lt;urls&gt;&lt;/urls&gt;&lt;electronic-resource-num&gt;10.3758/brm.41.4.1149&lt;/electronic-resource-num&gt;&lt;remote-database-provider&gt;NLM&lt;/remote-database-provider&gt;&lt;language&gt;eng&lt;/language&gt;&lt;/record&gt;&lt;/Cite&gt;&lt;/EndNote&gt;</w:instrText>
      </w:r>
      <w:r>
        <w:rPr>
          <w:rFonts w:cs="Times New Roman"/>
        </w:rPr>
        <w:fldChar w:fldCharType="separate"/>
      </w:r>
      <w:r w:rsidRPr="005B5ADB">
        <w:rPr>
          <w:rFonts w:cs="Times New Roman"/>
          <w:noProof/>
          <w:vertAlign w:val="superscript"/>
        </w:rPr>
        <w:t>1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. The expected difference in breast milk sodium levels produced similar mean and SD values, thus we are adequately powered for breast milk analysis. </w:t>
      </w:r>
    </w:p>
    <w:p w14:paraId="6AF3E273" w14:textId="540507A9" w:rsidR="005B5ADB" w:rsidRDefault="005B5ADB" w:rsidP="005B5ADB">
      <w:pPr>
        <w:ind w:firstLine="720"/>
        <w:rPr>
          <w:rFonts w:cs="Times New Roman"/>
        </w:rPr>
      </w:pPr>
      <w:r>
        <w:rPr>
          <w:rFonts w:cs="Times New Roman"/>
        </w:rPr>
        <w:t xml:space="preserve">A blinded interim analysis will be conducted by the trial’s statistician when this minimum sample size (n= 156) has been reached, specifically to assess the distribution of antibiotic use across the trial groups. If significant disproportion exists, further recruitment may be necessary to allow statistical comparison. </w:t>
      </w:r>
      <w:r w:rsidRPr="000B432B">
        <w:rPr>
          <w:rFonts w:cs="Times New Roman"/>
        </w:rPr>
        <w:t>At any time throughout the trial, women will be able to seek</w:t>
      </w:r>
      <w:r>
        <w:rPr>
          <w:rFonts w:cs="Times New Roman"/>
        </w:rPr>
        <w:t xml:space="preserve"> </w:t>
      </w:r>
      <w:r w:rsidRPr="000B432B">
        <w:rPr>
          <w:rFonts w:cs="Times New Roman"/>
        </w:rPr>
        <w:t>medical treatment, given ICLB</w:t>
      </w:r>
      <w:r>
        <w:rPr>
          <w:rFonts w:cs="Times New Roman"/>
        </w:rPr>
        <w:t>s</w:t>
      </w:r>
      <w:r w:rsidRPr="000B432B">
        <w:rPr>
          <w:rFonts w:cs="Times New Roman"/>
        </w:rPr>
        <w:t xml:space="preserve"> can rapidly progress in severity to a serious illness</w:t>
      </w:r>
      <w:r>
        <w:rPr>
          <w:rFonts w:cs="Times New Roman"/>
        </w:rPr>
        <w:fldChar w:fldCharType="begin">
          <w:fldData xml:space="preserve">PEVuZE5vdGU+PENpdGU+PEF1dGhvcj5IYXJyaXM8L0F1dGhvcj48WWVhcj4yMDA2PC9ZZWFyPjxS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</w:fldData>
        </w:fldChar>
      </w:r>
      <w:r>
        <w:rPr>
          <w:rFonts w:cs="Times New Roman"/>
        </w:rPr>
        <w:instrText xml:space="preserve"> ADDIN EN.CITE </w:instrText>
      </w:r>
      <w:r>
        <w:rPr>
          <w:rFonts w:cs="Times New Roman"/>
        </w:rPr>
        <w:fldChar w:fldCharType="begin">
          <w:fldData xml:space="preserve">PEVuZE5vdGU+PENpdGU+PEF1dGhvcj5IYXJyaXM8L0F1dGhvcj48WWVhcj4yMDA2PC9ZZWFyPjxS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</w:fldData>
        </w:fldChar>
      </w:r>
      <w:r>
        <w:rPr>
          <w:rFonts w:cs="Times New Roman"/>
        </w:rPr>
        <w:instrText xml:space="preserve"> ADDIN EN.CITE.DATA </w:instrText>
      </w:r>
      <w:r>
        <w:rPr>
          <w:rFonts w:cs="Times New Roman"/>
        </w:rPr>
      </w:r>
      <w:r>
        <w:rPr>
          <w:rFonts w:cs="Times New Roman"/>
        </w:rPr>
        <w:fldChar w:fldCharType="end"/>
      </w:r>
      <w:r>
        <w:rPr>
          <w:rFonts w:cs="Times New Roman"/>
        </w:rPr>
      </w:r>
      <w:r>
        <w:rPr>
          <w:rFonts w:cs="Times New Roman"/>
        </w:rPr>
        <w:fldChar w:fldCharType="separate"/>
      </w:r>
      <w:r w:rsidRPr="005B5ADB">
        <w:rPr>
          <w:rFonts w:cs="Times New Roman"/>
          <w:noProof/>
          <w:vertAlign w:val="superscript"/>
        </w:rPr>
        <w:t>2, 3</w:t>
      </w:r>
      <w:r>
        <w:rPr>
          <w:rFonts w:cs="Times New Roman"/>
        </w:rPr>
        <w:fldChar w:fldCharType="end"/>
      </w:r>
      <w:r>
        <w:rPr>
          <w:rFonts w:cs="Times New Roman"/>
        </w:rPr>
        <w:t>.</w:t>
      </w:r>
    </w:p>
    <w:p w14:paraId="38730285" w14:textId="77777777" w:rsidR="005B5ADB" w:rsidRPr="000B432B" w:rsidRDefault="005B5ADB" w:rsidP="005B5ADB">
      <w:pPr>
        <w:ind w:firstLine="720"/>
        <w:rPr>
          <w:rFonts w:cs="Times New Roman"/>
        </w:rPr>
      </w:pPr>
    </w:p>
    <w:p w14:paraId="294334A3" w14:textId="77777777" w:rsidR="005B5ADB" w:rsidRPr="00993170" w:rsidRDefault="005B5ADB" w:rsidP="005B5ADB">
      <w:pPr>
        <w:pStyle w:val="Heading2"/>
      </w:pPr>
      <w:r w:rsidRPr="00993170">
        <w:t>Statistical methods</w:t>
      </w:r>
    </w:p>
    <w:p w14:paraId="1247298F" w14:textId="26C2087A" w:rsidR="005B5ADB" w:rsidRPr="00993170" w:rsidRDefault="005B5ADB" w:rsidP="005B5ADB">
      <w:pPr>
        <w:rPr>
          <w:rFonts w:cs="Times New Roman"/>
        </w:rPr>
      </w:pPr>
      <w:r>
        <w:rPr>
          <w:rFonts w:cs="Times New Roman"/>
        </w:rPr>
        <w:t xml:space="preserve">Data analysis will be blinded and completed according to intention-to-treat (Figure 1, Appendix </w:t>
      </w:r>
      <w:r w:rsidR="00397990">
        <w:rPr>
          <w:rFonts w:cs="Times New Roman"/>
        </w:rPr>
        <w:t>1</w:t>
      </w:r>
      <w:r>
        <w:rPr>
          <w:rFonts w:cs="Times New Roman"/>
        </w:rPr>
        <w:t xml:space="preserve">). </w:t>
      </w:r>
      <w:r w:rsidRPr="00C128E3">
        <w:rPr>
          <w:rFonts w:cs="Times New Roman"/>
        </w:rPr>
        <w:t>Stata (</w:t>
      </w:r>
      <w:proofErr w:type="spellStart"/>
      <w:r w:rsidRPr="00C128E3">
        <w:rPr>
          <w:rFonts w:cs="Times New Roman"/>
        </w:rPr>
        <w:t>StataCrop</w:t>
      </w:r>
      <w:proofErr w:type="spellEnd"/>
      <w:r w:rsidRPr="00C128E3">
        <w:rPr>
          <w:rFonts w:cs="Times New Roman"/>
        </w:rPr>
        <w:t xml:space="preserve">, College Station, TX) </w:t>
      </w:r>
      <w:r>
        <w:rPr>
          <w:rFonts w:cs="Times New Roman"/>
        </w:rPr>
        <w:t xml:space="preserve">will be used </w:t>
      </w:r>
      <w:r w:rsidRPr="00C128E3">
        <w:rPr>
          <w:rFonts w:cs="Times New Roman"/>
        </w:rPr>
        <w:t>to perf</w:t>
      </w:r>
      <w:r w:rsidRPr="00993170">
        <w:rPr>
          <w:rFonts w:cs="Times New Roman"/>
        </w:rPr>
        <w:t>orm a</w:t>
      </w:r>
      <w:r>
        <w:rPr>
          <w:rFonts w:cs="Times New Roman"/>
        </w:rPr>
        <w:t xml:space="preserve"> generalised</w:t>
      </w:r>
      <w:r w:rsidRPr="00993170">
        <w:rPr>
          <w:rFonts w:cs="Times New Roman"/>
        </w:rPr>
        <w:t xml:space="preserve"> linear mixed model </w:t>
      </w:r>
      <w:r>
        <w:rPr>
          <w:rFonts w:cs="Times New Roman"/>
        </w:rPr>
        <w:t>(</w:t>
      </w:r>
      <w:proofErr w:type="spellStart"/>
      <w:r>
        <w:rPr>
          <w:rFonts w:cs="Times New Roman"/>
        </w:rPr>
        <w:t>GLMM</w:t>
      </w:r>
      <w:proofErr w:type="spellEnd"/>
      <w:r>
        <w:rPr>
          <w:rFonts w:cs="Times New Roman"/>
        </w:rPr>
        <w:t xml:space="preserve">) </w:t>
      </w:r>
      <w:r w:rsidRPr="00993170">
        <w:rPr>
          <w:rFonts w:cs="Times New Roman"/>
        </w:rPr>
        <w:t xml:space="preserve">analysis of the relationship between the 3 different TUS treatments and the outcomes </w:t>
      </w:r>
      <w:r w:rsidR="00584840">
        <w:rPr>
          <w:rFonts w:cs="Times New Roman"/>
        </w:rPr>
        <w:t>listed in Table 1</w:t>
      </w:r>
      <w:r w:rsidR="00B01B30">
        <w:rPr>
          <w:rFonts w:cs="Times New Roman"/>
        </w:rPr>
        <w:t xml:space="preserve"> (</w:t>
      </w:r>
      <w:r w:rsidR="00584840">
        <w:rPr>
          <w:rFonts w:cs="Times New Roman"/>
        </w:rPr>
        <w:t>Appendix 2)</w:t>
      </w:r>
      <w:r w:rsidRPr="00993170">
        <w:rPr>
          <w:rFonts w:cs="Times New Roman"/>
        </w:rPr>
        <w:t>. Antibiotic u</w:t>
      </w:r>
      <w:r w:rsidRPr="00983406">
        <w:rPr>
          <w:rFonts w:cs="Times New Roman"/>
        </w:rPr>
        <w:t>se</w:t>
      </w:r>
      <w:r w:rsidRPr="001C5F6D">
        <w:rPr>
          <w:rStyle w:val="CommentReference"/>
          <w:rFonts w:cs="Times New Roman"/>
          <w:sz w:val="24"/>
          <w:szCs w:val="24"/>
        </w:rPr>
        <w:t>, f</w:t>
      </w:r>
      <w:r w:rsidRPr="00983406">
        <w:rPr>
          <w:rFonts w:cs="Times New Roman"/>
        </w:rPr>
        <w:t xml:space="preserve">or </w:t>
      </w:r>
      <w:r>
        <w:rPr>
          <w:rFonts w:cs="Times New Roman"/>
        </w:rPr>
        <w:t xml:space="preserve">the current ICLB episode, </w:t>
      </w:r>
      <w:r w:rsidRPr="00993170">
        <w:rPr>
          <w:rFonts w:cs="Times New Roman"/>
        </w:rPr>
        <w:t xml:space="preserve">will be entered as a fixed effect into the model. </w:t>
      </w:r>
      <w:r>
        <w:rPr>
          <w:rFonts w:cs="Times New Roman"/>
        </w:rPr>
        <w:t xml:space="preserve">Treatment fidelity will be inspected and potentially </w:t>
      </w:r>
      <w:proofErr w:type="gramStart"/>
      <w:r>
        <w:rPr>
          <w:rFonts w:cs="Times New Roman"/>
        </w:rPr>
        <w:t>entered into</w:t>
      </w:r>
      <w:proofErr w:type="gramEnd"/>
      <w:r>
        <w:rPr>
          <w:rFonts w:cs="Times New Roman"/>
        </w:rPr>
        <w:t xml:space="preserve"> the model as confounders. </w:t>
      </w:r>
      <w:r w:rsidRPr="00993170">
        <w:rPr>
          <w:rFonts w:cs="Times New Roman"/>
        </w:rPr>
        <w:t xml:space="preserve">Visual inspection of residual plots will be undertaken to evaluate normality and homogeneity of variance, and </w:t>
      </w:r>
      <w:r>
        <w:rPr>
          <w:rFonts w:cs="Times New Roman"/>
        </w:rPr>
        <w:t xml:space="preserve">95% confidence intervals and </w:t>
      </w:r>
      <w:r w:rsidRPr="00993170">
        <w:rPr>
          <w:rFonts w:cs="Times New Roman"/>
        </w:rPr>
        <w:t>p-values will be obtained by likelihood ratio tests</w:t>
      </w:r>
      <w:r>
        <w:rPr>
          <w:rFonts w:cs="Times New Roman"/>
        </w:rPr>
        <w:t>.</w:t>
      </w:r>
      <w:r>
        <w:rPr>
          <w:rFonts w:cs="Times New Roman"/>
        </w:rPr>
        <w:fldChar w:fldCharType="begin"/>
      </w:r>
      <w:r>
        <w:rPr>
          <w:rFonts w:cs="Times New Roman"/>
        </w:rPr>
        <w:instrText xml:space="preserve"> ADDIN EN.CITE &lt;EndNote&gt;&lt;Cite&gt;&lt;Author&gt;Tango&lt;/Author&gt;&lt;Year&gt;2017&lt;/Year&gt;&lt;RecNum&gt;1494&lt;/RecNum&gt;&lt;DisplayText&gt;&lt;style face="superscript"&gt;4&lt;/style&gt;&lt;/DisplayText&gt;&lt;record&gt;&lt;rec-number&gt;1494&lt;/rec-number&gt;&lt;foreign-keys&gt;&lt;key app="EN" db-id="v2satptdn5tvw8e9dt5xv2s0ft2pv5szr905" timestamp="1591709206"&gt;1494&lt;/key&gt;&lt;/foreign-keys&gt;&lt;ref-type name="Book"&gt;6&lt;/ref-type&gt;&lt;contributors&gt;&lt;authors&gt;&lt;author&gt;Tango, T.,&lt;/author&gt;&lt;/authors&gt;&lt;/contributors&gt;&lt;titles&gt;&lt;title&gt;Repeated Measures Design with Generalized Linear Mixed Models for Randomized Controlled Trials&lt;/title&gt;&lt;/titles&gt;&lt;dates&gt;&lt;year&gt;2017&lt;/year&gt;&lt;/dates&gt;&lt;pub-location&gt;New York&lt;/pub-location&gt;&lt;publisher&gt;Chapman and Hall/CRC&lt;/publisher&gt;&lt;urls&gt;&lt;/urls&gt;&lt;electronic-resource-num&gt;https://doi.org/10.1201/9781315152097&lt;/electronic-resource-num&gt;&lt;/record&gt;&lt;/Cite&gt;&lt;/EndNote&gt;</w:instrText>
      </w:r>
      <w:r>
        <w:rPr>
          <w:rFonts w:cs="Times New Roman"/>
        </w:rPr>
        <w:fldChar w:fldCharType="separate"/>
      </w:r>
      <w:r w:rsidRPr="005B5ADB">
        <w:rPr>
          <w:rFonts w:cs="Times New Roman"/>
          <w:noProof/>
          <w:vertAlign w:val="superscript"/>
        </w:rPr>
        <w:t>4</w: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</w:t>
      </w:r>
    </w:p>
    <w:p w14:paraId="42B1DCB6" w14:textId="77777777" w:rsidR="005B5ADB" w:rsidRDefault="005B5ADB" w:rsidP="005B5ADB"/>
    <w:p w14:paraId="3BCD0611" w14:textId="763ED67D" w:rsidR="005B5ADB" w:rsidRDefault="005B5ADB" w:rsidP="005B5ADB">
      <w:pPr>
        <w:pStyle w:val="Heading2"/>
      </w:pPr>
      <w:r>
        <w:t>References</w:t>
      </w:r>
    </w:p>
    <w:p w14:paraId="384CB6A2" w14:textId="77777777" w:rsidR="005B5ADB" w:rsidRPr="005B5ADB" w:rsidRDefault="005B5ADB" w:rsidP="005B5ADB">
      <w:pPr>
        <w:pStyle w:val="EndNoteBibliography"/>
        <w:spacing w:after="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5B5ADB">
        <w:t>1.</w:t>
      </w:r>
      <w:r w:rsidRPr="005B5ADB">
        <w:tab/>
        <w:t xml:space="preserve">Faul F, Erdfelder E, Buchner A, Lang AG. Statistical power analyses using G*Power 3.1: tests for correlation and regression analyses. </w:t>
      </w:r>
      <w:r w:rsidRPr="005B5ADB">
        <w:rPr>
          <w:i/>
        </w:rPr>
        <w:t>Behavior Research Methods.</w:t>
      </w:r>
      <w:r w:rsidRPr="005B5ADB">
        <w:t xml:space="preserve"> 2009;41(4): 1149-1160.</w:t>
      </w:r>
    </w:p>
    <w:p w14:paraId="3F32261E" w14:textId="77777777" w:rsidR="005B5ADB" w:rsidRPr="005B5ADB" w:rsidRDefault="005B5ADB" w:rsidP="005B5ADB">
      <w:pPr>
        <w:pStyle w:val="EndNoteBibliography"/>
        <w:spacing w:after="0"/>
      </w:pPr>
      <w:r w:rsidRPr="005B5ADB">
        <w:t>2.</w:t>
      </w:r>
      <w:r w:rsidRPr="005B5ADB">
        <w:tab/>
        <w:t xml:space="preserve">Harris AD, McGregor JC, Perencevich EN, Furuno JP, Zhu J, Peterson DE, et al. The use and interpretation of quasi-experimental studies in medical informatics. </w:t>
      </w:r>
      <w:r w:rsidRPr="005B5ADB">
        <w:rPr>
          <w:i/>
        </w:rPr>
        <w:t>Journal of the American Medical Informatics Association : JAMIA.</w:t>
      </w:r>
      <w:r w:rsidRPr="005B5ADB">
        <w:t xml:space="preserve"> 2006;13(1): 16-23.</w:t>
      </w:r>
    </w:p>
    <w:p w14:paraId="6B2A3BA0" w14:textId="77777777" w:rsidR="005B5ADB" w:rsidRPr="005B5ADB" w:rsidRDefault="005B5ADB" w:rsidP="005B5ADB">
      <w:pPr>
        <w:pStyle w:val="EndNoteBibliography"/>
        <w:spacing w:after="0"/>
      </w:pPr>
      <w:r w:rsidRPr="005B5ADB">
        <w:t>3.</w:t>
      </w:r>
      <w:r w:rsidRPr="005B5ADB">
        <w:tab/>
        <w:t xml:space="preserve">Osterman KL, Rahm V-A. Lactation Mastitis: Bacterial Cultivation of Breast Milk, Symptoms, Treatment, and Outcome. </w:t>
      </w:r>
      <w:r w:rsidRPr="005B5ADB">
        <w:rPr>
          <w:i/>
        </w:rPr>
        <w:t>Journal of Human Lactation.</w:t>
      </w:r>
      <w:r w:rsidRPr="005B5ADB">
        <w:t xml:space="preserve"> 2000;16(4): 297-302.</w:t>
      </w:r>
    </w:p>
    <w:p w14:paraId="4A4FFFD2" w14:textId="77777777" w:rsidR="005B5ADB" w:rsidRPr="005B5ADB" w:rsidRDefault="005B5ADB" w:rsidP="005B5ADB">
      <w:pPr>
        <w:pStyle w:val="EndNoteBibliography"/>
      </w:pPr>
      <w:r w:rsidRPr="005B5ADB">
        <w:t>4.</w:t>
      </w:r>
      <w:r w:rsidRPr="005B5ADB">
        <w:tab/>
        <w:t xml:space="preserve">Tango T. </w:t>
      </w:r>
      <w:r w:rsidRPr="005B5ADB">
        <w:rPr>
          <w:i/>
        </w:rPr>
        <w:t>Repeated Measures Design with Generalized Linear Mixed Models for Randomized Controlled Trials</w:t>
      </w:r>
      <w:r w:rsidRPr="005B5ADB">
        <w:t>. New York: Chapman and Hall/CRC; 2017.</w:t>
      </w:r>
    </w:p>
    <w:p w14:paraId="2A66A48A" w14:textId="25D35C5E" w:rsidR="005B5ADB" w:rsidRDefault="005B5ADB" w:rsidP="005B5ADB">
      <w:r>
        <w:fldChar w:fldCharType="end"/>
      </w:r>
    </w:p>
    <w:p w14:paraId="388B4F7A" w14:textId="5374C02E" w:rsidR="00397990" w:rsidRDefault="00397990" w:rsidP="005B5ADB"/>
    <w:p w14:paraId="4B7DBD82" w14:textId="1341BEA4" w:rsidR="000619EE" w:rsidRPr="00C37FB8" w:rsidRDefault="00397990" w:rsidP="00584840">
      <w:pPr>
        <w:pStyle w:val="Heading2"/>
      </w:pPr>
      <w:r w:rsidRPr="00C37FB8">
        <w:lastRenderedPageBreak/>
        <w:t>Appendices</w:t>
      </w:r>
    </w:p>
    <w:p w14:paraId="4A7188D7" w14:textId="096FB4A9" w:rsidR="00397990" w:rsidRPr="00C37FB8" w:rsidRDefault="00397990" w:rsidP="00397990">
      <w:pPr>
        <w:pStyle w:val="Heading3"/>
        <w:rPr>
          <w:rFonts w:ascii="Times New Roman" w:hAnsi="Times New Roman" w:cs="Times New Roman"/>
          <w:color w:val="2F5496" w:themeColor="accent1" w:themeShade="BF"/>
        </w:rPr>
      </w:pPr>
      <w:r w:rsidRPr="00C37FB8">
        <w:rPr>
          <w:rFonts w:ascii="Times New Roman" w:hAnsi="Times New Roman" w:cs="Times New Roman"/>
          <w:color w:val="2F5496" w:themeColor="accent1" w:themeShade="BF"/>
        </w:rPr>
        <w:t>Appendix 1</w:t>
      </w:r>
    </w:p>
    <w:p w14:paraId="01AB18C2" w14:textId="23DF8123" w:rsidR="00397990" w:rsidRPr="00584840" w:rsidRDefault="00397990" w:rsidP="00584840">
      <w:pPr>
        <w:pStyle w:val="Heading4"/>
        <w:rPr>
          <w:rFonts w:ascii="Times New Roman" w:hAnsi="Times New Roman" w:cs="Times New Roman"/>
          <w:color w:val="1F3864" w:themeColor="accent1" w:themeShade="80"/>
        </w:rPr>
      </w:pPr>
      <w:r w:rsidRPr="00C37FB8">
        <w:rPr>
          <w:rFonts w:ascii="Times New Roman" w:hAnsi="Times New Roman" w:cs="Times New Roman"/>
          <w:color w:val="1F3864" w:themeColor="accent1" w:themeShade="80"/>
        </w:rPr>
        <w:t>Figure 1: Modified CONSORT flow diagram</w:t>
      </w:r>
    </w:p>
    <w:p w14:paraId="325896BE" w14:textId="5069E1D9" w:rsidR="000619EE" w:rsidRDefault="007B0C81" w:rsidP="00397990">
      <w:r>
        <w:rPr>
          <w:noProof/>
        </w:rPr>
        <w:drawing>
          <wp:anchor distT="0" distB="0" distL="114300" distR="114300" simplePos="0" relativeHeight="251659264" behindDoc="1" locked="0" layoutInCell="1" allowOverlap="1" wp14:anchorId="389436D4" wp14:editId="4A7F807F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5003165" cy="4351655"/>
            <wp:effectExtent l="0" t="0" r="6985" b="0"/>
            <wp:wrapTight wrapText="bothSides">
              <wp:wrapPolygon edited="0">
                <wp:start x="0" y="0"/>
                <wp:lineTo x="0" y="21464"/>
                <wp:lineTo x="21548" y="21464"/>
                <wp:lineTo x="21548" y="0"/>
                <wp:lineTo x="0" y="0"/>
              </wp:wrapPolygon>
            </wp:wrapTight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Word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18" t="23637" r="27409" b="8528"/>
                    <a:stretch/>
                  </pic:blipFill>
                  <pic:spPr bwMode="auto">
                    <a:xfrm>
                      <a:off x="0" y="0"/>
                      <a:ext cx="5003165" cy="4351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17663" w14:textId="77777777" w:rsidR="00397990" w:rsidRDefault="00397990" w:rsidP="00397990"/>
    <w:p w14:paraId="33877861" w14:textId="1487C46A" w:rsidR="00397990" w:rsidRDefault="00397990" w:rsidP="00397990"/>
    <w:p w14:paraId="0A747FC1" w14:textId="77777777" w:rsidR="00584840" w:rsidRDefault="00584840" w:rsidP="00397990"/>
    <w:p w14:paraId="1EAC9151" w14:textId="528D4B62" w:rsidR="00584840" w:rsidRDefault="00237BA5">
      <w:r>
        <w:rPr>
          <w:noProof/>
        </w:rPr>
        <w:drawing>
          <wp:anchor distT="0" distB="0" distL="114300" distR="114300" simplePos="0" relativeHeight="251663360" behindDoc="1" locked="0" layoutInCell="1" allowOverlap="1" wp14:anchorId="2C31C473" wp14:editId="399EEE2A">
            <wp:simplePos x="0" y="0"/>
            <wp:positionH relativeFrom="margin">
              <wp:posOffset>-17780</wp:posOffset>
            </wp:positionH>
            <wp:positionV relativeFrom="paragraph">
              <wp:posOffset>5045287</wp:posOffset>
            </wp:positionV>
            <wp:extent cx="4993640" cy="1515110"/>
            <wp:effectExtent l="0" t="0" r="0" b="8890"/>
            <wp:wrapTight wrapText="bothSides">
              <wp:wrapPolygon edited="0">
                <wp:start x="0" y="0"/>
                <wp:lineTo x="0" y="21455"/>
                <wp:lineTo x="21507" y="21455"/>
                <wp:lineTo x="21507" y="0"/>
                <wp:lineTo x="0" y="0"/>
              </wp:wrapPolygon>
            </wp:wrapTight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2" t="30018" r="27277" b="45873"/>
                    <a:stretch/>
                  </pic:blipFill>
                  <pic:spPr bwMode="auto">
                    <a:xfrm>
                      <a:off x="0" y="0"/>
                      <a:ext cx="4993640" cy="151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162">
        <w:rPr>
          <w:noProof/>
        </w:rPr>
        <w:drawing>
          <wp:anchor distT="0" distB="0" distL="114300" distR="114300" simplePos="0" relativeHeight="251661312" behindDoc="1" locked="0" layoutInCell="1" allowOverlap="1" wp14:anchorId="1246DC05" wp14:editId="68713957">
            <wp:simplePos x="0" y="0"/>
            <wp:positionH relativeFrom="margin">
              <wp:posOffset>40428</wp:posOffset>
            </wp:positionH>
            <wp:positionV relativeFrom="paragraph">
              <wp:posOffset>3175635</wp:posOffset>
            </wp:positionV>
            <wp:extent cx="4893310" cy="1882140"/>
            <wp:effectExtent l="0" t="0" r="2540" b="3810"/>
            <wp:wrapTight wrapText="bothSides">
              <wp:wrapPolygon edited="0">
                <wp:start x="0" y="0"/>
                <wp:lineTo x="0" y="21425"/>
                <wp:lineTo x="21527" y="21425"/>
                <wp:lineTo x="21527" y="0"/>
                <wp:lineTo x="0" y="0"/>
              </wp:wrapPolygon>
            </wp:wrapTight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3" t="53418" r="27808" b="17037"/>
                    <a:stretch/>
                  </pic:blipFill>
                  <pic:spPr bwMode="auto">
                    <a:xfrm>
                      <a:off x="0" y="0"/>
                      <a:ext cx="4893310" cy="1882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840">
        <w:br w:type="page"/>
      </w:r>
    </w:p>
    <w:p w14:paraId="7EBC47B1" w14:textId="6933EAD1" w:rsidR="00584840" w:rsidRPr="000619EE" w:rsidRDefault="00584840" w:rsidP="00584840">
      <w:pPr>
        <w:pStyle w:val="Heading3"/>
        <w:rPr>
          <w:rFonts w:ascii="Times New Roman" w:hAnsi="Times New Roman" w:cs="Times New Roman"/>
          <w:color w:val="2F5496" w:themeColor="accent1" w:themeShade="BF"/>
        </w:rPr>
      </w:pPr>
      <w:r w:rsidRPr="000619EE">
        <w:rPr>
          <w:rFonts w:ascii="Times New Roman" w:hAnsi="Times New Roman" w:cs="Times New Roman"/>
          <w:color w:val="2F5496" w:themeColor="accent1" w:themeShade="BF"/>
        </w:rPr>
        <w:lastRenderedPageBreak/>
        <w:t xml:space="preserve">Appendix </w:t>
      </w:r>
      <w:r>
        <w:rPr>
          <w:rFonts w:ascii="Times New Roman" w:hAnsi="Times New Roman" w:cs="Times New Roman"/>
          <w:color w:val="2F5496" w:themeColor="accent1" w:themeShade="BF"/>
        </w:rPr>
        <w:t>2</w:t>
      </w:r>
    </w:p>
    <w:p w14:paraId="18174E22" w14:textId="19470C2B" w:rsidR="00584840" w:rsidRDefault="00584840" w:rsidP="00584840">
      <w:pPr>
        <w:pStyle w:val="Heading4"/>
        <w:rPr>
          <w:rFonts w:ascii="Times New Roman" w:hAnsi="Times New Roman" w:cs="Times New Roman"/>
          <w:color w:val="1F3864" w:themeColor="accent1" w:themeShade="80"/>
        </w:rPr>
      </w:pPr>
      <w:r>
        <w:rPr>
          <w:rFonts w:ascii="Times New Roman" w:hAnsi="Times New Roman" w:cs="Times New Roman"/>
          <w:color w:val="1F3864" w:themeColor="accent1" w:themeShade="80"/>
        </w:rPr>
        <w:t xml:space="preserve">Table </w:t>
      </w:r>
      <w:r w:rsidRPr="000619EE">
        <w:rPr>
          <w:rFonts w:ascii="Times New Roman" w:hAnsi="Times New Roman" w:cs="Times New Roman"/>
          <w:color w:val="1F3864" w:themeColor="accent1" w:themeShade="80"/>
        </w:rPr>
        <w:t xml:space="preserve">1: </w:t>
      </w:r>
      <w:r w:rsidR="00B33E77">
        <w:rPr>
          <w:rFonts w:ascii="Times New Roman" w:hAnsi="Times New Roman" w:cs="Times New Roman"/>
          <w:color w:val="1F3864" w:themeColor="accent1" w:themeShade="80"/>
        </w:rPr>
        <w:t>O</w:t>
      </w:r>
      <w:r w:rsidR="00333249">
        <w:rPr>
          <w:rFonts w:ascii="Times New Roman" w:hAnsi="Times New Roman" w:cs="Times New Roman"/>
          <w:color w:val="1F3864" w:themeColor="accent1" w:themeShade="80"/>
        </w:rPr>
        <w:t>utcomes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351"/>
      </w:tblGrid>
      <w:tr w:rsidR="00333249" w:rsidRPr="00B33E77" w14:paraId="560AD64A" w14:textId="77777777" w:rsidTr="00B33E77">
        <w:tc>
          <w:tcPr>
            <w:tcW w:w="2122" w:type="dxa"/>
            <w:shd w:val="clear" w:color="auto" w:fill="D9D9D9" w:themeFill="background1" w:themeFillShade="D9"/>
          </w:tcPr>
          <w:p w14:paraId="002BC509" w14:textId="3047C58C" w:rsidR="00333249" w:rsidRPr="00B33E77" w:rsidRDefault="00333249" w:rsidP="00333249"/>
        </w:tc>
        <w:tc>
          <w:tcPr>
            <w:tcW w:w="3543" w:type="dxa"/>
            <w:shd w:val="clear" w:color="auto" w:fill="D9D9D9" w:themeFill="background1" w:themeFillShade="D9"/>
          </w:tcPr>
          <w:p w14:paraId="2A32A53D" w14:textId="2AA9AF88" w:rsidR="00333249" w:rsidRPr="00B33E77" w:rsidRDefault="00333249" w:rsidP="00333249">
            <w:r w:rsidRPr="00B33E77">
              <w:t>Outcome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73F9ED20" w14:textId="5457A228" w:rsidR="00333249" w:rsidRPr="00B33E77" w:rsidRDefault="00333249" w:rsidP="00333249">
            <w:r w:rsidRPr="00B33E77">
              <w:t>Timepoint</w:t>
            </w:r>
          </w:p>
        </w:tc>
      </w:tr>
      <w:tr w:rsidR="00333249" w14:paraId="23338665" w14:textId="77777777" w:rsidTr="00263EDE">
        <w:tc>
          <w:tcPr>
            <w:tcW w:w="2122" w:type="dxa"/>
          </w:tcPr>
          <w:p w14:paraId="78CBC3D9" w14:textId="6C933EC4" w:rsidR="00333249" w:rsidRDefault="00333249" w:rsidP="00333249">
            <w:r>
              <w:t>Primary outcome [1]</w:t>
            </w:r>
          </w:p>
        </w:tc>
        <w:tc>
          <w:tcPr>
            <w:tcW w:w="3543" w:type="dxa"/>
          </w:tcPr>
          <w:p w14:paraId="3C255C69" w14:textId="30C17552" w:rsidR="00333249" w:rsidRDefault="00BA041B" w:rsidP="00333249">
            <w:r w:rsidRPr="00BA413D">
              <w:rPr>
                <w:b/>
                <w:bCs/>
              </w:rPr>
              <w:t>Size of breast hardness area (in cm2),</w:t>
            </w:r>
            <w:r w:rsidRPr="00BA041B">
              <w:t xml:space="preserve"> measured via tracing the area of hardness on to cling wrap with a surgical pen. Cling wrap tracings will be scanned into Adobe and the area calculated electronically. This measures area of local inflammatory symptoms.</w:t>
            </w:r>
          </w:p>
        </w:tc>
        <w:tc>
          <w:tcPr>
            <w:tcW w:w="3351" w:type="dxa"/>
          </w:tcPr>
          <w:p w14:paraId="333A6302" w14:textId="77777777" w:rsidR="00BA041B" w:rsidRDefault="00BA041B" w:rsidP="00BA041B">
            <w:r w:rsidRPr="00876D6A">
              <w:rPr>
                <w:i/>
                <w:iCs/>
              </w:rPr>
              <w:t>Timepoint 1</w:t>
            </w:r>
            <w:r>
              <w:t>: baseline (day 1, pre intervention).</w:t>
            </w:r>
          </w:p>
          <w:p w14:paraId="61F51ED6" w14:textId="77777777" w:rsidR="00BA041B" w:rsidRDefault="00BA041B" w:rsidP="00BA041B">
            <w:r w:rsidRPr="00876D6A">
              <w:rPr>
                <w:i/>
                <w:iCs/>
              </w:rPr>
              <w:t>Timepoint 2</w:t>
            </w:r>
            <w:r>
              <w:t>: 1 day after intervention commencement (day 2, post intervention).</w:t>
            </w:r>
          </w:p>
          <w:p w14:paraId="13ACF327" w14:textId="77777777" w:rsidR="00BA041B" w:rsidRDefault="00BA041B" w:rsidP="00BA041B">
            <w:r w:rsidRPr="00876D6A">
              <w:rPr>
                <w:i/>
                <w:iCs/>
              </w:rPr>
              <w:t>Timepoint 3</w:t>
            </w:r>
            <w:r>
              <w:t>: 2 days after intervention commencement (day 3, post intervention) - primary timepoint.</w:t>
            </w:r>
          </w:p>
          <w:p w14:paraId="0056F64D" w14:textId="6CF8D8DC" w:rsidR="00333249" w:rsidRDefault="00BA041B" w:rsidP="00BA041B">
            <w:r w:rsidRPr="00876D6A">
              <w:rPr>
                <w:i/>
                <w:iCs/>
              </w:rPr>
              <w:t>Timepoint 4</w:t>
            </w:r>
            <w:r>
              <w:t>: 10 days after intervention commencement.</w:t>
            </w:r>
          </w:p>
        </w:tc>
      </w:tr>
      <w:tr w:rsidR="00333249" w14:paraId="7F2480E7" w14:textId="77777777" w:rsidTr="00263EDE">
        <w:tc>
          <w:tcPr>
            <w:tcW w:w="2122" w:type="dxa"/>
          </w:tcPr>
          <w:p w14:paraId="0AB7A0CB" w14:textId="1F5CC7A9" w:rsidR="00333249" w:rsidRDefault="00C96FE5" w:rsidP="00333249">
            <w:r>
              <w:t>Secondary outcome [1]</w:t>
            </w:r>
          </w:p>
        </w:tc>
        <w:tc>
          <w:tcPr>
            <w:tcW w:w="3543" w:type="dxa"/>
          </w:tcPr>
          <w:p w14:paraId="41A05447" w14:textId="151B04D2" w:rsidR="00333249" w:rsidRDefault="00D93540" w:rsidP="00333249">
            <w:r w:rsidRPr="00BA413D">
              <w:rPr>
                <w:b/>
                <w:bCs/>
              </w:rPr>
              <w:t>Breast milk sodium and potassium levels</w:t>
            </w:r>
            <w:r w:rsidRPr="00D93540">
              <w:t xml:space="preserve"> as measured by an ion selective electrode (ISE). This is to measure local and systemic inflammatory symptoms.</w:t>
            </w:r>
          </w:p>
        </w:tc>
        <w:tc>
          <w:tcPr>
            <w:tcW w:w="3351" w:type="dxa"/>
          </w:tcPr>
          <w:p w14:paraId="6A35C751" w14:textId="77777777" w:rsidR="00D93540" w:rsidRDefault="00D93540" w:rsidP="00D93540">
            <w:r w:rsidRPr="00876D6A">
              <w:rPr>
                <w:i/>
                <w:iCs/>
              </w:rPr>
              <w:t>Timepoint 1</w:t>
            </w:r>
            <w:r>
              <w:t>: baseline (day 1, pre intervention).</w:t>
            </w:r>
          </w:p>
          <w:p w14:paraId="2C2C6FC1" w14:textId="5E65BA5F" w:rsidR="00D93540" w:rsidRDefault="00D93540" w:rsidP="00D93540">
            <w:r w:rsidRPr="00876D6A">
              <w:rPr>
                <w:i/>
                <w:iCs/>
              </w:rPr>
              <w:t>Timepoint 3</w:t>
            </w:r>
            <w:r>
              <w:t>: 2 days after intervention commencement (day 3, post intervention)</w:t>
            </w:r>
            <w:r w:rsidR="00DE0522">
              <w:t>.</w:t>
            </w:r>
          </w:p>
          <w:p w14:paraId="3ECDFB0A" w14:textId="3FC80638" w:rsidR="00333249" w:rsidRDefault="00D93540" w:rsidP="00D93540">
            <w:r w:rsidRPr="00876D6A">
              <w:rPr>
                <w:i/>
                <w:iCs/>
              </w:rPr>
              <w:t>Timepoint 4</w:t>
            </w:r>
            <w:r>
              <w:t>: 10 days after intervention commencement.</w:t>
            </w:r>
          </w:p>
        </w:tc>
      </w:tr>
      <w:tr w:rsidR="00333249" w14:paraId="1481DA1C" w14:textId="77777777" w:rsidTr="00263EDE">
        <w:tc>
          <w:tcPr>
            <w:tcW w:w="2122" w:type="dxa"/>
          </w:tcPr>
          <w:p w14:paraId="367208B1" w14:textId="7A1125BB" w:rsidR="00333249" w:rsidRDefault="00C96FE5" w:rsidP="00333249">
            <w:r>
              <w:t>Secondary outcome [2]</w:t>
            </w:r>
          </w:p>
        </w:tc>
        <w:tc>
          <w:tcPr>
            <w:tcW w:w="3543" w:type="dxa"/>
          </w:tcPr>
          <w:p w14:paraId="4FC441FF" w14:textId="312A05C0" w:rsidR="00333249" w:rsidRDefault="00D93540" w:rsidP="00333249">
            <w:r w:rsidRPr="00BA413D">
              <w:rPr>
                <w:b/>
                <w:bCs/>
              </w:rPr>
              <w:t>Breast Inflammatory Symptom Severity Index (BISSI) scores</w:t>
            </w:r>
            <w:r w:rsidRPr="00D93540">
              <w:t xml:space="preserve"> - a patient reported outcome measure (copyright: Melinda Cooper, physiotherapist), with face and content validity established. This is to measure local and systemic inflammatory symptoms.</w:t>
            </w:r>
          </w:p>
        </w:tc>
        <w:tc>
          <w:tcPr>
            <w:tcW w:w="3351" w:type="dxa"/>
          </w:tcPr>
          <w:p w14:paraId="37B65C4A" w14:textId="77777777" w:rsidR="00D93540" w:rsidRDefault="00D93540" w:rsidP="00D93540">
            <w:r w:rsidRPr="00641FFA">
              <w:rPr>
                <w:i/>
                <w:iCs/>
              </w:rPr>
              <w:t>Timepoint 1</w:t>
            </w:r>
            <w:r>
              <w:t>: baseline (day 1, pre intervention).</w:t>
            </w:r>
          </w:p>
          <w:p w14:paraId="69FF4F4F" w14:textId="77777777" w:rsidR="00D93540" w:rsidRDefault="00D93540" w:rsidP="00D93540">
            <w:r w:rsidRPr="00641FFA">
              <w:rPr>
                <w:i/>
                <w:iCs/>
              </w:rPr>
              <w:t>Timepoint 2</w:t>
            </w:r>
            <w:r>
              <w:t>: 1 day after intervention commencement (day 2, post intervention).</w:t>
            </w:r>
          </w:p>
          <w:p w14:paraId="02926E08" w14:textId="3AEC8E2E" w:rsidR="00D93540" w:rsidRDefault="00D93540" w:rsidP="00D93540">
            <w:r w:rsidRPr="00641FFA">
              <w:rPr>
                <w:i/>
                <w:iCs/>
              </w:rPr>
              <w:t>Timepoint 3</w:t>
            </w:r>
            <w:r>
              <w:t>: 2 days after intervention commencement (day 3, post intervention)</w:t>
            </w:r>
            <w:r w:rsidR="00462AC4">
              <w:t>.</w:t>
            </w:r>
          </w:p>
          <w:p w14:paraId="3724A95B" w14:textId="4693E4B3" w:rsidR="00333249" w:rsidRDefault="00D93540" w:rsidP="00D93540">
            <w:r w:rsidRPr="00641FFA">
              <w:rPr>
                <w:i/>
                <w:iCs/>
              </w:rPr>
              <w:t>Timepoint 4</w:t>
            </w:r>
            <w:r>
              <w:t>: 10 days after intervention commencement.</w:t>
            </w:r>
          </w:p>
        </w:tc>
      </w:tr>
    </w:tbl>
    <w:p w14:paraId="6CA27C80" w14:textId="77777777" w:rsidR="00333249" w:rsidRPr="00333249" w:rsidRDefault="00333249" w:rsidP="00333249"/>
    <w:p w14:paraId="63853517" w14:textId="3785010C" w:rsidR="00397990" w:rsidRPr="00397990" w:rsidRDefault="00397990" w:rsidP="00397990"/>
    <w:sectPr w:rsidR="00397990" w:rsidRPr="003979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7020" w14:textId="77777777" w:rsidR="00CE0FC8" w:rsidRDefault="00CE0FC8" w:rsidP="00397990">
      <w:pPr>
        <w:spacing w:after="0" w:line="240" w:lineRule="auto"/>
      </w:pPr>
      <w:r>
        <w:separator/>
      </w:r>
    </w:p>
  </w:endnote>
  <w:endnote w:type="continuationSeparator" w:id="0">
    <w:p w14:paraId="5B978F25" w14:textId="77777777" w:rsidR="00CE0FC8" w:rsidRDefault="00CE0FC8" w:rsidP="0039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8931" w14:textId="77777777" w:rsidR="00C37FB8" w:rsidRDefault="00C37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7B1DE" w14:textId="77777777" w:rsidR="00C37FB8" w:rsidRDefault="00C37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82BC" w14:textId="77777777" w:rsidR="00C37FB8" w:rsidRDefault="00C37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DAB5C" w14:textId="77777777" w:rsidR="00CE0FC8" w:rsidRDefault="00CE0FC8" w:rsidP="00397990">
      <w:pPr>
        <w:spacing w:after="0" w:line="240" w:lineRule="auto"/>
      </w:pPr>
      <w:r>
        <w:separator/>
      </w:r>
    </w:p>
  </w:footnote>
  <w:footnote w:type="continuationSeparator" w:id="0">
    <w:p w14:paraId="14781DFA" w14:textId="77777777" w:rsidR="00CE0FC8" w:rsidRDefault="00CE0FC8" w:rsidP="0039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38C4" w14:textId="77777777" w:rsidR="00C37FB8" w:rsidRDefault="00C37F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A7D4" w14:textId="0E0196DF" w:rsidR="00397990" w:rsidRDefault="00331424" w:rsidP="00397990">
    <w:pPr>
      <w:pStyle w:val="Heading3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331424">
      <w:rPr>
        <w:rFonts w:ascii="Times New Roman" w:hAnsi="Times New Roman" w:cs="Times New Roman"/>
        <w:i/>
        <w:iCs/>
        <w:color w:val="auto"/>
        <w:sz w:val="20"/>
        <w:szCs w:val="20"/>
      </w:rPr>
      <w:t>Registration no.: ACTRN12621000118808</w:t>
    </w:r>
    <w:r w:rsidRPr="00285BFF">
      <w:rPr>
        <w:rFonts w:cs="Times New Roman"/>
        <w:i/>
        <w:iCs/>
        <w:color w:val="auto"/>
        <w:sz w:val="20"/>
        <w:szCs w:val="20"/>
      </w:rPr>
      <w:t xml:space="preserve">             </w:t>
    </w:r>
    <w:r w:rsidR="00397990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            </w:t>
    </w:r>
    <w:proofErr w:type="spellStart"/>
    <w:r w:rsidR="00397990" w:rsidRPr="00397990">
      <w:rPr>
        <w:rFonts w:ascii="Times New Roman" w:hAnsi="Times New Roman" w:cs="Times New Roman"/>
        <w:i/>
        <w:iCs/>
        <w:color w:val="auto"/>
        <w:sz w:val="20"/>
        <w:szCs w:val="20"/>
      </w:rPr>
      <w:t>UTN</w:t>
    </w:r>
    <w:proofErr w:type="spellEnd"/>
    <w:r w:rsidR="00397990" w:rsidRPr="00397990">
      <w:rPr>
        <w:rFonts w:ascii="Times New Roman" w:hAnsi="Times New Roman" w:cs="Times New Roman"/>
        <w:i/>
        <w:iCs/>
        <w:color w:val="auto"/>
        <w:sz w:val="20"/>
        <w:szCs w:val="20"/>
      </w:rPr>
      <w:t>: U1111-1256-8464</w:t>
    </w:r>
  </w:p>
  <w:p w14:paraId="51F53EEF" w14:textId="6212BC85" w:rsidR="00397990" w:rsidRPr="00397990" w:rsidRDefault="00397990" w:rsidP="00397990">
    <w:pPr>
      <w:pStyle w:val="Heading3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397990">
      <w:rPr>
        <w:rFonts w:ascii="Times New Roman" w:hAnsi="Times New Roman" w:cs="Times New Roman"/>
        <w:i/>
        <w:iCs/>
        <w:color w:val="auto"/>
        <w:sz w:val="20"/>
        <w:szCs w:val="20"/>
      </w:rPr>
      <w:t>The effectiveness of therapeutic ultrasound treatment on the size of breast hardness area in women with inflammatory conditions of the lactating breast</w:t>
    </w:r>
  </w:p>
  <w:p w14:paraId="11E440F4" w14:textId="77777777" w:rsidR="00397990" w:rsidRDefault="00397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FE3E" w14:textId="77777777" w:rsidR="00C37FB8" w:rsidRDefault="00C37F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A34AB"/>
    <w:multiLevelType w:val="multilevel"/>
    <w:tmpl w:val="797A9E3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795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hysiothera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satptdn5tvw8e9dt5xv2s0ft2pv5szr905&quot;&gt;PhD&lt;record-ids&gt;&lt;item&gt;1386&lt;/item&gt;&lt;item&gt;1389&lt;/item&gt;&lt;item&gt;1494&lt;/item&gt;&lt;item&gt;1498&lt;/item&gt;&lt;/record-ids&gt;&lt;/item&gt;&lt;/Libraries&gt;"/>
  </w:docVars>
  <w:rsids>
    <w:rsidRoot w:val="005B5ADB"/>
    <w:rsid w:val="000619EE"/>
    <w:rsid w:val="00066CB4"/>
    <w:rsid w:val="000B2EB3"/>
    <w:rsid w:val="00101873"/>
    <w:rsid w:val="001377C9"/>
    <w:rsid w:val="001E10E0"/>
    <w:rsid w:val="00237BA5"/>
    <w:rsid w:val="00263EDE"/>
    <w:rsid w:val="0027635E"/>
    <w:rsid w:val="00331424"/>
    <w:rsid w:val="00333249"/>
    <w:rsid w:val="00397990"/>
    <w:rsid w:val="003A1E60"/>
    <w:rsid w:val="00462AC4"/>
    <w:rsid w:val="00475408"/>
    <w:rsid w:val="004A408A"/>
    <w:rsid w:val="00501589"/>
    <w:rsid w:val="00574E56"/>
    <w:rsid w:val="00584840"/>
    <w:rsid w:val="005B5ADB"/>
    <w:rsid w:val="00641FFA"/>
    <w:rsid w:val="007A1B93"/>
    <w:rsid w:val="007A5778"/>
    <w:rsid w:val="007B0C81"/>
    <w:rsid w:val="00815565"/>
    <w:rsid w:val="008250F6"/>
    <w:rsid w:val="00876D6A"/>
    <w:rsid w:val="008D1C6F"/>
    <w:rsid w:val="00902E95"/>
    <w:rsid w:val="00B01B30"/>
    <w:rsid w:val="00B33E77"/>
    <w:rsid w:val="00BA041B"/>
    <w:rsid w:val="00BA413D"/>
    <w:rsid w:val="00BA4C93"/>
    <w:rsid w:val="00C25E8E"/>
    <w:rsid w:val="00C37FB8"/>
    <w:rsid w:val="00C96FE5"/>
    <w:rsid w:val="00CC2A14"/>
    <w:rsid w:val="00CE0FC8"/>
    <w:rsid w:val="00CF1162"/>
    <w:rsid w:val="00D02A1E"/>
    <w:rsid w:val="00D85878"/>
    <w:rsid w:val="00D93540"/>
    <w:rsid w:val="00DE0522"/>
    <w:rsid w:val="00F6799E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E9E1"/>
  <w15:chartTrackingRefBased/>
  <w15:docId w15:val="{0077181C-15FA-424D-80D1-58C75357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9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B9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B93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5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B93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A1B93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B5AD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B5AD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DB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5B5ADB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B5ADB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B5ADB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B5ADB"/>
    <w:rPr>
      <w:rFonts w:ascii="Times New Roman" w:hAnsi="Times New Roman" w:cs="Times New Roman"/>
      <w:noProof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979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99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97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99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3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Heron</dc:creator>
  <cp:keywords/>
  <dc:description/>
  <cp:lastModifiedBy>Emma Heron</cp:lastModifiedBy>
  <cp:revision>7</cp:revision>
  <dcterms:created xsi:type="dcterms:W3CDTF">2022-12-05T01:32:00Z</dcterms:created>
  <dcterms:modified xsi:type="dcterms:W3CDTF">2022-12-05T01:35:00Z</dcterms:modified>
</cp:coreProperties>
</file>