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ubtitle"/>
      </w:pPr>
      <w:r>
        <w:rPr>
          <w:b w:val="1"/>
          <w:bCs w:val="1"/>
          <w:u w:color="000000"/>
          <w:rtl w:val="0"/>
          <w:lang w:val="en-US"/>
        </w:rPr>
        <w:t>Comparison between freehand and needle guide techniques for the teaching of percutaneous renal biopsy: a randomised control trial</w:t>
      </w:r>
    </w:p>
    <w:p>
      <w:pPr>
        <w:pStyle w:val="Subtitle"/>
      </w:pPr>
    </w:p>
    <w:p>
      <w:pPr>
        <w:pStyle w:val="Subtitle"/>
      </w:pPr>
    </w:p>
    <w:p>
      <w:pPr>
        <w:pStyle w:val="Subtitle"/>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Body A"/>
        <w:jc w:val="center"/>
        <w:outlineLvl w:val="0"/>
      </w:pPr>
    </w:p>
    <w:p>
      <w:pPr>
        <w:pStyle w:val="No Spacing"/>
      </w:pPr>
    </w:p>
    <w:p>
      <w:pPr>
        <w:pStyle w:val="No Spacing"/>
      </w:pPr>
      <w:r>
        <w:rPr>
          <w:rFonts w:cs="Arial Unicode MS" w:eastAsia="Arial Unicode MS"/>
          <w:sz w:val="22"/>
          <w:szCs w:val="22"/>
          <w:rtl w:val="0"/>
          <w:lang w:val="en-US"/>
        </w:rPr>
        <w:t>Dr Elizabeth Downie</w:t>
      </w:r>
      <w:r>
        <w:rPr>
          <w:rFonts w:cs="Arial Unicode MS" w:eastAsia="Arial Unicode MS"/>
          <w:rtl w:val="0"/>
        </w:rPr>
        <w:t xml:space="preserve">, </w:t>
      </w:r>
      <w:r>
        <w:rPr>
          <w:rFonts w:cs="Arial Unicode MS" w:eastAsia="Arial Unicode MS"/>
          <w:sz w:val="22"/>
          <w:szCs w:val="22"/>
          <w:rtl w:val="0"/>
          <w:lang w:val="en-US"/>
        </w:rPr>
        <w:t xml:space="preserve">Nephrology Advanced Trainee, Renal Unit, Liverpool Hospital, </w:t>
      </w:r>
      <w:bookmarkStart w:name="_Hlk520152319" w:id="0"/>
      <w:r>
        <w:rPr>
          <w:rFonts w:cs="Arial Unicode MS" w:eastAsia="Arial Unicode MS"/>
          <w:sz w:val="22"/>
          <w:szCs w:val="22"/>
          <w:rtl w:val="0"/>
          <w:lang w:val="en-US"/>
        </w:rPr>
        <w:t>SWSLHD</w:t>
      </w:r>
      <w:bookmarkEnd w:id="0"/>
      <w:bookmarkStart w:name="_Hlk520152210" w:id="1"/>
      <w:r>
        <w:rPr>
          <w:rFonts w:cs="Arial Unicode MS" w:eastAsia="Arial Unicode MS"/>
          <w:sz w:val="22"/>
          <w:szCs w:val="22"/>
          <w:rtl w:val="0"/>
          <w:lang w:val="en-US"/>
        </w:rPr>
        <w:t>, NSW 2170 Australia</w:t>
      </w:r>
      <w:bookmarkEnd w:id="1"/>
    </w:p>
    <w:p>
      <w:pPr>
        <w:pStyle w:val="No Spacing"/>
      </w:pPr>
    </w:p>
    <w:p>
      <w:pPr>
        <w:pStyle w:val="No Spacing"/>
      </w:pPr>
      <w:r>
        <w:rPr>
          <w:rFonts w:cs="Arial Unicode MS" w:eastAsia="Arial Unicode MS"/>
          <w:sz w:val="22"/>
          <w:szCs w:val="22"/>
          <w:rtl w:val="0"/>
          <w:lang w:val="en-US"/>
        </w:rPr>
        <w:t>Dr Govind Narayanan</w:t>
      </w:r>
      <w:r>
        <w:rPr>
          <w:rFonts w:cs="Arial Unicode MS" w:eastAsia="Arial Unicode MS"/>
          <w:rtl w:val="0"/>
        </w:rPr>
        <w:t xml:space="preserve">, </w:t>
      </w:r>
      <w:r>
        <w:rPr>
          <w:rFonts w:cs="Arial Unicode MS" w:eastAsia="Arial Unicode MS"/>
          <w:sz w:val="22"/>
          <w:szCs w:val="22"/>
          <w:rtl w:val="0"/>
          <w:lang w:val="en-US"/>
        </w:rPr>
        <w:t>Staff Specialist, Renal Unit, SWSLHD Liverpool Hospital, NSW 2170 Australia</w:t>
      </w:r>
    </w:p>
    <w:p>
      <w:pPr>
        <w:pStyle w:val="No Spacing"/>
      </w:pPr>
    </w:p>
    <w:p>
      <w:pPr>
        <w:pStyle w:val="No Spacing"/>
      </w:pPr>
      <w:r>
        <w:rPr>
          <w:rFonts w:cs="Arial Unicode MS" w:eastAsia="Arial Unicode MS"/>
          <w:sz w:val="22"/>
          <w:szCs w:val="22"/>
          <w:rtl w:val="0"/>
          <w:lang w:val="en-US"/>
        </w:rPr>
        <w:t>Dr Ananthakrishnapuram Aravindan</w:t>
      </w:r>
      <w:r>
        <w:rPr>
          <w:rFonts w:cs="Arial Unicode MS" w:eastAsia="Arial Unicode MS"/>
          <w:rtl w:val="0"/>
        </w:rPr>
        <w:t xml:space="preserve">, </w:t>
      </w:r>
      <w:r>
        <w:rPr>
          <w:rFonts w:cs="Arial Unicode MS" w:eastAsia="Arial Unicode MS"/>
          <w:sz w:val="22"/>
          <w:szCs w:val="22"/>
          <w:rtl w:val="0"/>
          <w:lang w:val="en-US"/>
        </w:rPr>
        <w:t>Staff Specialist, Renal Unit, SWSLHD Liverpool Hospital, NSW 2170 Australia</w:t>
      </w:r>
    </w:p>
    <w:p>
      <w:pPr>
        <w:pStyle w:val="No Spacing"/>
      </w:pPr>
    </w:p>
    <w:p>
      <w:pPr>
        <w:pStyle w:val="No Spacing"/>
      </w:pPr>
      <w:r>
        <w:rPr>
          <w:rFonts w:cs="Arial Unicode MS" w:eastAsia="Arial Unicode MS"/>
          <w:sz w:val="22"/>
          <w:szCs w:val="22"/>
          <w:rtl w:val="0"/>
          <w:lang w:val="en-US"/>
        </w:rPr>
        <w:t>Dr Stephen Spicer</w:t>
      </w:r>
      <w:r>
        <w:rPr>
          <w:rFonts w:cs="Arial Unicode MS" w:eastAsia="Arial Unicode MS"/>
          <w:rtl w:val="0"/>
        </w:rPr>
        <w:t xml:space="preserve">, </w:t>
      </w:r>
      <w:r>
        <w:rPr>
          <w:rFonts w:cs="Arial Unicode MS" w:eastAsia="Arial Unicode MS"/>
          <w:sz w:val="22"/>
          <w:szCs w:val="22"/>
          <w:rtl w:val="0"/>
          <w:lang w:val="en-US"/>
        </w:rPr>
        <w:t>Director of Renal Services</w:t>
      </w:r>
      <w:r>
        <w:rPr>
          <w:rFonts w:cs="Arial Unicode MS" w:eastAsia="Arial Unicode MS"/>
          <w:rtl w:val="0"/>
        </w:rPr>
        <w:t xml:space="preserve"> and</w:t>
      </w:r>
      <w:r>
        <w:rPr>
          <w:rFonts w:cs="Arial Unicode MS" w:eastAsia="Arial Unicode MS"/>
          <w:sz w:val="22"/>
          <w:szCs w:val="22"/>
          <w:rtl w:val="0"/>
          <w:lang w:val="en-US"/>
        </w:rPr>
        <w:t xml:space="preserve"> Staff Specialist, Renal Unit, SWSLHD Liverpool Hospital, NSW 2170 Australia</w:t>
      </w:r>
    </w:p>
    <w:p>
      <w:pPr>
        <w:pStyle w:val="No Spacing"/>
      </w:pPr>
    </w:p>
    <w:p>
      <w:pPr>
        <w:pStyle w:val="No Spacing"/>
      </w:pPr>
      <w:r>
        <w:rPr>
          <w:rFonts w:cs="Arial Unicode MS" w:eastAsia="Arial Unicode MS"/>
          <w:sz w:val="22"/>
          <w:szCs w:val="22"/>
          <w:rtl w:val="0"/>
          <w:lang w:val="en-US"/>
        </w:rPr>
        <w:t>Dr Hareeshan Nandakoban, Staff Specialist, Renal Unit, SWSLHD Liverpool Hospital, NSW 2170 Australia</w:t>
      </w:r>
    </w:p>
    <w:p>
      <w:pPr>
        <w:pStyle w:val="No Spacing"/>
      </w:pPr>
    </w:p>
    <w:p>
      <w:pPr>
        <w:pStyle w:val="No Spacing"/>
      </w:pPr>
      <w:r>
        <w:rPr>
          <w:rFonts w:cs="Arial Unicode MS" w:eastAsia="Arial Unicode MS"/>
          <w:sz w:val="22"/>
          <w:szCs w:val="22"/>
          <w:rtl w:val="0"/>
          <w:lang w:val="en-US"/>
        </w:rPr>
        <w:t xml:space="preserve">Professor Angela Makris, </w:t>
      </w:r>
      <w:r>
        <w:rPr>
          <w:rFonts w:cs="Arial Unicode MS" w:eastAsia="Arial Unicode MS"/>
          <w:rtl w:val="0"/>
        </w:rPr>
        <w:t xml:space="preserve"> </w:t>
      </w:r>
      <w:r>
        <w:rPr>
          <w:rFonts w:cs="Arial Unicode MS" w:eastAsia="Arial Unicode MS"/>
          <w:sz w:val="22"/>
          <w:szCs w:val="22"/>
          <w:rtl w:val="0"/>
          <w:lang w:val="en-US"/>
        </w:rPr>
        <w:t>Staff Specialist, Renal Unit, SWSLHD Liverpool Hospital, NSW 2170 Australia</w:t>
      </w:r>
    </w:p>
    <w:p>
      <w:pPr>
        <w:pStyle w:val="No Spacing"/>
      </w:pPr>
    </w:p>
    <w:p>
      <w:pPr>
        <w:pStyle w:val="No Spacing"/>
      </w:pPr>
      <w:r>
        <w:rPr>
          <w:rFonts w:cs="Arial Unicode MS" w:eastAsia="Arial Unicode MS"/>
          <w:sz w:val="22"/>
          <w:szCs w:val="22"/>
          <w:rtl w:val="0"/>
          <w:lang w:val="en-US"/>
        </w:rPr>
        <w:t>Dr Jeffrey Wong</w:t>
      </w:r>
      <w:r>
        <w:rPr>
          <w:rFonts w:cs="Arial Unicode MS" w:eastAsia="Arial Unicode MS"/>
          <w:rtl w:val="0"/>
        </w:rPr>
        <w:t xml:space="preserve">, </w:t>
      </w:r>
      <w:r>
        <w:rPr>
          <w:rFonts w:cs="Arial Unicode MS" w:eastAsia="Arial Unicode MS"/>
          <w:sz w:val="22"/>
          <w:szCs w:val="22"/>
          <w:rtl w:val="0"/>
          <w:lang w:val="en-US"/>
        </w:rPr>
        <w:t>Staff Specialist, Renal Unit, SWSLHD Liverpool Hospital, NSW 2170 Australia</w:t>
      </w:r>
      <w:r>
        <w:rPr>
          <w:rFonts w:ascii="Arial Unicode MS" w:hAnsi="Arial Unicode MS"/>
          <w:rtl w:val="0"/>
          <w:lang w:val="en-US"/>
        </w:rPr>
        <w:t xml:space="preserve"> </w:t>
      </w:r>
      <w:r>
        <w:rPr>
          <w:rFonts w:ascii="Arial Unicode MS" w:cs="Arial Unicode MS" w:hAnsi="Arial Unicode MS" w:eastAsia="Arial Unicode MS"/>
          <w:b w:val="0"/>
          <w:bCs w:val="0"/>
          <w:i w:val="0"/>
          <w:iCs w:val="0"/>
          <w:sz w:val="22"/>
          <w:szCs w:val="22"/>
        </w:rPr>
        <w:br w:type="page"/>
      </w:r>
    </w:p>
    <w:p>
      <w:pPr>
        <w:pStyle w:val="Body A"/>
        <w:jc w:val="center"/>
        <w:outlineLvl w:val="0"/>
      </w:pPr>
    </w:p>
    <w:p>
      <w:pPr>
        <w:pStyle w:val="Body A"/>
        <w:outlineLvl w:val="0"/>
      </w:pPr>
    </w:p>
    <w:p>
      <w:pPr>
        <w:pStyle w:val="TOC Heading"/>
      </w:pPr>
      <w:r>
        <w:rPr>
          <w:color w:val="000000"/>
          <w:sz w:val="36"/>
          <w:szCs w:val="36"/>
          <w:u w:color="000000"/>
          <w:rtl w:val="0"/>
          <w:lang w:val="en-US"/>
        </w:rPr>
        <w:t>Contents</w:t>
      </w:r>
    </w:p>
    <w:p>
      <w:pPr>
        <w:pStyle w:val="Body B"/>
      </w:pPr>
    </w:p>
    <w:p>
      <w:pPr>
        <w:pStyle w:val="Body B"/>
      </w:pPr>
    </w:p>
    <w:p>
      <w:pPr>
        <w:pStyle w:val="Body B A"/>
      </w:pPr>
      <w:r>
        <w:rPr/>
        <w:fldChar w:fldCharType="begin" w:fldLock="0"/>
      </w:r>
      <w:r>
        <w:instrText xml:space="preserve"> TOC \o 2-2 \t "Heading, 3"</w:instrText>
      </w:r>
      <w:r>
        <w:rPr/>
        <w:fldChar w:fldCharType="separate" w:fldLock="0"/>
      </w:r>
    </w:p>
    <w:p>
      <w:pPr>
        <w:pStyle w:val="TOC 3"/>
      </w:pPr>
      <w:r>
        <w:rPr>
          <w:rFonts w:cs="Arial Unicode MS" w:eastAsia="Arial Unicode MS"/>
          <w:rtl w:val="0"/>
        </w:rPr>
        <w:t>Synopsis</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3"/>
      </w:pPr>
      <w:r>
        <w:rPr>
          <w:rFonts w:cs="Arial Unicode MS" w:eastAsia="Arial Unicode MS"/>
          <w:rtl w:val="0"/>
        </w:rPr>
        <w:t>Rationale/Background</w:t>
        <w:tab/>
      </w:r>
      <w:r>
        <w:rPr/>
        <w:fldChar w:fldCharType="begin" w:fldLock="0"/>
      </w:r>
      <w:r>
        <w:instrText xml:space="preserve"> PAGEREF _Toc1 \h </w:instrText>
      </w:r>
      <w:r>
        <w:rPr/>
        <w:fldChar w:fldCharType="separate" w:fldLock="0"/>
      </w:r>
      <w:r>
        <w:rPr>
          <w:rFonts w:cs="Arial Unicode MS" w:eastAsia="Arial Unicode MS"/>
          <w:rtl w:val="0"/>
        </w:rPr>
        <w:t>4</w:t>
      </w:r>
      <w:r>
        <w:rPr/>
        <w:fldChar w:fldCharType="end" w:fldLock="0"/>
      </w:r>
    </w:p>
    <w:p>
      <w:pPr>
        <w:pStyle w:val="TOC 3"/>
      </w:pPr>
      <w:r>
        <w:rPr>
          <w:rFonts w:cs="Arial Unicode MS" w:eastAsia="Arial Unicode MS"/>
          <w:rtl w:val="0"/>
        </w:rPr>
        <w:t>Aims/Objectives/Hypotheses</w:t>
        <w:tab/>
      </w:r>
      <w:r>
        <w:rPr/>
        <w:fldChar w:fldCharType="begin" w:fldLock="0"/>
      </w:r>
      <w:r>
        <w:instrText xml:space="preserve"> PAGEREF _Toc2 \h </w:instrText>
      </w:r>
      <w:r>
        <w:rPr/>
        <w:fldChar w:fldCharType="separate" w:fldLock="0"/>
      </w:r>
      <w:r>
        <w:rPr>
          <w:rFonts w:cs="Arial Unicode MS" w:eastAsia="Arial Unicode MS"/>
          <w:rtl w:val="0"/>
        </w:rPr>
        <w:t>5</w:t>
      </w:r>
      <w:r>
        <w:rPr/>
        <w:fldChar w:fldCharType="end" w:fldLock="0"/>
      </w:r>
    </w:p>
    <w:p>
      <w:pPr>
        <w:pStyle w:val="TOC 3"/>
      </w:pPr>
      <w:r>
        <w:rPr>
          <w:rFonts w:cs="Arial Unicode MS" w:eastAsia="Arial Unicode MS"/>
          <w:rtl w:val="0"/>
        </w:rPr>
        <w:t>Participating Sites</w:t>
        <w:tab/>
      </w:r>
      <w:r>
        <w:rPr/>
        <w:fldChar w:fldCharType="begin" w:fldLock="0"/>
      </w:r>
      <w:r>
        <w:instrText xml:space="preserve"> PAGEREF _Toc3 \h </w:instrText>
      </w:r>
      <w:r>
        <w:rPr/>
        <w:fldChar w:fldCharType="separate" w:fldLock="0"/>
      </w:r>
      <w:r>
        <w:rPr>
          <w:rFonts w:cs="Arial Unicode MS" w:eastAsia="Arial Unicode MS"/>
          <w:rtl w:val="0"/>
        </w:rPr>
        <w:t>6</w:t>
      </w:r>
      <w:r>
        <w:rPr/>
        <w:fldChar w:fldCharType="end" w:fldLock="0"/>
      </w:r>
    </w:p>
    <w:p>
      <w:pPr>
        <w:pStyle w:val="TOC 3"/>
      </w:pPr>
      <w:r>
        <w:rPr>
          <w:rFonts w:cs="Arial Unicode MS" w:eastAsia="Arial Unicode MS"/>
          <w:rtl w:val="0"/>
        </w:rPr>
        <w:t>Research Plan/Study design</w:t>
        <w:tab/>
      </w:r>
      <w:r>
        <w:rPr/>
        <w:fldChar w:fldCharType="begin" w:fldLock="0"/>
      </w:r>
      <w:r>
        <w:instrText xml:space="preserve"> PAGEREF _Toc4 \h </w:instrText>
      </w:r>
      <w:r>
        <w:rPr/>
        <w:fldChar w:fldCharType="separate" w:fldLock="0"/>
      </w:r>
      <w:r>
        <w:rPr>
          <w:rFonts w:cs="Arial Unicode MS" w:eastAsia="Arial Unicode MS"/>
          <w:rtl w:val="0"/>
        </w:rPr>
        <w:t>6</w:t>
      </w:r>
      <w:r>
        <w:rPr/>
        <w:fldChar w:fldCharType="end" w:fldLock="0"/>
      </w:r>
    </w:p>
    <w:p>
      <w:pPr>
        <w:pStyle w:val="TOC 2"/>
      </w:pPr>
      <w:r>
        <w:rPr>
          <w:rFonts w:cs="Arial Unicode MS" w:eastAsia="Arial Unicode MS"/>
          <w:rtl w:val="0"/>
        </w:rPr>
        <w:t>Type of study</w:t>
        <w:tab/>
      </w:r>
      <w:r>
        <w:rPr/>
        <w:fldChar w:fldCharType="begin" w:fldLock="0"/>
      </w:r>
      <w:r>
        <w:instrText xml:space="preserve"> PAGEREF _Toc5 \h </w:instrText>
      </w:r>
      <w:r>
        <w:rPr/>
        <w:fldChar w:fldCharType="separate" w:fldLock="0"/>
      </w:r>
      <w:r>
        <w:rPr>
          <w:rFonts w:cs="Arial Unicode MS" w:eastAsia="Arial Unicode MS"/>
          <w:rtl w:val="0"/>
        </w:rPr>
        <w:t>6</w:t>
      </w:r>
      <w:r>
        <w:rPr/>
        <w:fldChar w:fldCharType="end" w:fldLock="0"/>
      </w:r>
    </w:p>
    <w:p>
      <w:pPr>
        <w:pStyle w:val="TOC 2"/>
      </w:pPr>
      <w:r>
        <w:rPr>
          <w:rFonts w:cs="Arial Unicode MS" w:eastAsia="Arial Unicode MS"/>
          <w:rtl w:val="0"/>
        </w:rPr>
        <w:t>Data sources/collection</w:t>
        <w:tab/>
      </w:r>
      <w:r>
        <w:rPr/>
        <w:fldChar w:fldCharType="begin" w:fldLock="0"/>
      </w:r>
      <w:r>
        <w:instrText xml:space="preserve"> PAGEREF _Toc6 \h </w:instrText>
      </w:r>
      <w:r>
        <w:rPr/>
        <w:fldChar w:fldCharType="separate" w:fldLock="0"/>
      </w:r>
      <w:r>
        <w:rPr>
          <w:rFonts w:cs="Arial Unicode MS" w:eastAsia="Arial Unicode MS"/>
          <w:rtl w:val="0"/>
        </w:rPr>
        <w:t>6</w:t>
      </w:r>
      <w:r>
        <w:rPr/>
        <w:fldChar w:fldCharType="end" w:fldLock="0"/>
      </w:r>
    </w:p>
    <w:p>
      <w:pPr>
        <w:pStyle w:val="TOC 2"/>
      </w:pPr>
      <w:r>
        <w:rPr>
          <w:rFonts w:cs="Arial Unicode MS" w:eastAsia="Arial Unicode MS"/>
          <w:rtl w:val="0"/>
        </w:rPr>
        <w:t>Population/Sample size</w:t>
        <w:tab/>
      </w:r>
      <w:r>
        <w:rPr/>
        <w:fldChar w:fldCharType="begin" w:fldLock="0"/>
      </w:r>
      <w:r>
        <w:instrText xml:space="preserve"> PAGEREF _Toc7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Expected duration of study and start times</w:t>
        <w:tab/>
      </w:r>
      <w:r>
        <w:rPr/>
        <w:fldChar w:fldCharType="begin" w:fldLock="0"/>
      </w:r>
      <w:r>
        <w:instrText xml:space="preserve"> PAGEREF _Toc8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Statistical analyses</w:t>
        <w:tab/>
      </w:r>
      <w:r>
        <w:rPr/>
        <w:fldChar w:fldCharType="begin" w:fldLock="0"/>
      </w:r>
      <w:r>
        <w:instrText xml:space="preserve"> PAGEREF _Toc9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Funding</w:t>
        <w:tab/>
      </w:r>
      <w:r>
        <w:rPr/>
        <w:fldChar w:fldCharType="begin" w:fldLock="0"/>
      </w:r>
      <w:r>
        <w:instrText xml:space="preserve"> PAGEREF _Toc10 \h </w:instrText>
      </w:r>
      <w:r>
        <w:rPr/>
        <w:fldChar w:fldCharType="separate" w:fldLock="0"/>
      </w:r>
      <w:r>
        <w:rPr>
          <w:rFonts w:cs="Arial Unicode MS" w:eastAsia="Arial Unicode MS"/>
          <w:rtl w:val="0"/>
        </w:rPr>
        <w:t>10</w:t>
      </w:r>
      <w:r>
        <w:rPr/>
        <w:fldChar w:fldCharType="end" w:fldLock="0"/>
      </w:r>
    </w:p>
    <w:p>
      <w:pPr>
        <w:pStyle w:val="TOC 3"/>
      </w:pPr>
      <w:r>
        <w:rPr>
          <w:rFonts w:cs="Arial Unicode MS" w:eastAsia="Arial Unicode MS"/>
          <w:rtl w:val="0"/>
        </w:rPr>
        <w:t>Ethical Considerations</w:t>
        <w:tab/>
      </w:r>
      <w:r>
        <w:rPr/>
        <w:fldChar w:fldCharType="begin" w:fldLock="0"/>
      </w:r>
      <w:r>
        <w:instrText xml:space="preserve"> PAGEREF _Toc11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Recruitment and selection of participants</w:t>
        <w:tab/>
      </w:r>
      <w:r>
        <w:rPr/>
        <w:fldChar w:fldCharType="begin" w:fldLock="0"/>
      </w:r>
      <w:r>
        <w:instrText xml:space="preserve"> PAGEREF _Toc12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Inclusion and exclusion criteria</w:t>
        <w:tab/>
      </w:r>
      <w:r>
        <w:rPr/>
        <w:fldChar w:fldCharType="begin" w:fldLock="0"/>
      </w:r>
      <w:r>
        <w:instrText xml:space="preserve"> PAGEREF _Toc13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Informed consent</w:t>
        <w:tab/>
      </w:r>
      <w:r>
        <w:rPr/>
        <w:fldChar w:fldCharType="begin" w:fldLock="0"/>
      </w:r>
      <w:r>
        <w:instrText xml:space="preserve"> PAGEREF _Toc14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Confidentiality and privacy</w:t>
        <w:tab/>
      </w:r>
      <w:r>
        <w:rPr/>
        <w:fldChar w:fldCharType="begin" w:fldLock="0"/>
      </w:r>
      <w:r>
        <w:instrText xml:space="preserve"> PAGEREF _Toc15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Data storage and record retention</w:t>
        <w:tab/>
      </w:r>
      <w:r>
        <w:rPr/>
        <w:fldChar w:fldCharType="begin" w:fldLock="0"/>
      </w:r>
      <w:r>
        <w:instrText xml:space="preserve"> PAGEREF _Toc16 \h </w:instrText>
      </w:r>
      <w:r>
        <w:rPr/>
        <w:fldChar w:fldCharType="separate" w:fldLock="0"/>
      </w:r>
      <w:r>
        <w:rPr>
          <w:rFonts w:cs="Arial Unicode MS" w:eastAsia="Arial Unicode MS"/>
          <w:rtl w:val="0"/>
        </w:rPr>
        <w:t>11</w:t>
      </w:r>
      <w:r>
        <w:rPr/>
        <w:fldChar w:fldCharType="end" w:fldLock="0"/>
      </w:r>
    </w:p>
    <w:p>
      <w:pPr>
        <w:pStyle w:val="TOC 3"/>
      </w:pPr>
      <w:r>
        <w:rPr>
          <w:rFonts w:cs="Arial Unicode MS" w:eastAsia="Arial Unicode MS"/>
          <w:rtl w:val="0"/>
        </w:rPr>
        <w:t>Outcomes and significance</w:t>
        <w:tab/>
      </w:r>
      <w:r>
        <w:rPr/>
        <w:fldChar w:fldCharType="begin" w:fldLock="0"/>
      </w:r>
      <w:r>
        <w:instrText xml:space="preserve"> PAGEREF _Toc17 \h </w:instrText>
      </w:r>
      <w:r>
        <w:rPr/>
        <w:fldChar w:fldCharType="separate" w:fldLock="0"/>
      </w:r>
      <w:r>
        <w:rPr>
          <w:rFonts w:cs="Arial Unicode MS" w:eastAsia="Arial Unicode MS"/>
          <w:rtl w:val="0"/>
        </w:rPr>
        <w:t>11</w:t>
      </w:r>
      <w:r>
        <w:rPr/>
        <w:fldChar w:fldCharType="end" w:fldLock="0"/>
      </w:r>
    </w:p>
    <w:p>
      <w:pPr>
        <w:pStyle w:val="TOC 3"/>
      </w:pPr>
      <w:r>
        <w:rPr>
          <w:rFonts w:cs="Arial Unicode MS" w:eastAsia="Arial Unicode MS"/>
          <w:rtl w:val="0"/>
        </w:rPr>
        <w:t>Timelines/Milestones</w:t>
        <w:tab/>
      </w:r>
      <w:r>
        <w:rPr/>
        <w:fldChar w:fldCharType="begin" w:fldLock="0"/>
      </w:r>
      <w:r>
        <w:instrText xml:space="preserve"> PAGEREF _Toc18 \h </w:instrText>
      </w:r>
      <w:r>
        <w:rPr/>
        <w:fldChar w:fldCharType="separate" w:fldLock="0"/>
      </w:r>
      <w:r>
        <w:rPr>
          <w:rFonts w:cs="Arial Unicode MS" w:eastAsia="Arial Unicode MS"/>
          <w:rtl w:val="0"/>
        </w:rPr>
        <w:t>12</w:t>
      </w:r>
      <w:r>
        <w:rPr/>
        <w:fldChar w:fldCharType="end" w:fldLock="0"/>
      </w:r>
    </w:p>
    <w:p>
      <w:pPr>
        <w:pStyle w:val="TOC 3"/>
      </w:pPr>
      <w:r>
        <w:rPr>
          <w:rFonts w:cs="Arial Unicode MS" w:eastAsia="Arial Unicode MS"/>
          <w:rtl w:val="0"/>
        </w:rPr>
        <w:t>Publication policy</w:t>
        <w:tab/>
      </w:r>
      <w:r>
        <w:rPr/>
        <w:fldChar w:fldCharType="begin" w:fldLock="0"/>
      </w:r>
      <w:r>
        <w:instrText xml:space="preserve"> PAGEREF _Toc19 \h </w:instrText>
      </w:r>
      <w:r>
        <w:rPr/>
        <w:fldChar w:fldCharType="separate" w:fldLock="0"/>
      </w:r>
      <w:r>
        <w:rPr>
          <w:rFonts w:cs="Arial Unicode MS" w:eastAsia="Arial Unicode MS"/>
          <w:rtl w:val="0"/>
        </w:rPr>
        <w:t>12</w:t>
      </w:r>
      <w:r>
        <w:rPr/>
        <w:fldChar w:fldCharType="end" w:fldLock="0"/>
      </w:r>
    </w:p>
    <w:p>
      <w:pPr>
        <w:pStyle w:val="TOC 3"/>
      </w:pPr>
      <w:r>
        <w:rPr>
          <w:rFonts w:cs="Arial Unicode MS" w:eastAsia="Arial Unicode MS"/>
          <w:rtl w:val="0"/>
        </w:rPr>
        <w:t>References</w:t>
        <w:tab/>
      </w:r>
      <w:r>
        <w:rPr/>
        <w:fldChar w:fldCharType="begin" w:fldLock="0"/>
      </w:r>
      <w:r>
        <w:instrText xml:space="preserve"> PAGEREF _Toc20 \h </w:instrText>
      </w:r>
      <w:r>
        <w:rPr/>
        <w:fldChar w:fldCharType="separate" w:fldLock="0"/>
      </w:r>
      <w:r>
        <w:rPr>
          <w:rFonts w:cs="Arial Unicode MS" w:eastAsia="Arial Unicode MS"/>
          <w:rtl w:val="0"/>
        </w:rPr>
        <w:t>12</w:t>
      </w:r>
      <w:r>
        <w:rPr/>
        <w:fldChar w:fldCharType="end" w:fldLock="0"/>
      </w:r>
    </w:p>
    <w:p>
      <w:pPr>
        <w:pStyle w:val="Body B A"/>
      </w:pPr>
      <w:r>
        <w:rPr/>
        <w:fldChar w:fldCharType="end" w:fldLock="0"/>
      </w:r>
    </w:p>
    <w:p>
      <w:pPr>
        <w:pStyle w:val="Body A"/>
        <w:outlineLvl w:val="0"/>
      </w:pPr>
    </w:p>
    <w:p>
      <w:pPr>
        <w:pStyle w:val="Body B A"/>
      </w:pPr>
      <w:r>
        <w:rPr>
          <w:rFonts w:ascii="Arial Unicode MS" w:cs="Arial Unicode MS" w:hAnsi="Arial Unicode MS" w:eastAsia="Arial Unicode MS"/>
          <w:b w:val="0"/>
          <w:bCs w:val="0"/>
          <w:i w:val="0"/>
          <w:iCs w:val="0"/>
        </w:rPr>
        <w:br w:type="page"/>
      </w:r>
    </w:p>
    <w:p>
      <w:pPr>
        <w:pStyle w:val="Heading"/>
      </w:pPr>
      <w:bookmarkStart w:name="_Toc" w:id="2"/>
      <w:r>
        <w:rPr>
          <w:rFonts w:cs="Arial Unicode MS" w:eastAsia="Arial Unicode MS"/>
          <w:rtl w:val="0"/>
        </w:rPr>
        <w:t>Synopsis</w:t>
      </w:r>
      <w:bookmarkEnd w:id="2"/>
    </w:p>
    <w:p>
      <w:pPr>
        <w:pStyle w:val="Body A"/>
      </w:pPr>
    </w:p>
    <w:p>
      <w:pPr>
        <w:pStyle w:val="Body A"/>
        <w:jc w:val="both"/>
      </w:pPr>
      <w:r>
        <w:rPr>
          <w:rFonts w:ascii="Times New Roman" w:hAnsi="Times New Roman"/>
          <w:sz w:val="24"/>
          <w:szCs w:val="24"/>
          <w:rtl w:val="0"/>
          <w:lang w:val="en-US"/>
        </w:rPr>
        <w:t>Percutaneous renal biopsy is an essential diagnostic tool in the specialty of nephrology. Currently, it is generally performed under real-time ultrasound imaging because of the ubiquity and availability of ultrasound</w:t>
      </w:r>
      <w:r>
        <w:rPr>
          <w:rFonts w:ascii="Times New Roman" w:hAnsi="Times New Roman"/>
          <w:sz w:val="24"/>
          <w:szCs w:val="24"/>
          <w:rtl w:val="0"/>
          <w:lang w:val="en-US"/>
        </w:rPr>
        <w:t>,</w:t>
      </w:r>
      <w:r>
        <w:rPr>
          <w:rFonts w:ascii="Times New Roman" w:hAnsi="Times New Roman"/>
          <w:sz w:val="24"/>
          <w:szCs w:val="24"/>
          <w:rtl w:val="0"/>
          <w:lang w:val="en-US"/>
        </w:rPr>
        <w:t xml:space="preserve"> and its ability to provide real time simultaneous views of the kidney and biopsy needle. There are 2 common variations: </w:t>
      </w:r>
    </w:p>
    <w:p>
      <w:pPr>
        <w:pStyle w:val="Body A"/>
        <w:numPr>
          <w:ilvl w:val="0"/>
          <w:numId w:val="2"/>
        </w:numPr>
        <w:bidi w:val="0"/>
        <w:ind w:right="0"/>
        <w:jc w:val="both"/>
        <w:rPr>
          <w:sz w:val="24"/>
          <w:szCs w:val="24"/>
          <w:rtl w:val="0"/>
          <w:lang w:val="en-US"/>
        </w:rPr>
      </w:pPr>
      <w:r>
        <w:rPr>
          <w:rFonts w:ascii="Times New Roman" w:hAnsi="Times New Roman"/>
          <w:sz w:val="24"/>
          <w:szCs w:val="24"/>
          <w:rtl w:val="0"/>
          <w:lang w:val="en-US"/>
        </w:rPr>
        <w:t xml:space="preserve">The </w:t>
      </w:r>
      <w:r>
        <w:rPr>
          <w:rFonts w:ascii="Times New Roman" w:hAnsi="Times New Roman" w:hint="default"/>
          <w:sz w:val="24"/>
          <w:szCs w:val="24"/>
          <w:rtl w:val="0"/>
          <w:lang w:val="en-US"/>
        </w:rPr>
        <w:t>“</w:t>
      </w:r>
      <w:r>
        <w:rPr>
          <w:rFonts w:ascii="Times New Roman" w:hAnsi="Times New Roman"/>
          <w:sz w:val="24"/>
          <w:szCs w:val="24"/>
          <w:rtl w:val="0"/>
          <w:lang w:val="en-US"/>
        </w:rPr>
        <w:t>freehand technique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where the operator uses one hand to manoeuvre the ultrasound probe and the other to manipulate the biopsy needle in an independent manner, or </w:t>
      </w:r>
    </w:p>
    <w:p>
      <w:pPr>
        <w:pStyle w:val="Body A"/>
        <w:numPr>
          <w:ilvl w:val="0"/>
          <w:numId w:val="3"/>
        </w:numPr>
        <w:bidi w:val="0"/>
        <w:ind w:right="0"/>
        <w:jc w:val="both"/>
        <w:rPr>
          <w:sz w:val="24"/>
          <w:szCs w:val="24"/>
          <w:rtl w:val="0"/>
          <w:lang w:val="en-US"/>
        </w:rPr>
      </w:pPr>
      <w:r>
        <w:rPr>
          <w:rFonts w:ascii="Times New Roman" w:hAnsi="Times New Roman"/>
          <w:sz w:val="24"/>
          <w:szCs w:val="24"/>
          <w:rtl w:val="0"/>
          <w:lang w:val="en-US"/>
        </w:rPr>
        <w:t xml:space="preserve">The </w:t>
      </w:r>
      <w:r>
        <w:rPr>
          <w:rFonts w:ascii="Times New Roman" w:hAnsi="Times New Roman" w:hint="default"/>
          <w:sz w:val="24"/>
          <w:szCs w:val="24"/>
          <w:rtl w:val="0"/>
          <w:lang w:val="en-US"/>
        </w:rPr>
        <w:t>“</w:t>
      </w:r>
      <w:r>
        <w:rPr>
          <w:rFonts w:ascii="Times New Roman" w:hAnsi="Times New Roman"/>
          <w:sz w:val="24"/>
          <w:szCs w:val="24"/>
          <w:rtl w:val="0"/>
          <w:lang w:val="en-US"/>
        </w:rPr>
        <w:t>needle guide method</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where the biopsy needle is passed through a guide fixed to the ultrasound probe so the probe and needle remain in the same 2 dimensional plane at all times. This optimises the imaging and provides a predetermined needle course. </w:t>
      </w:r>
    </w:p>
    <w:p>
      <w:pPr>
        <w:pStyle w:val="Body A"/>
        <w:jc w:val="both"/>
      </w:pPr>
    </w:p>
    <w:p>
      <w:pPr>
        <w:pStyle w:val="Body A"/>
        <w:jc w:val="both"/>
      </w:pPr>
      <w:r>
        <w:rPr>
          <w:rFonts w:ascii="Times New Roman" w:hAnsi="Times New Roman"/>
          <w:sz w:val="24"/>
          <w:szCs w:val="24"/>
          <w:rtl w:val="0"/>
          <w:lang w:val="en-US"/>
        </w:rPr>
        <w:t xml:space="preserve">Whilst there is mixed evidence regarding the differences in safety and adequacy between techniques in the hands of experienced operators, there is little literature regarding the optimal method of teaching ultrasound guided percutaneous renal biopsy to junior doctors. </w:t>
      </w:r>
    </w:p>
    <w:p>
      <w:pPr>
        <w:pStyle w:val="Body A"/>
      </w:pPr>
    </w:p>
    <w:p>
      <w:pPr>
        <w:pStyle w:val="Body B A"/>
        <w:jc w:val="both"/>
      </w:pPr>
      <w:r>
        <w:rPr>
          <w:rtl w:val="0"/>
          <w:lang w:val="en-US"/>
        </w:rPr>
        <w:t xml:space="preserve">This prospective randomised trial aims to ascertain the safest and most efficient method for novice operators (medical students and junior doctors) to perform real-time ultrasound guided percutaneous renal. This will be simulated on a </w:t>
      </w:r>
      <w:r>
        <w:rPr>
          <w:rtl w:val="0"/>
          <w:lang w:val="en-US"/>
        </w:rPr>
        <w:t>“</w:t>
      </w:r>
      <w:r>
        <w:rPr>
          <w:rtl w:val="0"/>
          <w:lang w:val="en-US"/>
        </w:rPr>
        <w:t>Blue Phantom</w:t>
      </w:r>
      <w:r>
        <w:rPr>
          <w:rtl w:val="0"/>
          <w:lang w:val="en-US"/>
        </w:rPr>
        <w:t xml:space="preserve">” </w:t>
      </w:r>
      <w:r>
        <w:rPr>
          <w:rtl w:val="0"/>
          <w:lang w:val="en-US"/>
        </w:rPr>
        <w:t>renal biopsy ultrasound training model. We will compare the two methods in the domains of: adequacy, determined by macroscopic examination of tissue obtained, and safety, determined by continuous visualisation of both the biopsy needle and kidney as well as passage of the needle into the safe zone of the lower pole of the kidney.</w:t>
      </w:r>
    </w:p>
    <w:p>
      <w:pPr>
        <w:pStyle w:val="Body B A"/>
      </w:pPr>
    </w:p>
    <w:p>
      <w:pPr>
        <w:pStyle w:val="Body B A"/>
      </w:pPr>
      <w:r>
        <w:rPr>
          <w:rFonts w:ascii="Arial Unicode MS" w:cs="Arial Unicode MS" w:hAnsi="Arial Unicode MS" w:eastAsia="Arial Unicode MS"/>
          <w:b w:val="0"/>
          <w:bCs w:val="0"/>
          <w:i w:val="0"/>
          <w:iCs w:val="0"/>
        </w:rPr>
        <w:br w:type="page"/>
      </w:r>
    </w:p>
    <w:p>
      <w:pPr>
        <w:pStyle w:val="Body A"/>
      </w:pPr>
    </w:p>
    <w:p>
      <w:pPr>
        <w:pStyle w:val="Heading"/>
      </w:pPr>
    </w:p>
    <w:p>
      <w:pPr>
        <w:pStyle w:val="Heading"/>
      </w:pPr>
      <w:bookmarkStart w:name="_Toc1" w:id="3"/>
      <w:r>
        <w:rPr>
          <w:rFonts w:cs="Arial Unicode MS" w:eastAsia="Arial Unicode MS"/>
          <w:rtl w:val="0"/>
        </w:rPr>
        <w:t>Rationale/Background</w:t>
      </w:r>
      <w:bookmarkEnd w:id="3"/>
    </w:p>
    <w:p>
      <w:pPr>
        <w:pStyle w:val="Body A"/>
        <w:spacing w:line="288" w:lineRule="auto"/>
        <w:jc w:val="both"/>
      </w:pPr>
      <w:r>
        <w:rPr>
          <w:rFonts w:ascii="Times New Roman" w:hAnsi="Times New Roman"/>
          <w:sz w:val="24"/>
          <w:szCs w:val="24"/>
          <w:rtl w:val="0"/>
          <w:lang w:val="en-US"/>
        </w:rPr>
        <w:t xml:space="preserve">The procedure of percutaneous renal biopsy is an integral tool </w:t>
      </w:r>
      <w:r>
        <w:rPr>
          <w:rFonts w:ascii="Times New Roman" w:hAnsi="Times New Roman"/>
          <w:sz w:val="24"/>
          <w:szCs w:val="24"/>
          <w:rtl w:val="0"/>
          <w:lang w:val="en-US"/>
        </w:rPr>
        <w:t>in nephrology</w:t>
      </w:r>
      <w:r>
        <w:rPr>
          <w:rFonts w:ascii="Times New Roman" w:hAnsi="Times New Roman"/>
          <w:sz w:val="24"/>
          <w:szCs w:val="24"/>
          <w:rtl w:val="0"/>
          <w:lang w:val="en-US"/>
        </w:rPr>
        <w:t xml:space="preserve"> as it provides the gold standard for diagnosis and prognosis of </w:t>
      </w:r>
      <w:r>
        <w:rPr>
          <w:rFonts w:ascii="Times New Roman" w:hAnsi="Times New Roman"/>
          <w:sz w:val="24"/>
          <w:szCs w:val="24"/>
          <w:rtl w:val="0"/>
          <w:lang w:val="en-US"/>
        </w:rPr>
        <w:t xml:space="preserve">many </w:t>
      </w:r>
      <w:r>
        <w:rPr>
          <w:rFonts w:ascii="Times New Roman" w:hAnsi="Times New Roman"/>
          <w:sz w:val="24"/>
          <w:szCs w:val="24"/>
          <w:rtl w:val="0"/>
          <w:lang w:val="en-US"/>
        </w:rPr>
        <w:t xml:space="preserve">renal diseases. Current practice involves the introduction of an automated biopsy needle through the skin, subcutaneous tissue, muscle and fascia to the renal capsule, where the needle is deployed and a tissue sample obtained. This occurs under real time ultrasound guidance. In order for this procedure to be undertaken efficiently and safely, certain steps are essential. </w:t>
      </w:r>
      <w:r>
        <w:rPr>
          <w:rFonts w:ascii="Times New Roman" w:hAnsi="Times New Roman"/>
          <w:sz w:val="24"/>
          <w:szCs w:val="24"/>
          <w:rtl w:val="0"/>
          <w:lang w:val="en-US"/>
        </w:rPr>
        <w:t>Firstly,</w:t>
      </w:r>
      <w:r>
        <w:rPr>
          <w:rFonts w:ascii="Times New Roman" w:hAnsi="Times New Roman"/>
          <w:sz w:val="24"/>
          <w:szCs w:val="24"/>
          <w:rtl w:val="0"/>
          <w:lang w:val="en-US"/>
        </w:rPr>
        <w:t xml:space="preserve"> the kidney and needle </w:t>
      </w:r>
      <w:r>
        <w:rPr>
          <w:rFonts w:ascii="Times New Roman" w:hAnsi="Times New Roman"/>
          <w:sz w:val="24"/>
          <w:szCs w:val="24"/>
          <w:rtl w:val="0"/>
          <w:lang w:val="en-US"/>
        </w:rPr>
        <w:t xml:space="preserve">need to be simultaneously visualised, </w:t>
      </w:r>
      <w:r>
        <w:rPr>
          <w:rFonts w:ascii="Times New Roman" w:hAnsi="Times New Roman"/>
          <w:sz w:val="24"/>
          <w:szCs w:val="24"/>
          <w:rtl w:val="0"/>
          <w:lang w:val="en-US"/>
        </w:rPr>
        <w:t>which involves keeping the biopsy needle in the same 2-dimensional plane as the ultrasound probe</w:t>
      </w:r>
      <w:r>
        <w:rPr>
          <w:rFonts w:ascii="Times New Roman" w:hAnsi="Times New Roman"/>
          <w:sz w:val="24"/>
          <w:szCs w:val="24"/>
          <w:rtl w:val="0"/>
          <w:lang w:val="en-US"/>
        </w:rPr>
        <w:t xml:space="preserve">. Secondly, </w:t>
      </w:r>
      <w:r>
        <w:rPr>
          <w:rFonts w:ascii="Times New Roman" w:hAnsi="Times New Roman"/>
          <w:sz w:val="24"/>
          <w:szCs w:val="24"/>
          <w:rtl w:val="0"/>
          <w:lang w:val="en-US"/>
        </w:rPr>
        <w:t xml:space="preserve">the biopsy </w:t>
      </w:r>
      <w:r>
        <w:rPr>
          <w:rFonts w:ascii="Times New Roman" w:hAnsi="Times New Roman"/>
          <w:sz w:val="24"/>
          <w:szCs w:val="24"/>
          <w:rtl w:val="0"/>
          <w:lang w:val="en-US"/>
        </w:rPr>
        <w:t>needs to be</w:t>
      </w:r>
      <w:r>
        <w:rPr>
          <w:rFonts w:ascii="Times New Roman" w:hAnsi="Times New Roman"/>
          <w:sz w:val="24"/>
          <w:szCs w:val="24"/>
          <w:rtl w:val="0"/>
          <w:lang w:val="en-US"/>
        </w:rPr>
        <w:t xml:space="preserve"> taken from the inferior pole of the kidney to maximise cortical tissue and to avoid the major renal blood vessels and medulla.</w:t>
      </w:r>
    </w:p>
    <w:p>
      <w:pPr>
        <w:pStyle w:val="Body A"/>
        <w:spacing w:line="288" w:lineRule="auto"/>
      </w:pPr>
    </w:p>
    <w:p>
      <w:pPr>
        <w:pStyle w:val="Body A"/>
        <w:spacing w:line="288" w:lineRule="auto"/>
        <w:jc w:val="both"/>
      </w:pPr>
      <w:r>
        <w:rPr>
          <w:rFonts w:ascii="Times New Roman" w:hAnsi="Times New Roman"/>
          <w:sz w:val="24"/>
          <w:szCs w:val="24"/>
          <w:rtl w:val="0"/>
          <w:lang w:val="en-US"/>
        </w:rPr>
        <w:t xml:space="preserve">There are </w:t>
      </w:r>
      <w:r>
        <w:rPr>
          <w:rFonts w:ascii="Times New Roman" w:hAnsi="Times New Roman"/>
          <w:sz w:val="24"/>
          <w:szCs w:val="24"/>
          <w:rtl w:val="0"/>
          <w:lang w:val="en-US"/>
        </w:rPr>
        <w:t>two</w:t>
      </w:r>
      <w:r>
        <w:rPr>
          <w:rFonts w:ascii="Times New Roman" w:hAnsi="Times New Roman"/>
          <w:sz w:val="24"/>
          <w:szCs w:val="24"/>
          <w:rtl w:val="0"/>
          <w:lang w:val="en-US"/>
        </w:rPr>
        <w:t xml:space="preserve"> main methods by which this procedure is undertaken - the freehand method and the ultrasound needle guide method. Using the freehand method, the operator uses one hand to hold the ultrasound probe, and the other hand to manoeuvre the biopsy needle. The operator</w:t>
      </w:r>
      <w:r>
        <w:rPr>
          <w:rFonts w:ascii="Times New Roman" w:hAnsi="Times New Roman" w:hint="default"/>
          <w:sz w:val="24"/>
          <w:szCs w:val="24"/>
          <w:rtl w:val="0"/>
          <w:lang w:val="en-US"/>
        </w:rPr>
        <w:t>’</w:t>
      </w:r>
      <w:r>
        <w:rPr>
          <w:rFonts w:ascii="Times New Roman" w:hAnsi="Times New Roman"/>
          <w:sz w:val="24"/>
          <w:szCs w:val="24"/>
          <w:rtl w:val="0"/>
          <w:lang w:val="en-US"/>
        </w:rPr>
        <w:t>s hands move independently in an attempt to achieve the correct angle required to allow the needle to remain in the same 2 dimensional plane as the ultrasound probe. The ultrasound needle guide method involves clipping a device onto the ultrasound probe th</w:t>
      </w:r>
      <w:r>
        <w:rPr>
          <w:rFonts w:ascii="Times New Roman" w:hAnsi="Times New Roman"/>
          <w:sz w:val="24"/>
          <w:szCs w:val="24"/>
          <w:rtl w:val="0"/>
          <w:lang w:val="en-US"/>
        </w:rPr>
        <w:t>r</w:t>
      </w:r>
      <w:r>
        <w:rPr>
          <w:rFonts w:ascii="Times New Roman" w:hAnsi="Times New Roman"/>
          <w:sz w:val="24"/>
          <w:szCs w:val="24"/>
          <w:rtl w:val="0"/>
          <w:lang w:val="en-US"/>
        </w:rPr>
        <w:t xml:space="preserve">ough which the biopsy needle is introduced, thus fixing the needle in the same plane as the ultrasound probe itself, allowing for continuous visualisation of both the kidney and needle. When learning how to perform a renal biopsy, one of the most troubling elements for junior doctors is the coordination of their two hands, and we hypothesise the use of a needle guide </w:t>
      </w:r>
      <w:r>
        <w:rPr>
          <w:rFonts w:ascii="Times New Roman" w:hAnsi="Times New Roman"/>
          <w:sz w:val="24"/>
          <w:szCs w:val="24"/>
          <w:rtl w:val="0"/>
          <w:lang w:val="en-US"/>
        </w:rPr>
        <w:t>will</w:t>
      </w:r>
      <w:r>
        <w:rPr>
          <w:rFonts w:ascii="Times New Roman" w:hAnsi="Times New Roman"/>
          <w:sz w:val="24"/>
          <w:szCs w:val="24"/>
          <w:rtl w:val="0"/>
          <w:lang w:val="en-US"/>
        </w:rPr>
        <w:t xml:space="preserve"> minimise this.</w:t>
      </w:r>
    </w:p>
    <w:p>
      <w:pPr>
        <w:pStyle w:val="Body A"/>
        <w:spacing w:line="288" w:lineRule="auto"/>
        <w:jc w:val="both"/>
      </w:pPr>
    </w:p>
    <w:p>
      <w:pPr>
        <w:pStyle w:val="Body A"/>
        <w:spacing w:line="288" w:lineRule="auto"/>
        <w:jc w:val="both"/>
      </w:pPr>
      <w:r>
        <w:rPr>
          <w:rFonts w:ascii="Times New Roman" w:hAnsi="Times New Roman"/>
          <w:sz w:val="24"/>
          <w:szCs w:val="24"/>
          <w:rtl w:val="0"/>
          <w:lang w:val="en-US"/>
        </w:rPr>
        <w:t>Bleeding is one of the more common complications encountered when performing renal biopsy. This may be in the form of a perinephric haematoma or macroscopic haematuria. Whilst the bleeding may spontaneously resolve, on occasion the patient may require intervention including blood transfusion, angiographic intervention or even nephrectomy (Tondel et al., 2012). Continuous visualisation of the biopsy needle and kidney, as well as taking biopsies from the inferior pole</w:t>
      </w:r>
      <w:r>
        <w:rPr>
          <w:rFonts w:ascii="Times New Roman" w:hAnsi="Times New Roman"/>
          <w:sz w:val="24"/>
          <w:szCs w:val="24"/>
          <w:rtl w:val="0"/>
          <w:lang w:val="en-US"/>
        </w:rPr>
        <w:t>,</w:t>
      </w:r>
      <w:r>
        <w:rPr>
          <w:rFonts w:ascii="Times New Roman" w:hAnsi="Times New Roman"/>
          <w:sz w:val="24"/>
          <w:szCs w:val="24"/>
          <w:rtl w:val="0"/>
          <w:lang w:val="en-US"/>
        </w:rPr>
        <w:t xml:space="preserve"> minimises the chances of inadvertently injuring a major vessel leading to significant bleeding.</w:t>
      </w:r>
    </w:p>
    <w:p>
      <w:pPr>
        <w:pStyle w:val="Body A"/>
        <w:spacing w:line="288" w:lineRule="auto"/>
      </w:pPr>
    </w:p>
    <w:p>
      <w:pPr>
        <w:pStyle w:val="Body A"/>
        <w:spacing w:line="288" w:lineRule="auto"/>
        <w:jc w:val="both"/>
      </w:pPr>
      <w:r>
        <w:rPr>
          <w:rFonts w:ascii="Times New Roman" w:hAnsi="Times New Roman"/>
          <w:sz w:val="24"/>
          <w:szCs w:val="24"/>
          <w:rtl w:val="0"/>
          <w:lang w:val="en-US"/>
        </w:rPr>
        <w:t xml:space="preserve">There is minimal research currently available comparing the two techniques of renal biopsy, and the results are mixed. Prasad et al (2015) favoured the use of the ultrasound needle guide, finding it was associated with significantly fewer major complications, significantly higher yields and fewer attempts to achieve an adequate tissue sample. Ali et al (2015) compared the two methods as well as the needle size in regards to biopsy adequacy and complications. The only statistically significant difference was between the ultrasound needle guide and freehand technique when using a 14 gauge needle - a larger needle size that is less commonly used today, and is not used at all in our centre for renal biopsy. Lastly, Rao et al (2018) demonstrated no difference in yield or major complications between the two groups, but found the ultrasound needle guide method was associated with a lower risk of minor complications. Of note, all these studies are retrospective and involve experienced nephrologists or radiologists performing the biopsy. Currently, there </w:t>
      </w:r>
      <w:r>
        <w:rPr>
          <w:rFonts w:ascii="Times New Roman" w:hAnsi="Times New Roman"/>
          <w:sz w:val="24"/>
          <w:szCs w:val="24"/>
          <w:rtl w:val="0"/>
          <w:lang w:val="en-US"/>
        </w:rPr>
        <w:t>are no</w:t>
      </w:r>
      <w:r>
        <w:rPr>
          <w:rFonts w:ascii="Times New Roman" w:hAnsi="Times New Roman"/>
          <w:sz w:val="24"/>
          <w:szCs w:val="24"/>
          <w:rtl w:val="0"/>
          <w:lang w:val="en-US"/>
        </w:rPr>
        <w:t xml:space="preserve"> prospective trials, and no evidence as to how these techniques apply to inexperienced operators learning the skill of renal biopsy.</w:t>
      </w:r>
    </w:p>
    <w:p>
      <w:pPr>
        <w:pStyle w:val="Body A"/>
        <w:spacing w:line="288" w:lineRule="auto"/>
        <w:jc w:val="both"/>
      </w:pPr>
    </w:p>
    <w:p>
      <w:pPr>
        <w:pStyle w:val="Body A"/>
        <w:spacing w:line="288" w:lineRule="auto"/>
        <w:jc w:val="both"/>
      </w:pPr>
      <w:r>
        <w:rPr>
          <w:rFonts w:ascii="Times New Roman" w:hAnsi="Times New Roman"/>
          <w:sz w:val="24"/>
          <w:szCs w:val="24"/>
          <w:rtl w:val="0"/>
          <w:lang w:val="en-US"/>
        </w:rPr>
        <w:t xml:space="preserve">The proposed study aims to compare the two methods for teaching percutaneous  renal biopsy under real time ultrasound guidance to novice operators (junior doctors and medical students). The participants </w:t>
      </w:r>
      <w:r>
        <w:rPr>
          <w:rFonts w:ascii="Times New Roman" w:hAnsi="Times New Roman"/>
          <w:color w:val="000000"/>
          <w:sz w:val="24"/>
          <w:szCs w:val="24"/>
          <w:u w:color="000000"/>
          <w:rtl w:val="0"/>
          <w:lang w:val="en-US"/>
        </w:rPr>
        <w:t xml:space="preserve">will be </w:t>
      </w:r>
      <w:r>
        <w:rPr>
          <w:rFonts w:ascii="Times New Roman" w:hAnsi="Times New Roman"/>
          <w:sz w:val="24"/>
          <w:szCs w:val="24"/>
          <w:rtl w:val="0"/>
          <w:lang w:val="en-US"/>
        </w:rPr>
        <w:t xml:space="preserve">randomly allocated to learn the skill of percutaneous renal biopsy using either the freehand method or the needle guide method. The participants will view one of two standardised video demonstrations that will differ only with the addition of the needle guide and the associated software on the ultrasound machine (i.e. projected course of the needle on the ultrasound screen) in the ultrasound guide group. </w:t>
      </w:r>
    </w:p>
    <w:p>
      <w:pPr>
        <w:pStyle w:val="Body A"/>
        <w:spacing w:line="288" w:lineRule="auto"/>
        <w:jc w:val="both"/>
      </w:pPr>
    </w:p>
    <w:p>
      <w:pPr>
        <w:pStyle w:val="Body A"/>
        <w:spacing w:line="288" w:lineRule="auto"/>
        <w:jc w:val="both"/>
      </w:pPr>
      <w:r>
        <w:rPr>
          <w:rFonts w:ascii="Times New Roman" w:hAnsi="Times New Roman"/>
          <w:sz w:val="24"/>
          <w:szCs w:val="24"/>
          <w:rtl w:val="0"/>
          <w:lang w:val="en-US"/>
        </w:rPr>
        <w:t xml:space="preserve">Each participant is allowed to perform 3 needle passes using identical 18 gauge needles, identical ultrasound machines with identical optimised settings with the only difference being the presence/absence of the ultrasound needle guide and associated software. The procedure will be performed on a </w:t>
      </w:r>
      <w:r>
        <w:rPr>
          <w:rFonts w:ascii="Times New Roman" w:hAnsi="Times New Roman" w:hint="default"/>
          <w:sz w:val="24"/>
          <w:szCs w:val="24"/>
          <w:rtl w:val="0"/>
          <w:lang w:val="en-US"/>
        </w:rPr>
        <w:t>“</w:t>
      </w:r>
      <w:r>
        <w:rPr>
          <w:rFonts w:ascii="Times New Roman" w:hAnsi="Times New Roman"/>
          <w:sz w:val="24"/>
          <w:szCs w:val="24"/>
          <w:rtl w:val="0"/>
          <w:lang w:val="en-US"/>
        </w:rPr>
        <w:t>Blue Phantom</w:t>
      </w:r>
      <w:r>
        <w:rPr>
          <w:rFonts w:ascii="Times New Roman" w:hAnsi="Times New Roman" w:hint="default"/>
          <w:sz w:val="24"/>
          <w:szCs w:val="24"/>
          <w:rtl w:val="0"/>
          <w:lang w:val="en-US"/>
        </w:rPr>
        <w:t xml:space="preserve">” </w:t>
      </w:r>
      <w:r>
        <w:rPr>
          <w:rFonts w:ascii="Times New Roman" w:hAnsi="Times New Roman"/>
          <w:sz w:val="24"/>
          <w:szCs w:val="24"/>
          <w:rtl w:val="0"/>
          <w:lang w:val="en-US"/>
        </w:rPr>
        <w:t>renal biopsy ultrasound training model in the presence of a trained observer. Adequacy will be assessed by the number of times a core of renal tissue is obtained from the 3 needle passes. Safety will be assessed by examination of the continuous ultrasound video of each biopsy attempt to ensure simultaneous visualisation of kidney and needle and the passage of the needle into the lower pole of the target kidney. The subjects will be timed performing their attempts, and each participant will complete a questionnaire regarding their renal biopsy teaching experience. The assessor will also rate the difficulty of each participant performing the biopsy.</w:t>
      </w:r>
    </w:p>
    <w:p>
      <w:pPr>
        <w:pStyle w:val="Body A"/>
        <w:spacing w:line="288" w:lineRule="auto"/>
      </w:pPr>
    </w:p>
    <w:p>
      <w:pPr>
        <w:pStyle w:val="Body A"/>
        <w:spacing w:line="288" w:lineRule="auto"/>
        <w:jc w:val="both"/>
      </w:pPr>
      <w:r>
        <w:rPr>
          <w:rFonts w:ascii="Times New Roman" w:hAnsi="Times New Roman"/>
          <w:sz w:val="24"/>
          <w:szCs w:val="24"/>
          <w:rtl w:val="0"/>
          <w:lang w:val="en-US"/>
        </w:rPr>
        <w:t xml:space="preserve">We anticipate that the results of this study will allow for evidence based practice change in the teaching of novice doctors the procedure of real time ultrasound guided percutaneous renal biopsy. </w:t>
      </w:r>
    </w:p>
    <w:p>
      <w:pPr>
        <w:pStyle w:val="Heading"/>
      </w:pPr>
    </w:p>
    <w:p>
      <w:pPr>
        <w:pStyle w:val="Heading"/>
      </w:pPr>
      <w:bookmarkStart w:name="_Toc2" w:id="4"/>
      <w:r>
        <w:rPr>
          <w:rFonts w:cs="Arial Unicode MS" w:eastAsia="Arial Unicode MS"/>
          <w:rtl w:val="0"/>
        </w:rPr>
        <w:t>Aims/Objectives/Hypotheses</w:t>
      </w:r>
      <w:bookmarkEnd w:id="4"/>
    </w:p>
    <w:p>
      <w:pPr>
        <w:pStyle w:val="Body B A"/>
      </w:pPr>
      <w:r>
        <w:rPr>
          <w:rtl w:val="0"/>
        </w:rPr>
        <w:t>Hypothesis:</w:t>
      </w:r>
    </w:p>
    <w:p>
      <w:pPr>
        <w:pStyle w:val="Body B A"/>
        <w:jc w:val="both"/>
      </w:pPr>
      <w:r>
        <w:rPr>
          <w:rtl w:val="0"/>
          <w:lang w:val="en-US"/>
        </w:rPr>
        <w:t>The use of needle guide will be associated with a higher proportion of safe biopsies (taken from the inferior pole and with simultaneous visualisation of both the needle and kidney) as well as a higher proportion of adequate biopsies. Additionally, we hypothesise the participants will rate the needle guide method as an easier method to acquire the skill of performing a percutaneous renal biopsy under real-time ultrasound guidance.</w:t>
      </w:r>
    </w:p>
    <w:p>
      <w:pPr>
        <w:pStyle w:val="Body B A"/>
      </w:pPr>
    </w:p>
    <w:p>
      <w:pPr>
        <w:pStyle w:val="Body B A"/>
      </w:pPr>
      <w:r>
        <w:rPr>
          <w:rtl w:val="0"/>
        </w:rPr>
        <w:t>Primary outcome</w:t>
      </w:r>
    </w:p>
    <w:p>
      <w:pPr>
        <w:pStyle w:val="Body B A"/>
        <w:numPr>
          <w:ilvl w:val="0"/>
          <w:numId w:val="5"/>
        </w:numPr>
        <w:rPr>
          <w:lang w:val="en-US"/>
        </w:rPr>
      </w:pPr>
      <w:r>
        <w:rPr>
          <w:rtl w:val="0"/>
          <w:lang w:val="en-US"/>
        </w:rPr>
        <w:t>To compare the needle guide technique and freehand technique in the domains of safety and adequacy for teaching novice operators the procedure of real-time ultrasound guided renal biopsy. This will be a composite endpoint comprising of</w:t>
      </w:r>
    </w:p>
    <w:p>
      <w:pPr>
        <w:pStyle w:val="Body B A"/>
        <w:numPr>
          <w:ilvl w:val="1"/>
          <w:numId w:val="5"/>
        </w:numPr>
        <w:rPr>
          <w:lang w:val="en-US"/>
        </w:rPr>
      </w:pPr>
      <w:r>
        <w:rPr>
          <w:rtl w:val="0"/>
          <w:lang w:val="en-US"/>
        </w:rPr>
        <w:t>Proportion of passes in which the core is taken of the lower pole (must be 100% to be deemed safe),</w:t>
      </w:r>
    </w:p>
    <w:p>
      <w:pPr>
        <w:pStyle w:val="Body B A"/>
        <w:numPr>
          <w:ilvl w:val="1"/>
          <w:numId w:val="5"/>
        </w:numPr>
        <w:rPr>
          <w:lang w:val="en-US"/>
        </w:rPr>
      </w:pPr>
      <w:r>
        <w:rPr>
          <w:rtl w:val="0"/>
          <w:lang w:val="en-US"/>
        </w:rPr>
        <w:t>Proportion of passes in which the biopsy needle and ultrasound are simultaneously visualised at time of biopsy (must be 100% to be deemed safe),</w:t>
      </w:r>
    </w:p>
    <w:p>
      <w:pPr>
        <w:pStyle w:val="Body B A"/>
        <w:numPr>
          <w:ilvl w:val="1"/>
          <w:numId w:val="5"/>
        </w:numPr>
        <w:rPr>
          <w:lang w:val="en-US"/>
        </w:rPr>
      </w:pPr>
      <w:r>
        <w:rPr>
          <w:rtl w:val="0"/>
          <w:lang w:val="en-US"/>
        </w:rPr>
        <w:t>Proportion of passes that successfully obtain a core of renal tissue (determined macroscopically) (must successfully biopsy kidney in at least 2 of 3 passes)</w:t>
      </w:r>
    </w:p>
    <w:p>
      <w:pPr>
        <w:pStyle w:val="Body B A"/>
      </w:pPr>
    </w:p>
    <w:p>
      <w:pPr>
        <w:pStyle w:val="Body B A"/>
      </w:pPr>
      <w:r>
        <w:rPr>
          <w:rtl w:val="0"/>
        </w:rPr>
        <w:t>Secondary outcomes</w:t>
      </w:r>
    </w:p>
    <w:p>
      <w:pPr>
        <w:pStyle w:val="Body B A"/>
        <w:numPr>
          <w:ilvl w:val="0"/>
          <w:numId w:val="5"/>
        </w:numPr>
        <w:rPr>
          <w:lang w:val="en-US"/>
        </w:rPr>
      </w:pPr>
      <w:r>
        <w:rPr>
          <w:rtl w:val="0"/>
          <w:lang w:val="en-US"/>
        </w:rPr>
        <w:t xml:space="preserve">To compare between freehand and needle guide </w:t>
      </w:r>
      <w:r>
        <w:rPr>
          <w:rtl w:val="0"/>
          <w:lang w:val="en-US"/>
        </w:rPr>
        <w:t>groups</w:t>
      </w:r>
      <w:r>
        <w:rPr>
          <w:rtl w:val="0"/>
          <w:lang w:val="en-US"/>
        </w:rPr>
        <w:t>:</w:t>
      </w:r>
    </w:p>
    <w:p>
      <w:pPr>
        <w:pStyle w:val="Body B A"/>
        <w:numPr>
          <w:ilvl w:val="1"/>
          <w:numId w:val="5"/>
        </w:numPr>
        <w:rPr>
          <w:lang w:val="en-US"/>
        </w:rPr>
      </w:pPr>
      <w:r>
        <w:rPr>
          <w:rtl w:val="0"/>
          <w:lang w:val="en-US"/>
        </w:rPr>
        <w:t>T</w:t>
      </w:r>
      <w:r>
        <w:rPr>
          <w:rtl w:val="0"/>
          <w:lang w:val="en-US"/>
        </w:rPr>
        <w:t>he proportion of passes that successfully biopsied kidney between the two groups</w:t>
      </w:r>
    </w:p>
    <w:p>
      <w:pPr>
        <w:pStyle w:val="Body B A"/>
        <w:numPr>
          <w:ilvl w:val="1"/>
          <w:numId w:val="5"/>
        </w:numPr>
        <w:rPr>
          <w:lang w:val="en-US"/>
        </w:rPr>
      </w:pPr>
      <w:r>
        <w:rPr>
          <w:rtl w:val="0"/>
          <w:lang w:val="en-US"/>
        </w:rPr>
        <w:t>Th</w:t>
      </w:r>
      <w:r>
        <w:rPr>
          <w:rtl w:val="0"/>
          <w:lang w:val="en-US"/>
        </w:rPr>
        <w:t>e number of biopsies through the inferior pole in the two groups</w:t>
      </w:r>
    </w:p>
    <w:p>
      <w:pPr>
        <w:pStyle w:val="Body B A"/>
        <w:numPr>
          <w:ilvl w:val="1"/>
          <w:numId w:val="5"/>
        </w:numPr>
        <w:rPr>
          <w:lang w:val="en-US"/>
        </w:rPr>
      </w:pPr>
      <w:r>
        <w:rPr>
          <w:rtl w:val="0"/>
          <w:lang w:val="en-US"/>
        </w:rPr>
        <w:t>T</w:t>
      </w:r>
      <w:r>
        <w:rPr>
          <w:rtl w:val="0"/>
          <w:lang w:val="en-US"/>
        </w:rPr>
        <w:t>he continuous visualisation of both the kidney and biopsy needle in both groups</w:t>
      </w:r>
    </w:p>
    <w:p>
      <w:pPr>
        <w:pStyle w:val="Body B A"/>
        <w:numPr>
          <w:ilvl w:val="1"/>
          <w:numId w:val="5"/>
        </w:numPr>
        <w:rPr>
          <w:lang w:val="en-US"/>
        </w:rPr>
      </w:pPr>
      <w:r>
        <w:rPr>
          <w:rtl w:val="0"/>
          <w:lang w:val="en-US"/>
        </w:rPr>
        <w:t>T</w:t>
      </w:r>
      <w:r>
        <w:rPr>
          <w:rtl w:val="0"/>
          <w:lang w:val="en-US"/>
        </w:rPr>
        <w:t>he time taken to complete 3 cores</w:t>
      </w:r>
    </w:p>
    <w:p>
      <w:pPr>
        <w:pStyle w:val="Body B A"/>
        <w:numPr>
          <w:ilvl w:val="1"/>
          <w:numId w:val="5"/>
        </w:numPr>
        <w:rPr>
          <w:lang w:val="en-US"/>
        </w:rPr>
      </w:pPr>
      <w:r>
        <w:rPr>
          <w:rtl w:val="0"/>
          <w:lang w:val="en-US"/>
        </w:rPr>
        <w:t>Th</w:t>
      </w:r>
      <w:r>
        <w:rPr>
          <w:rtl w:val="0"/>
          <w:lang w:val="en-US"/>
        </w:rPr>
        <w:t>e time taken to adequately visualise the kidney</w:t>
      </w:r>
    </w:p>
    <w:p>
      <w:pPr>
        <w:pStyle w:val="Body B A"/>
        <w:numPr>
          <w:ilvl w:val="1"/>
          <w:numId w:val="5"/>
        </w:numPr>
        <w:rPr>
          <w:lang w:val="en-US"/>
        </w:rPr>
      </w:pPr>
      <w:r>
        <w:rPr>
          <w:rtl w:val="0"/>
          <w:lang w:val="en-US"/>
        </w:rPr>
        <w:t>Th</w:t>
      </w:r>
      <w:r>
        <w:rPr>
          <w:rtl w:val="0"/>
          <w:lang w:val="en-US"/>
        </w:rPr>
        <w:t>e subjective difficulty as graded by the participant of learning the skill of percutaneous renal biopsy using freehand or ultrasound needle guide</w:t>
      </w:r>
    </w:p>
    <w:p>
      <w:pPr>
        <w:pStyle w:val="Body B A"/>
        <w:numPr>
          <w:ilvl w:val="1"/>
          <w:numId w:val="5"/>
        </w:numPr>
        <w:rPr>
          <w:lang w:val="en-US"/>
        </w:rPr>
      </w:pPr>
      <w:r>
        <w:rPr>
          <w:rtl w:val="0"/>
          <w:lang w:val="en-US"/>
        </w:rPr>
        <w:t>T</w:t>
      </w:r>
      <w:r>
        <w:rPr>
          <w:rtl w:val="0"/>
          <w:lang w:val="en-US"/>
        </w:rPr>
        <w:t>he subjective difficulty as graded by the assessor of performing percutaneous renal biopsy using freehand or ultrasound needle guide</w:t>
      </w:r>
    </w:p>
    <w:p>
      <w:pPr>
        <w:pStyle w:val="Body B A"/>
      </w:pPr>
    </w:p>
    <w:p>
      <w:pPr>
        <w:pStyle w:val="Heading"/>
      </w:pPr>
      <w:bookmarkStart w:name="_Toc3" w:id="5"/>
      <w:r>
        <w:rPr>
          <w:rFonts w:cs="Arial Unicode MS" w:eastAsia="Arial Unicode MS"/>
          <w:rtl w:val="0"/>
        </w:rPr>
        <w:t>Participating Sites</w:t>
      </w:r>
      <w:bookmarkEnd w:id="5"/>
    </w:p>
    <w:p>
      <w:pPr>
        <w:pStyle w:val="Body B A"/>
      </w:pPr>
      <w:r>
        <w:rPr>
          <w:rtl w:val="0"/>
          <w:lang w:val="es-ES_tradnl"/>
        </w:rPr>
        <w:t>Liverpool Hospital</w:t>
      </w:r>
    </w:p>
    <w:p>
      <w:pPr>
        <w:pStyle w:val="Body B A"/>
      </w:pPr>
    </w:p>
    <w:p>
      <w:pPr>
        <w:pStyle w:val="Body B A"/>
      </w:pPr>
      <w:r>
        <w:rPr>
          <w:rtl w:val="0"/>
        </w:rPr>
        <w:t>There is also the potential for expanding this study to become a multi-centre study to include Royal Prince Alfred Hospital.</w:t>
      </w:r>
    </w:p>
    <w:p>
      <w:pPr>
        <w:pStyle w:val="Body B A"/>
      </w:pPr>
    </w:p>
    <w:p>
      <w:pPr>
        <w:pStyle w:val="Heading"/>
      </w:pPr>
      <w:bookmarkStart w:name="_Toc4" w:id="6"/>
      <w:r>
        <w:rPr>
          <w:rFonts w:cs="Arial Unicode MS" w:eastAsia="Arial Unicode MS"/>
          <w:rtl w:val="0"/>
        </w:rPr>
        <w:t>Research Plan/Study design</w:t>
      </w:r>
      <w:bookmarkEnd w:id="6"/>
    </w:p>
    <w:p>
      <w:pPr>
        <w:pStyle w:val="Heading 2"/>
      </w:pPr>
      <w:bookmarkStart w:name="_Toc5" w:id="7"/>
      <w:r>
        <w:rPr>
          <w:rFonts w:cs="Arial Unicode MS" w:eastAsia="Arial Unicode MS"/>
          <w:rtl w:val="0"/>
          <w:lang w:val="en-US"/>
        </w:rPr>
        <w:t>Type of study</w:t>
      </w:r>
      <w:bookmarkEnd w:id="7"/>
    </w:p>
    <w:p>
      <w:pPr>
        <w:pStyle w:val="Body B A"/>
      </w:pPr>
      <w:r>
        <w:rPr>
          <w:rtl w:val="0"/>
        </w:rPr>
        <w:t xml:space="preserve">The proposed study is a prospective stratified randomisation control trial. The participants will be allocated (stratified by gender, level of training and previous US proficiency) into either the freehand or needle guide group. Due to the nature of the intervention, blinding of the participant and assessor is not possible. The investigators independently reviewing the recording of the biopsies to determine safety and timing also cannot be blinded as the anticipated needle throw lines on the ultrasound screen in the needle guide group will be visible. Removal of these throw lines provided by the accompanying software is possible but we anticipate most operators employing a needle guide will also use employ the associated software. </w:t>
      </w:r>
    </w:p>
    <w:p>
      <w:pPr>
        <w:pStyle w:val="Body B A"/>
      </w:pPr>
    </w:p>
    <w:p>
      <w:pPr>
        <w:pStyle w:val="Body B A"/>
      </w:pPr>
      <w:r>
        <w:rPr>
          <w:rtl w:val="0"/>
        </w:rPr>
        <w:t>This trial will also be registered on the Australian Clinical Trials site</w:t>
      </w:r>
      <w:r>
        <w:rPr>
          <w:rtl w:val="0"/>
        </w:rPr>
        <w:t>.</w:t>
      </w:r>
    </w:p>
    <w:p>
      <w:pPr>
        <w:pStyle w:val="Body A"/>
      </w:pPr>
    </w:p>
    <w:p>
      <w:pPr>
        <w:pStyle w:val="Heading 2"/>
      </w:pPr>
      <w:bookmarkStart w:name="_Toc6" w:id="8"/>
      <w:r>
        <w:rPr>
          <w:rFonts w:cs="Arial Unicode MS" w:eastAsia="Arial Unicode MS"/>
          <w:rtl w:val="0"/>
          <w:lang w:val="en-US"/>
        </w:rPr>
        <w:t>Data sources/collection</w:t>
      </w:r>
      <w:bookmarkEnd w:id="8"/>
    </w:p>
    <w:p>
      <w:pPr>
        <w:pStyle w:val="Body B A"/>
      </w:pPr>
      <w:r>
        <w:rPr>
          <w:u w:val="single"/>
          <w:rtl w:val="0"/>
          <w:lang w:val="en-US"/>
        </w:rPr>
        <w:t>Baseline characteristics</w:t>
      </w:r>
    </w:p>
    <w:p>
      <w:pPr>
        <w:pStyle w:val="Body B A"/>
        <w:jc w:val="both"/>
      </w:pPr>
      <w:r>
        <w:rPr>
          <w:rtl w:val="0"/>
          <w:lang w:val="en-US"/>
        </w:rPr>
        <w:t>Each participant will complete a form of their baseline characteristics. This form will collect the following data: age, gender, postgraduate year, any specialty training they are enrolled in, any previous experience with ultrasound and dominant hand.</w:t>
      </w:r>
    </w:p>
    <w:p>
      <w:pPr>
        <w:pStyle w:val="Body B A"/>
      </w:pPr>
    </w:p>
    <w:p>
      <w:pPr>
        <w:pStyle w:val="Body B A"/>
      </w:pPr>
      <w:r>
        <w:rPr>
          <w:u w:val="single"/>
          <w:rtl w:val="0"/>
          <w:lang w:val="en-US"/>
        </w:rPr>
        <w:t>Biopsy data</w:t>
      </w:r>
    </w:p>
    <w:p>
      <w:pPr>
        <w:pStyle w:val="Body B A"/>
        <w:jc w:val="both"/>
      </w:pPr>
      <w:r>
        <w:rPr>
          <w:rtl w:val="0"/>
          <w:lang w:val="en-US"/>
        </w:rPr>
        <w:t>After completing the baseline characteristics, each participant will be allocated to either the freehand or ultrasound needle guide arm. The randomisation will be stratified according to gender, previous ultrasound experience and duration of medical training to date (ie medical student or junior doctor). Each arm will have 1 participant enter it at a time. They begin by watching a recorded presentation and video that differs depending on the arm of the study to which they are allocated. They will only be exposed to the video relevant to their randomisation, and will not see or hear the other group</w:t>
      </w:r>
      <w:r>
        <w:rPr>
          <w:rtl w:val="0"/>
          <w:lang w:val="en-US"/>
        </w:rPr>
        <w:t>’</w:t>
      </w:r>
      <w:r>
        <w:rPr>
          <w:rtl w:val="0"/>
          <w:lang w:val="en-US"/>
        </w:rPr>
        <w:t xml:space="preserve">s presentation. The video explains the indication, process and possible complications of renal biopsy, emphasising safety elements including being able to see the biopsy needle and kidney at all times, and only taking cores of tissue from the inferior pole. It will include a demonstration of the method </w:t>
      </w:r>
      <w:r>
        <w:rPr>
          <w:rtl w:val="0"/>
          <w:lang w:val="en-US"/>
        </w:rPr>
        <w:t>for</w:t>
      </w:r>
      <w:r>
        <w:rPr>
          <w:rtl w:val="0"/>
          <w:lang w:val="en-US"/>
        </w:rPr>
        <w:t xml:space="preserve"> performing a renal biopsy. Each participant will then enter a bay with a dedicated assessor, ultrasound machine and synthetic biopsy model. The assessor will only be able to help with technical aspects of the ultrasound machine. The assessor will have a standardised assessor</w:t>
      </w:r>
      <w:r>
        <w:rPr>
          <w:rtl w:val="0"/>
          <w:lang w:val="en-US"/>
        </w:rPr>
        <w:t>’</w:t>
      </w:r>
      <w:r>
        <w:rPr>
          <w:rtl w:val="0"/>
          <w:lang w:val="en-US"/>
        </w:rPr>
        <w:t xml:space="preserve">s marking sheet on which they will record data. The participant will use the ultrasound to obtain an adequate view of the synthetic kidney. They will then attempt to perform a biopsy of the synthetic kidney. They will be allowed to perform 3 passes in total. Each core will be macroscopically examined and recorded as </w:t>
      </w:r>
      <w:r>
        <w:rPr>
          <w:rtl w:val="0"/>
          <w:lang w:val="en-US"/>
        </w:rPr>
        <w:t>“</w:t>
      </w:r>
      <w:r>
        <w:rPr>
          <w:rtl w:val="0"/>
          <w:lang w:val="en-US"/>
        </w:rPr>
        <w:t>adequate</w:t>
      </w:r>
      <w:r>
        <w:rPr>
          <w:rtl w:val="0"/>
          <w:lang w:val="en-US"/>
        </w:rPr>
        <w:t xml:space="preserve">” </w:t>
      </w:r>
      <w:r>
        <w:rPr>
          <w:rtl w:val="0"/>
          <w:lang w:val="en-US"/>
        </w:rPr>
        <w:t xml:space="preserve">if it is synthetic  renal tissue, or </w:t>
      </w:r>
      <w:r>
        <w:rPr>
          <w:rtl w:val="0"/>
          <w:lang w:val="en-US"/>
        </w:rPr>
        <w:t>“</w:t>
      </w:r>
      <w:r>
        <w:rPr>
          <w:rtl w:val="0"/>
          <w:lang w:val="en-US"/>
        </w:rPr>
        <w:t>inadequate</w:t>
      </w:r>
      <w:r>
        <w:rPr>
          <w:rtl w:val="0"/>
          <w:lang w:val="en-US"/>
        </w:rPr>
        <w:t xml:space="preserve">” </w:t>
      </w:r>
      <w:r>
        <w:rPr>
          <w:rtl w:val="0"/>
          <w:lang w:val="en-US"/>
        </w:rPr>
        <w:t xml:space="preserve">if it </w:t>
      </w:r>
      <w:r>
        <w:rPr>
          <w:rtl w:val="0"/>
          <w:lang w:val="en-US"/>
        </w:rPr>
        <w:t>is</w:t>
      </w:r>
      <w:r>
        <w:rPr>
          <w:rtl w:val="0"/>
          <w:lang w:val="en-US"/>
        </w:rPr>
        <w:t xml:space="preserve"> not. Each pass is also assessed for safety - whether the needle and kidney are simultaneously visualised continuously, and whether the inferior pole of the kidney was biopsied. Key information recorded will be time to each pass being performed, adequacy of each pass, where in the kidney the pass was taken from and whether the needle could be seen throughout the procedure.</w:t>
      </w:r>
    </w:p>
    <w:p>
      <w:pPr>
        <w:pStyle w:val="Body B A"/>
      </w:pPr>
    </w:p>
    <w:p>
      <w:pPr>
        <w:pStyle w:val="Body B A"/>
      </w:pPr>
      <w:r>
        <w:rPr>
          <w:u w:val="single"/>
          <w:rtl w:val="0"/>
          <w:lang w:val="en-US"/>
        </w:rPr>
        <w:t>Participant evaluation</w:t>
      </w:r>
    </w:p>
    <w:p>
      <w:pPr>
        <w:pStyle w:val="Body B A"/>
        <w:jc w:val="both"/>
      </w:pPr>
      <w:r>
        <w:rPr>
          <w:rtl w:val="0"/>
          <w:lang w:val="en-US"/>
        </w:rPr>
        <w:t xml:space="preserve">After each participant has completed the biopsy, we will provide them with a visual analogue scale and the question </w:t>
      </w:r>
      <w:r>
        <w:rPr>
          <w:rtl w:val="0"/>
          <w:lang w:val="en-US"/>
        </w:rPr>
        <w:t>“</w:t>
      </w:r>
      <w:r>
        <w:rPr>
          <w:rtl w:val="0"/>
          <w:lang w:val="en-US"/>
        </w:rPr>
        <w:t>How difficult did you find obtaining 2 adequate samples of synthetic renal tissue by percutaneous renal biopsy?</w:t>
      </w:r>
      <w:r>
        <w:rPr>
          <w:rtl w:val="0"/>
          <w:lang w:val="en-US"/>
        </w:rPr>
        <w:t xml:space="preserve">” </w:t>
      </w:r>
      <w:r>
        <w:rPr>
          <w:rtl w:val="0"/>
          <w:lang w:val="en-US"/>
        </w:rPr>
        <w:t>Each participant will mark on the scale an answer to this question. Further visual analogue scales will be used to ascertain</w:t>
      </w:r>
    </w:p>
    <w:p>
      <w:pPr>
        <w:pStyle w:val="Body B A"/>
        <w:numPr>
          <w:ilvl w:val="0"/>
          <w:numId w:val="7"/>
        </w:numPr>
        <w:jc w:val="both"/>
        <w:rPr>
          <w:lang w:val="en-US"/>
        </w:rPr>
      </w:pPr>
      <w:r>
        <w:rPr>
          <w:rtl w:val="0"/>
          <w:lang w:val="en-US"/>
        </w:rPr>
        <w:t>How hard was it to use the ultrasound to visualise the kidney?</w:t>
      </w:r>
    </w:p>
    <w:p>
      <w:pPr>
        <w:pStyle w:val="Body B A"/>
        <w:numPr>
          <w:ilvl w:val="0"/>
          <w:numId w:val="7"/>
        </w:numPr>
        <w:jc w:val="both"/>
        <w:rPr>
          <w:lang w:val="en-US"/>
        </w:rPr>
      </w:pPr>
      <w:r>
        <w:rPr>
          <w:rtl w:val="0"/>
          <w:lang w:val="en-US"/>
        </w:rPr>
        <w:t>How hard was it to clip on the needle guide?</w:t>
      </w:r>
    </w:p>
    <w:p>
      <w:pPr>
        <w:pStyle w:val="Body B A"/>
        <w:numPr>
          <w:ilvl w:val="0"/>
          <w:numId w:val="7"/>
        </w:numPr>
        <w:jc w:val="both"/>
        <w:rPr>
          <w:lang w:val="en-US"/>
        </w:rPr>
      </w:pPr>
      <w:r>
        <w:rPr>
          <w:rtl w:val="0"/>
          <w:lang w:val="en-US"/>
        </w:rPr>
        <w:t>How hard was it to keep the needle and kidney in the same plane on ultrasound?</w:t>
      </w:r>
    </w:p>
    <w:p>
      <w:pPr>
        <w:pStyle w:val="Body B A"/>
      </w:pPr>
    </w:p>
    <w:p>
      <w:pPr>
        <w:pStyle w:val="Body B A"/>
      </w:pPr>
      <w:r>
        <w:rPr>
          <w:u w:val="single"/>
          <w:rtl w:val="0"/>
          <w:lang w:val="en-US"/>
        </w:rPr>
        <w:t>Assessor evaluation</w:t>
      </w:r>
    </w:p>
    <w:p>
      <w:pPr>
        <w:pStyle w:val="Body B A"/>
      </w:pPr>
      <w:r>
        <w:rPr>
          <w:rtl w:val="0"/>
        </w:rPr>
        <w:t>As part of the standardised assessor</w:t>
      </w:r>
      <w:r>
        <w:rPr>
          <w:rtl w:val="0"/>
        </w:rPr>
        <w:t>’</w:t>
      </w:r>
      <w:r>
        <w:rPr>
          <w:rtl w:val="0"/>
        </w:rPr>
        <w:t xml:space="preserve">s marking sheet, they will be asked </w:t>
      </w:r>
      <w:r>
        <w:rPr>
          <w:rtl w:val="0"/>
        </w:rPr>
        <w:t>“</w:t>
      </w:r>
      <w:r>
        <w:rPr>
          <w:rtl w:val="0"/>
        </w:rPr>
        <w:t>how difficult did you think it was for this participant to obtain 2 adequate cores of synthetic renal tissue?</w:t>
      </w:r>
      <w:r>
        <w:rPr>
          <w:rtl w:val="0"/>
        </w:rPr>
        <w:t xml:space="preserve">” </w:t>
      </w:r>
      <w:r>
        <w:rPr>
          <w:rtl w:val="0"/>
        </w:rPr>
        <w:t>Again, this will be assessed using a visual analogue scale.</w:t>
      </w:r>
    </w:p>
    <w:p>
      <w:pPr>
        <w:pStyle w:val="Body B A"/>
      </w:pPr>
      <w:r>
        <w:rPr>
          <w:rFonts w:ascii="Arial Unicode MS" w:cs="Arial Unicode MS" w:hAnsi="Arial Unicode MS" w:eastAsia="Arial Unicode MS"/>
          <w:b w:val="0"/>
          <w:bCs w:val="0"/>
          <w:i w:val="0"/>
          <w:iCs w:val="0"/>
        </w:rPr>
        <w:br w:type="page"/>
      </w:r>
    </w:p>
    <w:p>
      <w:pPr>
        <w:pStyle w:val="Body B A"/>
        <w:sectPr>
          <w:headerReference w:type="default" r:id="rId4"/>
          <w:footerReference w:type="default" r:id="rId5"/>
          <w:pgSz w:w="11900" w:h="16840" w:orient="portrait"/>
          <w:pgMar w:top="1134" w:right="1134" w:bottom="1134" w:left="1134" w:header="709" w:footer="850"/>
          <w:bidi w:val="0"/>
        </w:sectPr>
      </w:pPr>
      <w:r>
        <w:drawing>
          <wp:anchor distT="152400" distB="152400" distL="152400" distR="152400" simplePos="0" relativeHeight="251659264" behindDoc="0" locked="0" layoutInCell="1" allowOverlap="1">
            <wp:simplePos x="0" y="0"/>
            <wp:positionH relativeFrom="page">
              <wp:posOffset>-713244</wp:posOffset>
            </wp:positionH>
            <wp:positionV relativeFrom="page">
              <wp:posOffset>1797703</wp:posOffset>
            </wp:positionV>
            <wp:extent cx="8620922" cy="646569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6">
                      <a:extLst/>
                    </a:blip>
                    <a:stretch>
                      <a:fillRect/>
                    </a:stretch>
                  </pic:blipFill>
                  <pic:spPr>
                    <a:xfrm rot="16200000">
                      <a:off x="0" y="0"/>
                      <a:ext cx="8620922" cy="6465692"/>
                    </a:xfrm>
                    <a:prstGeom prst="rect">
                      <a:avLst/>
                    </a:prstGeom>
                    <a:ln w="12700" cap="flat">
                      <a:noFill/>
                      <a:miter lim="400000"/>
                    </a:ln>
                    <a:effectLst/>
                  </pic:spPr>
                </pic:pic>
              </a:graphicData>
            </a:graphic>
          </wp:anchor>
        </w:drawing>
      </w:r>
    </w:p>
    <w:p>
      <w:pPr>
        <w:pStyle w:val="Body B A"/>
      </w:pPr>
    </w:p>
    <w:p>
      <w:pPr>
        <w:pStyle w:val="Heading 2"/>
      </w:pPr>
      <w:bookmarkStart w:name="_Toc7" w:id="9"/>
      <w:r>
        <w:rPr>
          <w:rFonts w:cs="Arial Unicode MS" w:eastAsia="Arial Unicode MS"/>
          <w:rtl w:val="0"/>
          <w:lang w:val="en-US"/>
        </w:rPr>
        <w:t>Population/Sample size</w:t>
      </w:r>
      <w:bookmarkEnd w:id="9"/>
    </w:p>
    <w:p>
      <w:pPr>
        <w:pStyle w:val="Body A"/>
      </w:pPr>
      <w:r>
        <w:rPr>
          <w:rFonts w:ascii="Times New Roman" w:hAnsi="Times New Roman"/>
          <w:sz w:val="24"/>
          <w:szCs w:val="24"/>
          <w:rtl w:val="0"/>
          <w:lang w:val="en-US"/>
        </w:rPr>
        <w:t>The study population will be all junior doctors or medical students working in or based at Liverpool Hospital.</w:t>
      </w:r>
    </w:p>
    <w:p>
      <w:pPr>
        <w:pStyle w:val="Body A"/>
      </w:pPr>
    </w:p>
    <w:p>
      <w:pPr>
        <w:pStyle w:val="Body A"/>
      </w:pPr>
      <w:r>
        <w:rPr>
          <w:rFonts w:ascii="Times New Roman" w:hAnsi="Times New Roman"/>
          <w:sz w:val="24"/>
          <w:szCs w:val="24"/>
          <w:rtl w:val="0"/>
          <w:lang w:val="en-US"/>
        </w:rPr>
        <w:t xml:space="preserve">Difficulty exists in estimating numbers required for this study, as no similar study has been performed previously. Using a composite primary outcome of adequacy and safety, and assuming that there will be a 60% event rate in the freehand technique group and 30% in the ultrasound needle guide group, we will need at least 84 participants (42 in each group) to be able to reject the null hypothesis (significance 0.05, allowing for two sided testing) with 80% power. </w:t>
      </w:r>
    </w:p>
    <w:p>
      <w:pPr>
        <w:pStyle w:val="Body A"/>
      </w:pPr>
    </w:p>
    <w:p>
      <w:pPr>
        <w:pStyle w:val="Body A"/>
      </w:pPr>
      <w:r>
        <w:rPr>
          <w:rFonts w:ascii="Times New Roman" w:hAnsi="Times New Roman"/>
          <w:sz w:val="24"/>
          <w:szCs w:val="24"/>
          <w:rtl w:val="0"/>
          <w:lang w:val="en-US"/>
        </w:rPr>
        <w:t>Therefore, we will approach all medical students and junior doctors eligible for participation, and aim for a sample size of 8</w:t>
      </w:r>
      <w:r>
        <w:rPr>
          <w:rFonts w:ascii="Times New Roman" w:hAnsi="Times New Roman"/>
          <w:sz w:val="24"/>
          <w:szCs w:val="24"/>
          <w:rtl w:val="0"/>
          <w:lang w:val="en-US"/>
        </w:rPr>
        <w:t>4</w:t>
      </w:r>
      <w:r>
        <w:rPr>
          <w:rFonts w:ascii="Times New Roman" w:hAnsi="Times New Roman"/>
          <w:sz w:val="24"/>
          <w:szCs w:val="24"/>
          <w:rtl w:val="0"/>
          <w:lang w:val="en-US"/>
        </w:rPr>
        <w:t xml:space="preserve"> (exclusive of dropouts). All participants will provide written informed consent. </w:t>
      </w:r>
    </w:p>
    <w:p>
      <w:pPr>
        <w:pStyle w:val="Heading 2"/>
      </w:pPr>
      <w:bookmarkStart w:name="_Toc8" w:id="10"/>
      <w:r>
        <w:rPr>
          <w:rFonts w:cs="Arial Unicode MS" w:eastAsia="Arial Unicode MS"/>
          <w:rtl w:val="0"/>
          <w:lang w:val="en-US"/>
        </w:rPr>
        <w:t>Expected duration of study and start times</w:t>
      </w:r>
      <w:bookmarkEnd w:id="10"/>
    </w:p>
    <w:p>
      <w:pPr>
        <w:pStyle w:val="Body A"/>
      </w:pPr>
      <w:r>
        <w:rPr>
          <w:rFonts w:ascii="Times New Roman" w:hAnsi="Times New Roman"/>
          <w:sz w:val="24"/>
          <w:szCs w:val="24"/>
          <w:rtl w:val="0"/>
          <w:lang w:val="en-US"/>
        </w:rPr>
        <w:t>The expected duration of participant recruitment, data collection and analysis would be 12 months. We will aim to star the study as soon as possible. We anticipate the following timeline:</w:t>
      </w:r>
    </w:p>
    <w:p>
      <w:pPr>
        <w:pStyle w:val="Body A"/>
        <w:numPr>
          <w:ilvl w:val="0"/>
          <w:numId w:val="9"/>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Participant recruitment and consent: 1 month</w:t>
      </w:r>
    </w:p>
    <w:p>
      <w:pPr>
        <w:pStyle w:val="Body A"/>
        <w:numPr>
          <w:ilvl w:val="0"/>
          <w:numId w:val="9"/>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Collection of data : 2 months</w:t>
      </w:r>
    </w:p>
    <w:p>
      <w:pPr>
        <w:pStyle w:val="Body A"/>
        <w:numPr>
          <w:ilvl w:val="0"/>
          <w:numId w:val="9"/>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Analysis: 2 months</w:t>
      </w:r>
    </w:p>
    <w:p>
      <w:pPr>
        <w:pStyle w:val="Body A"/>
        <w:numPr>
          <w:ilvl w:val="0"/>
          <w:numId w:val="9"/>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Write up: 3 months</w:t>
      </w:r>
    </w:p>
    <w:p>
      <w:pPr>
        <w:pStyle w:val="Body A"/>
      </w:pPr>
    </w:p>
    <w:p>
      <w:pPr>
        <w:pStyle w:val="Body A"/>
      </w:pPr>
    </w:p>
    <w:tbl>
      <w:tblPr>
        <w:tblW w:w="962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728"/>
        <w:gridCol w:w="852"/>
        <w:gridCol w:w="1027"/>
        <w:gridCol w:w="1023"/>
        <w:gridCol w:w="1028"/>
        <w:gridCol w:w="1110"/>
        <w:gridCol w:w="957"/>
        <w:gridCol w:w="1051"/>
        <w:gridCol w:w="846"/>
      </w:tblGrid>
      <w:tr>
        <w:tblPrEx>
          <w:shd w:val="clear" w:color="auto" w:fill="ceddeb"/>
        </w:tblPrEx>
        <w:trPr>
          <w:trHeight w:val="540" w:hRule="atLeast"/>
        </w:trPr>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Feb 2020</w:t>
            </w:r>
          </w:p>
        </w:tc>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March</w:t>
            </w:r>
          </w:p>
          <w:p>
            <w:pPr>
              <w:pStyle w:val="Body A"/>
            </w:pPr>
            <w:r>
              <w:rPr>
                <w:rtl w:val="0"/>
                <w:lang w:val="en-US"/>
              </w:rPr>
              <w:t>2020</w:t>
            </w:r>
          </w:p>
        </w:tc>
        <w:tc>
          <w:tcPr>
            <w:tcW w:type="dxa" w:w="1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cs="Arial Unicode MS" w:eastAsia="Arial Unicode MS"/>
                <w:rtl w:val="0"/>
              </w:rPr>
              <w:t>April</w:t>
            </w:r>
          </w:p>
          <w:p>
            <w:pPr>
              <w:pStyle w:val="Body A"/>
            </w:pPr>
            <w:r>
              <w:rPr>
                <w:rtl w:val="0"/>
                <w:lang w:val="en-US"/>
              </w:rPr>
              <w:t>20</w:t>
            </w:r>
            <w:r>
              <w:rPr>
                <w:rtl w:val="0"/>
                <w:lang w:val="en-US"/>
              </w:rPr>
              <w:t>20</w:t>
            </w:r>
          </w:p>
        </w:tc>
        <w:tc>
          <w:tcPr>
            <w:tcW w:type="dxa" w:w="1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cs="Arial Unicode MS" w:eastAsia="Arial Unicode MS"/>
                <w:rtl w:val="0"/>
              </w:rPr>
              <w:t>May</w:t>
            </w:r>
          </w:p>
          <w:p>
            <w:pPr>
              <w:pStyle w:val="Body A"/>
            </w:pPr>
            <w:r>
              <w:rPr>
                <w:rtl w:val="0"/>
                <w:lang w:val="en-US"/>
              </w:rPr>
              <w:t>2020</w:t>
            </w: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Helvetica" w:hAnsi="Helvetica"/>
                <w:sz w:val="22"/>
                <w:szCs w:val="22"/>
                <w:rtl w:val="0"/>
                <w:lang w:val="en-US"/>
              </w:rPr>
              <w:t>June</w:t>
            </w:r>
            <w:r>
              <w:rPr>
                <w:rFonts w:ascii="Helvetica" w:hAnsi="Helvetica"/>
                <w:sz w:val="22"/>
                <w:szCs w:val="22"/>
                <w:rtl w:val="0"/>
                <w:lang w:val="en-US"/>
              </w:rPr>
              <w:t xml:space="preserve"> 2020</w:t>
            </w:r>
          </w:p>
        </w:tc>
        <w:tc>
          <w:tcPr>
            <w:tcW w:type="dxa" w:w="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Helvetica" w:hAnsi="Helvetica"/>
                <w:sz w:val="22"/>
                <w:szCs w:val="22"/>
                <w:rtl w:val="0"/>
                <w:lang w:val="en-US"/>
              </w:rPr>
              <w:t>July</w:t>
            </w:r>
            <w:r>
              <w:rPr>
                <w:rFonts w:ascii="Helvetica" w:hAnsi="Helvetica"/>
                <w:sz w:val="22"/>
                <w:szCs w:val="22"/>
                <w:rtl w:val="0"/>
                <w:lang w:val="en-US"/>
              </w:rPr>
              <w:t xml:space="preserve"> 2020</w:t>
            </w: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Helvetica" w:cs="Helvetica" w:hAnsi="Helvetica" w:eastAsia="Helvetica"/>
                <w:sz w:val="22"/>
                <w:szCs w:val="22"/>
                <w:lang w:val="en-US"/>
              </w:rPr>
            </w:pPr>
            <w:r>
              <w:rPr>
                <w:rFonts w:ascii="Helvetica" w:hAnsi="Helvetica"/>
                <w:sz w:val="22"/>
                <w:szCs w:val="22"/>
                <w:rtl w:val="0"/>
                <w:lang w:val="en-US"/>
              </w:rPr>
              <w:t>Aug</w:t>
            </w:r>
          </w:p>
          <w:p>
            <w:pPr>
              <w:pStyle w:val="Body"/>
            </w:pPr>
            <w:r>
              <w:rPr>
                <w:rFonts w:ascii="Helvetica" w:hAnsi="Helvetica"/>
                <w:sz w:val="22"/>
                <w:szCs w:val="22"/>
                <w:rtl w:val="0"/>
                <w:lang w:val="en-US"/>
              </w:rPr>
              <w:t>2020</w:t>
            </w: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Helvetica" w:hAnsi="Helvetica"/>
                <w:sz w:val="22"/>
                <w:szCs w:val="22"/>
                <w:rtl w:val="0"/>
                <w:lang w:val="en-US"/>
              </w:rPr>
              <w:t>Sept</w:t>
            </w:r>
            <w:r>
              <w:rPr>
                <w:rFonts w:ascii="Helvetica" w:hAnsi="Helvetica"/>
                <w:sz w:val="22"/>
                <w:szCs w:val="22"/>
                <w:rtl w:val="0"/>
                <w:lang w:val="en-US"/>
              </w:rPr>
              <w:t xml:space="preserve"> 2020</w:t>
            </w:r>
          </w:p>
        </w:tc>
      </w:tr>
      <w:tr>
        <w:tblPrEx>
          <w:shd w:val="clear" w:color="auto" w:fill="ceddeb"/>
        </w:tblPrEx>
        <w:trPr>
          <w:trHeight w:val="300" w:hRule="atLeast"/>
        </w:trPr>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 xml:space="preserve">Recruitment </w:t>
            </w:r>
          </w:p>
        </w:tc>
        <w:tc>
          <w:tcPr>
            <w:tcW w:type="dxa" w:w="8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2600"/>
            <w:tcMar>
              <w:top w:type="dxa" w:w="80"/>
              <w:left w:type="dxa" w:w="80"/>
              <w:bottom w:type="dxa" w:w="80"/>
              <w:right w:type="dxa" w:w="80"/>
            </w:tcMar>
            <w:vAlign w:val="top"/>
          </w:tcPr>
          <w:p/>
        </w:tc>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300" w:hRule="atLeast"/>
        </w:trPr>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Collection data</w:t>
            </w:r>
          </w:p>
        </w:tc>
        <w:tc>
          <w:tcPr>
            <w:tcW w:type="dxa" w:w="8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2600"/>
            <w:tcMar>
              <w:top w:type="dxa" w:w="80"/>
              <w:left w:type="dxa" w:w="80"/>
              <w:bottom w:type="dxa" w:w="80"/>
              <w:right w:type="dxa" w:w="80"/>
            </w:tcMar>
            <w:vAlign w:val="top"/>
          </w:tcPr>
          <w:p/>
        </w:tc>
        <w:tc>
          <w:tcPr>
            <w:tcW w:type="dxa" w:w="1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2600"/>
            <w:tcMar>
              <w:top w:type="dxa" w:w="80"/>
              <w:left w:type="dxa" w:w="80"/>
              <w:bottom w:type="dxa" w:w="80"/>
              <w:right w:type="dxa" w:w="80"/>
            </w:tcMar>
            <w:vAlign w:val="top"/>
          </w:tcPr>
          <w:p/>
        </w:tc>
        <w:tc>
          <w:tcPr>
            <w:tcW w:type="dxa" w:w="1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300" w:hRule="atLeast"/>
        </w:trPr>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tl w:val="0"/>
                <w:lang w:val="en-US"/>
              </w:rPr>
              <w:t>Analysis</w:t>
            </w:r>
          </w:p>
        </w:tc>
        <w:tc>
          <w:tcPr>
            <w:tcW w:type="dxa" w:w="8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2600"/>
            <w:tcMar>
              <w:top w:type="dxa" w:w="80"/>
              <w:left w:type="dxa" w:w="80"/>
              <w:bottom w:type="dxa" w:w="80"/>
              <w:right w:type="dxa" w:w="80"/>
            </w:tcMar>
            <w:vAlign w:val="top"/>
          </w:tcP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2600"/>
            <w:tcMar>
              <w:top w:type="dxa" w:w="80"/>
              <w:left w:type="dxa" w:w="80"/>
              <w:bottom w:type="dxa" w:w="80"/>
              <w:right w:type="dxa" w:w="80"/>
            </w:tcMar>
            <w:vAlign w:val="top"/>
          </w:tcPr>
          <w:p/>
        </w:tc>
        <w:tc>
          <w:tcPr>
            <w:tcW w:type="dxa" w:w="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deb"/>
        </w:tblPrEx>
        <w:trPr>
          <w:trHeight w:val="300" w:hRule="atLeast"/>
        </w:trPr>
        <w:tc>
          <w:tcPr>
            <w:tcW w:type="dxa" w:w="17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effff"/>
            <w:tcMar>
              <w:top w:type="dxa" w:w="80"/>
              <w:left w:type="dxa" w:w="80"/>
              <w:bottom w:type="dxa" w:w="80"/>
              <w:right w:type="dxa" w:w="80"/>
            </w:tcMar>
            <w:vAlign w:val="top"/>
          </w:tcPr>
          <w:p>
            <w:pPr>
              <w:pStyle w:val="Body"/>
            </w:pPr>
            <w:r>
              <w:rPr>
                <w:rFonts w:ascii="Helvetica" w:hAnsi="Helvetica"/>
                <w:sz w:val="22"/>
                <w:szCs w:val="22"/>
                <w:rtl w:val="0"/>
                <w:lang w:val="en-US"/>
              </w:rPr>
              <w:t>Write up</w:t>
            </w:r>
          </w:p>
        </w:tc>
        <w:tc>
          <w:tcPr>
            <w:tcW w:type="dxa" w:w="85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9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2d21"/>
            <w:tcMar>
              <w:top w:type="dxa" w:w="80"/>
              <w:left w:type="dxa" w:w="80"/>
              <w:bottom w:type="dxa" w:w="80"/>
              <w:right w:type="dxa" w:w="80"/>
            </w:tcMar>
            <w:vAlign w:val="top"/>
          </w:tcPr>
          <w:p/>
        </w:tc>
        <w:tc>
          <w:tcPr>
            <w:tcW w:type="dxa" w:w="10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2d21"/>
            <w:tcMar>
              <w:top w:type="dxa" w:w="80"/>
              <w:left w:type="dxa" w:w="80"/>
              <w:bottom w:type="dxa" w:w="80"/>
              <w:right w:type="dxa" w:w="80"/>
            </w:tcMar>
            <w:vAlign w:val="top"/>
          </w:tcPr>
          <w:p/>
        </w:tc>
        <w:tc>
          <w:tcPr>
            <w:tcW w:type="dxa" w:w="8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2d21"/>
            <w:tcMar>
              <w:top w:type="dxa" w:w="80"/>
              <w:left w:type="dxa" w:w="80"/>
              <w:bottom w:type="dxa" w:w="80"/>
              <w:right w:type="dxa" w:w="80"/>
            </w:tcMar>
            <w:vAlign w:val="top"/>
          </w:tcPr>
          <w:p/>
        </w:tc>
      </w:tr>
    </w:tbl>
    <w:p>
      <w:pPr>
        <w:pStyle w:val="Body A"/>
        <w:widowControl w:val="0"/>
        <w:ind w:left="108" w:hanging="108"/>
      </w:pPr>
    </w:p>
    <w:p>
      <w:pPr>
        <w:pStyle w:val="Body A"/>
        <w:widowControl w:val="0"/>
      </w:pPr>
    </w:p>
    <w:p>
      <w:pPr>
        <w:pStyle w:val="Body A"/>
      </w:pPr>
    </w:p>
    <w:p>
      <w:pPr>
        <w:pStyle w:val="Body A"/>
      </w:pPr>
    </w:p>
    <w:p>
      <w:pPr>
        <w:pStyle w:val="Heading 2"/>
      </w:pPr>
      <w:bookmarkStart w:name="_Toc9" w:id="11"/>
      <w:r>
        <w:rPr>
          <w:rFonts w:cs="Arial Unicode MS" w:eastAsia="Arial Unicode MS"/>
          <w:rtl w:val="0"/>
          <w:lang w:val="en-US"/>
        </w:rPr>
        <w:t>Statistical analyses</w:t>
      </w:r>
      <w:bookmarkEnd w:id="11"/>
    </w:p>
    <w:p>
      <w:pPr>
        <w:pStyle w:val="Body B A"/>
      </w:pPr>
      <w:r>
        <w:rPr>
          <w:rtl w:val="0"/>
        </w:rPr>
        <w:t xml:space="preserve">Statistical analyses will be carried out using SPSS v25. This trial will be analysed as an intention to treat analysis. Given the primary outcome is dichotomous, chi squared or binomial logistic regression will be used depending on the variability of the remainder of the data. </w:t>
      </w:r>
    </w:p>
    <w:p>
      <w:pPr>
        <w:pStyle w:val="Body B A"/>
      </w:pPr>
    </w:p>
    <w:p>
      <w:pPr>
        <w:pStyle w:val="Body B"/>
      </w:pPr>
      <w:r>
        <w:rPr>
          <w:rFonts w:cs="Arial Unicode MS" w:eastAsia="Arial Unicode MS"/>
          <w:rtl w:val="0"/>
          <w:lang w:val="en-US"/>
        </w:rPr>
        <w:t xml:space="preserve">Other categorical data will be compared using Persons chi quared. Data that is normally distributed will be analysed with parametric tests and non-normally distributed data will be analysed with non-parametric tests. Significance will be set at 0.05 and adjustments for multiple comparisons will be made where comparing several groups. </w:t>
      </w:r>
    </w:p>
    <w:p>
      <w:pPr>
        <w:pStyle w:val="Body B"/>
      </w:pPr>
    </w:p>
    <w:p>
      <w:pPr>
        <w:pStyle w:val="Heading 2"/>
      </w:pPr>
      <w:bookmarkStart w:name="_Toc10" w:id="12"/>
      <w:r>
        <w:rPr>
          <w:rFonts w:cs="Arial Unicode MS" w:eastAsia="Arial Unicode MS"/>
          <w:rtl w:val="0"/>
          <w:lang w:val="en-US"/>
        </w:rPr>
        <w:t>Funding</w:t>
      </w:r>
      <w:bookmarkEnd w:id="12"/>
    </w:p>
    <w:p>
      <w:pPr>
        <w:pStyle w:val="Body B"/>
      </w:pPr>
      <w:r>
        <w:rPr>
          <w:rFonts w:cs="Arial Unicode MS" w:eastAsia="Arial Unicode MS"/>
          <w:rtl w:val="0"/>
          <w:lang w:val="en-US"/>
        </w:rPr>
        <w:t>There will be no cost implications for the participants or hospital. E</w:t>
      </w:r>
      <w:r>
        <w:rPr>
          <w:rFonts w:cs="Arial Unicode MS" w:eastAsia="Arial Unicode MS"/>
          <w:rtl w:val="0"/>
          <w:lang w:val="fr-FR"/>
        </w:rPr>
        <w:t>ducation grant</w:t>
      </w:r>
      <w:r>
        <w:rPr>
          <w:rFonts w:cs="Arial Unicode MS" w:eastAsia="Arial Unicode MS"/>
          <w:rtl w:val="0"/>
          <w:lang w:val="en-US"/>
        </w:rPr>
        <w:t>s and departmental research funds will pay for the synthetic renal biopsy ultrasound models, needle guides, biopsy needles and other consumables (eg gloves, hand wash etc.) The ultrasound machines will be pre-owned by the hospital or borrowed from GE.</w:t>
      </w:r>
    </w:p>
    <w:p>
      <w:pPr>
        <w:pStyle w:val="Body B A"/>
      </w:pPr>
    </w:p>
    <w:p>
      <w:pPr>
        <w:pStyle w:val="Body B A"/>
      </w:pPr>
    </w:p>
    <w:p>
      <w:pPr>
        <w:pStyle w:val="Heading"/>
      </w:pPr>
      <w:bookmarkStart w:name="_Toc11" w:id="13"/>
      <w:r>
        <w:rPr>
          <w:rFonts w:cs="Arial Unicode MS" w:eastAsia="Arial Unicode MS"/>
          <w:rtl w:val="0"/>
        </w:rPr>
        <w:t>Ethical Considerations</w:t>
      </w:r>
      <w:bookmarkEnd w:id="13"/>
    </w:p>
    <w:p>
      <w:pPr>
        <w:pStyle w:val="Heading 2"/>
      </w:pPr>
      <w:bookmarkStart w:name="_Toc12" w:id="14"/>
      <w:r>
        <w:rPr>
          <w:rFonts w:cs="Arial Unicode MS" w:eastAsia="Arial Unicode MS"/>
          <w:rtl w:val="0"/>
          <w:lang w:val="en-US"/>
        </w:rPr>
        <w:t>Recruitment and selection of participants</w:t>
      </w:r>
      <w:bookmarkEnd w:id="14"/>
    </w:p>
    <w:p>
      <w:pPr>
        <w:pStyle w:val="Body B A"/>
      </w:pPr>
      <w:r>
        <w:rPr>
          <w:rtl w:val="0"/>
        </w:rPr>
        <w:t>The study population will include all junior doctors and medical students at Liverpool Hospital who have no previous experience with performing or simulation of renal biopsies. They will be approached during their mandatory education session. They will be provided with an information sheet/brief presentation. At this time it will be emphasised that participation is voluntary, and not participating will have no effect on their training. This will explain the necessary level of involvement as well as associated risks. It will be emphasised at this stage that the biopsy attempts will be recorded on video, but that no identifying features of the participant will be recorded. This will be used for a second independent evaluation of safety of the attempt as well as to more accurately document timing. If each trainee is happy to participate, then written consent will be obtained at the end of the presentation</w:t>
      </w:r>
      <w:r>
        <w:rPr>
          <w:rtl w:val="0"/>
        </w:rPr>
        <w:t>. Consent can be withdrawn at any stage, and will be revisited on the day of the trial.</w:t>
      </w:r>
    </w:p>
    <w:p>
      <w:pPr>
        <w:pStyle w:val="Body B A"/>
      </w:pPr>
    </w:p>
    <w:p>
      <w:pPr>
        <w:pStyle w:val="Body B A"/>
      </w:pPr>
      <w:r>
        <w:rPr>
          <w:rtl w:val="0"/>
        </w:rPr>
        <w:t>The risk of injury or adverse outcome involving the participants is very low. The main possible risk to participants include needle stick injury either with hollow bore needle or scalpel. During the introduction video we will emphasise the risk that working with sharps includes, and encourage good clinical technique including placing all sharps in the sterile field within a kidney dish, and the prompt and safe disposal of sharps. We will also have a senior doctor present supervising each biopsy who will be able to stop any practice deemed dangerous. The use of synthetic models and a new biopsy needle for each participant means that there is no risk of transmission of blood borne infections.</w:t>
      </w:r>
    </w:p>
    <w:p>
      <w:pPr>
        <w:pStyle w:val="Body B A"/>
      </w:pPr>
    </w:p>
    <w:p>
      <w:pPr>
        <w:pStyle w:val="Heading 2"/>
      </w:pPr>
      <w:bookmarkStart w:name="_Toc13" w:id="15"/>
      <w:r>
        <w:rPr>
          <w:rFonts w:cs="Arial Unicode MS" w:eastAsia="Arial Unicode MS"/>
          <w:rtl w:val="0"/>
          <w:lang w:val="en-US"/>
        </w:rPr>
        <w:t>Inclusion and exclusion criteria</w:t>
      </w:r>
      <w:bookmarkEnd w:id="15"/>
    </w:p>
    <w:p>
      <w:pPr>
        <w:pStyle w:val="No Spacing"/>
      </w:pPr>
      <w:r>
        <w:rPr>
          <w:rFonts w:cs="Arial Unicode MS" w:eastAsia="Arial Unicode MS"/>
          <w:rtl w:val="0"/>
        </w:rPr>
        <w:t>Inclusion criteria</w:t>
      </w:r>
    </w:p>
    <w:p>
      <w:pPr>
        <w:pStyle w:val="No Spacing"/>
        <w:numPr>
          <w:ilvl w:val="0"/>
          <w:numId w:val="11"/>
        </w:numPr>
        <w:rPr>
          <w:lang w:val="en-US"/>
        </w:rPr>
      </w:pPr>
      <w:r>
        <w:rPr>
          <w:rtl w:val="0"/>
          <w:lang w:val="en-US"/>
        </w:rPr>
        <w:t>Over the age of 18 years</w:t>
      </w:r>
    </w:p>
    <w:p>
      <w:pPr>
        <w:pStyle w:val="No Spacing"/>
        <w:numPr>
          <w:ilvl w:val="0"/>
          <w:numId w:val="11"/>
        </w:numPr>
        <w:rPr>
          <w:lang w:val="en-US"/>
        </w:rPr>
      </w:pPr>
      <w:r>
        <w:rPr>
          <w:rtl w:val="0"/>
          <w:lang w:val="en-US"/>
        </w:rPr>
        <w:t>Current medical student, intern, RMO or Basic Physician Trainee</w:t>
      </w:r>
    </w:p>
    <w:p>
      <w:pPr>
        <w:pStyle w:val="No Spacing"/>
      </w:pPr>
      <w:r>
        <w:rPr>
          <w:rFonts w:cs="Arial Unicode MS" w:eastAsia="Arial Unicode MS"/>
          <w:rtl w:val="0"/>
        </w:rPr>
        <w:t>Exclusion criteria</w:t>
      </w:r>
    </w:p>
    <w:p>
      <w:pPr>
        <w:pStyle w:val="No Spacing"/>
        <w:numPr>
          <w:ilvl w:val="0"/>
          <w:numId w:val="11"/>
        </w:numPr>
        <w:rPr>
          <w:lang w:val="en-US"/>
        </w:rPr>
      </w:pPr>
      <w:r>
        <w:rPr>
          <w:rtl w:val="0"/>
          <w:lang w:val="en-US"/>
        </w:rPr>
        <w:t>Unwilling to consent</w:t>
      </w:r>
    </w:p>
    <w:p>
      <w:pPr>
        <w:pStyle w:val="No Spacing"/>
        <w:numPr>
          <w:ilvl w:val="0"/>
          <w:numId w:val="11"/>
        </w:numPr>
        <w:rPr>
          <w:lang w:val="en-US"/>
        </w:rPr>
      </w:pPr>
      <w:r>
        <w:rPr>
          <w:rtl w:val="0"/>
          <w:lang w:val="en-US"/>
        </w:rPr>
        <w:t>Previous significant experience in performing or simulation of  renal biopsy</w:t>
      </w:r>
    </w:p>
    <w:p>
      <w:pPr>
        <w:pStyle w:val="Heading 2"/>
      </w:pPr>
      <w:bookmarkStart w:name="_Toc14" w:id="16"/>
      <w:r>
        <w:rPr>
          <w:rFonts w:cs="Arial Unicode MS" w:eastAsia="Arial Unicode MS"/>
          <w:rtl w:val="0"/>
          <w:lang w:val="en-US"/>
        </w:rPr>
        <w:t>Informed consent</w:t>
      </w:r>
      <w:bookmarkEnd w:id="16"/>
    </w:p>
    <w:p>
      <w:pPr>
        <w:pStyle w:val="Body B A"/>
        <w:jc w:val="both"/>
      </w:pPr>
      <w:r>
        <w:rPr>
          <w:rtl w:val="0"/>
          <w:lang w:val="en-US"/>
        </w:rPr>
        <w:t>Junior doctors and medical students will be informed about the study during their regular education sessions. In these session, we will provide information regarding the trial. If the junior staff are happy to participate they will provide written consent at this time.</w:t>
      </w:r>
    </w:p>
    <w:p>
      <w:pPr>
        <w:pStyle w:val="Heading 2"/>
      </w:pPr>
      <w:bookmarkStart w:name="_Toc15" w:id="17"/>
      <w:r>
        <w:rPr>
          <w:rFonts w:cs="Arial Unicode MS" w:eastAsia="Arial Unicode MS"/>
          <w:rtl w:val="0"/>
          <w:lang w:val="en-US"/>
        </w:rPr>
        <w:t>Confidentiality and privacy</w:t>
      </w:r>
      <w:bookmarkEnd w:id="17"/>
    </w:p>
    <w:p>
      <w:pPr>
        <w:pStyle w:val="Body B A"/>
        <w:jc w:val="both"/>
      </w:pPr>
      <w:r>
        <w:rPr>
          <w:rtl w:val="0"/>
          <w:lang w:val="en-US"/>
        </w:rPr>
        <w:t>Participants names will only be recorded for ethics and on a master password protected Microsoft Excel spreadsheet which will have participant names and an allocated c</w:t>
      </w:r>
      <w:r>
        <w:rPr>
          <w:rtl w:val="0"/>
          <w:lang w:val="en-US"/>
        </w:rPr>
        <w:t>andidate</w:t>
      </w:r>
      <w:r>
        <w:rPr>
          <w:rtl w:val="0"/>
          <w:lang w:val="en-US"/>
        </w:rPr>
        <w:t xml:space="preserve"> number. Only study investigators will have access to the password.  All other data will be stored on a separate Excel spreadsheet with the </w:t>
      </w:r>
      <w:r>
        <w:rPr>
          <w:rtl w:val="0"/>
          <w:lang w:val="en-US"/>
        </w:rPr>
        <w:t>candidate number</w:t>
      </w:r>
      <w:r>
        <w:rPr>
          <w:rtl w:val="0"/>
          <w:lang w:val="en-US"/>
        </w:rPr>
        <w:t>, not identifiable details.</w:t>
      </w:r>
    </w:p>
    <w:p>
      <w:pPr>
        <w:pStyle w:val="Body B A"/>
      </w:pPr>
    </w:p>
    <w:p>
      <w:pPr>
        <w:pStyle w:val="Body B A"/>
        <w:jc w:val="both"/>
      </w:pPr>
      <w:r>
        <w:rPr>
          <w:rtl w:val="0"/>
          <w:lang w:val="en-US"/>
        </w:rPr>
        <w:t>Baseline demographics (age, gender, postgraduate year and previous experience with ultrasound) will be collected at the commencement of the study period. This will be for the purpose of multivariable analysis in order to exclude potential confounders to findings. Participant information will be de-identified at th</w:t>
      </w:r>
      <w:r>
        <w:rPr>
          <w:rtl w:val="0"/>
          <w:lang w:val="en-US"/>
        </w:rPr>
        <w:t>is</w:t>
      </w:r>
      <w:r>
        <w:rPr>
          <w:rtl w:val="0"/>
          <w:lang w:val="en-US"/>
        </w:rPr>
        <w:t xml:space="preserve"> stage of data collection. All data that will be presented will be grouped data and non-identifiable. </w:t>
      </w:r>
    </w:p>
    <w:p>
      <w:pPr>
        <w:pStyle w:val="Body B A"/>
        <w:ind w:left="360" w:firstLine="0"/>
      </w:pPr>
    </w:p>
    <w:p>
      <w:pPr>
        <w:pStyle w:val="Heading 2"/>
      </w:pPr>
      <w:bookmarkStart w:name="_Toc16" w:id="18"/>
      <w:r>
        <w:rPr>
          <w:rFonts w:cs="Arial Unicode MS" w:eastAsia="Arial Unicode MS"/>
          <w:rtl w:val="0"/>
          <w:lang w:val="en-US"/>
        </w:rPr>
        <w:t>Data storage and record retention</w:t>
      </w:r>
      <w:bookmarkEnd w:id="18"/>
    </w:p>
    <w:p>
      <w:pPr>
        <w:pStyle w:val="Body B"/>
        <w:jc w:val="both"/>
        <w:outlineLvl w:val="0"/>
      </w:pPr>
      <w:r>
        <w:rPr>
          <w:rtl w:val="0"/>
          <w:lang w:val="en-US"/>
        </w:rPr>
        <w:t xml:space="preserve">Data will be recorded by investigators onto a standardised assessors sheet which will be labelled with the candidates </w:t>
      </w:r>
      <w:r>
        <w:rPr>
          <w:rtl w:val="0"/>
          <w:lang w:val="de-DE"/>
        </w:rPr>
        <w:t>“</w:t>
      </w:r>
      <w:r>
        <w:rPr>
          <w:rtl w:val="0"/>
          <w:lang w:val="en-US"/>
        </w:rPr>
        <w:t>candidate number</w:t>
      </w:r>
      <w:r>
        <w:rPr>
          <w:rtl w:val="0"/>
        </w:rPr>
        <w:t>”</w:t>
      </w:r>
      <w:r>
        <w:rPr>
          <w:rtl w:val="0"/>
          <w:lang w:val="en-US"/>
        </w:rPr>
        <w:t xml:space="preserve">. This data will then be entered into a Microscope Excel spreadsheet. A master spreadsheet will contain the participants name and code number. A separate de-identified spreadsheet will have code numbers and all other collected data for the study. This spreadsheet will be password protected and stored on the hospital network only. Data will be regularly backed up on a password protected USB drive which will be stored in a locked office within hospital grounds. Passwords will only be known to the investigators. Following study completion, stored data will be kept for 7 years and then destroyed. </w:t>
      </w:r>
    </w:p>
    <w:p>
      <w:pPr>
        <w:pStyle w:val="No Spacing"/>
      </w:pPr>
    </w:p>
    <w:p>
      <w:pPr>
        <w:pStyle w:val="Heading"/>
      </w:pPr>
    </w:p>
    <w:p>
      <w:pPr>
        <w:pStyle w:val="Heading"/>
      </w:pPr>
      <w:bookmarkStart w:name="_Toc17" w:id="19"/>
      <w:r>
        <w:rPr>
          <w:rFonts w:cs="Arial Unicode MS" w:eastAsia="Arial Unicode MS"/>
          <w:rtl w:val="0"/>
        </w:rPr>
        <w:t>Outcomes and significance</w:t>
      </w:r>
      <w:bookmarkEnd w:id="19"/>
    </w:p>
    <w:p>
      <w:pPr>
        <w:pStyle w:val="Body B A"/>
      </w:pPr>
      <w:r>
        <w:rPr>
          <w:rtl w:val="0"/>
        </w:rPr>
        <w:t>The primary outcome of the trial will be a composite outcome of adequacy and safety of each participant performing 3 passes. This is defined by:</w:t>
      </w:r>
    </w:p>
    <w:p>
      <w:pPr>
        <w:pStyle w:val="Body B A"/>
        <w:numPr>
          <w:ilvl w:val="0"/>
          <w:numId w:val="5"/>
        </w:numPr>
        <w:rPr>
          <w:lang w:val="en-US"/>
        </w:rPr>
      </w:pPr>
      <w:r>
        <w:rPr>
          <w:rtl w:val="0"/>
          <w:lang w:val="en-US"/>
        </w:rPr>
        <w:t xml:space="preserve">Adequacy: </w:t>
      </w:r>
      <w:r>
        <w:rPr>
          <w:rtl w:val="0"/>
          <w:lang w:val="en-US"/>
        </w:rPr>
        <w:t xml:space="preserve">determined by </w:t>
      </w:r>
      <w:r>
        <w:rPr>
          <w:rtl w:val="0"/>
          <w:lang w:val="en-US"/>
        </w:rPr>
        <w:t xml:space="preserve">macroscopic examination of each of the 3 cores obtained by the participant. If 2 of the 3 cores obtained by one individual participant are determined to be synthetic renal tissue by the assessor, this is considered an adequate biopsy. </w:t>
      </w:r>
      <w:r>
        <w:rPr>
          <w:rtl w:val="0"/>
          <w:lang w:val="en-US"/>
        </w:rPr>
        <w:t>Co</w:t>
      </w:r>
      <w:r>
        <w:rPr>
          <w:rtl w:val="0"/>
          <w:lang w:val="en-US"/>
        </w:rPr>
        <w:t>nversely, if more than one core of the three obtained is not synthetic renal tissue, this is considered an inadequate biopsy.</w:t>
      </w:r>
    </w:p>
    <w:p>
      <w:pPr>
        <w:pStyle w:val="Body B A"/>
        <w:numPr>
          <w:ilvl w:val="0"/>
          <w:numId w:val="5"/>
        </w:numPr>
        <w:rPr>
          <w:lang w:val="en-US"/>
        </w:rPr>
      </w:pPr>
      <w:r>
        <w:rPr>
          <w:rtl w:val="0"/>
          <w:lang w:val="en-US"/>
        </w:rPr>
        <w:t xml:space="preserve">Safety: During each attempt at renal biopsy, 2 conditions must be met for that attempt to be considered safe. The core must be obtained from the inferior pole of the kidney, and concurrently the biopsy needle and kidney must be simultaneously seen at the time of biopsy. If either of these conditions are not met for any one pass, it is considered an unsafe biopsy. </w:t>
      </w:r>
    </w:p>
    <w:p>
      <w:pPr>
        <w:pStyle w:val="Body B A"/>
      </w:pPr>
      <w:r>
        <w:rPr>
          <w:rtl w:val="0"/>
        </w:rPr>
        <w:t>Secondary outcomes will include</w:t>
      </w:r>
    </w:p>
    <w:p>
      <w:pPr>
        <w:pStyle w:val="Body B A"/>
        <w:numPr>
          <w:ilvl w:val="0"/>
          <w:numId w:val="5"/>
        </w:numPr>
        <w:rPr>
          <w:lang w:val="en-US"/>
        </w:rPr>
      </w:pPr>
      <w:r>
        <w:rPr>
          <w:rtl w:val="0"/>
          <w:lang w:val="en-US"/>
        </w:rPr>
        <w:t>Compare the proportion of passes that successfully biopsied kidney between the two groups</w:t>
      </w:r>
    </w:p>
    <w:p>
      <w:pPr>
        <w:pStyle w:val="Body B A"/>
        <w:numPr>
          <w:ilvl w:val="0"/>
          <w:numId w:val="5"/>
        </w:numPr>
        <w:rPr>
          <w:lang w:val="en-US"/>
        </w:rPr>
      </w:pPr>
      <w:r>
        <w:rPr>
          <w:rtl w:val="0"/>
          <w:lang w:val="en-US"/>
        </w:rPr>
        <w:t>Compare the number of biopsies through the inferior pole in the two groups</w:t>
      </w:r>
    </w:p>
    <w:p>
      <w:pPr>
        <w:pStyle w:val="Body B A"/>
        <w:numPr>
          <w:ilvl w:val="0"/>
          <w:numId w:val="5"/>
        </w:numPr>
        <w:rPr>
          <w:lang w:val="en-US"/>
        </w:rPr>
      </w:pPr>
      <w:r>
        <w:rPr>
          <w:rtl w:val="0"/>
          <w:lang w:val="en-US"/>
        </w:rPr>
        <w:t>Compare the continuous visualisation of both the kidney and biopsy needle in both groups</w:t>
      </w:r>
    </w:p>
    <w:p>
      <w:pPr>
        <w:pStyle w:val="Body B A"/>
        <w:numPr>
          <w:ilvl w:val="0"/>
          <w:numId w:val="5"/>
        </w:numPr>
        <w:rPr>
          <w:lang w:val="en-US"/>
        </w:rPr>
      </w:pPr>
      <w:r>
        <w:rPr>
          <w:rtl w:val="0"/>
          <w:lang w:val="en-US"/>
        </w:rPr>
        <w:t>Compare the time taken to complete 3 cores</w:t>
      </w:r>
    </w:p>
    <w:p>
      <w:pPr>
        <w:pStyle w:val="Body B A"/>
        <w:numPr>
          <w:ilvl w:val="0"/>
          <w:numId w:val="12"/>
        </w:numPr>
        <w:rPr>
          <w:lang w:val="en-US"/>
        </w:rPr>
      </w:pPr>
      <w:r>
        <w:rPr>
          <w:rtl w:val="0"/>
          <w:lang w:val="en-US"/>
        </w:rPr>
        <w:t>Compare the time taken to adequately visualise the kidney</w:t>
      </w:r>
    </w:p>
    <w:p>
      <w:pPr>
        <w:pStyle w:val="Body B A"/>
        <w:numPr>
          <w:ilvl w:val="0"/>
          <w:numId w:val="5"/>
        </w:numPr>
        <w:rPr>
          <w:lang w:val="en-US"/>
        </w:rPr>
      </w:pPr>
      <w:r>
        <w:rPr>
          <w:rtl w:val="0"/>
          <w:lang w:val="en-US"/>
        </w:rPr>
        <w:t>To compare the subjective difficulty as graded by the participant of learning the skill of percutaneous renal biopsy using freehand or ultrasound needle guide</w:t>
      </w:r>
    </w:p>
    <w:p>
      <w:pPr>
        <w:pStyle w:val="Body B A"/>
        <w:numPr>
          <w:ilvl w:val="0"/>
          <w:numId w:val="12"/>
        </w:numPr>
        <w:rPr>
          <w:lang w:val="en-US"/>
        </w:rPr>
      </w:pPr>
      <w:r>
        <w:rPr>
          <w:rtl w:val="0"/>
          <w:lang w:val="en-US"/>
        </w:rPr>
        <w:t>To compare the subjective difficulty as graded by the assessor of performing percutaneous renal biopsy using freehand or ultrasound needle guide</w:t>
      </w:r>
    </w:p>
    <w:p>
      <w:pPr>
        <w:pStyle w:val="Body A"/>
      </w:pPr>
    </w:p>
    <w:p>
      <w:pPr>
        <w:pStyle w:val="Body A"/>
      </w:pPr>
      <w:r>
        <w:rPr>
          <w:rFonts w:ascii="Times New Roman" w:hAnsi="Times New Roman"/>
          <w:sz w:val="24"/>
          <w:szCs w:val="24"/>
          <w:rtl w:val="0"/>
          <w:lang w:val="en-US"/>
        </w:rPr>
        <w:t xml:space="preserve">Significant result will be indicated by a p value of &lt;0.05 signifying a difference between the two groups. </w:t>
      </w:r>
    </w:p>
    <w:p>
      <w:pPr>
        <w:pStyle w:val="Heading"/>
      </w:pPr>
    </w:p>
    <w:p>
      <w:pPr>
        <w:pStyle w:val="Body A"/>
      </w:pPr>
    </w:p>
    <w:p>
      <w:pPr>
        <w:pStyle w:val="Body A"/>
      </w:pPr>
    </w:p>
    <w:p>
      <w:pPr>
        <w:pStyle w:val="Heading"/>
      </w:pPr>
      <w:bookmarkStart w:name="_Toc18" w:id="20"/>
      <w:r>
        <w:rPr>
          <w:rFonts w:cs="Arial Unicode MS" w:eastAsia="Arial Unicode MS"/>
          <w:rtl w:val="0"/>
        </w:rPr>
        <w:t>Timelines/Milestones</w:t>
      </w:r>
      <w:bookmarkEnd w:id="20"/>
    </w:p>
    <w:p>
      <w:pPr>
        <w:pStyle w:val="Body A"/>
      </w:pPr>
      <w:r>
        <w:rPr>
          <w:rFonts w:ascii="Times New Roman" w:hAnsi="Times New Roman"/>
          <w:sz w:val="24"/>
          <w:szCs w:val="24"/>
          <w:rtl w:val="0"/>
          <w:lang w:val="en-US"/>
        </w:rPr>
        <w:t>We anticipate the following timeline:</w:t>
      </w:r>
    </w:p>
    <w:p>
      <w:pPr>
        <w:pStyle w:val="Body A"/>
        <w:numPr>
          <w:ilvl w:val="0"/>
          <w:numId w:val="9"/>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Participant recruitment and consent: 1 month</w:t>
      </w:r>
    </w:p>
    <w:p>
      <w:pPr>
        <w:pStyle w:val="Body A"/>
        <w:numPr>
          <w:ilvl w:val="0"/>
          <w:numId w:val="9"/>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Collection of data : 2 months</w:t>
      </w:r>
    </w:p>
    <w:p>
      <w:pPr>
        <w:pStyle w:val="Body A"/>
        <w:numPr>
          <w:ilvl w:val="0"/>
          <w:numId w:val="9"/>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Analysis: 2 months</w:t>
      </w:r>
    </w:p>
    <w:p>
      <w:pPr>
        <w:pStyle w:val="Body A"/>
        <w:numPr>
          <w:ilvl w:val="0"/>
          <w:numId w:val="9"/>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Write up: 3 months</w:t>
      </w:r>
    </w:p>
    <w:p>
      <w:pPr>
        <w:pStyle w:val="Body A"/>
      </w:pPr>
    </w:p>
    <w:p>
      <w:pPr>
        <w:pStyle w:val="Heading"/>
      </w:pPr>
      <w:bookmarkStart w:name="_Toc19" w:id="21"/>
      <w:r>
        <w:rPr>
          <w:rFonts w:cs="Arial Unicode MS" w:eastAsia="Arial Unicode MS"/>
          <w:rtl w:val="0"/>
        </w:rPr>
        <w:t>Publication policy</w:t>
      </w:r>
      <w:bookmarkEnd w:id="21"/>
    </w:p>
    <w:p>
      <w:pPr>
        <w:pStyle w:val="Body A"/>
        <w:jc w:val="both"/>
      </w:pPr>
      <w:r>
        <w:rPr>
          <w:rFonts w:ascii="Times New Roman" w:hAnsi="Times New Roman"/>
          <w:sz w:val="24"/>
          <w:szCs w:val="24"/>
          <w:rtl w:val="0"/>
          <w:lang w:val="en-US"/>
        </w:rPr>
        <w:t>We aim to present this study locally</w:t>
      </w:r>
      <w:r>
        <w:rPr>
          <w:rFonts w:ascii="Times New Roman" w:hAnsi="Times New Roman"/>
          <w:sz w:val="24"/>
          <w:szCs w:val="24"/>
          <w:rtl w:val="0"/>
          <w:lang w:val="en-US"/>
        </w:rPr>
        <w:t>, at national nephrology meetings and also</w:t>
      </w:r>
      <w:r>
        <w:rPr>
          <w:rFonts w:ascii="Times New Roman" w:hAnsi="Times New Roman"/>
          <w:sz w:val="24"/>
          <w:szCs w:val="24"/>
          <w:rtl w:val="0"/>
          <w:lang w:val="en-US"/>
        </w:rPr>
        <w:t xml:space="preserve"> to</w:t>
      </w:r>
      <w:r>
        <w:rPr>
          <w:rFonts w:ascii="Times New Roman" w:hAnsi="Times New Roman"/>
          <w:sz w:val="24"/>
          <w:szCs w:val="24"/>
          <w:rtl w:val="0"/>
          <w:lang w:val="en-US"/>
        </w:rPr>
        <w:t xml:space="preserve"> pub</w:t>
      </w:r>
      <w:r>
        <w:rPr>
          <w:rFonts w:ascii="Times New Roman" w:hAnsi="Times New Roman"/>
          <w:sz w:val="24"/>
          <w:szCs w:val="24"/>
          <w:rtl w:val="0"/>
          <w:lang w:val="en-US"/>
        </w:rPr>
        <w:t xml:space="preserve">lish </w:t>
      </w:r>
      <w:r>
        <w:rPr>
          <w:rFonts w:ascii="Times New Roman" w:hAnsi="Times New Roman"/>
          <w:sz w:val="24"/>
          <w:szCs w:val="24"/>
          <w:rtl w:val="0"/>
          <w:lang w:val="en-US"/>
        </w:rPr>
        <w:t xml:space="preserve">in a peer reviewed journal. Data will be grouped data and non-identifiable at all times. Authors will only include those who have substantially contributed to the study. All investigators will have access to the data and will approve the final submissions for dissemination. The trial protocol will be registered on the Australian Clinical Trials website. Where available, based on location of peer-reviewed publication, we will participate in data sharing. </w:t>
      </w:r>
    </w:p>
    <w:p>
      <w:pPr>
        <w:pStyle w:val="Heading"/>
      </w:pPr>
    </w:p>
    <w:p>
      <w:pPr>
        <w:pStyle w:val="Heading"/>
      </w:pPr>
      <w:bookmarkStart w:name="_Toc20" w:id="22"/>
      <w:r>
        <w:rPr>
          <w:rFonts w:cs="Arial Unicode MS" w:eastAsia="Arial Unicode MS"/>
          <w:rtl w:val="0"/>
        </w:rPr>
        <w:t>References</w:t>
      </w:r>
      <w:bookmarkEnd w:id="22"/>
    </w:p>
    <w:p>
      <w:pPr>
        <w:pStyle w:val="Body A"/>
        <w:numPr>
          <w:ilvl w:val="0"/>
          <w:numId w:val="1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Tondel C et al. (2012) Safety and Complications of Percutaneous Kidney Biopsies in 715 Children and 8573 Adults in Norway 1988</w:t>
      </w:r>
      <w:r>
        <w:rPr>
          <w:rFonts w:ascii="Times New Roman" w:hAnsi="Times New Roman" w:hint="default"/>
          <w:sz w:val="24"/>
          <w:szCs w:val="24"/>
          <w:rtl w:val="0"/>
          <w:lang w:val="en-US"/>
        </w:rPr>
        <w:t>–</w:t>
      </w:r>
      <w:r>
        <w:rPr>
          <w:rFonts w:ascii="Times New Roman" w:hAnsi="Times New Roman"/>
          <w:sz w:val="24"/>
          <w:szCs w:val="24"/>
          <w:rtl w:val="0"/>
          <w:lang w:val="en-US"/>
        </w:rPr>
        <w:t>2010. J Am Soc Nephrol  2012;7:1591-7</w:t>
      </w:r>
    </w:p>
    <w:p>
      <w:pPr>
        <w:pStyle w:val="Body A"/>
        <w:numPr>
          <w:ilvl w:val="0"/>
          <w:numId w:val="1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Prasad N, Kumar S, Manjunath R, et al. Real-time ultrasound-guided percutaneous renal biopsy with needle guide by nephrologists decreases post-biopsy complications. Clin Kidney J. 2015;8(2):151</w:t>
      </w:r>
      <w:r>
        <w:rPr>
          <w:rFonts w:ascii="Times New Roman" w:hAnsi="Times New Roman" w:hint="default"/>
          <w:sz w:val="24"/>
          <w:szCs w:val="24"/>
          <w:rtl w:val="0"/>
          <w:lang w:val="en-US"/>
        </w:rPr>
        <w:t>–</w:t>
      </w:r>
      <w:r>
        <w:rPr>
          <w:rFonts w:ascii="Times New Roman" w:hAnsi="Times New Roman"/>
          <w:sz w:val="24"/>
          <w:szCs w:val="24"/>
          <w:rtl w:val="0"/>
          <w:lang w:val="en-US"/>
        </w:rPr>
        <w:t>156. doi:10.1093/ckj/sfv012</w:t>
      </w:r>
    </w:p>
    <w:p>
      <w:pPr>
        <w:pStyle w:val="Body A"/>
        <w:numPr>
          <w:ilvl w:val="0"/>
          <w:numId w:val="1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Ali H, Murtaza A, Anderton J, Ahmed A (2015). Post renal biopsy complication rate and diagnostic yield comparing hands free (ultrasound-assisted) and ultrasound-guided biopsy techniques of renal allografts and native kidneys [published correction appears in Springerplus. 2016;5(1):963]. Springerplus. 2015;4(1):491. Published 2015 Sep 12. doi:10.1186/s40064-015-1292-0</w:t>
      </w:r>
    </w:p>
    <w:p>
      <w:pPr>
        <w:pStyle w:val="Body A"/>
        <w:numPr>
          <w:ilvl w:val="0"/>
          <w:numId w:val="14"/>
        </w:numPr>
        <w:bidi w:val="0"/>
        <w:ind w:right="0"/>
        <w:jc w:val="left"/>
        <w:rPr>
          <w:rFonts w:ascii="Times New Roman" w:hAnsi="Times New Roman"/>
          <w:sz w:val="24"/>
          <w:szCs w:val="24"/>
          <w:rtl w:val="0"/>
          <w:lang w:val="en-US"/>
        </w:rPr>
      </w:pPr>
      <w:r>
        <w:rPr>
          <w:rFonts w:ascii="Times New Roman" w:hAnsi="Times New Roman"/>
          <w:sz w:val="24"/>
          <w:szCs w:val="24"/>
          <w:rtl w:val="0"/>
          <w:lang w:val="en-US"/>
        </w:rPr>
        <w:t xml:space="preserve"> Rao NS, Chandra A. Needle guides enhance tissue adequacy and safety of ultrasound-guided renal biopsies. Kidney Res Clin Pract. 2018;37(1):41</w:t>
      </w:r>
      <w:r>
        <w:rPr>
          <w:rFonts w:ascii="Times New Roman" w:hAnsi="Times New Roman" w:hint="default"/>
          <w:sz w:val="24"/>
          <w:szCs w:val="24"/>
          <w:rtl w:val="0"/>
          <w:lang w:val="en-US"/>
        </w:rPr>
        <w:t>–</w:t>
      </w:r>
      <w:r>
        <w:rPr>
          <w:rFonts w:ascii="Times New Roman" w:hAnsi="Times New Roman"/>
          <w:sz w:val="24"/>
          <w:szCs w:val="24"/>
          <w:rtl w:val="0"/>
          <w:lang w:val="en-US"/>
        </w:rPr>
        <w:t>48. doi:10.23876/j.krcp.2018.37.1.41</w:t>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tabs>
        <w:tab w:val="center" w:pos="4819"/>
        <w:tab w:val="right" w:pos="9612"/>
        <w:tab w:val="clear" w:pos="9020"/>
      </w:tabs>
    </w:pPr>
    <w:r>
      <w:rPr/>
      <w:fldChar w:fldCharType="begin" w:fldLock="0"/>
    </w:r>
    <w:r>
      <w:instrText xml:space="preserve"> PAGE </w:instrText>
    </w:r>
    <w:r>
      <w:rPr/>
      <w:fldChar w:fldCharType="separate" w:fldLock="0"/>
    </w:r>
    <w:r>
      <w:t>8</w:t>
    </w:r>
    <w:r>
      <w:rPr/>
      <w:fldChar w:fldCharType="end" w:fldLock="0"/>
    </w:r>
    <w:r>
      <w:rPr>
        <w:rtl w:val="0"/>
      </w:rPr>
      <w:tab/>
      <w:t>Version 2</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A"/>
      <w:tabs>
        <w:tab w:val="center" w:pos="4819"/>
        <w:tab w:val="right" w:pos="9612"/>
        <w:tab w:val="clear" w:pos="9020"/>
      </w:tabs>
    </w:pPr>
    <w:r>
      <w:rPr/>
      <w:fldChar w:fldCharType="begin" w:fldLock="0"/>
    </w:r>
    <w:r>
      <w:instrText xml:space="preserve"> PAGE </w:instrText>
    </w:r>
    <w:r>
      <w:rPr/>
      <w:fldChar w:fldCharType="separate" w:fldLock="0"/>
    </w:r>
    <w:r>
      <w:t>12</w:t>
    </w:r>
    <w:r>
      <w:rPr/>
      <w:fldChar w:fldCharType="end" w:fldLock="0"/>
    </w:r>
    <w:r>
      <w:tab/>
    </w:r>
    <w:r>
      <w:rPr>
        <w:rtl w:val="0"/>
        <w:lang w:val="en-US"/>
      </w:rPr>
      <w:t>10th December, 2019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0"/>
  </w:abstractNum>
  <w:abstractNum w:abstractNumId="7">
    <w:multiLevelType w:val="hybridMultilevel"/>
    <w:styleLink w:val="Imported Style 2.0"/>
    <w:lvl w:ilvl="0">
      <w:start w:val="1"/>
      <w:numFmt w:val="bullet"/>
      <w:suff w:val="tab"/>
      <w:lvlText w:val="-"/>
      <w:lvlJc w:val="left"/>
      <w:pPr>
        <w:ind w:left="720" w:hanging="36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3" w:hanging="393"/>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1.0"/>
  </w:abstractNum>
  <w:abstractNum w:abstractNumId="9">
    <w:multiLevelType w:val="hybridMultilevel"/>
    <w:styleLink w:val="Imported Style 1.0"/>
    <w:lvl w:ilvl="0">
      <w:start w:val="1"/>
      <w:numFmt w:val="bullet"/>
      <w:suff w:val="tab"/>
      <w:lvlText w:val="-"/>
      <w:lvlJc w:val="left"/>
      <w:pPr>
        <w:ind w:left="7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Numbered.0"/>
  </w:abstractNum>
  <w:abstractNum w:abstractNumId="11">
    <w:multiLevelType w:val="hybridMultilevel"/>
    <w:styleLink w:val="Numbered.0"/>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5"/>
  </w:num>
  <w:num w:numId="7">
    <w:abstractNumId w:val="4"/>
  </w:num>
  <w:num w:numId="8">
    <w:abstractNumId w:val="7"/>
  </w:num>
  <w:num w:numId="9">
    <w:abstractNumId w:val="6"/>
  </w:num>
  <w:num w:numId="10">
    <w:abstractNumId w:val="9"/>
  </w:num>
  <w:num w:numId="11">
    <w:abstractNumId w:val="8"/>
  </w:num>
  <w:num w:numId="12">
    <w:abstractNumId w:val="8"/>
    <w:lvlOverride w:ilvl="0">
      <w:lvl w:ilvl="0">
        <w:start w:val="1"/>
        <w:numFmt w:val="bullet"/>
        <w:suff w:val="tab"/>
        <w:lvlText w:val="•"/>
        <w:lvlJc w:val="left"/>
        <w:pPr>
          <w:ind w:left="3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1"/>
  </w:num>
  <w:num w:numId="14">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Subtitle">
    <w:name w:val="Subtitle"/>
    <w:next w:val="Body B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OC Heading">
    <w:name w:val="TOC Heading"/>
    <w:next w:val="Body B A"/>
    <w:pPr>
      <w:keepNext w:val="1"/>
      <w:keepLines w:val="1"/>
      <w:pageBreakBefore w:val="0"/>
      <w:widowControl w:val="1"/>
      <w:shd w:val="clear" w:color="auto" w:fill="auto"/>
      <w:suppressAutoHyphens w:val="0"/>
      <w:bidi w:val="0"/>
      <w:spacing w:before="480" w:after="0" w:line="276"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2f759e"/>
      <w:spacing w:val="0"/>
      <w:kern w:val="0"/>
      <w:position w:val="0"/>
      <w:sz w:val="28"/>
      <w:szCs w:val="28"/>
      <w:u w:val="none" w:color="2f759e"/>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TOC 2">
    <w:name w:val="TOC 2"/>
    <w:next w:val="TOC 2"/>
    <w:pPr>
      <w:keepNext w:val="0"/>
      <w:keepLines w:val="0"/>
      <w:pageBreakBefore w:val="0"/>
      <w:widowControl w:val="1"/>
      <w:shd w:val="clear" w:color="auto" w:fill="auto"/>
      <w:tabs>
        <w:tab w:val="right" w:pos="9612"/>
      </w:tabs>
      <w:suppressAutoHyphens w:val="0"/>
      <w:bidi w:val="0"/>
      <w:spacing w:before="0" w:after="100" w:line="240" w:lineRule="auto"/>
      <w:ind w:left="24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2">
    <w:name w:val="Heading 2"/>
    <w:next w:val="Body B A"/>
    <w:pPr>
      <w:keepNext w:val="1"/>
      <w:keepLines w:val="1"/>
      <w:pageBreakBefore w:val="0"/>
      <w:widowControl w:val="1"/>
      <w:shd w:val="clear" w:color="auto" w:fill="auto"/>
      <w:suppressAutoHyphens w:val="0"/>
      <w:bidi w:val="0"/>
      <w:spacing w:before="200" w:after="0" w:line="240" w:lineRule="auto"/>
      <w:ind w:left="0" w:right="0" w:firstLine="0"/>
      <w:jc w:val="left"/>
      <w:outlineLvl w:val="1"/>
    </w:pPr>
    <w:rPr>
      <w:rFonts w:ascii="Helvetica" w:cs="Helvetica" w:hAnsi="Helvetica" w:eastAsia="Helvetica"/>
      <w:b w:val="1"/>
      <w:bCs w:val="1"/>
      <w:i w:val="0"/>
      <w:iCs w:val="0"/>
      <w:caps w:val="0"/>
      <w:smallCaps w:val="0"/>
      <w:strike w:val="0"/>
      <w:dstrike w:val="0"/>
      <w:outline w:val="0"/>
      <w:color w:val="499bc9"/>
      <w:spacing w:val="0"/>
      <w:kern w:val="0"/>
      <w:position w:val="0"/>
      <w:sz w:val="26"/>
      <w:szCs w:val="26"/>
      <w:u w:val="none" w:color="499bc9"/>
      <w:vertAlign w:val="baseline"/>
    </w:rPr>
  </w:style>
  <w:style w:type="paragraph" w:styleId="TOC 3">
    <w:name w:val="TOC 3"/>
    <w:next w:val="TOC 3"/>
    <w:pPr>
      <w:keepNext w:val="0"/>
      <w:keepLines w:val="0"/>
      <w:pageBreakBefore w:val="0"/>
      <w:widowControl w:val="1"/>
      <w:shd w:val="clear" w:color="auto" w:fill="auto"/>
      <w:tabs>
        <w:tab w:val="right" w:pos="8928"/>
      </w:tabs>
      <w:suppressAutoHyphens w:val="0"/>
      <w:bidi w:val="0"/>
      <w:spacing w:before="0" w:after="120" w:line="240" w:lineRule="auto"/>
      <w:ind w:left="24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Helvetica" w:cs="Helvetica" w:hAnsi="Helvetica" w:eastAsia="Helvetica"/>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numbering" w:styleId="Numbered">
    <w:name w:val="Numbered"/>
    <w:pPr>
      <w:numPr>
        <w:numId w:val="1"/>
      </w:numPr>
    </w:pPr>
  </w:style>
  <w:style w:type="numbering" w:styleId="Imported Style 1">
    <w:name w:val="Imported Style 1"/>
    <w:pPr>
      <w:numPr>
        <w:numId w:val="4"/>
      </w:numPr>
    </w:pPr>
  </w:style>
  <w:style w:type="numbering" w:styleId="Imported Style 2">
    <w:name w:val="Imported Style 2"/>
    <w:pPr>
      <w:numPr>
        <w:numId w:val="6"/>
      </w:numPr>
    </w:pPr>
  </w:style>
  <w:style w:type="numbering" w:styleId="Imported Style 2.0">
    <w:name w:val="Imported Style 2.0"/>
    <w:pPr>
      <w:numPr>
        <w:numId w:val="8"/>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0">
    <w:name w:val="Imported Style 1.0"/>
    <w:pPr>
      <w:numPr>
        <w:numId w:val="10"/>
      </w:numPr>
    </w:pPr>
  </w:style>
  <w:style w:type="numbering" w:styleId="Numbered.0">
    <w:name w:val="Numbered.0"/>
    <w:pPr>
      <w:numPr>
        <w:numId w:val="1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