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7BA9A" w14:textId="7D5DCE8D" w:rsidR="0099513E" w:rsidRPr="005710BC" w:rsidRDefault="00C05A82" w:rsidP="00844D13">
      <w:pPr>
        <w:spacing w:line="276" w:lineRule="auto"/>
        <w:rPr>
          <w:rFonts w:cs="Arial"/>
          <w:i/>
          <w:color w:val="009999"/>
          <w:sz w:val="24"/>
        </w:rPr>
      </w:pPr>
      <w:r>
        <w:rPr>
          <w:rFonts w:cs="Arial"/>
          <w:i/>
          <w:color w:val="009999"/>
          <w:sz w:val="24"/>
        </w:rPr>
        <w:t xml:space="preserve"> </w:t>
      </w:r>
    </w:p>
    <w:tbl>
      <w:tblPr>
        <w:tblpPr w:leftFromText="180" w:rightFromText="180" w:vertAnchor="text" w:horzAnchor="margin" w:tblpY="-734"/>
        <w:tblW w:w="5000" w:type="pct"/>
        <w:tblLook w:val="04A0" w:firstRow="1" w:lastRow="0" w:firstColumn="1" w:lastColumn="0" w:noHBand="0" w:noVBand="1"/>
      </w:tblPr>
      <w:tblGrid>
        <w:gridCol w:w="9638"/>
      </w:tblGrid>
      <w:tr w:rsidR="0099513E" w:rsidRPr="004A238B" w14:paraId="1C62501D" w14:textId="77777777" w:rsidTr="00BD476A">
        <w:trPr>
          <w:trHeight w:val="2880"/>
        </w:trPr>
        <w:tc>
          <w:tcPr>
            <w:tcW w:w="5000" w:type="pct"/>
          </w:tcPr>
          <w:p w14:paraId="15BE5DEB" w14:textId="77777777" w:rsidR="0099513E" w:rsidRPr="004A238B" w:rsidRDefault="0099513E" w:rsidP="00844D13">
            <w:pPr>
              <w:pStyle w:val="NoSpacing"/>
              <w:tabs>
                <w:tab w:val="left" w:pos="855"/>
              </w:tabs>
              <w:spacing w:line="276" w:lineRule="auto"/>
              <w:rPr>
                <w:rFonts w:ascii="Arial" w:hAnsi="Arial" w:cs="Arial"/>
                <w:caps/>
                <w:sz w:val="24"/>
                <w:szCs w:val="24"/>
              </w:rPr>
            </w:pPr>
            <w:r w:rsidRPr="004A238B">
              <w:rPr>
                <w:rFonts w:ascii="Arial" w:hAnsi="Arial" w:cs="Arial"/>
                <w:caps/>
                <w:sz w:val="24"/>
                <w:szCs w:val="24"/>
              </w:rPr>
              <w:tab/>
            </w:r>
          </w:p>
          <w:p w14:paraId="4325CE26" w14:textId="12C9F541" w:rsidR="0099513E" w:rsidRPr="007205B2" w:rsidRDefault="0099513E" w:rsidP="00FC1116">
            <w:pPr>
              <w:pStyle w:val="NoSpacing"/>
              <w:spacing w:line="276" w:lineRule="auto"/>
              <w:rPr>
                <w:rFonts w:ascii="Arial" w:hAnsi="Arial" w:cs="Arial"/>
                <w:b/>
                <w:caps/>
                <w:sz w:val="24"/>
                <w:szCs w:val="24"/>
              </w:rPr>
            </w:pPr>
          </w:p>
        </w:tc>
      </w:tr>
      <w:tr w:rsidR="0099513E" w:rsidRPr="004A238B" w14:paraId="07E83E03" w14:textId="77777777" w:rsidTr="00BD476A">
        <w:trPr>
          <w:trHeight w:val="1440"/>
        </w:trPr>
        <w:tc>
          <w:tcPr>
            <w:tcW w:w="5000" w:type="pct"/>
            <w:tcBorders>
              <w:bottom w:val="single" w:sz="4" w:space="0" w:color="4F81BD"/>
            </w:tcBorders>
            <w:vAlign w:val="center"/>
          </w:tcPr>
          <w:p w14:paraId="02A826E1" w14:textId="722A83D8" w:rsidR="0099513E" w:rsidRPr="004A238B" w:rsidRDefault="00CA74C0" w:rsidP="00844D13">
            <w:pPr>
              <w:pStyle w:val="NoSpacing"/>
              <w:spacing w:line="276" w:lineRule="auto"/>
              <w:jc w:val="center"/>
              <w:rPr>
                <w:rFonts w:ascii="Arial" w:hAnsi="Arial" w:cs="Arial"/>
                <w:sz w:val="24"/>
                <w:szCs w:val="24"/>
              </w:rPr>
            </w:pPr>
            <w:proofErr w:type="spellStart"/>
            <w:r>
              <w:rPr>
                <w:rFonts w:ascii="Arial" w:hAnsi="Arial" w:cs="Arial"/>
                <w:sz w:val="24"/>
                <w:szCs w:val="24"/>
              </w:rPr>
              <w:t>Midfix</w:t>
            </w:r>
            <w:proofErr w:type="spellEnd"/>
            <w:r>
              <w:rPr>
                <w:rFonts w:ascii="Arial" w:hAnsi="Arial" w:cs="Arial"/>
                <w:sz w:val="24"/>
                <w:szCs w:val="24"/>
              </w:rPr>
              <w:t xml:space="preserve"> RCT – Does dorsal plating of Lisfranc injuries lead to better </w:t>
            </w:r>
            <w:proofErr w:type="spellStart"/>
            <w:r>
              <w:rPr>
                <w:rFonts w:ascii="Arial" w:hAnsi="Arial" w:cs="Arial"/>
                <w:sz w:val="24"/>
                <w:szCs w:val="24"/>
              </w:rPr>
              <w:t>MOxFQ</w:t>
            </w:r>
            <w:proofErr w:type="spellEnd"/>
            <w:r>
              <w:rPr>
                <w:rFonts w:ascii="Arial" w:hAnsi="Arial" w:cs="Arial"/>
                <w:sz w:val="24"/>
                <w:szCs w:val="24"/>
              </w:rPr>
              <w:t xml:space="preserve"> pain scores at 1 year compared to </w:t>
            </w:r>
            <w:proofErr w:type="spellStart"/>
            <w:r>
              <w:rPr>
                <w:rFonts w:ascii="Arial" w:hAnsi="Arial" w:cs="Arial"/>
                <w:sz w:val="24"/>
                <w:szCs w:val="24"/>
              </w:rPr>
              <w:t>transarticular</w:t>
            </w:r>
            <w:proofErr w:type="spellEnd"/>
            <w:r>
              <w:rPr>
                <w:rFonts w:ascii="Arial" w:hAnsi="Arial" w:cs="Arial"/>
                <w:sz w:val="24"/>
                <w:szCs w:val="24"/>
              </w:rPr>
              <w:t xml:space="preserve"> screw fixation? – A prospective randomized controlled trial</w:t>
            </w:r>
          </w:p>
        </w:tc>
      </w:tr>
      <w:tr w:rsidR="0099513E" w:rsidRPr="004A238B" w14:paraId="4732D834" w14:textId="77777777" w:rsidTr="00BD476A">
        <w:trPr>
          <w:trHeight w:val="720"/>
        </w:trPr>
        <w:tc>
          <w:tcPr>
            <w:tcW w:w="5000" w:type="pct"/>
            <w:tcBorders>
              <w:top w:val="single" w:sz="4" w:space="0" w:color="4F81BD"/>
            </w:tcBorders>
            <w:vAlign w:val="center"/>
          </w:tcPr>
          <w:p w14:paraId="739FBC60" w14:textId="77777777" w:rsidR="0099513E" w:rsidRPr="004A238B" w:rsidRDefault="0099513E" w:rsidP="00844D13">
            <w:pPr>
              <w:pStyle w:val="NoSpacing"/>
              <w:spacing w:line="276" w:lineRule="auto"/>
              <w:jc w:val="center"/>
              <w:rPr>
                <w:rFonts w:ascii="Arial" w:hAnsi="Arial" w:cs="Arial"/>
                <w:sz w:val="24"/>
                <w:szCs w:val="24"/>
              </w:rPr>
            </w:pPr>
          </w:p>
          <w:p w14:paraId="520AA40D" w14:textId="03B7A17D" w:rsidR="0099513E" w:rsidRPr="004A238B" w:rsidRDefault="0099513E" w:rsidP="00844D13">
            <w:pPr>
              <w:pStyle w:val="NoSpacing"/>
              <w:spacing w:line="276" w:lineRule="auto"/>
              <w:jc w:val="center"/>
              <w:rPr>
                <w:rFonts w:ascii="Arial" w:hAnsi="Arial" w:cs="Arial"/>
                <w:sz w:val="24"/>
                <w:szCs w:val="24"/>
              </w:rPr>
            </w:pPr>
            <w:r w:rsidRPr="004A238B">
              <w:rPr>
                <w:rFonts w:ascii="Arial" w:hAnsi="Arial" w:cs="Arial"/>
                <w:sz w:val="24"/>
                <w:szCs w:val="24"/>
              </w:rPr>
              <w:t xml:space="preserve">Version Number: </w:t>
            </w:r>
            <w:r w:rsidR="002C2787">
              <w:rPr>
                <w:rFonts w:ascii="Arial" w:hAnsi="Arial" w:cs="Arial"/>
                <w:sz w:val="24"/>
                <w:szCs w:val="24"/>
              </w:rPr>
              <w:t>2</w:t>
            </w:r>
          </w:p>
          <w:p w14:paraId="7D447B15" w14:textId="3073B141" w:rsidR="0099513E" w:rsidRPr="004A238B" w:rsidRDefault="0099513E" w:rsidP="00844D13">
            <w:pPr>
              <w:pStyle w:val="NoSpacing"/>
              <w:spacing w:line="276" w:lineRule="auto"/>
              <w:jc w:val="center"/>
              <w:rPr>
                <w:rFonts w:ascii="Arial" w:hAnsi="Arial" w:cs="Arial"/>
                <w:sz w:val="24"/>
                <w:szCs w:val="24"/>
              </w:rPr>
            </w:pPr>
            <w:r w:rsidRPr="004A238B">
              <w:rPr>
                <w:rFonts w:ascii="Arial" w:hAnsi="Arial" w:cs="Arial"/>
                <w:sz w:val="24"/>
                <w:szCs w:val="24"/>
              </w:rPr>
              <w:t xml:space="preserve">Date: </w:t>
            </w:r>
            <w:r w:rsidR="00101DB1">
              <w:rPr>
                <w:rFonts w:ascii="Arial" w:hAnsi="Arial" w:cs="Arial"/>
                <w:sz w:val="24"/>
                <w:szCs w:val="24"/>
              </w:rPr>
              <w:t>15</w:t>
            </w:r>
            <w:r w:rsidRPr="004A238B">
              <w:rPr>
                <w:rFonts w:ascii="Arial" w:hAnsi="Arial" w:cs="Arial"/>
                <w:sz w:val="24"/>
                <w:szCs w:val="24"/>
              </w:rPr>
              <w:t>/</w:t>
            </w:r>
            <w:r w:rsidR="00101DB1">
              <w:rPr>
                <w:rFonts w:ascii="Arial" w:hAnsi="Arial" w:cs="Arial"/>
                <w:sz w:val="24"/>
                <w:szCs w:val="24"/>
              </w:rPr>
              <w:t>03/2019</w:t>
            </w:r>
          </w:p>
        </w:tc>
      </w:tr>
      <w:tr w:rsidR="0099513E" w:rsidRPr="004A238B" w14:paraId="1A2A8632" w14:textId="77777777" w:rsidTr="00BD476A">
        <w:trPr>
          <w:trHeight w:val="360"/>
        </w:trPr>
        <w:tc>
          <w:tcPr>
            <w:tcW w:w="5000" w:type="pct"/>
            <w:vAlign w:val="center"/>
          </w:tcPr>
          <w:p w14:paraId="049D1B3C" w14:textId="77777777" w:rsidR="0099513E" w:rsidRPr="004A238B" w:rsidRDefault="0099513E" w:rsidP="00844D13">
            <w:pPr>
              <w:pStyle w:val="NoSpacing"/>
              <w:spacing w:line="276" w:lineRule="auto"/>
              <w:rPr>
                <w:rFonts w:ascii="Arial" w:hAnsi="Arial" w:cs="Arial"/>
                <w:sz w:val="24"/>
                <w:szCs w:val="24"/>
              </w:rPr>
            </w:pPr>
          </w:p>
        </w:tc>
      </w:tr>
      <w:tr w:rsidR="0099513E" w:rsidRPr="004A238B" w14:paraId="5BDB9F32" w14:textId="77777777" w:rsidTr="00BD476A">
        <w:trPr>
          <w:trHeight w:val="360"/>
        </w:trPr>
        <w:tc>
          <w:tcPr>
            <w:tcW w:w="5000" w:type="pct"/>
            <w:vAlign w:val="center"/>
          </w:tcPr>
          <w:p w14:paraId="6C6AE4E2" w14:textId="77777777" w:rsidR="0099513E" w:rsidRPr="004A238B" w:rsidRDefault="0099513E" w:rsidP="00844D13">
            <w:pPr>
              <w:pStyle w:val="NoSpacing"/>
              <w:spacing w:line="276" w:lineRule="auto"/>
              <w:jc w:val="left"/>
              <w:rPr>
                <w:rFonts w:ascii="Arial" w:hAnsi="Arial" w:cs="Arial"/>
                <w:bCs/>
                <w:sz w:val="24"/>
                <w:szCs w:val="24"/>
              </w:rPr>
            </w:pPr>
          </w:p>
        </w:tc>
      </w:tr>
      <w:tr w:rsidR="0099513E" w:rsidRPr="004A238B" w14:paraId="042C0789" w14:textId="77777777" w:rsidTr="00BD476A">
        <w:trPr>
          <w:trHeight w:val="2417"/>
        </w:trPr>
        <w:tc>
          <w:tcPr>
            <w:tcW w:w="5000" w:type="pct"/>
            <w:vAlign w:val="center"/>
          </w:tcPr>
          <w:p w14:paraId="13772CFD" w14:textId="77777777" w:rsidR="0099513E" w:rsidRPr="004A238B" w:rsidRDefault="0099513E" w:rsidP="00844D13">
            <w:pPr>
              <w:pStyle w:val="NoSpacing"/>
              <w:spacing w:line="276" w:lineRule="auto"/>
              <w:jc w:val="center"/>
              <w:rPr>
                <w:rFonts w:ascii="Arial" w:hAnsi="Arial" w:cs="Arial"/>
                <w:b/>
                <w:bCs/>
                <w:sz w:val="24"/>
                <w:szCs w:val="24"/>
              </w:rPr>
            </w:pPr>
          </w:p>
          <w:p w14:paraId="5E05A7FF" w14:textId="77777777" w:rsidR="0099513E" w:rsidRPr="004A238B" w:rsidRDefault="0099513E" w:rsidP="00844D13">
            <w:pPr>
              <w:pStyle w:val="NoSpacing"/>
              <w:spacing w:line="276" w:lineRule="auto"/>
              <w:jc w:val="center"/>
              <w:rPr>
                <w:rFonts w:ascii="Arial" w:hAnsi="Arial" w:cs="Arial"/>
                <w:b/>
                <w:bCs/>
                <w:sz w:val="24"/>
                <w:szCs w:val="24"/>
              </w:rPr>
            </w:pPr>
          </w:p>
          <w:p w14:paraId="1A0AC36C" w14:textId="77777777" w:rsidR="0099513E" w:rsidRPr="004A238B" w:rsidRDefault="0099513E" w:rsidP="00844D13">
            <w:pPr>
              <w:pStyle w:val="NoSpacing"/>
              <w:spacing w:line="276" w:lineRule="auto"/>
              <w:jc w:val="center"/>
              <w:rPr>
                <w:rFonts w:ascii="Arial" w:hAnsi="Arial" w:cs="Arial"/>
                <w:b/>
                <w:bCs/>
                <w:sz w:val="24"/>
                <w:szCs w:val="24"/>
              </w:rPr>
            </w:pPr>
          </w:p>
          <w:p w14:paraId="29F7BB49" w14:textId="77777777" w:rsidR="0099513E" w:rsidRPr="004A238B" w:rsidRDefault="0099513E" w:rsidP="00844D13">
            <w:pPr>
              <w:pStyle w:val="NoSpacing"/>
              <w:spacing w:line="276" w:lineRule="auto"/>
              <w:jc w:val="center"/>
              <w:rPr>
                <w:rFonts w:ascii="Arial" w:hAnsi="Arial" w:cs="Arial"/>
                <w:b/>
                <w:bCs/>
                <w:sz w:val="24"/>
                <w:szCs w:val="24"/>
              </w:rPr>
            </w:pPr>
          </w:p>
          <w:p w14:paraId="1FD8AA13" w14:textId="77777777" w:rsidR="0099513E" w:rsidRPr="004A238B" w:rsidRDefault="0099513E" w:rsidP="00844D13">
            <w:pPr>
              <w:pStyle w:val="NoSpacing"/>
              <w:spacing w:line="276" w:lineRule="auto"/>
              <w:jc w:val="center"/>
              <w:rPr>
                <w:rFonts w:ascii="Arial" w:hAnsi="Arial" w:cs="Arial"/>
                <w:b/>
                <w:bCs/>
                <w:sz w:val="24"/>
                <w:szCs w:val="24"/>
              </w:rPr>
            </w:pPr>
          </w:p>
          <w:p w14:paraId="56016A7A" w14:textId="77777777" w:rsidR="0099513E" w:rsidRPr="004A238B" w:rsidRDefault="0099513E" w:rsidP="00844D13">
            <w:pPr>
              <w:pStyle w:val="NoSpacing"/>
              <w:spacing w:line="276" w:lineRule="auto"/>
              <w:jc w:val="center"/>
              <w:rPr>
                <w:rFonts w:ascii="Arial" w:hAnsi="Arial" w:cs="Arial"/>
                <w:b/>
                <w:bCs/>
                <w:sz w:val="24"/>
                <w:szCs w:val="24"/>
              </w:rPr>
            </w:pPr>
            <w:r w:rsidRPr="004A238B">
              <w:rPr>
                <w:rFonts w:ascii="Arial" w:hAnsi="Arial" w:cs="Arial"/>
                <w:b/>
                <w:bCs/>
                <w:sz w:val="24"/>
                <w:szCs w:val="24"/>
              </w:rPr>
              <w:t>Statement of Compliance</w:t>
            </w:r>
          </w:p>
          <w:p w14:paraId="0F5EA06B" w14:textId="77777777" w:rsidR="0099513E" w:rsidRPr="004A238B" w:rsidRDefault="0099513E" w:rsidP="00844D13">
            <w:pPr>
              <w:pStyle w:val="NoSpacing"/>
              <w:spacing w:line="276" w:lineRule="auto"/>
              <w:jc w:val="center"/>
              <w:rPr>
                <w:rFonts w:ascii="Arial" w:hAnsi="Arial" w:cs="Arial"/>
                <w:b/>
                <w:bCs/>
                <w:sz w:val="24"/>
                <w:szCs w:val="24"/>
                <w:u w:val="single"/>
              </w:rPr>
            </w:pPr>
          </w:p>
          <w:p w14:paraId="2FFE4B96" w14:textId="7681CD12" w:rsidR="0099513E" w:rsidRPr="00F80CD5" w:rsidRDefault="0099513E" w:rsidP="00844D13">
            <w:pPr>
              <w:pStyle w:val="NoSpacing"/>
              <w:spacing w:line="276" w:lineRule="auto"/>
              <w:jc w:val="center"/>
              <w:rPr>
                <w:rFonts w:ascii="Arial" w:hAnsi="Arial" w:cs="Arial"/>
                <w:b/>
                <w:bCs/>
                <w:color w:val="FF0000"/>
                <w:sz w:val="24"/>
                <w:szCs w:val="24"/>
              </w:rPr>
            </w:pPr>
            <w:r w:rsidRPr="004A238B">
              <w:rPr>
                <w:rFonts w:ascii="Arial" w:hAnsi="Arial" w:cs="Arial"/>
                <w:bCs/>
                <w:sz w:val="24"/>
                <w:szCs w:val="24"/>
              </w:rPr>
              <w:t>This document is a protocol for a research project. This study will be conducted in compliance with all stipulation</w:t>
            </w:r>
            <w:r w:rsidR="00056E5A">
              <w:rPr>
                <w:rFonts w:ascii="Arial" w:hAnsi="Arial" w:cs="Arial"/>
                <w:bCs/>
                <w:sz w:val="24"/>
                <w:szCs w:val="24"/>
              </w:rPr>
              <w:t>s</w:t>
            </w:r>
            <w:r w:rsidRPr="004A238B">
              <w:rPr>
                <w:rFonts w:ascii="Arial" w:hAnsi="Arial" w:cs="Arial"/>
                <w:bCs/>
                <w:sz w:val="24"/>
                <w:szCs w:val="24"/>
              </w:rPr>
              <w:t xml:space="preserve"> of this protocol, the conditions of the ethics committee approval, the NHMRC </w:t>
            </w:r>
            <w:r w:rsidRPr="004A238B">
              <w:rPr>
                <w:rFonts w:ascii="Arial" w:hAnsi="Arial" w:cs="Arial"/>
                <w:bCs/>
                <w:i/>
                <w:sz w:val="24"/>
                <w:szCs w:val="24"/>
              </w:rPr>
              <w:t>National Statement on Ethical Conduct in Huma</w:t>
            </w:r>
            <w:r w:rsidR="003D46F4">
              <w:rPr>
                <w:rFonts w:ascii="Arial" w:hAnsi="Arial" w:cs="Arial"/>
                <w:bCs/>
                <w:i/>
                <w:sz w:val="24"/>
                <w:szCs w:val="24"/>
              </w:rPr>
              <w:t xml:space="preserve">n Research (2007) – Updated </w:t>
            </w:r>
            <w:r w:rsidRPr="004A238B">
              <w:rPr>
                <w:rFonts w:ascii="Arial" w:hAnsi="Arial" w:cs="Arial"/>
                <w:bCs/>
                <w:i/>
                <w:sz w:val="24"/>
                <w:szCs w:val="24"/>
              </w:rPr>
              <w:t>201</w:t>
            </w:r>
            <w:r w:rsidR="003D46F4">
              <w:rPr>
                <w:rFonts w:ascii="Arial" w:hAnsi="Arial" w:cs="Arial"/>
                <w:bCs/>
                <w:i/>
                <w:sz w:val="24"/>
                <w:szCs w:val="24"/>
              </w:rPr>
              <w:t>8</w:t>
            </w:r>
            <w:r w:rsidRPr="004A238B">
              <w:rPr>
                <w:rFonts w:ascii="Arial" w:hAnsi="Arial" w:cs="Arial"/>
                <w:bCs/>
                <w:sz w:val="24"/>
                <w:szCs w:val="24"/>
              </w:rPr>
              <w:t xml:space="preserve">, </w:t>
            </w:r>
            <w:r w:rsidR="00BF3BAC">
              <w:rPr>
                <w:rFonts w:ascii="Arial" w:hAnsi="Arial" w:cs="Arial"/>
                <w:bCs/>
                <w:sz w:val="24"/>
                <w:szCs w:val="24"/>
              </w:rPr>
              <w:t xml:space="preserve">and the </w:t>
            </w:r>
            <w:r w:rsidRPr="004A238B">
              <w:rPr>
                <w:rFonts w:ascii="Arial" w:hAnsi="Arial" w:cs="Arial"/>
                <w:bCs/>
                <w:sz w:val="24"/>
                <w:szCs w:val="24"/>
              </w:rPr>
              <w:t xml:space="preserve">NHMRC and Universities Australia </w:t>
            </w:r>
            <w:r w:rsidRPr="004A238B">
              <w:rPr>
                <w:rFonts w:ascii="Arial" w:hAnsi="Arial" w:cs="Arial"/>
                <w:bCs/>
                <w:i/>
                <w:sz w:val="24"/>
                <w:szCs w:val="24"/>
              </w:rPr>
              <w:t>Australian Code for the Responsible Conduct of Research (20</w:t>
            </w:r>
            <w:r w:rsidR="00F80CD5">
              <w:rPr>
                <w:rFonts w:ascii="Arial" w:hAnsi="Arial" w:cs="Arial"/>
                <w:bCs/>
                <w:i/>
                <w:sz w:val="24"/>
                <w:szCs w:val="24"/>
              </w:rPr>
              <w:t>18</w:t>
            </w:r>
            <w:r w:rsidRPr="004A238B">
              <w:rPr>
                <w:rFonts w:ascii="Arial" w:hAnsi="Arial" w:cs="Arial"/>
                <w:bCs/>
                <w:i/>
                <w:sz w:val="24"/>
                <w:szCs w:val="24"/>
              </w:rPr>
              <w:t>)</w:t>
            </w:r>
            <w:r w:rsidR="006F4A5E">
              <w:rPr>
                <w:rFonts w:ascii="Arial" w:hAnsi="Arial" w:cs="Arial"/>
                <w:bCs/>
                <w:sz w:val="24"/>
                <w:szCs w:val="24"/>
              </w:rPr>
              <w:t xml:space="preserve">. </w:t>
            </w:r>
            <w:r w:rsidR="006F4A5E" w:rsidRPr="00081A2E">
              <w:rPr>
                <w:rFonts w:ascii="Arial" w:hAnsi="Arial" w:cs="Arial"/>
                <w:bCs/>
                <w:color w:val="000000" w:themeColor="text1"/>
                <w:sz w:val="24"/>
                <w:szCs w:val="24"/>
              </w:rPr>
              <w:t>If the project is a clinical trial, it will comply with</w:t>
            </w:r>
            <w:r w:rsidR="00F80CD5" w:rsidRPr="00081A2E">
              <w:rPr>
                <w:rFonts w:ascii="Arial" w:hAnsi="Arial" w:cs="Arial"/>
                <w:b/>
                <w:bCs/>
                <w:color w:val="000000" w:themeColor="text1"/>
                <w:sz w:val="24"/>
                <w:szCs w:val="24"/>
              </w:rPr>
              <w:t xml:space="preserve"> </w:t>
            </w:r>
            <w:r w:rsidR="00F80CD5" w:rsidRPr="00081A2E">
              <w:rPr>
                <w:rFonts w:ascii="Arial" w:hAnsi="Arial" w:cs="Arial"/>
                <w:bCs/>
                <w:color w:val="000000" w:themeColor="text1"/>
                <w:sz w:val="24"/>
                <w:szCs w:val="24"/>
              </w:rPr>
              <w:t xml:space="preserve">the </w:t>
            </w:r>
            <w:r w:rsidR="00F80CD5" w:rsidRPr="00081A2E">
              <w:rPr>
                <w:rFonts w:ascii="Arial" w:hAnsi="Arial" w:cs="Arial"/>
                <w:bCs/>
                <w:i/>
                <w:color w:val="000000" w:themeColor="text1"/>
                <w:sz w:val="24"/>
                <w:szCs w:val="24"/>
              </w:rPr>
              <w:t>Note for Guidance on Good Clinical Practice (CPMP/ICH-135/95)</w:t>
            </w:r>
            <w:r w:rsidR="00F80CD5" w:rsidRPr="00081A2E">
              <w:rPr>
                <w:rFonts w:ascii="Arial" w:hAnsi="Arial" w:cs="Arial"/>
                <w:bCs/>
                <w:color w:val="000000" w:themeColor="text1"/>
                <w:sz w:val="24"/>
                <w:szCs w:val="24"/>
              </w:rPr>
              <w:t>.</w:t>
            </w:r>
          </w:p>
          <w:p w14:paraId="5791173F" w14:textId="77777777" w:rsidR="00F80CD5" w:rsidRDefault="00F80CD5" w:rsidP="00844D13">
            <w:pPr>
              <w:pStyle w:val="NoSpacing"/>
              <w:spacing w:line="276" w:lineRule="auto"/>
              <w:jc w:val="center"/>
              <w:rPr>
                <w:rFonts w:ascii="Arial" w:hAnsi="Arial" w:cs="Arial"/>
                <w:bCs/>
                <w:sz w:val="24"/>
                <w:szCs w:val="24"/>
              </w:rPr>
            </w:pPr>
          </w:p>
          <w:p w14:paraId="3C3CD109" w14:textId="1DA4D521" w:rsidR="00F80CD5" w:rsidRPr="004A238B" w:rsidRDefault="00F80CD5" w:rsidP="00844D13">
            <w:pPr>
              <w:pStyle w:val="NoSpacing"/>
              <w:spacing w:line="276" w:lineRule="auto"/>
              <w:jc w:val="center"/>
              <w:rPr>
                <w:rFonts w:ascii="Arial" w:hAnsi="Arial" w:cs="Arial"/>
                <w:bCs/>
                <w:sz w:val="24"/>
                <w:szCs w:val="24"/>
              </w:rPr>
            </w:pPr>
          </w:p>
        </w:tc>
      </w:tr>
    </w:tbl>
    <w:p w14:paraId="6BD30D02" w14:textId="77777777" w:rsidR="00CF7126" w:rsidRDefault="00CF7126" w:rsidP="00844D13">
      <w:pPr>
        <w:spacing w:after="0" w:line="276" w:lineRule="auto"/>
        <w:rPr>
          <w:b/>
          <w:bCs/>
          <w:color w:val="000000" w:themeColor="text1"/>
        </w:rPr>
      </w:pPr>
    </w:p>
    <w:p w14:paraId="108ABC07" w14:textId="77777777" w:rsidR="00CF7126" w:rsidRDefault="00CF7126">
      <w:pPr>
        <w:spacing w:before="0" w:after="0"/>
        <w:rPr>
          <w:b/>
          <w:bCs/>
          <w:color w:val="000000" w:themeColor="text1"/>
        </w:rPr>
      </w:pPr>
      <w:r>
        <w:rPr>
          <w:b/>
          <w:bCs/>
          <w:color w:val="000000" w:themeColor="text1"/>
        </w:rPr>
        <w:br w:type="page"/>
      </w:r>
    </w:p>
    <w:p w14:paraId="4DCB872F" w14:textId="46CF0B3D" w:rsidR="00C5345E" w:rsidRDefault="00E32E10" w:rsidP="00FC1116">
      <w:pPr>
        <w:spacing w:after="0" w:line="276" w:lineRule="auto"/>
        <w:rPr>
          <w:b/>
          <w:bCs/>
          <w:color w:val="000000" w:themeColor="text1"/>
        </w:rPr>
      </w:pPr>
      <w:r>
        <w:rPr>
          <w:b/>
          <w:bCs/>
          <w:color w:val="000000" w:themeColor="text1"/>
        </w:rPr>
        <w:lastRenderedPageBreak/>
        <w:t>STUDY INVESTIGATORS</w:t>
      </w:r>
    </w:p>
    <w:p w14:paraId="0FEEED1E" w14:textId="77777777" w:rsidR="00FC1116" w:rsidRPr="00FC1116" w:rsidRDefault="00FC1116" w:rsidP="00FC1116">
      <w:pPr>
        <w:spacing w:after="0" w:line="276" w:lineRule="auto"/>
        <w:rPr>
          <w:b/>
          <w:bCs/>
          <w:color w:val="000000" w:themeColor="text1"/>
        </w:rPr>
      </w:pPr>
    </w:p>
    <w:tbl>
      <w:tblPr>
        <w:tblStyle w:val="GridTable1Light"/>
        <w:tblW w:w="9854" w:type="dxa"/>
        <w:tblLook w:val="04A0" w:firstRow="1" w:lastRow="0" w:firstColumn="1" w:lastColumn="0" w:noHBand="0" w:noVBand="1"/>
      </w:tblPr>
      <w:tblGrid>
        <w:gridCol w:w="2405"/>
        <w:gridCol w:w="7449"/>
      </w:tblGrid>
      <w:tr w:rsidR="0099513E" w:rsidRPr="00BD476A" w14:paraId="467B3271" w14:textId="77777777" w:rsidTr="004C7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auto"/>
            </w:tcBorders>
          </w:tcPr>
          <w:p w14:paraId="49866CC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Principal Investigator:</w:t>
            </w:r>
          </w:p>
          <w:p w14:paraId="0999F5A5" w14:textId="321422C3"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Borders>
              <w:top w:val="single" w:sz="4" w:space="0" w:color="auto"/>
            </w:tcBorders>
          </w:tcPr>
          <w:p w14:paraId="252E969F" w14:textId="385380DA" w:rsidR="0002498E" w:rsidRDefault="0002498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lang w:val="en-AU"/>
              </w:rPr>
            </w:pPr>
            <w:r>
              <w:rPr>
                <w:rFonts w:ascii="Arial" w:hAnsi="Arial" w:cs="Arial"/>
                <w:b w:val="0"/>
                <w:sz w:val="24"/>
                <w:szCs w:val="24"/>
                <w:lang w:val="en-AU"/>
              </w:rPr>
              <w:t>Name:</w:t>
            </w:r>
            <w:r w:rsidR="00FC1116">
              <w:rPr>
                <w:rFonts w:ascii="Arial" w:hAnsi="Arial" w:cs="Arial"/>
                <w:b w:val="0"/>
                <w:sz w:val="24"/>
                <w:szCs w:val="24"/>
                <w:lang w:val="en-AU"/>
              </w:rPr>
              <w:t xml:space="preserve">  Dr John Bilenki</w:t>
            </w:r>
          </w:p>
          <w:p w14:paraId="72717CF3" w14:textId="03DA5EF8"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Institution:</w:t>
            </w:r>
            <w:r w:rsidR="00FC1116">
              <w:rPr>
                <w:rFonts w:ascii="Arial" w:hAnsi="Arial" w:cs="Arial"/>
                <w:b w:val="0"/>
                <w:sz w:val="24"/>
                <w:szCs w:val="24"/>
                <w:lang w:val="en-AU"/>
              </w:rPr>
              <w:t xml:space="preserve"> Gold Coast University Hospital</w:t>
            </w:r>
          </w:p>
          <w:p w14:paraId="06D37775" w14:textId="07E3108B"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Department:</w:t>
            </w:r>
            <w:r w:rsidR="00FC1116">
              <w:rPr>
                <w:rFonts w:ascii="Arial" w:hAnsi="Arial" w:cs="Arial"/>
                <w:b w:val="0"/>
                <w:sz w:val="24"/>
                <w:szCs w:val="24"/>
                <w:lang w:val="en-AU"/>
              </w:rPr>
              <w:t xml:space="preserve"> Orthopaedic Surgery</w:t>
            </w:r>
          </w:p>
          <w:p w14:paraId="799A7CAC" w14:textId="30AB67B5"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 xml:space="preserve">Address: </w:t>
            </w:r>
            <w:r w:rsidR="00FC1116">
              <w:rPr>
                <w:rFonts w:ascii="Arial" w:hAnsi="Arial" w:cs="Arial"/>
                <w:b w:val="0"/>
                <w:sz w:val="24"/>
                <w:szCs w:val="24"/>
                <w:lang w:val="en-AU"/>
              </w:rPr>
              <w:t>1 Hospital Blvd, Southport, QLD, 4215</w:t>
            </w:r>
          </w:p>
          <w:p w14:paraId="36ADC307" w14:textId="50710978" w:rsidR="0099513E" w:rsidRPr="0002498E" w:rsidRDefault="00675D48"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Tel:</w:t>
            </w:r>
            <w:r w:rsidR="00FC1116">
              <w:rPr>
                <w:rFonts w:ascii="Arial" w:hAnsi="Arial" w:cs="Arial"/>
                <w:b w:val="0"/>
                <w:sz w:val="24"/>
                <w:szCs w:val="24"/>
                <w:lang w:val="en-AU"/>
              </w:rPr>
              <w:t xml:space="preserve"> 5687 4860</w:t>
            </w:r>
          </w:p>
          <w:p w14:paraId="431FB6CA" w14:textId="35A31F77" w:rsidR="0099513E" w:rsidRPr="0002498E" w:rsidRDefault="0099513E"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sz w:val="24"/>
                <w:szCs w:val="24"/>
                <w:lang w:val="en-AU"/>
              </w:rPr>
              <w:t>Email:</w:t>
            </w:r>
            <w:r w:rsidR="00FC1116">
              <w:rPr>
                <w:rFonts w:ascii="Arial" w:hAnsi="Arial" w:cs="Arial"/>
                <w:b w:val="0"/>
                <w:sz w:val="24"/>
                <w:szCs w:val="24"/>
                <w:lang w:val="en-AU"/>
              </w:rPr>
              <w:t xml:space="preserve"> john.bilenki@health.qld.gov.au</w:t>
            </w:r>
          </w:p>
          <w:p w14:paraId="32B435A8" w14:textId="7403077C" w:rsidR="005D1BF2" w:rsidRPr="0002498E" w:rsidRDefault="005D1BF2" w:rsidP="00844D1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n-AU"/>
              </w:rPr>
            </w:pPr>
            <w:r w:rsidRPr="0002498E">
              <w:rPr>
                <w:rFonts w:ascii="Arial" w:hAnsi="Arial" w:cs="Arial"/>
                <w:b w:val="0"/>
                <w:color w:val="000000" w:themeColor="text1"/>
                <w:sz w:val="24"/>
                <w:szCs w:val="24"/>
                <w:lang w:val="en-AU"/>
              </w:rPr>
              <w:t>Role in Study:</w:t>
            </w:r>
            <w:r w:rsidR="00FC1116">
              <w:rPr>
                <w:rFonts w:ascii="Arial" w:hAnsi="Arial" w:cs="Arial"/>
                <w:b w:val="0"/>
                <w:color w:val="000000" w:themeColor="text1"/>
                <w:sz w:val="24"/>
                <w:szCs w:val="24"/>
                <w:lang w:val="en-AU"/>
              </w:rPr>
              <w:t xml:space="preserve"> Principal investigator and study coordinator. I will be responsible for recruiting patients and ensuring the study’s protocol will be followed during management who are enrolled. I will additionally be responsible for data collection and final write up.</w:t>
            </w:r>
          </w:p>
        </w:tc>
      </w:tr>
      <w:tr w:rsidR="0099513E" w:rsidRPr="00BD476A" w14:paraId="5AFC7FC4"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7302527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7F4AECAB" w14:textId="5DF74AED"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Pr>
          <w:p w14:paraId="52D0E6B1" w14:textId="0A897D90"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r w:rsidR="00FC1116">
              <w:rPr>
                <w:rFonts w:ascii="Arial" w:hAnsi="Arial" w:cs="Arial"/>
                <w:sz w:val="24"/>
                <w:szCs w:val="24"/>
                <w:lang w:val="en-AU"/>
              </w:rPr>
              <w:t xml:space="preserve">  Dr Simon Platt</w:t>
            </w:r>
          </w:p>
          <w:p w14:paraId="332EE753" w14:textId="2B8FA8C8" w:rsidR="0002498E" w:rsidRPr="00FC1116"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FC1116">
              <w:rPr>
                <w:rFonts w:ascii="Arial" w:hAnsi="Arial" w:cs="Arial"/>
                <w:bCs/>
                <w:sz w:val="24"/>
                <w:szCs w:val="24"/>
                <w:lang w:val="en-AU"/>
              </w:rPr>
              <w:t>Institution:</w:t>
            </w:r>
            <w:r w:rsidR="00FC1116" w:rsidRPr="00FC1116">
              <w:rPr>
                <w:rFonts w:ascii="Arial" w:hAnsi="Arial" w:cs="Arial"/>
                <w:bCs/>
                <w:sz w:val="24"/>
                <w:szCs w:val="24"/>
                <w:lang w:val="en-AU"/>
              </w:rPr>
              <w:t xml:space="preserve"> </w:t>
            </w:r>
            <w:r w:rsidR="00FC1116" w:rsidRPr="00FC1116">
              <w:rPr>
                <w:rFonts w:ascii="Arial" w:hAnsi="Arial" w:cs="Arial"/>
                <w:sz w:val="24"/>
                <w:szCs w:val="24"/>
                <w:lang w:val="en-AU"/>
              </w:rPr>
              <w:t>Gold Coast University Hospital</w:t>
            </w:r>
          </w:p>
          <w:p w14:paraId="296D1885" w14:textId="5ABA055E"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r w:rsidR="00FC1116">
              <w:rPr>
                <w:rFonts w:ascii="Arial" w:hAnsi="Arial" w:cs="Arial"/>
                <w:bCs/>
                <w:sz w:val="24"/>
                <w:szCs w:val="24"/>
                <w:lang w:val="en-AU"/>
              </w:rPr>
              <w:t xml:space="preserve"> Orthopaedic Surgery</w:t>
            </w:r>
          </w:p>
          <w:p w14:paraId="59527716" w14:textId="6D2D3C12"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r w:rsidR="00FC1116">
              <w:rPr>
                <w:rFonts w:ascii="Arial" w:hAnsi="Arial" w:cs="Arial"/>
                <w:bCs/>
                <w:sz w:val="24"/>
                <w:szCs w:val="24"/>
                <w:lang w:val="en-AU"/>
              </w:rPr>
              <w:t>1 Hospital Blvd, Southport, QLD, 4215</w:t>
            </w:r>
          </w:p>
          <w:p w14:paraId="4BAF7FDA" w14:textId="68AB4074"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r w:rsidR="00FC1116">
              <w:rPr>
                <w:rFonts w:ascii="Arial" w:hAnsi="Arial" w:cs="Arial"/>
                <w:bCs/>
                <w:sz w:val="24"/>
                <w:szCs w:val="24"/>
                <w:lang w:val="en-AU"/>
              </w:rPr>
              <w:t xml:space="preserve"> 5687 4860</w:t>
            </w:r>
          </w:p>
          <w:p w14:paraId="26C8A783" w14:textId="3A0A992A"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r w:rsidR="00FC1116">
              <w:rPr>
                <w:rFonts w:ascii="Arial" w:hAnsi="Arial" w:cs="Arial"/>
                <w:bCs/>
                <w:sz w:val="24"/>
                <w:szCs w:val="24"/>
                <w:lang w:val="en-AU"/>
              </w:rPr>
              <w:t xml:space="preserve">  </w:t>
            </w:r>
            <w:r w:rsidR="006C3799">
              <w:rPr>
                <w:rFonts w:ascii="Arial" w:hAnsi="Arial" w:cs="Arial"/>
                <w:bCs/>
                <w:sz w:val="24"/>
                <w:szCs w:val="24"/>
                <w:lang w:val="en-AU"/>
              </w:rPr>
              <w:t>simonplatt@me.com</w:t>
            </w:r>
          </w:p>
          <w:p w14:paraId="0224DB44" w14:textId="5EF5C65C" w:rsidR="0099513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color w:val="000000" w:themeColor="text1"/>
                <w:sz w:val="24"/>
                <w:szCs w:val="24"/>
                <w:lang w:val="en-AU"/>
              </w:rPr>
              <w:t>Role in Study:</w:t>
            </w:r>
            <w:r w:rsidR="00FC1116">
              <w:rPr>
                <w:rFonts w:ascii="Arial" w:hAnsi="Arial" w:cs="Arial"/>
                <w:bCs/>
                <w:color w:val="000000" w:themeColor="text1"/>
                <w:sz w:val="24"/>
                <w:szCs w:val="24"/>
                <w:lang w:val="en-AU"/>
              </w:rPr>
              <w:t xml:space="preserve"> As a foot and ankle specialist, he will be the primary surgeon carrying out the operations. With his </w:t>
            </w:r>
            <w:r w:rsidR="002E4FA2">
              <w:rPr>
                <w:rFonts w:ascii="Arial" w:hAnsi="Arial" w:cs="Arial"/>
                <w:bCs/>
                <w:color w:val="000000" w:themeColor="text1"/>
                <w:sz w:val="24"/>
                <w:szCs w:val="24"/>
                <w:lang w:val="en-AU"/>
              </w:rPr>
              <w:t>years of knowledge and expertise, he</w:t>
            </w:r>
            <w:r w:rsidR="00FC1116">
              <w:rPr>
                <w:rFonts w:ascii="Arial" w:hAnsi="Arial" w:cs="Arial"/>
                <w:bCs/>
                <w:color w:val="000000" w:themeColor="text1"/>
                <w:sz w:val="24"/>
                <w:szCs w:val="24"/>
                <w:lang w:val="en-AU"/>
              </w:rPr>
              <w:t xml:space="preserve"> has helped create the protocol for this study</w:t>
            </w:r>
            <w:r w:rsidR="002E4FA2">
              <w:rPr>
                <w:rFonts w:ascii="Arial" w:hAnsi="Arial" w:cs="Arial"/>
                <w:bCs/>
                <w:color w:val="000000" w:themeColor="text1"/>
                <w:sz w:val="24"/>
                <w:szCs w:val="24"/>
                <w:lang w:val="en-AU"/>
              </w:rPr>
              <w:t>. Ultimately, he will be guiding the implementation of this study at the Gold Coast University and Robina Hospitals.</w:t>
            </w:r>
          </w:p>
        </w:tc>
      </w:tr>
      <w:tr w:rsidR="0099513E" w:rsidRPr="00BD476A" w14:paraId="5BD541CE" w14:textId="77777777" w:rsidTr="004C7D76">
        <w:tc>
          <w:tcPr>
            <w:cnfStyle w:val="001000000000" w:firstRow="0" w:lastRow="0" w:firstColumn="1" w:lastColumn="0" w:oddVBand="0" w:evenVBand="0" w:oddHBand="0" w:evenHBand="0" w:firstRowFirstColumn="0" w:firstRowLastColumn="0" w:lastRowFirstColumn="0" w:lastRowLastColumn="0"/>
            <w:tcW w:w="2405" w:type="dxa"/>
          </w:tcPr>
          <w:p w14:paraId="1F3C7631" w14:textId="77777777" w:rsidR="0099513E" w:rsidRDefault="0099513E" w:rsidP="00317780">
            <w:pPr>
              <w:pStyle w:val="NoSpacing"/>
              <w:spacing w:line="276" w:lineRule="auto"/>
              <w:jc w:val="left"/>
              <w:rPr>
                <w:rFonts w:ascii="Arial" w:hAnsi="Arial" w:cs="Arial"/>
                <w:sz w:val="24"/>
                <w:szCs w:val="24"/>
              </w:rPr>
            </w:pPr>
            <w:r w:rsidRPr="00BD476A">
              <w:rPr>
                <w:rFonts w:ascii="Arial" w:hAnsi="Arial" w:cs="Arial"/>
                <w:sz w:val="24"/>
                <w:szCs w:val="24"/>
              </w:rPr>
              <w:t>Co-Investigator:</w:t>
            </w:r>
          </w:p>
          <w:p w14:paraId="23BE67A9" w14:textId="0D520953" w:rsidR="00D02608" w:rsidRPr="00D02608" w:rsidRDefault="00D02608" w:rsidP="00317780">
            <w:pPr>
              <w:pStyle w:val="NoSpacing"/>
              <w:spacing w:line="276" w:lineRule="auto"/>
              <w:jc w:val="left"/>
              <w:rPr>
                <w:rFonts w:ascii="Arial" w:hAnsi="Arial" w:cs="Arial"/>
                <w:b w:val="0"/>
                <w:bCs w:val="0"/>
                <w:sz w:val="24"/>
                <w:szCs w:val="24"/>
                <w:lang w:val="en-AU"/>
              </w:rPr>
            </w:pPr>
          </w:p>
        </w:tc>
        <w:tc>
          <w:tcPr>
            <w:tcW w:w="7449" w:type="dxa"/>
          </w:tcPr>
          <w:p w14:paraId="373D33C6"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n-AU"/>
              </w:rPr>
            </w:pPr>
            <w:r w:rsidRPr="0002498E">
              <w:rPr>
                <w:rFonts w:ascii="Arial" w:hAnsi="Arial" w:cs="Arial"/>
                <w:sz w:val="24"/>
                <w:szCs w:val="24"/>
                <w:lang w:val="en-AU"/>
              </w:rPr>
              <w:t>Name:</w:t>
            </w:r>
          </w:p>
          <w:p w14:paraId="41F7FD8F"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Institution:</w:t>
            </w:r>
          </w:p>
          <w:p w14:paraId="61C72D7D"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Department:</w:t>
            </w:r>
          </w:p>
          <w:p w14:paraId="31290CBF"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 xml:space="preserve">Address: </w:t>
            </w:r>
          </w:p>
          <w:p w14:paraId="0EDACA4A"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Tel:</w:t>
            </w:r>
          </w:p>
          <w:p w14:paraId="7A8F369F" w14:textId="77777777" w:rsidR="0002498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sz w:val="24"/>
                <w:szCs w:val="24"/>
                <w:lang w:val="en-AU"/>
              </w:rPr>
              <w:t>Email:</w:t>
            </w:r>
          </w:p>
          <w:p w14:paraId="421C898A" w14:textId="632F6560" w:rsidR="0099513E" w:rsidRPr="0002498E" w:rsidRDefault="0002498E" w:rsidP="0002498E">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lang w:val="en-AU"/>
              </w:rPr>
            </w:pPr>
            <w:r w:rsidRPr="0002498E">
              <w:rPr>
                <w:rFonts w:ascii="Arial" w:hAnsi="Arial" w:cs="Arial"/>
                <w:bCs/>
                <w:color w:val="000000" w:themeColor="text1"/>
                <w:sz w:val="24"/>
                <w:szCs w:val="24"/>
                <w:lang w:val="en-AU"/>
              </w:rPr>
              <w:t>Role in Study:</w:t>
            </w:r>
          </w:p>
        </w:tc>
      </w:tr>
    </w:tbl>
    <w:p w14:paraId="2774754E" w14:textId="77777777" w:rsidR="00F81531" w:rsidRDefault="00F81531" w:rsidP="002625AA">
      <w:pPr>
        <w:pStyle w:val="Default"/>
        <w:spacing w:after="120" w:line="276" w:lineRule="auto"/>
        <w:rPr>
          <w:b/>
          <w:bCs/>
        </w:rPr>
      </w:pPr>
      <w:bookmarkStart w:id="0" w:name="_Toc322956412"/>
    </w:p>
    <w:p w14:paraId="5464F062" w14:textId="77777777" w:rsidR="00F81531" w:rsidRDefault="00F81531">
      <w:pPr>
        <w:spacing w:before="0" w:after="0"/>
        <w:rPr>
          <w:rFonts w:cs="Arial"/>
          <w:b/>
          <w:bCs/>
          <w:color w:val="000000"/>
          <w:sz w:val="24"/>
        </w:rPr>
      </w:pPr>
      <w:r>
        <w:rPr>
          <w:b/>
          <w:bCs/>
        </w:rPr>
        <w:br w:type="page"/>
      </w:r>
    </w:p>
    <w:p w14:paraId="0BBC8B7E" w14:textId="39C4F7D8" w:rsidR="002625AA" w:rsidRDefault="002625AA" w:rsidP="002625AA">
      <w:pPr>
        <w:pStyle w:val="Default"/>
        <w:spacing w:after="120" w:line="276" w:lineRule="auto"/>
        <w:rPr>
          <w:b/>
          <w:bCs/>
        </w:rPr>
      </w:pPr>
      <w:r w:rsidRPr="004A238B">
        <w:rPr>
          <w:b/>
          <w:bCs/>
        </w:rPr>
        <w:lastRenderedPageBreak/>
        <w:t xml:space="preserve">STUDY SYNOPSIS </w:t>
      </w:r>
    </w:p>
    <w:p w14:paraId="2E932BB7" w14:textId="183E531E" w:rsidR="0099513E" w:rsidRPr="004A238B" w:rsidRDefault="0099513E" w:rsidP="00844D13">
      <w:pPr>
        <w:spacing w:before="0" w:after="0" w:line="276" w:lineRule="auto"/>
        <w:rPr>
          <w:rFonts w:cs="Arial"/>
          <w:vanish/>
          <w:szCs w:val="22"/>
        </w:rPr>
      </w:pPr>
    </w:p>
    <w:tbl>
      <w:tblPr>
        <w:tblStyle w:val="GridTable1Light"/>
        <w:tblW w:w="0" w:type="auto"/>
        <w:tblLook w:val="04A0" w:firstRow="1" w:lastRow="0" w:firstColumn="1" w:lastColumn="0" w:noHBand="0" w:noVBand="1"/>
      </w:tblPr>
      <w:tblGrid>
        <w:gridCol w:w="3369"/>
        <w:gridCol w:w="5873"/>
      </w:tblGrid>
      <w:tr w:rsidR="0099513E" w:rsidRPr="00BD476A" w14:paraId="2BA2FB8D" w14:textId="77777777" w:rsidTr="002625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Borders>
              <w:bottom w:val="single" w:sz="4" w:space="0" w:color="808080" w:themeColor="background1" w:themeShade="80"/>
            </w:tcBorders>
          </w:tcPr>
          <w:p w14:paraId="5F00DEF3" w14:textId="77777777" w:rsidR="0099513E" w:rsidRPr="009517A9" w:rsidRDefault="0099513E" w:rsidP="006C177D">
            <w:pPr>
              <w:spacing w:line="276" w:lineRule="auto"/>
              <w:rPr>
                <w:rFonts w:cs="Arial"/>
                <w:b w:val="0"/>
                <w:sz w:val="24"/>
              </w:rPr>
            </w:pPr>
            <w:r w:rsidRPr="009517A9">
              <w:rPr>
                <w:rFonts w:cs="Arial"/>
                <w:b w:val="0"/>
                <w:sz w:val="24"/>
              </w:rPr>
              <w:t>Title:</w:t>
            </w:r>
          </w:p>
        </w:tc>
        <w:tc>
          <w:tcPr>
            <w:tcW w:w="5873" w:type="dxa"/>
            <w:tcBorders>
              <w:bottom w:val="single" w:sz="4" w:space="0" w:color="808080" w:themeColor="background1" w:themeShade="80"/>
            </w:tcBorders>
          </w:tcPr>
          <w:p w14:paraId="3F75F774" w14:textId="397DE273" w:rsidR="0099513E" w:rsidRPr="002625AA" w:rsidRDefault="001559B7" w:rsidP="00844D13">
            <w:pPr>
              <w:spacing w:line="276" w:lineRule="auto"/>
              <w:cnfStyle w:val="100000000000" w:firstRow="1" w:lastRow="0" w:firstColumn="0" w:lastColumn="0" w:oddVBand="0" w:evenVBand="0" w:oddHBand="0" w:evenHBand="0" w:firstRowFirstColumn="0" w:firstRowLastColumn="0" w:lastRowFirstColumn="0" w:lastRowLastColumn="0"/>
              <w:rPr>
                <w:rFonts w:cs="Arial"/>
                <w:b w:val="0"/>
                <w:sz w:val="24"/>
              </w:rPr>
            </w:pPr>
            <w:proofErr w:type="spellStart"/>
            <w:r>
              <w:rPr>
                <w:rFonts w:cs="Arial"/>
                <w:sz w:val="24"/>
              </w:rPr>
              <w:t>Midfix</w:t>
            </w:r>
            <w:proofErr w:type="spellEnd"/>
            <w:r>
              <w:rPr>
                <w:rFonts w:cs="Arial"/>
                <w:sz w:val="24"/>
              </w:rPr>
              <w:t xml:space="preserve"> RCT – Does dorsal plating of Lisfranc injuries lead to better </w:t>
            </w:r>
            <w:proofErr w:type="spellStart"/>
            <w:r>
              <w:rPr>
                <w:rFonts w:cs="Arial"/>
                <w:sz w:val="24"/>
              </w:rPr>
              <w:t>MOxFQ</w:t>
            </w:r>
            <w:proofErr w:type="spellEnd"/>
            <w:r>
              <w:rPr>
                <w:rFonts w:cs="Arial"/>
                <w:sz w:val="24"/>
              </w:rPr>
              <w:t xml:space="preserve"> pain scores at 1 year compared to </w:t>
            </w:r>
            <w:proofErr w:type="spellStart"/>
            <w:r>
              <w:rPr>
                <w:rFonts w:cs="Arial"/>
                <w:sz w:val="24"/>
              </w:rPr>
              <w:t>transarticular</w:t>
            </w:r>
            <w:proofErr w:type="spellEnd"/>
            <w:r>
              <w:rPr>
                <w:rFonts w:cs="Arial"/>
                <w:sz w:val="24"/>
              </w:rPr>
              <w:t xml:space="preserve"> screw fixation? – A prospective randomized controlled trial</w:t>
            </w:r>
          </w:p>
        </w:tc>
      </w:tr>
      <w:tr w:rsidR="0099513E" w:rsidRPr="00BD476A" w14:paraId="1F6042E0" w14:textId="77777777" w:rsidTr="002625AA">
        <w:tc>
          <w:tcPr>
            <w:cnfStyle w:val="001000000000" w:firstRow="0" w:lastRow="0" w:firstColumn="1" w:lastColumn="0" w:oddVBand="0" w:evenVBand="0" w:oddHBand="0" w:evenHBand="0" w:firstRowFirstColumn="0" w:firstRowLastColumn="0" w:lastRowFirstColumn="0" w:lastRowLastColumn="0"/>
            <w:tcW w:w="3369" w:type="dxa"/>
            <w:tcBorders>
              <w:top w:val="single" w:sz="4" w:space="0" w:color="808080" w:themeColor="background1" w:themeShade="80"/>
            </w:tcBorders>
          </w:tcPr>
          <w:p w14:paraId="269924F8" w14:textId="77777777" w:rsidR="0099513E" w:rsidRPr="009517A9" w:rsidRDefault="0099513E" w:rsidP="006C177D">
            <w:pPr>
              <w:spacing w:line="276" w:lineRule="auto"/>
              <w:rPr>
                <w:rFonts w:cs="Arial"/>
                <w:b w:val="0"/>
                <w:sz w:val="24"/>
              </w:rPr>
            </w:pPr>
            <w:r w:rsidRPr="009517A9">
              <w:rPr>
                <w:rFonts w:cs="Arial"/>
                <w:b w:val="0"/>
                <w:sz w:val="24"/>
              </w:rPr>
              <w:t>Short Title:</w:t>
            </w:r>
          </w:p>
        </w:tc>
        <w:tc>
          <w:tcPr>
            <w:tcW w:w="5873" w:type="dxa"/>
            <w:tcBorders>
              <w:top w:val="single" w:sz="4" w:space="0" w:color="808080" w:themeColor="background1" w:themeShade="80"/>
            </w:tcBorders>
          </w:tcPr>
          <w:p w14:paraId="5C2C0247" w14:textId="7267D644" w:rsidR="0099513E" w:rsidRPr="00BD476A" w:rsidRDefault="001559B7"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proofErr w:type="spellStart"/>
            <w:r>
              <w:rPr>
                <w:rFonts w:cs="Arial"/>
                <w:sz w:val="24"/>
              </w:rPr>
              <w:t>Midfix</w:t>
            </w:r>
            <w:proofErr w:type="spellEnd"/>
            <w:r>
              <w:rPr>
                <w:rFonts w:cs="Arial"/>
                <w:sz w:val="24"/>
              </w:rPr>
              <w:t xml:space="preserve"> RCT</w:t>
            </w:r>
          </w:p>
        </w:tc>
      </w:tr>
      <w:tr w:rsidR="0099513E" w:rsidRPr="00BD476A" w14:paraId="7FC1E02D"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4AF24020" w14:textId="3B14E68D" w:rsidR="0099513E" w:rsidRPr="009517A9" w:rsidRDefault="0099513E" w:rsidP="006C177D">
            <w:pPr>
              <w:spacing w:line="276" w:lineRule="auto"/>
              <w:rPr>
                <w:rFonts w:cs="Arial"/>
                <w:b w:val="0"/>
                <w:sz w:val="24"/>
              </w:rPr>
            </w:pPr>
            <w:r w:rsidRPr="009517A9">
              <w:rPr>
                <w:rFonts w:cs="Arial"/>
                <w:b w:val="0"/>
                <w:sz w:val="24"/>
              </w:rPr>
              <w:t xml:space="preserve">Study </w:t>
            </w:r>
            <w:r w:rsidR="001F510A">
              <w:rPr>
                <w:rFonts w:cs="Arial"/>
                <w:b w:val="0"/>
                <w:sz w:val="24"/>
              </w:rPr>
              <w:t>Sites:</w:t>
            </w:r>
          </w:p>
        </w:tc>
        <w:tc>
          <w:tcPr>
            <w:tcW w:w="5873" w:type="dxa"/>
          </w:tcPr>
          <w:p w14:paraId="4A92E0AB" w14:textId="4D7D6A3C" w:rsidR="0099513E" w:rsidRPr="00BD476A" w:rsidRDefault="002E4FA2"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Gold Coast University &amp; Robina Hospitals</w:t>
            </w:r>
          </w:p>
        </w:tc>
      </w:tr>
      <w:tr w:rsidR="0099513E" w:rsidRPr="00BD476A" w14:paraId="06C18E1C"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4BC2194E" w14:textId="0B876838" w:rsidR="0099513E" w:rsidRPr="009517A9" w:rsidRDefault="0099513E" w:rsidP="006C177D">
            <w:pPr>
              <w:spacing w:line="276" w:lineRule="auto"/>
              <w:rPr>
                <w:rFonts w:cs="Arial"/>
                <w:b w:val="0"/>
                <w:sz w:val="24"/>
              </w:rPr>
            </w:pPr>
            <w:r w:rsidRPr="009517A9">
              <w:rPr>
                <w:rFonts w:cs="Arial"/>
                <w:b w:val="0"/>
                <w:sz w:val="24"/>
              </w:rPr>
              <w:t xml:space="preserve">Study </w:t>
            </w:r>
            <w:r w:rsidR="00EE602D">
              <w:rPr>
                <w:rFonts w:cs="Arial"/>
                <w:b w:val="0"/>
                <w:sz w:val="24"/>
              </w:rPr>
              <w:t>Aims/</w:t>
            </w:r>
            <w:r w:rsidRPr="009517A9">
              <w:rPr>
                <w:rFonts w:cs="Arial"/>
                <w:b w:val="0"/>
                <w:sz w:val="24"/>
              </w:rPr>
              <w:t>Objectives</w:t>
            </w:r>
            <w:r w:rsidR="00EE602D">
              <w:rPr>
                <w:rFonts w:cs="Arial"/>
                <w:b w:val="0"/>
                <w:sz w:val="24"/>
              </w:rPr>
              <w:t>/Hypothesis</w:t>
            </w:r>
            <w:r w:rsidRPr="009517A9">
              <w:rPr>
                <w:rFonts w:cs="Arial"/>
                <w:b w:val="0"/>
                <w:sz w:val="24"/>
              </w:rPr>
              <w:t>:</w:t>
            </w:r>
          </w:p>
        </w:tc>
        <w:tc>
          <w:tcPr>
            <w:tcW w:w="5873" w:type="dxa"/>
          </w:tcPr>
          <w:p w14:paraId="7051A205" w14:textId="4C744BBD" w:rsidR="0099513E" w:rsidRPr="00BD476A" w:rsidRDefault="0013410D"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 xml:space="preserve">To compare traditional </w:t>
            </w:r>
            <w:proofErr w:type="spellStart"/>
            <w:r>
              <w:rPr>
                <w:rFonts w:cs="Arial"/>
                <w:sz w:val="24"/>
              </w:rPr>
              <w:t>transarticular</w:t>
            </w:r>
            <w:proofErr w:type="spellEnd"/>
            <w:r>
              <w:rPr>
                <w:rFonts w:cs="Arial"/>
                <w:sz w:val="24"/>
              </w:rPr>
              <w:t xml:space="preserve"> screw fixation to more current dorsal plating techniques for fixation of Lisfranc injuries, using pain as scored by the </w:t>
            </w:r>
            <w:proofErr w:type="spellStart"/>
            <w:r>
              <w:rPr>
                <w:rFonts w:cs="Arial"/>
                <w:sz w:val="24"/>
              </w:rPr>
              <w:t>M</w:t>
            </w:r>
            <w:r w:rsidR="00163129">
              <w:rPr>
                <w:rFonts w:cs="Arial"/>
                <w:sz w:val="24"/>
              </w:rPr>
              <w:t>Ox</w:t>
            </w:r>
            <w:r>
              <w:rPr>
                <w:rFonts w:cs="Arial"/>
                <w:sz w:val="24"/>
              </w:rPr>
              <w:t>FQ</w:t>
            </w:r>
            <w:proofErr w:type="spellEnd"/>
            <w:r>
              <w:rPr>
                <w:rFonts w:cs="Arial"/>
                <w:sz w:val="24"/>
              </w:rPr>
              <w:t>. Secondary outcomes include function and quality of life scores, as well as need for metal work removal</w:t>
            </w:r>
            <w:r w:rsidR="00303282">
              <w:rPr>
                <w:rFonts w:cs="Arial"/>
                <w:sz w:val="24"/>
              </w:rPr>
              <w:t xml:space="preserve"> and arthrosis.</w:t>
            </w:r>
            <w:r>
              <w:rPr>
                <w:rFonts w:cs="Arial"/>
                <w:sz w:val="24"/>
              </w:rPr>
              <w:t xml:space="preserve"> The working hypothesis is that dorsal plating has improved pain, as well as improved secondary outcomes, compared to </w:t>
            </w:r>
            <w:proofErr w:type="spellStart"/>
            <w:r>
              <w:rPr>
                <w:rFonts w:cs="Arial"/>
                <w:sz w:val="24"/>
              </w:rPr>
              <w:t>transarticular</w:t>
            </w:r>
            <w:proofErr w:type="spellEnd"/>
            <w:r>
              <w:rPr>
                <w:rFonts w:cs="Arial"/>
                <w:sz w:val="24"/>
              </w:rPr>
              <w:t xml:space="preserve"> screws due to less iatrogenic joint trauma.</w:t>
            </w:r>
          </w:p>
        </w:tc>
      </w:tr>
      <w:tr w:rsidR="0099513E" w:rsidRPr="00BD476A" w14:paraId="5A025575"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4A75780D" w14:textId="77777777" w:rsidR="0099513E" w:rsidRPr="009517A9" w:rsidRDefault="0099513E" w:rsidP="006C177D">
            <w:pPr>
              <w:spacing w:line="276" w:lineRule="auto"/>
              <w:rPr>
                <w:rFonts w:cs="Arial"/>
                <w:b w:val="0"/>
                <w:sz w:val="24"/>
              </w:rPr>
            </w:pPr>
            <w:r w:rsidRPr="009517A9">
              <w:rPr>
                <w:rFonts w:cs="Arial"/>
                <w:b w:val="0"/>
                <w:sz w:val="24"/>
              </w:rPr>
              <w:t xml:space="preserve">Study Design: </w:t>
            </w:r>
          </w:p>
        </w:tc>
        <w:tc>
          <w:tcPr>
            <w:tcW w:w="5873" w:type="dxa"/>
          </w:tcPr>
          <w:p w14:paraId="178B6730" w14:textId="02AF6761" w:rsidR="0099513E" w:rsidRPr="00BD476A" w:rsidRDefault="00AA2679"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Randomized Controlled Trial</w:t>
            </w:r>
          </w:p>
        </w:tc>
      </w:tr>
      <w:tr w:rsidR="0099513E" w:rsidRPr="00BD476A" w14:paraId="3094CA2D"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26954C1D" w14:textId="77777777" w:rsidR="0099513E" w:rsidRPr="009517A9" w:rsidRDefault="0099513E" w:rsidP="006C177D">
            <w:pPr>
              <w:spacing w:line="276" w:lineRule="auto"/>
              <w:rPr>
                <w:rFonts w:cs="Arial"/>
                <w:b w:val="0"/>
                <w:sz w:val="24"/>
              </w:rPr>
            </w:pPr>
            <w:r w:rsidRPr="009517A9">
              <w:rPr>
                <w:rFonts w:cs="Arial"/>
                <w:b w:val="0"/>
                <w:sz w:val="24"/>
              </w:rPr>
              <w:t>Study Outcome Measures:</w:t>
            </w:r>
          </w:p>
        </w:tc>
        <w:tc>
          <w:tcPr>
            <w:tcW w:w="5873" w:type="dxa"/>
          </w:tcPr>
          <w:p w14:paraId="4895A982" w14:textId="6C0FC9C1" w:rsidR="0099513E" w:rsidRPr="00BD476A" w:rsidRDefault="00AA2679" w:rsidP="00463105">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proofErr w:type="spellStart"/>
            <w:r>
              <w:rPr>
                <w:rFonts w:cs="Arial"/>
                <w:sz w:val="24"/>
              </w:rPr>
              <w:t>M</w:t>
            </w:r>
            <w:r w:rsidR="006A7F49">
              <w:rPr>
                <w:rFonts w:cs="Arial"/>
                <w:sz w:val="24"/>
              </w:rPr>
              <w:t>Ox</w:t>
            </w:r>
            <w:r>
              <w:rPr>
                <w:rFonts w:cs="Arial"/>
                <w:sz w:val="24"/>
              </w:rPr>
              <w:t>FQ</w:t>
            </w:r>
            <w:proofErr w:type="spellEnd"/>
            <w:r>
              <w:rPr>
                <w:rFonts w:cs="Arial"/>
                <w:sz w:val="24"/>
              </w:rPr>
              <w:t>, EQ-5D scores</w:t>
            </w:r>
            <w:r w:rsidR="00D43B8F">
              <w:rPr>
                <w:rFonts w:cs="Arial"/>
                <w:sz w:val="24"/>
              </w:rPr>
              <w:t>, and AOFAS midfoot scores</w:t>
            </w:r>
            <w:r>
              <w:rPr>
                <w:rFonts w:cs="Arial"/>
                <w:sz w:val="24"/>
              </w:rPr>
              <w:t xml:space="preserve">. </w:t>
            </w:r>
            <w:proofErr w:type="spellStart"/>
            <w:r w:rsidR="00463105">
              <w:rPr>
                <w:rFonts w:cs="Arial"/>
                <w:sz w:val="24"/>
              </w:rPr>
              <w:t>M</w:t>
            </w:r>
            <w:r w:rsidR="006A7F49">
              <w:rPr>
                <w:rFonts w:cs="Arial"/>
                <w:sz w:val="24"/>
              </w:rPr>
              <w:t>Ox</w:t>
            </w:r>
            <w:r w:rsidR="00463105">
              <w:rPr>
                <w:rFonts w:cs="Arial"/>
                <w:sz w:val="24"/>
              </w:rPr>
              <w:t>FQ</w:t>
            </w:r>
            <w:proofErr w:type="spellEnd"/>
            <w:r w:rsidR="00463105">
              <w:rPr>
                <w:rFonts w:cs="Arial"/>
                <w:sz w:val="24"/>
              </w:rPr>
              <w:t xml:space="preserve"> scores are subdivided into pain, function, and social interaction measures; of which we are primarily concerned with pain and function. </w:t>
            </w:r>
            <w:r>
              <w:rPr>
                <w:rFonts w:cs="Arial"/>
                <w:sz w:val="24"/>
              </w:rPr>
              <w:t>Need for further surgery secondary to metalwork failure, pain secondary to metalwork, or infection.</w:t>
            </w:r>
            <w:r w:rsidR="006A7F49">
              <w:rPr>
                <w:rFonts w:cs="Arial"/>
                <w:sz w:val="24"/>
              </w:rPr>
              <w:t xml:space="preserve"> Progression to arthrosis will be a tertiary outcome.</w:t>
            </w:r>
          </w:p>
        </w:tc>
        <w:bookmarkStart w:id="1" w:name="_GoBack"/>
        <w:bookmarkEnd w:id="1"/>
      </w:tr>
      <w:tr w:rsidR="0099513E" w:rsidRPr="00BD476A" w14:paraId="678C8186"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571CF40B" w14:textId="77777777" w:rsidR="0099513E" w:rsidRPr="009517A9" w:rsidRDefault="0099513E" w:rsidP="006C177D">
            <w:pPr>
              <w:spacing w:line="276" w:lineRule="auto"/>
              <w:rPr>
                <w:rFonts w:cs="Arial"/>
                <w:b w:val="0"/>
                <w:sz w:val="24"/>
              </w:rPr>
            </w:pPr>
            <w:r w:rsidRPr="009517A9">
              <w:rPr>
                <w:rFonts w:cs="Arial"/>
                <w:b w:val="0"/>
                <w:sz w:val="24"/>
              </w:rPr>
              <w:t>Study Population:</w:t>
            </w:r>
          </w:p>
        </w:tc>
        <w:tc>
          <w:tcPr>
            <w:tcW w:w="5873" w:type="dxa"/>
          </w:tcPr>
          <w:p w14:paraId="0CCB1FB8" w14:textId="63DF3CA0" w:rsidR="0099513E" w:rsidRPr="00BD476A" w:rsidRDefault="00AA2679"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Patients over the age of 18 with Lisfranc injuries as documented on weightbearing radiographs or CT scan</w:t>
            </w:r>
          </w:p>
        </w:tc>
      </w:tr>
      <w:tr w:rsidR="0099513E" w:rsidRPr="00BD476A" w14:paraId="56C9651D"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1451EDEA" w14:textId="77777777" w:rsidR="0099513E" w:rsidRPr="008F408D" w:rsidRDefault="0099513E" w:rsidP="006C177D">
            <w:pPr>
              <w:spacing w:line="276" w:lineRule="auto"/>
              <w:rPr>
                <w:rFonts w:cs="Arial"/>
                <w:b w:val="0"/>
                <w:color w:val="000000" w:themeColor="text1"/>
                <w:sz w:val="24"/>
              </w:rPr>
            </w:pPr>
            <w:r w:rsidRPr="008F408D">
              <w:rPr>
                <w:rFonts w:cs="Arial"/>
                <w:b w:val="0"/>
                <w:color w:val="000000" w:themeColor="text1"/>
                <w:sz w:val="24"/>
              </w:rPr>
              <w:t>Number of participants:</w:t>
            </w:r>
          </w:p>
        </w:tc>
        <w:tc>
          <w:tcPr>
            <w:tcW w:w="5873" w:type="dxa"/>
          </w:tcPr>
          <w:p w14:paraId="2620E3A1" w14:textId="3E77A836" w:rsidR="0099513E" w:rsidRPr="008F408D" w:rsidRDefault="00853E77"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color w:val="000000" w:themeColor="text1"/>
                <w:sz w:val="24"/>
              </w:rPr>
            </w:pPr>
            <w:r>
              <w:rPr>
                <w:rFonts w:cs="Arial"/>
                <w:color w:val="000000" w:themeColor="text1"/>
                <w:sz w:val="24"/>
              </w:rPr>
              <w:t>98</w:t>
            </w:r>
          </w:p>
        </w:tc>
      </w:tr>
      <w:tr w:rsidR="0099513E" w:rsidRPr="00BD476A" w14:paraId="274B0131"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0738EA45" w14:textId="7F746B25" w:rsidR="0099513E" w:rsidRPr="009517A9" w:rsidRDefault="005D1BF2" w:rsidP="006C177D">
            <w:pPr>
              <w:spacing w:line="276" w:lineRule="auto"/>
              <w:rPr>
                <w:rFonts w:cs="Arial"/>
                <w:b w:val="0"/>
                <w:sz w:val="24"/>
              </w:rPr>
            </w:pPr>
            <w:r w:rsidRPr="009517A9">
              <w:rPr>
                <w:rFonts w:cs="Arial"/>
                <w:b w:val="0"/>
                <w:sz w:val="24"/>
              </w:rPr>
              <w:t>Translation</w:t>
            </w:r>
            <w:r w:rsidR="0099513E" w:rsidRPr="009517A9">
              <w:rPr>
                <w:rFonts w:cs="Arial"/>
                <w:b w:val="0"/>
                <w:sz w:val="24"/>
              </w:rPr>
              <w:t xml:space="preserve"> </w:t>
            </w:r>
            <w:r w:rsidR="00151340">
              <w:rPr>
                <w:rFonts w:cs="Arial"/>
                <w:b w:val="0"/>
                <w:sz w:val="24"/>
              </w:rPr>
              <w:t xml:space="preserve">to </w:t>
            </w:r>
            <w:r w:rsidR="0099513E" w:rsidRPr="009517A9">
              <w:rPr>
                <w:rFonts w:cs="Arial"/>
                <w:b w:val="0"/>
                <w:sz w:val="24"/>
              </w:rPr>
              <w:t>Clinical Practice:</w:t>
            </w:r>
          </w:p>
        </w:tc>
        <w:tc>
          <w:tcPr>
            <w:tcW w:w="5873" w:type="dxa"/>
          </w:tcPr>
          <w:p w14:paraId="2D801FA6" w14:textId="6C76295B" w:rsidR="0099513E" w:rsidRPr="00BD476A" w:rsidRDefault="00B24A59"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 xml:space="preserve">Traditionally, </w:t>
            </w:r>
            <w:proofErr w:type="spellStart"/>
            <w:r>
              <w:rPr>
                <w:rFonts w:cs="Arial"/>
                <w:sz w:val="24"/>
              </w:rPr>
              <w:t>transarticular</w:t>
            </w:r>
            <w:proofErr w:type="spellEnd"/>
            <w:r>
              <w:rPr>
                <w:rFonts w:cs="Arial"/>
                <w:sz w:val="24"/>
              </w:rPr>
              <w:t xml:space="preserve"> screw fixation has been gold standard of treatment for Lisfranc injuries. More recently, with the development of dorsal plates, </w:t>
            </w:r>
            <w:r w:rsidR="008637F4">
              <w:rPr>
                <w:rFonts w:cs="Arial"/>
                <w:sz w:val="24"/>
              </w:rPr>
              <w:t>using dorsal plates for fixation has become more common</w:t>
            </w:r>
            <w:r w:rsidR="00A76207">
              <w:rPr>
                <w:rFonts w:cs="Arial"/>
                <w:sz w:val="24"/>
              </w:rPr>
              <w:t>, as they are thought to avoid damaging the cartilage between the midfoot joints.</w:t>
            </w:r>
            <w:r w:rsidR="008637F4">
              <w:rPr>
                <w:rFonts w:cs="Arial"/>
                <w:sz w:val="24"/>
              </w:rPr>
              <w:t xml:space="preserve"> Early studies reveal better </w:t>
            </w:r>
            <w:r w:rsidR="00A76207">
              <w:rPr>
                <w:rFonts w:cs="Arial"/>
                <w:sz w:val="24"/>
              </w:rPr>
              <w:t xml:space="preserve">outcome scores and lower re-operation rate </w:t>
            </w:r>
            <w:r w:rsidR="00A76207">
              <w:rPr>
                <w:rFonts w:cs="Arial"/>
                <w:sz w:val="24"/>
              </w:rPr>
              <w:lastRenderedPageBreak/>
              <w:t>[1</w:t>
            </w:r>
            <w:r w:rsidR="00B260CE">
              <w:rPr>
                <w:rFonts w:cs="Arial"/>
                <w:sz w:val="24"/>
              </w:rPr>
              <w:t>1</w:t>
            </w:r>
            <w:r w:rsidR="00A76207">
              <w:rPr>
                <w:rFonts w:cs="Arial"/>
                <w:sz w:val="24"/>
              </w:rPr>
              <w:t>-1</w:t>
            </w:r>
            <w:r w:rsidR="00B260CE">
              <w:rPr>
                <w:rFonts w:cs="Arial"/>
                <w:sz w:val="24"/>
              </w:rPr>
              <w:t>3</w:t>
            </w:r>
            <w:r w:rsidR="00A76207">
              <w:rPr>
                <w:rFonts w:cs="Arial"/>
                <w:sz w:val="24"/>
              </w:rPr>
              <w:t>]. No RCTs exist comparing fixation methods. We hope this study will help determine which fixation method results in better patient outcomes.</w:t>
            </w:r>
          </w:p>
        </w:tc>
      </w:tr>
      <w:tr w:rsidR="0099513E" w:rsidRPr="00BD476A" w14:paraId="44010046" w14:textId="77777777" w:rsidTr="002625AA">
        <w:tc>
          <w:tcPr>
            <w:cnfStyle w:val="001000000000" w:firstRow="0" w:lastRow="0" w:firstColumn="1" w:lastColumn="0" w:oddVBand="0" w:evenVBand="0" w:oddHBand="0" w:evenHBand="0" w:firstRowFirstColumn="0" w:firstRowLastColumn="0" w:lastRowFirstColumn="0" w:lastRowLastColumn="0"/>
            <w:tcW w:w="3369" w:type="dxa"/>
          </w:tcPr>
          <w:p w14:paraId="03797F22" w14:textId="44F86D81" w:rsidR="0099513E" w:rsidRPr="009517A9" w:rsidRDefault="00EE602D" w:rsidP="006C177D">
            <w:pPr>
              <w:spacing w:line="276" w:lineRule="auto"/>
              <w:rPr>
                <w:rFonts w:cs="Arial"/>
                <w:b w:val="0"/>
                <w:sz w:val="24"/>
              </w:rPr>
            </w:pPr>
            <w:r>
              <w:rPr>
                <w:rFonts w:cs="Arial"/>
                <w:b w:val="0"/>
                <w:sz w:val="24"/>
              </w:rPr>
              <w:lastRenderedPageBreak/>
              <w:t>Key Ethical and Safety C</w:t>
            </w:r>
            <w:r w:rsidR="0099513E" w:rsidRPr="009517A9">
              <w:rPr>
                <w:rFonts w:cs="Arial"/>
                <w:b w:val="0"/>
                <w:sz w:val="24"/>
              </w:rPr>
              <w:t>onsiderations:</w:t>
            </w:r>
          </w:p>
        </w:tc>
        <w:tc>
          <w:tcPr>
            <w:tcW w:w="5873" w:type="dxa"/>
          </w:tcPr>
          <w:p w14:paraId="670EF605" w14:textId="2053B589" w:rsidR="0099513E" w:rsidRPr="00BD476A" w:rsidRDefault="00E6087B"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Several surgeons may elect to take metalwork out at a specific time post fixation, regardless of whether pain or impairment of function exists. There is no clear evidence to support this practice in the literature at this stage. We will aim to monitor metalwork complications as part of this study and elect to take out metalwork, only if causing pain or irritation. This may lead to patients developing metalwork irritation that would not have if metalwork was removed routinely. This will however</w:t>
            </w:r>
            <w:r w:rsidR="00141C84">
              <w:rPr>
                <w:rFonts w:cs="Arial"/>
                <w:sz w:val="24"/>
              </w:rPr>
              <w:t>,</w:t>
            </w:r>
            <w:r>
              <w:rPr>
                <w:rFonts w:cs="Arial"/>
                <w:sz w:val="24"/>
              </w:rPr>
              <w:t xml:space="preserve"> not expose patients to potential risks of anaesthetic or surgery, many of whom we anticipate may not have any symptoms of metalwork irritation.</w:t>
            </w:r>
          </w:p>
        </w:tc>
      </w:tr>
    </w:tbl>
    <w:p w14:paraId="68DE051C" w14:textId="77777777" w:rsidR="009517A9" w:rsidRDefault="009517A9" w:rsidP="00844D13">
      <w:pPr>
        <w:pStyle w:val="Heading2"/>
        <w:keepNext w:val="0"/>
        <w:spacing w:before="200" w:after="0" w:line="276" w:lineRule="auto"/>
        <w:jc w:val="both"/>
        <w:rPr>
          <w:szCs w:val="24"/>
        </w:rPr>
      </w:pPr>
    </w:p>
    <w:p w14:paraId="09679936" w14:textId="32B89B6B" w:rsidR="0099513E" w:rsidRPr="00424682" w:rsidRDefault="0099513E" w:rsidP="00424682">
      <w:pPr>
        <w:pStyle w:val="Heading2"/>
        <w:keepNext w:val="0"/>
        <w:spacing w:before="200" w:after="0" w:line="276" w:lineRule="auto"/>
        <w:jc w:val="both"/>
        <w:rPr>
          <w:szCs w:val="24"/>
        </w:rPr>
      </w:pPr>
      <w:r w:rsidRPr="004A238B">
        <w:rPr>
          <w:szCs w:val="24"/>
        </w:rPr>
        <w:t>Glossary of Abbreviations, Terms</w:t>
      </w:r>
      <w:bookmarkEnd w:id="0"/>
      <w:r w:rsidRPr="004A238B">
        <w:rPr>
          <w:szCs w:val="24"/>
        </w:rPr>
        <w:t>, and Acronyms</w:t>
      </w:r>
      <w:r w:rsidR="005D1BF2">
        <w:rPr>
          <w:szCs w:val="24"/>
        </w:rPr>
        <w:t xml:space="preserve"> </w:t>
      </w:r>
    </w:p>
    <w:tbl>
      <w:tblPr>
        <w:tblStyle w:val="GridTable1Light"/>
        <w:tblW w:w="9640" w:type="dxa"/>
        <w:tblLook w:val="04A0" w:firstRow="1" w:lastRow="0" w:firstColumn="1" w:lastColumn="0" w:noHBand="0" w:noVBand="1"/>
      </w:tblPr>
      <w:tblGrid>
        <w:gridCol w:w="3227"/>
        <w:gridCol w:w="6413"/>
      </w:tblGrid>
      <w:tr w:rsidR="0099513E" w:rsidRPr="004A238B" w14:paraId="0A40A9C8" w14:textId="77777777" w:rsidTr="008F408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3227" w:type="dxa"/>
            <w:shd w:val="clear" w:color="auto" w:fill="auto"/>
          </w:tcPr>
          <w:p w14:paraId="666D5933" w14:textId="77777777" w:rsidR="0099513E" w:rsidRPr="004A238B" w:rsidRDefault="0099513E" w:rsidP="00844D13">
            <w:pPr>
              <w:spacing w:line="276" w:lineRule="auto"/>
              <w:rPr>
                <w:rFonts w:cs="Arial"/>
                <w:b w:val="0"/>
                <w:sz w:val="24"/>
              </w:rPr>
            </w:pPr>
            <w:r w:rsidRPr="004A238B">
              <w:rPr>
                <w:rFonts w:cs="Arial"/>
                <w:sz w:val="24"/>
              </w:rPr>
              <w:t>Abbreviation, Term, Acronym</w:t>
            </w:r>
          </w:p>
        </w:tc>
        <w:tc>
          <w:tcPr>
            <w:tcW w:w="6413" w:type="dxa"/>
            <w:shd w:val="clear" w:color="auto" w:fill="auto"/>
          </w:tcPr>
          <w:p w14:paraId="0C03D64B" w14:textId="77777777" w:rsidR="0099513E" w:rsidRPr="004A238B" w:rsidRDefault="0099513E" w:rsidP="00844D13">
            <w:pPr>
              <w:spacing w:line="276" w:lineRule="auto"/>
              <w:cnfStyle w:val="100000000000" w:firstRow="1" w:lastRow="0" w:firstColumn="0" w:lastColumn="0" w:oddVBand="0" w:evenVBand="0" w:oddHBand="0" w:evenHBand="0" w:firstRowFirstColumn="0" w:firstRowLastColumn="0" w:lastRowFirstColumn="0" w:lastRowLastColumn="0"/>
              <w:rPr>
                <w:rFonts w:cs="Arial"/>
                <w:b w:val="0"/>
                <w:sz w:val="24"/>
              </w:rPr>
            </w:pPr>
            <w:r w:rsidRPr="004A238B">
              <w:rPr>
                <w:rFonts w:cs="Arial"/>
                <w:sz w:val="24"/>
              </w:rPr>
              <w:t>Definition (using lay language)</w:t>
            </w:r>
          </w:p>
        </w:tc>
      </w:tr>
      <w:tr w:rsidR="0099513E" w:rsidRPr="004A238B" w14:paraId="66BF7FE7" w14:textId="77777777" w:rsidTr="002625AA">
        <w:trPr>
          <w:trHeight w:val="480"/>
        </w:trPr>
        <w:tc>
          <w:tcPr>
            <w:cnfStyle w:val="001000000000" w:firstRow="0" w:lastRow="0" w:firstColumn="1" w:lastColumn="0" w:oddVBand="0" w:evenVBand="0" w:oddHBand="0" w:evenHBand="0" w:firstRowFirstColumn="0" w:firstRowLastColumn="0" w:lastRowFirstColumn="0" w:lastRowLastColumn="0"/>
            <w:tcW w:w="3227" w:type="dxa"/>
          </w:tcPr>
          <w:p w14:paraId="6DBE0969" w14:textId="54B47A5A" w:rsidR="0099513E" w:rsidRPr="004A238B" w:rsidRDefault="00DE343B" w:rsidP="00844D13">
            <w:pPr>
              <w:spacing w:line="276" w:lineRule="auto"/>
              <w:rPr>
                <w:rFonts w:cs="Arial"/>
                <w:sz w:val="24"/>
              </w:rPr>
            </w:pPr>
            <w:r>
              <w:rPr>
                <w:rFonts w:cs="Arial"/>
                <w:sz w:val="24"/>
              </w:rPr>
              <w:t>Open reduction internal fixation</w:t>
            </w:r>
          </w:p>
        </w:tc>
        <w:tc>
          <w:tcPr>
            <w:tcW w:w="6413" w:type="dxa"/>
          </w:tcPr>
          <w:p w14:paraId="2E7C0458" w14:textId="1BB0098A" w:rsidR="0099513E" w:rsidRPr="004A238B" w:rsidRDefault="00DE343B"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Fixing fractures/dislocations by making a cut (opening), restoring alignment (reduction), and holding with metalwork (plates and/or screws).</w:t>
            </w:r>
          </w:p>
        </w:tc>
      </w:tr>
      <w:tr w:rsidR="0099513E" w:rsidRPr="004A238B" w14:paraId="342A2E52" w14:textId="77777777" w:rsidTr="002625AA">
        <w:trPr>
          <w:trHeight w:val="480"/>
        </w:trPr>
        <w:tc>
          <w:tcPr>
            <w:cnfStyle w:val="001000000000" w:firstRow="0" w:lastRow="0" w:firstColumn="1" w:lastColumn="0" w:oddVBand="0" w:evenVBand="0" w:oddHBand="0" w:evenHBand="0" w:firstRowFirstColumn="0" w:firstRowLastColumn="0" w:lastRowFirstColumn="0" w:lastRowLastColumn="0"/>
            <w:tcW w:w="3227" w:type="dxa"/>
          </w:tcPr>
          <w:p w14:paraId="5B9ABC40" w14:textId="1846C77F" w:rsidR="0099513E" w:rsidRPr="004A238B" w:rsidRDefault="003368EF" w:rsidP="00844D13">
            <w:pPr>
              <w:spacing w:line="276" w:lineRule="auto"/>
              <w:rPr>
                <w:rFonts w:cs="Arial"/>
                <w:sz w:val="24"/>
              </w:rPr>
            </w:pPr>
            <w:r>
              <w:rPr>
                <w:rFonts w:cs="Arial"/>
                <w:sz w:val="24"/>
              </w:rPr>
              <w:t>Lisfranc injury</w:t>
            </w:r>
          </w:p>
        </w:tc>
        <w:tc>
          <w:tcPr>
            <w:tcW w:w="6413" w:type="dxa"/>
          </w:tcPr>
          <w:p w14:paraId="5A34BC57" w14:textId="192A5356" w:rsidR="0099513E" w:rsidRPr="004A238B" w:rsidRDefault="003368EF"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 xml:space="preserve">A </w:t>
            </w:r>
            <w:proofErr w:type="spellStart"/>
            <w:r>
              <w:rPr>
                <w:rFonts w:cs="Arial"/>
                <w:sz w:val="24"/>
              </w:rPr>
              <w:t>lisfranc</w:t>
            </w:r>
            <w:proofErr w:type="spellEnd"/>
            <w:r>
              <w:rPr>
                <w:rFonts w:cs="Arial"/>
                <w:sz w:val="24"/>
              </w:rPr>
              <w:t xml:space="preserve"> injury is a midfoot injury where a single or several metatarsal bones become displaced from their articulation with the rest of the tarsus (specifically </w:t>
            </w:r>
            <w:r w:rsidR="00423AD1">
              <w:rPr>
                <w:rFonts w:cs="Arial"/>
                <w:sz w:val="24"/>
              </w:rPr>
              <w:t>between the medial cuneiform and the base of the second metatarsal</w:t>
            </w:r>
            <w:r>
              <w:rPr>
                <w:rFonts w:cs="Arial"/>
                <w:sz w:val="24"/>
              </w:rPr>
              <w:t xml:space="preserve">). This injury involves rupture of ligaments, and at times fractures as well. </w:t>
            </w:r>
          </w:p>
        </w:tc>
      </w:tr>
      <w:tr w:rsidR="0099513E" w:rsidRPr="004A238B" w14:paraId="118E85CA" w14:textId="77777777" w:rsidTr="002625AA">
        <w:trPr>
          <w:trHeight w:val="495"/>
        </w:trPr>
        <w:tc>
          <w:tcPr>
            <w:cnfStyle w:val="001000000000" w:firstRow="0" w:lastRow="0" w:firstColumn="1" w:lastColumn="0" w:oddVBand="0" w:evenVBand="0" w:oddHBand="0" w:evenHBand="0" w:firstRowFirstColumn="0" w:firstRowLastColumn="0" w:lastRowFirstColumn="0" w:lastRowLastColumn="0"/>
            <w:tcW w:w="3227" w:type="dxa"/>
          </w:tcPr>
          <w:p w14:paraId="513FDC06" w14:textId="7C9EA036" w:rsidR="0099513E" w:rsidRPr="004A238B" w:rsidRDefault="00B148C0" w:rsidP="00844D13">
            <w:pPr>
              <w:spacing w:line="276" w:lineRule="auto"/>
              <w:rPr>
                <w:rFonts w:cs="Arial"/>
                <w:sz w:val="24"/>
              </w:rPr>
            </w:pPr>
            <w:r>
              <w:rPr>
                <w:rFonts w:cs="Arial"/>
                <w:sz w:val="24"/>
              </w:rPr>
              <w:t>Arthrosis</w:t>
            </w:r>
          </w:p>
        </w:tc>
        <w:tc>
          <w:tcPr>
            <w:tcW w:w="6413" w:type="dxa"/>
          </w:tcPr>
          <w:p w14:paraId="19E8C306" w14:textId="02A1266B" w:rsidR="0099513E" w:rsidRPr="004A238B" w:rsidRDefault="00B148C0" w:rsidP="00844D13">
            <w:pPr>
              <w:spacing w:line="276" w:lineRule="auto"/>
              <w:cnfStyle w:val="000000000000" w:firstRow="0" w:lastRow="0" w:firstColumn="0" w:lastColumn="0" w:oddVBand="0" w:evenVBand="0" w:oddHBand="0" w:evenHBand="0" w:firstRowFirstColumn="0" w:firstRowLastColumn="0" w:lastRowFirstColumn="0" w:lastRowLastColumn="0"/>
              <w:rPr>
                <w:rFonts w:cs="Arial"/>
                <w:sz w:val="24"/>
              </w:rPr>
            </w:pPr>
            <w:r>
              <w:rPr>
                <w:rFonts w:cs="Arial"/>
                <w:sz w:val="24"/>
              </w:rPr>
              <w:t>Joint osteoarthritis, as documented on radiograph by features of asymmetrical joint space narrowing, subchondral sclerosis, osteophytes, and subchondral cysts.</w:t>
            </w:r>
          </w:p>
        </w:tc>
      </w:tr>
    </w:tbl>
    <w:p w14:paraId="23AF4A3C" w14:textId="77777777" w:rsidR="0099513E" w:rsidRPr="004A238B" w:rsidRDefault="0099513E" w:rsidP="00844D13">
      <w:pPr>
        <w:spacing w:line="276" w:lineRule="auto"/>
        <w:rPr>
          <w:rFonts w:cs="Arial"/>
          <w:sz w:val="24"/>
        </w:rPr>
      </w:pPr>
    </w:p>
    <w:p w14:paraId="16BFADF3" w14:textId="77777777" w:rsidR="0099513E" w:rsidRPr="004A238B" w:rsidRDefault="0099513E" w:rsidP="00844D13">
      <w:pPr>
        <w:spacing w:line="276" w:lineRule="auto"/>
        <w:rPr>
          <w:rFonts w:cs="Arial"/>
          <w:sz w:val="24"/>
        </w:rPr>
      </w:pPr>
    </w:p>
    <w:p w14:paraId="0C66A242" w14:textId="77777777" w:rsidR="009517A9" w:rsidRDefault="009517A9" w:rsidP="00844D13">
      <w:pPr>
        <w:spacing w:before="0" w:after="0" w:line="276" w:lineRule="auto"/>
        <w:rPr>
          <w:rFonts w:cs="Arial"/>
          <w:b/>
          <w:bCs/>
          <w:i/>
          <w:iCs/>
          <w:color w:val="333333"/>
          <w:sz w:val="24"/>
        </w:rPr>
      </w:pPr>
      <w:bookmarkStart w:id="2" w:name="_Toc322956415"/>
      <w:r>
        <w:br w:type="page"/>
      </w:r>
    </w:p>
    <w:p w14:paraId="52810810" w14:textId="64030F6D" w:rsidR="0099513E" w:rsidRDefault="0099513E" w:rsidP="006C177D">
      <w:pPr>
        <w:pStyle w:val="Heading2"/>
        <w:keepNext w:val="0"/>
        <w:numPr>
          <w:ilvl w:val="0"/>
          <w:numId w:val="1"/>
        </w:numPr>
        <w:spacing w:before="200" w:after="0" w:line="276" w:lineRule="auto"/>
        <w:ind w:left="426" w:hanging="426"/>
        <w:jc w:val="both"/>
        <w:rPr>
          <w:i w:val="0"/>
          <w:szCs w:val="24"/>
        </w:rPr>
      </w:pPr>
      <w:r w:rsidRPr="007D7739">
        <w:rPr>
          <w:i w:val="0"/>
          <w:szCs w:val="24"/>
        </w:rPr>
        <w:lastRenderedPageBreak/>
        <w:t xml:space="preserve">Background </w:t>
      </w:r>
      <w:bookmarkEnd w:id="2"/>
    </w:p>
    <w:p w14:paraId="6473C760" w14:textId="77777777" w:rsidR="001966DE" w:rsidRPr="001966DE" w:rsidRDefault="001966DE" w:rsidP="001966DE"/>
    <w:p w14:paraId="0433C1BD" w14:textId="42E1C990" w:rsidR="001966DE" w:rsidRDefault="001966DE" w:rsidP="001966DE">
      <w:pPr>
        <w:rPr>
          <w:sz w:val="24"/>
        </w:rPr>
      </w:pPr>
      <w:r w:rsidRPr="001966DE">
        <w:rPr>
          <w:sz w:val="24"/>
        </w:rPr>
        <w:t>Lisfranc injuries involve tarsometatarsal fracture dislocations and an interruption of the Lisfranc ligament complex. Incidence is relatively low with estimates of approximately one in 55,000 per year [1]. Research analysing the best method of fixation is comparably low. Post traumatic arthritis is an established consequence of the missed the Lisfranc injury [2]. Subsequent post-operative arthrosis is a common complication across fixation methods [2, 3, 4, 1</w:t>
      </w:r>
      <w:r w:rsidR="00D34BC9">
        <w:rPr>
          <w:sz w:val="24"/>
        </w:rPr>
        <w:t>3</w:t>
      </w:r>
      <w:r w:rsidRPr="001966DE">
        <w:rPr>
          <w:sz w:val="24"/>
        </w:rPr>
        <w:t>, 1</w:t>
      </w:r>
      <w:r w:rsidR="00D34BC9">
        <w:rPr>
          <w:sz w:val="24"/>
        </w:rPr>
        <w:t>4</w:t>
      </w:r>
      <w:r w:rsidRPr="001966DE">
        <w:rPr>
          <w:sz w:val="24"/>
        </w:rPr>
        <w:t xml:space="preserve">]. In efforts to improve pain and function post operatively, several studies have focused on comparing open reduction internal fixation to primary arthrodesis. </w:t>
      </w:r>
      <w:r w:rsidR="006C1614">
        <w:rPr>
          <w:sz w:val="24"/>
        </w:rPr>
        <w:t>These studies compared whether patient outcomes would be improved by reducing the joints anatomically with screw fixation</w:t>
      </w:r>
      <w:r w:rsidR="00595347">
        <w:rPr>
          <w:sz w:val="24"/>
        </w:rPr>
        <w:t xml:space="preserve"> across the joints</w:t>
      </w:r>
      <w:r w:rsidR="006C1614">
        <w:rPr>
          <w:sz w:val="24"/>
        </w:rPr>
        <w:t xml:space="preserve"> or by </w:t>
      </w:r>
      <w:r w:rsidR="00595347">
        <w:rPr>
          <w:sz w:val="24"/>
        </w:rPr>
        <w:t xml:space="preserve">directly </w:t>
      </w:r>
      <w:r w:rsidR="006C1614">
        <w:rPr>
          <w:sz w:val="24"/>
        </w:rPr>
        <w:t>fusi</w:t>
      </w:r>
      <w:r w:rsidR="00595347">
        <w:rPr>
          <w:sz w:val="24"/>
        </w:rPr>
        <w:t xml:space="preserve">ng </w:t>
      </w:r>
      <w:r w:rsidR="006C1614">
        <w:rPr>
          <w:sz w:val="24"/>
        </w:rPr>
        <w:t xml:space="preserve">the involved joints, theoretically reducing risk of pain secondary to arthritis. </w:t>
      </w:r>
      <w:r w:rsidRPr="001966DE">
        <w:rPr>
          <w:sz w:val="24"/>
        </w:rPr>
        <w:t xml:space="preserve">The data has revealed mixed results between these methods with regards to </w:t>
      </w:r>
      <w:r w:rsidR="006C1614">
        <w:rPr>
          <w:sz w:val="24"/>
        </w:rPr>
        <w:t xml:space="preserve">both </w:t>
      </w:r>
      <w:r w:rsidRPr="001966DE">
        <w:rPr>
          <w:sz w:val="24"/>
        </w:rPr>
        <w:t>post-operative pain and return to function [5-</w:t>
      </w:r>
      <w:r w:rsidR="00D34BC9">
        <w:rPr>
          <w:sz w:val="24"/>
        </w:rPr>
        <w:t>7</w:t>
      </w:r>
      <w:r w:rsidRPr="001966DE">
        <w:rPr>
          <w:sz w:val="24"/>
        </w:rPr>
        <w:t xml:space="preserve">]. </w:t>
      </w:r>
    </w:p>
    <w:p w14:paraId="20EE57D9" w14:textId="6C79FFBE" w:rsidR="002726EE" w:rsidRDefault="002726EE" w:rsidP="001966DE">
      <w:pPr>
        <w:rPr>
          <w:sz w:val="24"/>
        </w:rPr>
      </w:pPr>
    </w:p>
    <w:p w14:paraId="0E4246D1" w14:textId="590D0EA3" w:rsidR="001966DE" w:rsidRPr="001966DE" w:rsidRDefault="00943A1F" w:rsidP="001966DE">
      <w:pPr>
        <w:rPr>
          <w:sz w:val="24"/>
        </w:rPr>
      </w:pPr>
      <w:r>
        <w:rPr>
          <w:sz w:val="24"/>
        </w:rPr>
        <w:t>E</w:t>
      </w:r>
      <w:r w:rsidRPr="001966DE">
        <w:rPr>
          <w:sz w:val="24"/>
        </w:rPr>
        <w:t xml:space="preserve">fforts to minimize </w:t>
      </w:r>
      <w:r>
        <w:rPr>
          <w:sz w:val="24"/>
        </w:rPr>
        <w:t>the</w:t>
      </w:r>
      <w:r w:rsidRPr="001966DE">
        <w:rPr>
          <w:sz w:val="24"/>
        </w:rPr>
        <w:t xml:space="preserve"> added risk of </w:t>
      </w:r>
      <w:r w:rsidR="00D06BAA">
        <w:rPr>
          <w:sz w:val="24"/>
        </w:rPr>
        <w:t>arthritis</w:t>
      </w:r>
      <w:r>
        <w:rPr>
          <w:sz w:val="24"/>
        </w:rPr>
        <w:t>,</w:t>
      </w:r>
      <w:r w:rsidRPr="001966DE">
        <w:rPr>
          <w:sz w:val="24"/>
        </w:rPr>
        <w:t xml:space="preserve"> </w:t>
      </w:r>
      <w:r>
        <w:rPr>
          <w:sz w:val="24"/>
        </w:rPr>
        <w:t xml:space="preserve">associated with Lisfranc injuries and their fixation, </w:t>
      </w:r>
      <w:r w:rsidRPr="001966DE">
        <w:rPr>
          <w:sz w:val="24"/>
        </w:rPr>
        <w:t>have led to dorsal plating techniques being more thoroughly described [9]</w:t>
      </w:r>
      <w:r>
        <w:rPr>
          <w:sz w:val="24"/>
        </w:rPr>
        <w:t>. This involves insertion of a plate on the dorsal surface of the involved tarsometatarsal joints, held with screws into the involved bones.</w:t>
      </w:r>
      <w:r w:rsidR="00D06BAA">
        <w:rPr>
          <w:sz w:val="24"/>
        </w:rPr>
        <w:t xml:space="preserve"> As a result, the </w:t>
      </w:r>
      <w:r w:rsidR="00595347">
        <w:rPr>
          <w:sz w:val="24"/>
        </w:rPr>
        <w:t>dorsal plating technique has become a more popular method of fixation</w:t>
      </w:r>
      <w:r w:rsidR="00D06BAA">
        <w:rPr>
          <w:sz w:val="24"/>
        </w:rPr>
        <w:t>.</w:t>
      </w:r>
      <w:r w:rsidR="001966DE" w:rsidRPr="001966DE">
        <w:rPr>
          <w:sz w:val="24"/>
        </w:rPr>
        <w:t xml:space="preserve"> Research directly comparing </w:t>
      </w:r>
      <w:proofErr w:type="spellStart"/>
      <w:r w:rsidR="001966DE" w:rsidRPr="001966DE">
        <w:rPr>
          <w:sz w:val="24"/>
        </w:rPr>
        <w:t>transarticular</w:t>
      </w:r>
      <w:proofErr w:type="spellEnd"/>
      <w:r w:rsidR="001966DE" w:rsidRPr="001966DE">
        <w:rPr>
          <w:sz w:val="24"/>
        </w:rPr>
        <w:t xml:space="preserve"> screws to plate fixation is limited. Biomechanical studies have demonstrated equal strength between these fixation methods [</w:t>
      </w:r>
      <w:r w:rsidR="00D34BC9">
        <w:rPr>
          <w:sz w:val="24"/>
        </w:rPr>
        <w:t>9</w:t>
      </w:r>
      <w:r w:rsidR="001966DE" w:rsidRPr="001966DE">
        <w:rPr>
          <w:sz w:val="24"/>
        </w:rPr>
        <w:t>,1</w:t>
      </w:r>
      <w:r w:rsidR="00D34BC9">
        <w:rPr>
          <w:sz w:val="24"/>
        </w:rPr>
        <w:t>0</w:t>
      </w:r>
      <w:r w:rsidR="001966DE" w:rsidRPr="001966DE">
        <w:rPr>
          <w:sz w:val="24"/>
        </w:rPr>
        <w:t xml:space="preserve">]. Retrospective research has shown favourable outcomes with dorsal plating, leading to better anatomical reduction and functional outcome scores, when compared to </w:t>
      </w:r>
      <w:proofErr w:type="spellStart"/>
      <w:r w:rsidR="001966DE" w:rsidRPr="001966DE">
        <w:rPr>
          <w:sz w:val="24"/>
        </w:rPr>
        <w:t>transarticular</w:t>
      </w:r>
      <w:proofErr w:type="spellEnd"/>
      <w:r w:rsidR="001966DE" w:rsidRPr="001966DE">
        <w:rPr>
          <w:sz w:val="24"/>
        </w:rPr>
        <w:t xml:space="preserve"> screws [1</w:t>
      </w:r>
      <w:r w:rsidR="00D34BC9">
        <w:rPr>
          <w:sz w:val="24"/>
        </w:rPr>
        <w:t>1</w:t>
      </w:r>
      <w:r w:rsidR="001966DE" w:rsidRPr="001966DE">
        <w:rPr>
          <w:sz w:val="24"/>
        </w:rPr>
        <w:t>,1</w:t>
      </w:r>
      <w:r w:rsidR="00D34BC9">
        <w:rPr>
          <w:sz w:val="24"/>
        </w:rPr>
        <w:t>2</w:t>
      </w:r>
      <w:r w:rsidR="001966DE" w:rsidRPr="001966DE">
        <w:rPr>
          <w:sz w:val="24"/>
        </w:rPr>
        <w:t>].  Prospective research is scarce, but also illustrates several positives for dorsal plating techniques. Hu et al. demonstrated better short- and medium-term outcomes with dorsal plates, as well as a smaller re-operation rate, in their prospective comparative study [1</w:t>
      </w:r>
      <w:r w:rsidR="00D34BC9">
        <w:rPr>
          <w:sz w:val="24"/>
        </w:rPr>
        <w:t>3</w:t>
      </w:r>
      <w:r w:rsidR="001966DE" w:rsidRPr="001966DE">
        <w:rPr>
          <w:sz w:val="24"/>
        </w:rPr>
        <w:t xml:space="preserve">]. Despite promising results through dorsal plating, no randomized controlled trial has been undertaken to compare dorsal plating with the more established </w:t>
      </w:r>
      <w:proofErr w:type="spellStart"/>
      <w:r w:rsidR="001966DE" w:rsidRPr="001966DE">
        <w:rPr>
          <w:sz w:val="24"/>
        </w:rPr>
        <w:t>transarticular</w:t>
      </w:r>
      <w:proofErr w:type="spellEnd"/>
      <w:r w:rsidR="001966DE" w:rsidRPr="001966DE">
        <w:rPr>
          <w:sz w:val="24"/>
        </w:rPr>
        <w:t xml:space="preserve"> screw technique.  Stable anatomical reduction of the Lisfranc joint generally leads to better patient outcome scores [1</w:t>
      </w:r>
      <w:r w:rsidR="00D34BC9">
        <w:rPr>
          <w:sz w:val="24"/>
        </w:rPr>
        <w:t>4</w:t>
      </w:r>
      <w:r w:rsidR="001966DE" w:rsidRPr="001966DE">
        <w:rPr>
          <w:sz w:val="24"/>
        </w:rPr>
        <w:t>, 1</w:t>
      </w:r>
      <w:r w:rsidR="00D34BC9">
        <w:rPr>
          <w:sz w:val="24"/>
        </w:rPr>
        <w:t>5</w:t>
      </w:r>
      <w:r w:rsidR="001966DE" w:rsidRPr="001966DE">
        <w:rPr>
          <w:sz w:val="24"/>
        </w:rPr>
        <w:t xml:space="preserve">]. In theory, dorsal plating accomplishes this task, while minimizing further articular trauma. With no clear favourable method of fixation established through research, we seek to commence a randomized controlled trial comparing </w:t>
      </w:r>
      <w:proofErr w:type="spellStart"/>
      <w:r w:rsidR="001966DE" w:rsidRPr="001966DE">
        <w:rPr>
          <w:sz w:val="24"/>
        </w:rPr>
        <w:t>transarticular</w:t>
      </w:r>
      <w:proofErr w:type="spellEnd"/>
      <w:r w:rsidR="001966DE" w:rsidRPr="001966DE">
        <w:rPr>
          <w:sz w:val="24"/>
        </w:rPr>
        <w:t xml:space="preserve"> screw versus dorsal plating fixation for Lisfranc injuries. </w:t>
      </w:r>
    </w:p>
    <w:p w14:paraId="5AE881A2" w14:textId="3C0EEC47" w:rsidR="008924D1" w:rsidRDefault="008924D1" w:rsidP="00115E0C">
      <w:pPr>
        <w:spacing w:after="80" w:line="276" w:lineRule="auto"/>
        <w:rPr>
          <w:rFonts w:cs="Arial"/>
          <w:color w:val="000000" w:themeColor="text1"/>
          <w:sz w:val="24"/>
        </w:rPr>
      </w:pPr>
    </w:p>
    <w:p w14:paraId="238B3151" w14:textId="1433163E" w:rsidR="008924D1" w:rsidRPr="008924D1" w:rsidRDefault="008924D1" w:rsidP="00115E0C">
      <w:pPr>
        <w:spacing w:after="80" w:line="276" w:lineRule="auto"/>
        <w:rPr>
          <w:rFonts w:cs="Arial"/>
          <w:color w:val="000000" w:themeColor="text1"/>
          <w:sz w:val="24"/>
        </w:rPr>
      </w:pPr>
      <w:r>
        <w:rPr>
          <w:rFonts w:cs="Arial"/>
          <w:color w:val="000000" w:themeColor="text1"/>
          <w:sz w:val="24"/>
        </w:rPr>
        <w:t xml:space="preserve">Fixation with multiple types of metalwork for Lisfranc injuries can often lead to symptoms of pain and irritation. </w:t>
      </w:r>
      <w:proofErr w:type="spellStart"/>
      <w:r>
        <w:rPr>
          <w:rFonts w:cs="Arial"/>
          <w:color w:val="000000" w:themeColor="text1"/>
          <w:sz w:val="24"/>
        </w:rPr>
        <w:t>Eleftheriou</w:t>
      </w:r>
      <w:proofErr w:type="spellEnd"/>
      <w:r>
        <w:rPr>
          <w:rFonts w:cs="Arial"/>
          <w:color w:val="000000" w:themeColor="text1"/>
          <w:sz w:val="24"/>
        </w:rPr>
        <w:t xml:space="preserve"> </w:t>
      </w:r>
      <w:r w:rsidRPr="008924D1">
        <w:rPr>
          <w:rFonts w:cs="Arial"/>
          <w:i/>
          <w:color w:val="000000" w:themeColor="text1"/>
          <w:sz w:val="24"/>
        </w:rPr>
        <w:t xml:space="preserve">et </w:t>
      </w:r>
      <w:proofErr w:type="spellStart"/>
      <w:r w:rsidRPr="008924D1">
        <w:rPr>
          <w:rFonts w:cs="Arial"/>
          <w:i/>
          <w:color w:val="000000" w:themeColor="text1"/>
          <w:sz w:val="24"/>
        </w:rPr>
        <w:t>al’s</w:t>
      </w:r>
      <w:proofErr w:type="spellEnd"/>
      <w:r>
        <w:rPr>
          <w:rFonts w:cs="Arial"/>
          <w:color w:val="000000" w:themeColor="text1"/>
          <w:sz w:val="24"/>
        </w:rPr>
        <w:t xml:space="preserve"> review of the literature estimated symptoms secondary to metalwork fixation in up to 16% of cases requiring removal </w:t>
      </w:r>
      <w:r w:rsidR="008B5607">
        <w:rPr>
          <w:rFonts w:cs="Arial"/>
          <w:color w:val="000000" w:themeColor="text1"/>
          <w:sz w:val="24"/>
        </w:rPr>
        <w:t>[</w:t>
      </w:r>
      <w:r>
        <w:rPr>
          <w:rFonts w:cs="Arial"/>
          <w:color w:val="000000" w:themeColor="text1"/>
          <w:sz w:val="24"/>
        </w:rPr>
        <w:t>4</w:t>
      </w:r>
      <w:r w:rsidR="008B5607">
        <w:rPr>
          <w:rFonts w:cs="Arial"/>
          <w:color w:val="000000" w:themeColor="text1"/>
          <w:sz w:val="24"/>
        </w:rPr>
        <w:t>]</w:t>
      </w:r>
      <w:r>
        <w:rPr>
          <w:rFonts w:cs="Arial"/>
          <w:color w:val="000000" w:themeColor="text1"/>
          <w:sz w:val="24"/>
        </w:rPr>
        <w:t xml:space="preserve">. </w:t>
      </w:r>
      <w:r w:rsidR="003226A1">
        <w:rPr>
          <w:rFonts w:cs="Arial"/>
          <w:color w:val="000000" w:themeColor="text1"/>
          <w:sz w:val="24"/>
        </w:rPr>
        <w:t xml:space="preserve">Ly reported a 19% rate of symptomatic metalware following arthrodesis, and 80% following open reduction internal fixation. In this study, metalwork was removed at an average of 6.75 months post-operatively, if symptomatic </w:t>
      </w:r>
      <w:r w:rsidR="008B5607">
        <w:rPr>
          <w:rFonts w:cs="Arial"/>
          <w:color w:val="000000" w:themeColor="text1"/>
          <w:sz w:val="24"/>
        </w:rPr>
        <w:t>[</w:t>
      </w:r>
      <w:r w:rsidR="00F012FB">
        <w:rPr>
          <w:rFonts w:cs="Arial"/>
          <w:color w:val="000000" w:themeColor="text1"/>
          <w:sz w:val="24"/>
        </w:rPr>
        <w:t>7</w:t>
      </w:r>
      <w:r w:rsidR="008B5607">
        <w:rPr>
          <w:rFonts w:cs="Arial"/>
          <w:color w:val="000000" w:themeColor="text1"/>
          <w:sz w:val="24"/>
        </w:rPr>
        <w:t>]</w:t>
      </w:r>
      <w:r w:rsidR="003226A1">
        <w:rPr>
          <w:rFonts w:cs="Arial"/>
          <w:color w:val="000000" w:themeColor="text1"/>
          <w:sz w:val="24"/>
        </w:rPr>
        <w:t xml:space="preserve">. </w:t>
      </w:r>
      <w:r w:rsidR="00704DAE">
        <w:rPr>
          <w:rFonts w:cs="Arial"/>
          <w:color w:val="000000" w:themeColor="text1"/>
          <w:sz w:val="24"/>
        </w:rPr>
        <w:t xml:space="preserve">Some studies report routinely removing metalwork </w:t>
      </w:r>
      <w:r w:rsidR="00C84254">
        <w:rPr>
          <w:rFonts w:cs="Arial"/>
          <w:color w:val="000000" w:themeColor="text1"/>
          <w:sz w:val="24"/>
        </w:rPr>
        <w:t xml:space="preserve">between 3 to 4 months </w:t>
      </w:r>
      <w:r w:rsidR="008B5607">
        <w:rPr>
          <w:rFonts w:cs="Arial"/>
          <w:color w:val="000000" w:themeColor="text1"/>
          <w:sz w:val="24"/>
        </w:rPr>
        <w:t>[</w:t>
      </w:r>
      <w:r w:rsidR="00C84254">
        <w:rPr>
          <w:rFonts w:cs="Arial"/>
          <w:color w:val="000000" w:themeColor="text1"/>
          <w:sz w:val="24"/>
        </w:rPr>
        <w:t>5</w:t>
      </w:r>
      <w:r w:rsidR="008B5607">
        <w:rPr>
          <w:rFonts w:cs="Arial"/>
          <w:color w:val="000000" w:themeColor="text1"/>
          <w:sz w:val="24"/>
        </w:rPr>
        <w:t>]</w:t>
      </w:r>
      <w:r w:rsidR="00C84254">
        <w:rPr>
          <w:rFonts w:cs="Arial"/>
          <w:color w:val="000000" w:themeColor="text1"/>
          <w:sz w:val="24"/>
        </w:rPr>
        <w:t xml:space="preserve">. </w:t>
      </w:r>
      <w:proofErr w:type="spellStart"/>
      <w:r w:rsidR="00C84254">
        <w:rPr>
          <w:rFonts w:cs="Arial"/>
          <w:color w:val="000000" w:themeColor="text1"/>
          <w:sz w:val="24"/>
        </w:rPr>
        <w:t>Kirzner</w:t>
      </w:r>
      <w:proofErr w:type="spellEnd"/>
      <w:r w:rsidR="00C84254">
        <w:rPr>
          <w:rFonts w:cs="Arial"/>
          <w:color w:val="000000" w:themeColor="text1"/>
          <w:sz w:val="24"/>
        </w:rPr>
        <w:t xml:space="preserve"> </w:t>
      </w:r>
      <w:r w:rsidR="00C84254">
        <w:rPr>
          <w:rFonts w:cs="Arial"/>
          <w:i/>
          <w:color w:val="000000" w:themeColor="text1"/>
          <w:sz w:val="24"/>
        </w:rPr>
        <w:t>et al</w:t>
      </w:r>
      <w:r w:rsidR="00C84254">
        <w:rPr>
          <w:rFonts w:cs="Arial"/>
          <w:color w:val="000000" w:themeColor="text1"/>
          <w:sz w:val="24"/>
        </w:rPr>
        <w:t xml:space="preserve"> arranged for metalwork removal no earlier than six months post operatively, if required </w:t>
      </w:r>
      <w:r w:rsidR="00F012FB">
        <w:rPr>
          <w:rFonts w:cs="Arial"/>
          <w:color w:val="000000" w:themeColor="text1"/>
          <w:sz w:val="24"/>
        </w:rPr>
        <w:t>[</w:t>
      </w:r>
      <w:r w:rsidR="00C84254">
        <w:rPr>
          <w:rFonts w:cs="Arial"/>
          <w:color w:val="000000" w:themeColor="text1"/>
          <w:sz w:val="24"/>
        </w:rPr>
        <w:t>1</w:t>
      </w:r>
      <w:r w:rsidR="00F012FB">
        <w:rPr>
          <w:rFonts w:cs="Arial"/>
          <w:color w:val="000000" w:themeColor="text1"/>
          <w:sz w:val="24"/>
        </w:rPr>
        <w:t>1]</w:t>
      </w:r>
      <w:r w:rsidR="00C84254">
        <w:rPr>
          <w:rFonts w:cs="Arial"/>
          <w:color w:val="000000" w:themeColor="text1"/>
          <w:sz w:val="24"/>
        </w:rPr>
        <w:t xml:space="preserve">. </w:t>
      </w:r>
      <w:r w:rsidR="00704DAE">
        <w:rPr>
          <w:rFonts w:cs="Arial"/>
          <w:color w:val="000000" w:themeColor="text1"/>
          <w:sz w:val="24"/>
        </w:rPr>
        <w:t xml:space="preserve">Multiple studies advocate for removal of metalwork only once full union is achieve or if metalwork becomes symptomatic </w:t>
      </w:r>
      <w:r w:rsidR="00252903">
        <w:rPr>
          <w:rFonts w:cs="Arial"/>
          <w:color w:val="000000" w:themeColor="text1"/>
          <w:sz w:val="24"/>
        </w:rPr>
        <w:lastRenderedPageBreak/>
        <w:t>[19</w:t>
      </w:r>
      <w:r w:rsidR="00704DAE">
        <w:rPr>
          <w:rFonts w:cs="Arial"/>
          <w:color w:val="000000" w:themeColor="text1"/>
          <w:sz w:val="24"/>
        </w:rPr>
        <w:t>-2</w:t>
      </w:r>
      <w:r w:rsidR="00252903">
        <w:rPr>
          <w:rFonts w:cs="Arial"/>
          <w:color w:val="000000" w:themeColor="text1"/>
          <w:sz w:val="24"/>
        </w:rPr>
        <w:t>1]</w:t>
      </w:r>
      <w:r w:rsidR="00704DAE">
        <w:rPr>
          <w:rFonts w:cs="Arial"/>
          <w:color w:val="000000" w:themeColor="text1"/>
          <w:sz w:val="24"/>
        </w:rPr>
        <w:t xml:space="preserve">. </w:t>
      </w:r>
      <w:r w:rsidR="00C93CF0">
        <w:rPr>
          <w:rFonts w:cs="Arial"/>
          <w:color w:val="000000" w:themeColor="text1"/>
          <w:sz w:val="24"/>
        </w:rPr>
        <w:t xml:space="preserve">No studies accurately document the rate of symptomatic metalwork in dorsal plating compared to </w:t>
      </w:r>
      <w:proofErr w:type="spellStart"/>
      <w:r w:rsidR="00C93CF0">
        <w:rPr>
          <w:rFonts w:cs="Arial"/>
          <w:color w:val="000000" w:themeColor="text1"/>
          <w:sz w:val="24"/>
        </w:rPr>
        <w:t>transarticular</w:t>
      </w:r>
      <w:proofErr w:type="spellEnd"/>
      <w:r w:rsidR="00C93CF0">
        <w:rPr>
          <w:rFonts w:cs="Arial"/>
          <w:color w:val="000000" w:themeColor="text1"/>
          <w:sz w:val="24"/>
        </w:rPr>
        <w:t xml:space="preserve"> screws. </w:t>
      </w:r>
      <w:r w:rsidR="0064154B">
        <w:rPr>
          <w:rFonts w:cs="Arial"/>
          <w:color w:val="000000" w:themeColor="text1"/>
          <w:sz w:val="24"/>
        </w:rPr>
        <w:t xml:space="preserve">This study aims to compare rate of required metalwork removal between these techniques as a secondary outcome measure. </w:t>
      </w:r>
      <w:r w:rsidR="00C93CF0">
        <w:rPr>
          <w:rFonts w:cs="Arial"/>
          <w:color w:val="000000" w:themeColor="text1"/>
          <w:sz w:val="24"/>
        </w:rPr>
        <w:t xml:space="preserve"> </w:t>
      </w:r>
    </w:p>
    <w:p w14:paraId="6B05EFB1" w14:textId="77777777" w:rsidR="00115E0C" w:rsidRPr="00A54CA1" w:rsidRDefault="00115E0C" w:rsidP="00115E0C">
      <w:pPr>
        <w:spacing w:after="80" w:line="276" w:lineRule="auto"/>
        <w:rPr>
          <w:rFonts w:cs="Arial"/>
          <w:color w:val="808080" w:themeColor="background1" w:themeShade="80"/>
          <w:sz w:val="24"/>
        </w:rPr>
      </w:pPr>
    </w:p>
    <w:p w14:paraId="006A8113" w14:textId="77777777" w:rsidR="0099513E" w:rsidRPr="007D7739" w:rsidRDefault="0099513E" w:rsidP="006C177D">
      <w:pPr>
        <w:pStyle w:val="Heading2"/>
        <w:keepNext w:val="0"/>
        <w:numPr>
          <w:ilvl w:val="0"/>
          <w:numId w:val="1"/>
        </w:numPr>
        <w:spacing w:before="200" w:after="0" w:line="276" w:lineRule="auto"/>
        <w:ind w:left="426" w:hanging="426"/>
        <w:jc w:val="both"/>
        <w:rPr>
          <w:b w:val="0"/>
          <w:i w:val="0"/>
          <w:szCs w:val="24"/>
        </w:rPr>
      </w:pPr>
      <w:bookmarkStart w:id="3" w:name="_Toc322956419"/>
      <w:r w:rsidRPr="007D7739">
        <w:rPr>
          <w:i w:val="0"/>
          <w:szCs w:val="24"/>
        </w:rPr>
        <w:t>Study Objectives</w:t>
      </w:r>
      <w:bookmarkEnd w:id="3"/>
    </w:p>
    <w:p w14:paraId="10E654C7" w14:textId="6CA631A1" w:rsidR="001A56E8" w:rsidRDefault="001A56E8" w:rsidP="006C177D">
      <w:pPr>
        <w:pStyle w:val="Heading3"/>
        <w:keepNext w:val="0"/>
        <w:numPr>
          <w:ilvl w:val="0"/>
          <w:numId w:val="12"/>
        </w:numPr>
        <w:spacing w:before="200" w:after="0" w:line="276" w:lineRule="auto"/>
        <w:ind w:left="709"/>
        <w:rPr>
          <w:sz w:val="24"/>
          <w:szCs w:val="24"/>
        </w:rPr>
      </w:pPr>
      <w:r w:rsidRPr="001A56E8">
        <w:rPr>
          <w:sz w:val="24"/>
          <w:szCs w:val="24"/>
        </w:rPr>
        <w:t>Research</w:t>
      </w:r>
      <w:r w:rsidR="007D7739">
        <w:rPr>
          <w:sz w:val="24"/>
          <w:szCs w:val="24"/>
        </w:rPr>
        <w:t xml:space="preserve"> Question</w:t>
      </w:r>
      <w:r w:rsidR="007A1C1F">
        <w:rPr>
          <w:sz w:val="24"/>
          <w:szCs w:val="24"/>
        </w:rPr>
        <w:t xml:space="preserve"> and Aims/objectives</w:t>
      </w:r>
    </w:p>
    <w:p w14:paraId="77632BFE" w14:textId="2DD1BFF6" w:rsidR="002726EE" w:rsidRPr="002726EE" w:rsidRDefault="002726EE" w:rsidP="002726EE">
      <w:pPr>
        <w:rPr>
          <w:sz w:val="24"/>
        </w:rPr>
      </w:pPr>
      <w:r w:rsidRPr="002726EE">
        <w:rPr>
          <w:sz w:val="24"/>
        </w:rPr>
        <w:t xml:space="preserve">The primary purpose of this study is to further compare and analyse dorsal plate vs </w:t>
      </w:r>
      <w:proofErr w:type="spellStart"/>
      <w:r w:rsidRPr="002726EE">
        <w:rPr>
          <w:sz w:val="24"/>
        </w:rPr>
        <w:t>transarticular</w:t>
      </w:r>
      <w:proofErr w:type="spellEnd"/>
      <w:r w:rsidRPr="002726EE">
        <w:rPr>
          <w:sz w:val="24"/>
        </w:rPr>
        <w:t xml:space="preserve"> screw fixation in Lisfranc injuries through a randomized controlled trial.</w:t>
      </w:r>
      <w:r w:rsidR="00AE5F56">
        <w:rPr>
          <w:sz w:val="24"/>
        </w:rPr>
        <w:t xml:space="preserve"> The p</w:t>
      </w:r>
      <w:r w:rsidRPr="002726EE">
        <w:rPr>
          <w:sz w:val="24"/>
        </w:rPr>
        <w:t>rimary outcome</w:t>
      </w:r>
      <w:r w:rsidR="00AE5F56">
        <w:rPr>
          <w:sz w:val="24"/>
        </w:rPr>
        <w:t xml:space="preserve"> is improvement of pain post-operatively, as assessed by the </w:t>
      </w:r>
      <w:proofErr w:type="spellStart"/>
      <w:r w:rsidR="00AE5F56">
        <w:rPr>
          <w:sz w:val="24"/>
        </w:rPr>
        <w:t>MOxFQ</w:t>
      </w:r>
      <w:proofErr w:type="spellEnd"/>
      <w:r w:rsidR="00AE5F56">
        <w:rPr>
          <w:sz w:val="24"/>
        </w:rPr>
        <w:t xml:space="preserve"> pain score</w:t>
      </w:r>
      <w:r w:rsidRPr="002726EE">
        <w:rPr>
          <w:sz w:val="24"/>
        </w:rPr>
        <w:t xml:space="preserve">. Secondary outcomes </w:t>
      </w:r>
      <w:r w:rsidR="009F4A08">
        <w:rPr>
          <w:sz w:val="24"/>
        </w:rPr>
        <w:t>include</w:t>
      </w:r>
      <w:r w:rsidR="00AE5F56">
        <w:rPr>
          <w:sz w:val="24"/>
        </w:rPr>
        <w:t xml:space="preserve">, </w:t>
      </w:r>
      <w:proofErr w:type="spellStart"/>
      <w:r w:rsidR="00AE5F56">
        <w:rPr>
          <w:sz w:val="24"/>
        </w:rPr>
        <w:t>MOxFQ</w:t>
      </w:r>
      <w:proofErr w:type="spellEnd"/>
      <w:r w:rsidR="00AE5F56">
        <w:rPr>
          <w:sz w:val="24"/>
        </w:rPr>
        <w:t xml:space="preserve"> function score, </w:t>
      </w:r>
      <w:r w:rsidR="0013169F">
        <w:rPr>
          <w:sz w:val="24"/>
        </w:rPr>
        <w:t xml:space="preserve">AOFAS midfoot scores, </w:t>
      </w:r>
      <w:r w:rsidR="00AE5F56">
        <w:rPr>
          <w:sz w:val="24"/>
        </w:rPr>
        <w:t>EQ-5D quality of life score, and</w:t>
      </w:r>
      <w:r w:rsidRPr="002726EE">
        <w:rPr>
          <w:sz w:val="24"/>
        </w:rPr>
        <w:t xml:space="preserve"> need for further surgery, such as for fixation failure</w:t>
      </w:r>
      <w:r w:rsidR="00AE5F56">
        <w:rPr>
          <w:sz w:val="24"/>
        </w:rPr>
        <w:t>, pain secondary to metalwork</w:t>
      </w:r>
      <w:r w:rsidRPr="002726EE">
        <w:rPr>
          <w:sz w:val="24"/>
        </w:rPr>
        <w:t xml:space="preserve"> and infection. Tertiary outcomes include monitoring for radiological signs of arthrosis. These outcomes have been selected to further examine the factors important to patient satisfaction, as well as the factors to likely </w:t>
      </w:r>
      <w:r w:rsidR="00770C18">
        <w:rPr>
          <w:sz w:val="24"/>
        </w:rPr>
        <w:t>require</w:t>
      </w:r>
      <w:r w:rsidRPr="002726EE">
        <w:rPr>
          <w:sz w:val="24"/>
        </w:rPr>
        <w:t xml:space="preserve"> further surgery either acutely or in the future.  </w:t>
      </w:r>
    </w:p>
    <w:p w14:paraId="24882C9B" w14:textId="213740A5" w:rsidR="001A56E8" w:rsidRPr="001A56E8" w:rsidRDefault="0099513E" w:rsidP="006C177D">
      <w:pPr>
        <w:pStyle w:val="Heading3"/>
        <w:keepNext w:val="0"/>
        <w:numPr>
          <w:ilvl w:val="0"/>
          <w:numId w:val="12"/>
        </w:numPr>
        <w:spacing w:before="200" w:after="0" w:line="276" w:lineRule="auto"/>
        <w:ind w:left="709"/>
        <w:jc w:val="both"/>
        <w:rPr>
          <w:i/>
          <w:color w:val="808080"/>
          <w:sz w:val="24"/>
          <w:szCs w:val="24"/>
        </w:rPr>
      </w:pPr>
      <w:r w:rsidRPr="004A238B">
        <w:rPr>
          <w:sz w:val="24"/>
          <w:szCs w:val="24"/>
        </w:rPr>
        <w:t>Hypothesis</w:t>
      </w:r>
    </w:p>
    <w:p w14:paraId="1EEF6131" w14:textId="12F6B2BD" w:rsidR="0099513E" w:rsidRPr="00BE1DE8" w:rsidRDefault="005E124C" w:rsidP="00BE1DE8">
      <w:pPr>
        <w:rPr>
          <w:sz w:val="24"/>
        </w:rPr>
      </w:pPr>
      <w:r>
        <w:rPr>
          <w:sz w:val="24"/>
        </w:rPr>
        <w:t>The</w:t>
      </w:r>
      <w:r w:rsidR="00100429" w:rsidRPr="00100429">
        <w:rPr>
          <w:sz w:val="24"/>
        </w:rPr>
        <w:t xml:space="preserve"> null hypothesis is that there is no difference between dorsal plate and </w:t>
      </w:r>
      <w:proofErr w:type="spellStart"/>
      <w:r w:rsidR="00100429" w:rsidRPr="00100429">
        <w:rPr>
          <w:sz w:val="24"/>
        </w:rPr>
        <w:t>transarticular</w:t>
      </w:r>
      <w:proofErr w:type="spellEnd"/>
      <w:r w:rsidR="00100429" w:rsidRPr="00100429">
        <w:rPr>
          <w:sz w:val="24"/>
        </w:rPr>
        <w:t xml:space="preserve"> screw fixation. The alternative hypothesis is that dorsal plate fixation will improve </w:t>
      </w:r>
      <w:r w:rsidR="00770C18">
        <w:rPr>
          <w:sz w:val="24"/>
        </w:rPr>
        <w:t xml:space="preserve">subjective </w:t>
      </w:r>
      <w:r w:rsidR="00100429" w:rsidRPr="00100429">
        <w:rPr>
          <w:sz w:val="24"/>
        </w:rPr>
        <w:t>pain scores,</w:t>
      </w:r>
      <w:r w:rsidR="00A22C6E">
        <w:rPr>
          <w:sz w:val="24"/>
        </w:rPr>
        <w:t xml:space="preserve"> as measured by the Manchester-Oxford Foot Questionnaire (</w:t>
      </w:r>
      <w:proofErr w:type="spellStart"/>
      <w:r w:rsidR="00A22C6E">
        <w:rPr>
          <w:sz w:val="24"/>
        </w:rPr>
        <w:t>MOxFQ</w:t>
      </w:r>
      <w:proofErr w:type="spellEnd"/>
      <w:r w:rsidR="00A22C6E">
        <w:rPr>
          <w:sz w:val="24"/>
        </w:rPr>
        <w:t xml:space="preserve">). The </w:t>
      </w:r>
      <w:proofErr w:type="spellStart"/>
      <w:r w:rsidR="00A22C6E">
        <w:rPr>
          <w:sz w:val="24"/>
        </w:rPr>
        <w:t>MOxFQ</w:t>
      </w:r>
      <w:proofErr w:type="spellEnd"/>
      <w:r w:rsidR="00A22C6E">
        <w:rPr>
          <w:sz w:val="24"/>
        </w:rPr>
        <w:t xml:space="preserve"> consists of </w:t>
      </w:r>
      <w:r w:rsidR="00BE1DE8">
        <w:rPr>
          <w:sz w:val="24"/>
        </w:rPr>
        <w:t xml:space="preserve">the </w:t>
      </w:r>
      <w:r w:rsidR="00A22C6E">
        <w:rPr>
          <w:sz w:val="24"/>
        </w:rPr>
        <w:t>three domains</w:t>
      </w:r>
      <w:r w:rsidR="00BE1DE8">
        <w:rPr>
          <w:sz w:val="24"/>
        </w:rPr>
        <w:t xml:space="preserve"> of walking/standing, pain, and social interaction. </w:t>
      </w:r>
      <w:r w:rsidR="00297C66">
        <w:rPr>
          <w:sz w:val="24"/>
        </w:rPr>
        <w:t xml:space="preserve">We </w:t>
      </w:r>
      <w:r>
        <w:rPr>
          <w:sz w:val="24"/>
        </w:rPr>
        <w:t xml:space="preserve">additionally hypothesize </w:t>
      </w:r>
      <w:r w:rsidR="00297C66">
        <w:rPr>
          <w:sz w:val="24"/>
        </w:rPr>
        <w:t xml:space="preserve">that dorsal plating will lead to </w:t>
      </w:r>
      <w:r w:rsidR="0079185E">
        <w:rPr>
          <w:sz w:val="24"/>
        </w:rPr>
        <w:t xml:space="preserve">a </w:t>
      </w:r>
      <w:r w:rsidR="00297C66">
        <w:rPr>
          <w:sz w:val="24"/>
        </w:rPr>
        <w:t xml:space="preserve">better </w:t>
      </w:r>
      <w:r w:rsidR="0079185E">
        <w:rPr>
          <w:sz w:val="24"/>
        </w:rPr>
        <w:t>function score (</w:t>
      </w:r>
      <w:proofErr w:type="spellStart"/>
      <w:r w:rsidR="0079185E">
        <w:rPr>
          <w:sz w:val="24"/>
        </w:rPr>
        <w:t>MOxFQ</w:t>
      </w:r>
      <w:proofErr w:type="spellEnd"/>
      <w:r w:rsidR="0079185E">
        <w:rPr>
          <w:sz w:val="24"/>
        </w:rPr>
        <w:t xml:space="preserve"> </w:t>
      </w:r>
      <w:r>
        <w:rPr>
          <w:sz w:val="24"/>
        </w:rPr>
        <w:t>walking/standing)</w:t>
      </w:r>
      <w:r w:rsidR="00F81DDE">
        <w:rPr>
          <w:sz w:val="24"/>
        </w:rPr>
        <w:t xml:space="preserve">, </w:t>
      </w:r>
      <w:r>
        <w:rPr>
          <w:sz w:val="24"/>
        </w:rPr>
        <w:t>EQ-5D</w:t>
      </w:r>
      <w:r w:rsidR="00F81DDE">
        <w:rPr>
          <w:sz w:val="24"/>
        </w:rPr>
        <w:t xml:space="preserve">, and AOFAS scores. </w:t>
      </w:r>
    </w:p>
    <w:p w14:paraId="60704A13" w14:textId="77777777" w:rsidR="0099513E" w:rsidRPr="007D7739" w:rsidRDefault="0099513E" w:rsidP="006C177D">
      <w:pPr>
        <w:pStyle w:val="Heading2"/>
        <w:keepNext w:val="0"/>
        <w:numPr>
          <w:ilvl w:val="0"/>
          <w:numId w:val="1"/>
        </w:numPr>
        <w:spacing w:before="200" w:after="0" w:line="276" w:lineRule="auto"/>
        <w:ind w:left="426" w:hanging="426"/>
        <w:jc w:val="both"/>
        <w:rPr>
          <w:b w:val="0"/>
          <w:i w:val="0"/>
          <w:szCs w:val="24"/>
        </w:rPr>
      </w:pPr>
      <w:r w:rsidRPr="007D7739">
        <w:rPr>
          <w:i w:val="0"/>
          <w:szCs w:val="24"/>
        </w:rPr>
        <w:t>Methods</w:t>
      </w:r>
    </w:p>
    <w:p w14:paraId="4ED69A5C" w14:textId="77777777" w:rsidR="0099513E" w:rsidRPr="00857D1B" w:rsidRDefault="001F5B92" w:rsidP="00844D13">
      <w:pPr>
        <w:pStyle w:val="Heading3"/>
        <w:keepNext w:val="0"/>
        <w:numPr>
          <w:ilvl w:val="1"/>
          <w:numId w:val="1"/>
        </w:numPr>
        <w:spacing w:before="200" w:after="0" w:line="276" w:lineRule="auto"/>
        <w:ind w:left="709"/>
        <w:jc w:val="both"/>
        <w:rPr>
          <w:b w:val="0"/>
          <w:i/>
          <w:sz w:val="24"/>
          <w:szCs w:val="24"/>
        </w:rPr>
      </w:pPr>
      <w:r w:rsidRPr="00857D1B">
        <w:rPr>
          <w:sz w:val="24"/>
          <w:szCs w:val="24"/>
        </w:rPr>
        <w:t>Methodological Approach</w:t>
      </w:r>
    </w:p>
    <w:p w14:paraId="2EF06E2D" w14:textId="5D8F04AA" w:rsidR="00C24A04" w:rsidRPr="00C24A04" w:rsidRDefault="00C24A04" w:rsidP="00C24A04">
      <w:pPr>
        <w:rPr>
          <w:sz w:val="24"/>
        </w:rPr>
      </w:pPr>
      <w:r w:rsidRPr="00C24A04">
        <w:rPr>
          <w:sz w:val="24"/>
        </w:rPr>
        <w:t xml:space="preserve">Individuals with a diagnosed Lisfranc injury as per weight bearing X-ray or CT scan, and consenting to operative fixation, will be recruited to participate in the study. Consenting participants will be randomized to receive fixation by either </w:t>
      </w:r>
      <w:proofErr w:type="spellStart"/>
      <w:r w:rsidRPr="00C24A04">
        <w:rPr>
          <w:sz w:val="24"/>
        </w:rPr>
        <w:t>transarticular</w:t>
      </w:r>
      <w:proofErr w:type="spellEnd"/>
      <w:r w:rsidRPr="00C24A04">
        <w:rPr>
          <w:sz w:val="24"/>
        </w:rPr>
        <w:t xml:space="preserve"> screws or dorsal plate via a single surgical team.  Post</w:t>
      </w:r>
      <w:r w:rsidR="008E5E8C">
        <w:rPr>
          <w:sz w:val="24"/>
        </w:rPr>
        <w:t>-</w:t>
      </w:r>
      <w:r w:rsidRPr="00C24A04">
        <w:rPr>
          <w:sz w:val="24"/>
        </w:rPr>
        <w:t xml:space="preserve">operatively, patients will be followed up at 6 weeks, then 3, 6, 12, 24 months. At each review, they will be asked to complete </w:t>
      </w:r>
      <w:proofErr w:type="spellStart"/>
      <w:r w:rsidRPr="00C24A04">
        <w:rPr>
          <w:sz w:val="24"/>
        </w:rPr>
        <w:t>MO</w:t>
      </w:r>
      <w:r w:rsidR="00A744BD">
        <w:rPr>
          <w:sz w:val="24"/>
        </w:rPr>
        <w:t>x</w:t>
      </w:r>
      <w:r w:rsidRPr="00C24A04">
        <w:rPr>
          <w:sz w:val="24"/>
        </w:rPr>
        <w:t>FQ</w:t>
      </w:r>
      <w:proofErr w:type="spellEnd"/>
      <w:r w:rsidR="00826F22">
        <w:rPr>
          <w:sz w:val="24"/>
        </w:rPr>
        <w:t>,</w:t>
      </w:r>
      <w:r w:rsidRPr="00C24A04">
        <w:rPr>
          <w:sz w:val="24"/>
        </w:rPr>
        <w:t xml:space="preserve"> EQ-5D</w:t>
      </w:r>
      <w:r w:rsidR="00826F22">
        <w:rPr>
          <w:sz w:val="24"/>
        </w:rPr>
        <w:t>, and AOFAS scores, which</w:t>
      </w:r>
      <w:r w:rsidRPr="00C24A04">
        <w:rPr>
          <w:sz w:val="24"/>
        </w:rPr>
        <w:t xml:space="preserve"> are frequently used to assess subjective pain and function. Several studies have validated their use in to assess subjective pain and function following foot and ankle surgery </w:t>
      </w:r>
      <w:r w:rsidR="00EE4E5A">
        <w:rPr>
          <w:sz w:val="24"/>
        </w:rPr>
        <w:t>[</w:t>
      </w:r>
      <w:r w:rsidRPr="00C24A04">
        <w:rPr>
          <w:sz w:val="24"/>
        </w:rPr>
        <w:t>1</w:t>
      </w:r>
      <w:r w:rsidR="00EE4E5A">
        <w:rPr>
          <w:sz w:val="24"/>
        </w:rPr>
        <w:t>6</w:t>
      </w:r>
      <w:r w:rsidRPr="00C24A04">
        <w:rPr>
          <w:sz w:val="24"/>
        </w:rPr>
        <w:t>-1</w:t>
      </w:r>
      <w:r w:rsidR="00EE4E5A">
        <w:rPr>
          <w:sz w:val="24"/>
        </w:rPr>
        <w:t>8]</w:t>
      </w:r>
      <w:r w:rsidRPr="00C24A04">
        <w:rPr>
          <w:sz w:val="24"/>
        </w:rPr>
        <w:t xml:space="preserve">. Both the </w:t>
      </w:r>
      <w:proofErr w:type="spellStart"/>
      <w:r w:rsidRPr="00C24A04">
        <w:rPr>
          <w:sz w:val="24"/>
        </w:rPr>
        <w:t>MO</w:t>
      </w:r>
      <w:r w:rsidR="002D5A77">
        <w:rPr>
          <w:sz w:val="24"/>
        </w:rPr>
        <w:t>x</w:t>
      </w:r>
      <w:r w:rsidRPr="00C24A04">
        <w:rPr>
          <w:sz w:val="24"/>
        </w:rPr>
        <w:t>FQ</w:t>
      </w:r>
      <w:proofErr w:type="spellEnd"/>
      <w:r w:rsidRPr="00C24A04">
        <w:rPr>
          <w:sz w:val="24"/>
        </w:rPr>
        <w:t xml:space="preserve"> and Progression to union, failure of fixation, and progressive arthrosis will be assessed radiologically with X-rays at each follow up and CT scan where deemed necessary. We seek to include approximately 100 people to obtain adequate study power (50 per treatment arm).</w:t>
      </w:r>
    </w:p>
    <w:p w14:paraId="7C58CB08" w14:textId="77777777" w:rsidR="0099513E" w:rsidRPr="004A238B" w:rsidRDefault="0099513E" w:rsidP="00844D13">
      <w:pPr>
        <w:spacing w:line="276" w:lineRule="auto"/>
        <w:ind w:left="720"/>
        <w:rPr>
          <w:rFonts w:cs="Arial"/>
          <w:sz w:val="24"/>
        </w:rPr>
      </w:pPr>
    </w:p>
    <w:p w14:paraId="7571FA1F" w14:textId="0BE9AC1D" w:rsidR="0099513E" w:rsidRPr="00D00F99" w:rsidRDefault="0099513E" w:rsidP="00844D13">
      <w:pPr>
        <w:pStyle w:val="Heading3"/>
        <w:keepNext w:val="0"/>
        <w:numPr>
          <w:ilvl w:val="1"/>
          <w:numId w:val="1"/>
        </w:numPr>
        <w:spacing w:before="200" w:after="0" w:line="276" w:lineRule="auto"/>
        <w:ind w:left="709"/>
        <w:jc w:val="both"/>
        <w:rPr>
          <w:b w:val="0"/>
          <w:i/>
          <w:sz w:val="24"/>
          <w:szCs w:val="24"/>
        </w:rPr>
      </w:pPr>
      <w:r w:rsidRPr="00D00F99">
        <w:rPr>
          <w:sz w:val="24"/>
          <w:szCs w:val="24"/>
        </w:rPr>
        <w:t xml:space="preserve">Study </w:t>
      </w:r>
      <w:r w:rsidR="00A55FFD" w:rsidRPr="00D00F99">
        <w:rPr>
          <w:sz w:val="24"/>
          <w:szCs w:val="24"/>
        </w:rPr>
        <w:t>Sites/</w:t>
      </w:r>
      <w:r w:rsidRPr="00D00F99">
        <w:rPr>
          <w:sz w:val="24"/>
          <w:szCs w:val="24"/>
        </w:rPr>
        <w:t>Setting</w:t>
      </w:r>
      <w:r w:rsidR="00A55FFD" w:rsidRPr="00D00F99">
        <w:rPr>
          <w:sz w:val="24"/>
          <w:szCs w:val="24"/>
        </w:rPr>
        <w:t>s</w:t>
      </w:r>
    </w:p>
    <w:p w14:paraId="41426FC0" w14:textId="55AFD296" w:rsidR="00C73BB2" w:rsidRPr="00C73BB2" w:rsidRDefault="00C73BB2" w:rsidP="00C73BB2">
      <w:pPr>
        <w:spacing w:before="240"/>
        <w:rPr>
          <w:rFonts w:cs="Arial"/>
          <w:color w:val="000000" w:themeColor="text1"/>
          <w:sz w:val="24"/>
        </w:rPr>
      </w:pPr>
      <w:r>
        <w:rPr>
          <w:rFonts w:cs="Arial"/>
          <w:color w:val="000000" w:themeColor="text1"/>
          <w:sz w:val="24"/>
        </w:rPr>
        <w:t xml:space="preserve">This study will be a single-health service study, multi-centred, occurring at Gold Coast University and Robina Hospitals. Both of these hospitals operate under the service of Gold </w:t>
      </w:r>
      <w:r>
        <w:rPr>
          <w:rFonts w:cs="Arial"/>
          <w:color w:val="000000" w:themeColor="text1"/>
          <w:sz w:val="24"/>
        </w:rPr>
        <w:lastRenderedPageBreak/>
        <w:t>Coast Health, and under the care of a single orthopaedic surgery service. Patients will be grouped as if they are under once centre, as primarily they will be followed up in a single clinic</w:t>
      </w:r>
      <w:r w:rsidR="00B11CD6">
        <w:rPr>
          <w:rFonts w:cs="Arial"/>
          <w:color w:val="000000" w:themeColor="text1"/>
          <w:sz w:val="24"/>
        </w:rPr>
        <w:t xml:space="preserve"> and operated on by a single surgeon. </w:t>
      </w:r>
    </w:p>
    <w:p w14:paraId="726252F9" w14:textId="77777777" w:rsidR="0099513E" w:rsidRPr="00B11CD6" w:rsidRDefault="0099513E" w:rsidP="00B11CD6">
      <w:pPr>
        <w:rPr>
          <w:rFonts w:cs="Arial"/>
          <w:sz w:val="24"/>
        </w:rPr>
      </w:pPr>
    </w:p>
    <w:p w14:paraId="5B182D61" w14:textId="7B88ECBC" w:rsidR="007D7739" w:rsidRPr="007D7739" w:rsidRDefault="0099513E" w:rsidP="00844D13">
      <w:pPr>
        <w:pStyle w:val="Heading3"/>
        <w:keepNext w:val="0"/>
        <w:numPr>
          <w:ilvl w:val="1"/>
          <w:numId w:val="1"/>
        </w:numPr>
        <w:spacing w:before="200" w:after="0" w:line="276" w:lineRule="auto"/>
        <w:ind w:left="709"/>
        <w:jc w:val="both"/>
        <w:rPr>
          <w:sz w:val="24"/>
          <w:szCs w:val="24"/>
        </w:rPr>
      </w:pPr>
      <w:r w:rsidRPr="004A238B">
        <w:rPr>
          <w:sz w:val="24"/>
          <w:szCs w:val="24"/>
        </w:rPr>
        <w:t>Study Population</w:t>
      </w:r>
    </w:p>
    <w:p w14:paraId="361FD24C" w14:textId="75444C16" w:rsidR="00C62547" w:rsidRDefault="006275A3" w:rsidP="00560110">
      <w:pPr>
        <w:rPr>
          <w:rFonts w:cs="Arial"/>
          <w:color w:val="000000" w:themeColor="text1"/>
          <w:sz w:val="24"/>
        </w:rPr>
      </w:pPr>
      <w:r>
        <w:rPr>
          <w:rFonts w:cs="Arial"/>
          <w:color w:val="000000" w:themeColor="text1"/>
          <w:sz w:val="24"/>
        </w:rPr>
        <w:t>The</w:t>
      </w:r>
      <w:r w:rsidR="00EE014B">
        <w:rPr>
          <w:rFonts w:cs="Arial"/>
          <w:color w:val="000000" w:themeColor="text1"/>
          <w:sz w:val="24"/>
        </w:rPr>
        <w:t xml:space="preserve"> study population includes adults (those over the age of 18), with </w:t>
      </w:r>
      <w:r w:rsidR="00DB7626">
        <w:rPr>
          <w:rFonts w:cs="Arial"/>
          <w:color w:val="000000" w:themeColor="text1"/>
          <w:sz w:val="24"/>
        </w:rPr>
        <w:t xml:space="preserve">a Lisfranc injury confirmed on weight bearing bilateral foot radiographs, or CT scan. </w:t>
      </w:r>
      <w:r w:rsidR="00234B21">
        <w:rPr>
          <w:rFonts w:cs="Arial"/>
          <w:color w:val="000000" w:themeColor="text1"/>
          <w:sz w:val="24"/>
        </w:rPr>
        <w:t xml:space="preserve">This is </w:t>
      </w:r>
      <w:r w:rsidR="000D4B1C">
        <w:rPr>
          <w:rFonts w:cs="Arial"/>
          <w:color w:val="000000" w:themeColor="text1"/>
          <w:sz w:val="24"/>
        </w:rPr>
        <w:t>diagnosed on weightbearing radiographs as</w:t>
      </w:r>
      <w:r w:rsidR="00234B21">
        <w:rPr>
          <w:rFonts w:cs="Arial"/>
          <w:color w:val="000000" w:themeColor="text1"/>
          <w:sz w:val="24"/>
        </w:rPr>
        <w:t xml:space="preserve"> a difference of greater than 2</w:t>
      </w:r>
      <w:r w:rsidR="000D4B1C">
        <w:rPr>
          <w:rFonts w:cs="Arial"/>
          <w:color w:val="000000" w:themeColor="text1"/>
          <w:sz w:val="24"/>
        </w:rPr>
        <w:t xml:space="preserve"> millimetres of space between the distal lateral border of the medial cuneiform and the medial base of the second metatarsal</w:t>
      </w:r>
      <w:r w:rsidR="000C4EA0">
        <w:rPr>
          <w:rFonts w:cs="Arial"/>
          <w:color w:val="000000" w:themeColor="text1"/>
          <w:sz w:val="24"/>
        </w:rPr>
        <w:t xml:space="preserve">, or greater than </w:t>
      </w:r>
      <w:proofErr w:type="gramStart"/>
      <w:r w:rsidR="00664F8F">
        <w:rPr>
          <w:rFonts w:cs="Arial"/>
          <w:color w:val="000000" w:themeColor="text1"/>
          <w:sz w:val="24"/>
        </w:rPr>
        <w:t>1 millimetre</w:t>
      </w:r>
      <w:proofErr w:type="gramEnd"/>
      <w:r w:rsidR="000C4EA0">
        <w:rPr>
          <w:rFonts w:cs="Arial"/>
          <w:color w:val="000000" w:themeColor="text1"/>
          <w:sz w:val="24"/>
        </w:rPr>
        <w:t xml:space="preserve"> difference as</w:t>
      </w:r>
      <w:r w:rsidR="000D4B1C">
        <w:rPr>
          <w:rFonts w:cs="Arial"/>
          <w:color w:val="000000" w:themeColor="text1"/>
          <w:sz w:val="24"/>
        </w:rPr>
        <w:t xml:space="preserve"> compar</w:t>
      </w:r>
      <w:r w:rsidR="000C4EA0">
        <w:rPr>
          <w:rFonts w:cs="Arial"/>
          <w:color w:val="000000" w:themeColor="text1"/>
          <w:sz w:val="24"/>
        </w:rPr>
        <w:t xml:space="preserve">ed </w:t>
      </w:r>
      <w:r w:rsidR="000D4B1C">
        <w:rPr>
          <w:rFonts w:cs="Arial"/>
          <w:color w:val="000000" w:themeColor="text1"/>
          <w:sz w:val="24"/>
        </w:rPr>
        <w:t xml:space="preserve">to the non-injured side. </w:t>
      </w:r>
      <w:r w:rsidR="00126A55">
        <w:rPr>
          <w:rFonts w:cs="Arial"/>
          <w:color w:val="000000" w:themeColor="text1"/>
          <w:sz w:val="24"/>
        </w:rPr>
        <w:t>In</w:t>
      </w:r>
      <w:r w:rsidR="002B02B3">
        <w:rPr>
          <w:rFonts w:cs="Arial"/>
          <w:color w:val="000000" w:themeColor="text1"/>
          <w:sz w:val="24"/>
        </w:rPr>
        <w:t xml:space="preserve"> patients who cannot weight bear, a non-weightbearing radiograph or CT is used for diagnosis. Signs indicating a Lisfranc injury include complete discontinuity of a line drawn from the medial base of the second metatarsal to the medial border of the middle cuneiform on AP radiograph; a bony fragment in the first intermetatarsal space (also known as fleck sign</w:t>
      </w:r>
      <w:r w:rsidR="00B933A6">
        <w:rPr>
          <w:rFonts w:cs="Arial"/>
          <w:color w:val="000000" w:themeColor="text1"/>
          <w:sz w:val="24"/>
        </w:rPr>
        <w:t>)</w:t>
      </w:r>
      <w:r w:rsidR="002B02B3">
        <w:rPr>
          <w:rFonts w:cs="Arial"/>
          <w:color w:val="000000" w:themeColor="text1"/>
          <w:sz w:val="24"/>
        </w:rPr>
        <w:t xml:space="preserve">, indicative of an avulsion of the Lisfranc ligament; dorsal displacement of the proximal base of the first or second metatarsal on a lateral radiograph or sagittal CT sequence. </w:t>
      </w:r>
      <w:r w:rsidR="00DB7626">
        <w:rPr>
          <w:rFonts w:cs="Arial"/>
          <w:color w:val="000000" w:themeColor="text1"/>
          <w:sz w:val="24"/>
        </w:rPr>
        <w:t xml:space="preserve">Exclusion criteria include individuals with </w:t>
      </w:r>
      <w:r w:rsidR="00613922">
        <w:rPr>
          <w:rFonts w:cs="Arial"/>
          <w:color w:val="000000" w:themeColor="text1"/>
          <w:sz w:val="24"/>
        </w:rPr>
        <w:t xml:space="preserve">insulin dependent </w:t>
      </w:r>
      <w:r w:rsidR="00DB7626">
        <w:rPr>
          <w:rFonts w:cs="Arial"/>
          <w:color w:val="000000" w:themeColor="text1"/>
          <w:sz w:val="24"/>
        </w:rPr>
        <w:t xml:space="preserve">diabetes mellitus, </w:t>
      </w:r>
      <w:r w:rsidR="00A95B9E">
        <w:rPr>
          <w:rFonts w:cs="Arial"/>
          <w:color w:val="000000" w:themeColor="text1"/>
          <w:sz w:val="24"/>
        </w:rPr>
        <w:t>pre-</w:t>
      </w:r>
      <w:r w:rsidR="00DB7626">
        <w:rPr>
          <w:rFonts w:cs="Arial"/>
          <w:color w:val="000000" w:themeColor="text1"/>
          <w:sz w:val="24"/>
        </w:rPr>
        <w:t xml:space="preserve">existing </w:t>
      </w:r>
      <w:proofErr w:type="spellStart"/>
      <w:r w:rsidR="00DB7626">
        <w:rPr>
          <w:rFonts w:cs="Arial"/>
          <w:color w:val="000000" w:themeColor="text1"/>
          <w:sz w:val="24"/>
        </w:rPr>
        <w:t>charcot</w:t>
      </w:r>
      <w:proofErr w:type="spellEnd"/>
      <w:r w:rsidR="00DB7626">
        <w:rPr>
          <w:rFonts w:cs="Arial"/>
          <w:color w:val="000000" w:themeColor="text1"/>
          <w:sz w:val="24"/>
        </w:rPr>
        <w:t xml:space="preserve"> </w:t>
      </w:r>
      <w:proofErr w:type="spellStart"/>
      <w:r w:rsidR="00DB7626">
        <w:rPr>
          <w:rFonts w:cs="Arial"/>
          <w:color w:val="000000" w:themeColor="text1"/>
          <w:sz w:val="24"/>
        </w:rPr>
        <w:t>arthropathy</w:t>
      </w:r>
      <w:proofErr w:type="spellEnd"/>
      <w:r w:rsidR="00DB7626">
        <w:rPr>
          <w:rFonts w:cs="Arial"/>
          <w:color w:val="000000" w:themeColor="text1"/>
          <w:sz w:val="24"/>
        </w:rPr>
        <w:t>,</w:t>
      </w:r>
      <w:r w:rsidR="00A95B9E">
        <w:rPr>
          <w:rFonts w:cs="Arial"/>
          <w:color w:val="000000" w:themeColor="text1"/>
          <w:sz w:val="24"/>
        </w:rPr>
        <w:t xml:space="preserve"> pre-existing foot or ankle injury or pathology limiting mobility/function,</w:t>
      </w:r>
      <w:r w:rsidR="00DB7626">
        <w:rPr>
          <w:rFonts w:cs="Arial"/>
          <w:color w:val="000000" w:themeColor="text1"/>
          <w:sz w:val="24"/>
        </w:rPr>
        <w:t xml:space="preserve"> </w:t>
      </w:r>
      <w:proofErr w:type="spellStart"/>
      <w:r w:rsidR="00DB7626">
        <w:rPr>
          <w:rFonts w:cs="Arial"/>
          <w:color w:val="000000" w:themeColor="text1"/>
          <w:sz w:val="24"/>
        </w:rPr>
        <w:t>multitrauma</w:t>
      </w:r>
      <w:proofErr w:type="spellEnd"/>
      <w:r w:rsidR="00DB7626">
        <w:rPr>
          <w:rFonts w:cs="Arial"/>
          <w:color w:val="000000" w:themeColor="text1"/>
          <w:sz w:val="24"/>
        </w:rPr>
        <w:t xml:space="preserve"> (more than one fracture location), </w:t>
      </w:r>
      <w:r w:rsidR="00A95B9E">
        <w:rPr>
          <w:rFonts w:cs="Arial"/>
          <w:color w:val="000000" w:themeColor="text1"/>
          <w:sz w:val="24"/>
        </w:rPr>
        <w:t xml:space="preserve">those who cannot appropriately provide consent, </w:t>
      </w:r>
      <w:r w:rsidR="00DB7626">
        <w:rPr>
          <w:rFonts w:cs="Arial"/>
          <w:color w:val="000000" w:themeColor="text1"/>
          <w:sz w:val="24"/>
        </w:rPr>
        <w:t xml:space="preserve">or the inability to follow up in Gold Coast University Hospital for 18 months. </w:t>
      </w:r>
      <w:r w:rsidR="004F6EC3">
        <w:rPr>
          <w:rFonts w:cs="Arial"/>
          <w:color w:val="000000" w:themeColor="text1"/>
          <w:sz w:val="24"/>
        </w:rPr>
        <w:t xml:space="preserve">Additionally, patients must be medically well enough to undergo surgery. </w:t>
      </w:r>
    </w:p>
    <w:p w14:paraId="367BDE66" w14:textId="05DF3600" w:rsidR="00C62547" w:rsidRPr="00B70E00" w:rsidRDefault="00B70E00" w:rsidP="00560110">
      <w:pPr>
        <w:rPr>
          <w:rFonts w:cs="Arial"/>
          <w:color w:val="000000" w:themeColor="text1"/>
          <w:sz w:val="24"/>
        </w:rPr>
      </w:pPr>
      <w:r>
        <w:rPr>
          <w:rFonts w:cs="Arial"/>
          <w:color w:val="000000" w:themeColor="text1"/>
          <w:sz w:val="24"/>
        </w:rPr>
        <w:t xml:space="preserve">In order to obtain adequate enrolment to maximize study power, a minimal clinically important difference (MCID) of 4.55 and standard deviation of 25.09 was utilized from Dawson </w:t>
      </w:r>
      <w:r>
        <w:rPr>
          <w:rFonts w:cs="Arial"/>
          <w:i/>
          <w:color w:val="000000" w:themeColor="text1"/>
          <w:sz w:val="24"/>
        </w:rPr>
        <w:t xml:space="preserve">et </w:t>
      </w:r>
      <w:proofErr w:type="spellStart"/>
      <w:r>
        <w:rPr>
          <w:rFonts w:cs="Arial"/>
          <w:i/>
          <w:color w:val="000000" w:themeColor="text1"/>
          <w:sz w:val="24"/>
        </w:rPr>
        <w:t>al’s</w:t>
      </w:r>
      <w:proofErr w:type="spellEnd"/>
      <w:r>
        <w:rPr>
          <w:rFonts w:cs="Arial"/>
          <w:color w:val="000000" w:themeColor="text1"/>
          <w:sz w:val="24"/>
        </w:rPr>
        <w:t xml:space="preserve"> analysis </w:t>
      </w:r>
      <w:r w:rsidR="00417D7A">
        <w:rPr>
          <w:rFonts w:cs="Arial"/>
          <w:color w:val="000000" w:themeColor="text1"/>
          <w:sz w:val="24"/>
        </w:rPr>
        <w:t>[</w:t>
      </w:r>
      <w:r>
        <w:rPr>
          <w:rFonts w:cs="Arial"/>
          <w:color w:val="000000" w:themeColor="text1"/>
          <w:sz w:val="24"/>
        </w:rPr>
        <w:t>2</w:t>
      </w:r>
      <w:r w:rsidR="00417D7A">
        <w:rPr>
          <w:rFonts w:cs="Arial"/>
          <w:color w:val="000000" w:themeColor="text1"/>
          <w:sz w:val="24"/>
        </w:rPr>
        <w:t>2]</w:t>
      </w:r>
      <w:r>
        <w:rPr>
          <w:rFonts w:cs="Arial"/>
          <w:color w:val="000000" w:themeColor="text1"/>
          <w:sz w:val="24"/>
        </w:rPr>
        <w:t>. Sample size groups of 49 individuals per group is required for a power of 0.80.</w:t>
      </w:r>
      <w:r w:rsidR="00EE3755">
        <w:rPr>
          <w:rFonts w:cs="Arial"/>
          <w:color w:val="000000" w:themeColor="text1"/>
          <w:sz w:val="24"/>
        </w:rPr>
        <w:t xml:space="preserve"> It is expected that up to 110 to 120 individuals may require to be required to incorporate for those lost to follow up. </w:t>
      </w:r>
    </w:p>
    <w:p w14:paraId="36DCEE79" w14:textId="74EAEB28" w:rsidR="00785A3D" w:rsidRPr="00D00F99" w:rsidRDefault="007D7739" w:rsidP="006C177D">
      <w:pPr>
        <w:pStyle w:val="Heading3"/>
        <w:numPr>
          <w:ilvl w:val="1"/>
          <w:numId w:val="1"/>
        </w:numPr>
        <w:spacing w:line="276" w:lineRule="auto"/>
        <w:ind w:left="709"/>
        <w:rPr>
          <w:i/>
          <w:sz w:val="24"/>
          <w:szCs w:val="24"/>
          <w:lang w:val="en-US" w:eastAsia="en-US" w:bidi="en-US"/>
        </w:rPr>
      </w:pPr>
      <w:r w:rsidRPr="00D00F99">
        <w:rPr>
          <w:sz w:val="24"/>
          <w:szCs w:val="24"/>
        </w:rPr>
        <w:t>R</w:t>
      </w:r>
      <w:r w:rsidR="004D43D2" w:rsidRPr="00D00F99">
        <w:rPr>
          <w:sz w:val="24"/>
          <w:szCs w:val="24"/>
        </w:rPr>
        <w:t>ecruitment/</w:t>
      </w:r>
      <w:r w:rsidR="009E4CA9" w:rsidRPr="00D00F99">
        <w:rPr>
          <w:sz w:val="24"/>
          <w:szCs w:val="24"/>
        </w:rPr>
        <w:t xml:space="preserve"> Selection </w:t>
      </w:r>
    </w:p>
    <w:p w14:paraId="1F273FC4" w14:textId="238D336C" w:rsidR="00481862" w:rsidRDefault="00AD7402" w:rsidP="00481862">
      <w:pPr>
        <w:rPr>
          <w:rFonts w:cs="Arial"/>
          <w:color w:val="000000" w:themeColor="text1"/>
          <w:sz w:val="24"/>
        </w:rPr>
      </w:pPr>
      <w:r>
        <w:rPr>
          <w:rFonts w:cs="Arial"/>
          <w:color w:val="000000" w:themeColor="text1"/>
          <w:sz w:val="24"/>
        </w:rPr>
        <w:t xml:space="preserve">Patients with Lisfranc or suspected Lisfranc injuries are regularly encountered by referral from the emergency department for either immediate review or review through orthopaedic fracture clinic. </w:t>
      </w:r>
      <w:r w:rsidR="004F6EC3">
        <w:rPr>
          <w:rFonts w:cs="Arial"/>
          <w:color w:val="000000" w:themeColor="text1"/>
          <w:sz w:val="24"/>
        </w:rPr>
        <w:t xml:space="preserve">If a Lisfranc injury is diagnosed via the criteria listed above, and inclusion/exclusion criteria are met, these patients will then be invited to participate in the trial. </w:t>
      </w:r>
    </w:p>
    <w:p w14:paraId="23D37A4B" w14:textId="47C415E5" w:rsidR="00440190" w:rsidRDefault="00FE25E3" w:rsidP="00481862">
      <w:pPr>
        <w:rPr>
          <w:rFonts w:cs="Arial"/>
          <w:color w:val="000000" w:themeColor="text1"/>
          <w:sz w:val="24"/>
        </w:rPr>
      </w:pPr>
      <w:r>
        <w:rPr>
          <w:rFonts w:cs="Arial"/>
          <w:color w:val="000000" w:themeColor="text1"/>
          <w:sz w:val="24"/>
        </w:rPr>
        <w:t>In those individuals who meet selection criteria, operative fixation will be discussed. Operative fixation is the standard of care in Lisfranc injuries</w:t>
      </w:r>
      <w:r w:rsidR="00925DC4">
        <w:rPr>
          <w:rFonts w:cs="Arial"/>
          <w:color w:val="000000" w:themeColor="text1"/>
          <w:sz w:val="24"/>
        </w:rPr>
        <w:t xml:space="preserve">, as these injuries are commonly unstable </w:t>
      </w:r>
      <w:r w:rsidR="00596D67">
        <w:rPr>
          <w:rFonts w:cs="Arial"/>
          <w:color w:val="000000" w:themeColor="text1"/>
          <w:sz w:val="24"/>
        </w:rPr>
        <w:t>[</w:t>
      </w:r>
      <w:r w:rsidR="00A75E08">
        <w:rPr>
          <w:rFonts w:cs="Arial"/>
          <w:color w:val="000000" w:themeColor="text1"/>
          <w:sz w:val="24"/>
        </w:rPr>
        <w:t>4</w:t>
      </w:r>
      <w:r w:rsidR="00A32B30">
        <w:rPr>
          <w:rFonts w:cs="Arial"/>
          <w:color w:val="000000" w:themeColor="text1"/>
          <w:sz w:val="24"/>
        </w:rPr>
        <w:t>,</w:t>
      </w:r>
      <w:r w:rsidR="00596D67">
        <w:rPr>
          <w:rFonts w:cs="Arial"/>
          <w:color w:val="000000" w:themeColor="text1"/>
          <w:sz w:val="24"/>
        </w:rPr>
        <w:t xml:space="preserve"> </w:t>
      </w:r>
      <w:r w:rsidR="00A32B30">
        <w:rPr>
          <w:rFonts w:cs="Arial"/>
          <w:color w:val="000000" w:themeColor="text1"/>
          <w:sz w:val="24"/>
        </w:rPr>
        <w:t>2</w:t>
      </w:r>
      <w:r w:rsidR="00596D67">
        <w:rPr>
          <w:rFonts w:cs="Arial"/>
          <w:color w:val="000000" w:themeColor="text1"/>
          <w:sz w:val="24"/>
        </w:rPr>
        <w:t>0]</w:t>
      </w:r>
      <w:r>
        <w:rPr>
          <w:rFonts w:cs="Arial"/>
          <w:color w:val="000000" w:themeColor="text1"/>
          <w:sz w:val="24"/>
        </w:rPr>
        <w:t xml:space="preserve">. </w:t>
      </w:r>
      <w:r w:rsidR="00440190">
        <w:rPr>
          <w:rFonts w:cs="Arial"/>
          <w:color w:val="000000" w:themeColor="text1"/>
          <w:sz w:val="24"/>
        </w:rPr>
        <w:t>Nature of the injury will be discussed with patients with an orthopaedic registrar</w:t>
      </w:r>
      <w:r w:rsidR="00262D99">
        <w:rPr>
          <w:rFonts w:cs="Arial"/>
          <w:color w:val="000000" w:themeColor="text1"/>
          <w:sz w:val="24"/>
        </w:rPr>
        <w:t xml:space="preserve"> or </w:t>
      </w:r>
      <w:r w:rsidR="00440190">
        <w:rPr>
          <w:rFonts w:cs="Arial"/>
          <w:color w:val="000000" w:themeColor="text1"/>
          <w:sz w:val="24"/>
        </w:rPr>
        <w:t>consultant; as well as fixation methods, risks of operative versus non-operative management, recovery course, and nature of the study. Individuals will be asked to voluntarily enter the study</w:t>
      </w:r>
      <w:r w:rsidR="00BE071C">
        <w:rPr>
          <w:rFonts w:cs="Arial"/>
          <w:color w:val="000000" w:themeColor="text1"/>
          <w:sz w:val="24"/>
        </w:rPr>
        <w:t xml:space="preserve"> and be randomized to a treatment modality. Those individuals who are willing to participate will sign a consent form, and will be made aware they are free to withdraw from participation at any point. </w:t>
      </w:r>
      <w:proofErr w:type="spellStart"/>
      <w:r w:rsidR="00BE071C">
        <w:rPr>
          <w:rFonts w:cs="Arial"/>
          <w:color w:val="000000" w:themeColor="text1"/>
          <w:sz w:val="24"/>
        </w:rPr>
        <w:t>Withdrawl</w:t>
      </w:r>
      <w:proofErr w:type="spellEnd"/>
      <w:r w:rsidR="00BE071C">
        <w:rPr>
          <w:rFonts w:cs="Arial"/>
          <w:color w:val="000000" w:themeColor="text1"/>
          <w:sz w:val="24"/>
        </w:rPr>
        <w:t xml:space="preserve"> may include that patients display a fixation method, although </w:t>
      </w:r>
      <w:r w:rsidR="00C01C52">
        <w:rPr>
          <w:rFonts w:cs="Arial"/>
          <w:color w:val="000000" w:themeColor="text1"/>
          <w:sz w:val="24"/>
        </w:rPr>
        <w:t>it is</w:t>
      </w:r>
      <w:r w:rsidR="00BE071C">
        <w:rPr>
          <w:rFonts w:cs="Arial"/>
          <w:color w:val="000000" w:themeColor="text1"/>
          <w:sz w:val="24"/>
        </w:rPr>
        <w:t xml:space="preserve"> believe</w:t>
      </w:r>
      <w:r w:rsidR="00C01C52">
        <w:rPr>
          <w:rFonts w:cs="Arial"/>
          <w:color w:val="000000" w:themeColor="text1"/>
          <w:sz w:val="24"/>
        </w:rPr>
        <w:t>d</w:t>
      </w:r>
      <w:r w:rsidR="00BE071C">
        <w:rPr>
          <w:rFonts w:cs="Arial"/>
          <w:color w:val="000000" w:themeColor="text1"/>
          <w:sz w:val="24"/>
        </w:rPr>
        <w:t xml:space="preserve"> that this will be incredibly rare, or that they may wish to no longer complete the questionnaires or continue regular follow-up. </w:t>
      </w:r>
    </w:p>
    <w:p w14:paraId="0E4177C1" w14:textId="3C2E2100" w:rsidR="00750086" w:rsidRPr="00804DE3" w:rsidRDefault="00452301" w:rsidP="00804DE3">
      <w:pPr>
        <w:rPr>
          <w:rFonts w:cs="Arial"/>
          <w:color w:val="000000" w:themeColor="text1"/>
          <w:sz w:val="24"/>
        </w:rPr>
      </w:pPr>
      <w:r>
        <w:rPr>
          <w:rFonts w:cs="Arial"/>
          <w:color w:val="000000" w:themeColor="text1"/>
          <w:sz w:val="24"/>
        </w:rPr>
        <w:lastRenderedPageBreak/>
        <w:t xml:space="preserve">Randomization will occur through block randomization through Strata, using the </w:t>
      </w:r>
      <w:proofErr w:type="spellStart"/>
      <w:r>
        <w:rPr>
          <w:rFonts w:cs="Arial"/>
          <w:color w:val="000000" w:themeColor="text1"/>
          <w:sz w:val="24"/>
        </w:rPr>
        <w:t>ralloc</w:t>
      </w:r>
      <w:proofErr w:type="spellEnd"/>
      <w:r>
        <w:rPr>
          <w:rFonts w:cs="Arial"/>
          <w:color w:val="000000" w:themeColor="text1"/>
          <w:sz w:val="24"/>
        </w:rPr>
        <w:t xml:space="preserve"> command. Randomized outcomes will be inserted into individual opaque envelopes, each labelled with a trial number on the exterior. Once consent is obtained, an envelope with the next available trial number will selected. The treating surgical team will be notified to facilitate pre-operative planning. </w:t>
      </w:r>
    </w:p>
    <w:p w14:paraId="1275DA15" w14:textId="758941A4" w:rsidR="0099513E" w:rsidRPr="00D00F99" w:rsidRDefault="0099513E" w:rsidP="006C177D">
      <w:pPr>
        <w:pStyle w:val="Heading3"/>
        <w:keepNext w:val="0"/>
        <w:numPr>
          <w:ilvl w:val="1"/>
          <w:numId w:val="1"/>
        </w:numPr>
        <w:spacing w:before="200" w:after="0" w:line="276" w:lineRule="auto"/>
        <w:ind w:left="709"/>
        <w:jc w:val="both"/>
        <w:rPr>
          <w:b w:val="0"/>
          <w:i/>
          <w:sz w:val="24"/>
          <w:szCs w:val="24"/>
        </w:rPr>
      </w:pPr>
      <w:bookmarkStart w:id="4" w:name="_Toc322956432"/>
      <w:r w:rsidRPr="00D00F99">
        <w:rPr>
          <w:sz w:val="24"/>
          <w:szCs w:val="24"/>
        </w:rPr>
        <w:t>Consent</w:t>
      </w:r>
      <w:bookmarkEnd w:id="4"/>
      <w:r w:rsidRPr="00D00F99">
        <w:rPr>
          <w:sz w:val="24"/>
          <w:szCs w:val="24"/>
        </w:rPr>
        <w:t xml:space="preserve"> </w:t>
      </w:r>
    </w:p>
    <w:p w14:paraId="16D8D487" w14:textId="79BC887C" w:rsidR="001D7117" w:rsidRPr="001D7117" w:rsidRDefault="001D7117" w:rsidP="001D7117">
      <w:pPr>
        <w:rPr>
          <w:rFonts w:cs="Arial"/>
          <w:color w:val="000000" w:themeColor="text1"/>
          <w:sz w:val="24"/>
        </w:rPr>
      </w:pPr>
      <w:r>
        <w:rPr>
          <w:rFonts w:cs="Arial"/>
          <w:color w:val="000000" w:themeColor="text1"/>
          <w:sz w:val="24"/>
        </w:rPr>
        <w:t xml:space="preserve">Consent will be obtained by each individual eligible for the study. The consent is both for participation and allowance for randomization. Consent will be obtained by an orthopaedic registrar or consultant, without any attempts to coerce or influence participation. Consent will apply for this study only. </w:t>
      </w:r>
      <w:r w:rsidR="0081377F">
        <w:rPr>
          <w:rFonts w:cs="Arial"/>
          <w:color w:val="000000" w:themeColor="text1"/>
          <w:sz w:val="24"/>
        </w:rPr>
        <w:t xml:space="preserve">Individuals will have up until decision for surgery to decide if they would like to participate in the study. </w:t>
      </w:r>
    </w:p>
    <w:p w14:paraId="12ED5DDE" w14:textId="3871189B" w:rsidR="00ED63C8" w:rsidRPr="00162F4D" w:rsidRDefault="00162F4D" w:rsidP="00750086">
      <w:pPr>
        <w:pStyle w:val="Heading3"/>
        <w:keepNext w:val="0"/>
        <w:numPr>
          <w:ilvl w:val="1"/>
          <w:numId w:val="1"/>
        </w:numPr>
        <w:spacing w:line="276" w:lineRule="auto"/>
        <w:ind w:left="709" w:hanging="357"/>
        <w:rPr>
          <w:sz w:val="24"/>
          <w:szCs w:val="24"/>
        </w:rPr>
      </w:pPr>
      <w:r w:rsidRPr="00162F4D">
        <w:rPr>
          <w:sz w:val="24"/>
          <w:szCs w:val="24"/>
        </w:rPr>
        <w:t>R</w:t>
      </w:r>
      <w:r>
        <w:rPr>
          <w:sz w:val="24"/>
          <w:szCs w:val="24"/>
        </w:rPr>
        <w:t>isk Mitigation P</w:t>
      </w:r>
      <w:r w:rsidRPr="00162F4D">
        <w:rPr>
          <w:sz w:val="24"/>
          <w:szCs w:val="24"/>
        </w:rPr>
        <w:t>rocedures</w:t>
      </w:r>
    </w:p>
    <w:p w14:paraId="34D14ECF" w14:textId="2AE7D235" w:rsidR="00F72C5B" w:rsidRDefault="00B44019" w:rsidP="00D00F99">
      <w:pPr>
        <w:rPr>
          <w:rStyle w:val="Emphasis"/>
          <w:rFonts w:cs="Arial"/>
          <w:i w:val="0"/>
          <w:color w:val="000000" w:themeColor="text1"/>
          <w:sz w:val="24"/>
        </w:rPr>
      </w:pPr>
      <w:r>
        <w:rPr>
          <w:rStyle w:val="Emphasis"/>
          <w:rFonts w:cs="Arial"/>
          <w:i w:val="0"/>
          <w:color w:val="000000" w:themeColor="text1"/>
          <w:sz w:val="24"/>
        </w:rPr>
        <w:t>A</w:t>
      </w:r>
      <w:r w:rsidR="00346226">
        <w:rPr>
          <w:rStyle w:val="Emphasis"/>
          <w:rFonts w:cs="Arial"/>
          <w:i w:val="0"/>
          <w:color w:val="000000" w:themeColor="text1"/>
          <w:sz w:val="24"/>
        </w:rPr>
        <w:t>s discussed in background, a</w:t>
      </w:r>
      <w:r>
        <w:rPr>
          <w:rStyle w:val="Emphasis"/>
          <w:rFonts w:cs="Arial"/>
          <w:i w:val="0"/>
          <w:color w:val="000000" w:themeColor="text1"/>
          <w:sz w:val="24"/>
        </w:rPr>
        <w:t xml:space="preserve"> Lisfranc injury is one which requires operative management to stabilize joints, minimize arthritis</w:t>
      </w:r>
      <w:r w:rsidR="00650B3B">
        <w:rPr>
          <w:rStyle w:val="Emphasis"/>
          <w:rFonts w:cs="Arial"/>
          <w:i w:val="0"/>
          <w:color w:val="000000" w:themeColor="text1"/>
          <w:sz w:val="24"/>
        </w:rPr>
        <w:t xml:space="preserve"> risk</w:t>
      </w:r>
      <w:r>
        <w:rPr>
          <w:rStyle w:val="Emphasis"/>
          <w:rFonts w:cs="Arial"/>
          <w:i w:val="0"/>
          <w:color w:val="000000" w:themeColor="text1"/>
          <w:sz w:val="24"/>
        </w:rPr>
        <w:t>, and improve overall pain and function. In comparing two forms of fixation which are equipoise, as supported by the literature, there is no established risk of being randomized to one form of fixation over the other.</w:t>
      </w:r>
      <w:r w:rsidR="00C71705">
        <w:rPr>
          <w:rStyle w:val="Emphasis"/>
          <w:rFonts w:cs="Arial"/>
          <w:i w:val="0"/>
          <w:color w:val="000000" w:themeColor="text1"/>
          <w:sz w:val="24"/>
        </w:rPr>
        <w:t xml:space="preserve"> There are inherent risks of having an anaesthetic for the surgery, as well as the surgery itself. </w:t>
      </w:r>
      <w:r w:rsidR="00F72C5B">
        <w:rPr>
          <w:rStyle w:val="Emphasis"/>
          <w:rFonts w:cs="Arial"/>
          <w:i w:val="0"/>
          <w:color w:val="000000" w:themeColor="text1"/>
          <w:sz w:val="24"/>
        </w:rPr>
        <w:t>Mitigation of risks will be broken up into pre-operatively, intra-operatively, and post-operatively. Pre-operatively, m</w:t>
      </w:r>
      <w:r w:rsidR="00C71705">
        <w:rPr>
          <w:rStyle w:val="Emphasis"/>
          <w:rFonts w:cs="Arial"/>
          <w:i w:val="0"/>
          <w:color w:val="000000" w:themeColor="text1"/>
          <w:sz w:val="24"/>
        </w:rPr>
        <w:t>edically well patients, those with lowest anaesthetic risk, will be booked for surgery without formal anaesthetic review – as per current surgical practice. More medically complex</w:t>
      </w:r>
      <w:r w:rsidR="00650B3B">
        <w:rPr>
          <w:rStyle w:val="Emphasis"/>
          <w:rFonts w:cs="Arial"/>
          <w:i w:val="0"/>
          <w:color w:val="000000" w:themeColor="text1"/>
          <w:sz w:val="24"/>
        </w:rPr>
        <w:t xml:space="preserve"> </w:t>
      </w:r>
      <w:r w:rsidR="00C71705">
        <w:rPr>
          <w:rStyle w:val="Emphasis"/>
          <w:rFonts w:cs="Arial"/>
          <w:i w:val="0"/>
          <w:color w:val="000000" w:themeColor="text1"/>
          <w:sz w:val="24"/>
        </w:rPr>
        <w:t xml:space="preserve">patients, including those with documented respiratory, cardiac, or renal issues will be considered for an anaesthetics review based on severity of condition. Additionally, those with previous anaesthetic issues or complications will be referred for anaesthetic review pre-operatively. Patients with documented or suspected vascular issues will be considered for a pre-operative vascular surgery review. To further reduce risk of anaesthetic and operative complications (primarily infection), active smokers will be advised of the importance of smoking cessation, or at least reduction, pre-operatively. </w:t>
      </w:r>
    </w:p>
    <w:p w14:paraId="245D299B" w14:textId="636DD133" w:rsidR="00F313DC" w:rsidRDefault="00F313DC" w:rsidP="00D00F99">
      <w:pPr>
        <w:rPr>
          <w:rStyle w:val="Emphasis"/>
          <w:rFonts w:cs="Arial"/>
          <w:i w:val="0"/>
          <w:color w:val="000000" w:themeColor="text1"/>
          <w:sz w:val="24"/>
        </w:rPr>
      </w:pPr>
      <w:r>
        <w:rPr>
          <w:rStyle w:val="Emphasis"/>
          <w:rFonts w:cs="Arial"/>
          <w:i w:val="0"/>
          <w:color w:val="000000" w:themeColor="text1"/>
          <w:sz w:val="24"/>
        </w:rPr>
        <w:t xml:space="preserve">Intra-operatively, risks will be mitigated by having a consultant foot and ankle specialist perform all surgeries. </w:t>
      </w:r>
      <w:r w:rsidR="009A30AE">
        <w:rPr>
          <w:rStyle w:val="Emphasis"/>
          <w:rFonts w:cs="Arial"/>
          <w:i w:val="0"/>
          <w:color w:val="000000" w:themeColor="text1"/>
          <w:sz w:val="24"/>
        </w:rPr>
        <w:t>As per current practice, surgeries will be performed under sterile conditions</w:t>
      </w:r>
      <w:r w:rsidR="00650B3B">
        <w:rPr>
          <w:rStyle w:val="Emphasis"/>
          <w:rFonts w:cs="Arial"/>
          <w:i w:val="0"/>
          <w:color w:val="000000" w:themeColor="text1"/>
          <w:sz w:val="24"/>
        </w:rPr>
        <w:t>. Patients will receive a single dose of intravenous antibiotics at induction.</w:t>
      </w:r>
    </w:p>
    <w:p w14:paraId="49FB2BCE" w14:textId="5450AF92" w:rsidR="009A30AE" w:rsidRDefault="009A30AE" w:rsidP="00D00F99">
      <w:pPr>
        <w:rPr>
          <w:rStyle w:val="Emphasis"/>
          <w:rFonts w:cs="Arial"/>
          <w:i w:val="0"/>
          <w:color w:val="000000" w:themeColor="text1"/>
          <w:sz w:val="24"/>
        </w:rPr>
      </w:pPr>
      <w:r>
        <w:rPr>
          <w:rStyle w:val="Emphasis"/>
          <w:rFonts w:cs="Arial"/>
          <w:i w:val="0"/>
          <w:color w:val="000000" w:themeColor="text1"/>
          <w:sz w:val="24"/>
        </w:rPr>
        <w:t xml:space="preserve">Post-operatively, patients will be informed of the importance of elevation to reduce risk of wound breakdown secondary to swelling. Wounds will be checked in clinic at 10-14 days post operatively, and patients will be informed to return to clinic earlier than scheduled reviews if any concerns arise. Importance of elevation, non-weightbearing, and smoking cessation will be re-iterated at scheduled reviews and while an inpatient. </w:t>
      </w:r>
      <w:r w:rsidR="00650B3B">
        <w:rPr>
          <w:rStyle w:val="Emphasis"/>
          <w:rFonts w:cs="Arial"/>
          <w:i w:val="0"/>
          <w:color w:val="000000" w:themeColor="text1"/>
          <w:sz w:val="24"/>
        </w:rPr>
        <w:t xml:space="preserve">Patients will receive enoxaparin while an inpatient. Need for venous thrombus embolism prophylaxis on discharge will be determined based on individual patient risk factors. </w:t>
      </w:r>
    </w:p>
    <w:p w14:paraId="4B1A82A0" w14:textId="32B4F9B5" w:rsidR="00852C48" w:rsidRDefault="00852C48" w:rsidP="00D00F99">
      <w:pPr>
        <w:rPr>
          <w:rStyle w:val="Emphasis"/>
          <w:rFonts w:cs="Arial"/>
          <w:i w:val="0"/>
          <w:color w:val="000000" w:themeColor="text1"/>
          <w:sz w:val="24"/>
        </w:rPr>
      </w:pPr>
      <w:r>
        <w:rPr>
          <w:rStyle w:val="Emphasis"/>
          <w:rFonts w:cs="Arial"/>
          <w:i w:val="0"/>
          <w:color w:val="000000" w:themeColor="text1"/>
          <w:sz w:val="24"/>
        </w:rPr>
        <w:t xml:space="preserve">Any complications will be diligently documented in the study. Patients will receive most appropriate management, regardless of impact on the study. At any point, patients will be free to withdraw from the study without question or untoward pressure. More information on </w:t>
      </w:r>
      <w:proofErr w:type="spellStart"/>
      <w:r>
        <w:rPr>
          <w:rStyle w:val="Emphasis"/>
          <w:rFonts w:cs="Arial"/>
          <w:i w:val="0"/>
          <w:color w:val="000000" w:themeColor="text1"/>
          <w:sz w:val="24"/>
        </w:rPr>
        <w:t>withdrawl</w:t>
      </w:r>
      <w:proofErr w:type="spellEnd"/>
      <w:r>
        <w:rPr>
          <w:rStyle w:val="Emphasis"/>
          <w:rFonts w:cs="Arial"/>
          <w:i w:val="0"/>
          <w:color w:val="000000" w:themeColor="text1"/>
          <w:sz w:val="24"/>
        </w:rPr>
        <w:t xml:space="preserve"> procedures can be found below.</w:t>
      </w:r>
    </w:p>
    <w:p w14:paraId="2BD6EB65" w14:textId="77777777" w:rsidR="00F72C5B" w:rsidRPr="00750086" w:rsidRDefault="00F72C5B" w:rsidP="00D00F99">
      <w:pPr>
        <w:rPr>
          <w:rStyle w:val="Emphasis"/>
          <w:rFonts w:cs="Arial"/>
          <w:i w:val="0"/>
          <w:color w:val="000000" w:themeColor="text1"/>
          <w:sz w:val="24"/>
        </w:rPr>
      </w:pPr>
    </w:p>
    <w:p w14:paraId="164462BE" w14:textId="7C917729" w:rsidR="0099513E" w:rsidRPr="004A238B" w:rsidRDefault="00162F4D" w:rsidP="006C177D">
      <w:pPr>
        <w:pStyle w:val="Heading3"/>
        <w:keepNext w:val="0"/>
        <w:numPr>
          <w:ilvl w:val="1"/>
          <w:numId w:val="1"/>
        </w:numPr>
        <w:spacing w:before="200" w:after="0" w:line="276" w:lineRule="auto"/>
        <w:ind w:left="709"/>
        <w:jc w:val="both"/>
        <w:rPr>
          <w:b w:val="0"/>
          <w:i/>
          <w:sz w:val="24"/>
          <w:szCs w:val="24"/>
        </w:rPr>
      </w:pPr>
      <w:r>
        <w:rPr>
          <w:sz w:val="24"/>
          <w:szCs w:val="24"/>
        </w:rPr>
        <w:lastRenderedPageBreak/>
        <w:t>Participant W</w:t>
      </w:r>
      <w:r w:rsidR="0099513E" w:rsidRPr="004A238B">
        <w:rPr>
          <w:sz w:val="24"/>
          <w:szCs w:val="24"/>
        </w:rPr>
        <w:t xml:space="preserve">ithdrawal </w:t>
      </w:r>
      <w:r>
        <w:rPr>
          <w:sz w:val="24"/>
          <w:szCs w:val="24"/>
        </w:rPr>
        <w:t>Procedures</w:t>
      </w:r>
    </w:p>
    <w:p w14:paraId="16E3736C" w14:textId="1E0D9691" w:rsidR="00981681" w:rsidRPr="00981681" w:rsidRDefault="00981681" w:rsidP="009620FC">
      <w:pPr>
        <w:rPr>
          <w:rFonts w:cs="Arial"/>
          <w:color w:val="000000" w:themeColor="text1"/>
          <w:sz w:val="24"/>
        </w:rPr>
      </w:pPr>
      <w:r>
        <w:rPr>
          <w:rFonts w:cs="Arial"/>
          <w:color w:val="000000" w:themeColor="text1"/>
          <w:sz w:val="24"/>
        </w:rPr>
        <w:t>Participants are free to withdraw from the study at any time without harassment or negative consequence from the department or investigators. Prior to surgery, if patients decide they have a preferred method of fixation different from their randomized method, they are free to discuss this with the treating surgeon. Surgeons will be specifically made aware that under no circumstances should they attempt to persuade a patient towards once fixation method or another (as no best fixation method is supported by the literature). Ultimately</w:t>
      </w:r>
      <w:r w:rsidR="0034225E">
        <w:rPr>
          <w:rFonts w:cs="Arial"/>
          <w:color w:val="000000" w:themeColor="text1"/>
          <w:sz w:val="24"/>
        </w:rPr>
        <w:t>,</w:t>
      </w:r>
      <w:r>
        <w:rPr>
          <w:rFonts w:cs="Arial"/>
          <w:color w:val="000000" w:themeColor="text1"/>
          <w:sz w:val="24"/>
        </w:rPr>
        <w:t xml:space="preserve"> if a patient and surgeon together decide to pursue a fixation method different from randomization, a patient can be taken out of the study without consequence and will be followed up as per standard post-operative procedure as per the treating surgeon. Once surgery is performed, fixation will not be changed. Post-operatively, patients can select to withdraw from the study, which would mean they would no longer require follow up or to complete regular questionnaires. Patients can alternatively select to withdraw from the study, but continue regular follow up otherwise. Additionally, if patients fail to attend 2 consecutive follow ups, they will be automatically withdrawn from the study. Once </w:t>
      </w:r>
      <w:r w:rsidR="00B242C5">
        <w:rPr>
          <w:rFonts w:cs="Arial"/>
          <w:color w:val="000000" w:themeColor="text1"/>
          <w:sz w:val="24"/>
        </w:rPr>
        <w:t xml:space="preserve">patients withdraw from the study, their information will be destroyed via shredding. </w:t>
      </w:r>
    </w:p>
    <w:p w14:paraId="2E654E9E" w14:textId="77777777" w:rsidR="0099513E" w:rsidRPr="00B242C5" w:rsidRDefault="0099513E" w:rsidP="00B242C5">
      <w:pPr>
        <w:rPr>
          <w:rFonts w:cs="Arial"/>
          <w:sz w:val="24"/>
        </w:rPr>
      </w:pPr>
    </w:p>
    <w:p w14:paraId="7F85D4B1" w14:textId="77777777" w:rsidR="0099513E" w:rsidRPr="004A238B" w:rsidRDefault="0099513E" w:rsidP="00844D13">
      <w:pPr>
        <w:pStyle w:val="Heading3"/>
        <w:keepNext w:val="0"/>
        <w:numPr>
          <w:ilvl w:val="1"/>
          <w:numId w:val="1"/>
        </w:numPr>
        <w:spacing w:before="200" w:after="0" w:line="276" w:lineRule="auto"/>
        <w:ind w:left="709"/>
        <w:jc w:val="both"/>
        <w:rPr>
          <w:b w:val="0"/>
          <w:sz w:val="24"/>
          <w:szCs w:val="24"/>
        </w:rPr>
      </w:pPr>
      <w:r w:rsidRPr="004A238B">
        <w:rPr>
          <w:sz w:val="24"/>
          <w:szCs w:val="24"/>
        </w:rPr>
        <w:t>Study Procedure</w:t>
      </w:r>
    </w:p>
    <w:p w14:paraId="66DB4F8D" w14:textId="6A778AF5" w:rsidR="0099513E" w:rsidRPr="003C60AF" w:rsidRDefault="00BE6A8D" w:rsidP="003C60AF">
      <w:pPr>
        <w:tabs>
          <w:tab w:val="left" w:pos="1276"/>
        </w:tabs>
        <w:rPr>
          <w:rFonts w:cs="Arial"/>
          <w:color w:val="000000" w:themeColor="text1"/>
          <w:sz w:val="24"/>
        </w:rPr>
      </w:pPr>
      <w:r>
        <w:rPr>
          <w:rFonts w:cs="Arial"/>
          <w:color w:val="000000" w:themeColor="text1"/>
          <w:sz w:val="24"/>
        </w:rPr>
        <w:t>Patients meeting inclusion/exclusion criteria will be recruited to the study as previously described. Consent will be obtained on orthopaedic review in the emergency department or clinic, pre-operatively. Once patients have been recruited to the study, and randomized as previously described,</w:t>
      </w:r>
      <w:r w:rsidR="007D7484">
        <w:rPr>
          <w:rFonts w:cs="Arial"/>
          <w:color w:val="000000" w:themeColor="text1"/>
          <w:sz w:val="24"/>
        </w:rPr>
        <w:t xml:space="preserve"> foot swelling will be assessed in clinic and an operative date will be arranged within the first month after injury. </w:t>
      </w:r>
      <w:r w:rsidR="000B41EB">
        <w:rPr>
          <w:rFonts w:cs="Arial"/>
          <w:color w:val="000000" w:themeColor="text1"/>
          <w:sz w:val="24"/>
        </w:rPr>
        <w:t xml:space="preserve">Surgery will be completed by one of the </w:t>
      </w:r>
      <w:proofErr w:type="gramStart"/>
      <w:r w:rsidR="000B41EB">
        <w:rPr>
          <w:rFonts w:cs="Arial"/>
          <w:color w:val="000000" w:themeColor="text1"/>
          <w:sz w:val="24"/>
        </w:rPr>
        <w:t>foot</w:t>
      </w:r>
      <w:proofErr w:type="gramEnd"/>
      <w:r w:rsidR="000B41EB">
        <w:rPr>
          <w:rFonts w:cs="Arial"/>
          <w:color w:val="000000" w:themeColor="text1"/>
          <w:sz w:val="24"/>
        </w:rPr>
        <w:t xml:space="preserve"> and ankle specialists at either the Gold Coast University or Robina Hospitals. Patients will remain in hospital until they have medically recovered from anaesthetic, pain is controlled, and they are able to safely mobilize and non-weight bear on the affected limb – as assessed by hospital physiotherapists. </w:t>
      </w:r>
      <w:r w:rsidR="00684108">
        <w:rPr>
          <w:rFonts w:cs="Arial"/>
          <w:color w:val="000000" w:themeColor="text1"/>
          <w:sz w:val="24"/>
        </w:rPr>
        <w:t>Patients will have their wounds reviewed in the outpatient department at 10 to 14 days post operatively</w:t>
      </w:r>
      <w:r w:rsidR="00B039FD">
        <w:rPr>
          <w:rFonts w:cs="Arial"/>
          <w:color w:val="000000" w:themeColor="text1"/>
          <w:sz w:val="24"/>
        </w:rPr>
        <w:t xml:space="preserve">, at which point if required, sutures will be removed. Patients will subsequently be reviewed at 6 weeks, 3 months, 6 months, 12 months, and 24 months post operatively. At these reviews, the </w:t>
      </w:r>
      <w:proofErr w:type="spellStart"/>
      <w:r w:rsidR="00B039FD">
        <w:rPr>
          <w:rFonts w:cs="Arial"/>
          <w:color w:val="000000" w:themeColor="text1"/>
          <w:sz w:val="24"/>
        </w:rPr>
        <w:t>M</w:t>
      </w:r>
      <w:r w:rsidR="008438EA">
        <w:rPr>
          <w:rFonts w:cs="Arial"/>
          <w:color w:val="000000" w:themeColor="text1"/>
          <w:sz w:val="24"/>
        </w:rPr>
        <w:t>Ox</w:t>
      </w:r>
      <w:r w:rsidR="00B039FD">
        <w:rPr>
          <w:rFonts w:cs="Arial"/>
          <w:color w:val="000000" w:themeColor="text1"/>
          <w:sz w:val="24"/>
        </w:rPr>
        <w:t>FQ</w:t>
      </w:r>
      <w:proofErr w:type="spellEnd"/>
      <w:r w:rsidR="00CF7D33">
        <w:rPr>
          <w:rFonts w:cs="Arial"/>
          <w:color w:val="000000" w:themeColor="text1"/>
          <w:sz w:val="24"/>
        </w:rPr>
        <w:t xml:space="preserve">, </w:t>
      </w:r>
      <w:r w:rsidR="00B039FD">
        <w:rPr>
          <w:rFonts w:cs="Arial"/>
          <w:color w:val="000000" w:themeColor="text1"/>
          <w:sz w:val="24"/>
        </w:rPr>
        <w:t>EQ-5D</w:t>
      </w:r>
      <w:r w:rsidR="00CF7D33">
        <w:rPr>
          <w:rFonts w:cs="Arial"/>
          <w:color w:val="000000" w:themeColor="text1"/>
          <w:sz w:val="24"/>
        </w:rPr>
        <w:t xml:space="preserve">, and AOFAS </w:t>
      </w:r>
      <w:r w:rsidR="00B039FD">
        <w:rPr>
          <w:rFonts w:cs="Arial"/>
          <w:color w:val="000000" w:themeColor="text1"/>
          <w:sz w:val="24"/>
        </w:rPr>
        <w:t xml:space="preserve">questionnaires will be administered. Radiographs will also be obtained to assess for union and signs of metalwork failure and arthrosis. If union is in doubt or there is concern for metal work failure beyond 3 months post operatively, a CT scan will be considered to further assess progression to union. </w:t>
      </w:r>
      <w:r w:rsidR="00E725E2">
        <w:rPr>
          <w:rFonts w:cs="Arial"/>
          <w:color w:val="000000" w:themeColor="text1"/>
          <w:sz w:val="24"/>
        </w:rPr>
        <w:t>Metalwork will not be routinely removed</w:t>
      </w:r>
      <w:r w:rsidR="00057C44">
        <w:rPr>
          <w:rFonts w:cs="Arial"/>
          <w:color w:val="000000" w:themeColor="text1"/>
          <w:sz w:val="24"/>
        </w:rPr>
        <w:t xml:space="preserve">, practice which is supported by the literature </w:t>
      </w:r>
      <w:r w:rsidR="000A208E">
        <w:rPr>
          <w:rFonts w:cs="Arial"/>
          <w:color w:val="000000" w:themeColor="text1"/>
          <w:sz w:val="24"/>
        </w:rPr>
        <w:t>[19</w:t>
      </w:r>
      <w:r w:rsidR="00057C44">
        <w:rPr>
          <w:rFonts w:cs="Arial"/>
          <w:color w:val="000000" w:themeColor="text1"/>
          <w:sz w:val="24"/>
        </w:rPr>
        <w:t>-2</w:t>
      </w:r>
      <w:r w:rsidR="000A208E">
        <w:rPr>
          <w:rFonts w:cs="Arial"/>
          <w:color w:val="000000" w:themeColor="text1"/>
          <w:sz w:val="24"/>
        </w:rPr>
        <w:t>1]</w:t>
      </w:r>
      <w:r w:rsidR="00E725E2">
        <w:rPr>
          <w:rFonts w:cs="Arial"/>
          <w:color w:val="000000" w:themeColor="text1"/>
          <w:sz w:val="24"/>
        </w:rPr>
        <w:t>. However</w:t>
      </w:r>
      <w:r w:rsidR="00E61C96">
        <w:rPr>
          <w:rFonts w:cs="Arial"/>
          <w:color w:val="000000" w:themeColor="text1"/>
          <w:sz w:val="24"/>
        </w:rPr>
        <w:t xml:space="preserve">, should patients develop pain in relation to metalwork or signs and symptoms of infection, surgical metalwork removal will be arranged. Need for metalwork removal will be carefully documented, and patients will have their wounds reviewed 2 weeks following surgery to ensure healing and for removal of sutures. Following this, patients will continue with their scheduled follow-up appointments. </w:t>
      </w:r>
    </w:p>
    <w:p w14:paraId="0687B376" w14:textId="77777777" w:rsidR="0099513E" w:rsidRPr="004A238B" w:rsidRDefault="0099513E" w:rsidP="00844D13">
      <w:pPr>
        <w:pStyle w:val="Heading3"/>
        <w:keepNext w:val="0"/>
        <w:numPr>
          <w:ilvl w:val="1"/>
          <w:numId w:val="1"/>
        </w:numPr>
        <w:spacing w:before="200" w:after="0" w:line="276" w:lineRule="auto"/>
        <w:ind w:left="709"/>
        <w:jc w:val="both"/>
        <w:rPr>
          <w:b w:val="0"/>
          <w:i/>
          <w:sz w:val="24"/>
          <w:szCs w:val="24"/>
        </w:rPr>
      </w:pPr>
      <w:r w:rsidRPr="004A238B">
        <w:rPr>
          <w:sz w:val="24"/>
          <w:szCs w:val="24"/>
        </w:rPr>
        <w:t xml:space="preserve">Outcome Measures </w:t>
      </w:r>
    </w:p>
    <w:p w14:paraId="252B09D1" w14:textId="3337EA30" w:rsidR="00B51261" w:rsidRDefault="00CC4CEF" w:rsidP="00CC4CEF">
      <w:pPr>
        <w:rPr>
          <w:rFonts w:cs="Arial"/>
          <w:color w:val="000000" w:themeColor="text1"/>
          <w:sz w:val="24"/>
        </w:rPr>
      </w:pPr>
      <w:r>
        <w:rPr>
          <w:rFonts w:cs="Arial"/>
          <w:color w:val="000000" w:themeColor="text1"/>
          <w:sz w:val="24"/>
        </w:rPr>
        <w:t>The primary outcome measure will be</w:t>
      </w:r>
      <w:r w:rsidR="00032500">
        <w:rPr>
          <w:rFonts w:cs="Arial"/>
          <w:color w:val="000000" w:themeColor="text1"/>
          <w:sz w:val="24"/>
        </w:rPr>
        <w:t xml:space="preserve"> comparing pain, as per the Manchester Oxford Foot and Ankle Questionnaire </w:t>
      </w:r>
      <w:r w:rsidR="002720C5">
        <w:rPr>
          <w:rFonts w:cs="Arial"/>
          <w:color w:val="000000" w:themeColor="text1"/>
          <w:sz w:val="24"/>
        </w:rPr>
        <w:t>(</w:t>
      </w:r>
      <w:proofErr w:type="spellStart"/>
      <w:r w:rsidR="002720C5">
        <w:rPr>
          <w:rFonts w:cs="Arial"/>
          <w:color w:val="000000" w:themeColor="text1"/>
          <w:sz w:val="24"/>
        </w:rPr>
        <w:t>M</w:t>
      </w:r>
      <w:r w:rsidR="00F1472C">
        <w:rPr>
          <w:rFonts w:cs="Arial"/>
          <w:color w:val="000000" w:themeColor="text1"/>
          <w:sz w:val="24"/>
        </w:rPr>
        <w:t>Ox</w:t>
      </w:r>
      <w:r w:rsidR="002720C5">
        <w:rPr>
          <w:rFonts w:cs="Arial"/>
          <w:color w:val="000000" w:themeColor="text1"/>
          <w:sz w:val="24"/>
        </w:rPr>
        <w:t>FQ</w:t>
      </w:r>
      <w:proofErr w:type="spellEnd"/>
      <w:r w:rsidR="002720C5">
        <w:rPr>
          <w:rFonts w:cs="Arial"/>
          <w:color w:val="000000" w:themeColor="text1"/>
          <w:sz w:val="24"/>
        </w:rPr>
        <w:t xml:space="preserve">) </w:t>
      </w:r>
      <w:r w:rsidR="00032500">
        <w:rPr>
          <w:rFonts w:cs="Arial"/>
          <w:color w:val="000000" w:themeColor="text1"/>
          <w:sz w:val="24"/>
        </w:rPr>
        <w:t xml:space="preserve">pain domains. </w:t>
      </w:r>
      <w:r w:rsidR="002720C5">
        <w:rPr>
          <w:rFonts w:cs="Arial"/>
          <w:color w:val="000000" w:themeColor="text1"/>
          <w:sz w:val="24"/>
        </w:rPr>
        <w:t xml:space="preserve">Secondary outcome measures will be improvement in function, as assessed by the </w:t>
      </w:r>
      <w:proofErr w:type="spellStart"/>
      <w:r w:rsidR="002720C5">
        <w:rPr>
          <w:rFonts w:cs="Arial"/>
          <w:color w:val="000000" w:themeColor="text1"/>
          <w:sz w:val="24"/>
        </w:rPr>
        <w:t>Mox</w:t>
      </w:r>
      <w:proofErr w:type="spellEnd"/>
      <w:r w:rsidR="002720C5">
        <w:rPr>
          <w:rFonts w:cs="Arial"/>
          <w:color w:val="000000" w:themeColor="text1"/>
          <w:sz w:val="24"/>
        </w:rPr>
        <w:t xml:space="preserve">-FQ function domains; quality of life, as assessed by EQ-5D; </w:t>
      </w:r>
      <w:r w:rsidR="00A358E0">
        <w:rPr>
          <w:rFonts w:cs="Arial"/>
          <w:color w:val="000000" w:themeColor="text1"/>
          <w:sz w:val="24"/>
        </w:rPr>
        <w:t>need for further surgery,</w:t>
      </w:r>
      <w:r w:rsidR="00945256">
        <w:rPr>
          <w:rFonts w:cs="Arial"/>
          <w:color w:val="000000" w:themeColor="text1"/>
          <w:sz w:val="24"/>
        </w:rPr>
        <w:t xml:space="preserve"> i</w:t>
      </w:r>
      <w:r w:rsidR="00A358E0">
        <w:rPr>
          <w:rFonts w:cs="Arial"/>
          <w:color w:val="000000" w:themeColor="text1"/>
          <w:sz w:val="24"/>
        </w:rPr>
        <w:t xml:space="preserve">ncluding for infection, metalwork irritation or </w:t>
      </w:r>
      <w:r w:rsidR="00A358E0">
        <w:rPr>
          <w:rFonts w:cs="Arial"/>
          <w:color w:val="000000" w:themeColor="text1"/>
          <w:sz w:val="24"/>
        </w:rPr>
        <w:lastRenderedPageBreak/>
        <w:t>failure</w:t>
      </w:r>
      <w:r w:rsidR="00945256">
        <w:rPr>
          <w:rFonts w:cs="Arial"/>
          <w:color w:val="000000" w:themeColor="text1"/>
          <w:sz w:val="24"/>
        </w:rPr>
        <w:t xml:space="preserve">; non-union, as documented on follow-up X-ray or CT scan as indicated; and early radiological arthrosis, as documented on follow-up X-ray. </w:t>
      </w:r>
    </w:p>
    <w:p w14:paraId="2852BA29" w14:textId="4EA37201" w:rsidR="002D7C14" w:rsidRDefault="0099346E" w:rsidP="00CC4CEF">
      <w:pPr>
        <w:rPr>
          <w:rFonts w:cs="Arial"/>
          <w:color w:val="000000" w:themeColor="text1"/>
          <w:sz w:val="24"/>
        </w:rPr>
      </w:pPr>
      <w:r>
        <w:rPr>
          <w:rFonts w:cs="Arial"/>
          <w:color w:val="000000" w:themeColor="text1"/>
          <w:sz w:val="24"/>
        </w:rPr>
        <w:t xml:space="preserve">While the </w:t>
      </w:r>
      <w:proofErr w:type="spellStart"/>
      <w:r>
        <w:rPr>
          <w:rFonts w:cs="Arial"/>
          <w:color w:val="000000" w:themeColor="text1"/>
          <w:sz w:val="24"/>
        </w:rPr>
        <w:t>MOxFQ</w:t>
      </w:r>
      <w:proofErr w:type="spellEnd"/>
      <w:r>
        <w:rPr>
          <w:rFonts w:cs="Arial"/>
          <w:color w:val="000000" w:themeColor="text1"/>
          <w:sz w:val="24"/>
        </w:rPr>
        <w:t xml:space="preserve"> was originally validated for hallux valgus surgery, recent studies highlight its strength and suitability for assessing all foot and ankle surgery </w:t>
      </w:r>
      <w:r w:rsidR="00CC1F3B">
        <w:rPr>
          <w:rFonts w:cs="Arial"/>
          <w:color w:val="000000" w:themeColor="text1"/>
          <w:sz w:val="24"/>
        </w:rPr>
        <w:t>[</w:t>
      </w:r>
      <w:r>
        <w:rPr>
          <w:rFonts w:cs="Arial"/>
          <w:color w:val="000000" w:themeColor="text1"/>
          <w:sz w:val="24"/>
        </w:rPr>
        <w:t>2</w:t>
      </w:r>
      <w:r w:rsidR="00CC1F3B">
        <w:rPr>
          <w:rFonts w:cs="Arial"/>
          <w:color w:val="000000" w:themeColor="text1"/>
          <w:sz w:val="24"/>
        </w:rPr>
        <w:t>4</w:t>
      </w:r>
      <w:r w:rsidR="00D90071">
        <w:rPr>
          <w:rFonts w:cs="Arial"/>
          <w:color w:val="000000" w:themeColor="text1"/>
          <w:sz w:val="24"/>
        </w:rPr>
        <w:t>,</w:t>
      </w:r>
      <w:r w:rsidR="00CC1F3B">
        <w:rPr>
          <w:rFonts w:cs="Arial"/>
          <w:color w:val="000000" w:themeColor="text1"/>
          <w:sz w:val="24"/>
        </w:rPr>
        <w:t xml:space="preserve"> </w:t>
      </w:r>
      <w:r w:rsidR="00D90071">
        <w:rPr>
          <w:rFonts w:cs="Arial"/>
          <w:color w:val="000000" w:themeColor="text1"/>
          <w:sz w:val="24"/>
        </w:rPr>
        <w:t>2</w:t>
      </w:r>
      <w:r w:rsidR="00CC1F3B">
        <w:rPr>
          <w:rFonts w:cs="Arial"/>
          <w:color w:val="000000" w:themeColor="text1"/>
          <w:sz w:val="24"/>
        </w:rPr>
        <w:t>5]</w:t>
      </w:r>
      <w:r>
        <w:rPr>
          <w:rFonts w:cs="Arial"/>
          <w:color w:val="000000" w:themeColor="text1"/>
          <w:sz w:val="24"/>
        </w:rPr>
        <w:t xml:space="preserve">. </w:t>
      </w:r>
      <w:r w:rsidR="00276D26">
        <w:rPr>
          <w:rFonts w:cs="Arial"/>
          <w:color w:val="000000" w:themeColor="text1"/>
          <w:sz w:val="24"/>
        </w:rPr>
        <w:t xml:space="preserve">As the </w:t>
      </w:r>
      <w:proofErr w:type="spellStart"/>
      <w:r w:rsidR="00276D26">
        <w:rPr>
          <w:rFonts w:cs="Arial"/>
          <w:color w:val="000000" w:themeColor="text1"/>
          <w:sz w:val="24"/>
        </w:rPr>
        <w:t>MOxFQ</w:t>
      </w:r>
      <w:proofErr w:type="spellEnd"/>
      <w:r w:rsidR="00276D26">
        <w:rPr>
          <w:rFonts w:cs="Arial"/>
          <w:color w:val="000000" w:themeColor="text1"/>
          <w:sz w:val="24"/>
        </w:rPr>
        <w:t xml:space="preserve"> can be divided into three domains (pain, walking/standing, social interaction), it lends itself to both an index score and subgroup analysis. </w:t>
      </w:r>
      <w:r w:rsidR="007276C7">
        <w:rPr>
          <w:rFonts w:cs="Arial"/>
          <w:color w:val="000000" w:themeColor="text1"/>
          <w:sz w:val="24"/>
        </w:rPr>
        <w:t xml:space="preserve">As foot injuries can have a dramatic impact on individual’s ability to perform their daily activities, it is important to incorporate a quality of life score into the secondary outcomes. Both the </w:t>
      </w:r>
      <w:proofErr w:type="spellStart"/>
      <w:r w:rsidR="007276C7">
        <w:rPr>
          <w:rFonts w:cs="Arial"/>
          <w:color w:val="000000" w:themeColor="text1"/>
          <w:sz w:val="24"/>
        </w:rPr>
        <w:t>MOxFQ</w:t>
      </w:r>
      <w:proofErr w:type="spellEnd"/>
      <w:r w:rsidR="007276C7">
        <w:rPr>
          <w:rFonts w:cs="Arial"/>
          <w:color w:val="000000" w:themeColor="text1"/>
          <w:sz w:val="24"/>
        </w:rPr>
        <w:t xml:space="preserve"> index score (total score) and EQ-5D have been supported in the literature and will be utilized in this study </w:t>
      </w:r>
      <w:r w:rsidR="006F46EE">
        <w:rPr>
          <w:rFonts w:cs="Arial"/>
          <w:color w:val="000000" w:themeColor="text1"/>
          <w:sz w:val="24"/>
        </w:rPr>
        <w:t>[</w:t>
      </w:r>
      <w:r w:rsidR="007276C7">
        <w:rPr>
          <w:rFonts w:cs="Arial"/>
          <w:color w:val="000000" w:themeColor="text1"/>
          <w:sz w:val="24"/>
        </w:rPr>
        <w:t>1</w:t>
      </w:r>
      <w:r w:rsidR="006F46EE">
        <w:rPr>
          <w:rFonts w:cs="Arial"/>
          <w:color w:val="000000" w:themeColor="text1"/>
          <w:sz w:val="24"/>
        </w:rPr>
        <w:t>1</w:t>
      </w:r>
      <w:r w:rsidR="007276C7">
        <w:rPr>
          <w:rFonts w:cs="Arial"/>
          <w:color w:val="000000" w:themeColor="text1"/>
          <w:sz w:val="24"/>
        </w:rPr>
        <w:t xml:space="preserve">, </w:t>
      </w:r>
      <w:r w:rsidR="00500830">
        <w:rPr>
          <w:rFonts w:cs="Arial"/>
          <w:color w:val="000000" w:themeColor="text1"/>
          <w:sz w:val="24"/>
        </w:rPr>
        <w:t>1</w:t>
      </w:r>
      <w:r w:rsidR="006F46EE">
        <w:rPr>
          <w:rFonts w:cs="Arial"/>
          <w:color w:val="000000" w:themeColor="text1"/>
          <w:sz w:val="24"/>
        </w:rPr>
        <w:t>3</w:t>
      </w:r>
      <w:r w:rsidR="00500830">
        <w:rPr>
          <w:rFonts w:cs="Arial"/>
          <w:color w:val="000000" w:themeColor="text1"/>
          <w:sz w:val="24"/>
        </w:rPr>
        <w:t xml:space="preserve">, </w:t>
      </w:r>
      <w:r w:rsidR="007276C7">
        <w:rPr>
          <w:rFonts w:cs="Arial"/>
          <w:color w:val="000000" w:themeColor="text1"/>
          <w:sz w:val="24"/>
        </w:rPr>
        <w:t>2</w:t>
      </w:r>
      <w:r w:rsidR="006F46EE">
        <w:rPr>
          <w:rFonts w:cs="Arial"/>
          <w:color w:val="000000" w:themeColor="text1"/>
          <w:sz w:val="24"/>
        </w:rPr>
        <w:t>3</w:t>
      </w:r>
      <w:r w:rsidR="007276C7">
        <w:rPr>
          <w:rFonts w:cs="Arial"/>
          <w:color w:val="000000" w:themeColor="text1"/>
          <w:sz w:val="24"/>
        </w:rPr>
        <w:t>, 2</w:t>
      </w:r>
      <w:r w:rsidR="006F46EE">
        <w:rPr>
          <w:rFonts w:cs="Arial"/>
          <w:color w:val="000000" w:themeColor="text1"/>
          <w:sz w:val="24"/>
        </w:rPr>
        <w:t>5</w:t>
      </w:r>
      <w:r w:rsidR="007276C7">
        <w:rPr>
          <w:rFonts w:cs="Arial"/>
          <w:color w:val="000000" w:themeColor="text1"/>
          <w:sz w:val="24"/>
        </w:rPr>
        <w:t>, 2</w:t>
      </w:r>
      <w:r w:rsidR="006F46EE">
        <w:rPr>
          <w:rFonts w:cs="Arial"/>
          <w:color w:val="000000" w:themeColor="text1"/>
          <w:sz w:val="24"/>
        </w:rPr>
        <w:t>6]</w:t>
      </w:r>
      <w:r w:rsidR="007276C7">
        <w:rPr>
          <w:rFonts w:cs="Arial"/>
          <w:color w:val="000000" w:themeColor="text1"/>
          <w:sz w:val="24"/>
        </w:rPr>
        <w:t xml:space="preserve">. </w:t>
      </w:r>
    </w:p>
    <w:p w14:paraId="6F25D295" w14:textId="59E88851" w:rsidR="00CC7B34" w:rsidRPr="002D7C14" w:rsidRDefault="008545C4" w:rsidP="00CC4CEF">
      <w:pPr>
        <w:rPr>
          <w:rFonts w:cs="Arial"/>
          <w:color w:val="000000" w:themeColor="text1"/>
          <w:sz w:val="24"/>
        </w:rPr>
      </w:pPr>
      <w:r>
        <w:rPr>
          <w:rFonts w:cs="Arial"/>
          <w:color w:val="000000" w:themeColor="text1"/>
          <w:sz w:val="24"/>
        </w:rPr>
        <w:t xml:space="preserve">As an additional outcome measure for comparison, we have also opted to include the AOFAS midfoot score. </w:t>
      </w:r>
      <w:r w:rsidR="003D0964">
        <w:rPr>
          <w:rFonts w:cs="Arial"/>
          <w:color w:val="000000" w:themeColor="text1"/>
          <w:sz w:val="24"/>
        </w:rPr>
        <w:t xml:space="preserve">While some research has demonstrated reasonable validity of the AOFAS scores, much larger meta-analyses have failed to show reliability, validity and responsiveness of the AOFAS scores </w:t>
      </w:r>
      <w:r w:rsidR="006F46EE">
        <w:rPr>
          <w:rFonts w:cs="Arial"/>
          <w:color w:val="000000" w:themeColor="text1"/>
          <w:sz w:val="24"/>
        </w:rPr>
        <w:t>[</w:t>
      </w:r>
      <w:r w:rsidR="003D0964">
        <w:rPr>
          <w:rFonts w:cs="Arial"/>
          <w:color w:val="000000" w:themeColor="text1"/>
          <w:sz w:val="24"/>
        </w:rPr>
        <w:t>2</w:t>
      </w:r>
      <w:r w:rsidR="006F46EE">
        <w:rPr>
          <w:rFonts w:cs="Arial"/>
          <w:color w:val="000000" w:themeColor="text1"/>
          <w:sz w:val="24"/>
        </w:rPr>
        <w:t>7</w:t>
      </w:r>
      <w:r w:rsidR="003D0964">
        <w:rPr>
          <w:rFonts w:cs="Arial"/>
          <w:color w:val="000000" w:themeColor="text1"/>
          <w:sz w:val="24"/>
        </w:rPr>
        <w:t>, 2</w:t>
      </w:r>
      <w:r w:rsidR="006F46EE">
        <w:rPr>
          <w:rFonts w:cs="Arial"/>
          <w:color w:val="000000" w:themeColor="text1"/>
          <w:sz w:val="24"/>
        </w:rPr>
        <w:t>8]</w:t>
      </w:r>
      <w:r w:rsidR="003D0964">
        <w:rPr>
          <w:rFonts w:cs="Arial"/>
          <w:color w:val="000000" w:themeColor="text1"/>
          <w:sz w:val="24"/>
        </w:rPr>
        <w:t xml:space="preserve">. </w:t>
      </w:r>
      <w:r w:rsidR="00B47967">
        <w:rPr>
          <w:rFonts w:cs="Arial"/>
          <w:color w:val="000000" w:themeColor="text1"/>
          <w:sz w:val="24"/>
        </w:rPr>
        <w:t xml:space="preserve">As a large number of foot and ankle research comes out of the United States of America, many studies utilize this scoring measure </w:t>
      </w:r>
      <w:r w:rsidR="006F46EE">
        <w:rPr>
          <w:rFonts w:cs="Arial"/>
          <w:color w:val="000000" w:themeColor="text1"/>
          <w:sz w:val="24"/>
        </w:rPr>
        <w:t>[</w:t>
      </w:r>
      <w:r w:rsidR="00500830">
        <w:rPr>
          <w:rFonts w:cs="Arial"/>
          <w:color w:val="000000" w:themeColor="text1"/>
          <w:sz w:val="24"/>
        </w:rPr>
        <w:t xml:space="preserve">7, </w:t>
      </w:r>
      <w:r w:rsidR="00C8436F">
        <w:rPr>
          <w:rFonts w:cs="Arial"/>
          <w:color w:val="000000" w:themeColor="text1"/>
          <w:sz w:val="24"/>
        </w:rPr>
        <w:t>1</w:t>
      </w:r>
      <w:r w:rsidR="006F46EE">
        <w:rPr>
          <w:rFonts w:cs="Arial"/>
          <w:color w:val="000000" w:themeColor="text1"/>
          <w:sz w:val="24"/>
        </w:rPr>
        <w:t>1</w:t>
      </w:r>
      <w:r w:rsidR="00C8436F">
        <w:rPr>
          <w:rFonts w:cs="Arial"/>
          <w:color w:val="000000" w:themeColor="text1"/>
          <w:sz w:val="24"/>
        </w:rPr>
        <w:t>, 1</w:t>
      </w:r>
      <w:r w:rsidR="006F46EE">
        <w:rPr>
          <w:rFonts w:cs="Arial"/>
          <w:color w:val="000000" w:themeColor="text1"/>
          <w:sz w:val="24"/>
        </w:rPr>
        <w:t>4</w:t>
      </w:r>
      <w:r w:rsidR="00C8436F">
        <w:rPr>
          <w:rFonts w:cs="Arial"/>
          <w:color w:val="000000" w:themeColor="text1"/>
          <w:sz w:val="24"/>
        </w:rPr>
        <w:t>, 1</w:t>
      </w:r>
      <w:r w:rsidR="006F46EE">
        <w:rPr>
          <w:rFonts w:cs="Arial"/>
          <w:color w:val="000000" w:themeColor="text1"/>
          <w:sz w:val="24"/>
        </w:rPr>
        <w:t>7]</w:t>
      </w:r>
      <w:r w:rsidR="00B47967">
        <w:rPr>
          <w:rFonts w:cs="Arial"/>
          <w:color w:val="000000" w:themeColor="text1"/>
          <w:sz w:val="24"/>
        </w:rPr>
        <w:t xml:space="preserve">. It is believed that the inclusion of this score will increase the </w:t>
      </w:r>
      <w:r w:rsidR="003A380A">
        <w:rPr>
          <w:rFonts w:cs="Arial"/>
          <w:color w:val="000000" w:themeColor="text1"/>
          <w:sz w:val="24"/>
        </w:rPr>
        <w:t xml:space="preserve">reach of this study, by allowing the results to be </w:t>
      </w:r>
      <w:r w:rsidR="00621BD2">
        <w:rPr>
          <w:rFonts w:cs="Arial"/>
          <w:color w:val="000000" w:themeColor="text1"/>
          <w:sz w:val="24"/>
        </w:rPr>
        <w:t xml:space="preserve">directly </w:t>
      </w:r>
      <w:r w:rsidR="003A380A">
        <w:rPr>
          <w:rFonts w:cs="Arial"/>
          <w:color w:val="000000" w:themeColor="text1"/>
          <w:sz w:val="24"/>
        </w:rPr>
        <w:t xml:space="preserve">compared to current data across a wide number of countries. </w:t>
      </w:r>
    </w:p>
    <w:p w14:paraId="539BCF90" w14:textId="77777777" w:rsidR="0099513E" w:rsidRPr="004A238B" w:rsidRDefault="0099513E" w:rsidP="00844D13">
      <w:pPr>
        <w:pStyle w:val="Heading3"/>
        <w:keepNext w:val="0"/>
        <w:numPr>
          <w:ilvl w:val="1"/>
          <w:numId w:val="1"/>
        </w:numPr>
        <w:spacing w:before="200" w:after="0" w:line="276" w:lineRule="auto"/>
        <w:ind w:left="709"/>
        <w:jc w:val="both"/>
        <w:rPr>
          <w:rStyle w:val="BookTitle"/>
          <w:b w:val="0"/>
          <w:i w:val="0"/>
          <w:iCs w:val="0"/>
          <w:smallCaps w:val="0"/>
          <w:sz w:val="24"/>
          <w:szCs w:val="24"/>
        </w:rPr>
      </w:pPr>
      <w:r w:rsidRPr="004A238B">
        <w:rPr>
          <w:sz w:val="24"/>
          <w:szCs w:val="24"/>
        </w:rPr>
        <w:t>Data Collection</w:t>
      </w:r>
    </w:p>
    <w:p w14:paraId="3AA3D3EB" w14:textId="032C5E8D" w:rsidR="00750086" w:rsidRPr="0086053D" w:rsidRDefault="0086053D" w:rsidP="0086053D">
      <w:pPr>
        <w:rPr>
          <w:rFonts w:cs="Arial"/>
          <w:color w:val="000000" w:themeColor="text1"/>
          <w:sz w:val="24"/>
        </w:rPr>
      </w:pPr>
      <w:r>
        <w:rPr>
          <w:rFonts w:cs="Arial"/>
          <w:color w:val="000000" w:themeColor="text1"/>
          <w:sz w:val="24"/>
        </w:rPr>
        <w:t xml:space="preserve">Important data collection will be </w:t>
      </w:r>
      <w:r w:rsidR="00F52E43">
        <w:rPr>
          <w:rFonts w:cs="Arial"/>
          <w:color w:val="000000" w:themeColor="text1"/>
          <w:sz w:val="24"/>
        </w:rPr>
        <w:t xml:space="preserve">an initial patient questionnaire, to obtain patient demographics and ensure inclusion/exclusion criteria are met; initial and subsequent radiographs; and outcome measures. Radiographs and outcome measures will be taken at scheduled follow-ups of 6 weeks, followed by 3, 6, 12, and 24 months. </w:t>
      </w:r>
    </w:p>
    <w:p w14:paraId="12D5DAE9" w14:textId="457179A4" w:rsidR="00796337" w:rsidRDefault="00796337" w:rsidP="00844D13">
      <w:pPr>
        <w:pStyle w:val="Heading3"/>
        <w:keepNext w:val="0"/>
        <w:numPr>
          <w:ilvl w:val="1"/>
          <w:numId w:val="1"/>
        </w:numPr>
        <w:spacing w:before="200" w:after="0" w:line="276" w:lineRule="auto"/>
        <w:ind w:left="709"/>
        <w:jc w:val="both"/>
        <w:rPr>
          <w:sz w:val="24"/>
          <w:szCs w:val="24"/>
        </w:rPr>
      </w:pPr>
      <w:r>
        <w:rPr>
          <w:sz w:val="24"/>
          <w:szCs w:val="24"/>
        </w:rPr>
        <w:t>Data Storage</w:t>
      </w:r>
      <w:r w:rsidR="00AD51A9">
        <w:rPr>
          <w:sz w:val="24"/>
          <w:szCs w:val="24"/>
        </w:rPr>
        <w:t xml:space="preserve"> and Confidentiality</w:t>
      </w:r>
    </w:p>
    <w:p w14:paraId="6D1134AB" w14:textId="6C3F3B26" w:rsidR="00796337" w:rsidRPr="005D5BB9" w:rsidRDefault="005D5BB9" w:rsidP="00796337">
      <w:pPr>
        <w:rPr>
          <w:color w:val="000000" w:themeColor="text1"/>
        </w:rPr>
      </w:pPr>
      <w:r>
        <w:rPr>
          <w:rFonts w:cs="Arial"/>
          <w:color w:val="000000" w:themeColor="text1"/>
          <w:sz w:val="24"/>
        </w:rPr>
        <w:t>Data will be stored in a secured storage cabinet within Dr Platt’s office, which is also locked and only accessed via</w:t>
      </w:r>
      <w:r w:rsidR="00825932">
        <w:rPr>
          <w:rFonts w:cs="Arial"/>
          <w:color w:val="000000" w:themeColor="text1"/>
          <w:sz w:val="24"/>
        </w:rPr>
        <w:t xml:space="preserve"> doors requiring swipe key access. This data will include all patient questionnaires completed through the course of the trial. All data will be retained for at least </w:t>
      </w:r>
      <w:r w:rsidR="002F7E7B">
        <w:rPr>
          <w:rFonts w:cs="Arial"/>
          <w:color w:val="000000" w:themeColor="text1"/>
          <w:sz w:val="24"/>
        </w:rPr>
        <w:t>1</w:t>
      </w:r>
      <w:r w:rsidR="00825932">
        <w:rPr>
          <w:rFonts w:cs="Arial"/>
          <w:color w:val="000000" w:themeColor="text1"/>
          <w:sz w:val="24"/>
        </w:rPr>
        <w:t xml:space="preserve">5 years as per the guidelines. Should the information be discarded of in the future, it will only be done so through secure shredding to ensure no breach of patient confidentiality. </w:t>
      </w:r>
    </w:p>
    <w:p w14:paraId="486EAB15" w14:textId="13EDB51F" w:rsidR="0099513E" w:rsidRPr="004A238B" w:rsidRDefault="0099513E" w:rsidP="00844D13">
      <w:pPr>
        <w:pStyle w:val="Heading3"/>
        <w:keepNext w:val="0"/>
        <w:numPr>
          <w:ilvl w:val="1"/>
          <w:numId w:val="1"/>
        </w:numPr>
        <w:spacing w:before="200" w:after="0" w:line="276" w:lineRule="auto"/>
        <w:ind w:left="709"/>
        <w:jc w:val="both"/>
        <w:rPr>
          <w:b w:val="0"/>
          <w:sz w:val="24"/>
          <w:szCs w:val="24"/>
        </w:rPr>
      </w:pPr>
      <w:r w:rsidRPr="004A238B">
        <w:rPr>
          <w:sz w:val="24"/>
          <w:szCs w:val="24"/>
        </w:rPr>
        <w:t>Data Analysis</w:t>
      </w:r>
      <w:r w:rsidR="00A24793">
        <w:rPr>
          <w:sz w:val="24"/>
          <w:szCs w:val="24"/>
        </w:rPr>
        <w:t xml:space="preserve"> and Statistical Considerations</w:t>
      </w:r>
    </w:p>
    <w:p w14:paraId="77DA7DFB" w14:textId="3ADBC930" w:rsidR="001E7D18" w:rsidRPr="00493670" w:rsidRDefault="00813D82" w:rsidP="00493670">
      <w:pPr>
        <w:rPr>
          <w:rFonts w:cs="Arial"/>
          <w:color w:val="000000" w:themeColor="text1"/>
          <w:sz w:val="24"/>
        </w:rPr>
      </w:pPr>
      <w:r>
        <w:rPr>
          <w:rFonts w:cs="Arial"/>
          <w:color w:val="000000" w:themeColor="text1"/>
          <w:sz w:val="24"/>
        </w:rPr>
        <w:t xml:space="preserve">Local biostatistician Dr Ian Hughes has been consulted for data/statistical analysis and will continue to be utilized following conclusion of data collection. Data analysis will be performed using excel and Stata15. </w:t>
      </w:r>
    </w:p>
    <w:p w14:paraId="1A3954CC" w14:textId="4756983F" w:rsidR="0099513E" w:rsidRPr="00F152BD" w:rsidRDefault="0099513E" w:rsidP="006C177D">
      <w:pPr>
        <w:pStyle w:val="Heading3"/>
        <w:keepNext w:val="0"/>
        <w:numPr>
          <w:ilvl w:val="0"/>
          <w:numId w:val="1"/>
        </w:numPr>
        <w:spacing w:before="200" w:after="0" w:line="276" w:lineRule="auto"/>
        <w:ind w:left="426" w:hanging="426"/>
        <w:jc w:val="both"/>
        <w:rPr>
          <w:b w:val="0"/>
          <w:color w:val="000000" w:themeColor="text1"/>
          <w:sz w:val="24"/>
          <w:szCs w:val="24"/>
        </w:rPr>
      </w:pPr>
      <w:r w:rsidRPr="00F152BD">
        <w:rPr>
          <w:color w:val="000000" w:themeColor="text1"/>
          <w:sz w:val="24"/>
          <w:szCs w:val="24"/>
        </w:rPr>
        <w:t>Translation to Changes in Clinical Practice</w:t>
      </w:r>
    </w:p>
    <w:p w14:paraId="362A8676" w14:textId="33325EAB" w:rsidR="0099513E" w:rsidRPr="009F1C71" w:rsidRDefault="00086E2E" w:rsidP="00AD11B9">
      <w:pPr>
        <w:spacing w:after="0"/>
        <w:rPr>
          <w:rFonts w:cs="Arial"/>
          <w:color w:val="000000" w:themeColor="text1"/>
          <w:sz w:val="24"/>
        </w:rPr>
      </w:pPr>
      <w:r>
        <w:rPr>
          <w:rFonts w:cs="Arial"/>
          <w:color w:val="000000" w:themeColor="text1"/>
          <w:sz w:val="24"/>
        </w:rPr>
        <w:t xml:space="preserve">Current best practice in the surgical management of Lisfranc injuries is unclear. As illustrated in the literature review, there is increasing evidence in support of dorsal plating techniques. </w:t>
      </w:r>
      <w:r w:rsidR="00075C00">
        <w:rPr>
          <w:rFonts w:cs="Arial"/>
          <w:color w:val="000000" w:themeColor="text1"/>
          <w:sz w:val="24"/>
        </w:rPr>
        <w:t>T</w:t>
      </w:r>
      <w:r>
        <w:rPr>
          <w:rFonts w:cs="Arial"/>
          <w:color w:val="000000" w:themeColor="text1"/>
          <w:sz w:val="24"/>
        </w:rPr>
        <w:t xml:space="preserve">o date, no randomized controlled trial comparing these techniques exists. As a result, there is no strong research to support one method of fixation over the other. This study aims to compare these methods in a randomized controlled trial, and incorporate several important secondary outcome measures often used in clinical decision making. </w:t>
      </w:r>
      <w:r w:rsidR="004B0FF4">
        <w:rPr>
          <w:rFonts w:cs="Arial"/>
          <w:color w:val="000000" w:themeColor="text1"/>
          <w:sz w:val="24"/>
        </w:rPr>
        <w:t>As this study is taken place in a large tertiary trauma centre</w:t>
      </w:r>
      <w:r w:rsidR="009F1C71">
        <w:rPr>
          <w:rFonts w:cs="Arial"/>
          <w:color w:val="000000" w:themeColor="text1"/>
          <w:sz w:val="24"/>
        </w:rPr>
        <w:t xml:space="preserve">, Lisfranc injuries are commonly </w:t>
      </w:r>
      <w:r w:rsidR="009F1C71">
        <w:rPr>
          <w:rFonts w:cs="Arial"/>
          <w:color w:val="000000" w:themeColor="text1"/>
          <w:sz w:val="24"/>
        </w:rPr>
        <w:lastRenderedPageBreak/>
        <w:t>encountered through emergency departments and orthopaedic clinics. Results of this study are expected to directly impact our surgical management of these injuries moving forward. Additionally, co-investigator Dr Simon Platt, is heavily involved in foot and ankle surgery research. Following this study, we aim to publish our results in a prominent foot and ankle surgery journal, and present the results both domestically and internationally. In smaller hospitals, these injuries are often managed by orthopaedic generalists, where specialists are not available. We furthermore aim to present the results, not only at foot and ankle conferences, but also state and national orthopaedic meetings. Regardless of the results obtained, we expect them to have a large impact on current practice</w:t>
      </w:r>
      <w:r w:rsidR="00075C00">
        <w:rPr>
          <w:rFonts w:cs="Arial"/>
          <w:color w:val="000000" w:themeColor="text1"/>
          <w:sz w:val="24"/>
        </w:rPr>
        <w:t>, providing further information on best management</w:t>
      </w:r>
      <w:r w:rsidR="009F1C71">
        <w:rPr>
          <w:rFonts w:cs="Arial"/>
          <w:color w:val="000000" w:themeColor="text1"/>
          <w:sz w:val="24"/>
        </w:rPr>
        <w:t xml:space="preserve"> and</w:t>
      </w:r>
      <w:r w:rsidR="00075C00">
        <w:rPr>
          <w:rFonts w:cs="Arial"/>
          <w:color w:val="000000" w:themeColor="text1"/>
          <w:sz w:val="24"/>
        </w:rPr>
        <w:t xml:space="preserve"> advancing the</w:t>
      </w:r>
      <w:r w:rsidR="009F1C71">
        <w:rPr>
          <w:rFonts w:cs="Arial"/>
          <w:color w:val="000000" w:themeColor="text1"/>
          <w:sz w:val="24"/>
        </w:rPr>
        <w:t xml:space="preserve"> discussion and research surrounding Lisfranc injuries.</w:t>
      </w:r>
    </w:p>
    <w:p w14:paraId="63563435" w14:textId="54460958" w:rsidR="0099513E" w:rsidRPr="00F152BD" w:rsidRDefault="0099513E" w:rsidP="006C177D">
      <w:pPr>
        <w:pStyle w:val="Heading3"/>
        <w:keepNext w:val="0"/>
        <w:numPr>
          <w:ilvl w:val="0"/>
          <w:numId w:val="1"/>
        </w:numPr>
        <w:spacing w:before="200" w:after="0" w:line="276" w:lineRule="auto"/>
        <w:ind w:left="426" w:hanging="426"/>
        <w:jc w:val="both"/>
        <w:rPr>
          <w:b w:val="0"/>
          <w:color w:val="000000" w:themeColor="text1"/>
          <w:sz w:val="24"/>
          <w:szCs w:val="24"/>
        </w:rPr>
      </w:pPr>
      <w:r w:rsidRPr="00F152BD">
        <w:rPr>
          <w:color w:val="000000" w:themeColor="text1"/>
          <w:sz w:val="24"/>
          <w:szCs w:val="24"/>
        </w:rPr>
        <w:t>Timeline</w:t>
      </w:r>
    </w:p>
    <w:p w14:paraId="2FAD5E09" w14:textId="4C08D827" w:rsidR="00FA665E" w:rsidRPr="00FA665E" w:rsidRDefault="00002CED" w:rsidP="00FA665E">
      <w:pPr>
        <w:rPr>
          <w:rFonts w:cs="Arial"/>
          <w:color w:val="000000" w:themeColor="text1"/>
          <w:sz w:val="24"/>
        </w:rPr>
      </w:pPr>
      <w:r>
        <w:rPr>
          <w:rFonts w:cs="Arial"/>
          <w:color w:val="000000" w:themeColor="text1"/>
          <w:sz w:val="24"/>
        </w:rPr>
        <w:t xml:space="preserve">Recruitment will begin as soon as ethics and SSA approval have been received. We expect to take approximately 2 years to recruit sufficient patients as per our power analysis. Afterwards, follow up with each patient is hoped for 18 months. A further 3-6 months is anticipated for collating and interpreting data, as well as write up and submission to orthopaedic journals. We anticipate a total time line of approximately 4 to 4.5 years to complete this trial. </w:t>
      </w:r>
    </w:p>
    <w:p w14:paraId="7C5C1DA1" w14:textId="190C8934" w:rsidR="0099513E" w:rsidRDefault="0099513E" w:rsidP="006C177D">
      <w:pPr>
        <w:pStyle w:val="Heading3"/>
        <w:keepNext w:val="0"/>
        <w:numPr>
          <w:ilvl w:val="0"/>
          <w:numId w:val="1"/>
        </w:numPr>
        <w:spacing w:before="200" w:after="0" w:line="276" w:lineRule="auto"/>
        <w:ind w:left="426" w:hanging="426"/>
        <w:jc w:val="both"/>
        <w:rPr>
          <w:color w:val="000000" w:themeColor="text1"/>
          <w:sz w:val="24"/>
          <w:szCs w:val="24"/>
        </w:rPr>
      </w:pPr>
      <w:r w:rsidRPr="001A291F">
        <w:rPr>
          <w:color w:val="000000" w:themeColor="text1"/>
          <w:sz w:val="24"/>
          <w:szCs w:val="24"/>
        </w:rPr>
        <w:t>Funding</w:t>
      </w:r>
      <w:r w:rsidR="00D5401E" w:rsidRPr="001A291F">
        <w:rPr>
          <w:color w:val="000000" w:themeColor="text1"/>
          <w:sz w:val="24"/>
          <w:szCs w:val="24"/>
        </w:rPr>
        <w:t xml:space="preserve"> and Resources</w:t>
      </w:r>
    </w:p>
    <w:p w14:paraId="10F85919" w14:textId="3F559D78" w:rsidR="00CC7B34" w:rsidRPr="003D0964" w:rsidRDefault="00CC7B34" w:rsidP="00CC7B34">
      <w:pPr>
        <w:rPr>
          <w:sz w:val="24"/>
        </w:rPr>
      </w:pPr>
      <w:r w:rsidRPr="003D0964">
        <w:rPr>
          <w:sz w:val="24"/>
        </w:rPr>
        <w:t xml:space="preserve">As this research does not strongly deviate from current practice, we do not anticipate any additional funds to conduct the trial. The only additional cost is that of printing/copying questionnaires for the trial. Once fully underway, we may recruit a medical student to assist with helping with distribution, completion, and questionnaires in clinic. This need will be assessed based on the amount of slowdown this may create with patient flow in clinic. </w:t>
      </w:r>
    </w:p>
    <w:p w14:paraId="39296FB2" w14:textId="77777777" w:rsidR="00C24A04" w:rsidRPr="00C24A04" w:rsidRDefault="0099513E" w:rsidP="00844D13">
      <w:pPr>
        <w:pStyle w:val="Heading3"/>
        <w:keepNext w:val="0"/>
        <w:numPr>
          <w:ilvl w:val="0"/>
          <w:numId w:val="1"/>
        </w:numPr>
        <w:spacing w:before="200" w:after="0" w:line="276" w:lineRule="auto"/>
        <w:ind w:left="426" w:hanging="426"/>
        <w:jc w:val="both"/>
        <w:rPr>
          <w:b w:val="0"/>
          <w:color w:val="000000" w:themeColor="text1"/>
          <w:sz w:val="24"/>
          <w:szCs w:val="24"/>
        </w:rPr>
      </w:pPr>
      <w:r w:rsidRPr="00F152BD">
        <w:rPr>
          <w:color w:val="000000" w:themeColor="text1"/>
          <w:sz w:val="24"/>
          <w:szCs w:val="24"/>
        </w:rPr>
        <w:t>References</w:t>
      </w:r>
    </w:p>
    <w:p w14:paraId="209B92DF" w14:textId="77777777" w:rsidR="00C24A04" w:rsidRPr="00FE1F9E" w:rsidRDefault="00C24A04" w:rsidP="00C24A04">
      <w:pPr>
        <w:pStyle w:val="Heading3"/>
        <w:keepNext w:val="0"/>
        <w:spacing w:before="200" w:after="0" w:line="276" w:lineRule="auto"/>
        <w:jc w:val="both"/>
        <w:rPr>
          <w:sz w:val="24"/>
          <w:szCs w:val="24"/>
        </w:rPr>
      </w:pPr>
    </w:p>
    <w:p w14:paraId="0B5E46D6"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Aitken AP, Poulson D. Dislocations of the </w:t>
      </w:r>
      <w:proofErr w:type="spellStart"/>
      <w:r w:rsidRPr="00FE1F9E">
        <w:rPr>
          <w:rFonts w:ascii="Arial" w:hAnsi="Arial" w:cs="Arial"/>
          <w:sz w:val="24"/>
          <w:szCs w:val="24"/>
          <w:lang w:val="en-AU"/>
        </w:rPr>
        <w:t>tarsometarsal</w:t>
      </w:r>
      <w:proofErr w:type="spellEnd"/>
      <w:r w:rsidRPr="00FE1F9E">
        <w:rPr>
          <w:rFonts w:ascii="Arial" w:hAnsi="Arial" w:cs="Arial"/>
          <w:sz w:val="24"/>
          <w:szCs w:val="24"/>
          <w:lang w:val="en-AU"/>
        </w:rPr>
        <w:t xml:space="preserve"> joint. </w:t>
      </w:r>
      <w:r w:rsidRPr="00FE1F9E">
        <w:rPr>
          <w:rFonts w:ascii="Arial" w:hAnsi="Arial" w:cs="Arial"/>
          <w:i/>
          <w:sz w:val="24"/>
          <w:szCs w:val="24"/>
          <w:lang w:val="en-AU"/>
        </w:rPr>
        <w:t xml:space="preserve">J Bone Joint </w:t>
      </w:r>
      <w:proofErr w:type="spellStart"/>
      <w:r w:rsidRPr="00FE1F9E">
        <w:rPr>
          <w:rFonts w:ascii="Arial" w:hAnsi="Arial" w:cs="Arial"/>
          <w:i/>
          <w:sz w:val="24"/>
          <w:szCs w:val="24"/>
          <w:lang w:val="en-AU"/>
        </w:rPr>
        <w:t>Surg</w:t>
      </w:r>
      <w:proofErr w:type="spellEnd"/>
      <w:r w:rsidRPr="00FE1F9E">
        <w:rPr>
          <w:rFonts w:ascii="Arial" w:hAnsi="Arial" w:cs="Arial"/>
          <w:i/>
          <w:sz w:val="24"/>
          <w:szCs w:val="24"/>
          <w:lang w:val="en-AU"/>
        </w:rPr>
        <w:t xml:space="preserve"> Am </w:t>
      </w:r>
      <w:r w:rsidRPr="00FE1F9E">
        <w:rPr>
          <w:rFonts w:ascii="Arial" w:hAnsi="Arial" w:cs="Arial"/>
          <w:sz w:val="24"/>
          <w:szCs w:val="24"/>
          <w:lang w:val="en-AU"/>
        </w:rPr>
        <w:t>1963; 45-A: 246-260</w:t>
      </w:r>
    </w:p>
    <w:p w14:paraId="3AD040B5"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Hardcastle PH, </w:t>
      </w:r>
      <w:proofErr w:type="spellStart"/>
      <w:r w:rsidRPr="00FE1F9E">
        <w:rPr>
          <w:rFonts w:ascii="Arial" w:hAnsi="Arial" w:cs="Arial"/>
          <w:sz w:val="24"/>
          <w:szCs w:val="24"/>
          <w:lang w:val="en-AU"/>
        </w:rPr>
        <w:t>Reschauer</w:t>
      </w:r>
      <w:proofErr w:type="spellEnd"/>
      <w:r w:rsidRPr="00FE1F9E">
        <w:rPr>
          <w:rFonts w:ascii="Arial" w:hAnsi="Arial" w:cs="Arial"/>
          <w:sz w:val="24"/>
          <w:szCs w:val="24"/>
          <w:lang w:val="en-AU"/>
        </w:rPr>
        <w:t xml:space="preserve"> R, </w:t>
      </w:r>
      <w:proofErr w:type="spellStart"/>
      <w:r w:rsidRPr="00FE1F9E">
        <w:rPr>
          <w:rFonts w:ascii="Arial" w:hAnsi="Arial" w:cs="Arial"/>
          <w:sz w:val="24"/>
          <w:szCs w:val="24"/>
          <w:lang w:val="en-AU"/>
        </w:rPr>
        <w:t>Kutscha-Lissberg</w:t>
      </w:r>
      <w:proofErr w:type="spellEnd"/>
      <w:r w:rsidRPr="00FE1F9E">
        <w:rPr>
          <w:rFonts w:ascii="Arial" w:hAnsi="Arial" w:cs="Arial"/>
          <w:sz w:val="24"/>
          <w:szCs w:val="24"/>
          <w:lang w:val="en-AU"/>
        </w:rPr>
        <w:t xml:space="preserve"> E, </w:t>
      </w:r>
      <w:proofErr w:type="spellStart"/>
      <w:r w:rsidRPr="00FE1F9E">
        <w:rPr>
          <w:rFonts w:ascii="Arial" w:hAnsi="Arial" w:cs="Arial"/>
          <w:sz w:val="24"/>
          <w:szCs w:val="24"/>
          <w:lang w:val="en-AU"/>
        </w:rPr>
        <w:t>Schoffmann</w:t>
      </w:r>
      <w:proofErr w:type="spellEnd"/>
      <w:r w:rsidRPr="00FE1F9E">
        <w:rPr>
          <w:rFonts w:ascii="Arial" w:hAnsi="Arial" w:cs="Arial"/>
          <w:sz w:val="24"/>
          <w:szCs w:val="24"/>
          <w:lang w:val="en-AU"/>
        </w:rPr>
        <w:t xml:space="preserve"> W. Injuries to the tarsometatarsal joint: Incidence, classification, and treatment. </w:t>
      </w:r>
      <w:r w:rsidRPr="00FE1F9E">
        <w:rPr>
          <w:rFonts w:ascii="Arial" w:hAnsi="Arial" w:cs="Arial"/>
          <w:i/>
          <w:sz w:val="24"/>
          <w:szCs w:val="24"/>
          <w:lang w:val="en-AU"/>
        </w:rPr>
        <w:t xml:space="preserve">J Bone Joint </w:t>
      </w:r>
      <w:proofErr w:type="spellStart"/>
      <w:r w:rsidRPr="00FE1F9E">
        <w:rPr>
          <w:rFonts w:ascii="Arial" w:hAnsi="Arial" w:cs="Arial"/>
          <w:i/>
          <w:sz w:val="24"/>
          <w:szCs w:val="24"/>
          <w:lang w:val="en-AU"/>
        </w:rPr>
        <w:t>Surg</w:t>
      </w:r>
      <w:proofErr w:type="spellEnd"/>
      <w:r w:rsidRPr="00FE1F9E">
        <w:rPr>
          <w:rFonts w:ascii="Arial" w:hAnsi="Arial" w:cs="Arial"/>
          <w:i/>
          <w:sz w:val="24"/>
          <w:szCs w:val="24"/>
          <w:lang w:val="en-AU"/>
        </w:rPr>
        <w:t xml:space="preserve"> Br</w:t>
      </w:r>
      <w:r w:rsidRPr="00FE1F9E">
        <w:rPr>
          <w:rFonts w:ascii="Arial" w:hAnsi="Arial" w:cs="Arial"/>
          <w:sz w:val="24"/>
          <w:szCs w:val="24"/>
          <w:lang w:val="en-AU"/>
        </w:rPr>
        <w:t xml:space="preserve"> 1982; 64(3): 349-56</w:t>
      </w:r>
    </w:p>
    <w:p w14:paraId="624F25BC"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Van Rijn J, </w:t>
      </w:r>
      <w:proofErr w:type="spellStart"/>
      <w:r w:rsidRPr="00FE1F9E">
        <w:rPr>
          <w:rFonts w:ascii="Arial" w:hAnsi="Arial" w:cs="Arial"/>
          <w:sz w:val="24"/>
          <w:szCs w:val="24"/>
          <w:lang w:val="en-AU"/>
        </w:rPr>
        <w:t>Dorleijn</w:t>
      </w:r>
      <w:proofErr w:type="spellEnd"/>
      <w:r w:rsidRPr="00FE1F9E">
        <w:rPr>
          <w:rFonts w:ascii="Arial" w:hAnsi="Arial" w:cs="Arial"/>
          <w:sz w:val="24"/>
          <w:szCs w:val="24"/>
          <w:lang w:val="en-AU"/>
        </w:rPr>
        <w:t xml:space="preserve"> DM, </w:t>
      </w:r>
      <w:proofErr w:type="spellStart"/>
      <w:r w:rsidRPr="00FE1F9E">
        <w:rPr>
          <w:rFonts w:ascii="Arial" w:hAnsi="Arial" w:cs="Arial"/>
          <w:sz w:val="24"/>
          <w:szCs w:val="24"/>
          <w:lang w:val="en-AU"/>
        </w:rPr>
        <w:t>Boetes</w:t>
      </w:r>
      <w:proofErr w:type="spellEnd"/>
      <w:r w:rsidRPr="00FE1F9E">
        <w:rPr>
          <w:rFonts w:ascii="Arial" w:hAnsi="Arial" w:cs="Arial"/>
          <w:sz w:val="24"/>
          <w:szCs w:val="24"/>
          <w:lang w:val="en-AU"/>
        </w:rPr>
        <w:t xml:space="preserve"> B, Wiersma-</w:t>
      </w:r>
      <w:proofErr w:type="spellStart"/>
      <w:r w:rsidRPr="00FE1F9E">
        <w:rPr>
          <w:rFonts w:ascii="Arial" w:hAnsi="Arial" w:cs="Arial"/>
          <w:sz w:val="24"/>
          <w:szCs w:val="24"/>
          <w:lang w:val="en-AU"/>
        </w:rPr>
        <w:t>Tuinstra</w:t>
      </w:r>
      <w:proofErr w:type="spellEnd"/>
      <w:r w:rsidRPr="00FE1F9E">
        <w:rPr>
          <w:rFonts w:ascii="Arial" w:hAnsi="Arial" w:cs="Arial"/>
          <w:sz w:val="24"/>
          <w:szCs w:val="24"/>
          <w:lang w:val="en-AU"/>
        </w:rPr>
        <w:t xml:space="preserve"> S, </w:t>
      </w:r>
      <w:proofErr w:type="spellStart"/>
      <w:r w:rsidRPr="00FE1F9E">
        <w:rPr>
          <w:rFonts w:ascii="Arial" w:hAnsi="Arial" w:cs="Arial"/>
          <w:sz w:val="24"/>
          <w:szCs w:val="24"/>
          <w:lang w:val="en-AU"/>
        </w:rPr>
        <w:t>Moonen</w:t>
      </w:r>
      <w:proofErr w:type="spellEnd"/>
      <w:r w:rsidRPr="00FE1F9E">
        <w:rPr>
          <w:rFonts w:ascii="Arial" w:hAnsi="Arial" w:cs="Arial"/>
          <w:sz w:val="24"/>
          <w:szCs w:val="24"/>
          <w:lang w:val="en-AU"/>
        </w:rPr>
        <w:t xml:space="preserve"> S. Missing the Lisfranc fracture: a case report and review of the literature. </w:t>
      </w:r>
      <w:r w:rsidRPr="00FE1F9E">
        <w:rPr>
          <w:rFonts w:ascii="Arial" w:hAnsi="Arial" w:cs="Arial"/>
          <w:i/>
          <w:sz w:val="24"/>
          <w:szCs w:val="24"/>
          <w:lang w:val="en-AU"/>
        </w:rPr>
        <w:t xml:space="preserve">J Foot Ankle </w:t>
      </w:r>
      <w:proofErr w:type="spellStart"/>
      <w:r w:rsidRPr="00FE1F9E">
        <w:rPr>
          <w:rFonts w:ascii="Arial" w:hAnsi="Arial" w:cs="Arial"/>
          <w:i/>
          <w:sz w:val="24"/>
          <w:szCs w:val="24"/>
          <w:lang w:val="en-AU"/>
        </w:rPr>
        <w:t>Surg</w:t>
      </w:r>
      <w:proofErr w:type="spellEnd"/>
      <w:r w:rsidRPr="00FE1F9E">
        <w:rPr>
          <w:rFonts w:ascii="Arial" w:hAnsi="Arial" w:cs="Arial"/>
          <w:sz w:val="24"/>
          <w:szCs w:val="24"/>
          <w:lang w:val="en-AU"/>
        </w:rPr>
        <w:t xml:space="preserve"> 2012; 51 (2): 270-274</w:t>
      </w:r>
    </w:p>
    <w:p w14:paraId="1167902A"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proofErr w:type="spellStart"/>
      <w:r w:rsidRPr="00FE1F9E">
        <w:rPr>
          <w:rFonts w:ascii="Arial" w:hAnsi="Arial" w:cs="Arial"/>
          <w:sz w:val="24"/>
          <w:szCs w:val="24"/>
          <w:lang w:val="en-AU"/>
        </w:rPr>
        <w:t>Eleftheriou</w:t>
      </w:r>
      <w:proofErr w:type="spellEnd"/>
      <w:r w:rsidRPr="00FE1F9E">
        <w:rPr>
          <w:rFonts w:ascii="Arial" w:hAnsi="Arial" w:cs="Arial"/>
          <w:sz w:val="24"/>
          <w:szCs w:val="24"/>
          <w:lang w:val="en-AU"/>
        </w:rPr>
        <w:t xml:space="preserve"> KI, Rosenfeld PF, Calder JDF. Lisfranc injuries: an update. </w:t>
      </w:r>
      <w:r w:rsidRPr="00FE1F9E">
        <w:rPr>
          <w:rFonts w:ascii="Arial" w:hAnsi="Arial" w:cs="Arial"/>
          <w:i/>
          <w:sz w:val="24"/>
          <w:szCs w:val="24"/>
          <w:lang w:val="en-AU"/>
        </w:rPr>
        <w:t xml:space="preserve">Knee </w:t>
      </w:r>
      <w:proofErr w:type="spellStart"/>
      <w:r w:rsidRPr="00FE1F9E">
        <w:rPr>
          <w:rFonts w:ascii="Arial" w:hAnsi="Arial" w:cs="Arial"/>
          <w:i/>
          <w:sz w:val="24"/>
          <w:szCs w:val="24"/>
          <w:lang w:val="en-AU"/>
        </w:rPr>
        <w:t>Surg</w:t>
      </w:r>
      <w:proofErr w:type="spellEnd"/>
      <w:r w:rsidRPr="00FE1F9E">
        <w:rPr>
          <w:rFonts w:ascii="Arial" w:hAnsi="Arial" w:cs="Arial"/>
          <w:i/>
          <w:sz w:val="24"/>
          <w:szCs w:val="24"/>
          <w:lang w:val="en-AU"/>
        </w:rPr>
        <w:t xml:space="preserve"> Sports </w:t>
      </w:r>
      <w:proofErr w:type="spellStart"/>
      <w:r w:rsidRPr="00FE1F9E">
        <w:rPr>
          <w:rFonts w:ascii="Arial" w:hAnsi="Arial" w:cs="Arial"/>
          <w:i/>
          <w:sz w:val="24"/>
          <w:szCs w:val="24"/>
          <w:lang w:val="en-AU"/>
        </w:rPr>
        <w:t>Tramatol</w:t>
      </w:r>
      <w:proofErr w:type="spellEnd"/>
      <w:r w:rsidRPr="00FE1F9E">
        <w:rPr>
          <w:rFonts w:ascii="Arial" w:hAnsi="Arial" w:cs="Arial"/>
          <w:i/>
          <w:sz w:val="24"/>
          <w:szCs w:val="24"/>
          <w:lang w:val="en-AU"/>
        </w:rPr>
        <w:t xml:space="preserve"> </w:t>
      </w:r>
      <w:proofErr w:type="spellStart"/>
      <w:r w:rsidRPr="00FE1F9E">
        <w:rPr>
          <w:rFonts w:ascii="Arial" w:hAnsi="Arial" w:cs="Arial"/>
          <w:i/>
          <w:sz w:val="24"/>
          <w:szCs w:val="24"/>
          <w:lang w:val="en-AU"/>
        </w:rPr>
        <w:t>Arthrosc</w:t>
      </w:r>
      <w:proofErr w:type="spellEnd"/>
      <w:r w:rsidRPr="00FE1F9E">
        <w:rPr>
          <w:rFonts w:ascii="Arial" w:hAnsi="Arial" w:cs="Arial"/>
          <w:sz w:val="24"/>
          <w:szCs w:val="24"/>
          <w:lang w:val="en-AU"/>
        </w:rPr>
        <w:t xml:space="preserve"> 2013; (21): 1434:1446</w:t>
      </w:r>
    </w:p>
    <w:p w14:paraId="4D126031"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Henning JA, Jones CB, </w:t>
      </w:r>
      <w:proofErr w:type="spellStart"/>
      <w:r w:rsidRPr="00FE1F9E">
        <w:rPr>
          <w:rFonts w:ascii="Arial" w:hAnsi="Arial" w:cs="Arial"/>
          <w:sz w:val="24"/>
          <w:szCs w:val="24"/>
          <w:lang w:val="en-AU"/>
        </w:rPr>
        <w:t>Sietsema</w:t>
      </w:r>
      <w:proofErr w:type="spellEnd"/>
      <w:r w:rsidRPr="00FE1F9E">
        <w:rPr>
          <w:rFonts w:ascii="Arial" w:hAnsi="Arial" w:cs="Arial"/>
          <w:sz w:val="24"/>
          <w:szCs w:val="24"/>
          <w:lang w:val="en-AU"/>
        </w:rPr>
        <w:t xml:space="preserve"> DL, </w:t>
      </w:r>
      <w:proofErr w:type="spellStart"/>
      <w:r w:rsidRPr="00FE1F9E">
        <w:rPr>
          <w:rFonts w:ascii="Arial" w:hAnsi="Arial" w:cs="Arial"/>
          <w:sz w:val="24"/>
          <w:szCs w:val="24"/>
          <w:lang w:val="en-AU"/>
        </w:rPr>
        <w:t>Bohay</w:t>
      </w:r>
      <w:proofErr w:type="spellEnd"/>
      <w:r w:rsidRPr="00FE1F9E">
        <w:rPr>
          <w:rFonts w:ascii="Arial" w:hAnsi="Arial" w:cs="Arial"/>
          <w:sz w:val="24"/>
          <w:szCs w:val="24"/>
          <w:lang w:val="en-AU"/>
        </w:rPr>
        <w:t xml:space="preserve"> DR, Anderson JG. Open reduction internal fixation versus primary arthrodesis for Lisfranc injuries: A prospective randomized study. </w:t>
      </w:r>
      <w:r w:rsidRPr="00FE1F9E">
        <w:rPr>
          <w:rFonts w:ascii="Arial" w:hAnsi="Arial" w:cs="Arial"/>
          <w:i/>
          <w:sz w:val="24"/>
          <w:szCs w:val="24"/>
          <w:lang w:val="en-AU"/>
        </w:rPr>
        <w:t xml:space="preserve">Foot Ankle </w:t>
      </w:r>
      <w:proofErr w:type="spellStart"/>
      <w:r w:rsidRPr="00FE1F9E">
        <w:rPr>
          <w:rFonts w:ascii="Arial" w:hAnsi="Arial" w:cs="Arial"/>
          <w:i/>
          <w:sz w:val="24"/>
          <w:szCs w:val="24"/>
          <w:lang w:val="en-AU"/>
        </w:rPr>
        <w:t>Int</w:t>
      </w:r>
      <w:proofErr w:type="spellEnd"/>
      <w:r w:rsidRPr="00FE1F9E">
        <w:rPr>
          <w:rFonts w:ascii="Arial" w:hAnsi="Arial" w:cs="Arial"/>
          <w:i/>
          <w:sz w:val="24"/>
          <w:szCs w:val="24"/>
          <w:lang w:val="en-AU"/>
        </w:rPr>
        <w:t xml:space="preserve"> </w:t>
      </w:r>
      <w:r w:rsidRPr="00FE1F9E">
        <w:rPr>
          <w:rFonts w:ascii="Arial" w:hAnsi="Arial" w:cs="Arial"/>
          <w:sz w:val="24"/>
          <w:szCs w:val="24"/>
          <w:lang w:val="en-AU"/>
        </w:rPr>
        <w:t>2009; 30(10): 913-22</w:t>
      </w:r>
    </w:p>
    <w:p w14:paraId="550115D6"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Smith N, Stone C, </w:t>
      </w:r>
      <w:proofErr w:type="spellStart"/>
      <w:r w:rsidRPr="00FE1F9E">
        <w:rPr>
          <w:rFonts w:ascii="Arial" w:hAnsi="Arial" w:cs="Arial"/>
          <w:sz w:val="24"/>
          <w:szCs w:val="24"/>
          <w:lang w:val="en-AU"/>
        </w:rPr>
        <w:t>Furey</w:t>
      </w:r>
      <w:proofErr w:type="spellEnd"/>
      <w:r w:rsidRPr="00FE1F9E">
        <w:rPr>
          <w:rFonts w:ascii="Arial" w:hAnsi="Arial" w:cs="Arial"/>
          <w:sz w:val="24"/>
          <w:szCs w:val="24"/>
          <w:lang w:val="en-AU"/>
        </w:rPr>
        <w:t xml:space="preserve"> A. Does open reduction and internal fixation versus primary arthrodesis improve patient outcomes for Lisfranc trauma? A systematic review and meta-analysis. </w:t>
      </w:r>
      <w:proofErr w:type="spellStart"/>
      <w:r w:rsidRPr="00FE1F9E">
        <w:rPr>
          <w:rFonts w:ascii="Arial" w:hAnsi="Arial" w:cs="Arial"/>
          <w:i/>
          <w:sz w:val="24"/>
          <w:szCs w:val="24"/>
          <w:lang w:val="en-AU"/>
        </w:rPr>
        <w:t>Clin</w:t>
      </w:r>
      <w:proofErr w:type="spellEnd"/>
      <w:r w:rsidRPr="00FE1F9E">
        <w:rPr>
          <w:rFonts w:ascii="Arial" w:hAnsi="Arial" w:cs="Arial"/>
          <w:i/>
          <w:sz w:val="24"/>
          <w:szCs w:val="24"/>
          <w:lang w:val="en-AU"/>
        </w:rPr>
        <w:t xml:space="preserve"> </w:t>
      </w:r>
      <w:proofErr w:type="spellStart"/>
      <w:r w:rsidRPr="00FE1F9E">
        <w:rPr>
          <w:rFonts w:ascii="Arial" w:hAnsi="Arial" w:cs="Arial"/>
          <w:i/>
          <w:sz w:val="24"/>
          <w:szCs w:val="24"/>
          <w:lang w:val="en-AU"/>
        </w:rPr>
        <w:t>Orthop</w:t>
      </w:r>
      <w:proofErr w:type="spellEnd"/>
      <w:r w:rsidRPr="00FE1F9E">
        <w:rPr>
          <w:rFonts w:ascii="Arial" w:hAnsi="Arial" w:cs="Arial"/>
          <w:i/>
          <w:sz w:val="24"/>
          <w:szCs w:val="24"/>
          <w:lang w:val="en-AU"/>
        </w:rPr>
        <w:t xml:space="preserve"> </w:t>
      </w:r>
      <w:proofErr w:type="spellStart"/>
      <w:r w:rsidRPr="00FE1F9E">
        <w:rPr>
          <w:rFonts w:ascii="Arial" w:hAnsi="Arial" w:cs="Arial"/>
          <w:i/>
          <w:sz w:val="24"/>
          <w:szCs w:val="24"/>
          <w:lang w:val="en-AU"/>
        </w:rPr>
        <w:t>Relat</w:t>
      </w:r>
      <w:proofErr w:type="spellEnd"/>
      <w:r w:rsidRPr="00FE1F9E">
        <w:rPr>
          <w:rFonts w:ascii="Arial" w:hAnsi="Arial" w:cs="Arial"/>
          <w:i/>
          <w:sz w:val="24"/>
          <w:szCs w:val="24"/>
          <w:lang w:val="en-AU"/>
        </w:rPr>
        <w:t xml:space="preserve"> Res</w:t>
      </w:r>
      <w:r w:rsidRPr="00FE1F9E">
        <w:rPr>
          <w:rFonts w:ascii="Arial" w:hAnsi="Arial" w:cs="Arial"/>
          <w:sz w:val="24"/>
          <w:szCs w:val="24"/>
          <w:lang w:val="en-AU"/>
        </w:rPr>
        <w:t xml:space="preserve"> 2016; 474: 1445-1452</w:t>
      </w:r>
    </w:p>
    <w:p w14:paraId="25AF8B02" w14:textId="6F4E4714" w:rsidR="00C24A04" w:rsidRPr="00FE1F9E" w:rsidRDefault="00BA17D0"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lastRenderedPageBreak/>
        <w:t>Ly TV</w:t>
      </w:r>
      <w:r w:rsidR="00C24A04" w:rsidRPr="00FE1F9E">
        <w:rPr>
          <w:rFonts w:ascii="Arial" w:hAnsi="Arial" w:cs="Arial"/>
          <w:sz w:val="24"/>
          <w:szCs w:val="24"/>
          <w:lang w:val="en-AU"/>
        </w:rPr>
        <w:t xml:space="preserve">, Coetzee JC. Treatment of primary ligamentous Lisfranc joint injuries: Primary arthrodesis compared with open reduction and internal fixation. </w:t>
      </w:r>
      <w:r w:rsidR="00C24A04" w:rsidRPr="00FE1F9E">
        <w:rPr>
          <w:rFonts w:ascii="Arial" w:hAnsi="Arial" w:cs="Arial"/>
          <w:i/>
          <w:sz w:val="24"/>
          <w:szCs w:val="24"/>
          <w:lang w:val="en-AU"/>
        </w:rPr>
        <w:t xml:space="preserve">Journal of Bone and Joint Surgery </w:t>
      </w:r>
      <w:r w:rsidR="00C24A04" w:rsidRPr="00FE1F9E">
        <w:rPr>
          <w:rFonts w:ascii="Arial" w:hAnsi="Arial" w:cs="Arial"/>
          <w:sz w:val="24"/>
          <w:szCs w:val="24"/>
          <w:lang w:val="en-AU"/>
        </w:rPr>
        <w:t>2006; 88: 514-520</w:t>
      </w:r>
    </w:p>
    <w:p w14:paraId="47D83F28"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Stern RE, </w:t>
      </w:r>
      <w:proofErr w:type="spellStart"/>
      <w:r w:rsidRPr="00FE1F9E">
        <w:rPr>
          <w:rFonts w:ascii="Arial" w:hAnsi="Arial" w:cs="Arial"/>
          <w:sz w:val="24"/>
          <w:szCs w:val="24"/>
          <w:lang w:val="en-AU"/>
        </w:rPr>
        <w:t>Assal</w:t>
      </w:r>
      <w:proofErr w:type="spellEnd"/>
      <w:r w:rsidRPr="00FE1F9E">
        <w:rPr>
          <w:rFonts w:ascii="Arial" w:hAnsi="Arial" w:cs="Arial"/>
          <w:sz w:val="24"/>
          <w:szCs w:val="24"/>
          <w:lang w:val="en-AU"/>
        </w:rPr>
        <w:t xml:space="preserve"> M. Dorsal multiple plating without routine </w:t>
      </w:r>
      <w:proofErr w:type="spellStart"/>
      <w:r w:rsidRPr="00FE1F9E">
        <w:rPr>
          <w:rFonts w:ascii="Arial" w:hAnsi="Arial" w:cs="Arial"/>
          <w:sz w:val="24"/>
          <w:szCs w:val="24"/>
          <w:lang w:val="en-AU"/>
        </w:rPr>
        <w:t>transarticular</w:t>
      </w:r>
      <w:proofErr w:type="spellEnd"/>
      <w:r w:rsidRPr="00FE1F9E">
        <w:rPr>
          <w:rFonts w:ascii="Arial" w:hAnsi="Arial" w:cs="Arial"/>
          <w:sz w:val="24"/>
          <w:szCs w:val="24"/>
          <w:lang w:val="en-AU"/>
        </w:rPr>
        <w:t xml:space="preserve"> screws for fixation of Lisfranc injury. </w:t>
      </w:r>
      <w:r w:rsidRPr="00FE1F9E">
        <w:rPr>
          <w:rFonts w:ascii="Arial" w:hAnsi="Arial" w:cs="Arial"/>
          <w:i/>
          <w:sz w:val="24"/>
          <w:szCs w:val="24"/>
          <w:lang w:val="en-AU"/>
        </w:rPr>
        <w:t>Orthopaedics</w:t>
      </w:r>
      <w:r w:rsidRPr="00FE1F9E">
        <w:rPr>
          <w:rFonts w:ascii="Arial" w:hAnsi="Arial" w:cs="Arial"/>
          <w:sz w:val="24"/>
          <w:szCs w:val="24"/>
          <w:lang w:val="en-AU"/>
        </w:rPr>
        <w:t xml:space="preserve"> 2014; 37(12): 815-819</w:t>
      </w:r>
    </w:p>
    <w:p w14:paraId="4DFBCE40"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proofErr w:type="spellStart"/>
      <w:r w:rsidRPr="00FE1F9E">
        <w:rPr>
          <w:rFonts w:ascii="Arial" w:hAnsi="Arial" w:cs="Arial"/>
          <w:sz w:val="24"/>
          <w:szCs w:val="24"/>
          <w:lang w:val="en-AU"/>
        </w:rPr>
        <w:t>Ho</w:t>
      </w:r>
      <w:proofErr w:type="spellEnd"/>
      <w:r w:rsidRPr="00FE1F9E">
        <w:rPr>
          <w:rFonts w:ascii="Arial" w:hAnsi="Arial" w:cs="Arial"/>
          <w:sz w:val="24"/>
          <w:szCs w:val="24"/>
          <w:lang w:val="en-AU"/>
        </w:rPr>
        <w:t xml:space="preserve"> NC, </w:t>
      </w:r>
      <w:proofErr w:type="spellStart"/>
      <w:r w:rsidRPr="00FE1F9E">
        <w:rPr>
          <w:rFonts w:ascii="Arial" w:hAnsi="Arial" w:cs="Arial"/>
          <w:sz w:val="24"/>
          <w:szCs w:val="24"/>
          <w:lang w:val="en-AU"/>
        </w:rPr>
        <w:t>Sangiorgio</w:t>
      </w:r>
      <w:proofErr w:type="spellEnd"/>
      <w:r w:rsidRPr="00FE1F9E">
        <w:rPr>
          <w:rFonts w:ascii="Arial" w:hAnsi="Arial" w:cs="Arial"/>
          <w:sz w:val="24"/>
          <w:szCs w:val="24"/>
          <w:lang w:val="en-AU"/>
        </w:rPr>
        <w:t xml:space="preserve"> SN, </w:t>
      </w:r>
      <w:proofErr w:type="spellStart"/>
      <w:r w:rsidRPr="00FE1F9E">
        <w:rPr>
          <w:rFonts w:ascii="Arial" w:hAnsi="Arial" w:cs="Arial"/>
          <w:sz w:val="24"/>
          <w:szCs w:val="24"/>
          <w:lang w:val="en-AU"/>
        </w:rPr>
        <w:t>Cassinelli</w:t>
      </w:r>
      <w:proofErr w:type="spellEnd"/>
      <w:r w:rsidRPr="00FE1F9E">
        <w:rPr>
          <w:rFonts w:ascii="Arial" w:hAnsi="Arial" w:cs="Arial"/>
          <w:sz w:val="24"/>
          <w:szCs w:val="24"/>
          <w:lang w:val="en-AU"/>
        </w:rPr>
        <w:t xml:space="preserve"> S, </w:t>
      </w:r>
      <w:proofErr w:type="spellStart"/>
      <w:r w:rsidRPr="00FE1F9E">
        <w:rPr>
          <w:rFonts w:ascii="Arial" w:hAnsi="Arial" w:cs="Arial"/>
          <w:sz w:val="24"/>
          <w:szCs w:val="24"/>
          <w:lang w:val="en-AU"/>
        </w:rPr>
        <w:t>Shymon</w:t>
      </w:r>
      <w:proofErr w:type="spellEnd"/>
      <w:r w:rsidRPr="00FE1F9E">
        <w:rPr>
          <w:rFonts w:ascii="Arial" w:hAnsi="Arial" w:cs="Arial"/>
          <w:sz w:val="24"/>
          <w:szCs w:val="24"/>
          <w:lang w:val="en-AU"/>
        </w:rPr>
        <w:t xml:space="preserve"> S, Fleming J, Agrawal V, </w:t>
      </w:r>
      <w:proofErr w:type="spellStart"/>
      <w:r w:rsidRPr="00FE1F9E">
        <w:rPr>
          <w:rFonts w:ascii="Arial" w:hAnsi="Arial" w:cs="Arial"/>
          <w:sz w:val="24"/>
          <w:szCs w:val="24"/>
          <w:lang w:val="en-AU"/>
        </w:rPr>
        <w:t>Ebramzadeh</w:t>
      </w:r>
      <w:proofErr w:type="spellEnd"/>
      <w:r w:rsidRPr="00FE1F9E">
        <w:rPr>
          <w:rFonts w:ascii="Arial" w:hAnsi="Arial" w:cs="Arial"/>
          <w:sz w:val="24"/>
          <w:szCs w:val="24"/>
          <w:lang w:val="en-AU"/>
        </w:rPr>
        <w:t xml:space="preserve"> E, Harris TG. Biomechanical comparison of fixation stability using a Lisfranc plate vs </w:t>
      </w:r>
      <w:proofErr w:type="spellStart"/>
      <w:r w:rsidRPr="00FE1F9E">
        <w:rPr>
          <w:rFonts w:ascii="Arial" w:hAnsi="Arial" w:cs="Arial"/>
          <w:sz w:val="24"/>
          <w:szCs w:val="24"/>
          <w:lang w:val="en-AU"/>
        </w:rPr>
        <w:t>transarticular</w:t>
      </w:r>
      <w:proofErr w:type="spellEnd"/>
      <w:r w:rsidRPr="00FE1F9E">
        <w:rPr>
          <w:rFonts w:ascii="Arial" w:hAnsi="Arial" w:cs="Arial"/>
          <w:sz w:val="24"/>
          <w:szCs w:val="24"/>
          <w:lang w:val="en-AU"/>
        </w:rPr>
        <w:t xml:space="preserve"> screws. </w:t>
      </w:r>
      <w:r w:rsidRPr="00FE1F9E">
        <w:rPr>
          <w:rFonts w:ascii="Arial" w:hAnsi="Arial" w:cs="Arial"/>
          <w:i/>
          <w:sz w:val="24"/>
          <w:szCs w:val="24"/>
          <w:lang w:val="en-AU"/>
        </w:rPr>
        <w:t xml:space="preserve">Foot Ankle </w:t>
      </w:r>
      <w:proofErr w:type="spellStart"/>
      <w:r w:rsidRPr="00FE1F9E">
        <w:rPr>
          <w:rFonts w:ascii="Arial" w:hAnsi="Arial" w:cs="Arial"/>
          <w:i/>
          <w:sz w:val="24"/>
          <w:szCs w:val="24"/>
          <w:lang w:val="en-AU"/>
        </w:rPr>
        <w:t>Surg</w:t>
      </w:r>
      <w:proofErr w:type="spellEnd"/>
      <w:r w:rsidRPr="00FE1F9E">
        <w:rPr>
          <w:rFonts w:ascii="Arial" w:hAnsi="Arial" w:cs="Arial"/>
          <w:sz w:val="24"/>
          <w:szCs w:val="24"/>
          <w:lang w:val="en-AU"/>
        </w:rPr>
        <w:t xml:space="preserve"> 2017 Aug 23; </w:t>
      </w:r>
      <w:proofErr w:type="gramStart"/>
      <w:r w:rsidRPr="00FE1F9E">
        <w:rPr>
          <w:rFonts w:ascii="Arial" w:hAnsi="Arial" w:cs="Arial"/>
          <w:sz w:val="24"/>
          <w:szCs w:val="24"/>
          <w:lang w:val="en-AU"/>
        </w:rPr>
        <w:t>pii:S</w:t>
      </w:r>
      <w:proofErr w:type="gramEnd"/>
      <w:r w:rsidRPr="00FE1F9E">
        <w:rPr>
          <w:rFonts w:ascii="Arial" w:hAnsi="Arial" w:cs="Arial"/>
          <w:sz w:val="24"/>
          <w:szCs w:val="24"/>
          <w:lang w:val="en-AU"/>
        </w:rPr>
        <w:t>1268-7731(17)31282-1</w:t>
      </w:r>
    </w:p>
    <w:p w14:paraId="50245C98"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Alberta FG, </w:t>
      </w:r>
      <w:proofErr w:type="spellStart"/>
      <w:r w:rsidRPr="00FE1F9E">
        <w:rPr>
          <w:rFonts w:ascii="Arial" w:hAnsi="Arial" w:cs="Arial"/>
          <w:sz w:val="24"/>
          <w:szCs w:val="24"/>
          <w:lang w:val="en-AU"/>
        </w:rPr>
        <w:t>Aronow</w:t>
      </w:r>
      <w:proofErr w:type="spellEnd"/>
      <w:r w:rsidRPr="00FE1F9E">
        <w:rPr>
          <w:rFonts w:ascii="Arial" w:hAnsi="Arial" w:cs="Arial"/>
          <w:sz w:val="24"/>
          <w:szCs w:val="24"/>
          <w:lang w:val="en-AU"/>
        </w:rPr>
        <w:t xml:space="preserve"> MS, </w:t>
      </w:r>
      <w:proofErr w:type="spellStart"/>
      <w:r w:rsidRPr="00FE1F9E">
        <w:rPr>
          <w:rFonts w:ascii="Arial" w:hAnsi="Arial" w:cs="Arial"/>
          <w:sz w:val="24"/>
          <w:szCs w:val="24"/>
          <w:lang w:val="en-AU"/>
        </w:rPr>
        <w:t>Barrero</w:t>
      </w:r>
      <w:proofErr w:type="spellEnd"/>
      <w:r w:rsidRPr="00FE1F9E">
        <w:rPr>
          <w:rFonts w:ascii="Arial" w:hAnsi="Arial" w:cs="Arial"/>
          <w:sz w:val="24"/>
          <w:szCs w:val="24"/>
          <w:lang w:val="en-AU"/>
        </w:rPr>
        <w:t xml:space="preserve"> M, Diaz-Doran V, Sullivan RJ, Adams DJ. Ligamentous Lisfranc injuries: a biomechanical comparison of dorsal plate and </w:t>
      </w:r>
      <w:proofErr w:type="spellStart"/>
      <w:r w:rsidRPr="00FE1F9E">
        <w:rPr>
          <w:rFonts w:ascii="Arial" w:hAnsi="Arial" w:cs="Arial"/>
          <w:sz w:val="24"/>
          <w:szCs w:val="24"/>
          <w:lang w:val="en-AU"/>
        </w:rPr>
        <w:t>transarticular</w:t>
      </w:r>
      <w:proofErr w:type="spellEnd"/>
      <w:r w:rsidRPr="00FE1F9E">
        <w:rPr>
          <w:rFonts w:ascii="Arial" w:hAnsi="Arial" w:cs="Arial"/>
          <w:sz w:val="24"/>
          <w:szCs w:val="24"/>
          <w:lang w:val="en-AU"/>
        </w:rPr>
        <w:t xml:space="preserve"> screw fixation. </w:t>
      </w:r>
      <w:r w:rsidRPr="00FE1F9E">
        <w:rPr>
          <w:rFonts w:ascii="Arial" w:hAnsi="Arial" w:cs="Arial"/>
          <w:i/>
          <w:sz w:val="24"/>
          <w:szCs w:val="24"/>
          <w:lang w:val="en-AU"/>
        </w:rPr>
        <w:t xml:space="preserve">Foot Ankle </w:t>
      </w:r>
      <w:proofErr w:type="spellStart"/>
      <w:r w:rsidRPr="00FE1F9E">
        <w:rPr>
          <w:rFonts w:ascii="Arial" w:hAnsi="Arial" w:cs="Arial"/>
          <w:i/>
          <w:sz w:val="24"/>
          <w:szCs w:val="24"/>
          <w:lang w:val="en-AU"/>
        </w:rPr>
        <w:t>Int</w:t>
      </w:r>
      <w:proofErr w:type="spellEnd"/>
      <w:r w:rsidRPr="00FE1F9E">
        <w:rPr>
          <w:rFonts w:ascii="Arial" w:hAnsi="Arial" w:cs="Arial"/>
          <w:sz w:val="24"/>
          <w:szCs w:val="24"/>
          <w:lang w:val="en-AU"/>
        </w:rPr>
        <w:t xml:space="preserve"> 2005 Jun; 26(6): 462-73.  </w:t>
      </w:r>
    </w:p>
    <w:p w14:paraId="1E0109EA"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proofErr w:type="spellStart"/>
      <w:r w:rsidRPr="00FE1F9E">
        <w:rPr>
          <w:rFonts w:ascii="Arial" w:hAnsi="Arial" w:cs="Arial"/>
          <w:sz w:val="24"/>
          <w:szCs w:val="24"/>
          <w:lang w:val="en-AU"/>
        </w:rPr>
        <w:t>Kirzner</w:t>
      </w:r>
      <w:proofErr w:type="spellEnd"/>
      <w:r w:rsidRPr="00FE1F9E">
        <w:rPr>
          <w:rFonts w:ascii="Arial" w:hAnsi="Arial" w:cs="Arial"/>
          <w:sz w:val="24"/>
          <w:szCs w:val="24"/>
          <w:lang w:val="en-AU"/>
        </w:rPr>
        <w:t xml:space="preserve"> N, </w:t>
      </w:r>
      <w:proofErr w:type="spellStart"/>
      <w:r w:rsidRPr="00FE1F9E">
        <w:rPr>
          <w:rFonts w:ascii="Arial" w:hAnsi="Arial" w:cs="Arial"/>
          <w:sz w:val="24"/>
          <w:szCs w:val="24"/>
          <w:lang w:val="en-AU"/>
        </w:rPr>
        <w:t>Sotov</w:t>
      </w:r>
      <w:proofErr w:type="spellEnd"/>
      <w:r w:rsidRPr="00FE1F9E">
        <w:rPr>
          <w:rFonts w:ascii="Arial" w:hAnsi="Arial" w:cs="Arial"/>
          <w:sz w:val="24"/>
          <w:szCs w:val="24"/>
          <w:lang w:val="en-AU"/>
        </w:rPr>
        <w:t xml:space="preserve"> P, </w:t>
      </w:r>
      <w:proofErr w:type="spellStart"/>
      <w:r w:rsidRPr="00FE1F9E">
        <w:rPr>
          <w:rFonts w:ascii="Arial" w:hAnsi="Arial" w:cs="Arial"/>
          <w:sz w:val="24"/>
          <w:szCs w:val="24"/>
          <w:lang w:val="en-AU"/>
        </w:rPr>
        <w:t>Goldbloom</w:t>
      </w:r>
      <w:proofErr w:type="spellEnd"/>
      <w:r w:rsidRPr="00FE1F9E">
        <w:rPr>
          <w:rFonts w:ascii="Arial" w:hAnsi="Arial" w:cs="Arial"/>
          <w:sz w:val="24"/>
          <w:szCs w:val="24"/>
          <w:lang w:val="en-AU"/>
        </w:rPr>
        <w:t xml:space="preserve"> D, Curry H, </w:t>
      </w:r>
      <w:proofErr w:type="spellStart"/>
      <w:r w:rsidRPr="00FE1F9E">
        <w:rPr>
          <w:rFonts w:ascii="Arial" w:hAnsi="Arial" w:cs="Arial"/>
          <w:sz w:val="24"/>
          <w:szCs w:val="24"/>
          <w:lang w:val="en-AU"/>
        </w:rPr>
        <w:t>Bedi</w:t>
      </w:r>
      <w:proofErr w:type="spellEnd"/>
      <w:r w:rsidRPr="00FE1F9E">
        <w:rPr>
          <w:rFonts w:ascii="Arial" w:hAnsi="Arial" w:cs="Arial"/>
          <w:sz w:val="24"/>
          <w:szCs w:val="24"/>
          <w:lang w:val="en-AU"/>
        </w:rPr>
        <w:t xml:space="preserve"> H. Dorsal bridge plating or </w:t>
      </w:r>
      <w:proofErr w:type="spellStart"/>
      <w:r w:rsidRPr="00FE1F9E">
        <w:rPr>
          <w:rFonts w:ascii="Arial" w:hAnsi="Arial" w:cs="Arial"/>
          <w:sz w:val="24"/>
          <w:szCs w:val="24"/>
          <w:lang w:val="en-AU"/>
        </w:rPr>
        <w:t>transarticular</w:t>
      </w:r>
      <w:proofErr w:type="spellEnd"/>
      <w:r w:rsidRPr="00FE1F9E">
        <w:rPr>
          <w:rFonts w:ascii="Arial" w:hAnsi="Arial" w:cs="Arial"/>
          <w:sz w:val="24"/>
          <w:szCs w:val="24"/>
          <w:lang w:val="en-AU"/>
        </w:rPr>
        <w:t xml:space="preserve"> crews for Lisfranc fracture dislocations. </w:t>
      </w:r>
      <w:r w:rsidRPr="00FE1F9E">
        <w:rPr>
          <w:rFonts w:ascii="Arial" w:hAnsi="Arial" w:cs="Arial"/>
          <w:i/>
          <w:sz w:val="24"/>
          <w:szCs w:val="24"/>
          <w:lang w:val="en-AU"/>
        </w:rPr>
        <w:t>Bone Joint J</w:t>
      </w:r>
      <w:r w:rsidRPr="00FE1F9E">
        <w:rPr>
          <w:rFonts w:ascii="Arial" w:hAnsi="Arial" w:cs="Arial"/>
          <w:sz w:val="24"/>
          <w:szCs w:val="24"/>
          <w:lang w:val="en-AU"/>
        </w:rPr>
        <w:t xml:space="preserve"> 2018; 100-B:468-75</w:t>
      </w:r>
    </w:p>
    <w:p w14:paraId="28E60F8E"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Van </w:t>
      </w:r>
      <w:proofErr w:type="spellStart"/>
      <w:r w:rsidRPr="00FE1F9E">
        <w:rPr>
          <w:rFonts w:ascii="Arial" w:hAnsi="Arial" w:cs="Arial"/>
          <w:sz w:val="24"/>
          <w:szCs w:val="24"/>
          <w:lang w:val="en-AU"/>
        </w:rPr>
        <w:t>Koperen</w:t>
      </w:r>
      <w:proofErr w:type="spellEnd"/>
      <w:r w:rsidRPr="00FE1F9E">
        <w:rPr>
          <w:rFonts w:ascii="Arial" w:hAnsi="Arial" w:cs="Arial"/>
          <w:sz w:val="24"/>
          <w:szCs w:val="24"/>
          <w:lang w:val="en-AU"/>
        </w:rPr>
        <w:t xml:space="preserve"> PJ, de Jong VM, </w:t>
      </w:r>
      <w:proofErr w:type="spellStart"/>
      <w:r w:rsidRPr="00FE1F9E">
        <w:rPr>
          <w:rFonts w:ascii="Arial" w:hAnsi="Arial" w:cs="Arial"/>
          <w:sz w:val="24"/>
          <w:szCs w:val="24"/>
          <w:lang w:val="en-AU"/>
        </w:rPr>
        <w:t>Luitse</w:t>
      </w:r>
      <w:proofErr w:type="spellEnd"/>
      <w:r w:rsidRPr="00FE1F9E">
        <w:rPr>
          <w:rFonts w:ascii="Arial" w:hAnsi="Arial" w:cs="Arial"/>
          <w:sz w:val="24"/>
          <w:szCs w:val="24"/>
          <w:lang w:val="en-AU"/>
        </w:rPr>
        <w:t xml:space="preserve"> JSK, </w:t>
      </w:r>
      <w:proofErr w:type="spellStart"/>
      <w:r w:rsidRPr="00FE1F9E">
        <w:rPr>
          <w:rFonts w:ascii="Arial" w:hAnsi="Arial" w:cs="Arial"/>
          <w:sz w:val="24"/>
          <w:szCs w:val="24"/>
          <w:lang w:val="en-AU"/>
        </w:rPr>
        <w:t>Schepers</w:t>
      </w:r>
      <w:proofErr w:type="spellEnd"/>
      <w:r w:rsidRPr="00FE1F9E">
        <w:rPr>
          <w:rFonts w:ascii="Arial" w:hAnsi="Arial" w:cs="Arial"/>
          <w:sz w:val="24"/>
          <w:szCs w:val="24"/>
          <w:lang w:val="en-AU"/>
        </w:rPr>
        <w:t xml:space="preserve"> T. Functional outcomes after temporary bridging with locking plates in Lisfranc injuries. </w:t>
      </w:r>
      <w:r w:rsidRPr="00FE1F9E">
        <w:rPr>
          <w:rFonts w:ascii="Arial" w:hAnsi="Arial" w:cs="Arial"/>
          <w:i/>
          <w:sz w:val="24"/>
          <w:szCs w:val="24"/>
          <w:lang w:val="en-AU"/>
        </w:rPr>
        <w:t>The Journal of Foot and Ankle Surgery</w:t>
      </w:r>
      <w:r w:rsidRPr="00FE1F9E">
        <w:rPr>
          <w:rFonts w:ascii="Arial" w:hAnsi="Arial" w:cs="Arial"/>
          <w:sz w:val="24"/>
          <w:szCs w:val="24"/>
          <w:lang w:val="en-AU"/>
        </w:rPr>
        <w:t xml:space="preserve"> 2016; 55 (5): 922-926</w:t>
      </w:r>
    </w:p>
    <w:p w14:paraId="1CEF813F"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Hu SJ, Chang SM, Li XH, Yu GR. Outcome comparison of Lisfranc injuries treated through dorsal plate fixation versus screw fixation. </w:t>
      </w:r>
      <w:r w:rsidRPr="00FE1F9E">
        <w:rPr>
          <w:rFonts w:ascii="Arial" w:hAnsi="Arial" w:cs="Arial"/>
          <w:i/>
          <w:sz w:val="24"/>
          <w:szCs w:val="24"/>
          <w:lang w:val="en-AU"/>
        </w:rPr>
        <w:t xml:space="preserve">Acta </w:t>
      </w:r>
      <w:proofErr w:type="spellStart"/>
      <w:r w:rsidRPr="00FE1F9E">
        <w:rPr>
          <w:rFonts w:ascii="Arial" w:hAnsi="Arial" w:cs="Arial"/>
          <w:i/>
          <w:sz w:val="24"/>
          <w:szCs w:val="24"/>
          <w:lang w:val="en-AU"/>
        </w:rPr>
        <w:t>Ortop</w:t>
      </w:r>
      <w:proofErr w:type="spellEnd"/>
      <w:r w:rsidRPr="00FE1F9E">
        <w:rPr>
          <w:rFonts w:ascii="Arial" w:hAnsi="Arial" w:cs="Arial"/>
          <w:i/>
          <w:sz w:val="24"/>
          <w:szCs w:val="24"/>
          <w:lang w:val="en-AU"/>
        </w:rPr>
        <w:t xml:space="preserve"> Bras</w:t>
      </w:r>
      <w:r w:rsidRPr="00FE1F9E">
        <w:rPr>
          <w:rFonts w:ascii="Arial" w:hAnsi="Arial" w:cs="Arial"/>
          <w:sz w:val="24"/>
          <w:szCs w:val="24"/>
          <w:lang w:val="en-AU"/>
        </w:rPr>
        <w:t xml:space="preserve"> 2014; 22(6): 315-20</w:t>
      </w:r>
    </w:p>
    <w:p w14:paraId="2B3E0C61"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proofErr w:type="spellStart"/>
      <w:r w:rsidRPr="00FE1F9E">
        <w:rPr>
          <w:rFonts w:ascii="Arial" w:hAnsi="Arial" w:cs="Arial"/>
          <w:sz w:val="24"/>
          <w:szCs w:val="24"/>
          <w:lang w:val="en-AU"/>
        </w:rPr>
        <w:t>Kuo</w:t>
      </w:r>
      <w:proofErr w:type="spellEnd"/>
      <w:r w:rsidRPr="00FE1F9E">
        <w:rPr>
          <w:rFonts w:ascii="Arial" w:hAnsi="Arial" w:cs="Arial"/>
          <w:sz w:val="24"/>
          <w:szCs w:val="24"/>
          <w:lang w:val="en-AU"/>
        </w:rPr>
        <w:t xml:space="preserve"> RS, </w:t>
      </w:r>
      <w:proofErr w:type="spellStart"/>
      <w:r w:rsidRPr="00FE1F9E">
        <w:rPr>
          <w:rFonts w:ascii="Arial" w:hAnsi="Arial" w:cs="Arial"/>
          <w:sz w:val="24"/>
          <w:szCs w:val="24"/>
          <w:lang w:val="en-AU"/>
        </w:rPr>
        <w:t>Tejwani</w:t>
      </w:r>
      <w:proofErr w:type="spellEnd"/>
      <w:r w:rsidRPr="00FE1F9E">
        <w:rPr>
          <w:rFonts w:ascii="Arial" w:hAnsi="Arial" w:cs="Arial"/>
          <w:sz w:val="24"/>
          <w:szCs w:val="24"/>
          <w:lang w:val="en-AU"/>
        </w:rPr>
        <w:t xml:space="preserve"> NC, </w:t>
      </w:r>
      <w:proofErr w:type="spellStart"/>
      <w:r w:rsidRPr="00FE1F9E">
        <w:rPr>
          <w:rFonts w:ascii="Arial" w:hAnsi="Arial" w:cs="Arial"/>
          <w:sz w:val="24"/>
          <w:szCs w:val="24"/>
          <w:lang w:val="en-AU"/>
        </w:rPr>
        <w:t>DiGiovanni</w:t>
      </w:r>
      <w:proofErr w:type="spellEnd"/>
      <w:r w:rsidRPr="00FE1F9E">
        <w:rPr>
          <w:rFonts w:ascii="Arial" w:hAnsi="Arial" w:cs="Arial"/>
          <w:sz w:val="24"/>
          <w:szCs w:val="24"/>
          <w:lang w:val="en-AU"/>
        </w:rPr>
        <w:t xml:space="preserve"> CW, Holt SK, </w:t>
      </w:r>
      <w:proofErr w:type="spellStart"/>
      <w:r w:rsidRPr="00FE1F9E">
        <w:rPr>
          <w:rFonts w:ascii="Arial" w:hAnsi="Arial" w:cs="Arial"/>
          <w:sz w:val="24"/>
          <w:szCs w:val="24"/>
          <w:lang w:val="en-AU"/>
        </w:rPr>
        <w:t>Benirschke</w:t>
      </w:r>
      <w:proofErr w:type="spellEnd"/>
      <w:r w:rsidRPr="00FE1F9E">
        <w:rPr>
          <w:rFonts w:ascii="Arial" w:hAnsi="Arial" w:cs="Arial"/>
          <w:sz w:val="24"/>
          <w:szCs w:val="24"/>
          <w:lang w:val="en-AU"/>
        </w:rPr>
        <w:t xml:space="preserve"> SK, Hansen ST, </w:t>
      </w:r>
      <w:proofErr w:type="spellStart"/>
      <w:r w:rsidRPr="00FE1F9E">
        <w:rPr>
          <w:rFonts w:ascii="Arial" w:hAnsi="Arial" w:cs="Arial"/>
          <w:sz w:val="24"/>
          <w:szCs w:val="24"/>
          <w:lang w:val="en-AU"/>
        </w:rPr>
        <w:t>Sageorzan</w:t>
      </w:r>
      <w:proofErr w:type="spellEnd"/>
      <w:r w:rsidRPr="00FE1F9E">
        <w:rPr>
          <w:rFonts w:ascii="Arial" w:hAnsi="Arial" w:cs="Arial"/>
          <w:sz w:val="24"/>
          <w:szCs w:val="24"/>
          <w:lang w:val="en-AU"/>
        </w:rPr>
        <w:t xml:space="preserve"> BJ. Outcome after open reduction internal fixation of Lisfranc injuries. </w:t>
      </w:r>
      <w:r w:rsidRPr="00FE1F9E">
        <w:rPr>
          <w:rFonts w:ascii="Arial" w:hAnsi="Arial" w:cs="Arial"/>
          <w:i/>
          <w:sz w:val="24"/>
          <w:szCs w:val="24"/>
          <w:lang w:val="en-AU"/>
        </w:rPr>
        <w:t>JBJS</w:t>
      </w:r>
      <w:r w:rsidRPr="00FE1F9E">
        <w:rPr>
          <w:rFonts w:ascii="Arial" w:hAnsi="Arial" w:cs="Arial"/>
          <w:sz w:val="24"/>
          <w:szCs w:val="24"/>
          <w:lang w:val="en-AU"/>
        </w:rPr>
        <w:t xml:space="preserve"> 2000(11); 1609-1618</w:t>
      </w:r>
    </w:p>
    <w:p w14:paraId="0BB1EF81" w14:textId="35396221" w:rsidR="00C24A04" w:rsidRPr="00FE1F9E" w:rsidRDefault="00C24A04" w:rsidP="00AD05E8">
      <w:pPr>
        <w:pStyle w:val="ListParagraph"/>
        <w:numPr>
          <w:ilvl w:val="0"/>
          <w:numId w:val="26"/>
        </w:numPr>
        <w:spacing w:after="0" w:line="240" w:lineRule="auto"/>
        <w:jc w:val="left"/>
        <w:rPr>
          <w:rFonts w:ascii="Arial" w:hAnsi="Arial" w:cs="Arial"/>
          <w:sz w:val="24"/>
          <w:szCs w:val="24"/>
        </w:rPr>
      </w:pPr>
      <w:r w:rsidRPr="00FE1F9E">
        <w:rPr>
          <w:rFonts w:ascii="Arial" w:hAnsi="Arial" w:cs="Arial"/>
          <w:sz w:val="24"/>
          <w:szCs w:val="24"/>
          <w:lang w:val="en-AU"/>
        </w:rPr>
        <w:t xml:space="preserve">Lau S, Guest C, Hall M, </w:t>
      </w:r>
      <w:proofErr w:type="spellStart"/>
      <w:r w:rsidRPr="00FE1F9E">
        <w:rPr>
          <w:rFonts w:ascii="Arial" w:hAnsi="Arial" w:cs="Arial"/>
          <w:sz w:val="24"/>
          <w:szCs w:val="24"/>
          <w:lang w:val="en-AU"/>
        </w:rPr>
        <w:t>Tacey</w:t>
      </w:r>
      <w:proofErr w:type="spellEnd"/>
      <w:r w:rsidRPr="00FE1F9E">
        <w:rPr>
          <w:rFonts w:ascii="Arial" w:hAnsi="Arial" w:cs="Arial"/>
          <w:sz w:val="24"/>
          <w:szCs w:val="24"/>
          <w:lang w:val="en-AU"/>
        </w:rPr>
        <w:t xml:space="preserve"> M, Joseph S, Oppy A. Functional outcomes post Lisfranc injury – </w:t>
      </w:r>
      <w:proofErr w:type="spellStart"/>
      <w:r w:rsidRPr="00FE1F9E">
        <w:rPr>
          <w:rFonts w:ascii="Arial" w:hAnsi="Arial" w:cs="Arial"/>
          <w:sz w:val="24"/>
          <w:szCs w:val="24"/>
          <w:lang w:val="en-AU"/>
        </w:rPr>
        <w:t>transarticular</w:t>
      </w:r>
      <w:proofErr w:type="spellEnd"/>
      <w:r w:rsidRPr="00FE1F9E">
        <w:rPr>
          <w:rFonts w:ascii="Arial" w:hAnsi="Arial" w:cs="Arial"/>
          <w:sz w:val="24"/>
          <w:szCs w:val="24"/>
          <w:lang w:val="en-AU"/>
        </w:rPr>
        <w:t xml:space="preserve"> screws, dorsal bridge plating or combination treatment? </w:t>
      </w:r>
      <w:r w:rsidRPr="00FE1F9E">
        <w:rPr>
          <w:rFonts w:ascii="Arial" w:hAnsi="Arial" w:cs="Arial"/>
          <w:i/>
          <w:sz w:val="24"/>
          <w:szCs w:val="24"/>
          <w:lang w:val="en-AU"/>
        </w:rPr>
        <w:t>Journal of Orthopaedic Trauma</w:t>
      </w:r>
      <w:r w:rsidRPr="00FE1F9E">
        <w:rPr>
          <w:rFonts w:ascii="Arial" w:hAnsi="Arial" w:cs="Arial"/>
          <w:sz w:val="24"/>
          <w:szCs w:val="24"/>
          <w:lang w:val="en-AU"/>
        </w:rPr>
        <w:t xml:space="preserve"> 2017; 31(8): 447-452</w:t>
      </w:r>
    </w:p>
    <w:p w14:paraId="443DD0C6"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Jansson KA, </w:t>
      </w:r>
      <w:proofErr w:type="spellStart"/>
      <w:r w:rsidRPr="00FE1F9E">
        <w:rPr>
          <w:rFonts w:ascii="Arial" w:hAnsi="Arial" w:cs="Arial"/>
          <w:sz w:val="24"/>
          <w:szCs w:val="24"/>
          <w:lang w:val="en-AU"/>
        </w:rPr>
        <w:t>Granath</w:t>
      </w:r>
      <w:proofErr w:type="spellEnd"/>
      <w:r w:rsidRPr="00FE1F9E">
        <w:rPr>
          <w:rFonts w:ascii="Arial" w:hAnsi="Arial" w:cs="Arial"/>
          <w:sz w:val="24"/>
          <w:szCs w:val="24"/>
          <w:lang w:val="en-AU"/>
        </w:rPr>
        <w:t xml:space="preserve"> F. Health-related quality of life (EQ-5D) before and after orthopaedic surgery. </w:t>
      </w:r>
      <w:r w:rsidRPr="00FE1F9E">
        <w:rPr>
          <w:rFonts w:ascii="Arial" w:hAnsi="Arial" w:cs="Arial"/>
          <w:i/>
          <w:sz w:val="24"/>
          <w:szCs w:val="24"/>
          <w:lang w:val="en-AU"/>
        </w:rPr>
        <w:t xml:space="preserve">Acta </w:t>
      </w:r>
      <w:proofErr w:type="spellStart"/>
      <w:r w:rsidRPr="00FE1F9E">
        <w:rPr>
          <w:rFonts w:ascii="Arial" w:hAnsi="Arial" w:cs="Arial"/>
          <w:i/>
          <w:sz w:val="24"/>
          <w:szCs w:val="24"/>
          <w:lang w:val="en-AU"/>
        </w:rPr>
        <w:t>Orthopaedica</w:t>
      </w:r>
      <w:proofErr w:type="spellEnd"/>
      <w:r w:rsidRPr="00FE1F9E">
        <w:rPr>
          <w:rFonts w:ascii="Arial" w:hAnsi="Arial" w:cs="Arial"/>
          <w:sz w:val="24"/>
          <w:szCs w:val="24"/>
          <w:lang w:val="en-AU"/>
        </w:rPr>
        <w:t xml:space="preserve"> 2011; 82(1):82-89</w:t>
      </w:r>
    </w:p>
    <w:p w14:paraId="127F1C84" w14:textId="77777777" w:rsidR="00C24A04" w:rsidRPr="00FE1F9E"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Dawson J, </w:t>
      </w:r>
      <w:proofErr w:type="spellStart"/>
      <w:r w:rsidRPr="00FE1F9E">
        <w:rPr>
          <w:rFonts w:ascii="Arial" w:hAnsi="Arial" w:cs="Arial"/>
          <w:sz w:val="24"/>
          <w:szCs w:val="24"/>
          <w:lang w:val="en-AU"/>
        </w:rPr>
        <w:t>Boller</w:t>
      </w:r>
      <w:proofErr w:type="spellEnd"/>
      <w:r w:rsidRPr="00FE1F9E">
        <w:rPr>
          <w:rFonts w:ascii="Arial" w:hAnsi="Arial" w:cs="Arial"/>
          <w:sz w:val="24"/>
          <w:szCs w:val="24"/>
          <w:lang w:val="en-AU"/>
        </w:rPr>
        <w:t xml:space="preserve"> I, Doll H, </w:t>
      </w:r>
      <w:proofErr w:type="spellStart"/>
      <w:r w:rsidRPr="00FE1F9E">
        <w:rPr>
          <w:rFonts w:ascii="Arial" w:hAnsi="Arial" w:cs="Arial"/>
          <w:sz w:val="24"/>
          <w:szCs w:val="24"/>
          <w:lang w:val="en-AU"/>
        </w:rPr>
        <w:t>Lavis</w:t>
      </w:r>
      <w:proofErr w:type="spellEnd"/>
      <w:r w:rsidRPr="00FE1F9E">
        <w:rPr>
          <w:rFonts w:ascii="Arial" w:hAnsi="Arial" w:cs="Arial"/>
          <w:sz w:val="24"/>
          <w:szCs w:val="24"/>
          <w:lang w:val="en-AU"/>
        </w:rPr>
        <w:t xml:space="preserve"> G, Sharpe R, Cooke P, Jenkinson C. Responsiveness of the Manchester-Oxford foot questionnaire (MOXFQ) compared with AOFAS, SF-36 and EQ-5D assessments following foot or ankle surgery. </w:t>
      </w:r>
      <w:r w:rsidRPr="00FE1F9E">
        <w:rPr>
          <w:rFonts w:ascii="Arial" w:hAnsi="Arial" w:cs="Arial"/>
          <w:i/>
          <w:sz w:val="24"/>
          <w:szCs w:val="24"/>
          <w:lang w:val="en-AU"/>
        </w:rPr>
        <w:t>JBJS</w:t>
      </w:r>
      <w:r w:rsidRPr="00FE1F9E">
        <w:rPr>
          <w:rFonts w:ascii="Arial" w:hAnsi="Arial" w:cs="Arial"/>
          <w:sz w:val="24"/>
          <w:szCs w:val="24"/>
          <w:lang w:val="en-AU"/>
        </w:rPr>
        <w:t xml:space="preserve"> 2012; 94 (2) 215-221</w:t>
      </w:r>
    </w:p>
    <w:p w14:paraId="3175AC9A" w14:textId="03D01C76" w:rsidR="00C24A04" w:rsidRDefault="00C24A04" w:rsidP="00C24A04">
      <w:pPr>
        <w:pStyle w:val="ListParagraph"/>
        <w:numPr>
          <w:ilvl w:val="0"/>
          <w:numId w:val="26"/>
        </w:numPr>
        <w:spacing w:after="0" w:line="240" w:lineRule="auto"/>
        <w:jc w:val="left"/>
        <w:rPr>
          <w:rFonts w:ascii="Arial" w:hAnsi="Arial" w:cs="Arial"/>
          <w:sz w:val="24"/>
          <w:szCs w:val="24"/>
          <w:lang w:val="en-AU"/>
        </w:rPr>
      </w:pPr>
      <w:r w:rsidRPr="00FE1F9E">
        <w:rPr>
          <w:rFonts w:ascii="Arial" w:hAnsi="Arial" w:cs="Arial"/>
          <w:sz w:val="24"/>
          <w:szCs w:val="24"/>
          <w:lang w:val="en-AU"/>
        </w:rPr>
        <w:t xml:space="preserve">Maher AJ, </w:t>
      </w:r>
      <w:proofErr w:type="spellStart"/>
      <w:r w:rsidRPr="00FE1F9E">
        <w:rPr>
          <w:rFonts w:ascii="Arial" w:hAnsi="Arial" w:cs="Arial"/>
          <w:sz w:val="24"/>
          <w:szCs w:val="24"/>
          <w:lang w:val="en-AU"/>
        </w:rPr>
        <w:t>Kilmartin</w:t>
      </w:r>
      <w:proofErr w:type="spellEnd"/>
      <w:r w:rsidRPr="00FE1F9E">
        <w:rPr>
          <w:rFonts w:ascii="Arial" w:hAnsi="Arial" w:cs="Arial"/>
          <w:sz w:val="24"/>
          <w:szCs w:val="24"/>
          <w:lang w:val="en-AU"/>
        </w:rPr>
        <w:t xml:space="preserve"> TE. An analysis of </w:t>
      </w:r>
      <w:proofErr w:type="spellStart"/>
      <w:r w:rsidRPr="00FE1F9E">
        <w:rPr>
          <w:rFonts w:ascii="Arial" w:hAnsi="Arial" w:cs="Arial"/>
          <w:sz w:val="24"/>
          <w:szCs w:val="24"/>
          <w:lang w:val="en-AU"/>
        </w:rPr>
        <w:t>Euroqol</w:t>
      </w:r>
      <w:proofErr w:type="spellEnd"/>
      <w:r w:rsidRPr="00FE1F9E">
        <w:rPr>
          <w:rFonts w:ascii="Arial" w:hAnsi="Arial" w:cs="Arial"/>
          <w:sz w:val="24"/>
          <w:szCs w:val="24"/>
          <w:lang w:val="en-AU"/>
        </w:rPr>
        <w:t xml:space="preserve"> EQ-5D and Manchester Oxford Foot Questionnaire scores six months following podiatric surgery. </w:t>
      </w:r>
      <w:r w:rsidRPr="00FE1F9E">
        <w:rPr>
          <w:rFonts w:ascii="Arial" w:hAnsi="Arial" w:cs="Arial"/>
          <w:i/>
          <w:sz w:val="24"/>
          <w:szCs w:val="24"/>
          <w:lang w:val="en-AU"/>
        </w:rPr>
        <w:t xml:space="preserve">Journal of Foot and Ankle Research </w:t>
      </w:r>
      <w:r w:rsidRPr="00FE1F9E">
        <w:rPr>
          <w:rFonts w:ascii="Arial" w:hAnsi="Arial" w:cs="Arial"/>
          <w:sz w:val="24"/>
          <w:szCs w:val="24"/>
          <w:lang w:val="en-AU"/>
        </w:rPr>
        <w:t>2012; 5 (17)</w:t>
      </w:r>
    </w:p>
    <w:p w14:paraId="61E087AC" w14:textId="6635E9D8" w:rsidR="00D204A6" w:rsidRDefault="00D204A6" w:rsidP="00C24A04">
      <w:pPr>
        <w:pStyle w:val="ListParagraph"/>
        <w:numPr>
          <w:ilvl w:val="0"/>
          <w:numId w:val="26"/>
        </w:numPr>
        <w:spacing w:after="0" w:line="240" w:lineRule="auto"/>
        <w:jc w:val="left"/>
        <w:rPr>
          <w:rFonts w:ascii="Arial" w:hAnsi="Arial" w:cs="Arial"/>
          <w:sz w:val="24"/>
          <w:szCs w:val="24"/>
          <w:lang w:val="en-AU"/>
        </w:rPr>
      </w:pPr>
      <w:proofErr w:type="spellStart"/>
      <w:r>
        <w:rPr>
          <w:rFonts w:ascii="Arial" w:hAnsi="Arial" w:cs="Arial"/>
          <w:sz w:val="24"/>
          <w:szCs w:val="24"/>
          <w:lang w:val="en-AU"/>
        </w:rPr>
        <w:t>Aronow</w:t>
      </w:r>
      <w:proofErr w:type="spellEnd"/>
      <w:r>
        <w:rPr>
          <w:rFonts w:ascii="Arial" w:hAnsi="Arial" w:cs="Arial"/>
          <w:sz w:val="24"/>
          <w:szCs w:val="24"/>
          <w:lang w:val="en-AU"/>
        </w:rPr>
        <w:t xml:space="preserve"> MS. Treatment of the missed Lisfranc injury. </w:t>
      </w:r>
      <w:r>
        <w:rPr>
          <w:rFonts w:ascii="Arial" w:hAnsi="Arial" w:cs="Arial"/>
          <w:i/>
          <w:sz w:val="24"/>
          <w:szCs w:val="24"/>
          <w:lang w:val="en-AU"/>
        </w:rPr>
        <w:t xml:space="preserve">Foot Ankle </w:t>
      </w:r>
      <w:proofErr w:type="spellStart"/>
      <w:r>
        <w:rPr>
          <w:rFonts w:ascii="Arial" w:hAnsi="Arial" w:cs="Arial"/>
          <w:i/>
          <w:sz w:val="24"/>
          <w:szCs w:val="24"/>
          <w:lang w:val="en-AU"/>
        </w:rPr>
        <w:t>Clin</w:t>
      </w:r>
      <w:proofErr w:type="spellEnd"/>
      <w:r>
        <w:rPr>
          <w:rFonts w:ascii="Arial" w:hAnsi="Arial" w:cs="Arial"/>
          <w:sz w:val="24"/>
          <w:szCs w:val="24"/>
          <w:lang w:val="en-AU"/>
        </w:rPr>
        <w:t xml:space="preserve"> 2006; 11(1): 127-142</w:t>
      </w:r>
    </w:p>
    <w:p w14:paraId="3D58E8EC" w14:textId="33090C07" w:rsidR="00D204A6" w:rsidRDefault="00D204A6"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Teng AL, </w:t>
      </w:r>
      <w:proofErr w:type="spellStart"/>
      <w:r>
        <w:rPr>
          <w:rFonts w:ascii="Arial" w:hAnsi="Arial" w:cs="Arial"/>
          <w:sz w:val="24"/>
          <w:szCs w:val="24"/>
          <w:lang w:val="en-AU"/>
        </w:rPr>
        <w:t>Pinzur</w:t>
      </w:r>
      <w:proofErr w:type="spellEnd"/>
      <w:r>
        <w:rPr>
          <w:rFonts w:ascii="Arial" w:hAnsi="Arial" w:cs="Arial"/>
          <w:sz w:val="24"/>
          <w:szCs w:val="24"/>
          <w:lang w:val="en-AU"/>
        </w:rPr>
        <w:t xml:space="preserve"> MS, </w:t>
      </w:r>
      <w:proofErr w:type="spellStart"/>
      <w:r>
        <w:rPr>
          <w:rFonts w:ascii="Arial" w:hAnsi="Arial" w:cs="Arial"/>
          <w:sz w:val="24"/>
          <w:szCs w:val="24"/>
          <w:lang w:val="en-AU"/>
        </w:rPr>
        <w:t>Lomasney</w:t>
      </w:r>
      <w:proofErr w:type="spellEnd"/>
      <w:r>
        <w:rPr>
          <w:rFonts w:ascii="Arial" w:hAnsi="Arial" w:cs="Arial"/>
          <w:sz w:val="24"/>
          <w:szCs w:val="24"/>
          <w:lang w:val="en-AU"/>
        </w:rPr>
        <w:t xml:space="preserve"> L, Mahoney L, </w:t>
      </w:r>
      <w:proofErr w:type="spellStart"/>
      <w:r>
        <w:rPr>
          <w:rFonts w:ascii="Arial" w:hAnsi="Arial" w:cs="Arial"/>
          <w:sz w:val="24"/>
          <w:szCs w:val="24"/>
          <w:lang w:val="en-AU"/>
        </w:rPr>
        <w:t>Havey</w:t>
      </w:r>
      <w:proofErr w:type="spellEnd"/>
      <w:r>
        <w:rPr>
          <w:rFonts w:ascii="Arial" w:hAnsi="Arial" w:cs="Arial"/>
          <w:sz w:val="24"/>
          <w:szCs w:val="24"/>
          <w:lang w:val="en-AU"/>
        </w:rPr>
        <w:t xml:space="preserve"> R. Functional outcome following anatomic restoration of tarsal-metatarsal fracture dislocation. </w:t>
      </w:r>
      <w:r>
        <w:rPr>
          <w:rFonts w:ascii="Arial" w:hAnsi="Arial" w:cs="Arial"/>
          <w:i/>
          <w:sz w:val="24"/>
          <w:szCs w:val="24"/>
          <w:lang w:val="en-AU"/>
        </w:rPr>
        <w:t xml:space="preserve">Foot Ankle </w:t>
      </w:r>
      <w:proofErr w:type="spellStart"/>
      <w:r>
        <w:rPr>
          <w:rFonts w:ascii="Arial" w:hAnsi="Arial" w:cs="Arial"/>
          <w:i/>
          <w:sz w:val="24"/>
          <w:szCs w:val="24"/>
          <w:lang w:val="en-AU"/>
        </w:rPr>
        <w:t>Int</w:t>
      </w:r>
      <w:proofErr w:type="spellEnd"/>
      <w:r>
        <w:rPr>
          <w:rFonts w:ascii="Arial" w:hAnsi="Arial" w:cs="Arial"/>
          <w:sz w:val="24"/>
          <w:szCs w:val="24"/>
          <w:lang w:val="en-AU"/>
        </w:rPr>
        <w:t xml:space="preserve"> 2002; 23(10): 922-926</w:t>
      </w:r>
    </w:p>
    <w:p w14:paraId="6E99D171" w14:textId="609C15D7" w:rsidR="004E5867" w:rsidRPr="004E5867" w:rsidRDefault="00D204A6" w:rsidP="004E5867">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Sands AK, Grose A. Lisfranc injuries. </w:t>
      </w:r>
      <w:r>
        <w:rPr>
          <w:rFonts w:ascii="Arial" w:hAnsi="Arial" w:cs="Arial"/>
          <w:i/>
          <w:sz w:val="24"/>
          <w:szCs w:val="24"/>
          <w:lang w:val="en-AU"/>
        </w:rPr>
        <w:t>Injury</w:t>
      </w:r>
      <w:r>
        <w:rPr>
          <w:rFonts w:ascii="Arial" w:hAnsi="Arial" w:cs="Arial"/>
          <w:sz w:val="24"/>
          <w:szCs w:val="24"/>
          <w:lang w:val="en-AU"/>
        </w:rPr>
        <w:t xml:space="preserve"> 2004; 35: 71-76</w:t>
      </w:r>
    </w:p>
    <w:p w14:paraId="6B885CEB" w14:textId="1E534EA9" w:rsidR="00B70E00" w:rsidRDefault="00B70E00"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Dawson J, Doll H, Coffey J, Jenkinson C. Responsiveness and minimally important change for the Manchester-Oxford foot questionnaire (MOXFQ) compared with AOFAS and SF-36 assessments following surgery for hallux valgus. </w:t>
      </w:r>
      <w:proofErr w:type="spellStart"/>
      <w:r>
        <w:rPr>
          <w:rFonts w:ascii="Arial" w:hAnsi="Arial" w:cs="Arial"/>
          <w:i/>
          <w:sz w:val="24"/>
          <w:szCs w:val="24"/>
          <w:lang w:val="en-AU"/>
        </w:rPr>
        <w:t>OsteoArthritis</w:t>
      </w:r>
      <w:proofErr w:type="spellEnd"/>
      <w:r>
        <w:rPr>
          <w:rFonts w:ascii="Arial" w:hAnsi="Arial" w:cs="Arial"/>
          <w:i/>
          <w:sz w:val="24"/>
          <w:szCs w:val="24"/>
          <w:lang w:val="en-AU"/>
        </w:rPr>
        <w:t xml:space="preserve"> and Cartilage</w:t>
      </w:r>
      <w:r>
        <w:rPr>
          <w:rFonts w:ascii="Arial" w:hAnsi="Arial" w:cs="Arial"/>
          <w:sz w:val="24"/>
          <w:szCs w:val="24"/>
          <w:lang w:val="en-AU"/>
        </w:rPr>
        <w:t xml:space="preserve"> 2007; 15: 918-931</w:t>
      </w:r>
    </w:p>
    <w:p w14:paraId="7CFD59B8" w14:textId="208DBE5B" w:rsidR="0099346E" w:rsidRDefault="0099346E"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lastRenderedPageBreak/>
        <w:t xml:space="preserve">Morley D, Jenkinson C, Doll H, </w:t>
      </w:r>
      <w:proofErr w:type="spellStart"/>
      <w:r>
        <w:rPr>
          <w:rFonts w:ascii="Arial" w:hAnsi="Arial" w:cs="Arial"/>
          <w:sz w:val="24"/>
          <w:szCs w:val="24"/>
          <w:lang w:val="en-AU"/>
        </w:rPr>
        <w:t>Lavis</w:t>
      </w:r>
      <w:proofErr w:type="spellEnd"/>
      <w:r>
        <w:rPr>
          <w:rFonts w:ascii="Arial" w:hAnsi="Arial" w:cs="Arial"/>
          <w:sz w:val="24"/>
          <w:szCs w:val="24"/>
          <w:lang w:val="en-AU"/>
        </w:rPr>
        <w:t xml:space="preserve"> G, Sharpe R, Cooke P, Dawson J. The Manchester-Oxford foot questionnaire (MOXFQ) – Development and validation of a summary index score. </w:t>
      </w:r>
      <w:r>
        <w:rPr>
          <w:rFonts w:ascii="Arial" w:hAnsi="Arial" w:cs="Arial"/>
          <w:i/>
          <w:sz w:val="24"/>
          <w:szCs w:val="24"/>
          <w:lang w:val="en-AU"/>
        </w:rPr>
        <w:t>Bone &amp; Joint Research</w:t>
      </w:r>
      <w:r>
        <w:rPr>
          <w:rFonts w:ascii="Arial" w:hAnsi="Arial" w:cs="Arial"/>
          <w:sz w:val="24"/>
          <w:szCs w:val="24"/>
          <w:lang w:val="en-AU"/>
        </w:rPr>
        <w:t xml:space="preserve"> 2013; 2(4): 66-69</w:t>
      </w:r>
    </w:p>
    <w:p w14:paraId="4AEE1FE3" w14:textId="44C79D24" w:rsidR="004E5867" w:rsidRDefault="004E5867"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Dawson J, </w:t>
      </w:r>
      <w:proofErr w:type="spellStart"/>
      <w:r>
        <w:rPr>
          <w:rFonts w:ascii="Arial" w:hAnsi="Arial" w:cs="Arial"/>
          <w:sz w:val="24"/>
          <w:szCs w:val="24"/>
          <w:lang w:val="en-AU"/>
        </w:rPr>
        <w:t>Boller</w:t>
      </w:r>
      <w:proofErr w:type="spellEnd"/>
      <w:r>
        <w:rPr>
          <w:rFonts w:ascii="Arial" w:hAnsi="Arial" w:cs="Arial"/>
          <w:sz w:val="24"/>
          <w:szCs w:val="24"/>
          <w:lang w:val="en-AU"/>
        </w:rPr>
        <w:t xml:space="preserve"> I, Doll H, </w:t>
      </w:r>
      <w:proofErr w:type="spellStart"/>
      <w:r>
        <w:rPr>
          <w:rFonts w:ascii="Arial" w:hAnsi="Arial" w:cs="Arial"/>
          <w:sz w:val="24"/>
          <w:szCs w:val="24"/>
          <w:lang w:val="en-AU"/>
        </w:rPr>
        <w:t>Lavis</w:t>
      </w:r>
      <w:proofErr w:type="spellEnd"/>
      <w:r>
        <w:rPr>
          <w:rFonts w:ascii="Arial" w:hAnsi="Arial" w:cs="Arial"/>
          <w:sz w:val="24"/>
          <w:szCs w:val="24"/>
          <w:lang w:val="en-AU"/>
        </w:rPr>
        <w:t xml:space="preserve"> G, Sharpe R, Cooke P, Jenkinson C. Responsiveness of the Manchester-Oxford foot questionnaire (MOXFQ) compared with AOFAS, SF-36 and EQ-5D assessments following foot or ankle surgery.</w:t>
      </w:r>
      <w:r w:rsidR="0099346E">
        <w:rPr>
          <w:rFonts w:ascii="Arial" w:hAnsi="Arial" w:cs="Arial"/>
          <w:sz w:val="24"/>
          <w:szCs w:val="24"/>
          <w:lang w:val="en-AU"/>
        </w:rPr>
        <w:t xml:space="preserve"> </w:t>
      </w:r>
      <w:r w:rsidR="0099346E">
        <w:rPr>
          <w:rFonts w:ascii="Arial" w:hAnsi="Arial" w:cs="Arial"/>
          <w:i/>
          <w:sz w:val="24"/>
          <w:szCs w:val="24"/>
          <w:lang w:val="en-AU"/>
        </w:rPr>
        <w:t>JBJS</w:t>
      </w:r>
      <w:r w:rsidR="0099346E">
        <w:rPr>
          <w:rFonts w:ascii="Arial" w:hAnsi="Arial" w:cs="Arial"/>
          <w:sz w:val="24"/>
          <w:szCs w:val="24"/>
          <w:lang w:val="en-AU"/>
        </w:rPr>
        <w:t xml:space="preserve"> 2012; 2(94-B): 215-221</w:t>
      </w:r>
    </w:p>
    <w:p w14:paraId="38E458C7" w14:textId="70B007A9" w:rsidR="008E28BB" w:rsidRDefault="00536AC2"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Maher AJ, </w:t>
      </w:r>
      <w:proofErr w:type="spellStart"/>
      <w:r>
        <w:rPr>
          <w:rFonts w:ascii="Arial" w:hAnsi="Arial" w:cs="Arial"/>
          <w:sz w:val="24"/>
          <w:szCs w:val="24"/>
          <w:lang w:val="en-AU"/>
        </w:rPr>
        <w:t>Kilmartin</w:t>
      </w:r>
      <w:proofErr w:type="spellEnd"/>
      <w:r>
        <w:rPr>
          <w:rFonts w:ascii="Arial" w:hAnsi="Arial" w:cs="Arial"/>
          <w:sz w:val="24"/>
          <w:szCs w:val="24"/>
          <w:lang w:val="en-AU"/>
        </w:rPr>
        <w:t xml:space="preserve"> TE. An analysis of </w:t>
      </w:r>
      <w:proofErr w:type="spellStart"/>
      <w:r>
        <w:rPr>
          <w:rFonts w:ascii="Arial" w:hAnsi="Arial" w:cs="Arial"/>
          <w:sz w:val="24"/>
          <w:szCs w:val="24"/>
          <w:lang w:val="en-AU"/>
        </w:rPr>
        <w:t>Euroqol</w:t>
      </w:r>
      <w:proofErr w:type="spellEnd"/>
      <w:r>
        <w:rPr>
          <w:rFonts w:ascii="Arial" w:hAnsi="Arial" w:cs="Arial"/>
          <w:sz w:val="24"/>
          <w:szCs w:val="24"/>
          <w:lang w:val="en-AU"/>
        </w:rPr>
        <w:t xml:space="preserve"> EQ-5D and Manchester Oxford Foot Questionnaire scores six months following podiatric surgery. </w:t>
      </w:r>
      <w:r>
        <w:rPr>
          <w:rFonts w:ascii="Arial" w:hAnsi="Arial" w:cs="Arial"/>
          <w:i/>
          <w:sz w:val="24"/>
          <w:szCs w:val="24"/>
          <w:lang w:val="en-AU"/>
        </w:rPr>
        <w:t>Journal of Foot and Ankle Research</w:t>
      </w:r>
      <w:r>
        <w:rPr>
          <w:rFonts w:ascii="Arial" w:hAnsi="Arial" w:cs="Arial"/>
          <w:sz w:val="24"/>
          <w:szCs w:val="24"/>
          <w:lang w:val="en-AU"/>
        </w:rPr>
        <w:t xml:space="preserve"> 2012; 5(17): 1-7</w:t>
      </w:r>
    </w:p>
    <w:p w14:paraId="2C22C63F" w14:textId="2751B406" w:rsidR="00536AC2" w:rsidRDefault="00536AC2"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Jansson KA, </w:t>
      </w:r>
      <w:proofErr w:type="spellStart"/>
      <w:r>
        <w:rPr>
          <w:rFonts w:ascii="Arial" w:hAnsi="Arial" w:cs="Arial"/>
          <w:sz w:val="24"/>
          <w:szCs w:val="24"/>
          <w:lang w:val="en-AU"/>
        </w:rPr>
        <w:t>Granath</w:t>
      </w:r>
      <w:proofErr w:type="spellEnd"/>
      <w:r>
        <w:rPr>
          <w:rFonts w:ascii="Arial" w:hAnsi="Arial" w:cs="Arial"/>
          <w:sz w:val="24"/>
          <w:szCs w:val="24"/>
          <w:lang w:val="en-AU"/>
        </w:rPr>
        <w:t xml:space="preserve"> F. Health-related quality of life (EQ-5D) before and after orthopaedic surgery. </w:t>
      </w:r>
      <w:r>
        <w:rPr>
          <w:rFonts w:ascii="Arial" w:hAnsi="Arial" w:cs="Arial"/>
          <w:i/>
          <w:sz w:val="24"/>
          <w:szCs w:val="24"/>
          <w:lang w:val="en-AU"/>
        </w:rPr>
        <w:t xml:space="preserve">Acta </w:t>
      </w:r>
      <w:proofErr w:type="spellStart"/>
      <w:r>
        <w:rPr>
          <w:rFonts w:ascii="Arial" w:hAnsi="Arial" w:cs="Arial"/>
          <w:i/>
          <w:sz w:val="24"/>
          <w:szCs w:val="24"/>
          <w:lang w:val="en-AU"/>
        </w:rPr>
        <w:t>Orthopaedica</w:t>
      </w:r>
      <w:proofErr w:type="spellEnd"/>
      <w:r>
        <w:rPr>
          <w:rFonts w:ascii="Arial" w:hAnsi="Arial" w:cs="Arial"/>
          <w:sz w:val="24"/>
          <w:szCs w:val="24"/>
          <w:lang w:val="en-AU"/>
        </w:rPr>
        <w:t xml:space="preserve"> 2011; 82(1): 82-89</w:t>
      </w:r>
    </w:p>
    <w:p w14:paraId="04740574" w14:textId="165E2551" w:rsidR="003D0964" w:rsidRPr="003D0964" w:rsidRDefault="003D0964" w:rsidP="003D096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Ibrahim T, </w:t>
      </w:r>
      <w:proofErr w:type="spellStart"/>
      <w:r>
        <w:rPr>
          <w:rFonts w:ascii="Arial" w:hAnsi="Arial" w:cs="Arial"/>
          <w:sz w:val="24"/>
          <w:szCs w:val="24"/>
          <w:lang w:val="en-AU"/>
        </w:rPr>
        <w:t>Beiri</w:t>
      </w:r>
      <w:proofErr w:type="spellEnd"/>
      <w:r>
        <w:rPr>
          <w:rFonts w:ascii="Arial" w:hAnsi="Arial" w:cs="Arial"/>
          <w:sz w:val="24"/>
          <w:szCs w:val="24"/>
          <w:lang w:val="en-AU"/>
        </w:rPr>
        <w:t xml:space="preserve"> A, </w:t>
      </w:r>
      <w:proofErr w:type="spellStart"/>
      <w:r>
        <w:rPr>
          <w:rFonts w:ascii="Arial" w:hAnsi="Arial" w:cs="Arial"/>
          <w:sz w:val="24"/>
          <w:szCs w:val="24"/>
          <w:lang w:val="en-AU"/>
        </w:rPr>
        <w:t>Azzabi</w:t>
      </w:r>
      <w:proofErr w:type="spellEnd"/>
      <w:r>
        <w:rPr>
          <w:rFonts w:ascii="Arial" w:hAnsi="Arial" w:cs="Arial"/>
          <w:sz w:val="24"/>
          <w:szCs w:val="24"/>
          <w:lang w:val="en-AU"/>
        </w:rPr>
        <w:t xml:space="preserve"> M, Best AJ, Taylor GJ, Menon DK. Reliability and </w:t>
      </w:r>
      <w:proofErr w:type="spellStart"/>
      <w:r>
        <w:rPr>
          <w:rFonts w:ascii="Arial" w:hAnsi="Arial" w:cs="Arial"/>
          <w:sz w:val="24"/>
          <w:szCs w:val="24"/>
          <w:lang w:val="en-AU"/>
        </w:rPr>
        <w:t>vailidity</w:t>
      </w:r>
      <w:proofErr w:type="spellEnd"/>
      <w:r>
        <w:rPr>
          <w:rFonts w:ascii="Arial" w:hAnsi="Arial" w:cs="Arial"/>
          <w:sz w:val="24"/>
          <w:szCs w:val="24"/>
          <w:lang w:val="en-AU"/>
        </w:rPr>
        <w:t xml:space="preserve"> of the subjective component of the American Orthopaedic Foot and Ankle Society clinical rating scales. </w:t>
      </w:r>
      <w:r>
        <w:rPr>
          <w:rFonts w:ascii="Arial" w:hAnsi="Arial" w:cs="Arial"/>
          <w:i/>
          <w:sz w:val="24"/>
          <w:szCs w:val="24"/>
          <w:lang w:val="en-AU"/>
        </w:rPr>
        <w:t xml:space="preserve">J Foot Ankle </w:t>
      </w:r>
      <w:proofErr w:type="spellStart"/>
      <w:r>
        <w:rPr>
          <w:rFonts w:ascii="Arial" w:hAnsi="Arial" w:cs="Arial"/>
          <w:i/>
          <w:sz w:val="24"/>
          <w:szCs w:val="24"/>
          <w:lang w:val="en-AU"/>
        </w:rPr>
        <w:t>Surg</w:t>
      </w:r>
      <w:proofErr w:type="spellEnd"/>
      <w:r>
        <w:rPr>
          <w:rFonts w:ascii="Arial" w:hAnsi="Arial" w:cs="Arial"/>
          <w:sz w:val="24"/>
          <w:szCs w:val="24"/>
          <w:lang w:val="en-AU"/>
        </w:rPr>
        <w:t xml:space="preserve"> 2007; 46(2): 65-74</w:t>
      </w:r>
    </w:p>
    <w:p w14:paraId="6036801C" w14:textId="73F037A2" w:rsidR="00F27C64" w:rsidRDefault="00F27C64" w:rsidP="00C24A04">
      <w:pPr>
        <w:pStyle w:val="ListParagraph"/>
        <w:numPr>
          <w:ilvl w:val="0"/>
          <w:numId w:val="26"/>
        </w:numPr>
        <w:spacing w:after="0" w:line="240" w:lineRule="auto"/>
        <w:jc w:val="left"/>
        <w:rPr>
          <w:rFonts w:ascii="Arial" w:hAnsi="Arial" w:cs="Arial"/>
          <w:sz w:val="24"/>
          <w:szCs w:val="24"/>
          <w:lang w:val="en-AU"/>
        </w:rPr>
      </w:pPr>
      <w:r>
        <w:rPr>
          <w:rFonts w:ascii="Arial" w:hAnsi="Arial" w:cs="Arial"/>
          <w:sz w:val="24"/>
          <w:szCs w:val="24"/>
          <w:lang w:val="en-AU"/>
        </w:rPr>
        <w:t xml:space="preserve">Button G, </w:t>
      </w:r>
      <w:proofErr w:type="spellStart"/>
      <w:r>
        <w:rPr>
          <w:rFonts w:ascii="Arial" w:hAnsi="Arial" w:cs="Arial"/>
          <w:sz w:val="24"/>
          <w:szCs w:val="24"/>
          <w:lang w:val="en-AU"/>
        </w:rPr>
        <w:t>Pinney</w:t>
      </w:r>
      <w:proofErr w:type="spellEnd"/>
      <w:r>
        <w:rPr>
          <w:rFonts w:ascii="Arial" w:hAnsi="Arial" w:cs="Arial"/>
          <w:sz w:val="24"/>
          <w:szCs w:val="24"/>
          <w:lang w:val="en-AU"/>
        </w:rPr>
        <w:t xml:space="preserve"> S. A meta-analysis of outcome </w:t>
      </w:r>
      <w:proofErr w:type="spellStart"/>
      <w:r>
        <w:rPr>
          <w:rFonts w:ascii="Arial" w:hAnsi="Arial" w:cs="Arial"/>
          <w:sz w:val="24"/>
          <w:szCs w:val="24"/>
          <w:lang w:val="en-AU"/>
        </w:rPr>
        <w:t>rataing</w:t>
      </w:r>
      <w:proofErr w:type="spellEnd"/>
      <w:r>
        <w:rPr>
          <w:rFonts w:ascii="Arial" w:hAnsi="Arial" w:cs="Arial"/>
          <w:sz w:val="24"/>
          <w:szCs w:val="24"/>
          <w:lang w:val="en-AU"/>
        </w:rPr>
        <w:t xml:space="preserve"> scales in foot and ankle surgery: Is there a valid, reliable and responsive system? </w:t>
      </w:r>
      <w:r>
        <w:rPr>
          <w:rFonts w:ascii="Arial" w:hAnsi="Arial" w:cs="Arial"/>
          <w:i/>
          <w:sz w:val="24"/>
          <w:szCs w:val="24"/>
          <w:lang w:val="en-AU"/>
        </w:rPr>
        <w:t xml:space="preserve">Foot Ankle </w:t>
      </w:r>
      <w:proofErr w:type="spellStart"/>
      <w:r>
        <w:rPr>
          <w:rFonts w:ascii="Arial" w:hAnsi="Arial" w:cs="Arial"/>
          <w:i/>
          <w:sz w:val="24"/>
          <w:szCs w:val="24"/>
          <w:lang w:val="en-AU"/>
        </w:rPr>
        <w:t>Int</w:t>
      </w:r>
      <w:proofErr w:type="spellEnd"/>
      <w:r>
        <w:rPr>
          <w:rFonts w:ascii="Arial" w:hAnsi="Arial" w:cs="Arial"/>
          <w:i/>
          <w:sz w:val="24"/>
          <w:szCs w:val="24"/>
          <w:lang w:val="en-AU"/>
        </w:rPr>
        <w:t xml:space="preserve"> </w:t>
      </w:r>
      <w:r>
        <w:rPr>
          <w:rFonts w:ascii="Arial" w:hAnsi="Arial" w:cs="Arial"/>
          <w:sz w:val="24"/>
          <w:szCs w:val="24"/>
          <w:lang w:val="en-AU"/>
        </w:rPr>
        <w:t xml:space="preserve">2004; </w:t>
      </w:r>
      <w:r w:rsidR="00F10E4F">
        <w:rPr>
          <w:rFonts w:ascii="Arial" w:hAnsi="Arial" w:cs="Arial"/>
          <w:sz w:val="24"/>
          <w:szCs w:val="24"/>
          <w:lang w:val="en-AU"/>
        </w:rPr>
        <w:t>25(8): 521-525</w:t>
      </w:r>
    </w:p>
    <w:p w14:paraId="025FF7F8" w14:textId="0C4EEA33" w:rsidR="003436FE" w:rsidRPr="00B52A99" w:rsidRDefault="003436FE" w:rsidP="00B52A99">
      <w:pPr>
        <w:pStyle w:val="Heading3"/>
        <w:keepNext w:val="0"/>
        <w:spacing w:before="200" w:after="0" w:line="276" w:lineRule="auto"/>
        <w:jc w:val="both"/>
        <w:rPr>
          <w:b w:val="0"/>
          <w:color w:val="000000" w:themeColor="text1"/>
          <w:sz w:val="24"/>
          <w:szCs w:val="24"/>
        </w:rPr>
      </w:pPr>
    </w:p>
    <w:sectPr w:rsidR="003436FE" w:rsidRPr="00B52A99" w:rsidSect="005A701D">
      <w:footerReference w:type="default" r:id="rId11"/>
      <w:pgSz w:w="11906" w:h="16838"/>
      <w:pgMar w:top="1701" w:right="1134" w:bottom="1701" w:left="1134" w:header="709" w:footer="4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00B38" w14:textId="77777777" w:rsidR="00667CBC" w:rsidRDefault="00667CBC">
      <w:r>
        <w:separator/>
      </w:r>
    </w:p>
  </w:endnote>
  <w:endnote w:type="continuationSeparator" w:id="0">
    <w:p w14:paraId="30CC3268" w14:textId="77777777" w:rsidR="00667CBC" w:rsidRDefault="00667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30B3" w14:textId="77777777" w:rsidR="00D84521" w:rsidRDefault="00D84521" w:rsidP="007407CD">
    <w:pPr>
      <w:pStyle w:val="Footer"/>
      <w:tabs>
        <w:tab w:val="clear" w:pos="4153"/>
        <w:tab w:val="clear" w:pos="8306"/>
        <w:tab w:val="center" w:pos="4680"/>
        <w:tab w:val="right" w:pos="9540"/>
      </w:tabs>
    </w:pPr>
    <w:r>
      <w:rPr>
        <w:noProof/>
      </w:rPr>
      <w:drawing>
        <wp:anchor distT="0" distB="0" distL="114300" distR="114300" simplePos="0" relativeHeight="251657728" behindDoc="1" locked="0" layoutInCell="1" allowOverlap="1" wp14:anchorId="090CC45B" wp14:editId="49D58AC2">
          <wp:simplePos x="0" y="0"/>
          <wp:positionH relativeFrom="column">
            <wp:posOffset>-195580</wp:posOffset>
          </wp:positionH>
          <wp:positionV relativeFrom="paragraph">
            <wp:posOffset>26670</wp:posOffset>
          </wp:positionV>
          <wp:extent cx="6745605" cy="7137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560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54BB3" w14:textId="5301DF6A" w:rsidR="00D84521" w:rsidRDefault="00D84521" w:rsidP="007407CD">
    <w:pPr>
      <w:pStyle w:val="Footer"/>
      <w:tabs>
        <w:tab w:val="clear" w:pos="4153"/>
        <w:tab w:val="clear" w:pos="8306"/>
        <w:tab w:val="center" w:pos="4680"/>
        <w:tab w:val="right" w:pos="9540"/>
      </w:tabs>
    </w:pPr>
    <w:r>
      <w:t xml:space="preserve">Page </w:t>
    </w:r>
    <w:r>
      <w:fldChar w:fldCharType="begin"/>
    </w:r>
    <w:r>
      <w:instrText xml:space="preserve"> PAGE </w:instrText>
    </w:r>
    <w:r>
      <w:fldChar w:fldCharType="separate"/>
    </w:r>
    <w:r w:rsidR="00E350F8">
      <w:rPr>
        <w:noProof/>
      </w:rPr>
      <w:t>6</w:t>
    </w:r>
    <w:r>
      <w:fldChar w:fldCharType="end"/>
    </w:r>
    <w:r>
      <w:t xml:space="preserve"> of </w:t>
    </w:r>
    <w:r w:rsidR="00906916">
      <w:rPr>
        <w:noProof/>
      </w:rPr>
      <w:fldChar w:fldCharType="begin"/>
    </w:r>
    <w:r w:rsidR="00906916">
      <w:rPr>
        <w:noProof/>
      </w:rPr>
      <w:instrText xml:space="preserve"> NUMPAGES </w:instrText>
    </w:r>
    <w:r w:rsidR="00906916">
      <w:rPr>
        <w:noProof/>
      </w:rPr>
      <w:fldChar w:fldCharType="separate"/>
    </w:r>
    <w:r w:rsidR="00E350F8">
      <w:rPr>
        <w:noProof/>
      </w:rPr>
      <w:t>14</w:t>
    </w:r>
    <w:r w:rsidR="00906916">
      <w:rPr>
        <w:noProof/>
      </w:rPr>
      <w:fldChar w:fldCharType="end"/>
    </w:r>
  </w:p>
  <w:p w14:paraId="1035D17F" w14:textId="77777777" w:rsidR="00D84521" w:rsidRDefault="00D84521" w:rsidP="007407CD">
    <w:pPr>
      <w:pStyle w:val="Footer"/>
      <w:tabs>
        <w:tab w:val="clear" w:pos="4153"/>
        <w:tab w:val="clear" w:pos="8306"/>
        <w:tab w:val="center" w:pos="4680"/>
        <w:tab w:val="right" w:pos="9540"/>
      </w:tabs>
    </w:pPr>
  </w:p>
  <w:p w14:paraId="7BB2A2D7" w14:textId="77777777" w:rsidR="00D84521" w:rsidRDefault="00D84521" w:rsidP="007407CD">
    <w:pPr>
      <w:pStyle w:val="Footer"/>
      <w:tabs>
        <w:tab w:val="clear" w:pos="4153"/>
        <w:tab w:val="clear" w:pos="8306"/>
        <w:tab w:val="center" w:pos="4680"/>
        <w:tab w:val="right" w:pos="9540"/>
      </w:tabs>
    </w:pPr>
  </w:p>
  <w:p w14:paraId="0F1E0AAB" w14:textId="77777777" w:rsidR="00D84521" w:rsidRDefault="00D84521" w:rsidP="007407CD">
    <w:pPr>
      <w:pStyle w:val="Footer"/>
      <w:tabs>
        <w:tab w:val="clear" w:pos="4153"/>
        <w:tab w:val="clear" w:pos="8306"/>
        <w:tab w:val="center" w:pos="4680"/>
        <w:tab w:val="right" w:pos="954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803F" w14:textId="77777777" w:rsidR="00667CBC" w:rsidRDefault="00667CBC">
      <w:r>
        <w:separator/>
      </w:r>
    </w:p>
  </w:footnote>
  <w:footnote w:type="continuationSeparator" w:id="0">
    <w:p w14:paraId="5E84EFF3" w14:textId="77777777" w:rsidR="00667CBC" w:rsidRDefault="00667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D0583"/>
    <w:multiLevelType w:val="hybridMultilevel"/>
    <w:tmpl w:val="54A257DE"/>
    <w:lvl w:ilvl="0" w:tplc="681EBE1E">
      <w:start w:val="1"/>
      <w:numFmt w:val="decimal"/>
      <w:lvlText w:val="%1."/>
      <w:lvlJc w:val="left"/>
      <w:pPr>
        <w:ind w:left="1080" w:hanging="360"/>
      </w:pPr>
      <w:rPr>
        <w:rFonts w:hint="default"/>
        <w:b/>
      </w:rPr>
    </w:lvl>
    <w:lvl w:ilvl="1" w:tplc="0C09000F">
      <w:start w:val="1"/>
      <w:numFmt w:val="decimal"/>
      <w:lvlText w:val="%2."/>
      <w:lvlJc w:val="left"/>
      <w:pPr>
        <w:ind w:left="786" w:hanging="360"/>
      </w:pPr>
      <w:rPr>
        <w:rFonts w:hint="default"/>
        <w:b/>
        <w:i w:val="0"/>
        <w:color w:val="0099CC"/>
      </w:rPr>
    </w:lvl>
    <w:lvl w:ilvl="2" w:tplc="0C090019">
      <w:start w:val="1"/>
      <w:numFmt w:val="lowerLetter"/>
      <w:lvlText w:val="%3."/>
      <w:lvlJc w:val="left"/>
      <w:pPr>
        <w:ind w:left="2520" w:hanging="18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79628C6"/>
    <w:multiLevelType w:val="hybridMultilevel"/>
    <w:tmpl w:val="F9F864B8"/>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 w15:restartNumberingAfterBreak="0">
    <w:nsid w:val="09844C2D"/>
    <w:multiLevelType w:val="hybridMultilevel"/>
    <w:tmpl w:val="5886938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15:restartNumberingAfterBreak="0">
    <w:nsid w:val="09B80588"/>
    <w:multiLevelType w:val="hybridMultilevel"/>
    <w:tmpl w:val="EA9C1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89527C"/>
    <w:multiLevelType w:val="hybridMultilevel"/>
    <w:tmpl w:val="5A60999C"/>
    <w:lvl w:ilvl="0" w:tplc="AA54025C">
      <w:start w:val="1"/>
      <w:numFmt w:val="decimal"/>
      <w:lvlText w:val="%1."/>
      <w:lvlJc w:val="left"/>
      <w:pPr>
        <w:ind w:left="1080" w:hanging="360"/>
      </w:pPr>
      <w:rPr>
        <w:rFonts w:hint="default"/>
      </w:rPr>
    </w:lvl>
    <w:lvl w:ilvl="1" w:tplc="0C090001">
      <w:start w:val="1"/>
      <w:numFmt w:val="bullet"/>
      <w:lvlText w:val=""/>
      <w:lvlJc w:val="left"/>
      <w:pPr>
        <w:ind w:left="928"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147141A"/>
    <w:multiLevelType w:val="hybridMultilevel"/>
    <w:tmpl w:val="34B200FC"/>
    <w:lvl w:ilvl="0" w:tplc="DC7643E2">
      <w:start w:val="1"/>
      <w:numFmt w:val="bullet"/>
      <w:lvlText w:val=""/>
      <w:lvlJc w:val="left"/>
      <w:pPr>
        <w:ind w:left="1800" w:hanging="360"/>
      </w:pPr>
      <w:rPr>
        <w:rFonts w:ascii="Symbol" w:hAnsi="Symbol" w:hint="default"/>
        <w:color w:val="808080" w:themeColor="background1" w:themeShade="8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B35FE1"/>
    <w:multiLevelType w:val="hybridMultilevel"/>
    <w:tmpl w:val="FBDE0DD6"/>
    <w:lvl w:ilvl="0" w:tplc="0C090019">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 w15:restartNumberingAfterBreak="0">
    <w:nsid w:val="23970E41"/>
    <w:multiLevelType w:val="hybridMultilevel"/>
    <w:tmpl w:val="5DFC0436"/>
    <w:lvl w:ilvl="0" w:tplc="681EBE1E">
      <w:start w:val="1"/>
      <w:numFmt w:val="decimal"/>
      <w:lvlText w:val="%1."/>
      <w:lvlJc w:val="left"/>
      <w:pPr>
        <w:ind w:left="1080" w:hanging="360"/>
      </w:pPr>
      <w:rPr>
        <w:rFonts w:hint="default"/>
        <w:b/>
      </w:rPr>
    </w:lvl>
    <w:lvl w:ilvl="1" w:tplc="328EE258">
      <w:start w:val="1"/>
      <w:numFmt w:val="lowerLetter"/>
      <w:lvlText w:val="%2."/>
      <w:lvlJc w:val="left"/>
      <w:pPr>
        <w:ind w:left="1637" w:hanging="360"/>
      </w:pPr>
      <w:rPr>
        <w:rFonts w:hint="default"/>
        <w:b/>
        <w:i w:val="0"/>
        <w:color w:val="0099CC"/>
      </w:rPr>
    </w:lvl>
    <w:lvl w:ilvl="2" w:tplc="DC7643E2">
      <w:start w:val="1"/>
      <w:numFmt w:val="bullet"/>
      <w:lvlText w:val=""/>
      <w:lvlJc w:val="left"/>
      <w:pPr>
        <w:ind w:left="2520" w:hanging="180"/>
      </w:pPr>
      <w:rPr>
        <w:rFonts w:ascii="Symbol" w:hAnsi="Symbol" w:hint="default"/>
        <w:color w:val="808080" w:themeColor="background1" w:themeShade="80"/>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B71471A"/>
    <w:multiLevelType w:val="hybridMultilevel"/>
    <w:tmpl w:val="8812BA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CC5F20"/>
    <w:multiLevelType w:val="hybridMultilevel"/>
    <w:tmpl w:val="39305548"/>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2D2D4FED"/>
    <w:multiLevelType w:val="hybridMultilevel"/>
    <w:tmpl w:val="F288F628"/>
    <w:lvl w:ilvl="0" w:tplc="0C090019">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D520B220">
      <w:start w:val="4"/>
      <w:numFmt w:val="upperLetter"/>
      <w:lvlText w:val="%4."/>
      <w:lvlJc w:val="left"/>
      <w:pPr>
        <w:ind w:left="2880" w:hanging="360"/>
      </w:pPr>
      <w:rPr>
        <w:rFonts w:ascii="Cambria" w:hAnsi="Cambria" w:cs="Times New Roman" w:hint="default"/>
        <w:color w:val="auto"/>
        <w:sz w:val="26"/>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837F7"/>
    <w:multiLevelType w:val="hybridMultilevel"/>
    <w:tmpl w:val="90663C1A"/>
    <w:lvl w:ilvl="0" w:tplc="DC7643E2">
      <w:start w:val="1"/>
      <w:numFmt w:val="bullet"/>
      <w:lvlText w:val=""/>
      <w:lvlJc w:val="left"/>
      <w:pPr>
        <w:ind w:left="3785" w:hanging="360"/>
      </w:pPr>
      <w:rPr>
        <w:rFonts w:ascii="Symbol" w:hAnsi="Symbol" w:hint="default"/>
        <w:color w:val="808080" w:themeColor="background1" w:themeShade="80"/>
      </w:rPr>
    </w:lvl>
    <w:lvl w:ilvl="1" w:tplc="0C090003" w:tentative="1">
      <w:start w:val="1"/>
      <w:numFmt w:val="bullet"/>
      <w:lvlText w:val="o"/>
      <w:lvlJc w:val="left"/>
      <w:pPr>
        <w:ind w:left="3425" w:hanging="360"/>
      </w:pPr>
      <w:rPr>
        <w:rFonts w:ascii="Courier New" w:hAnsi="Courier New" w:cs="Courier New" w:hint="default"/>
      </w:rPr>
    </w:lvl>
    <w:lvl w:ilvl="2" w:tplc="DC7643E2">
      <w:start w:val="1"/>
      <w:numFmt w:val="bullet"/>
      <w:lvlText w:val=""/>
      <w:lvlJc w:val="left"/>
      <w:pPr>
        <w:ind w:left="4145" w:hanging="360"/>
      </w:pPr>
      <w:rPr>
        <w:rFonts w:ascii="Symbol" w:hAnsi="Symbol" w:hint="default"/>
        <w:color w:val="808080" w:themeColor="background1" w:themeShade="80"/>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2" w15:restartNumberingAfterBreak="0">
    <w:nsid w:val="381F2969"/>
    <w:multiLevelType w:val="hybridMultilevel"/>
    <w:tmpl w:val="98BE3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91B2E"/>
    <w:multiLevelType w:val="hybridMultilevel"/>
    <w:tmpl w:val="F64EB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D62AAD"/>
    <w:multiLevelType w:val="hybridMultilevel"/>
    <w:tmpl w:val="F83261D6"/>
    <w:lvl w:ilvl="0" w:tplc="349A4C8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65F35"/>
    <w:multiLevelType w:val="hybridMultilevel"/>
    <w:tmpl w:val="5E8235C4"/>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16" w15:restartNumberingAfterBreak="0">
    <w:nsid w:val="551B2993"/>
    <w:multiLevelType w:val="hybridMultilevel"/>
    <w:tmpl w:val="258CEEB8"/>
    <w:lvl w:ilvl="0" w:tplc="9D0AFF56">
      <w:start w:val="1"/>
      <w:numFmt w:val="lowerLetter"/>
      <w:lvlText w:val="%1."/>
      <w:lvlJc w:val="left"/>
      <w:pPr>
        <w:ind w:left="720" w:hanging="360"/>
      </w:pPr>
      <w:rPr>
        <w:rFonts w:hint="default"/>
        <w:i w:val="0"/>
        <w:color w:val="0099CC"/>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52469E"/>
    <w:multiLevelType w:val="hybridMultilevel"/>
    <w:tmpl w:val="C1C8A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EB3BB3"/>
    <w:multiLevelType w:val="hybridMultilevel"/>
    <w:tmpl w:val="1A12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971B6F"/>
    <w:multiLevelType w:val="hybridMultilevel"/>
    <w:tmpl w:val="707485C6"/>
    <w:lvl w:ilvl="0" w:tplc="E7CAE682">
      <w:start w:val="1"/>
      <w:numFmt w:val="bullet"/>
      <w:lvlText w:val=""/>
      <w:lvlJc w:val="left"/>
      <w:pPr>
        <w:ind w:left="1997" w:hanging="360"/>
      </w:pPr>
      <w:rPr>
        <w:rFonts w:ascii="Symbol" w:hAnsi="Symbol" w:hint="default"/>
      </w:rPr>
    </w:lvl>
    <w:lvl w:ilvl="1" w:tplc="0C090003" w:tentative="1">
      <w:start w:val="1"/>
      <w:numFmt w:val="bullet"/>
      <w:lvlText w:val="o"/>
      <w:lvlJc w:val="left"/>
      <w:pPr>
        <w:ind w:left="2717" w:hanging="360"/>
      </w:pPr>
      <w:rPr>
        <w:rFonts w:ascii="Courier New" w:hAnsi="Courier New" w:cs="Courier New" w:hint="default"/>
      </w:rPr>
    </w:lvl>
    <w:lvl w:ilvl="2" w:tplc="0C090005" w:tentative="1">
      <w:start w:val="1"/>
      <w:numFmt w:val="bullet"/>
      <w:lvlText w:val=""/>
      <w:lvlJc w:val="left"/>
      <w:pPr>
        <w:ind w:left="3437" w:hanging="360"/>
      </w:pPr>
      <w:rPr>
        <w:rFonts w:ascii="Wingdings" w:hAnsi="Wingdings" w:hint="default"/>
      </w:rPr>
    </w:lvl>
    <w:lvl w:ilvl="3" w:tplc="0C090001" w:tentative="1">
      <w:start w:val="1"/>
      <w:numFmt w:val="bullet"/>
      <w:lvlText w:val=""/>
      <w:lvlJc w:val="left"/>
      <w:pPr>
        <w:ind w:left="4157" w:hanging="360"/>
      </w:pPr>
      <w:rPr>
        <w:rFonts w:ascii="Symbol" w:hAnsi="Symbol" w:hint="default"/>
      </w:rPr>
    </w:lvl>
    <w:lvl w:ilvl="4" w:tplc="0C090003" w:tentative="1">
      <w:start w:val="1"/>
      <w:numFmt w:val="bullet"/>
      <w:lvlText w:val="o"/>
      <w:lvlJc w:val="left"/>
      <w:pPr>
        <w:ind w:left="4877" w:hanging="360"/>
      </w:pPr>
      <w:rPr>
        <w:rFonts w:ascii="Courier New" w:hAnsi="Courier New" w:cs="Courier New" w:hint="default"/>
      </w:rPr>
    </w:lvl>
    <w:lvl w:ilvl="5" w:tplc="0C090005" w:tentative="1">
      <w:start w:val="1"/>
      <w:numFmt w:val="bullet"/>
      <w:lvlText w:val=""/>
      <w:lvlJc w:val="left"/>
      <w:pPr>
        <w:ind w:left="5597" w:hanging="360"/>
      </w:pPr>
      <w:rPr>
        <w:rFonts w:ascii="Wingdings" w:hAnsi="Wingdings" w:hint="default"/>
      </w:rPr>
    </w:lvl>
    <w:lvl w:ilvl="6" w:tplc="0C090001" w:tentative="1">
      <w:start w:val="1"/>
      <w:numFmt w:val="bullet"/>
      <w:lvlText w:val=""/>
      <w:lvlJc w:val="left"/>
      <w:pPr>
        <w:ind w:left="6317" w:hanging="360"/>
      </w:pPr>
      <w:rPr>
        <w:rFonts w:ascii="Symbol" w:hAnsi="Symbol" w:hint="default"/>
      </w:rPr>
    </w:lvl>
    <w:lvl w:ilvl="7" w:tplc="0C090003" w:tentative="1">
      <w:start w:val="1"/>
      <w:numFmt w:val="bullet"/>
      <w:lvlText w:val="o"/>
      <w:lvlJc w:val="left"/>
      <w:pPr>
        <w:ind w:left="7037" w:hanging="360"/>
      </w:pPr>
      <w:rPr>
        <w:rFonts w:ascii="Courier New" w:hAnsi="Courier New" w:cs="Courier New" w:hint="default"/>
      </w:rPr>
    </w:lvl>
    <w:lvl w:ilvl="8" w:tplc="0C090005" w:tentative="1">
      <w:start w:val="1"/>
      <w:numFmt w:val="bullet"/>
      <w:lvlText w:val=""/>
      <w:lvlJc w:val="left"/>
      <w:pPr>
        <w:ind w:left="7757" w:hanging="360"/>
      </w:pPr>
      <w:rPr>
        <w:rFonts w:ascii="Wingdings" w:hAnsi="Wingdings" w:hint="default"/>
      </w:rPr>
    </w:lvl>
  </w:abstractNum>
  <w:abstractNum w:abstractNumId="20" w15:restartNumberingAfterBreak="0">
    <w:nsid w:val="6BD0607D"/>
    <w:multiLevelType w:val="hybridMultilevel"/>
    <w:tmpl w:val="EEACE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DF3DE8"/>
    <w:multiLevelType w:val="hybridMultilevel"/>
    <w:tmpl w:val="6B643D24"/>
    <w:lvl w:ilvl="0" w:tplc="349A4C8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2F6BE2"/>
    <w:multiLevelType w:val="hybridMultilevel"/>
    <w:tmpl w:val="378A19AE"/>
    <w:lvl w:ilvl="0" w:tplc="DC7643E2">
      <w:start w:val="1"/>
      <w:numFmt w:val="bullet"/>
      <w:lvlText w:val=""/>
      <w:lvlJc w:val="left"/>
      <w:pPr>
        <w:ind w:left="3785" w:hanging="360"/>
      </w:pPr>
      <w:rPr>
        <w:rFonts w:ascii="Symbol" w:hAnsi="Symbol" w:hint="default"/>
        <w:color w:val="808080" w:themeColor="background1" w:themeShade="80"/>
      </w:rPr>
    </w:lvl>
    <w:lvl w:ilvl="1" w:tplc="0C090003" w:tentative="1">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3" w15:restartNumberingAfterBreak="0">
    <w:nsid w:val="78994F51"/>
    <w:multiLevelType w:val="hybridMultilevel"/>
    <w:tmpl w:val="2A00A992"/>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4" w15:restartNumberingAfterBreak="0">
    <w:nsid w:val="79B60CCC"/>
    <w:multiLevelType w:val="hybridMultilevel"/>
    <w:tmpl w:val="2C8445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F2D2393"/>
    <w:multiLevelType w:val="hybridMultilevel"/>
    <w:tmpl w:val="FA1A575A"/>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num w:numId="1">
    <w:abstractNumId w:val="7"/>
  </w:num>
  <w:num w:numId="2">
    <w:abstractNumId w:val="19"/>
  </w:num>
  <w:num w:numId="3">
    <w:abstractNumId w:val="15"/>
  </w:num>
  <w:num w:numId="4">
    <w:abstractNumId w:val="21"/>
  </w:num>
  <w:num w:numId="5">
    <w:abstractNumId w:val="14"/>
  </w:num>
  <w:num w:numId="6">
    <w:abstractNumId w:val="1"/>
  </w:num>
  <w:num w:numId="7">
    <w:abstractNumId w:val="10"/>
  </w:num>
  <w:num w:numId="8">
    <w:abstractNumId w:val="25"/>
  </w:num>
  <w:num w:numId="9">
    <w:abstractNumId w:val="9"/>
  </w:num>
  <w:num w:numId="10">
    <w:abstractNumId w:val="20"/>
  </w:num>
  <w:num w:numId="11">
    <w:abstractNumId w:val="4"/>
  </w:num>
  <w:num w:numId="12">
    <w:abstractNumId w:val="16"/>
  </w:num>
  <w:num w:numId="13">
    <w:abstractNumId w:val="17"/>
  </w:num>
  <w:num w:numId="14">
    <w:abstractNumId w:val="23"/>
  </w:num>
  <w:num w:numId="15">
    <w:abstractNumId w:val="8"/>
  </w:num>
  <w:num w:numId="16">
    <w:abstractNumId w:val="6"/>
  </w:num>
  <w:num w:numId="17">
    <w:abstractNumId w:val="3"/>
  </w:num>
  <w:num w:numId="18">
    <w:abstractNumId w:val="24"/>
  </w:num>
  <w:num w:numId="19">
    <w:abstractNumId w:val="0"/>
  </w:num>
  <w:num w:numId="20">
    <w:abstractNumId w:val="2"/>
  </w:num>
  <w:num w:numId="21">
    <w:abstractNumId w:val="5"/>
  </w:num>
  <w:num w:numId="22">
    <w:abstractNumId w:val="22"/>
  </w:num>
  <w:num w:numId="23">
    <w:abstractNumId w:val="11"/>
  </w:num>
  <w:num w:numId="24">
    <w:abstractNumId w:val="13"/>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D80"/>
    <w:rsid w:val="00002CED"/>
    <w:rsid w:val="000038EE"/>
    <w:rsid w:val="00004439"/>
    <w:rsid w:val="00006190"/>
    <w:rsid w:val="00017498"/>
    <w:rsid w:val="0002498E"/>
    <w:rsid w:val="00024CF3"/>
    <w:rsid w:val="00027E99"/>
    <w:rsid w:val="00032500"/>
    <w:rsid w:val="00034B75"/>
    <w:rsid w:val="000442A6"/>
    <w:rsid w:val="00044ED7"/>
    <w:rsid w:val="00045048"/>
    <w:rsid w:val="000524D8"/>
    <w:rsid w:val="00056E5A"/>
    <w:rsid w:val="0005760D"/>
    <w:rsid w:val="00057C44"/>
    <w:rsid w:val="0006018B"/>
    <w:rsid w:val="00063AD5"/>
    <w:rsid w:val="00065C76"/>
    <w:rsid w:val="00066CDE"/>
    <w:rsid w:val="0007363B"/>
    <w:rsid w:val="00075C00"/>
    <w:rsid w:val="00081A2E"/>
    <w:rsid w:val="00083E0D"/>
    <w:rsid w:val="00086E2E"/>
    <w:rsid w:val="000938BA"/>
    <w:rsid w:val="0009406F"/>
    <w:rsid w:val="00096EE2"/>
    <w:rsid w:val="000A208E"/>
    <w:rsid w:val="000A3D80"/>
    <w:rsid w:val="000B41EB"/>
    <w:rsid w:val="000B47AC"/>
    <w:rsid w:val="000C4EA0"/>
    <w:rsid w:val="000D4B1C"/>
    <w:rsid w:val="000E494A"/>
    <w:rsid w:val="000F237C"/>
    <w:rsid w:val="00100429"/>
    <w:rsid w:val="00101DB1"/>
    <w:rsid w:val="00115E0C"/>
    <w:rsid w:val="00126A55"/>
    <w:rsid w:val="0013046F"/>
    <w:rsid w:val="0013169F"/>
    <w:rsid w:val="0013410D"/>
    <w:rsid w:val="00141245"/>
    <w:rsid w:val="00141C84"/>
    <w:rsid w:val="00151340"/>
    <w:rsid w:val="001559B7"/>
    <w:rsid w:val="00162F4D"/>
    <w:rsid w:val="00163129"/>
    <w:rsid w:val="0016451F"/>
    <w:rsid w:val="0016641E"/>
    <w:rsid w:val="00172F18"/>
    <w:rsid w:val="001741D4"/>
    <w:rsid w:val="00180BD5"/>
    <w:rsid w:val="00181D22"/>
    <w:rsid w:val="001966DE"/>
    <w:rsid w:val="001978A7"/>
    <w:rsid w:val="001A291F"/>
    <w:rsid w:val="001A56E8"/>
    <w:rsid w:val="001B0DCF"/>
    <w:rsid w:val="001B50FF"/>
    <w:rsid w:val="001C67C9"/>
    <w:rsid w:val="001D7117"/>
    <w:rsid w:val="001E78B3"/>
    <w:rsid w:val="001E7D18"/>
    <w:rsid w:val="001F1522"/>
    <w:rsid w:val="001F510A"/>
    <w:rsid w:val="001F5B92"/>
    <w:rsid w:val="00204742"/>
    <w:rsid w:val="00212ABD"/>
    <w:rsid w:val="002201B3"/>
    <w:rsid w:val="002246A2"/>
    <w:rsid w:val="00233466"/>
    <w:rsid w:val="00234B21"/>
    <w:rsid w:val="00247772"/>
    <w:rsid w:val="00252903"/>
    <w:rsid w:val="0025328E"/>
    <w:rsid w:val="00254B76"/>
    <w:rsid w:val="002625AA"/>
    <w:rsid w:val="00262D99"/>
    <w:rsid w:val="002720C5"/>
    <w:rsid w:val="002726EE"/>
    <w:rsid w:val="00276D26"/>
    <w:rsid w:val="00282A5B"/>
    <w:rsid w:val="00297C66"/>
    <w:rsid w:val="002A5402"/>
    <w:rsid w:val="002B02B3"/>
    <w:rsid w:val="002C2787"/>
    <w:rsid w:val="002C638B"/>
    <w:rsid w:val="002C79C3"/>
    <w:rsid w:val="002D5A77"/>
    <w:rsid w:val="002D7C14"/>
    <w:rsid w:val="002E4FA2"/>
    <w:rsid w:val="002F678C"/>
    <w:rsid w:val="002F711F"/>
    <w:rsid w:val="002F7E7B"/>
    <w:rsid w:val="00303282"/>
    <w:rsid w:val="003101B5"/>
    <w:rsid w:val="00317780"/>
    <w:rsid w:val="003226A1"/>
    <w:rsid w:val="00336463"/>
    <w:rsid w:val="003368EF"/>
    <w:rsid w:val="0034225E"/>
    <w:rsid w:val="003436FE"/>
    <w:rsid w:val="00346226"/>
    <w:rsid w:val="00346650"/>
    <w:rsid w:val="00370961"/>
    <w:rsid w:val="00373521"/>
    <w:rsid w:val="003769B2"/>
    <w:rsid w:val="00390675"/>
    <w:rsid w:val="00395F8B"/>
    <w:rsid w:val="003A380A"/>
    <w:rsid w:val="003B0BD3"/>
    <w:rsid w:val="003C2B4C"/>
    <w:rsid w:val="003C3F8F"/>
    <w:rsid w:val="003C60AF"/>
    <w:rsid w:val="003D0964"/>
    <w:rsid w:val="003D46F4"/>
    <w:rsid w:val="003E19B6"/>
    <w:rsid w:val="003E79D9"/>
    <w:rsid w:val="00412790"/>
    <w:rsid w:val="00413E42"/>
    <w:rsid w:val="00417513"/>
    <w:rsid w:val="00417D7A"/>
    <w:rsid w:val="00421FF8"/>
    <w:rsid w:val="00423AD1"/>
    <w:rsid w:val="00424682"/>
    <w:rsid w:val="004331F1"/>
    <w:rsid w:val="00440190"/>
    <w:rsid w:val="00452301"/>
    <w:rsid w:val="00455744"/>
    <w:rsid w:val="00462657"/>
    <w:rsid w:val="00463105"/>
    <w:rsid w:val="00481862"/>
    <w:rsid w:val="0048480D"/>
    <w:rsid w:val="004935F9"/>
    <w:rsid w:val="00493670"/>
    <w:rsid w:val="00497CE2"/>
    <w:rsid w:val="004A238B"/>
    <w:rsid w:val="004B0FF4"/>
    <w:rsid w:val="004C0975"/>
    <w:rsid w:val="004C7D76"/>
    <w:rsid w:val="004D43D2"/>
    <w:rsid w:val="004D711E"/>
    <w:rsid w:val="004E12AD"/>
    <w:rsid w:val="004E5867"/>
    <w:rsid w:val="004F5EA9"/>
    <w:rsid w:val="004F6EC3"/>
    <w:rsid w:val="00500830"/>
    <w:rsid w:val="00504857"/>
    <w:rsid w:val="00507C8A"/>
    <w:rsid w:val="005157A7"/>
    <w:rsid w:val="0053269C"/>
    <w:rsid w:val="00536AC2"/>
    <w:rsid w:val="00560110"/>
    <w:rsid w:val="005710BC"/>
    <w:rsid w:val="005741B9"/>
    <w:rsid w:val="00580041"/>
    <w:rsid w:val="0058335A"/>
    <w:rsid w:val="0058492E"/>
    <w:rsid w:val="005850C2"/>
    <w:rsid w:val="00586FC3"/>
    <w:rsid w:val="0059292B"/>
    <w:rsid w:val="00595347"/>
    <w:rsid w:val="00596D67"/>
    <w:rsid w:val="005A701D"/>
    <w:rsid w:val="005B0BF8"/>
    <w:rsid w:val="005B13E8"/>
    <w:rsid w:val="005B77E9"/>
    <w:rsid w:val="005C6CA4"/>
    <w:rsid w:val="005D1BF2"/>
    <w:rsid w:val="005D5BB9"/>
    <w:rsid w:val="005E124C"/>
    <w:rsid w:val="005F3D98"/>
    <w:rsid w:val="006074B0"/>
    <w:rsid w:val="00611837"/>
    <w:rsid w:val="00613922"/>
    <w:rsid w:val="00621BD2"/>
    <w:rsid w:val="006275A3"/>
    <w:rsid w:val="006279B1"/>
    <w:rsid w:val="0063357E"/>
    <w:rsid w:val="00634161"/>
    <w:rsid w:val="0064154B"/>
    <w:rsid w:val="00645983"/>
    <w:rsid w:val="00650B3B"/>
    <w:rsid w:val="006523DA"/>
    <w:rsid w:val="00653594"/>
    <w:rsid w:val="00663AF7"/>
    <w:rsid w:val="00664F8F"/>
    <w:rsid w:val="00667CBC"/>
    <w:rsid w:val="00667E55"/>
    <w:rsid w:val="00675D48"/>
    <w:rsid w:val="006777CC"/>
    <w:rsid w:val="00684108"/>
    <w:rsid w:val="006A7F49"/>
    <w:rsid w:val="006B204E"/>
    <w:rsid w:val="006C1614"/>
    <w:rsid w:val="006C177D"/>
    <w:rsid w:val="006C3799"/>
    <w:rsid w:val="006E2453"/>
    <w:rsid w:val="006E5B4F"/>
    <w:rsid w:val="006F3A25"/>
    <w:rsid w:val="006F46EE"/>
    <w:rsid w:val="006F4A5E"/>
    <w:rsid w:val="00704DAE"/>
    <w:rsid w:val="00711F11"/>
    <w:rsid w:val="00717E94"/>
    <w:rsid w:val="007205B2"/>
    <w:rsid w:val="007236C4"/>
    <w:rsid w:val="007276C7"/>
    <w:rsid w:val="00735186"/>
    <w:rsid w:val="0073686A"/>
    <w:rsid w:val="007407CD"/>
    <w:rsid w:val="00750086"/>
    <w:rsid w:val="00755BCE"/>
    <w:rsid w:val="00760E3A"/>
    <w:rsid w:val="00770C18"/>
    <w:rsid w:val="0078594A"/>
    <w:rsid w:val="00785A3D"/>
    <w:rsid w:val="0079185E"/>
    <w:rsid w:val="00796337"/>
    <w:rsid w:val="007967CB"/>
    <w:rsid w:val="007A1C1F"/>
    <w:rsid w:val="007A32A7"/>
    <w:rsid w:val="007D7484"/>
    <w:rsid w:val="007D7739"/>
    <w:rsid w:val="007E21D6"/>
    <w:rsid w:val="008012CE"/>
    <w:rsid w:val="00804DE3"/>
    <w:rsid w:val="0081377F"/>
    <w:rsid w:val="00813D82"/>
    <w:rsid w:val="0081603D"/>
    <w:rsid w:val="00823F1A"/>
    <w:rsid w:val="00825932"/>
    <w:rsid w:val="00825B46"/>
    <w:rsid w:val="00826F22"/>
    <w:rsid w:val="00832D03"/>
    <w:rsid w:val="008337C1"/>
    <w:rsid w:val="008436EC"/>
    <w:rsid w:val="008438EA"/>
    <w:rsid w:val="00844D13"/>
    <w:rsid w:val="0084693A"/>
    <w:rsid w:val="00851838"/>
    <w:rsid w:val="00852C48"/>
    <w:rsid w:val="00853E77"/>
    <w:rsid w:val="008545C4"/>
    <w:rsid w:val="0085670D"/>
    <w:rsid w:val="00857D1B"/>
    <w:rsid w:val="0086053D"/>
    <w:rsid w:val="008637F4"/>
    <w:rsid w:val="00866D3A"/>
    <w:rsid w:val="00874FE5"/>
    <w:rsid w:val="008767BA"/>
    <w:rsid w:val="00876EA1"/>
    <w:rsid w:val="00892074"/>
    <w:rsid w:val="008924D1"/>
    <w:rsid w:val="008A2D3A"/>
    <w:rsid w:val="008B471C"/>
    <w:rsid w:val="008B5607"/>
    <w:rsid w:val="008C04E8"/>
    <w:rsid w:val="008C66F4"/>
    <w:rsid w:val="008D00EA"/>
    <w:rsid w:val="008E28BB"/>
    <w:rsid w:val="008E5E8C"/>
    <w:rsid w:val="008F0B1F"/>
    <w:rsid w:val="008F408D"/>
    <w:rsid w:val="008F55FF"/>
    <w:rsid w:val="008F6046"/>
    <w:rsid w:val="00906916"/>
    <w:rsid w:val="00925DC4"/>
    <w:rsid w:val="00934560"/>
    <w:rsid w:val="00934A95"/>
    <w:rsid w:val="00940DE9"/>
    <w:rsid w:val="00943A1F"/>
    <w:rsid w:val="00945256"/>
    <w:rsid w:val="009517A9"/>
    <w:rsid w:val="0096081F"/>
    <w:rsid w:val="009620FC"/>
    <w:rsid w:val="00964BFF"/>
    <w:rsid w:val="009650BD"/>
    <w:rsid w:val="00967C16"/>
    <w:rsid w:val="009732AB"/>
    <w:rsid w:val="00974A82"/>
    <w:rsid w:val="00981681"/>
    <w:rsid w:val="00982E50"/>
    <w:rsid w:val="0099346E"/>
    <w:rsid w:val="0099513E"/>
    <w:rsid w:val="009A30AE"/>
    <w:rsid w:val="009C4070"/>
    <w:rsid w:val="009C75EA"/>
    <w:rsid w:val="009E0828"/>
    <w:rsid w:val="009E4CA9"/>
    <w:rsid w:val="009F1C71"/>
    <w:rsid w:val="009F4A08"/>
    <w:rsid w:val="00A0712F"/>
    <w:rsid w:val="00A12EFF"/>
    <w:rsid w:val="00A22C6E"/>
    <w:rsid w:val="00A24793"/>
    <w:rsid w:val="00A2673E"/>
    <w:rsid w:val="00A32B30"/>
    <w:rsid w:val="00A34095"/>
    <w:rsid w:val="00A358E0"/>
    <w:rsid w:val="00A41CD2"/>
    <w:rsid w:val="00A4350A"/>
    <w:rsid w:val="00A44B60"/>
    <w:rsid w:val="00A54CA1"/>
    <w:rsid w:val="00A55FFD"/>
    <w:rsid w:val="00A65958"/>
    <w:rsid w:val="00A744BD"/>
    <w:rsid w:val="00A75E08"/>
    <w:rsid w:val="00A75F2E"/>
    <w:rsid w:val="00A76207"/>
    <w:rsid w:val="00A94FBD"/>
    <w:rsid w:val="00A95B9E"/>
    <w:rsid w:val="00AA2679"/>
    <w:rsid w:val="00AB5CD6"/>
    <w:rsid w:val="00AC0232"/>
    <w:rsid w:val="00AD11B9"/>
    <w:rsid w:val="00AD27D6"/>
    <w:rsid w:val="00AD51A9"/>
    <w:rsid w:val="00AD7402"/>
    <w:rsid w:val="00AE1CE6"/>
    <w:rsid w:val="00AE5F56"/>
    <w:rsid w:val="00B008CA"/>
    <w:rsid w:val="00B039FD"/>
    <w:rsid w:val="00B10FBC"/>
    <w:rsid w:val="00B11CD6"/>
    <w:rsid w:val="00B148C0"/>
    <w:rsid w:val="00B14CA6"/>
    <w:rsid w:val="00B1684E"/>
    <w:rsid w:val="00B242C5"/>
    <w:rsid w:val="00B24A59"/>
    <w:rsid w:val="00B260CE"/>
    <w:rsid w:val="00B3798F"/>
    <w:rsid w:val="00B44019"/>
    <w:rsid w:val="00B47967"/>
    <w:rsid w:val="00B51261"/>
    <w:rsid w:val="00B52A99"/>
    <w:rsid w:val="00B66146"/>
    <w:rsid w:val="00B670B6"/>
    <w:rsid w:val="00B70E00"/>
    <w:rsid w:val="00B7498F"/>
    <w:rsid w:val="00B7665F"/>
    <w:rsid w:val="00B933A6"/>
    <w:rsid w:val="00BA17D0"/>
    <w:rsid w:val="00BB24BB"/>
    <w:rsid w:val="00BD476A"/>
    <w:rsid w:val="00BE071C"/>
    <w:rsid w:val="00BE1123"/>
    <w:rsid w:val="00BE1DE8"/>
    <w:rsid w:val="00BE4955"/>
    <w:rsid w:val="00BE6A8D"/>
    <w:rsid w:val="00BF16D9"/>
    <w:rsid w:val="00BF28FC"/>
    <w:rsid w:val="00BF3BAC"/>
    <w:rsid w:val="00BF79F1"/>
    <w:rsid w:val="00C01C52"/>
    <w:rsid w:val="00C04F97"/>
    <w:rsid w:val="00C05A82"/>
    <w:rsid w:val="00C0754E"/>
    <w:rsid w:val="00C1475A"/>
    <w:rsid w:val="00C24A04"/>
    <w:rsid w:val="00C274C5"/>
    <w:rsid w:val="00C36064"/>
    <w:rsid w:val="00C42FD5"/>
    <w:rsid w:val="00C5345E"/>
    <w:rsid w:val="00C56BF2"/>
    <w:rsid w:val="00C56FD7"/>
    <w:rsid w:val="00C62547"/>
    <w:rsid w:val="00C70B43"/>
    <w:rsid w:val="00C71705"/>
    <w:rsid w:val="00C73BB2"/>
    <w:rsid w:val="00C743D3"/>
    <w:rsid w:val="00C7769E"/>
    <w:rsid w:val="00C80AFE"/>
    <w:rsid w:val="00C84254"/>
    <w:rsid w:val="00C8436F"/>
    <w:rsid w:val="00C86748"/>
    <w:rsid w:val="00C87EA9"/>
    <w:rsid w:val="00C93CF0"/>
    <w:rsid w:val="00CA0FF2"/>
    <w:rsid w:val="00CA74C0"/>
    <w:rsid w:val="00CB145F"/>
    <w:rsid w:val="00CC1F3B"/>
    <w:rsid w:val="00CC25A4"/>
    <w:rsid w:val="00CC3C62"/>
    <w:rsid w:val="00CC4CEF"/>
    <w:rsid w:val="00CC7B34"/>
    <w:rsid w:val="00CD1639"/>
    <w:rsid w:val="00CD299A"/>
    <w:rsid w:val="00CE204B"/>
    <w:rsid w:val="00CF1690"/>
    <w:rsid w:val="00CF3F0C"/>
    <w:rsid w:val="00CF7126"/>
    <w:rsid w:val="00CF7D33"/>
    <w:rsid w:val="00D00F99"/>
    <w:rsid w:val="00D02608"/>
    <w:rsid w:val="00D046F8"/>
    <w:rsid w:val="00D06BAA"/>
    <w:rsid w:val="00D1279D"/>
    <w:rsid w:val="00D165FA"/>
    <w:rsid w:val="00D204A6"/>
    <w:rsid w:val="00D25504"/>
    <w:rsid w:val="00D325F8"/>
    <w:rsid w:val="00D34BC9"/>
    <w:rsid w:val="00D37C0F"/>
    <w:rsid w:val="00D400CA"/>
    <w:rsid w:val="00D43B8F"/>
    <w:rsid w:val="00D5401E"/>
    <w:rsid w:val="00D54269"/>
    <w:rsid w:val="00D6241A"/>
    <w:rsid w:val="00D64A71"/>
    <w:rsid w:val="00D66B8A"/>
    <w:rsid w:val="00D704A8"/>
    <w:rsid w:val="00D72C36"/>
    <w:rsid w:val="00D72C74"/>
    <w:rsid w:val="00D73DD0"/>
    <w:rsid w:val="00D84521"/>
    <w:rsid w:val="00D90071"/>
    <w:rsid w:val="00D93B10"/>
    <w:rsid w:val="00D95686"/>
    <w:rsid w:val="00D9697E"/>
    <w:rsid w:val="00D97FB8"/>
    <w:rsid w:val="00DA1E50"/>
    <w:rsid w:val="00DA7582"/>
    <w:rsid w:val="00DB7626"/>
    <w:rsid w:val="00DC0256"/>
    <w:rsid w:val="00DC3703"/>
    <w:rsid w:val="00DD468B"/>
    <w:rsid w:val="00DE01FD"/>
    <w:rsid w:val="00DE343B"/>
    <w:rsid w:val="00DE54AC"/>
    <w:rsid w:val="00E16BA2"/>
    <w:rsid w:val="00E31D1C"/>
    <w:rsid w:val="00E32E10"/>
    <w:rsid w:val="00E350F8"/>
    <w:rsid w:val="00E522B5"/>
    <w:rsid w:val="00E54654"/>
    <w:rsid w:val="00E56229"/>
    <w:rsid w:val="00E578FC"/>
    <w:rsid w:val="00E6087B"/>
    <w:rsid w:val="00E61C96"/>
    <w:rsid w:val="00E64C1B"/>
    <w:rsid w:val="00E725E2"/>
    <w:rsid w:val="00E75D7A"/>
    <w:rsid w:val="00E77718"/>
    <w:rsid w:val="00E91CD1"/>
    <w:rsid w:val="00E92287"/>
    <w:rsid w:val="00E93580"/>
    <w:rsid w:val="00EA0D9D"/>
    <w:rsid w:val="00EA12F6"/>
    <w:rsid w:val="00EB63B2"/>
    <w:rsid w:val="00ED28CE"/>
    <w:rsid w:val="00ED63C8"/>
    <w:rsid w:val="00ED72B6"/>
    <w:rsid w:val="00EE014B"/>
    <w:rsid w:val="00EE3547"/>
    <w:rsid w:val="00EE3755"/>
    <w:rsid w:val="00EE4E5A"/>
    <w:rsid w:val="00EE602D"/>
    <w:rsid w:val="00F012FB"/>
    <w:rsid w:val="00F10E4F"/>
    <w:rsid w:val="00F1472C"/>
    <w:rsid w:val="00F152BD"/>
    <w:rsid w:val="00F27C64"/>
    <w:rsid w:val="00F313DC"/>
    <w:rsid w:val="00F3215F"/>
    <w:rsid w:val="00F32E25"/>
    <w:rsid w:val="00F52E43"/>
    <w:rsid w:val="00F53CDC"/>
    <w:rsid w:val="00F55A31"/>
    <w:rsid w:val="00F67C87"/>
    <w:rsid w:val="00F72732"/>
    <w:rsid w:val="00F72C5B"/>
    <w:rsid w:val="00F73A18"/>
    <w:rsid w:val="00F80CD5"/>
    <w:rsid w:val="00F81531"/>
    <w:rsid w:val="00F81DDE"/>
    <w:rsid w:val="00F87E34"/>
    <w:rsid w:val="00FA665E"/>
    <w:rsid w:val="00FB1D9D"/>
    <w:rsid w:val="00FB221A"/>
    <w:rsid w:val="00FC1116"/>
    <w:rsid w:val="00FD1EB8"/>
    <w:rsid w:val="00FE1F9E"/>
    <w:rsid w:val="00FE25E3"/>
    <w:rsid w:val="00FE2FF0"/>
    <w:rsid w:val="00FF3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FB51D"/>
  <w15:chartTrackingRefBased/>
  <w15:docId w15:val="{9177C98E-ABCB-456F-BD03-E18CDF2F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08CA"/>
    <w:pPr>
      <w:spacing w:before="120" w:after="60"/>
    </w:pPr>
    <w:rPr>
      <w:rFonts w:ascii="Arial" w:hAnsi="Arial"/>
      <w:sz w:val="22"/>
      <w:szCs w:val="24"/>
    </w:rPr>
  </w:style>
  <w:style w:type="paragraph" w:styleId="Heading1">
    <w:name w:val="heading 1"/>
    <w:basedOn w:val="Normal"/>
    <w:next w:val="Normal"/>
    <w:qFormat/>
    <w:rsid w:val="00B008CA"/>
    <w:pPr>
      <w:keepNext/>
      <w:spacing w:before="240"/>
      <w:outlineLvl w:val="0"/>
    </w:pPr>
    <w:rPr>
      <w:rFonts w:cs="Arial"/>
      <w:b/>
      <w:bCs/>
      <w:color w:val="0099CC"/>
      <w:kern w:val="32"/>
      <w:sz w:val="32"/>
      <w:szCs w:val="32"/>
    </w:rPr>
  </w:style>
  <w:style w:type="paragraph" w:styleId="Heading2">
    <w:name w:val="heading 2"/>
    <w:basedOn w:val="Normal"/>
    <w:next w:val="Normal"/>
    <w:qFormat/>
    <w:rsid w:val="00B008CA"/>
    <w:pPr>
      <w:keepNext/>
      <w:spacing w:before="240"/>
      <w:outlineLvl w:val="1"/>
    </w:pPr>
    <w:rPr>
      <w:rFonts w:cs="Arial"/>
      <w:b/>
      <w:bCs/>
      <w:i/>
      <w:iCs/>
      <w:color w:val="333333"/>
      <w:sz w:val="24"/>
      <w:szCs w:val="28"/>
    </w:rPr>
  </w:style>
  <w:style w:type="paragraph" w:styleId="Heading3">
    <w:name w:val="heading 3"/>
    <w:basedOn w:val="Normal"/>
    <w:next w:val="Normal"/>
    <w:qFormat/>
    <w:rsid w:val="00B008CA"/>
    <w:pPr>
      <w:keepNext/>
      <w:spacing w:before="240"/>
      <w:outlineLvl w:val="2"/>
    </w:pPr>
    <w:rPr>
      <w:rFonts w:cs="Arial"/>
      <w:b/>
      <w:bCs/>
      <w:color w:val="0099CC"/>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3D80"/>
    <w:pPr>
      <w:tabs>
        <w:tab w:val="center" w:pos="4153"/>
        <w:tab w:val="right" w:pos="8306"/>
      </w:tabs>
    </w:pPr>
  </w:style>
  <w:style w:type="paragraph" w:styleId="Footer">
    <w:name w:val="footer"/>
    <w:basedOn w:val="Normal"/>
    <w:rsid w:val="007407CD"/>
    <w:pPr>
      <w:tabs>
        <w:tab w:val="center" w:pos="4153"/>
        <w:tab w:val="right" w:pos="8306"/>
      </w:tabs>
      <w:spacing w:before="0"/>
    </w:pPr>
    <w:rPr>
      <w:sz w:val="12"/>
    </w:rPr>
  </w:style>
  <w:style w:type="table" w:styleId="TableGrid">
    <w:name w:val="Table Grid"/>
    <w:basedOn w:val="TableNormal"/>
    <w:uiPriority w:val="59"/>
    <w:rsid w:val="007407CD"/>
    <w:pPr>
      <w:spacing w:before="12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99513E"/>
    <w:pPr>
      <w:spacing w:before="0" w:after="0"/>
      <w:jc w:val="both"/>
    </w:pPr>
    <w:rPr>
      <w:rFonts w:ascii="Cambria" w:hAnsi="Cambria"/>
      <w:szCs w:val="22"/>
      <w:lang w:val="en-US" w:eastAsia="en-US" w:bidi="en-US"/>
    </w:rPr>
  </w:style>
  <w:style w:type="character" w:customStyle="1" w:styleId="NoSpacingChar">
    <w:name w:val="No Spacing Char"/>
    <w:link w:val="NoSpacing"/>
    <w:uiPriority w:val="1"/>
    <w:rsid w:val="0099513E"/>
    <w:rPr>
      <w:rFonts w:ascii="Cambria" w:hAnsi="Cambria"/>
      <w:sz w:val="22"/>
      <w:szCs w:val="22"/>
      <w:lang w:val="en-US" w:eastAsia="en-US" w:bidi="en-US"/>
    </w:rPr>
  </w:style>
  <w:style w:type="paragraph" w:styleId="ListParagraph">
    <w:name w:val="List Paragraph"/>
    <w:basedOn w:val="Normal"/>
    <w:uiPriority w:val="34"/>
    <w:qFormat/>
    <w:rsid w:val="0099513E"/>
    <w:pPr>
      <w:spacing w:before="0" w:after="200" w:line="276" w:lineRule="auto"/>
      <w:ind w:left="720"/>
      <w:contextualSpacing/>
      <w:jc w:val="both"/>
    </w:pPr>
    <w:rPr>
      <w:rFonts w:ascii="Cambria" w:hAnsi="Cambria"/>
      <w:szCs w:val="22"/>
      <w:lang w:val="en-US" w:eastAsia="en-US" w:bidi="en-US"/>
    </w:rPr>
  </w:style>
  <w:style w:type="character" w:styleId="SubtleReference">
    <w:name w:val="Subtle Reference"/>
    <w:uiPriority w:val="31"/>
    <w:qFormat/>
    <w:rsid w:val="0099513E"/>
    <w:rPr>
      <w:smallCaps/>
    </w:rPr>
  </w:style>
  <w:style w:type="character" w:styleId="IntenseReference">
    <w:name w:val="Intense Reference"/>
    <w:uiPriority w:val="32"/>
    <w:qFormat/>
    <w:rsid w:val="0099513E"/>
    <w:rPr>
      <w:b/>
      <w:bCs/>
      <w:smallCaps/>
    </w:rPr>
  </w:style>
  <w:style w:type="character" w:styleId="BookTitle">
    <w:name w:val="Book Title"/>
    <w:uiPriority w:val="33"/>
    <w:qFormat/>
    <w:rsid w:val="0099513E"/>
    <w:rPr>
      <w:i/>
      <w:iCs/>
      <w:smallCaps/>
      <w:spacing w:val="5"/>
    </w:rPr>
  </w:style>
  <w:style w:type="character" w:styleId="Hyperlink">
    <w:name w:val="Hyperlink"/>
    <w:uiPriority w:val="99"/>
    <w:unhideWhenUsed/>
    <w:rsid w:val="0099513E"/>
    <w:rPr>
      <w:color w:val="0000FF"/>
      <w:u w:val="single"/>
    </w:rPr>
  </w:style>
  <w:style w:type="paragraph" w:customStyle="1" w:styleId="Default">
    <w:name w:val="Default"/>
    <w:rsid w:val="0099513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46265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462657"/>
    <w:rPr>
      <w:rFonts w:ascii="Segoe UI" w:hAnsi="Segoe UI" w:cs="Segoe UI"/>
      <w:sz w:val="18"/>
      <w:szCs w:val="18"/>
    </w:rPr>
  </w:style>
  <w:style w:type="character" w:styleId="Emphasis">
    <w:name w:val="Emphasis"/>
    <w:basedOn w:val="DefaultParagraphFont"/>
    <w:qFormat/>
    <w:rsid w:val="00ED63C8"/>
    <w:rPr>
      <w:i/>
      <w:iCs/>
    </w:rPr>
  </w:style>
  <w:style w:type="character" w:styleId="CommentReference">
    <w:name w:val="annotation reference"/>
    <w:basedOn w:val="DefaultParagraphFont"/>
    <w:rsid w:val="008F55FF"/>
    <w:rPr>
      <w:sz w:val="16"/>
      <w:szCs w:val="16"/>
    </w:rPr>
  </w:style>
  <w:style w:type="paragraph" w:styleId="CommentText">
    <w:name w:val="annotation text"/>
    <w:basedOn w:val="Normal"/>
    <w:link w:val="CommentTextChar"/>
    <w:rsid w:val="008F55FF"/>
    <w:rPr>
      <w:sz w:val="20"/>
      <w:szCs w:val="20"/>
    </w:rPr>
  </w:style>
  <w:style w:type="character" w:customStyle="1" w:styleId="CommentTextChar">
    <w:name w:val="Comment Text Char"/>
    <w:basedOn w:val="DefaultParagraphFont"/>
    <w:link w:val="CommentText"/>
    <w:rsid w:val="008F55FF"/>
    <w:rPr>
      <w:rFonts w:ascii="Arial" w:hAnsi="Arial"/>
    </w:rPr>
  </w:style>
  <w:style w:type="paragraph" w:styleId="CommentSubject">
    <w:name w:val="annotation subject"/>
    <w:basedOn w:val="CommentText"/>
    <w:next w:val="CommentText"/>
    <w:link w:val="CommentSubjectChar"/>
    <w:rsid w:val="008F55FF"/>
    <w:rPr>
      <w:b/>
      <w:bCs/>
    </w:rPr>
  </w:style>
  <w:style w:type="character" w:customStyle="1" w:styleId="CommentSubjectChar">
    <w:name w:val="Comment Subject Char"/>
    <w:basedOn w:val="CommentTextChar"/>
    <w:link w:val="CommentSubject"/>
    <w:rsid w:val="008F55FF"/>
    <w:rPr>
      <w:rFonts w:ascii="Arial" w:hAnsi="Arial"/>
      <w:b/>
      <w:bCs/>
    </w:rPr>
  </w:style>
  <w:style w:type="table" w:styleId="TableGridLight">
    <w:name w:val="Grid Table Light"/>
    <w:basedOn w:val="TableNormal"/>
    <w:uiPriority w:val="40"/>
    <w:rsid w:val="00844D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2625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3046F"/>
    <w:rPr>
      <w:color w:val="808080"/>
      <w:shd w:val="clear" w:color="auto" w:fill="E6E6E6"/>
    </w:rPr>
  </w:style>
  <w:style w:type="character" w:styleId="UnresolvedMention">
    <w:name w:val="Unresolved Mention"/>
    <w:basedOn w:val="DefaultParagraphFont"/>
    <w:uiPriority w:val="99"/>
    <w:semiHidden/>
    <w:unhideWhenUsed/>
    <w:rsid w:val="001B50FF"/>
    <w:rPr>
      <w:color w:val="808080"/>
      <w:shd w:val="clear" w:color="auto" w:fill="E6E6E6"/>
    </w:rPr>
  </w:style>
  <w:style w:type="character" w:customStyle="1" w:styleId="label">
    <w:name w:val="label"/>
    <w:basedOn w:val="DefaultParagraphFont"/>
    <w:rsid w:val="001B50FF"/>
  </w:style>
  <w:style w:type="character" w:styleId="FollowedHyperlink">
    <w:name w:val="FollowedHyperlink"/>
    <w:basedOn w:val="DefaultParagraphFont"/>
    <w:rsid w:val="00876EA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9437">
      <w:bodyDiv w:val="1"/>
      <w:marLeft w:val="0"/>
      <w:marRight w:val="0"/>
      <w:marTop w:val="0"/>
      <w:marBottom w:val="0"/>
      <w:divBdr>
        <w:top w:val="none" w:sz="0" w:space="0" w:color="auto"/>
        <w:left w:val="none" w:sz="0" w:space="0" w:color="auto"/>
        <w:bottom w:val="none" w:sz="0" w:space="0" w:color="auto"/>
        <w:right w:val="none" w:sz="0" w:space="0" w:color="auto"/>
      </w:divBdr>
    </w:div>
    <w:div w:id="1513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E9859-899E-44AE-93C6-041635818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BA5541-BC56-4CEC-980D-37702225A39E}">
  <ds:schemaRefs>
    <ds:schemaRef ds:uri="http://schemas.microsoft.com/sharepoint/v3/contenttype/forms"/>
  </ds:schemaRefs>
</ds:datastoreItem>
</file>

<file path=customXml/itemProps3.xml><?xml version="1.0" encoding="utf-8"?>
<ds:datastoreItem xmlns:ds="http://schemas.openxmlformats.org/officeDocument/2006/customXml" ds:itemID="{B2295016-98CC-4480-984C-294824D88F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90BA3B7-C3B1-1C4E-AEA7-9D8DFB8E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13</Pages>
  <Words>4780</Words>
  <Characters>27250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Heading 1</vt:lpstr>
    </vt:vector>
  </TitlesOfParts>
  <Company>Queensland Health</Company>
  <LinksUpToDate>false</LinksUpToDate>
  <CharactersWithSpaces>31967</CharactersWithSpaces>
  <SharedDoc>false</SharedDoc>
  <HLinks>
    <vt:vector size="6" baseType="variant">
      <vt:variant>
        <vt:i4>4653082</vt:i4>
      </vt:variant>
      <vt:variant>
        <vt:i4>3</vt:i4>
      </vt:variant>
      <vt:variant>
        <vt:i4>0</vt:i4>
      </vt:variant>
      <vt:variant>
        <vt:i4>5</vt:i4>
      </vt:variant>
      <vt:variant>
        <vt:lpwstr>https://www.nhmrc.gov.au/guidelines-publications/e72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WrighSus</dc:creator>
  <cp:keywords/>
  <cp:lastModifiedBy>johnbilenki@gmail.com</cp:lastModifiedBy>
  <cp:revision>238</cp:revision>
  <cp:lastPrinted>2018-12-17T22:42:00Z</cp:lastPrinted>
  <dcterms:created xsi:type="dcterms:W3CDTF">2018-12-23T09:06:00Z</dcterms:created>
  <dcterms:modified xsi:type="dcterms:W3CDTF">2019-11-09T09:41:00Z</dcterms:modified>
</cp:coreProperties>
</file>