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816F" w14:textId="2C88184A" w:rsidR="00480FDC" w:rsidRPr="00975C9E" w:rsidRDefault="00363F0C" w:rsidP="00975C9E">
      <w:pPr>
        <w:pStyle w:val="Heading1"/>
        <w:rPr>
          <w:b/>
          <w:sz w:val="32"/>
          <w:szCs w:val="32"/>
          <w:lang w:val="en-US"/>
        </w:rPr>
      </w:pPr>
      <w:r w:rsidRPr="00975C9E">
        <w:rPr>
          <w:b/>
          <w:sz w:val="32"/>
          <w:szCs w:val="32"/>
          <w:lang w:val="en-US"/>
        </w:rPr>
        <w:t>Research Protocol</w:t>
      </w:r>
    </w:p>
    <w:p w14:paraId="750DE52F" w14:textId="77777777" w:rsidR="00363F0C" w:rsidRDefault="00363F0C" w:rsidP="00975C9E">
      <w:pPr>
        <w:pStyle w:val="NoSpacing"/>
        <w:rPr>
          <w:lang w:val="en-US"/>
        </w:rPr>
      </w:pPr>
    </w:p>
    <w:p w14:paraId="70B33943" w14:textId="186DFF39" w:rsidR="00DB08AA" w:rsidRPr="009F20BD" w:rsidRDefault="00363F0C" w:rsidP="00975C9E">
      <w:pPr>
        <w:pStyle w:val="Heading5"/>
        <w:jc w:val="left"/>
        <w:rPr>
          <w:sz w:val="28"/>
          <w:szCs w:val="28"/>
          <w:lang w:val="en-US"/>
        </w:rPr>
      </w:pPr>
      <w:r w:rsidRPr="009F20BD">
        <w:rPr>
          <w:sz w:val="28"/>
          <w:szCs w:val="28"/>
          <w:lang w:val="en-US"/>
        </w:rPr>
        <w:t>Research Project Title</w:t>
      </w:r>
      <w:r w:rsidR="00975C9E" w:rsidRPr="009F20BD">
        <w:rPr>
          <w:sz w:val="28"/>
          <w:szCs w:val="28"/>
          <w:lang w:val="en-US"/>
        </w:rPr>
        <w:t xml:space="preserve"> (Full)</w:t>
      </w:r>
    </w:p>
    <w:p w14:paraId="2EBB5801" w14:textId="62C02FA6" w:rsidR="00F73ECE" w:rsidRPr="009F20BD" w:rsidRDefault="00F73ECE" w:rsidP="00975C9E">
      <w:pPr>
        <w:pStyle w:val="NoSpacing"/>
        <w:rPr>
          <w:sz w:val="24"/>
          <w:szCs w:val="24"/>
          <w:lang w:val="en-US"/>
        </w:rPr>
      </w:pPr>
      <w:r w:rsidRPr="009F20BD">
        <w:rPr>
          <w:sz w:val="24"/>
          <w:szCs w:val="24"/>
          <w:lang w:val="en-US"/>
        </w:rPr>
        <w:t xml:space="preserve">A randomized </w:t>
      </w:r>
      <w:r w:rsidR="00BD4617">
        <w:rPr>
          <w:sz w:val="24"/>
          <w:szCs w:val="24"/>
          <w:lang w:val="en-US"/>
        </w:rPr>
        <w:t xml:space="preserve">controlled non-inferiority </w:t>
      </w:r>
      <w:r w:rsidRPr="009F20BD">
        <w:rPr>
          <w:sz w:val="24"/>
          <w:szCs w:val="24"/>
          <w:lang w:val="en-US"/>
        </w:rPr>
        <w:t xml:space="preserve">trial comparing </w:t>
      </w:r>
      <w:r w:rsidR="00BD4617">
        <w:rPr>
          <w:sz w:val="24"/>
          <w:szCs w:val="24"/>
          <w:lang w:val="en-US"/>
        </w:rPr>
        <w:t xml:space="preserve">early outcomes following </w:t>
      </w:r>
      <w:r w:rsidR="00BD4617" w:rsidRPr="009F20BD">
        <w:rPr>
          <w:sz w:val="24"/>
          <w:szCs w:val="24"/>
          <w:lang w:val="en-US"/>
        </w:rPr>
        <w:t xml:space="preserve">duct to duct biliary anastomosis </w:t>
      </w:r>
      <w:r w:rsidR="00BD4617">
        <w:rPr>
          <w:sz w:val="24"/>
          <w:szCs w:val="24"/>
          <w:lang w:val="en-US"/>
        </w:rPr>
        <w:t xml:space="preserve">either with or without stent placement </w:t>
      </w:r>
      <w:r w:rsidRPr="009F20BD">
        <w:rPr>
          <w:sz w:val="24"/>
          <w:szCs w:val="24"/>
          <w:lang w:val="en-US"/>
        </w:rPr>
        <w:t>in adult patients undergoing whole liver transplant</w:t>
      </w:r>
      <w:r w:rsidR="00BD4617">
        <w:rPr>
          <w:sz w:val="24"/>
          <w:szCs w:val="24"/>
          <w:lang w:val="en-US"/>
        </w:rPr>
        <w:t>ation.</w:t>
      </w:r>
    </w:p>
    <w:p w14:paraId="3D7A3B6E" w14:textId="77777777" w:rsidR="00975C9E" w:rsidRDefault="00975C9E" w:rsidP="00975C9E">
      <w:pPr>
        <w:pStyle w:val="NoSpacing"/>
        <w:rPr>
          <w:lang w:val="en-US"/>
        </w:rPr>
      </w:pPr>
    </w:p>
    <w:p w14:paraId="642BFD38" w14:textId="77777777" w:rsidR="00F73ECE" w:rsidRPr="009F20BD" w:rsidRDefault="00F73ECE" w:rsidP="00975C9E">
      <w:pPr>
        <w:pStyle w:val="Heading5"/>
        <w:jc w:val="left"/>
        <w:rPr>
          <w:sz w:val="28"/>
          <w:szCs w:val="28"/>
          <w:lang w:val="en-US"/>
        </w:rPr>
      </w:pPr>
      <w:r w:rsidRPr="009F20BD">
        <w:rPr>
          <w:sz w:val="28"/>
          <w:szCs w:val="28"/>
          <w:lang w:val="en-US"/>
        </w:rPr>
        <w:t>Research Project Title (Short)</w:t>
      </w:r>
    </w:p>
    <w:p w14:paraId="04C6B234" w14:textId="69FBDD8F" w:rsidR="00F73ECE" w:rsidRPr="009F20BD" w:rsidRDefault="007517C2">
      <w:pPr>
        <w:rPr>
          <w:sz w:val="24"/>
          <w:szCs w:val="24"/>
          <w:lang w:val="en-US"/>
        </w:rPr>
      </w:pPr>
      <w:r>
        <w:rPr>
          <w:sz w:val="24"/>
          <w:szCs w:val="24"/>
          <w:lang w:val="en-US"/>
        </w:rPr>
        <w:t>The utility of b</w:t>
      </w:r>
      <w:r w:rsidR="00F73ECE" w:rsidRPr="009F20BD">
        <w:rPr>
          <w:sz w:val="24"/>
          <w:szCs w:val="24"/>
          <w:lang w:val="en-US"/>
        </w:rPr>
        <w:t>ile duct stent</w:t>
      </w:r>
      <w:r>
        <w:rPr>
          <w:sz w:val="24"/>
          <w:szCs w:val="24"/>
          <w:lang w:val="en-US"/>
        </w:rPr>
        <w:t xml:space="preserve"> placement</w:t>
      </w:r>
      <w:r w:rsidR="00F73ECE" w:rsidRPr="009F20BD">
        <w:rPr>
          <w:sz w:val="24"/>
          <w:szCs w:val="24"/>
          <w:lang w:val="en-US"/>
        </w:rPr>
        <w:t xml:space="preserve"> in </w:t>
      </w:r>
      <w:r>
        <w:rPr>
          <w:sz w:val="24"/>
          <w:szCs w:val="24"/>
          <w:lang w:val="en-US"/>
        </w:rPr>
        <w:t>l</w:t>
      </w:r>
      <w:r w:rsidR="00F73ECE" w:rsidRPr="009F20BD">
        <w:rPr>
          <w:sz w:val="24"/>
          <w:szCs w:val="24"/>
          <w:lang w:val="en-US"/>
        </w:rPr>
        <w:t xml:space="preserve">iver </w:t>
      </w:r>
      <w:r>
        <w:rPr>
          <w:sz w:val="24"/>
          <w:szCs w:val="24"/>
          <w:lang w:val="en-US"/>
        </w:rPr>
        <w:t>t</w:t>
      </w:r>
      <w:r w:rsidR="00F73ECE" w:rsidRPr="009F20BD">
        <w:rPr>
          <w:sz w:val="24"/>
          <w:szCs w:val="24"/>
          <w:lang w:val="en-US"/>
        </w:rPr>
        <w:t>ransplant</w:t>
      </w:r>
      <w:r>
        <w:rPr>
          <w:sz w:val="24"/>
          <w:szCs w:val="24"/>
          <w:lang w:val="en-US"/>
        </w:rPr>
        <w:t>ation</w:t>
      </w:r>
    </w:p>
    <w:p w14:paraId="3E7286DF" w14:textId="1546AD33" w:rsidR="00F73ECE" w:rsidRPr="009F20BD" w:rsidRDefault="00F73ECE" w:rsidP="00975C9E">
      <w:pPr>
        <w:pStyle w:val="Heading5"/>
        <w:jc w:val="left"/>
        <w:rPr>
          <w:sz w:val="28"/>
          <w:szCs w:val="28"/>
          <w:lang w:val="en-US"/>
        </w:rPr>
      </w:pPr>
      <w:r w:rsidRPr="009F20BD">
        <w:rPr>
          <w:sz w:val="28"/>
          <w:szCs w:val="28"/>
          <w:lang w:val="en-US"/>
        </w:rPr>
        <w:t>Investigators</w:t>
      </w:r>
    </w:p>
    <w:p w14:paraId="366B2F1C" w14:textId="77777777" w:rsidR="00A560ED" w:rsidRPr="009F20BD" w:rsidRDefault="00DA13DC" w:rsidP="00A560ED">
      <w:pPr>
        <w:pStyle w:val="NoSpacing"/>
        <w:rPr>
          <w:sz w:val="24"/>
          <w:szCs w:val="24"/>
          <w:lang w:val="en-US"/>
        </w:rPr>
      </w:pPr>
      <w:r w:rsidRPr="009F20BD">
        <w:rPr>
          <w:sz w:val="24"/>
          <w:szCs w:val="24"/>
          <w:lang w:val="en-US"/>
        </w:rPr>
        <w:t xml:space="preserve">Principal Investigator: </w:t>
      </w:r>
      <w:r w:rsidRPr="009F20BD">
        <w:rPr>
          <w:sz w:val="24"/>
          <w:szCs w:val="24"/>
          <w:lang w:val="en-US"/>
        </w:rPr>
        <w:tab/>
      </w:r>
      <w:r w:rsidRPr="009F20BD">
        <w:rPr>
          <w:sz w:val="24"/>
          <w:szCs w:val="24"/>
          <w:lang w:val="en-US"/>
        </w:rPr>
        <w:tab/>
      </w:r>
      <w:r w:rsidR="00975C9E" w:rsidRPr="009F20BD">
        <w:rPr>
          <w:sz w:val="24"/>
          <w:szCs w:val="24"/>
          <w:lang w:val="en-US"/>
        </w:rPr>
        <w:tab/>
      </w:r>
      <w:proofErr w:type="spellStart"/>
      <w:r w:rsidR="00A560ED" w:rsidRPr="009F20BD">
        <w:rPr>
          <w:sz w:val="24"/>
          <w:szCs w:val="24"/>
          <w:lang w:val="en-US"/>
        </w:rPr>
        <w:t>Dr</w:t>
      </w:r>
      <w:proofErr w:type="spellEnd"/>
      <w:r w:rsidR="00A560ED" w:rsidRPr="009F20BD">
        <w:rPr>
          <w:sz w:val="24"/>
          <w:szCs w:val="24"/>
          <w:lang w:val="en-US"/>
        </w:rPr>
        <w:t xml:space="preserve"> Sarah Byrne</w:t>
      </w:r>
    </w:p>
    <w:p w14:paraId="48FB02FD"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Renal and Liver Transplant Unit</w:t>
      </w:r>
    </w:p>
    <w:p w14:paraId="60AE7821"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Princess Alexandra Hospital</w:t>
      </w:r>
    </w:p>
    <w:p w14:paraId="20436A20"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proofErr w:type="spellStart"/>
      <w:r w:rsidRPr="009F20BD">
        <w:rPr>
          <w:sz w:val="24"/>
          <w:szCs w:val="24"/>
          <w:lang w:val="en-US"/>
        </w:rPr>
        <w:t>Ph</w:t>
      </w:r>
      <w:proofErr w:type="spellEnd"/>
      <w:r w:rsidRPr="009F20BD">
        <w:rPr>
          <w:sz w:val="24"/>
          <w:szCs w:val="24"/>
          <w:lang w:val="en-US"/>
        </w:rPr>
        <w:t>: 07 3176 2513</w:t>
      </w:r>
    </w:p>
    <w:p w14:paraId="03AEE2BB" w14:textId="39B83125" w:rsidR="00DA13DC"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 xml:space="preserve">Email: </w:t>
      </w:r>
      <w:hyperlink r:id="rId6" w:history="1">
        <w:r w:rsidRPr="009F20BD">
          <w:rPr>
            <w:rStyle w:val="Hyperlink"/>
            <w:sz w:val="24"/>
            <w:szCs w:val="24"/>
            <w:lang w:val="en-US"/>
          </w:rPr>
          <w:t>drsarahbyrne@gmail.com</w:t>
        </w:r>
      </w:hyperlink>
    </w:p>
    <w:p w14:paraId="673CD56E" w14:textId="77777777" w:rsidR="00DA13DC" w:rsidRPr="009F20BD" w:rsidRDefault="00DA13DC" w:rsidP="00975C9E">
      <w:pPr>
        <w:pStyle w:val="NoSpacing"/>
        <w:rPr>
          <w:sz w:val="24"/>
          <w:szCs w:val="24"/>
          <w:lang w:val="en-US"/>
        </w:rPr>
      </w:pPr>
    </w:p>
    <w:p w14:paraId="3D990363" w14:textId="77777777" w:rsidR="00A560ED" w:rsidRPr="009F20BD" w:rsidRDefault="00DA13DC" w:rsidP="00A560ED">
      <w:pPr>
        <w:pStyle w:val="NoSpacing"/>
        <w:rPr>
          <w:sz w:val="24"/>
          <w:szCs w:val="24"/>
          <w:lang w:val="en-US"/>
        </w:rPr>
      </w:pPr>
      <w:r w:rsidRPr="009F20BD">
        <w:rPr>
          <w:sz w:val="24"/>
          <w:szCs w:val="24"/>
          <w:lang w:val="en-US"/>
        </w:rPr>
        <w:t>Co-Investigator:</w:t>
      </w:r>
      <w:r w:rsidR="153269AB" w:rsidRPr="009F20BD">
        <w:rPr>
          <w:sz w:val="24"/>
          <w:szCs w:val="24"/>
          <w:lang w:val="en-US"/>
        </w:rPr>
        <w:t xml:space="preserve"> </w:t>
      </w:r>
      <w:r w:rsidRPr="009F20BD">
        <w:rPr>
          <w:sz w:val="24"/>
          <w:szCs w:val="24"/>
          <w:lang w:val="en-US"/>
        </w:rPr>
        <w:tab/>
      </w:r>
      <w:r w:rsidRPr="009F20BD">
        <w:rPr>
          <w:sz w:val="24"/>
          <w:szCs w:val="24"/>
          <w:lang w:val="en-US"/>
        </w:rPr>
        <w:tab/>
      </w:r>
      <w:r w:rsidRPr="009F20BD">
        <w:rPr>
          <w:sz w:val="24"/>
          <w:szCs w:val="24"/>
          <w:lang w:val="en-US"/>
        </w:rPr>
        <w:tab/>
      </w:r>
      <w:proofErr w:type="spellStart"/>
      <w:r w:rsidR="00A560ED" w:rsidRPr="009F20BD">
        <w:rPr>
          <w:sz w:val="24"/>
          <w:szCs w:val="24"/>
          <w:lang w:val="en-US"/>
        </w:rPr>
        <w:t>Dr</w:t>
      </w:r>
      <w:proofErr w:type="spellEnd"/>
      <w:r w:rsidR="00A560ED" w:rsidRPr="009F20BD">
        <w:rPr>
          <w:sz w:val="24"/>
          <w:szCs w:val="24"/>
          <w:lang w:val="en-US"/>
        </w:rPr>
        <w:t xml:space="preserve"> Peter Hodgkinson</w:t>
      </w:r>
    </w:p>
    <w:p w14:paraId="3223B7E5"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Liver Transplant Unit</w:t>
      </w:r>
    </w:p>
    <w:p w14:paraId="1F52983F"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Princess Alexandra Hospital</w:t>
      </w:r>
    </w:p>
    <w:p w14:paraId="3EA76A60"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proofErr w:type="spellStart"/>
      <w:r w:rsidRPr="009F20BD">
        <w:rPr>
          <w:sz w:val="24"/>
          <w:szCs w:val="24"/>
          <w:lang w:val="en-US"/>
        </w:rPr>
        <w:t>Ph</w:t>
      </w:r>
      <w:proofErr w:type="spellEnd"/>
      <w:r w:rsidRPr="009F20BD">
        <w:rPr>
          <w:sz w:val="24"/>
          <w:szCs w:val="24"/>
          <w:lang w:val="en-US"/>
        </w:rPr>
        <w:t>: 07 3176 2513</w:t>
      </w:r>
    </w:p>
    <w:p w14:paraId="37A8B546" w14:textId="77777777" w:rsidR="00A560ED" w:rsidRPr="009F20BD" w:rsidRDefault="00A560ED" w:rsidP="00A560ED">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 xml:space="preserve">Email: </w:t>
      </w:r>
      <w:hyperlink r:id="rId7" w:history="1">
        <w:r w:rsidRPr="009F20BD">
          <w:rPr>
            <w:rStyle w:val="Hyperlink"/>
            <w:sz w:val="24"/>
            <w:szCs w:val="24"/>
            <w:lang w:val="en-US"/>
          </w:rPr>
          <w:t>peter.hodgkinson@health.qld.gov.au</w:t>
        </w:r>
      </w:hyperlink>
    </w:p>
    <w:p w14:paraId="23D4D154" w14:textId="30D25C23" w:rsidR="00DA13DC" w:rsidRPr="009F20BD" w:rsidRDefault="00DA13DC" w:rsidP="00975C9E">
      <w:pPr>
        <w:pStyle w:val="NoSpacing"/>
        <w:rPr>
          <w:sz w:val="24"/>
          <w:szCs w:val="24"/>
          <w:lang w:val="en-US"/>
        </w:rPr>
      </w:pPr>
      <w:proofErr w:type="spellStart"/>
      <w:r w:rsidRPr="009F20BD">
        <w:rPr>
          <w:sz w:val="24"/>
          <w:szCs w:val="24"/>
          <w:lang w:val="en-US"/>
        </w:rPr>
        <w:t>Dr</w:t>
      </w:r>
      <w:proofErr w:type="spellEnd"/>
      <w:r w:rsidRPr="009F20BD">
        <w:rPr>
          <w:sz w:val="24"/>
          <w:szCs w:val="24"/>
          <w:lang w:val="en-US"/>
        </w:rPr>
        <w:t xml:space="preserve"> Nick Butler</w:t>
      </w:r>
    </w:p>
    <w:p w14:paraId="366F3A5D" w14:textId="77777777" w:rsidR="00DA13DC" w:rsidRPr="009F20BD" w:rsidRDefault="00DA13DC" w:rsidP="00975C9E">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HPB and Transplant unit</w:t>
      </w:r>
    </w:p>
    <w:p w14:paraId="641EDA20" w14:textId="77777777" w:rsidR="00DA13DC" w:rsidRPr="009F20BD" w:rsidRDefault="00DA13DC" w:rsidP="00975C9E">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Princess Alexandra Hospital</w:t>
      </w:r>
    </w:p>
    <w:p w14:paraId="0EA2DD63" w14:textId="77777777" w:rsidR="00DA13DC" w:rsidRPr="009F20BD" w:rsidRDefault="00DA13DC" w:rsidP="00975C9E">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proofErr w:type="spellStart"/>
      <w:r w:rsidRPr="009F20BD">
        <w:rPr>
          <w:sz w:val="24"/>
          <w:szCs w:val="24"/>
          <w:lang w:val="en-US"/>
        </w:rPr>
        <w:t>Ph</w:t>
      </w:r>
      <w:proofErr w:type="spellEnd"/>
      <w:r w:rsidRPr="009F20BD">
        <w:rPr>
          <w:sz w:val="24"/>
          <w:szCs w:val="24"/>
          <w:lang w:val="en-US"/>
        </w:rPr>
        <w:t>: 07 3176 2513</w:t>
      </w:r>
    </w:p>
    <w:p w14:paraId="1913D7B0" w14:textId="77777777" w:rsidR="00DA13DC" w:rsidRPr="009F20BD" w:rsidRDefault="00DA13DC" w:rsidP="00975C9E">
      <w:pPr>
        <w:pStyle w:val="NoSpacing"/>
        <w:rPr>
          <w:sz w:val="24"/>
          <w:szCs w:val="24"/>
          <w:lang w:val="en-US"/>
        </w:rPr>
      </w:pP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r>
      <w:r w:rsidRPr="009F20BD">
        <w:rPr>
          <w:sz w:val="24"/>
          <w:szCs w:val="24"/>
          <w:lang w:val="en-US"/>
        </w:rPr>
        <w:tab/>
        <w:t xml:space="preserve">Email: </w:t>
      </w:r>
      <w:hyperlink r:id="rId8" w:history="1">
        <w:r w:rsidRPr="009F20BD">
          <w:rPr>
            <w:rStyle w:val="Hyperlink"/>
            <w:sz w:val="24"/>
            <w:szCs w:val="24"/>
            <w:lang w:val="en-US"/>
          </w:rPr>
          <w:t>nick.butler@health.qld.gov.au</w:t>
        </w:r>
      </w:hyperlink>
    </w:p>
    <w:p w14:paraId="4222CFF7" w14:textId="4A6A8756" w:rsidR="00DA13DC" w:rsidRPr="009F20BD" w:rsidRDefault="00DA13DC" w:rsidP="00A560ED">
      <w:pPr>
        <w:pStyle w:val="NoSpacing"/>
        <w:rPr>
          <w:sz w:val="24"/>
          <w:szCs w:val="24"/>
          <w:lang w:val="en-US"/>
        </w:rPr>
      </w:pPr>
      <w:bookmarkStart w:id="0" w:name="_GoBack"/>
      <w:bookmarkEnd w:id="0"/>
      <w:r w:rsidRPr="009F20BD">
        <w:rPr>
          <w:sz w:val="24"/>
          <w:szCs w:val="24"/>
          <w:lang w:val="en-US"/>
        </w:rPr>
        <w:tab/>
      </w:r>
      <w:r w:rsidRPr="009F20BD">
        <w:rPr>
          <w:sz w:val="24"/>
          <w:szCs w:val="24"/>
          <w:lang w:val="en-US"/>
        </w:rPr>
        <w:tab/>
      </w:r>
    </w:p>
    <w:p w14:paraId="758013D6" w14:textId="7F8A6211" w:rsidR="00DA13DC" w:rsidRPr="009F20BD" w:rsidRDefault="00212B2F" w:rsidP="00E151FB">
      <w:pPr>
        <w:pStyle w:val="Heading5"/>
        <w:jc w:val="left"/>
        <w:rPr>
          <w:sz w:val="28"/>
          <w:szCs w:val="28"/>
          <w:lang w:val="en-US"/>
        </w:rPr>
      </w:pPr>
      <w:r>
        <w:rPr>
          <w:sz w:val="28"/>
          <w:szCs w:val="28"/>
          <w:lang w:val="en-US"/>
        </w:rPr>
        <w:t>BACKGROUND</w:t>
      </w:r>
    </w:p>
    <w:p w14:paraId="31049EE3" w14:textId="26B3320B" w:rsidR="009F20BD" w:rsidRPr="00A560ED" w:rsidRDefault="00493F34">
      <w:pPr>
        <w:rPr>
          <w:sz w:val="24"/>
          <w:szCs w:val="24"/>
          <w:lang w:val="en-US"/>
        </w:rPr>
      </w:pPr>
      <w:r w:rsidRPr="00A75A63">
        <w:rPr>
          <w:sz w:val="24"/>
          <w:szCs w:val="24"/>
          <w:lang w:val="en-US"/>
        </w:rPr>
        <w:t>The decision to</w:t>
      </w:r>
      <w:r w:rsidR="00761002" w:rsidRPr="00A75A63">
        <w:rPr>
          <w:sz w:val="24"/>
          <w:szCs w:val="24"/>
          <w:lang w:val="en-US"/>
        </w:rPr>
        <w:t xml:space="preserve"> use </w:t>
      </w:r>
      <w:r w:rsidR="007934B1" w:rsidRPr="00A75A63">
        <w:rPr>
          <w:sz w:val="24"/>
          <w:szCs w:val="24"/>
          <w:lang w:val="en-US"/>
        </w:rPr>
        <w:t>trans-anastomotic biliary</w:t>
      </w:r>
      <w:r w:rsidRPr="00A75A63">
        <w:rPr>
          <w:sz w:val="24"/>
          <w:szCs w:val="24"/>
          <w:lang w:val="en-US"/>
        </w:rPr>
        <w:t xml:space="preserve"> stents in liver transplant is predominantly at the discretion of the surgeon</w:t>
      </w:r>
      <w:r w:rsidR="00E366B6">
        <w:rPr>
          <w:sz w:val="24"/>
          <w:szCs w:val="24"/>
          <w:lang w:val="en-US"/>
        </w:rPr>
        <w:t xml:space="preserve"> and influenced by previous practice rather than scientific evidence</w:t>
      </w:r>
      <w:r w:rsidR="00CD1C4C" w:rsidRPr="00A75A63">
        <w:rPr>
          <w:sz w:val="24"/>
          <w:szCs w:val="24"/>
          <w:lang w:val="en-US"/>
        </w:rPr>
        <w:t>.</w:t>
      </w:r>
      <w:r w:rsidR="00104266">
        <w:rPr>
          <w:sz w:val="24"/>
          <w:szCs w:val="24"/>
          <w:lang w:val="en-US"/>
        </w:rPr>
        <w:t xml:space="preserve"> </w:t>
      </w:r>
      <w:r w:rsidR="52632FAB" w:rsidRPr="00A560ED">
        <w:rPr>
          <w:sz w:val="24"/>
          <w:szCs w:val="24"/>
        </w:rPr>
        <w:t>Th</w:t>
      </w:r>
      <w:r w:rsidR="029A78DA" w:rsidRPr="00A560ED">
        <w:rPr>
          <w:sz w:val="24"/>
          <w:szCs w:val="24"/>
        </w:rPr>
        <w:t>e</w:t>
      </w:r>
      <w:r w:rsidR="08C410D2" w:rsidRPr="00A560ED">
        <w:rPr>
          <w:sz w:val="24"/>
          <w:szCs w:val="24"/>
        </w:rPr>
        <w:t xml:space="preserve"> </w:t>
      </w:r>
      <w:r w:rsidR="7ECA1ABE" w:rsidRPr="00A560ED">
        <w:rPr>
          <w:sz w:val="24"/>
          <w:szCs w:val="24"/>
        </w:rPr>
        <w:t xml:space="preserve">preferred </w:t>
      </w:r>
      <w:r w:rsidR="00104266" w:rsidRPr="00A560ED">
        <w:rPr>
          <w:sz w:val="24"/>
          <w:szCs w:val="24"/>
        </w:rPr>
        <w:t xml:space="preserve">technique </w:t>
      </w:r>
      <w:r w:rsidR="7ECA1ABE" w:rsidRPr="00A560ED">
        <w:rPr>
          <w:sz w:val="24"/>
          <w:szCs w:val="24"/>
        </w:rPr>
        <w:t>for biliary</w:t>
      </w:r>
      <w:r w:rsidR="00104266" w:rsidRPr="00A560ED">
        <w:rPr>
          <w:sz w:val="24"/>
          <w:szCs w:val="24"/>
        </w:rPr>
        <w:t xml:space="preserve"> reconstitution </w:t>
      </w:r>
      <w:r w:rsidR="7ECA1ABE" w:rsidRPr="00A560ED">
        <w:rPr>
          <w:sz w:val="24"/>
          <w:szCs w:val="24"/>
        </w:rPr>
        <w:t xml:space="preserve">during liver </w:t>
      </w:r>
      <w:r w:rsidR="0DD6CC7F" w:rsidRPr="00A560ED">
        <w:rPr>
          <w:sz w:val="24"/>
          <w:szCs w:val="24"/>
        </w:rPr>
        <w:t>transplant</w:t>
      </w:r>
      <w:r w:rsidR="08C410D2" w:rsidRPr="00A560ED">
        <w:rPr>
          <w:sz w:val="24"/>
          <w:szCs w:val="24"/>
        </w:rPr>
        <w:t xml:space="preserve"> is a </w:t>
      </w:r>
      <w:proofErr w:type="spellStart"/>
      <w:r w:rsidR="08C410D2" w:rsidRPr="00A560ED">
        <w:rPr>
          <w:sz w:val="24"/>
          <w:szCs w:val="24"/>
          <w:lang w:val="en-US"/>
        </w:rPr>
        <w:t>choledochocholedochostomy</w:t>
      </w:r>
      <w:proofErr w:type="spellEnd"/>
      <w:r w:rsidR="08C410D2" w:rsidRPr="00A560ED">
        <w:rPr>
          <w:sz w:val="24"/>
          <w:szCs w:val="24"/>
          <w:lang w:val="en-US"/>
        </w:rPr>
        <w:t xml:space="preserve"> (duct to duct anastomosis</w:t>
      </w:r>
      <w:r w:rsidR="22099C2D" w:rsidRPr="00A560ED">
        <w:rPr>
          <w:sz w:val="24"/>
          <w:szCs w:val="24"/>
          <w:lang w:val="en-US"/>
        </w:rPr>
        <w:t>)</w:t>
      </w:r>
      <w:r w:rsidR="00104266" w:rsidRPr="00A560ED">
        <w:rPr>
          <w:sz w:val="24"/>
          <w:szCs w:val="24"/>
        </w:rPr>
        <w:t xml:space="preserve">. </w:t>
      </w:r>
      <w:r w:rsidR="60C43C95" w:rsidRPr="00A560ED">
        <w:rPr>
          <w:sz w:val="24"/>
          <w:szCs w:val="24"/>
        </w:rPr>
        <w:t>This technique i</w:t>
      </w:r>
      <w:r w:rsidR="20169FFF" w:rsidRPr="00A560ED">
        <w:rPr>
          <w:sz w:val="24"/>
          <w:szCs w:val="24"/>
        </w:rPr>
        <w:t xml:space="preserve">s associated with a </w:t>
      </w:r>
      <w:r w:rsidR="00104266" w:rsidRPr="00A560ED">
        <w:rPr>
          <w:sz w:val="24"/>
          <w:szCs w:val="24"/>
        </w:rPr>
        <w:t xml:space="preserve">lower </w:t>
      </w:r>
      <w:r w:rsidR="2FA76CAD" w:rsidRPr="00A560ED">
        <w:rPr>
          <w:sz w:val="24"/>
          <w:szCs w:val="24"/>
        </w:rPr>
        <w:t xml:space="preserve">rate of </w:t>
      </w:r>
      <w:r w:rsidR="00104266" w:rsidRPr="00A560ED">
        <w:rPr>
          <w:sz w:val="24"/>
          <w:szCs w:val="24"/>
        </w:rPr>
        <w:t>biliary complication</w:t>
      </w:r>
      <w:r w:rsidR="20169FFF" w:rsidRPr="00A560ED">
        <w:rPr>
          <w:sz w:val="24"/>
          <w:szCs w:val="24"/>
        </w:rPr>
        <w:t>s</w:t>
      </w:r>
      <w:r w:rsidR="00104266" w:rsidRPr="00A560ED">
        <w:rPr>
          <w:sz w:val="24"/>
          <w:szCs w:val="24"/>
        </w:rPr>
        <w:t xml:space="preserve"> compared to </w:t>
      </w:r>
      <w:proofErr w:type="spellStart"/>
      <w:r w:rsidR="00104266" w:rsidRPr="00A560ED">
        <w:rPr>
          <w:sz w:val="24"/>
          <w:szCs w:val="24"/>
        </w:rPr>
        <w:t>hepaticojejunostomy</w:t>
      </w:r>
      <w:proofErr w:type="spellEnd"/>
      <w:r w:rsidR="00104266" w:rsidRPr="00A560ED">
        <w:rPr>
          <w:sz w:val="24"/>
          <w:szCs w:val="24"/>
        </w:rPr>
        <w:t xml:space="preserve">, </w:t>
      </w:r>
      <w:r w:rsidR="2FA76CAD" w:rsidRPr="00A560ED">
        <w:rPr>
          <w:sz w:val="24"/>
          <w:szCs w:val="24"/>
        </w:rPr>
        <w:t>it</w:t>
      </w:r>
      <w:r w:rsidR="00104266" w:rsidRPr="00A560ED">
        <w:rPr>
          <w:sz w:val="24"/>
          <w:szCs w:val="24"/>
        </w:rPr>
        <w:t xml:space="preserve"> also</w:t>
      </w:r>
      <w:r w:rsidR="2FA76CAD" w:rsidRPr="00A560ED">
        <w:rPr>
          <w:sz w:val="24"/>
          <w:szCs w:val="24"/>
        </w:rPr>
        <w:t xml:space="preserve"> has the added adv</w:t>
      </w:r>
      <w:r w:rsidR="09EB8F25" w:rsidRPr="00A560ED">
        <w:rPr>
          <w:sz w:val="24"/>
          <w:szCs w:val="24"/>
        </w:rPr>
        <w:t>antage of</w:t>
      </w:r>
      <w:r w:rsidR="00104266" w:rsidRPr="00A560ED">
        <w:rPr>
          <w:sz w:val="24"/>
          <w:szCs w:val="24"/>
        </w:rPr>
        <w:t xml:space="preserve"> easy access</w:t>
      </w:r>
      <w:r w:rsidR="00104266">
        <w:rPr>
          <w:sz w:val="24"/>
          <w:szCs w:val="24"/>
          <w:lang w:val="en-US"/>
        </w:rPr>
        <w:t xml:space="preserve"> </w:t>
      </w:r>
      <w:r w:rsidR="00CD1C4C" w:rsidRPr="00A75A63">
        <w:rPr>
          <w:sz w:val="24"/>
          <w:szCs w:val="24"/>
          <w:lang w:val="en-US"/>
        </w:rPr>
        <w:t>to the biliary system</w:t>
      </w:r>
      <w:r w:rsidR="00104266" w:rsidRPr="00104266">
        <w:rPr>
          <w:sz w:val="24"/>
          <w:szCs w:val="24"/>
          <w:lang w:val="en-US"/>
        </w:rPr>
        <w:t xml:space="preserve"> </w:t>
      </w:r>
      <w:r w:rsidR="00104266">
        <w:rPr>
          <w:sz w:val="24"/>
          <w:szCs w:val="24"/>
          <w:lang w:val="en-US"/>
        </w:rPr>
        <w:t>via</w:t>
      </w:r>
      <w:r w:rsidR="00104266" w:rsidRPr="00A75A63">
        <w:rPr>
          <w:sz w:val="24"/>
          <w:szCs w:val="24"/>
          <w:lang w:val="en-US"/>
        </w:rPr>
        <w:t xml:space="preserve"> endoscopic retrograde cholangiography</w:t>
      </w:r>
      <w:r w:rsidR="00104266">
        <w:rPr>
          <w:sz w:val="24"/>
          <w:szCs w:val="24"/>
          <w:lang w:val="en-US"/>
        </w:rPr>
        <w:t xml:space="preserve"> (ERCP)</w:t>
      </w:r>
      <w:r w:rsidR="00CD1C4C" w:rsidRPr="00A75A63">
        <w:rPr>
          <w:sz w:val="24"/>
          <w:szCs w:val="24"/>
          <w:lang w:val="en-US"/>
        </w:rPr>
        <w:t xml:space="preserve"> </w:t>
      </w:r>
      <w:r w:rsidR="00104266">
        <w:rPr>
          <w:sz w:val="24"/>
          <w:szCs w:val="24"/>
          <w:lang w:val="en-US"/>
        </w:rPr>
        <w:t xml:space="preserve">to </w:t>
      </w:r>
      <w:r w:rsidR="00CD1C4C" w:rsidRPr="00A75A63">
        <w:rPr>
          <w:sz w:val="24"/>
          <w:szCs w:val="24"/>
          <w:lang w:val="en-US"/>
        </w:rPr>
        <w:t>manage complications</w:t>
      </w:r>
      <w:r w:rsidR="00104266">
        <w:rPr>
          <w:sz w:val="24"/>
          <w:szCs w:val="24"/>
          <w:lang w:val="en-US"/>
        </w:rPr>
        <w:t xml:space="preserve"> when they do occur.</w:t>
      </w:r>
      <w:r w:rsidR="00CD1C4C" w:rsidRPr="00A75A63">
        <w:rPr>
          <w:sz w:val="24"/>
          <w:szCs w:val="24"/>
          <w:lang w:val="en-US"/>
        </w:rPr>
        <w:t xml:space="preserve"> </w:t>
      </w:r>
    </w:p>
    <w:p w14:paraId="4128FB73" w14:textId="3ABD2798" w:rsidR="00601DC8" w:rsidRDefault="009F20BD">
      <w:pPr>
        <w:rPr>
          <w:sz w:val="24"/>
          <w:szCs w:val="24"/>
          <w:lang w:val="en-US"/>
        </w:rPr>
      </w:pPr>
      <w:r w:rsidRPr="00A75A63">
        <w:rPr>
          <w:sz w:val="24"/>
          <w:szCs w:val="24"/>
          <w:lang w:val="en-US"/>
        </w:rPr>
        <w:t xml:space="preserve">The </w:t>
      </w:r>
      <w:r w:rsidR="008E69A7" w:rsidRPr="00A75A63">
        <w:rPr>
          <w:sz w:val="24"/>
          <w:szCs w:val="24"/>
          <w:lang w:val="en-US"/>
        </w:rPr>
        <w:t xml:space="preserve">estimated </w:t>
      </w:r>
      <w:r w:rsidRPr="00A75A63">
        <w:rPr>
          <w:sz w:val="24"/>
          <w:szCs w:val="24"/>
          <w:lang w:val="en-US"/>
        </w:rPr>
        <w:t>incidence of biliary complications following liver transplantation</w:t>
      </w:r>
      <w:r w:rsidR="008E69A7" w:rsidRPr="00A75A63">
        <w:rPr>
          <w:sz w:val="24"/>
          <w:szCs w:val="24"/>
          <w:lang w:val="en-US"/>
        </w:rPr>
        <w:t xml:space="preserve"> ranges between 10 and 25%. </w:t>
      </w:r>
      <w:r w:rsidRPr="00A75A63">
        <w:rPr>
          <w:sz w:val="24"/>
          <w:szCs w:val="24"/>
          <w:lang w:val="en-US"/>
        </w:rPr>
        <w:t xml:space="preserve">These complications can cause significant morbidity, </w:t>
      </w:r>
      <w:proofErr w:type="spellStart"/>
      <w:r w:rsidRPr="00A75A63">
        <w:rPr>
          <w:sz w:val="24"/>
          <w:szCs w:val="24"/>
          <w:lang w:val="en-US"/>
        </w:rPr>
        <w:t>retransplan</w:t>
      </w:r>
      <w:r w:rsidR="00D423A6" w:rsidRPr="00A75A63">
        <w:rPr>
          <w:sz w:val="24"/>
          <w:szCs w:val="24"/>
          <w:lang w:val="en-US"/>
        </w:rPr>
        <w:t>t</w:t>
      </w:r>
      <w:r w:rsidRPr="00A75A63">
        <w:rPr>
          <w:sz w:val="24"/>
          <w:szCs w:val="24"/>
          <w:lang w:val="en-US"/>
        </w:rPr>
        <w:t>ation</w:t>
      </w:r>
      <w:proofErr w:type="spellEnd"/>
      <w:r w:rsidRPr="00A75A63">
        <w:rPr>
          <w:sz w:val="24"/>
          <w:szCs w:val="24"/>
          <w:lang w:val="en-US"/>
        </w:rPr>
        <w:t xml:space="preserve"> </w:t>
      </w:r>
      <w:r w:rsidRPr="00A75A63">
        <w:rPr>
          <w:sz w:val="24"/>
          <w:szCs w:val="24"/>
          <w:lang w:val="en-US"/>
        </w:rPr>
        <w:lastRenderedPageBreak/>
        <w:t>and mortality</w:t>
      </w:r>
      <w:r w:rsidR="58DAB650" w:rsidRPr="00A75A63">
        <w:rPr>
          <w:sz w:val="24"/>
          <w:szCs w:val="24"/>
          <w:lang w:val="en-US"/>
        </w:rPr>
        <w:t>. T</w:t>
      </w:r>
      <w:r w:rsidR="2E5D5A18" w:rsidRPr="00A75A63">
        <w:rPr>
          <w:sz w:val="24"/>
          <w:szCs w:val="24"/>
          <w:lang w:val="en-US"/>
        </w:rPr>
        <w:t>he biliary</w:t>
      </w:r>
      <w:r w:rsidR="4BE133C9" w:rsidRPr="00A75A63">
        <w:rPr>
          <w:sz w:val="24"/>
          <w:szCs w:val="24"/>
          <w:lang w:val="en-US"/>
        </w:rPr>
        <w:t xml:space="preserve"> </w:t>
      </w:r>
      <w:r w:rsidR="190A5344" w:rsidRPr="00A75A63">
        <w:rPr>
          <w:sz w:val="24"/>
          <w:szCs w:val="24"/>
          <w:lang w:val="en-US"/>
        </w:rPr>
        <w:t xml:space="preserve">complication rate </w:t>
      </w:r>
      <w:r w:rsidR="2E5D5A18" w:rsidRPr="00A75A63">
        <w:rPr>
          <w:sz w:val="24"/>
          <w:szCs w:val="24"/>
          <w:lang w:val="en-US"/>
        </w:rPr>
        <w:t>is higher in</w:t>
      </w:r>
      <w:r w:rsidR="57674050" w:rsidRPr="00A75A63">
        <w:rPr>
          <w:sz w:val="24"/>
          <w:szCs w:val="24"/>
          <w:lang w:val="en-US"/>
        </w:rPr>
        <w:t xml:space="preserve"> split liver grafts or grafts that have been d</w:t>
      </w:r>
      <w:r w:rsidR="27F321EB" w:rsidRPr="00A75A63">
        <w:rPr>
          <w:sz w:val="24"/>
          <w:szCs w:val="24"/>
          <w:lang w:val="en-US"/>
        </w:rPr>
        <w:t>onated after c</w:t>
      </w:r>
      <w:r w:rsidR="2C7138D0" w:rsidRPr="00A75A63">
        <w:rPr>
          <w:sz w:val="24"/>
          <w:szCs w:val="24"/>
          <w:lang w:val="en-US"/>
        </w:rPr>
        <w:t>ardiac death</w:t>
      </w:r>
      <w:r w:rsidR="27F321EB" w:rsidRPr="00A75A63">
        <w:rPr>
          <w:sz w:val="24"/>
          <w:szCs w:val="24"/>
          <w:lang w:val="en-US"/>
        </w:rPr>
        <w:t xml:space="preserve"> (DCD)</w:t>
      </w:r>
      <w:r w:rsidR="7B941B98" w:rsidRPr="00A75A63">
        <w:rPr>
          <w:sz w:val="24"/>
          <w:szCs w:val="24"/>
          <w:lang w:val="en-US"/>
        </w:rPr>
        <w:t>.</w:t>
      </w:r>
      <w:r w:rsidR="4373E275" w:rsidRPr="00A75A63">
        <w:rPr>
          <w:sz w:val="24"/>
          <w:szCs w:val="24"/>
          <w:lang w:val="en-US"/>
        </w:rPr>
        <w:t xml:space="preserve"> </w:t>
      </w:r>
      <w:r w:rsidR="00812B4A" w:rsidRPr="00A75A63">
        <w:rPr>
          <w:sz w:val="24"/>
          <w:szCs w:val="24"/>
          <w:lang w:val="en-US"/>
        </w:rPr>
        <w:t>Pre</w:t>
      </w:r>
      <w:r w:rsidR="27F321EB" w:rsidRPr="00A75A63">
        <w:rPr>
          <w:sz w:val="24"/>
          <w:szCs w:val="24"/>
          <w:lang w:val="en-US"/>
        </w:rPr>
        <w:t>s</w:t>
      </w:r>
      <w:r w:rsidR="00812B4A" w:rsidRPr="00A75A63">
        <w:rPr>
          <w:sz w:val="24"/>
          <w:szCs w:val="24"/>
          <w:lang w:val="en-US"/>
        </w:rPr>
        <w:t>ently,</w:t>
      </w:r>
      <w:r w:rsidR="00F009EA" w:rsidRPr="00A75A63">
        <w:rPr>
          <w:sz w:val="24"/>
          <w:szCs w:val="24"/>
          <w:lang w:val="en-US"/>
        </w:rPr>
        <w:t xml:space="preserve"> there is conflicting research as to whether bile duct stenting is advantageous, de</w:t>
      </w:r>
      <w:r w:rsidR="00812B4A" w:rsidRPr="00A75A63">
        <w:rPr>
          <w:sz w:val="24"/>
          <w:szCs w:val="24"/>
          <w:lang w:val="en-US"/>
        </w:rPr>
        <w:t xml:space="preserve">trimental or no different to the absence of a stent. </w:t>
      </w:r>
      <w:r w:rsidR="00895900" w:rsidRPr="00A75A63">
        <w:rPr>
          <w:sz w:val="24"/>
          <w:szCs w:val="24"/>
          <w:lang w:val="en-US"/>
        </w:rPr>
        <w:t xml:space="preserve">Retrospective observational data from </w:t>
      </w:r>
      <w:r w:rsidR="00A75A63" w:rsidRPr="00A75A63">
        <w:rPr>
          <w:sz w:val="24"/>
          <w:szCs w:val="24"/>
          <w:lang w:val="en-US"/>
        </w:rPr>
        <w:t>the Princess Alexandra Hospital</w:t>
      </w:r>
      <w:r w:rsidR="00A3765E">
        <w:rPr>
          <w:sz w:val="24"/>
          <w:szCs w:val="24"/>
          <w:lang w:val="en-US"/>
        </w:rPr>
        <w:t xml:space="preserve"> (PAH)</w:t>
      </w:r>
      <w:r w:rsidR="00895900" w:rsidRPr="00A75A63">
        <w:rPr>
          <w:sz w:val="24"/>
          <w:szCs w:val="24"/>
          <w:lang w:val="en-US"/>
        </w:rPr>
        <w:t xml:space="preserve"> published </w:t>
      </w:r>
      <w:r w:rsidR="00212B2F">
        <w:rPr>
          <w:sz w:val="24"/>
          <w:szCs w:val="24"/>
          <w:lang w:val="en-US"/>
        </w:rPr>
        <w:t xml:space="preserve">by </w:t>
      </w:r>
      <w:r w:rsidR="00E707AA">
        <w:rPr>
          <w:sz w:val="24"/>
          <w:szCs w:val="24"/>
          <w:lang w:val="en-US"/>
        </w:rPr>
        <w:t xml:space="preserve">Ong and colleagues </w:t>
      </w:r>
      <w:r w:rsidR="00895900" w:rsidRPr="00A75A63">
        <w:rPr>
          <w:sz w:val="24"/>
          <w:szCs w:val="24"/>
          <w:lang w:val="en-US"/>
        </w:rPr>
        <w:t>did not identify</w:t>
      </w:r>
      <w:r w:rsidR="00493F34" w:rsidRPr="00A75A63">
        <w:rPr>
          <w:sz w:val="24"/>
          <w:szCs w:val="24"/>
          <w:lang w:val="en-US"/>
        </w:rPr>
        <w:t xml:space="preserve"> a differen</w:t>
      </w:r>
      <w:r w:rsidR="00372E36" w:rsidRPr="00A75A63">
        <w:rPr>
          <w:sz w:val="24"/>
          <w:szCs w:val="24"/>
          <w:lang w:val="en-US"/>
        </w:rPr>
        <w:t>ce in biliary complications but</w:t>
      </w:r>
      <w:r w:rsidR="00E04A33">
        <w:rPr>
          <w:sz w:val="24"/>
          <w:szCs w:val="24"/>
          <w:lang w:val="en-US"/>
        </w:rPr>
        <w:t xml:space="preserve"> did show that</w:t>
      </w:r>
      <w:r w:rsidR="00372E36" w:rsidRPr="00A75A63">
        <w:rPr>
          <w:sz w:val="24"/>
          <w:szCs w:val="24"/>
          <w:lang w:val="en-US"/>
        </w:rPr>
        <w:t xml:space="preserve"> stented patients were more likely to require further intervention</w:t>
      </w:r>
      <w:sdt>
        <w:sdtPr>
          <w:rPr>
            <w:sz w:val="24"/>
            <w:szCs w:val="24"/>
            <w:lang w:val="en-US"/>
          </w:rPr>
          <w:id w:val="-1896424872"/>
          <w:citation/>
        </w:sdtPr>
        <w:sdtEndPr/>
        <w:sdtContent>
          <w:r w:rsidR="00372E36" w:rsidRPr="00A75A63">
            <w:rPr>
              <w:sz w:val="24"/>
              <w:szCs w:val="24"/>
              <w:lang w:val="en-US"/>
            </w:rPr>
            <w:fldChar w:fldCharType="begin"/>
          </w:r>
          <w:r w:rsidR="00372E36" w:rsidRPr="00A75A63">
            <w:rPr>
              <w:sz w:val="24"/>
              <w:szCs w:val="24"/>
              <w:lang w:val="en-US"/>
            </w:rPr>
            <w:instrText xml:space="preserve"> CITATION Ong18 \l 1033 </w:instrText>
          </w:r>
          <w:r w:rsidR="00372E36" w:rsidRPr="00A75A63">
            <w:rPr>
              <w:sz w:val="24"/>
              <w:szCs w:val="24"/>
              <w:lang w:val="en-US"/>
            </w:rPr>
            <w:fldChar w:fldCharType="separate"/>
          </w:r>
          <w:r w:rsidR="00372E36" w:rsidRPr="00A75A63">
            <w:rPr>
              <w:noProof/>
              <w:sz w:val="24"/>
              <w:szCs w:val="24"/>
              <w:lang w:val="en-US"/>
            </w:rPr>
            <w:t xml:space="preserve"> (Ong M, 2018)</w:t>
          </w:r>
          <w:r w:rsidR="00372E36" w:rsidRPr="00A75A63">
            <w:rPr>
              <w:sz w:val="24"/>
              <w:szCs w:val="24"/>
              <w:lang w:val="en-US"/>
            </w:rPr>
            <w:fldChar w:fldCharType="end"/>
          </w:r>
        </w:sdtContent>
      </w:sdt>
      <w:r w:rsidR="00372E36" w:rsidRPr="00A75A63">
        <w:rPr>
          <w:sz w:val="24"/>
          <w:szCs w:val="24"/>
          <w:lang w:val="en-US"/>
        </w:rPr>
        <w:t xml:space="preserve">. </w:t>
      </w:r>
      <w:r w:rsidR="00CB58BF">
        <w:rPr>
          <w:sz w:val="24"/>
          <w:szCs w:val="24"/>
          <w:lang w:val="en-US"/>
        </w:rPr>
        <w:t>D</w:t>
      </w:r>
      <w:r w:rsidR="00895900" w:rsidRPr="00A75A63">
        <w:rPr>
          <w:sz w:val="24"/>
          <w:szCs w:val="24"/>
          <w:lang w:val="en-US"/>
        </w:rPr>
        <w:t xml:space="preserve">ue to </w:t>
      </w:r>
      <w:r w:rsidR="00A75A63" w:rsidRPr="00A75A63">
        <w:rPr>
          <w:sz w:val="24"/>
          <w:szCs w:val="24"/>
          <w:lang w:val="en-US"/>
        </w:rPr>
        <w:t xml:space="preserve">the </w:t>
      </w:r>
      <w:r w:rsidR="00895900" w:rsidRPr="00A75A63">
        <w:rPr>
          <w:sz w:val="24"/>
          <w:szCs w:val="24"/>
          <w:lang w:val="en-US"/>
        </w:rPr>
        <w:t xml:space="preserve">limitations </w:t>
      </w:r>
      <w:r w:rsidR="00A75A63" w:rsidRPr="00A75A63">
        <w:rPr>
          <w:sz w:val="24"/>
          <w:szCs w:val="24"/>
          <w:lang w:val="en-US"/>
        </w:rPr>
        <w:t xml:space="preserve">in </w:t>
      </w:r>
      <w:r w:rsidR="00372E36" w:rsidRPr="00A75A63">
        <w:rPr>
          <w:sz w:val="24"/>
          <w:szCs w:val="24"/>
          <w:lang w:val="en-US"/>
        </w:rPr>
        <w:t>observational data</w:t>
      </w:r>
      <w:r w:rsidR="00761002" w:rsidRPr="00A75A63">
        <w:rPr>
          <w:sz w:val="24"/>
          <w:szCs w:val="24"/>
          <w:lang w:val="en-US"/>
        </w:rPr>
        <w:t>,</w:t>
      </w:r>
      <w:r w:rsidR="00895900" w:rsidRPr="00A75A63">
        <w:rPr>
          <w:sz w:val="24"/>
          <w:szCs w:val="24"/>
          <w:lang w:val="en-US"/>
        </w:rPr>
        <w:t xml:space="preserve"> a randomized controlled trial </w:t>
      </w:r>
      <w:r w:rsidR="00212B2F">
        <w:rPr>
          <w:sz w:val="24"/>
          <w:szCs w:val="24"/>
          <w:lang w:val="en-US"/>
        </w:rPr>
        <w:t xml:space="preserve">was </w:t>
      </w:r>
      <w:r w:rsidR="00E04A33">
        <w:rPr>
          <w:sz w:val="24"/>
          <w:szCs w:val="24"/>
          <w:lang w:val="en-US"/>
        </w:rPr>
        <w:t>proposed</w:t>
      </w:r>
      <w:r w:rsidR="00895900" w:rsidRPr="00A75A63">
        <w:rPr>
          <w:sz w:val="24"/>
          <w:szCs w:val="24"/>
          <w:lang w:val="en-US"/>
        </w:rPr>
        <w:t xml:space="preserve"> to validate these findings.</w:t>
      </w:r>
    </w:p>
    <w:p w14:paraId="2B655DE8" w14:textId="0DF198C5" w:rsidR="00AA0437" w:rsidRPr="00A75A63" w:rsidRDefault="00AA0437">
      <w:pPr>
        <w:rPr>
          <w:sz w:val="24"/>
          <w:szCs w:val="24"/>
          <w:lang w:val="en-US"/>
        </w:rPr>
      </w:pPr>
      <w:r w:rsidRPr="00A75A63">
        <w:rPr>
          <w:sz w:val="24"/>
          <w:szCs w:val="24"/>
          <w:lang w:val="en-US"/>
        </w:rPr>
        <w:t>The perceived advantages</w:t>
      </w:r>
      <w:r w:rsidR="00DD3F90">
        <w:rPr>
          <w:sz w:val="24"/>
          <w:szCs w:val="24"/>
          <w:lang w:val="en-US"/>
        </w:rPr>
        <w:t xml:space="preserve"> of a biliary stent</w:t>
      </w:r>
      <w:r w:rsidRPr="00A75A63">
        <w:rPr>
          <w:sz w:val="24"/>
          <w:szCs w:val="24"/>
          <w:lang w:val="en-US"/>
        </w:rPr>
        <w:t xml:space="preserve"> include reduction in biliary complications especially when the bile duct diameter is small. Disadvantages include stent blockage and th</w:t>
      </w:r>
      <w:r w:rsidR="00E04A33">
        <w:rPr>
          <w:sz w:val="24"/>
          <w:szCs w:val="24"/>
          <w:lang w:val="en-US"/>
        </w:rPr>
        <w:t>e requirement for post-operative</w:t>
      </w:r>
      <w:r w:rsidRPr="00A75A63">
        <w:rPr>
          <w:sz w:val="24"/>
          <w:szCs w:val="24"/>
          <w:lang w:val="en-US"/>
        </w:rPr>
        <w:t xml:space="preserve"> endoscopic intervention </w:t>
      </w:r>
      <w:r w:rsidR="00E04A33">
        <w:rPr>
          <w:sz w:val="24"/>
          <w:szCs w:val="24"/>
          <w:lang w:val="en-US"/>
        </w:rPr>
        <w:t>in the event</w:t>
      </w:r>
      <w:r w:rsidRPr="00A75A63">
        <w:rPr>
          <w:sz w:val="24"/>
          <w:szCs w:val="24"/>
          <w:lang w:val="en-US"/>
        </w:rPr>
        <w:t xml:space="preserve"> </w:t>
      </w:r>
      <w:r w:rsidR="00E04A33">
        <w:rPr>
          <w:sz w:val="24"/>
          <w:szCs w:val="24"/>
          <w:lang w:val="en-US"/>
        </w:rPr>
        <w:t>of a retained</w:t>
      </w:r>
      <w:r w:rsidRPr="00A75A63">
        <w:rPr>
          <w:sz w:val="24"/>
          <w:szCs w:val="24"/>
          <w:lang w:val="en-US"/>
        </w:rPr>
        <w:t xml:space="preserve"> stent.</w:t>
      </w:r>
    </w:p>
    <w:p w14:paraId="2BDE3309" w14:textId="087E6F3F" w:rsidR="009E2D5F" w:rsidRPr="00A560ED" w:rsidRDefault="00212B2F">
      <w:pPr>
        <w:pStyle w:val="Heading5"/>
        <w:jc w:val="left"/>
        <w:rPr>
          <w:i/>
          <w:iCs/>
          <w:sz w:val="24"/>
          <w:szCs w:val="24"/>
          <w:lang w:val="en-US"/>
        </w:rPr>
      </w:pPr>
      <w:r w:rsidRPr="00A560ED">
        <w:rPr>
          <w:i/>
          <w:iCs/>
          <w:sz w:val="24"/>
          <w:szCs w:val="24"/>
          <w:lang w:val="en-US"/>
        </w:rPr>
        <w:t>OBJECTIVES</w:t>
      </w:r>
    </w:p>
    <w:p w14:paraId="07F70DEF" w14:textId="56DD5964" w:rsidR="009E2D5F" w:rsidRPr="000D5A3C" w:rsidRDefault="009E2D5F">
      <w:pPr>
        <w:rPr>
          <w:sz w:val="24"/>
          <w:szCs w:val="24"/>
          <w:lang w:val="en-US"/>
        </w:rPr>
      </w:pPr>
      <w:r w:rsidRPr="007C2149">
        <w:rPr>
          <w:sz w:val="24"/>
          <w:szCs w:val="24"/>
          <w:lang w:val="en-US"/>
        </w:rPr>
        <w:t>The purpose of th</w:t>
      </w:r>
      <w:r w:rsidR="00B27527">
        <w:rPr>
          <w:sz w:val="24"/>
          <w:szCs w:val="24"/>
          <w:lang w:val="en-US"/>
        </w:rPr>
        <w:t xml:space="preserve">is study is to </w:t>
      </w:r>
      <w:r w:rsidR="00E61A7C">
        <w:rPr>
          <w:sz w:val="24"/>
          <w:szCs w:val="24"/>
          <w:lang w:val="en-US"/>
        </w:rPr>
        <w:t>quantitatively compare early outcomes</w:t>
      </w:r>
      <w:r w:rsidR="000D7074" w:rsidRPr="007C2149">
        <w:rPr>
          <w:sz w:val="24"/>
          <w:szCs w:val="24"/>
          <w:lang w:val="en-US"/>
        </w:rPr>
        <w:t xml:space="preserve"> </w:t>
      </w:r>
      <w:r w:rsidR="00E61A7C">
        <w:rPr>
          <w:sz w:val="24"/>
          <w:szCs w:val="24"/>
          <w:lang w:val="en-US"/>
        </w:rPr>
        <w:t>following</w:t>
      </w:r>
      <w:r w:rsidR="00AB70D4">
        <w:rPr>
          <w:sz w:val="24"/>
          <w:szCs w:val="24"/>
          <w:lang w:val="en-US"/>
        </w:rPr>
        <w:t xml:space="preserve"> duct to duct anastomosis during</w:t>
      </w:r>
      <w:r w:rsidR="00E61A7C">
        <w:rPr>
          <w:sz w:val="24"/>
          <w:szCs w:val="24"/>
          <w:lang w:val="en-US"/>
        </w:rPr>
        <w:t xml:space="preserve"> whole liver transplantation with or without a biliary stent. </w:t>
      </w:r>
      <w:proofErr w:type="spellStart"/>
      <w:r w:rsidR="00E61A7C">
        <w:rPr>
          <w:sz w:val="24"/>
          <w:szCs w:val="24"/>
          <w:lang w:val="en-US"/>
        </w:rPr>
        <w:t>Randomised</w:t>
      </w:r>
      <w:proofErr w:type="spellEnd"/>
      <w:r w:rsidR="00E61A7C">
        <w:rPr>
          <w:sz w:val="24"/>
          <w:szCs w:val="24"/>
          <w:lang w:val="en-US"/>
        </w:rPr>
        <w:t xml:space="preserve"> comparative data showing non-inferiority in the stent-free group </w:t>
      </w:r>
      <w:r w:rsidR="00AB70D4">
        <w:rPr>
          <w:sz w:val="24"/>
          <w:szCs w:val="24"/>
          <w:lang w:val="en-US"/>
        </w:rPr>
        <w:t>could</w:t>
      </w:r>
      <w:r w:rsidR="00E61A7C">
        <w:rPr>
          <w:sz w:val="24"/>
          <w:szCs w:val="24"/>
          <w:lang w:val="en-US"/>
        </w:rPr>
        <w:t xml:space="preserve"> result in fewer post-operative biliary/endoscopic interventions</w:t>
      </w:r>
      <w:r w:rsidR="00AB70D4">
        <w:rPr>
          <w:sz w:val="24"/>
          <w:szCs w:val="24"/>
          <w:lang w:val="en-US"/>
        </w:rPr>
        <w:t>, and change our current, non-</w:t>
      </w:r>
      <w:proofErr w:type="spellStart"/>
      <w:r w:rsidR="00AB70D4">
        <w:rPr>
          <w:sz w:val="24"/>
          <w:szCs w:val="24"/>
          <w:lang w:val="en-US"/>
        </w:rPr>
        <w:t>standardised</w:t>
      </w:r>
      <w:proofErr w:type="spellEnd"/>
      <w:r w:rsidR="00AB70D4">
        <w:rPr>
          <w:sz w:val="24"/>
          <w:szCs w:val="24"/>
          <w:lang w:val="en-US"/>
        </w:rPr>
        <w:t xml:space="preserve"> practice.</w:t>
      </w:r>
      <w:r w:rsidR="00E61A7C">
        <w:rPr>
          <w:sz w:val="24"/>
          <w:szCs w:val="24"/>
          <w:lang w:val="en-US"/>
        </w:rPr>
        <w:t xml:space="preserve"> </w:t>
      </w:r>
    </w:p>
    <w:p w14:paraId="15A2A22A" w14:textId="1F78F3FF" w:rsidR="00601DC8" w:rsidRPr="00A560ED" w:rsidRDefault="00AB70D4">
      <w:pPr>
        <w:pStyle w:val="Heading5"/>
        <w:jc w:val="left"/>
        <w:rPr>
          <w:i/>
          <w:iCs/>
          <w:sz w:val="24"/>
          <w:szCs w:val="24"/>
          <w:lang w:val="en-US"/>
        </w:rPr>
      </w:pPr>
      <w:r w:rsidRPr="00A560ED">
        <w:rPr>
          <w:i/>
          <w:iCs/>
          <w:sz w:val="24"/>
          <w:szCs w:val="24"/>
          <w:lang w:val="en-US"/>
        </w:rPr>
        <w:t>HYPOTHESIS</w:t>
      </w:r>
    </w:p>
    <w:p w14:paraId="1B9E75D9" w14:textId="2A4B3CD4" w:rsidR="00C57A8F" w:rsidRPr="00A560ED" w:rsidRDefault="00AB70D4" w:rsidP="00A560ED">
      <w:pPr>
        <w:rPr>
          <w:lang w:val="en-US"/>
        </w:rPr>
      </w:pPr>
      <w:r>
        <w:rPr>
          <w:sz w:val="24"/>
          <w:szCs w:val="24"/>
          <w:lang w:val="en-US"/>
        </w:rPr>
        <w:t>Biliary stent placement during duct to duct anastomosis in whole liver transplantation confers no benefit with respect to biliary anastomotic complications when compare</w:t>
      </w:r>
      <w:r w:rsidR="007E672C">
        <w:rPr>
          <w:sz w:val="24"/>
          <w:szCs w:val="24"/>
          <w:lang w:val="en-US"/>
        </w:rPr>
        <w:t xml:space="preserve">d to </w:t>
      </w:r>
      <w:r w:rsidR="48B43DE6">
        <w:rPr>
          <w:sz w:val="24"/>
          <w:szCs w:val="24"/>
          <w:lang w:val="en-US"/>
        </w:rPr>
        <w:t xml:space="preserve">a </w:t>
      </w:r>
      <w:r w:rsidR="007E672C">
        <w:rPr>
          <w:sz w:val="24"/>
          <w:szCs w:val="24"/>
          <w:lang w:val="en-US"/>
        </w:rPr>
        <w:t>stent-</w:t>
      </w:r>
      <w:r>
        <w:rPr>
          <w:sz w:val="24"/>
          <w:szCs w:val="24"/>
          <w:lang w:val="en-US"/>
        </w:rPr>
        <w:t>free anastomosis</w:t>
      </w:r>
      <w:r w:rsidR="48B43DE6">
        <w:rPr>
          <w:sz w:val="24"/>
          <w:szCs w:val="24"/>
          <w:lang w:val="en-US"/>
        </w:rPr>
        <w:t xml:space="preserve"> </w:t>
      </w:r>
      <w:r>
        <w:rPr>
          <w:sz w:val="24"/>
          <w:szCs w:val="24"/>
          <w:lang w:val="en-US"/>
        </w:rPr>
        <w:t xml:space="preserve">but </w:t>
      </w:r>
      <w:r w:rsidR="0098150D">
        <w:rPr>
          <w:sz w:val="24"/>
          <w:szCs w:val="24"/>
          <w:lang w:val="en-US"/>
        </w:rPr>
        <w:t xml:space="preserve">does </w:t>
      </w:r>
      <w:r>
        <w:rPr>
          <w:sz w:val="24"/>
          <w:szCs w:val="24"/>
          <w:lang w:val="en-US"/>
        </w:rPr>
        <w:t xml:space="preserve">result in a greater number of post-operative interventions </w:t>
      </w:r>
      <w:r w:rsidR="00C656D5">
        <w:rPr>
          <w:sz w:val="24"/>
          <w:szCs w:val="24"/>
          <w:lang w:val="en-US"/>
        </w:rPr>
        <w:t>to remove</w:t>
      </w:r>
      <w:r>
        <w:rPr>
          <w:sz w:val="24"/>
          <w:szCs w:val="24"/>
          <w:lang w:val="en-US"/>
        </w:rPr>
        <w:t xml:space="preserve"> retained stents.</w:t>
      </w:r>
    </w:p>
    <w:p w14:paraId="16B72950" w14:textId="3E19A92C" w:rsidR="009E2D5F" w:rsidRPr="00710F20" w:rsidRDefault="00C656D5" w:rsidP="00F97BB7">
      <w:pPr>
        <w:pStyle w:val="Heading5"/>
        <w:jc w:val="left"/>
        <w:rPr>
          <w:sz w:val="28"/>
          <w:szCs w:val="28"/>
          <w:lang w:val="en-US"/>
        </w:rPr>
      </w:pPr>
      <w:r>
        <w:rPr>
          <w:sz w:val="28"/>
          <w:szCs w:val="28"/>
          <w:lang w:val="en-US"/>
        </w:rPr>
        <w:t>MEthods</w:t>
      </w:r>
    </w:p>
    <w:p w14:paraId="5842502C" w14:textId="03094CF9" w:rsidR="00C656D5" w:rsidRPr="00A560ED" w:rsidRDefault="00886418">
      <w:pPr>
        <w:rPr>
          <w:i/>
          <w:iCs/>
          <w:color w:val="823B0B" w:themeColor="accent2" w:themeShade="7F"/>
          <w:sz w:val="24"/>
          <w:szCs w:val="24"/>
          <w:lang w:val="en-US"/>
        </w:rPr>
      </w:pPr>
      <w:r w:rsidRPr="00A560ED">
        <w:rPr>
          <w:i/>
          <w:iCs/>
          <w:color w:val="823B0B" w:themeColor="accent2" w:themeShade="7F"/>
          <w:sz w:val="24"/>
          <w:szCs w:val="24"/>
          <w:lang w:val="en-US"/>
        </w:rPr>
        <w:t>TRIAL DESIGN</w:t>
      </w:r>
    </w:p>
    <w:p w14:paraId="29E7575E" w14:textId="1D08FD82" w:rsidR="006A4387" w:rsidRPr="00F51646" w:rsidRDefault="00F12060" w:rsidP="00315C32">
      <w:pPr>
        <w:rPr>
          <w:lang w:val="en-US"/>
        </w:rPr>
      </w:pPr>
      <w:r>
        <w:rPr>
          <w:sz w:val="24"/>
          <w:szCs w:val="24"/>
          <w:lang w:val="en-US"/>
        </w:rPr>
        <w:t>A</w:t>
      </w:r>
      <w:r w:rsidR="00C656D5">
        <w:rPr>
          <w:sz w:val="24"/>
          <w:szCs w:val="24"/>
          <w:lang w:val="en-US"/>
        </w:rPr>
        <w:t xml:space="preserve"> </w:t>
      </w:r>
      <w:r w:rsidR="00CC552C">
        <w:rPr>
          <w:sz w:val="24"/>
          <w:szCs w:val="24"/>
          <w:lang w:val="en-US"/>
        </w:rPr>
        <w:t xml:space="preserve">single-blinded </w:t>
      </w:r>
      <w:proofErr w:type="spellStart"/>
      <w:r w:rsidR="007E672C">
        <w:rPr>
          <w:sz w:val="24"/>
          <w:szCs w:val="24"/>
          <w:lang w:val="en-US"/>
        </w:rPr>
        <w:t>randomis</w:t>
      </w:r>
      <w:r w:rsidR="00C656D5">
        <w:rPr>
          <w:sz w:val="24"/>
          <w:szCs w:val="24"/>
          <w:lang w:val="en-US"/>
        </w:rPr>
        <w:t>ed</w:t>
      </w:r>
      <w:proofErr w:type="spellEnd"/>
      <w:r w:rsidR="00C656D5">
        <w:rPr>
          <w:sz w:val="24"/>
          <w:szCs w:val="24"/>
          <w:lang w:val="en-US"/>
        </w:rPr>
        <w:t xml:space="preserve"> controlled</w:t>
      </w:r>
      <w:r>
        <w:rPr>
          <w:sz w:val="24"/>
          <w:szCs w:val="24"/>
          <w:lang w:val="en-US"/>
        </w:rPr>
        <w:t xml:space="preserve"> </w:t>
      </w:r>
      <w:r w:rsidR="00074483">
        <w:rPr>
          <w:sz w:val="24"/>
          <w:szCs w:val="24"/>
          <w:lang w:val="en-US"/>
        </w:rPr>
        <w:t xml:space="preserve">trial with parallel treatment arms </w:t>
      </w:r>
      <w:r>
        <w:rPr>
          <w:sz w:val="24"/>
          <w:szCs w:val="24"/>
          <w:lang w:val="en-US"/>
        </w:rPr>
        <w:t>will be conducted</w:t>
      </w:r>
      <w:r w:rsidR="00C656D5">
        <w:rPr>
          <w:sz w:val="24"/>
          <w:szCs w:val="24"/>
          <w:lang w:val="en-US"/>
        </w:rPr>
        <w:t>. Patients in the control arm will receive a biliary stent (</w:t>
      </w:r>
      <w:proofErr w:type="spellStart"/>
      <w:r w:rsidR="00C656D5">
        <w:rPr>
          <w:sz w:val="24"/>
          <w:szCs w:val="24"/>
          <w:lang w:val="en-US"/>
        </w:rPr>
        <w:t>stent</w:t>
      </w:r>
      <w:proofErr w:type="spellEnd"/>
      <w:r w:rsidR="00C656D5">
        <w:rPr>
          <w:sz w:val="24"/>
          <w:szCs w:val="24"/>
          <w:lang w:val="en-US"/>
        </w:rPr>
        <w:t xml:space="preserve"> group). Patients in the treatment arm will not receive a biliary stent (no-stent group). Allocation ratio will be 1:1 across the two arms. </w:t>
      </w:r>
    </w:p>
    <w:p w14:paraId="68111D3D" w14:textId="594B071F" w:rsidR="00C656D5" w:rsidRPr="00A560ED" w:rsidRDefault="00886418">
      <w:pPr>
        <w:rPr>
          <w:i/>
          <w:iCs/>
          <w:sz w:val="24"/>
          <w:szCs w:val="24"/>
          <w:lang w:val="en-US"/>
        </w:rPr>
      </w:pPr>
      <w:r w:rsidRPr="00A560ED">
        <w:rPr>
          <w:i/>
          <w:iCs/>
          <w:color w:val="823B0B" w:themeColor="accent2" w:themeShade="7F"/>
          <w:sz w:val="24"/>
          <w:szCs w:val="24"/>
          <w:lang w:val="en-US"/>
        </w:rPr>
        <w:t>PARTICIPANTS</w:t>
      </w:r>
    </w:p>
    <w:p w14:paraId="404B52FB" w14:textId="7CF21C32" w:rsidR="00886418" w:rsidRPr="00A560ED" w:rsidRDefault="009C5BAA">
      <w:pPr>
        <w:rPr>
          <w:sz w:val="24"/>
          <w:szCs w:val="24"/>
          <w:lang w:val="en-US"/>
        </w:rPr>
      </w:pPr>
      <w:r w:rsidRPr="00A560ED">
        <w:rPr>
          <w:color w:val="823B0B" w:themeColor="accent2" w:themeShade="7F"/>
          <w:sz w:val="24"/>
          <w:szCs w:val="24"/>
          <w:lang w:val="en-US"/>
        </w:rPr>
        <w:t>Eligibility</w:t>
      </w:r>
      <w:r w:rsidR="00886418" w:rsidRPr="00A560ED">
        <w:rPr>
          <w:color w:val="823B0B" w:themeColor="accent2" w:themeShade="7F"/>
          <w:sz w:val="24"/>
          <w:szCs w:val="24"/>
          <w:lang w:val="en-US"/>
        </w:rPr>
        <w:t xml:space="preserve"> Criteria</w:t>
      </w:r>
    </w:p>
    <w:p w14:paraId="24BB2F7E" w14:textId="5635E7AB" w:rsidR="00886418" w:rsidRDefault="00416AF9" w:rsidP="00886418">
      <w:pPr>
        <w:rPr>
          <w:sz w:val="24"/>
          <w:szCs w:val="24"/>
          <w:lang w:val="en-US"/>
        </w:rPr>
      </w:pPr>
      <w:r>
        <w:rPr>
          <w:sz w:val="24"/>
          <w:szCs w:val="24"/>
          <w:lang w:val="en-US"/>
        </w:rPr>
        <w:t>Participants in the trial will</w:t>
      </w:r>
      <w:r w:rsidR="00886418">
        <w:rPr>
          <w:sz w:val="24"/>
          <w:szCs w:val="24"/>
          <w:lang w:val="en-US"/>
        </w:rPr>
        <w:t xml:space="preserve"> be adult patients on the liver transplant waiting list who are planned to receive a whole liver </w:t>
      </w:r>
      <w:r w:rsidR="00DA058A">
        <w:rPr>
          <w:sz w:val="24"/>
          <w:szCs w:val="24"/>
          <w:lang w:val="en-US"/>
        </w:rPr>
        <w:t>allograft</w:t>
      </w:r>
      <w:r w:rsidR="00166E93">
        <w:rPr>
          <w:sz w:val="24"/>
          <w:szCs w:val="24"/>
          <w:lang w:val="en-US"/>
        </w:rPr>
        <w:t xml:space="preserve"> with a duct to duct</w:t>
      </w:r>
      <w:r w:rsidR="000354DC">
        <w:rPr>
          <w:sz w:val="24"/>
          <w:szCs w:val="24"/>
          <w:lang w:val="en-US"/>
        </w:rPr>
        <w:t xml:space="preserve"> biliary anastomosis</w:t>
      </w:r>
      <w:r>
        <w:rPr>
          <w:sz w:val="24"/>
          <w:szCs w:val="24"/>
          <w:lang w:val="en-US"/>
        </w:rPr>
        <w:t xml:space="preserve"> from brain dead donors</w:t>
      </w:r>
      <w:r w:rsidR="000354DC">
        <w:rPr>
          <w:sz w:val="24"/>
          <w:szCs w:val="24"/>
          <w:lang w:val="en-US"/>
        </w:rPr>
        <w:t>.</w:t>
      </w:r>
      <w:r>
        <w:rPr>
          <w:sz w:val="24"/>
          <w:szCs w:val="24"/>
          <w:lang w:val="en-US"/>
        </w:rPr>
        <w:t xml:space="preserve"> </w:t>
      </w:r>
      <w:r w:rsidR="006A6910">
        <w:rPr>
          <w:sz w:val="24"/>
          <w:szCs w:val="24"/>
          <w:lang w:val="en-US"/>
        </w:rPr>
        <w:t>S</w:t>
      </w:r>
      <w:r w:rsidR="00886418">
        <w:rPr>
          <w:sz w:val="24"/>
          <w:szCs w:val="24"/>
          <w:lang w:val="en-US"/>
        </w:rPr>
        <w:t>urgeons in the liver transplant team who</w:t>
      </w:r>
      <w:r w:rsidR="006A6910">
        <w:rPr>
          <w:sz w:val="24"/>
          <w:szCs w:val="24"/>
          <w:lang w:val="en-US"/>
        </w:rPr>
        <w:t xml:space="preserve"> have agreed to</w:t>
      </w:r>
      <w:r w:rsidR="00886418">
        <w:rPr>
          <w:sz w:val="24"/>
          <w:szCs w:val="24"/>
          <w:lang w:val="en-US"/>
        </w:rPr>
        <w:t xml:space="preserve"> participa</w:t>
      </w:r>
      <w:r w:rsidR="006A6910">
        <w:rPr>
          <w:sz w:val="24"/>
          <w:szCs w:val="24"/>
          <w:lang w:val="en-US"/>
        </w:rPr>
        <w:t>te</w:t>
      </w:r>
      <w:r w:rsidR="00886418">
        <w:rPr>
          <w:sz w:val="24"/>
          <w:szCs w:val="24"/>
          <w:lang w:val="en-US"/>
        </w:rPr>
        <w:t xml:space="preserve"> in this </w:t>
      </w:r>
      <w:r w:rsidR="006A6910">
        <w:rPr>
          <w:sz w:val="24"/>
          <w:szCs w:val="24"/>
          <w:lang w:val="en-US"/>
        </w:rPr>
        <w:t>trial</w:t>
      </w:r>
      <w:r w:rsidR="00886418">
        <w:rPr>
          <w:sz w:val="24"/>
          <w:szCs w:val="24"/>
          <w:lang w:val="en-US"/>
        </w:rPr>
        <w:t xml:space="preserve"> will have the </w:t>
      </w:r>
      <w:r w:rsidR="00BB6C6A">
        <w:rPr>
          <w:sz w:val="24"/>
          <w:szCs w:val="24"/>
          <w:lang w:val="en-US"/>
        </w:rPr>
        <w:t>allocation</w:t>
      </w:r>
      <w:r w:rsidR="00DA058A">
        <w:rPr>
          <w:sz w:val="24"/>
          <w:szCs w:val="24"/>
          <w:lang w:val="en-US"/>
        </w:rPr>
        <w:t xml:space="preserve"> arm</w:t>
      </w:r>
      <w:r w:rsidR="00886418">
        <w:rPr>
          <w:sz w:val="24"/>
          <w:szCs w:val="24"/>
          <w:lang w:val="en-US"/>
        </w:rPr>
        <w:t xml:space="preserve"> disclosed to them</w:t>
      </w:r>
      <w:r w:rsidR="00BB6C6A">
        <w:rPr>
          <w:sz w:val="24"/>
          <w:szCs w:val="24"/>
          <w:lang w:val="en-US"/>
        </w:rPr>
        <w:t xml:space="preserve"> after </w:t>
      </w:r>
      <w:r w:rsidR="00DA058A">
        <w:rPr>
          <w:sz w:val="24"/>
          <w:szCs w:val="24"/>
          <w:lang w:val="en-US"/>
        </w:rPr>
        <w:t>complete graft re</w:t>
      </w:r>
      <w:r w:rsidR="00BB6C6A">
        <w:rPr>
          <w:sz w:val="24"/>
          <w:szCs w:val="24"/>
          <w:lang w:val="en-US"/>
        </w:rPr>
        <w:t>perfus</w:t>
      </w:r>
      <w:r w:rsidR="00DA058A">
        <w:rPr>
          <w:sz w:val="24"/>
          <w:szCs w:val="24"/>
          <w:lang w:val="en-US"/>
        </w:rPr>
        <w:t>ion</w:t>
      </w:r>
      <w:r w:rsidR="00BB6C6A">
        <w:rPr>
          <w:sz w:val="24"/>
          <w:szCs w:val="24"/>
          <w:lang w:val="en-US"/>
        </w:rPr>
        <w:t xml:space="preserve"> including completion of the arterial anastomosis. The allocation to stent or no-stent must be adhered</w:t>
      </w:r>
      <w:r w:rsidR="00236035">
        <w:rPr>
          <w:sz w:val="24"/>
          <w:szCs w:val="24"/>
          <w:lang w:val="en-US"/>
        </w:rPr>
        <w:t xml:space="preserve"> to, to</w:t>
      </w:r>
      <w:r w:rsidR="00BB6C6A">
        <w:rPr>
          <w:sz w:val="24"/>
          <w:szCs w:val="24"/>
          <w:lang w:val="en-US"/>
        </w:rPr>
        <w:t xml:space="preserve"> reduce selection bias. Contingency planning for a surgeon who is not comfortable with the allocation will </w:t>
      </w:r>
      <w:r w:rsidR="00236035">
        <w:rPr>
          <w:sz w:val="24"/>
          <w:szCs w:val="24"/>
          <w:lang w:val="en-US"/>
        </w:rPr>
        <w:t xml:space="preserve">be to </w:t>
      </w:r>
      <w:r w:rsidR="00BB6C6A">
        <w:rPr>
          <w:sz w:val="24"/>
          <w:szCs w:val="24"/>
          <w:lang w:val="en-US"/>
        </w:rPr>
        <w:t>have an alternative surgeon</w:t>
      </w:r>
      <w:r w:rsidR="00236035">
        <w:rPr>
          <w:sz w:val="24"/>
          <w:szCs w:val="24"/>
          <w:lang w:val="en-US"/>
        </w:rPr>
        <w:t xml:space="preserve"> available to</w:t>
      </w:r>
      <w:r w:rsidR="00BB6C6A">
        <w:rPr>
          <w:sz w:val="24"/>
          <w:szCs w:val="24"/>
          <w:lang w:val="en-US"/>
        </w:rPr>
        <w:t xml:space="preserve"> perform the anastomosis. </w:t>
      </w:r>
    </w:p>
    <w:p w14:paraId="3C19B31D" w14:textId="77777777" w:rsidR="00886418" w:rsidRPr="00A560ED" w:rsidRDefault="00886418">
      <w:pPr>
        <w:rPr>
          <w:color w:val="823B0B" w:themeColor="accent2" w:themeShade="7F"/>
          <w:sz w:val="24"/>
          <w:szCs w:val="24"/>
          <w:lang w:val="en-US"/>
        </w:rPr>
      </w:pPr>
      <w:r w:rsidRPr="00A560ED">
        <w:rPr>
          <w:color w:val="823B0B" w:themeColor="accent2" w:themeShade="7F"/>
          <w:sz w:val="24"/>
          <w:szCs w:val="24"/>
          <w:lang w:val="en-US"/>
        </w:rPr>
        <w:lastRenderedPageBreak/>
        <w:t>Exclusion Criteria</w:t>
      </w:r>
    </w:p>
    <w:p w14:paraId="40F93E2B" w14:textId="0EB49C81" w:rsidR="00886418" w:rsidRPr="00041311" w:rsidRDefault="0028620E" w:rsidP="00886418">
      <w:pPr>
        <w:rPr>
          <w:sz w:val="24"/>
          <w:szCs w:val="24"/>
          <w:lang w:val="en-US"/>
        </w:rPr>
      </w:pPr>
      <w:r>
        <w:rPr>
          <w:sz w:val="24"/>
          <w:szCs w:val="24"/>
          <w:lang w:val="en-US"/>
        </w:rPr>
        <w:t>Patients will be excluded from the project if they are planned to receive a</w:t>
      </w:r>
      <w:r w:rsidR="00206349">
        <w:rPr>
          <w:sz w:val="24"/>
          <w:szCs w:val="24"/>
          <w:lang w:val="en-US"/>
        </w:rPr>
        <w:t xml:space="preserve">ny graft other than a whole liver from a </w:t>
      </w:r>
      <w:proofErr w:type="gramStart"/>
      <w:r w:rsidR="00206349">
        <w:rPr>
          <w:sz w:val="24"/>
          <w:szCs w:val="24"/>
          <w:lang w:val="en-US"/>
        </w:rPr>
        <w:t>brain dead</w:t>
      </w:r>
      <w:proofErr w:type="gramEnd"/>
      <w:r w:rsidR="00206349">
        <w:rPr>
          <w:sz w:val="24"/>
          <w:szCs w:val="24"/>
          <w:lang w:val="en-US"/>
        </w:rPr>
        <w:t xml:space="preserve"> donor. </w:t>
      </w:r>
      <w:r w:rsidR="4B2D83ED">
        <w:rPr>
          <w:sz w:val="24"/>
          <w:szCs w:val="24"/>
          <w:lang w:val="en-US"/>
        </w:rPr>
        <w:t>Given the higher biliary complication rate in split liv</w:t>
      </w:r>
      <w:r w:rsidR="2A1FC4C8">
        <w:rPr>
          <w:sz w:val="24"/>
          <w:szCs w:val="24"/>
          <w:lang w:val="en-US"/>
        </w:rPr>
        <w:t xml:space="preserve">er and DCD grafts these have been excluded. </w:t>
      </w:r>
      <w:r w:rsidR="00212B2F">
        <w:rPr>
          <w:sz w:val="24"/>
          <w:szCs w:val="24"/>
          <w:lang w:val="en-US"/>
        </w:rPr>
        <w:t xml:space="preserve">Patients who have a </w:t>
      </w:r>
      <w:r>
        <w:rPr>
          <w:sz w:val="24"/>
          <w:szCs w:val="24"/>
          <w:lang w:val="en-US"/>
        </w:rPr>
        <w:t>biliary reconstruction involv</w:t>
      </w:r>
      <w:r w:rsidR="00212B2F">
        <w:rPr>
          <w:sz w:val="24"/>
          <w:szCs w:val="24"/>
          <w:lang w:val="en-US"/>
        </w:rPr>
        <w:t>ing</w:t>
      </w:r>
      <w:r>
        <w:rPr>
          <w:sz w:val="24"/>
          <w:szCs w:val="24"/>
          <w:lang w:val="en-US"/>
        </w:rPr>
        <w:t xml:space="preserve"> a </w:t>
      </w:r>
      <w:proofErr w:type="spellStart"/>
      <w:r>
        <w:rPr>
          <w:sz w:val="24"/>
          <w:szCs w:val="24"/>
          <w:lang w:val="en-US"/>
        </w:rPr>
        <w:t>hepaticoenterostomy</w:t>
      </w:r>
      <w:proofErr w:type="spellEnd"/>
      <w:r w:rsidR="00212B2F">
        <w:rPr>
          <w:sz w:val="24"/>
          <w:szCs w:val="24"/>
          <w:lang w:val="en-US"/>
        </w:rPr>
        <w:t xml:space="preserve"> will also be excluded</w:t>
      </w:r>
      <w:r>
        <w:rPr>
          <w:sz w:val="24"/>
          <w:szCs w:val="24"/>
          <w:lang w:val="en-US"/>
        </w:rPr>
        <w:t xml:space="preserve">. On </w:t>
      </w:r>
      <w:proofErr w:type="gramStart"/>
      <w:r>
        <w:rPr>
          <w:sz w:val="24"/>
          <w:szCs w:val="24"/>
          <w:lang w:val="en-US"/>
        </w:rPr>
        <w:t>occasion</w:t>
      </w:r>
      <w:proofErr w:type="gramEnd"/>
      <w:r>
        <w:rPr>
          <w:sz w:val="24"/>
          <w:szCs w:val="24"/>
          <w:lang w:val="en-US"/>
        </w:rPr>
        <w:t xml:space="preserve"> it is necessary to defer biliary re</w:t>
      </w:r>
      <w:r w:rsidR="005D3664">
        <w:rPr>
          <w:sz w:val="24"/>
          <w:szCs w:val="24"/>
          <w:lang w:val="en-US"/>
        </w:rPr>
        <w:t>construction because of bleeding or because of</w:t>
      </w:r>
      <w:r>
        <w:rPr>
          <w:sz w:val="24"/>
          <w:szCs w:val="24"/>
          <w:lang w:val="en-US"/>
        </w:rPr>
        <w:t xml:space="preserve"> </w:t>
      </w:r>
      <w:r w:rsidR="005D3664">
        <w:rPr>
          <w:sz w:val="24"/>
          <w:szCs w:val="24"/>
          <w:lang w:val="en-US"/>
        </w:rPr>
        <w:t xml:space="preserve">recipient </w:t>
      </w:r>
      <w:proofErr w:type="spellStart"/>
      <w:r w:rsidR="005D3664">
        <w:rPr>
          <w:sz w:val="24"/>
          <w:szCs w:val="24"/>
          <w:lang w:val="en-US"/>
        </w:rPr>
        <w:t>haemodynamic</w:t>
      </w:r>
      <w:proofErr w:type="spellEnd"/>
      <w:r>
        <w:rPr>
          <w:sz w:val="24"/>
          <w:szCs w:val="24"/>
          <w:lang w:val="en-US"/>
        </w:rPr>
        <w:t xml:space="preserve"> instability. This event occurs uncommonly, but has the potential to skew </w:t>
      </w:r>
      <w:r w:rsidR="005D3664">
        <w:rPr>
          <w:sz w:val="24"/>
          <w:szCs w:val="24"/>
          <w:lang w:val="en-US"/>
        </w:rPr>
        <w:t xml:space="preserve">results because biliary complications are likely to be higher, and allocation may be asymmetrical across arms. </w:t>
      </w:r>
    </w:p>
    <w:p w14:paraId="1FA04A51" w14:textId="77777777" w:rsidR="00886418" w:rsidRPr="00A560ED" w:rsidRDefault="00886418">
      <w:pPr>
        <w:rPr>
          <w:color w:val="823B0B" w:themeColor="accent2" w:themeShade="7F"/>
          <w:sz w:val="24"/>
          <w:szCs w:val="24"/>
          <w:lang w:val="en-US"/>
        </w:rPr>
      </w:pPr>
      <w:r w:rsidRPr="00A560ED">
        <w:rPr>
          <w:color w:val="823B0B" w:themeColor="accent2" w:themeShade="7F"/>
          <w:sz w:val="24"/>
          <w:szCs w:val="24"/>
          <w:lang w:val="en-US"/>
        </w:rPr>
        <w:t>Setting</w:t>
      </w:r>
    </w:p>
    <w:p w14:paraId="04AEE7D1" w14:textId="4A1EB35B" w:rsidR="00C656D5" w:rsidRDefault="00886418">
      <w:pPr>
        <w:rPr>
          <w:sz w:val="24"/>
          <w:szCs w:val="24"/>
          <w:lang w:val="en-US"/>
        </w:rPr>
      </w:pPr>
      <w:r w:rsidRPr="005D29D3">
        <w:rPr>
          <w:sz w:val="24"/>
          <w:szCs w:val="24"/>
          <w:lang w:val="en-US"/>
        </w:rPr>
        <w:t>Princess Alexandra Hospital</w:t>
      </w:r>
      <w:r w:rsidR="00D063EF">
        <w:rPr>
          <w:sz w:val="24"/>
          <w:szCs w:val="24"/>
          <w:lang w:val="en-US"/>
        </w:rPr>
        <w:t>,</w:t>
      </w:r>
      <w:r w:rsidR="00524762">
        <w:rPr>
          <w:sz w:val="24"/>
          <w:szCs w:val="24"/>
          <w:lang w:val="en-US"/>
        </w:rPr>
        <w:t xml:space="preserve"> Brisbane, Australia is the location</w:t>
      </w:r>
      <w:r w:rsidR="00D063EF">
        <w:rPr>
          <w:sz w:val="24"/>
          <w:szCs w:val="24"/>
          <w:lang w:val="en-US"/>
        </w:rPr>
        <w:t xml:space="preserve"> of this single </w:t>
      </w:r>
      <w:proofErr w:type="spellStart"/>
      <w:r w:rsidR="00D063EF">
        <w:rPr>
          <w:sz w:val="24"/>
          <w:szCs w:val="24"/>
          <w:lang w:val="en-US"/>
        </w:rPr>
        <w:t>centre</w:t>
      </w:r>
      <w:proofErr w:type="spellEnd"/>
      <w:r w:rsidR="00D063EF">
        <w:rPr>
          <w:sz w:val="24"/>
          <w:szCs w:val="24"/>
          <w:lang w:val="en-US"/>
        </w:rPr>
        <w:t xml:space="preserve"> study</w:t>
      </w:r>
      <w:r w:rsidRPr="005D29D3">
        <w:rPr>
          <w:sz w:val="24"/>
          <w:szCs w:val="24"/>
          <w:lang w:val="en-US"/>
        </w:rPr>
        <w:t xml:space="preserve">. Participants will be approached </w:t>
      </w:r>
      <w:r>
        <w:rPr>
          <w:sz w:val="24"/>
          <w:szCs w:val="24"/>
          <w:lang w:val="en-US"/>
        </w:rPr>
        <w:t>during established transplant suitability work-up, in both outpatient and inpatient scenarios. Randomization will occur prior</w:t>
      </w:r>
      <w:r w:rsidR="00D063EF">
        <w:rPr>
          <w:sz w:val="24"/>
          <w:szCs w:val="24"/>
          <w:lang w:val="en-US"/>
        </w:rPr>
        <w:t xml:space="preserve"> to</w:t>
      </w:r>
      <w:r>
        <w:rPr>
          <w:sz w:val="24"/>
          <w:szCs w:val="24"/>
          <w:lang w:val="en-US"/>
        </w:rPr>
        <w:t xml:space="preserve"> allocation of the first participant. Allocation disclosure to the surgeon</w:t>
      </w:r>
      <w:r w:rsidRPr="005D29D3" w:rsidDel="001B747E">
        <w:rPr>
          <w:sz w:val="24"/>
          <w:szCs w:val="24"/>
          <w:lang w:val="en-US"/>
        </w:rPr>
        <w:t xml:space="preserve"> will take place </w:t>
      </w:r>
      <w:r>
        <w:rPr>
          <w:sz w:val="24"/>
          <w:szCs w:val="24"/>
          <w:lang w:val="en-US"/>
        </w:rPr>
        <w:t>following completion of all vascular anastomoses</w:t>
      </w:r>
      <w:r w:rsidR="00810F57">
        <w:rPr>
          <w:sz w:val="24"/>
          <w:szCs w:val="24"/>
          <w:lang w:val="en-US"/>
        </w:rPr>
        <w:t xml:space="preserve">, prior to the biliary anastomosis. </w:t>
      </w:r>
      <w:r w:rsidR="630D50E0">
        <w:rPr>
          <w:sz w:val="24"/>
          <w:szCs w:val="24"/>
          <w:lang w:val="en-US"/>
        </w:rPr>
        <w:t>T</w:t>
      </w:r>
      <w:r w:rsidR="1DC1FD59">
        <w:rPr>
          <w:sz w:val="24"/>
          <w:szCs w:val="24"/>
          <w:lang w:val="en-US"/>
        </w:rPr>
        <w:t>his avoid</w:t>
      </w:r>
      <w:r w:rsidR="36EE5483">
        <w:rPr>
          <w:sz w:val="24"/>
          <w:szCs w:val="24"/>
          <w:lang w:val="en-US"/>
        </w:rPr>
        <w:t>s any</w:t>
      </w:r>
      <w:r w:rsidR="1DC1FD59" w:rsidRPr="005D29D3" w:rsidDel="001B747E">
        <w:rPr>
          <w:sz w:val="24"/>
          <w:szCs w:val="24"/>
          <w:lang w:val="en-US"/>
        </w:rPr>
        <w:t xml:space="preserve"> subconscious procedural </w:t>
      </w:r>
      <w:r w:rsidR="36EE5483" w:rsidRPr="005D29D3" w:rsidDel="001B747E">
        <w:rPr>
          <w:sz w:val="24"/>
          <w:szCs w:val="24"/>
          <w:lang w:val="en-US"/>
        </w:rPr>
        <w:t xml:space="preserve">bias up to the point of the biliary anastomosis. </w:t>
      </w:r>
      <w:r w:rsidR="36EE5483" w:rsidRPr="00A560ED">
        <w:rPr>
          <w:i/>
          <w:iCs/>
          <w:caps/>
          <w:color w:val="C45911" w:themeColor="accent2" w:themeShade="BF"/>
          <w:spacing w:val="10"/>
          <w:sz w:val="24"/>
          <w:szCs w:val="24"/>
          <w:lang w:val="en-US"/>
        </w:rPr>
        <w:t>Monitoring and a</w:t>
      </w:r>
      <w:r w:rsidRPr="005D29D3" w:rsidDel="001B747E">
        <w:rPr>
          <w:sz w:val="24"/>
          <w:szCs w:val="24"/>
          <w:lang w:val="en-US"/>
        </w:rPr>
        <w:t>ssessment of outcomes will occur in a combination of inpatient and outpatient settings.</w:t>
      </w:r>
    </w:p>
    <w:p w14:paraId="06958EC2" w14:textId="1A88A175" w:rsidR="00904E12" w:rsidRPr="00A560ED" w:rsidRDefault="002366BE">
      <w:pPr>
        <w:rPr>
          <w:color w:val="823B0B" w:themeColor="accent2" w:themeShade="7F"/>
          <w:sz w:val="24"/>
          <w:szCs w:val="24"/>
          <w:lang w:val="en-US"/>
        </w:rPr>
      </w:pPr>
      <w:r w:rsidRPr="00A560ED">
        <w:rPr>
          <w:color w:val="823B0B" w:themeColor="accent2" w:themeShade="7F"/>
          <w:sz w:val="24"/>
          <w:szCs w:val="24"/>
          <w:lang w:val="en-US"/>
        </w:rPr>
        <w:t>Enrolment</w:t>
      </w:r>
      <w:r w:rsidR="00904E12" w:rsidRPr="00A560ED">
        <w:rPr>
          <w:color w:val="823B0B" w:themeColor="accent2" w:themeShade="7F"/>
          <w:sz w:val="24"/>
          <w:szCs w:val="24"/>
          <w:lang w:val="en-US"/>
        </w:rPr>
        <w:t xml:space="preserve"> Process</w:t>
      </w:r>
    </w:p>
    <w:p w14:paraId="208BD5F8" w14:textId="64EA6D54" w:rsidR="006A4387" w:rsidRPr="00394308" w:rsidRDefault="00CB4F29">
      <w:pPr>
        <w:rPr>
          <w:sz w:val="24"/>
          <w:szCs w:val="24"/>
          <w:lang w:val="en-US"/>
        </w:rPr>
      </w:pPr>
      <w:r w:rsidRPr="00394308">
        <w:rPr>
          <w:sz w:val="24"/>
          <w:szCs w:val="24"/>
          <w:lang w:val="en-US"/>
        </w:rPr>
        <w:t>P</w:t>
      </w:r>
      <w:r w:rsidR="006A4387" w:rsidRPr="00394308">
        <w:rPr>
          <w:sz w:val="24"/>
          <w:szCs w:val="24"/>
          <w:lang w:val="en-US"/>
        </w:rPr>
        <w:t>articipants meeting inclusion criteria will be approached in the outpatient and inpatient setti</w:t>
      </w:r>
      <w:r w:rsidRPr="00394308">
        <w:rPr>
          <w:sz w:val="24"/>
          <w:szCs w:val="24"/>
          <w:lang w:val="en-US"/>
        </w:rPr>
        <w:t xml:space="preserve">ng. The medical staff on the transplant team will initiate discussion with the aid of </w:t>
      </w:r>
      <w:r w:rsidR="007D5EA7">
        <w:rPr>
          <w:sz w:val="24"/>
          <w:szCs w:val="24"/>
          <w:lang w:val="en-US"/>
        </w:rPr>
        <w:t>an information brochure</w:t>
      </w:r>
      <w:r w:rsidRPr="00394308">
        <w:rPr>
          <w:sz w:val="24"/>
          <w:szCs w:val="24"/>
          <w:lang w:val="en-US"/>
        </w:rPr>
        <w:t xml:space="preserve">. Other members of the transplant team include clinical nurse coordinators. Culturally appropriate support persons and interpreters will be available where required. The participant will be given the opportunity for questions and time to deliberate on the decision to be involved. Informed consent will be required </w:t>
      </w:r>
      <w:r w:rsidR="007D5EA7">
        <w:rPr>
          <w:sz w:val="24"/>
          <w:szCs w:val="24"/>
          <w:lang w:val="en-US"/>
        </w:rPr>
        <w:t xml:space="preserve">and documented </w:t>
      </w:r>
      <w:r w:rsidRPr="00394308">
        <w:rPr>
          <w:sz w:val="24"/>
          <w:szCs w:val="24"/>
          <w:lang w:val="en-US"/>
        </w:rPr>
        <w:t xml:space="preserve">prior to participation in the trial. </w:t>
      </w:r>
    </w:p>
    <w:p w14:paraId="71C0EC54" w14:textId="4969D2D3" w:rsidR="00443E1A" w:rsidRDefault="006A4387">
      <w:pPr>
        <w:rPr>
          <w:sz w:val="24"/>
          <w:szCs w:val="24"/>
          <w:lang w:val="en-US"/>
        </w:rPr>
      </w:pPr>
      <w:r w:rsidRPr="00394308">
        <w:rPr>
          <w:sz w:val="24"/>
          <w:szCs w:val="24"/>
          <w:lang w:val="en-US"/>
        </w:rPr>
        <w:t xml:space="preserve">When a participant presents for admission for liver transplantation </w:t>
      </w:r>
      <w:r w:rsidR="001E3CD2">
        <w:rPr>
          <w:sz w:val="24"/>
          <w:szCs w:val="24"/>
          <w:lang w:val="en-US"/>
        </w:rPr>
        <w:t xml:space="preserve">further opportunity for questions </w:t>
      </w:r>
      <w:r w:rsidR="00977C03">
        <w:rPr>
          <w:sz w:val="24"/>
          <w:szCs w:val="24"/>
          <w:lang w:val="en-US"/>
        </w:rPr>
        <w:t xml:space="preserve">will be offered and consent will be confirmed. The participant will be advised that they can decide to opt out of the project at any time up until they commence </w:t>
      </w:r>
      <w:proofErr w:type="spellStart"/>
      <w:r w:rsidR="00977C03">
        <w:rPr>
          <w:sz w:val="24"/>
          <w:szCs w:val="24"/>
          <w:lang w:val="en-US"/>
        </w:rPr>
        <w:t>anaesthesia</w:t>
      </w:r>
      <w:proofErr w:type="spellEnd"/>
      <w:r w:rsidR="00977C03">
        <w:rPr>
          <w:sz w:val="24"/>
          <w:szCs w:val="24"/>
          <w:lang w:val="en-US"/>
        </w:rPr>
        <w:t xml:space="preserve">. </w:t>
      </w:r>
      <w:r w:rsidR="007E1B11">
        <w:rPr>
          <w:sz w:val="24"/>
          <w:szCs w:val="24"/>
          <w:lang w:val="en-US"/>
        </w:rPr>
        <w:t xml:space="preserve">Only patients consenting to enrolment will be included in statistical analysis. Opting out prior to </w:t>
      </w:r>
      <w:proofErr w:type="spellStart"/>
      <w:r w:rsidR="007E1B11">
        <w:rPr>
          <w:sz w:val="24"/>
          <w:szCs w:val="24"/>
          <w:lang w:val="en-US"/>
        </w:rPr>
        <w:t>anaesthesia</w:t>
      </w:r>
      <w:proofErr w:type="spellEnd"/>
      <w:r w:rsidR="007E1B11">
        <w:rPr>
          <w:sz w:val="24"/>
          <w:szCs w:val="24"/>
          <w:lang w:val="en-US"/>
        </w:rPr>
        <w:t xml:space="preserve"> will not impact on the allocation sequence, or results, because disclosure of the treatment arm will occur after this point i</w:t>
      </w:r>
      <w:r w:rsidR="309FD8E3">
        <w:rPr>
          <w:sz w:val="24"/>
          <w:szCs w:val="24"/>
          <w:lang w:val="en-US"/>
        </w:rPr>
        <w:t>.e.</w:t>
      </w:r>
      <w:r w:rsidR="007E1B11">
        <w:rPr>
          <w:sz w:val="24"/>
          <w:szCs w:val="24"/>
          <w:lang w:val="en-US"/>
        </w:rPr>
        <w:t xml:space="preserve"> intraoperatively. </w:t>
      </w:r>
      <w:r w:rsidR="007B06FC">
        <w:rPr>
          <w:sz w:val="24"/>
          <w:szCs w:val="24"/>
          <w:lang w:val="en-US"/>
        </w:rPr>
        <w:t xml:space="preserve">Outcome measures </w:t>
      </w:r>
      <w:r w:rsidR="000C5B02">
        <w:rPr>
          <w:sz w:val="24"/>
          <w:szCs w:val="24"/>
          <w:lang w:val="en-US"/>
        </w:rPr>
        <w:t xml:space="preserve">will be recorded on </w:t>
      </w:r>
      <w:r w:rsidR="007B06FC">
        <w:rPr>
          <w:sz w:val="24"/>
          <w:szCs w:val="24"/>
          <w:lang w:val="en-US"/>
        </w:rPr>
        <w:t>patients</w:t>
      </w:r>
      <w:r w:rsidR="000C5B02">
        <w:rPr>
          <w:sz w:val="24"/>
          <w:szCs w:val="24"/>
          <w:lang w:val="en-US"/>
        </w:rPr>
        <w:t xml:space="preserve"> who initially consent but subsequently</w:t>
      </w:r>
      <w:r w:rsidR="007E1B11">
        <w:rPr>
          <w:sz w:val="24"/>
          <w:szCs w:val="24"/>
          <w:lang w:val="en-US"/>
        </w:rPr>
        <w:t xml:space="preserve"> drop out </w:t>
      </w:r>
      <w:r w:rsidR="000C5B02">
        <w:rPr>
          <w:sz w:val="24"/>
          <w:szCs w:val="24"/>
          <w:lang w:val="en-US"/>
        </w:rPr>
        <w:t xml:space="preserve">prior to intervention </w:t>
      </w:r>
      <w:r w:rsidR="007B06FC">
        <w:rPr>
          <w:sz w:val="24"/>
          <w:szCs w:val="24"/>
          <w:lang w:val="en-US"/>
        </w:rPr>
        <w:t xml:space="preserve">to allow for post-hoc </w:t>
      </w:r>
      <w:r w:rsidR="000C5B02">
        <w:rPr>
          <w:sz w:val="24"/>
          <w:szCs w:val="24"/>
          <w:lang w:val="en-US"/>
        </w:rPr>
        <w:t>analysis</w:t>
      </w:r>
      <w:r w:rsidR="007B06FC">
        <w:rPr>
          <w:sz w:val="24"/>
          <w:szCs w:val="24"/>
          <w:lang w:val="en-US"/>
        </w:rPr>
        <w:t xml:space="preserve"> if concerns arise regarding </w:t>
      </w:r>
      <w:r w:rsidR="000C5B02">
        <w:rPr>
          <w:sz w:val="24"/>
          <w:szCs w:val="24"/>
          <w:lang w:val="en-US"/>
        </w:rPr>
        <w:t>unrecognized influences creating selection</w:t>
      </w:r>
      <w:r w:rsidR="007B06FC">
        <w:rPr>
          <w:sz w:val="24"/>
          <w:szCs w:val="24"/>
          <w:lang w:val="en-US"/>
        </w:rPr>
        <w:t xml:space="preserve"> bias e.g. surgeon influence on patient </w:t>
      </w:r>
      <w:r w:rsidR="000C5B02">
        <w:rPr>
          <w:sz w:val="24"/>
          <w:szCs w:val="24"/>
          <w:lang w:val="en-US"/>
        </w:rPr>
        <w:t xml:space="preserve">participation </w:t>
      </w:r>
      <w:r w:rsidR="007B06FC">
        <w:rPr>
          <w:sz w:val="24"/>
          <w:szCs w:val="24"/>
          <w:lang w:val="en-US"/>
        </w:rPr>
        <w:t xml:space="preserve">prior to allocation. </w:t>
      </w:r>
    </w:p>
    <w:p w14:paraId="102888B8" w14:textId="10710BC1" w:rsidR="00443E1A" w:rsidRPr="00A560ED" w:rsidRDefault="00443E1A" w:rsidP="00A560ED">
      <w:pPr>
        <w:rPr>
          <w:color w:val="823B0B" w:themeColor="accent2" w:themeShade="7F"/>
          <w:sz w:val="24"/>
          <w:szCs w:val="24"/>
          <w:lang w:val="en-US"/>
        </w:rPr>
      </w:pPr>
      <w:r w:rsidRPr="00A560ED">
        <w:rPr>
          <w:color w:val="823B0B" w:themeColor="accent2" w:themeShade="7F"/>
          <w:sz w:val="24"/>
          <w:szCs w:val="24"/>
          <w:lang w:val="en-US"/>
        </w:rPr>
        <w:t>Data Collection</w:t>
      </w:r>
    </w:p>
    <w:p w14:paraId="7E11A94C" w14:textId="7646282F" w:rsidR="00443E1A" w:rsidRPr="000D32A0" w:rsidRDefault="00443E1A" w:rsidP="00443E1A">
      <w:pPr>
        <w:rPr>
          <w:sz w:val="24"/>
          <w:szCs w:val="24"/>
          <w:lang w:val="en-US"/>
        </w:rPr>
      </w:pPr>
      <w:r w:rsidRPr="000D32A0">
        <w:rPr>
          <w:sz w:val="24"/>
          <w:szCs w:val="24"/>
          <w:lang w:val="en-US"/>
        </w:rPr>
        <w:t xml:space="preserve">Data will be </w:t>
      </w:r>
      <w:r>
        <w:rPr>
          <w:sz w:val="24"/>
          <w:szCs w:val="24"/>
          <w:lang w:val="en-US"/>
        </w:rPr>
        <w:t>prospectively coll</w:t>
      </w:r>
      <w:r w:rsidR="04AD348E">
        <w:rPr>
          <w:sz w:val="24"/>
          <w:szCs w:val="24"/>
          <w:lang w:val="en-US"/>
        </w:rPr>
        <w:t>ected</w:t>
      </w:r>
      <w:r w:rsidR="4B1DB2FB">
        <w:rPr>
          <w:sz w:val="24"/>
          <w:szCs w:val="24"/>
          <w:lang w:val="en-US"/>
        </w:rPr>
        <w:t xml:space="preserve"> </w:t>
      </w:r>
      <w:r w:rsidR="3A047BB6">
        <w:rPr>
          <w:sz w:val="24"/>
          <w:szCs w:val="24"/>
          <w:lang w:val="en-US"/>
        </w:rPr>
        <w:t xml:space="preserve">at specific </w:t>
      </w:r>
      <w:r w:rsidR="04AD348E">
        <w:rPr>
          <w:sz w:val="24"/>
          <w:szCs w:val="24"/>
          <w:lang w:val="en-US"/>
        </w:rPr>
        <w:t>time</w:t>
      </w:r>
      <w:r w:rsidR="3A047BB6">
        <w:rPr>
          <w:sz w:val="24"/>
          <w:szCs w:val="24"/>
          <w:lang w:val="en-US"/>
        </w:rPr>
        <w:t xml:space="preserve"> points</w:t>
      </w:r>
      <w:r>
        <w:rPr>
          <w:sz w:val="24"/>
          <w:szCs w:val="24"/>
          <w:lang w:val="en-US"/>
        </w:rPr>
        <w:t>. At enrollment into the trial the participant details are added to a power trials chart accessible by the three investigators on the hospital hard drive. The signed consent forms will also be uploaded</w:t>
      </w:r>
      <w:r w:rsidR="00C15371">
        <w:rPr>
          <w:sz w:val="24"/>
          <w:szCs w:val="24"/>
          <w:lang w:val="en-US"/>
        </w:rPr>
        <w:t xml:space="preserve"> to this interface</w:t>
      </w:r>
      <w:r>
        <w:rPr>
          <w:sz w:val="24"/>
          <w:szCs w:val="24"/>
          <w:lang w:val="en-US"/>
        </w:rPr>
        <w:t>. Once the participant has been allocated</w:t>
      </w:r>
      <w:r w:rsidR="00F20462">
        <w:rPr>
          <w:sz w:val="24"/>
          <w:szCs w:val="24"/>
          <w:lang w:val="en-US"/>
        </w:rPr>
        <w:t>,</w:t>
      </w:r>
      <w:r w:rsidR="20A2D170">
        <w:rPr>
          <w:sz w:val="24"/>
          <w:szCs w:val="24"/>
          <w:lang w:val="en-US"/>
        </w:rPr>
        <w:t xml:space="preserve"> data input into an excel spreadsheet will occur</w:t>
      </w:r>
      <w:r w:rsidR="4F49AD2D">
        <w:rPr>
          <w:sz w:val="24"/>
          <w:szCs w:val="24"/>
          <w:lang w:val="en-US"/>
        </w:rPr>
        <w:t xml:space="preserve"> </w:t>
      </w:r>
      <w:proofErr w:type="spellStart"/>
      <w:r w:rsidR="20A2D170">
        <w:rPr>
          <w:sz w:val="24"/>
          <w:szCs w:val="24"/>
          <w:lang w:val="en-US"/>
        </w:rPr>
        <w:t>perioperatively</w:t>
      </w:r>
      <w:proofErr w:type="spellEnd"/>
      <w:r w:rsidR="20A2D170">
        <w:rPr>
          <w:sz w:val="24"/>
          <w:szCs w:val="24"/>
          <w:lang w:val="en-US"/>
        </w:rPr>
        <w:t xml:space="preserve"> (</w:t>
      </w:r>
      <w:r w:rsidR="78B0DD74">
        <w:rPr>
          <w:sz w:val="24"/>
          <w:szCs w:val="24"/>
          <w:lang w:val="en-US"/>
        </w:rPr>
        <w:t>during admissi</w:t>
      </w:r>
      <w:r w:rsidR="78B0DD74" w:rsidRPr="00A560ED">
        <w:rPr>
          <w:sz w:val="24"/>
          <w:szCs w:val="24"/>
          <w:lang w:val="en-US"/>
        </w:rPr>
        <w:t xml:space="preserve">on), upon discharge and at </w:t>
      </w:r>
      <w:r w:rsidR="2B636ACC" w:rsidRPr="00A560ED">
        <w:rPr>
          <w:sz w:val="24"/>
          <w:szCs w:val="24"/>
          <w:lang w:val="en-US"/>
        </w:rPr>
        <w:t xml:space="preserve">routine </w:t>
      </w:r>
      <w:r w:rsidR="78B0DD74" w:rsidRPr="00A560ED">
        <w:rPr>
          <w:sz w:val="24"/>
          <w:szCs w:val="24"/>
          <w:lang w:val="en-US"/>
        </w:rPr>
        <w:t>6 month follow up</w:t>
      </w:r>
      <w:r w:rsidR="2B636ACC" w:rsidRPr="00A560ED">
        <w:rPr>
          <w:sz w:val="24"/>
          <w:szCs w:val="24"/>
          <w:lang w:val="en-US"/>
        </w:rPr>
        <w:t xml:space="preserve"> app</w:t>
      </w:r>
      <w:r w:rsidR="561C9441" w:rsidRPr="00A560ED">
        <w:rPr>
          <w:sz w:val="24"/>
          <w:szCs w:val="24"/>
          <w:lang w:val="en-US"/>
        </w:rPr>
        <w:t>ointment</w:t>
      </w:r>
      <w:r w:rsidR="78B0DD74" w:rsidRPr="00A560ED">
        <w:rPr>
          <w:sz w:val="24"/>
          <w:szCs w:val="24"/>
          <w:lang w:val="en-US"/>
        </w:rPr>
        <w:t>. Additional entries wi</w:t>
      </w:r>
      <w:r w:rsidR="61637A28" w:rsidRPr="00A560ED">
        <w:rPr>
          <w:sz w:val="24"/>
          <w:szCs w:val="24"/>
          <w:lang w:val="en-US"/>
        </w:rPr>
        <w:t xml:space="preserve">ll occur if there are admissions for complications. </w:t>
      </w:r>
    </w:p>
    <w:p w14:paraId="0698BA21" w14:textId="77777777" w:rsidR="00443E1A" w:rsidRPr="000D32A0" w:rsidRDefault="00443E1A" w:rsidP="00443E1A">
      <w:pPr>
        <w:rPr>
          <w:sz w:val="24"/>
          <w:szCs w:val="24"/>
          <w:lang w:val="en-US"/>
        </w:rPr>
      </w:pPr>
      <w:r w:rsidRPr="000D32A0">
        <w:rPr>
          <w:sz w:val="24"/>
          <w:szCs w:val="24"/>
          <w:lang w:val="en-US"/>
        </w:rPr>
        <w:lastRenderedPageBreak/>
        <w:t xml:space="preserve">Information will be gathered from patient electronic medical records for a period of 6 </w:t>
      </w:r>
      <w:proofErr w:type="gramStart"/>
      <w:r w:rsidRPr="000D32A0">
        <w:rPr>
          <w:sz w:val="24"/>
          <w:szCs w:val="24"/>
          <w:lang w:val="en-US"/>
        </w:rPr>
        <w:t>months</w:t>
      </w:r>
      <w:proofErr w:type="gramEnd"/>
      <w:r w:rsidRPr="000D32A0">
        <w:rPr>
          <w:sz w:val="24"/>
          <w:szCs w:val="24"/>
          <w:lang w:val="en-US"/>
        </w:rPr>
        <w:t xml:space="preserve"> post-transplant to assess for biliary complications and secondary outcome measures.</w:t>
      </w:r>
    </w:p>
    <w:p w14:paraId="12317CF9" w14:textId="4323679F" w:rsidR="00163FF3" w:rsidRPr="00A560ED" w:rsidRDefault="00163FF3">
      <w:pPr>
        <w:rPr>
          <w:color w:val="823B0B" w:themeColor="accent2" w:themeShade="7F"/>
          <w:sz w:val="24"/>
          <w:szCs w:val="24"/>
          <w:lang w:val="en-US"/>
        </w:rPr>
      </w:pPr>
      <w:r w:rsidRPr="00A560ED">
        <w:rPr>
          <w:color w:val="823B0B" w:themeColor="accent2" w:themeShade="7F"/>
          <w:sz w:val="24"/>
          <w:szCs w:val="24"/>
          <w:lang w:val="en-US"/>
        </w:rPr>
        <w:t>Data Management</w:t>
      </w:r>
    </w:p>
    <w:p w14:paraId="60F9AB61" w14:textId="5E744AD4" w:rsidR="00163FF3" w:rsidRPr="00A560ED" w:rsidRDefault="00163FF3" w:rsidP="00443E1A">
      <w:pPr>
        <w:rPr>
          <w:sz w:val="24"/>
          <w:szCs w:val="24"/>
          <w:lang w:val="en-US"/>
        </w:rPr>
      </w:pPr>
      <w:r w:rsidRPr="00757D07">
        <w:rPr>
          <w:sz w:val="24"/>
          <w:szCs w:val="24"/>
          <w:lang w:val="en-US"/>
        </w:rPr>
        <w:t xml:space="preserve">Data will be </w:t>
      </w:r>
      <w:r>
        <w:rPr>
          <w:sz w:val="24"/>
          <w:szCs w:val="24"/>
          <w:lang w:val="en-US"/>
        </w:rPr>
        <w:t xml:space="preserve">stored on the </w:t>
      </w:r>
      <w:r w:rsidR="00385B6E">
        <w:rPr>
          <w:sz w:val="24"/>
          <w:szCs w:val="24"/>
          <w:lang w:val="en-US"/>
        </w:rPr>
        <w:t>PAH hard drive</w:t>
      </w:r>
      <w:r>
        <w:rPr>
          <w:sz w:val="24"/>
          <w:szCs w:val="24"/>
          <w:lang w:val="en-US"/>
        </w:rPr>
        <w:t xml:space="preserve"> </w:t>
      </w:r>
      <w:r w:rsidRPr="00757D07">
        <w:rPr>
          <w:sz w:val="24"/>
          <w:szCs w:val="24"/>
          <w:lang w:val="en-US"/>
        </w:rPr>
        <w:t xml:space="preserve">accessible only to the investigators in this study. Disclosure of information will be for the purposes of presentation or publication and the data will be de-identified and presented in statistical format. Upon completion of the project the </w:t>
      </w:r>
      <w:r>
        <w:rPr>
          <w:sz w:val="24"/>
          <w:szCs w:val="24"/>
          <w:lang w:val="en-US"/>
        </w:rPr>
        <w:t xml:space="preserve">folder will be deleted </w:t>
      </w:r>
      <w:r w:rsidRPr="00757D07">
        <w:rPr>
          <w:sz w:val="24"/>
          <w:szCs w:val="24"/>
          <w:lang w:val="en-US"/>
        </w:rPr>
        <w:t>to maintain patient confidentiality.</w:t>
      </w:r>
    </w:p>
    <w:p w14:paraId="2158B244" w14:textId="65308A2B" w:rsidR="00443E1A" w:rsidRPr="00A560ED" w:rsidRDefault="00443E1A">
      <w:pPr>
        <w:rPr>
          <w:color w:val="823B0B" w:themeColor="accent2" w:themeShade="7F"/>
          <w:sz w:val="24"/>
          <w:szCs w:val="24"/>
          <w:lang w:val="en-US"/>
        </w:rPr>
      </w:pPr>
      <w:r w:rsidRPr="00A560ED">
        <w:rPr>
          <w:color w:val="823B0B" w:themeColor="accent2" w:themeShade="7F"/>
          <w:sz w:val="24"/>
          <w:szCs w:val="24"/>
          <w:lang w:val="en-US"/>
        </w:rPr>
        <w:t>Patient withdrawal</w:t>
      </w:r>
    </w:p>
    <w:p w14:paraId="0715C4A4" w14:textId="59D31E24" w:rsidR="6D9A7E05" w:rsidRPr="00A560ED" w:rsidRDefault="00443E1A">
      <w:pPr>
        <w:rPr>
          <w:sz w:val="24"/>
          <w:szCs w:val="24"/>
          <w:lang w:val="en-US"/>
        </w:rPr>
      </w:pPr>
      <w:r w:rsidRPr="000D32A0">
        <w:rPr>
          <w:sz w:val="24"/>
          <w:szCs w:val="24"/>
          <w:lang w:val="en-US"/>
        </w:rPr>
        <w:t xml:space="preserve">A participant can withdraw at any time from the study up until they are taken into the operating theatre and </w:t>
      </w:r>
      <w:proofErr w:type="spellStart"/>
      <w:r w:rsidRPr="000D32A0">
        <w:rPr>
          <w:sz w:val="24"/>
          <w:szCs w:val="24"/>
          <w:lang w:val="en-US"/>
        </w:rPr>
        <w:t>anaesthesia</w:t>
      </w:r>
      <w:proofErr w:type="spellEnd"/>
      <w:r w:rsidRPr="000D32A0">
        <w:rPr>
          <w:sz w:val="24"/>
          <w:szCs w:val="24"/>
          <w:lang w:val="en-US"/>
        </w:rPr>
        <w:t xml:space="preserve"> is commenced. There will be no implications to withdrawal and liver transplantation will proceed as planned.</w:t>
      </w:r>
      <w:r w:rsidR="6D9A7E05" w:rsidRPr="000D32A0">
        <w:rPr>
          <w:sz w:val="24"/>
          <w:szCs w:val="24"/>
          <w:lang w:val="en-US"/>
        </w:rPr>
        <w:t xml:space="preserve"> </w:t>
      </w:r>
      <w:r w:rsidR="777C4228" w:rsidRPr="00A560ED">
        <w:rPr>
          <w:sz w:val="24"/>
          <w:szCs w:val="24"/>
          <w:lang w:val="en-US"/>
        </w:rPr>
        <w:t>If a patient does initially consent and then decide to withdraw consent</w:t>
      </w:r>
      <w:r w:rsidR="6D9A7E05" w:rsidRPr="00A560ED">
        <w:rPr>
          <w:sz w:val="24"/>
          <w:szCs w:val="24"/>
          <w:lang w:val="en-US"/>
        </w:rPr>
        <w:t xml:space="preserve"> this will be recorded for post-hoc analysis. </w:t>
      </w:r>
    </w:p>
    <w:p w14:paraId="01DE642A" w14:textId="66969A29" w:rsidR="00AF233D" w:rsidRPr="00A560ED" w:rsidRDefault="009C462F">
      <w:pPr>
        <w:rPr>
          <w:i/>
          <w:iCs/>
          <w:color w:val="823B0B" w:themeColor="accent2" w:themeShade="7F"/>
          <w:sz w:val="24"/>
          <w:szCs w:val="24"/>
          <w:lang w:val="en-US"/>
        </w:rPr>
      </w:pPr>
      <w:r w:rsidRPr="00A560ED">
        <w:rPr>
          <w:i/>
          <w:iCs/>
          <w:color w:val="823B0B" w:themeColor="accent2" w:themeShade="7F"/>
          <w:sz w:val="24"/>
          <w:szCs w:val="24"/>
          <w:lang w:val="en-US"/>
        </w:rPr>
        <w:t>INTERVENTIONS</w:t>
      </w:r>
    </w:p>
    <w:p w14:paraId="174326E1" w14:textId="3C3FA7CE" w:rsidR="00396C80" w:rsidRDefault="00E44D0F">
      <w:pPr>
        <w:rPr>
          <w:sz w:val="24"/>
          <w:szCs w:val="24"/>
          <w:lang w:val="en-US"/>
        </w:rPr>
      </w:pPr>
      <w:r>
        <w:rPr>
          <w:sz w:val="24"/>
          <w:szCs w:val="24"/>
          <w:lang w:val="en-US"/>
        </w:rPr>
        <w:t>The intervention required in the control arm or stent group is the placement of a trans-anastomotic stent during the duct to duct anastomosis</w:t>
      </w:r>
      <w:r w:rsidR="00DE1119">
        <w:rPr>
          <w:sz w:val="24"/>
          <w:szCs w:val="24"/>
          <w:lang w:val="en-US"/>
        </w:rPr>
        <w:t xml:space="preserve"> of a</w:t>
      </w:r>
      <w:r>
        <w:rPr>
          <w:sz w:val="24"/>
          <w:szCs w:val="24"/>
          <w:lang w:val="en-US"/>
        </w:rPr>
        <w:t xml:space="preserve"> liver transplant. </w:t>
      </w:r>
      <w:r w:rsidR="000839AF">
        <w:rPr>
          <w:sz w:val="24"/>
          <w:szCs w:val="24"/>
          <w:lang w:val="en-US"/>
        </w:rPr>
        <w:t xml:space="preserve">The stent is an infant feeding catheter composed of polyvinyl chloride cut to a length that allows it to be positioned across the anastomosis and through the Sphincter of </w:t>
      </w:r>
      <w:proofErr w:type="spellStart"/>
      <w:r w:rsidR="000839AF">
        <w:rPr>
          <w:sz w:val="24"/>
          <w:szCs w:val="24"/>
          <w:lang w:val="en-US"/>
        </w:rPr>
        <w:t>Oddi</w:t>
      </w:r>
      <w:proofErr w:type="spellEnd"/>
      <w:r w:rsidR="000839AF">
        <w:rPr>
          <w:sz w:val="24"/>
          <w:szCs w:val="24"/>
          <w:lang w:val="en-US"/>
        </w:rPr>
        <w:t xml:space="preserve">. </w:t>
      </w:r>
      <w:r w:rsidR="00DE1119">
        <w:rPr>
          <w:sz w:val="24"/>
          <w:szCs w:val="24"/>
          <w:lang w:val="en-US"/>
        </w:rPr>
        <w:t>The length is approximately 150mm with the proximal end positioned in the common hepatic duct and the distal end in the duodenum. The diameter of the catheter</w:t>
      </w:r>
      <w:r w:rsidR="00DA058A">
        <w:rPr>
          <w:sz w:val="24"/>
          <w:szCs w:val="24"/>
          <w:lang w:val="en-US"/>
        </w:rPr>
        <w:t xml:space="preserve"> used </w:t>
      </w:r>
      <w:r w:rsidR="355E9B84">
        <w:rPr>
          <w:sz w:val="24"/>
          <w:szCs w:val="24"/>
          <w:lang w:val="en-US"/>
        </w:rPr>
        <w:t xml:space="preserve">is </w:t>
      </w:r>
      <w:r w:rsidR="00DA058A">
        <w:rPr>
          <w:sz w:val="24"/>
          <w:szCs w:val="24"/>
          <w:lang w:val="en-US"/>
        </w:rPr>
        <w:t xml:space="preserve">at </w:t>
      </w:r>
      <w:r w:rsidR="355E9B84">
        <w:rPr>
          <w:sz w:val="24"/>
          <w:szCs w:val="24"/>
          <w:lang w:val="en-US"/>
        </w:rPr>
        <w:t xml:space="preserve">the </w:t>
      </w:r>
      <w:r w:rsidR="00DA058A">
        <w:rPr>
          <w:sz w:val="24"/>
          <w:szCs w:val="24"/>
          <w:lang w:val="en-US"/>
        </w:rPr>
        <w:t>surgeon discretion and</w:t>
      </w:r>
      <w:r w:rsidR="00DE1119">
        <w:rPr>
          <w:sz w:val="24"/>
          <w:szCs w:val="24"/>
          <w:lang w:val="en-US"/>
        </w:rPr>
        <w:t xml:space="preserve"> is </w:t>
      </w:r>
      <w:r w:rsidR="00DA058A">
        <w:rPr>
          <w:sz w:val="24"/>
          <w:szCs w:val="24"/>
          <w:lang w:val="en-US"/>
        </w:rPr>
        <w:t>either 05 or</w:t>
      </w:r>
      <w:r w:rsidR="00DE1119">
        <w:rPr>
          <w:sz w:val="24"/>
          <w:szCs w:val="24"/>
          <w:lang w:val="en-US"/>
        </w:rPr>
        <w:t xml:space="preserve"> 06</w:t>
      </w:r>
      <w:r w:rsidR="008408EA">
        <w:rPr>
          <w:sz w:val="24"/>
          <w:szCs w:val="24"/>
          <w:lang w:val="en-US"/>
        </w:rPr>
        <w:t xml:space="preserve"> CH</w:t>
      </w:r>
      <w:r w:rsidR="00DA058A">
        <w:rPr>
          <w:sz w:val="24"/>
          <w:szCs w:val="24"/>
          <w:lang w:val="en-US"/>
        </w:rPr>
        <w:t>,</w:t>
      </w:r>
      <w:r w:rsidR="00666B38">
        <w:rPr>
          <w:sz w:val="24"/>
          <w:szCs w:val="24"/>
          <w:lang w:val="en-US"/>
        </w:rPr>
        <w:t xml:space="preserve"> correspond</w:t>
      </w:r>
      <w:r w:rsidR="00DA058A">
        <w:rPr>
          <w:sz w:val="24"/>
          <w:szCs w:val="24"/>
          <w:lang w:val="en-US"/>
        </w:rPr>
        <w:t>ing</w:t>
      </w:r>
      <w:r w:rsidR="00666B38">
        <w:rPr>
          <w:sz w:val="24"/>
          <w:szCs w:val="24"/>
          <w:lang w:val="en-US"/>
        </w:rPr>
        <w:t xml:space="preserve"> to outer diameter</w:t>
      </w:r>
      <w:r w:rsidR="00DA058A">
        <w:rPr>
          <w:sz w:val="24"/>
          <w:szCs w:val="24"/>
          <w:lang w:val="en-US"/>
        </w:rPr>
        <w:t>s</w:t>
      </w:r>
      <w:r w:rsidR="00666B38">
        <w:rPr>
          <w:sz w:val="24"/>
          <w:szCs w:val="24"/>
          <w:lang w:val="en-US"/>
        </w:rPr>
        <w:t xml:space="preserve"> of</w:t>
      </w:r>
      <w:r w:rsidR="00DA058A">
        <w:rPr>
          <w:sz w:val="24"/>
          <w:szCs w:val="24"/>
          <w:lang w:val="en-US"/>
        </w:rPr>
        <w:t xml:space="preserve"> 1.67mm and</w:t>
      </w:r>
      <w:r w:rsidR="008408EA">
        <w:rPr>
          <w:sz w:val="24"/>
          <w:szCs w:val="24"/>
          <w:lang w:val="en-US"/>
        </w:rPr>
        <w:t xml:space="preserve"> 2.00mm</w:t>
      </w:r>
      <w:r w:rsidR="00DA058A">
        <w:rPr>
          <w:sz w:val="24"/>
          <w:szCs w:val="24"/>
          <w:lang w:val="en-US"/>
        </w:rPr>
        <w:t xml:space="preserve"> respectively</w:t>
      </w:r>
      <w:r w:rsidR="008408EA">
        <w:rPr>
          <w:sz w:val="24"/>
          <w:szCs w:val="24"/>
          <w:lang w:val="en-US"/>
        </w:rPr>
        <w:t>.</w:t>
      </w:r>
      <w:r w:rsidR="00666B38">
        <w:rPr>
          <w:sz w:val="24"/>
          <w:szCs w:val="24"/>
          <w:lang w:val="en-US"/>
        </w:rPr>
        <w:t xml:space="preserve"> </w:t>
      </w:r>
    </w:p>
    <w:p w14:paraId="07A9772A" w14:textId="1A462FC5" w:rsidR="00AF233D" w:rsidRPr="00AB6EBB" w:rsidRDefault="00DA058A">
      <w:pPr>
        <w:rPr>
          <w:sz w:val="24"/>
          <w:szCs w:val="24"/>
          <w:lang w:val="en-US"/>
        </w:rPr>
      </w:pPr>
      <w:r>
        <w:rPr>
          <w:sz w:val="24"/>
          <w:szCs w:val="24"/>
          <w:lang w:val="en-US"/>
        </w:rPr>
        <w:t>No</w:t>
      </w:r>
      <w:r w:rsidR="00257879">
        <w:rPr>
          <w:sz w:val="24"/>
          <w:szCs w:val="24"/>
          <w:lang w:val="en-US"/>
        </w:rPr>
        <w:t xml:space="preserve"> intervention</w:t>
      </w:r>
      <w:r>
        <w:rPr>
          <w:sz w:val="24"/>
          <w:szCs w:val="24"/>
          <w:lang w:val="en-US"/>
        </w:rPr>
        <w:t xml:space="preserve"> is</w:t>
      </w:r>
      <w:r w:rsidR="00257879">
        <w:rPr>
          <w:sz w:val="24"/>
          <w:szCs w:val="24"/>
          <w:lang w:val="en-US"/>
        </w:rPr>
        <w:t xml:space="preserve"> required in the treatment arm </w:t>
      </w:r>
      <w:r>
        <w:rPr>
          <w:sz w:val="24"/>
          <w:szCs w:val="24"/>
          <w:lang w:val="en-US"/>
        </w:rPr>
        <w:t>(</w:t>
      </w:r>
      <w:r w:rsidR="00257879">
        <w:rPr>
          <w:sz w:val="24"/>
          <w:szCs w:val="24"/>
          <w:lang w:val="en-US"/>
        </w:rPr>
        <w:t>no-stent group</w:t>
      </w:r>
      <w:r>
        <w:rPr>
          <w:sz w:val="24"/>
          <w:szCs w:val="24"/>
          <w:lang w:val="en-US"/>
        </w:rPr>
        <w:t>)</w:t>
      </w:r>
      <w:r w:rsidR="00804BD9">
        <w:rPr>
          <w:sz w:val="24"/>
          <w:szCs w:val="24"/>
          <w:lang w:val="en-US"/>
        </w:rPr>
        <w:t xml:space="preserve"> as the biliary anastomosis is performed without a stent.</w:t>
      </w:r>
    </w:p>
    <w:p w14:paraId="39448392" w14:textId="5F1A60C5" w:rsidR="009C462F" w:rsidRPr="00A560ED" w:rsidRDefault="00B11EC8">
      <w:pPr>
        <w:rPr>
          <w:i/>
          <w:iCs/>
          <w:color w:val="823B0B" w:themeColor="accent2" w:themeShade="7F"/>
          <w:sz w:val="24"/>
          <w:szCs w:val="24"/>
          <w:lang w:val="en-US"/>
        </w:rPr>
      </w:pPr>
      <w:r w:rsidRPr="00A560ED">
        <w:rPr>
          <w:i/>
          <w:iCs/>
          <w:color w:val="823B0B" w:themeColor="accent2" w:themeShade="7F"/>
          <w:sz w:val="24"/>
          <w:szCs w:val="24"/>
          <w:lang w:val="en-US"/>
        </w:rPr>
        <w:t>OUTCOME MEASURES</w:t>
      </w:r>
    </w:p>
    <w:p w14:paraId="75E9438D" w14:textId="02897043" w:rsidR="00FC0036" w:rsidRDefault="380EF28A" w:rsidP="009C462F">
      <w:pPr>
        <w:rPr>
          <w:sz w:val="24"/>
          <w:szCs w:val="24"/>
          <w:lang w:val="en-US"/>
        </w:rPr>
      </w:pPr>
      <w:r>
        <w:rPr>
          <w:sz w:val="24"/>
          <w:szCs w:val="24"/>
          <w:lang w:val="en-US"/>
        </w:rPr>
        <w:t>Pre-intervention b</w:t>
      </w:r>
      <w:r w:rsidR="0021036C">
        <w:rPr>
          <w:sz w:val="24"/>
          <w:szCs w:val="24"/>
          <w:lang w:val="en-US"/>
        </w:rPr>
        <w:t xml:space="preserve">aseline characteristics of the donor liver allograft and recipient will be </w:t>
      </w:r>
      <w:r w:rsidR="3A95BAFD">
        <w:rPr>
          <w:sz w:val="24"/>
          <w:szCs w:val="24"/>
          <w:lang w:val="en-US"/>
        </w:rPr>
        <w:t xml:space="preserve">accounted for by </w:t>
      </w:r>
      <w:proofErr w:type="spellStart"/>
      <w:r w:rsidR="3A95BAFD">
        <w:rPr>
          <w:sz w:val="24"/>
          <w:szCs w:val="24"/>
          <w:lang w:val="en-US"/>
        </w:rPr>
        <w:t>randomisation</w:t>
      </w:r>
      <w:proofErr w:type="spellEnd"/>
      <w:r w:rsidR="0021036C">
        <w:rPr>
          <w:sz w:val="24"/>
          <w:szCs w:val="24"/>
          <w:lang w:val="en-US"/>
        </w:rPr>
        <w:t xml:space="preserve">. </w:t>
      </w:r>
      <w:r w:rsidR="00FC0036">
        <w:rPr>
          <w:sz w:val="24"/>
          <w:szCs w:val="24"/>
          <w:lang w:val="en-US"/>
        </w:rPr>
        <w:t>Donor age and</w:t>
      </w:r>
      <w:r w:rsidR="0021036C">
        <w:rPr>
          <w:sz w:val="24"/>
          <w:szCs w:val="24"/>
          <w:lang w:val="en-US"/>
        </w:rPr>
        <w:t xml:space="preserve"> cold and warm </w:t>
      </w:r>
      <w:proofErr w:type="spellStart"/>
      <w:r w:rsidR="0021036C">
        <w:rPr>
          <w:sz w:val="24"/>
          <w:szCs w:val="24"/>
          <w:lang w:val="en-US"/>
        </w:rPr>
        <w:t>ischaemic</w:t>
      </w:r>
      <w:proofErr w:type="spellEnd"/>
      <w:r w:rsidR="0021036C">
        <w:rPr>
          <w:sz w:val="24"/>
          <w:szCs w:val="24"/>
          <w:lang w:val="en-US"/>
        </w:rPr>
        <w:t xml:space="preserve"> times will </w:t>
      </w:r>
      <w:r w:rsidR="00FC0036">
        <w:rPr>
          <w:sz w:val="24"/>
          <w:szCs w:val="24"/>
          <w:lang w:val="en-US"/>
        </w:rPr>
        <w:t xml:space="preserve">be </w:t>
      </w:r>
      <w:r w:rsidR="0021036C">
        <w:rPr>
          <w:sz w:val="24"/>
          <w:szCs w:val="24"/>
          <w:lang w:val="en-US"/>
        </w:rPr>
        <w:t xml:space="preserve">measured. Recipient age, </w:t>
      </w:r>
      <w:proofErr w:type="spellStart"/>
      <w:r w:rsidR="0021036C">
        <w:rPr>
          <w:sz w:val="24"/>
          <w:szCs w:val="24"/>
          <w:lang w:val="en-US"/>
        </w:rPr>
        <w:t>aetiology</w:t>
      </w:r>
      <w:proofErr w:type="spellEnd"/>
      <w:r w:rsidR="0021036C">
        <w:rPr>
          <w:sz w:val="24"/>
          <w:szCs w:val="24"/>
          <w:lang w:val="en-US"/>
        </w:rPr>
        <w:t xml:space="preserve"> and indication for liver transplant as well as Model for End</w:t>
      </w:r>
      <w:r w:rsidR="00DA058A">
        <w:rPr>
          <w:sz w:val="24"/>
          <w:szCs w:val="24"/>
          <w:lang w:val="en-US"/>
        </w:rPr>
        <w:t>-S</w:t>
      </w:r>
      <w:r w:rsidR="0021036C">
        <w:rPr>
          <w:sz w:val="24"/>
          <w:szCs w:val="24"/>
          <w:lang w:val="en-US"/>
        </w:rPr>
        <w:t xml:space="preserve">tage Liver Disease (MELD) score will be </w:t>
      </w:r>
      <w:r w:rsidR="57208EB9">
        <w:rPr>
          <w:sz w:val="24"/>
          <w:szCs w:val="24"/>
          <w:lang w:val="en-US"/>
        </w:rPr>
        <w:t>collated</w:t>
      </w:r>
      <w:r w:rsidR="0021036C">
        <w:rPr>
          <w:sz w:val="24"/>
          <w:szCs w:val="24"/>
          <w:lang w:val="en-US"/>
        </w:rPr>
        <w:t xml:space="preserve">. </w:t>
      </w:r>
      <w:r w:rsidR="3A95BAFD">
        <w:rPr>
          <w:sz w:val="24"/>
          <w:szCs w:val="24"/>
          <w:lang w:val="en-US"/>
        </w:rPr>
        <w:t>D</w:t>
      </w:r>
      <w:r w:rsidR="09FA4C9A">
        <w:rPr>
          <w:sz w:val="24"/>
          <w:szCs w:val="24"/>
          <w:lang w:val="en-US"/>
        </w:rPr>
        <w:t>ifference</w:t>
      </w:r>
      <w:r w:rsidR="09FA4C9A" w:rsidRPr="00A560ED">
        <w:rPr>
          <w:sz w:val="24"/>
          <w:szCs w:val="24"/>
          <w:lang w:val="en-US"/>
        </w:rPr>
        <w:t>s across study arms will be assessed for statistical sign</w:t>
      </w:r>
      <w:r w:rsidR="4F672CDE" w:rsidRPr="00A560ED">
        <w:rPr>
          <w:sz w:val="24"/>
          <w:szCs w:val="24"/>
          <w:lang w:val="en-US"/>
        </w:rPr>
        <w:t xml:space="preserve">ificance. </w:t>
      </w:r>
      <w:r w:rsidR="00FC0036">
        <w:rPr>
          <w:sz w:val="24"/>
          <w:szCs w:val="24"/>
          <w:lang w:val="en-US"/>
        </w:rPr>
        <w:t xml:space="preserve">Intraoperative documentation </w:t>
      </w:r>
      <w:r w:rsidR="003235B7">
        <w:rPr>
          <w:sz w:val="24"/>
          <w:szCs w:val="24"/>
          <w:lang w:val="en-US"/>
        </w:rPr>
        <w:t>of the transit time flow measurement</w:t>
      </w:r>
      <w:r w:rsidR="003807F4">
        <w:rPr>
          <w:sz w:val="24"/>
          <w:szCs w:val="24"/>
          <w:lang w:val="en-US"/>
        </w:rPr>
        <w:t xml:space="preserve"> across the vascular anastomose</w:t>
      </w:r>
      <w:r w:rsidR="00FC0036">
        <w:rPr>
          <w:sz w:val="24"/>
          <w:szCs w:val="24"/>
          <w:lang w:val="en-US"/>
        </w:rPr>
        <w:t xml:space="preserve">s and documented </w:t>
      </w:r>
      <w:r w:rsidR="00093628">
        <w:rPr>
          <w:sz w:val="24"/>
          <w:szCs w:val="24"/>
          <w:lang w:val="en-US"/>
        </w:rPr>
        <w:t xml:space="preserve">complexity or </w:t>
      </w:r>
      <w:r w:rsidR="00FC0036">
        <w:rPr>
          <w:sz w:val="24"/>
          <w:szCs w:val="24"/>
          <w:lang w:val="en-US"/>
        </w:rPr>
        <w:t>difficulty associated with the vascular anastomoses</w:t>
      </w:r>
      <w:r w:rsidR="00093628">
        <w:rPr>
          <w:sz w:val="24"/>
          <w:szCs w:val="24"/>
          <w:lang w:val="en-US"/>
        </w:rPr>
        <w:t xml:space="preserve"> will also be recorded</w:t>
      </w:r>
      <w:r w:rsidR="00FC0036">
        <w:rPr>
          <w:sz w:val="24"/>
          <w:szCs w:val="24"/>
          <w:lang w:val="en-US"/>
        </w:rPr>
        <w:t xml:space="preserve"> (e.g. </w:t>
      </w:r>
      <w:r w:rsidR="00093628">
        <w:rPr>
          <w:sz w:val="24"/>
          <w:szCs w:val="24"/>
          <w:lang w:val="en-US"/>
        </w:rPr>
        <w:t xml:space="preserve">utilization of vascular grafts or </w:t>
      </w:r>
      <w:r w:rsidR="00FC0036">
        <w:rPr>
          <w:sz w:val="24"/>
          <w:szCs w:val="24"/>
          <w:lang w:val="en-US"/>
        </w:rPr>
        <w:t>performing the arterial anastomosis more than once). Post</w:t>
      </w:r>
      <w:r w:rsidR="13C5E36D">
        <w:rPr>
          <w:sz w:val="24"/>
          <w:szCs w:val="24"/>
          <w:lang w:val="en-US"/>
        </w:rPr>
        <w:t>-</w:t>
      </w:r>
      <w:r w:rsidR="409FAA74" w:rsidRPr="00A560ED">
        <w:rPr>
          <w:sz w:val="24"/>
          <w:szCs w:val="24"/>
          <w:lang w:val="en-US"/>
        </w:rPr>
        <w:t>intervention events including</w:t>
      </w:r>
      <w:r w:rsidR="00FC0036">
        <w:rPr>
          <w:sz w:val="24"/>
          <w:szCs w:val="24"/>
          <w:lang w:val="en-US"/>
        </w:rPr>
        <w:t xml:space="preserve"> early </w:t>
      </w:r>
      <w:r w:rsidR="27B1E813">
        <w:rPr>
          <w:sz w:val="24"/>
          <w:szCs w:val="24"/>
          <w:lang w:val="en-US"/>
        </w:rPr>
        <w:t xml:space="preserve">and late complications </w:t>
      </w:r>
      <w:r w:rsidR="00FC0036">
        <w:rPr>
          <w:sz w:val="24"/>
          <w:szCs w:val="24"/>
          <w:lang w:val="en-US"/>
        </w:rPr>
        <w:t xml:space="preserve">will be documented. </w:t>
      </w:r>
    </w:p>
    <w:p w14:paraId="24E6BA1F" w14:textId="453D951C" w:rsidR="003C5F40" w:rsidRDefault="009C462F" w:rsidP="009C462F">
      <w:pPr>
        <w:rPr>
          <w:sz w:val="24"/>
          <w:szCs w:val="24"/>
          <w:lang w:val="en-US"/>
        </w:rPr>
      </w:pPr>
      <w:r w:rsidRPr="005F2956">
        <w:rPr>
          <w:sz w:val="24"/>
          <w:szCs w:val="24"/>
          <w:lang w:val="en-US"/>
        </w:rPr>
        <w:t>Primary outcomes will be biliary complications including bile leak</w:t>
      </w:r>
      <w:r w:rsidR="00E669CA">
        <w:rPr>
          <w:sz w:val="24"/>
          <w:szCs w:val="24"/>
          <w:lang w:val="en-US"/>
        </w:rPr>
        <w:t xml:space="preserve"> and</w:t>
      </w:r>
      <w:r w:rsidR="00B800CA">
        <w:rPr>
          <w:sz w:val="24"/>
          <w:szCs w:val="24"/>
          <w:lang w:val="en-US"/>
        </w:rPr>
        <w:t xml:space="preserve"> </w:t>
      </w:r>
      <w:r w:rsidRPr="005F2956">
        <w:rPr>
          <w:sz w:val="24"/>
          <w:szCs w:val="24"/>
          <w:lang w:val="en-US"/>
        </w:rPr>
        <w:t>stricture</w:t>
      </w:r>
      <w:r>
        <w:rPr>
          <w:sz w:val="24"/>
          <w:szCs w:val="24"/>
          <w:lang w:val="en-US"/>
        </w:rPr>
        <w:t xml:space="preserve"> for</w:t>
      </w:r>
      <w:r w:rsidR="003C5F40">
        <w:rPr>
          <w:sz w:val="24"/>
          <w:szCs w:val="24"/>
          <w:lang w:val="en-US"/>
        </w:rPr>
        <w:t>mation for</w:t>
      </w:r>
      <w:r>
        <w:rPr>
          <w:sz w:val="24"/>
          <w:szCs w:val="24"/>
          <w:lang w:val="en-US"/>
        </w:rPr>
        <w:t xml:space="preserve"> a period of 6 </w:t>
      </w:r>
      <w:proofErr w:type="gramStart"/>
      <w:r>
        <w:rPr>
          <w:sz w:val="24"/>
          <w:szCs w:val="24"/>
          <w:lang w:val="en-US"/>
        </w:rPr>
        <w:t>months</w:t>
      </w:r>
      <w:proofErr w:type="gramEnd"/>
      <w:r>
        <w:rPr>
          <w:sz w:val="24"/>
          <w:szCs w:val="24"/>
          <w:lang w:val="en-US"/>
        </w:rPr>
        <w:t xml:space="preserve"> </w:t>
      </w:r>
      <w:proofErr w:type="spellStart"/>
      <w:r>
        <w:rPr>
          <w:sz w:val="24"/>
          <w:szCs w:val="24"/>
          <w:lang w:val="en-US"/>
        </w:rPr>
        <w:t>post transplant</w:t>
      </w:r>
      <w:proofErr w:type="spellEnd"/>
      <w:r w:rsidRPr="005F2956">
        <w:rPr>
          <w:sz w:val="24"/>
          <w:szCs w:val="24"/>
          <w:lang w:val="en-US"/>
        </w:rPr>
        <w:t xml:space="preserve">. </w:t>
      </w:r>
      <w:r w:rsidR="000A7358">
        <w:rPr>
          <w:sz w:val="24"/>
          <w:szCs w:val="24"/>
          <w:lang w:val="en-US"/>
        </w:rPr>
        <w:t xml:space="preserve">Bile leak is defined as </w:t>
      </w:r>
      <w:r w:rsidR="007E5229">
        <w:rPr>
          <w:sz w:val="24"/>
          <w:szCs w:val="24"/>
          <w:lang w:val="en-US"/>
        </w:rPr>
        <w:t xml:space="preserve">a clinically significant leak resulting in delayed removal of postoperative drains or requiring intervention (percutaneous, endoscopic or operative). </w:t>
      </w:r>
      <w:r w:rsidR="003C5F40">
        <w:rPr>
          <w:sz w:val="24"/>
          <w:szCs w:val="24"/>
          <w:lang w:val="en-US"/>
        </w:rPr>
        <w:t>Bile duct stricture is defined as a clinically significant stenosis requiring</w:t>
      </w:r>
      <w:r w:rsidR="00DA058A">
        <w:rPr>
          <w:sz w:val="24"/>
          <w:szCs w:val="24"/>
          <w:lang w:val="en-US"/>
        </w:rPr>
        <w:t xml:space="preserve"> radiological or surgical</w:t>
      </w:r>
      <w:r w:rsidR="003C5F40">
        <w:rPr>
          <w:sz w:val="24"/>
          <w:szCs w:val="24"/>
          <w:lang w:val="en-US"/>
        </w:rPr>
        <w:t xml:space="preserve"> intervention. </w:t>
      </w:r>
    </w:p>
    <w:p w14:paraId="21161240" w14:textId="668E3B2C" w:rsidR="009C462F" w:rsidRPr="005F2956" w:rsidRDefault="009C462F" w:rsidP="009C462F">
      <w:pPr>
        <w:rPr>
          <w:sz w:val="24"/>
          <w:szCs w:val="24"/>
          <w:lang w:val="en-US"/>
        </w:rPr>
      </w:pPr>
      <w:r w:rsidRPr="005F2956">
        <w:rPr>
          <w:sz w:val="24"/>
          <w:szCs w:val="24"/>
          <w:lang w:val="en-US"/>
        </w:rPr>
        <w:lastRenderedPageBreak/>
        <w:t xml:space="preserve">Secondary outcomes include requirement for further intervention including re-operation, ERCP or percutaneous </w:t>
      </w:r>
      <w:proofErr w:type="spellStart"/>
      <w:r w:rsidRPr="005F2956">
        <w:rPr>
          <w:sz w:val="24"/>
          <w:szCs w:val="24"/>
          <w:lang w:val="en-US"/>
        </w:rPr>
        <w:t>transhepatic</w:t>
      </w:r>
      <w:proofErr w:type="spellEnd"/>
      <w:r w:rsidRPr="005F2956">
        <w:rPr>
          <w:sz w:val="24"/>
          <w:szCs w:val="24"/>
          <w:lang w:val="en-US"/>
        </w:rPr>
        <w:t xml:space="preserve"> cholangiography (PTC)</w:t>
      </w:r>
      <w:r>
        <w:rPr>
          <w:sz w:val="24"/>
          <w:szCs w:val="24"/>
          <w:lang w:val="en-US"/>
        </w:rPr>
        <w:t xml:space="preserve"> and mortality</w:t>
      </w:r>
      <w:r w:rsidRPr="005F2956">
        <w:rPr>
          <w:sz w:val="24"/>
          <w:szCs w:val="24"/>
          <w:lang w:val="en-US"/>
        </w:rPr>
        <w:t xml:space="preserve">. </w:t>
      </w:r>
      <w:r>
        <w:rPr>
          <w:sz w:val="24"/>
          <w:szCs w:val="24"/>
          <w:lang w:val="en-US"/>
        </w:rPr>
        <w:t>C</w:t>
      </w:r>
      <w:r w:rsidRPr="009F20BD">
        <w:rPr>
          <w:sz w:val="24"/>
          <w:szCs w:val="24"/>
          <w:lang w:val="en-US"/>
        </w:rPr>
        <w:t xml:space="preserve">omplications related to stent placement </w:t>
      </w:r>
      <w:r w:rsidR="00E669CA">
        <w:rPr>
          <w:sz w:val="24"/>
          <w:szCs w:val="24"/>
          <w:lang w:val="en-US"/>
        </w:rPr>
        <w:t xml:space="preserve">(including blockage) </w:t>
      </w:r>
      <w:r>
        <w:rPr>
          <w:sz w:val="24"/>
          <w:szCs w:val="24"/>
          <w:lang w:val="en-US"/>
        </w:rPr>
        <w:t xml:space="preserve">and its extraction by endoscopy will also be assessed. </w:t>
      </w:r>
    </w:p>
    <w:p w14:paraId="14A65AD5" w14:textId="4CF75C51" w:rsidR="0095468B" w:rsidRPr="00A560ED" w:rsidRDefault="00406CC9">
      <w:pPr>
        <w:rPr>
          <w:i/>
          <w:iCs/>
          <w:color w:val="823B0B" w:themeColor="accent2" w:themeShade="7F"/>
          <w:sz w:val="24"/>
          <w:szCs w:val="24"/>
          <w:lang w:val="en-US"/>
        </w:rPr>
      </w:pPr>
      <w:r w:rsidRPr="00A560ED">
        <w:rPr>
          <w:i/>
          <w:iCs/>
          <w:color w:val="823B0B" w:themeColor="accent2" w:themeShade="7F"/>
          <w:sz w:val="24"/>
          <w:szCs w:val="24"/>
          <w:lang w:val="en-US"/>
        </w:rPr>
        <w:t>SAMPLE SIZE</w:t>
      </w:r>
    </w:p>
    <w:p w14:paraId="12AAA070" w14:textId="7C1B4B0F" w:rsidR="0095468B" w:rsidRPr="00A560ED" w:rsidRDefault="00ED1591">
      <w:pPr>
        <w:rPr>
          <w:sz w:val="24"/>
          <w:szCs w:val="24"/>
          <w:lang w:val="en-US"/>
        </w:rPr>
      </w:pPr>
      <w:r>
        <w:rPr>
          <w:sz w:val="24"/>
          <w:szCs w:val="24"/>
          <w:lang w:val="en-US"/>
        </w:rPr>
        <w:t>A s</w:t>
      </w:r>
      <w:r w:rsidR="001B5DD3">
        <w:rPr>
          <w:sz w:val="24"/>
          <w:szCs w:val="24"/>
          <w:lang w:val="en-US"/>
        </w:rPr>
        <w:t>ample size</w:t>
      </w:r>
      <w:r w:rsidR="00E669CA">
        <w:rPr>
          <w:sz w:val="24"/>
          <w:szCs w:val="24"/>
          <w:lang w:val="en-US"/>
        </w:rPr>
        <w:t xml:space="preserve"> </w:t>
      </w:r>
      <w:r>
        <w:rPr>
          <w:sz w:val="24"/>
          <w:szCs w:val="24"/>
          <w:lang w:val="en-US"/>
        </w:rPr>
        <w:t>of</w:t>
      </w:r>
      <w:r w:rsidR="00E669CA">
        <w:rPr>
          <w:sz w:val="24"/>
          <w:szCs w:val="24"/>
          <w:lang w:val="en-US"/>
        </w:rPr>
        <w:t xml:space="preserve"> 80 patients</w:t>
      </w:r>
      <w:r w:rsidR="005927AF">
        <w:rPr>
          <w:sz w:val="24"/>
          <w:szCs w:val="24"/>
          <w:lang w:val="en-US"/>
        </w:rPr>
        <w:t xml:space="preserve"> was calculated to provide </w:t>
      </w:r>
      <w:r>
        <w:rPr>
          <w:sz w:val="24"/>
          <w:szCs w:val="24"/>
          <w:lang w:val="en-US"/>
        </w:rPr>
        <w:t>a statistically significant</w:t>
      </w:r>
      <w:r w:rsidR="005927AF">
        <w:rPr>
          <w:sz w:val="24"/>
          <w:szCs w:val="24"/>
          <w:lang w:val="en-US"/>
        </w:rPr>
        <w:t xml:space="preserve"> result with 95% confidence and 80% power using an online power calculator (</w:t>
      </w:r>
      <w:r w:rsidR="005927AF" w:rsidRPr="00076D2F">
        <w:rPr>
          <w:sz w:val="24"/>
          <w:szCs w:val="24"/>
          <w:lang w:val="en-US"/>
        </w:rPr>
        <w:t>http://powerandsamplesize.com</w:t>
      </w:r>
      <w:r w:rsidR="005927AF">
        <w:rPr>
          <w:sz w:val="24"/>
          <w:szCs w:val="24"/>
          <w:lang w:val="en-US"/>
        </w:rPr>
        <w:t>)</w:t>
      </w:r>
      <w:r w:rsidR="00E669CA">
        <w:rPr>
          <w:sz w:val="24"/>
          <w:szCs w:val="24"/>
          <w:lang w:val="en-US"/>
        </w:rPr>
        <w:t xml:space="preserve">. </w:t>
      </w:r>
      <w:r w:rsidR="005927AF">
        <w:rPr>
          <w:sz w:val="24"/>
          <w:szCs w:val="24"/>
          <w:lang w:val="en-US"/>
        </w:rPr>
        <w:t xml:space="preserve">The retrospective observational data generated from Ong et al </w:t>
      </w:r>
      <w:r>
        <w:rPr>
          <w:sz w:val="24"/>
          <w:szCs w:val="24"/>
          <w:lang w:val="en-US"/>
        </w:rPr>
        <w:t>showed</w:t>
      </w:r>
      <w:r w:rsidR="005927AF">
        <w:rPr>
          <w:sz w:val="24"/>
          <w:szCs w:val="24"/>
          <w:lang w:val="en-US"/>
        </w:rPr>
        <w:t xml:space="preserve"> </w:t>
      </w:r>
      <w:r w:rsidR="3B116F9A">
        <w:rPr>
          <w:sz w:val="24"/>
          <w:szCs w:val="24"/>
          <w:lang w:val="en-US"/>
        </w:rPr>
        <w:t xml:space="preserve">a biliary complication rate </w:t>
      </w:r>
      <w:r w:rsidR="45418BA0">
        <w:rPr>
          <w:sz w:val="24"/>
          <w:szCs w:val="24"/>
          <w:lang w:val="en-US"/>
        </w:rPr>
        <w:t xml:space="preserve">of </w:t>
      </w:r>
      <w:r w:rsidR="3B116F9A">
        <w:rPr>
          <w:sz w:val="24"/>
          <w:szCs w:val="24"/>
          <w:lang w:val="en-US"/>
        </w:rPr>
        <w:t xml:space="preserve">29.9% </w:t>
      </w:r>
      <w:r w:rsidR="6579BBCE">
        <w:rPr>
          <w:sz w:val="24"/>
          <w:szCs w:val="24"/>
          <w:lang w:val="en-US"/>
        </w:rPr>
        <w:t xml:space="preserve">and 7.9% </w:t>
      </w:r>
      <w:r w:rsidR="00DA058A">
        <w:rPr>
          <w:sz w:val="24"/>
          <w:szCs w:val="24"/>
          <w:lang w:val="en-US"/>
        </w:rPr>
        <w:t xml:space="preserve">in the control </w:t>
      </w:r>
      <w:r w:rsidR="427AFDD4">
        <w:rPr>
          <w:sz w:val="24"/>
          <w:szCs w:val="24"/>
          <w:lang w:val="en-US"/>
        </w:rPr>
        <w:t xml:space="preserve">(stent group n=88) </w:t>
      </w:r>
      <w:r w:rsidR="005927AF">
        <w:rPr>
          <w:sz w:val="24"/>
          <w:szCs w:val="24"/>
          <w:lang w:val="en-US"/>
        </w:rPr>
        <w:t>and treatment arms</w:t>
      </w:r>
      <w:r w:rsidR="6579BBCE">
        <w:rPr>
          <w:sz w:val="24"/>
          <w:szCs w:val="24"/>
          <w:lang w:val="en-US"/>
        </w:rPr>
        <w:t xml:space="preserve"> (no stent group n= </w:t>
      </w:r>
      <w:r w:rsidR="45418BA0">
        <w:rPr>
          <w:sz w:val="24"/>
          <w:szCs w:val="24"/>
          <w:lang w:val="en-US"/>
        </w:rPr>
        <w:t>37)</w:t>
      </w:r>
      <w:r w:rsidR="00DA058A">
        <w:rPr>
          <w:sz w:val="24"/>
          <w:szCs w:val="24"/>
          <w:lang w:val="en-US"/>
        </w:rPr>
        <w:t xml:space="preserve"> respectively</w:t>
      </w:r>
      <w:r w:rsidR="005927AF">
        <w:rPr>
          <w:sz w:val="24"/>
          <w:szCs w:val="24"/>
          <w:lang w:val="en-US"/>
        </w:rPr>
        <w:t>.</w:t>
      </w:r>
      <w:r>
        <w:rPr>
          <w:sz w:val="24"/>
          <w:szCs w:val="24"/>
          <w:lang w:val="en-US"/>
        </w:rPr>
        <w:t xml:space="preserve"> A 10% non-inferiority margin was deemed clinically acceptable.</w:t>
      </w:r>
    </w:p>
    <w:p w14:paraId="3AA4F4B5" w14:textId="5048829B" w:rsidR="009C462F" w:rsidRPr="00A560ED" w:rsidRDefault="00406CC9">
      <w:pPr>
        <w:rPr>
          <w:i/>
          <w:iCs/>
          <w:color w:val="823B0B" w:themeColor="accent2" w:themeShade="7F"/>
          <w:sz w:val="24"/>
          <w:szCs w:val="24"/>
          <w:lang w:val="en-US"/>
        </w:rPr>
      </w:pPr>
      <w:r w:rsidRPr="00A560ED">
        <w:rPr>
          <w:i/>
          <w:iCs/>
          <w:color w:val="823B0B" w:themeColor="accent2" w:themeShade="7F"/>
          <w:sz w:val="24"/>
          <w:szCs w:val="24"/>
          <w:lang w:val="en-US"/>
        </w:rPr>
        <w:t>RANDOMISATION TECHNIQUE</w:t>
      </w:r>
    </w:p>
    <w:p w14:paraId="7BE5F797" w14:textId="3781BE1E" w:rsidR="00B116B2" w:rsidRDefault="00B116B2">
      <w:pPr>
        <w:rPr>
          <w:sz w:val="24"/>
          <w:szCs w:val="24"/>
          <w:lang w:val="en-US"/>
        </w:rPr>
      </w:pPr>
      <w:proofErr w:type="spellStart"/>
      <w:r>
        <w:rPr>
          <w:sz w:val="24"/>
          <w:szCs w:val="24"/>
          <w:lang w:val="en-US"/>
        </w:rPr>
        <w:t>Randomisation</w:t>
      </w:r>
      <w:proofErr w:type="spellEnd"/>
      <w:r>
        <w:rPr>
          <w:sz w:val="24"/>
          <w:szCs w:val="24"/>
          <w:lang w:val="en-US"/>
        </w:rPr>
        <w:t xml:space="preserve"> will be achieved by </w:t>
      </w:r>
      <w:r w:rsidR="00FC1E9B">
        <w:rPr>
          <w:sz w:val="24"/>
          <w:szCs w:val="24"/>
          <w:lang w:val="en-US"/>
        </w:rPr>
        <w:t xml:space="preserve">a </w:t>
      </w:r>
      <w:r w:rsidR="00076D2F">
        <w:rPr>
          <w:sz w:val="24"/>
          <w:szCs w:val="24"/>
          <w:lang w:val="en-US"/>
        </w:rPr>
        <w:t>computer-generated</w:t>
      </w:r>
      <w:r>
        <w:rPr>
          <w:sz w:val="24"/>
          <w:szCs w:val="24"/>
          <w:lang w:val="en-US"/>
        </w:rPr>
        <w:t xml:space="preserve"> table</w:t>
      </w:r>
      <w:r w:rsidR="00977C03">
        <w:rPr>
          <w:sz w:val="24"/>
          <w:szCs w:val="24"/>
          <w:lang w:val="en-US"/>
        </w:rPr>
        <w:t xml:space="preserve"> </w:t>
      </w:r>
      <w:r>
        <w:rPr>
          <w:sz w:val="24"/>
          <w:szCs w:val="24"/>
          <w:lang w:val="en-US"/>
        </w:rPr>
        <w:t xml:space="preserve">using </w:t>
      </w:r>
      <w:r w:rsidR="00F20462">
        <w:rPr>
          <w:sz w:val="24"/>
          <w:szCs w:val="24"/>
          <w:lang w:val="en-US"/>
        </w:rPr>
        <w:t>the</w:t>
      </w:r>
      <w:r>
        <w:rPr>
          <w:sz w:val="24"/>
          <w:szCs w:val="24"/>
          <w:lang w:val="en-US"/>
        </w:rPr>
        <w:t xml:space="preserve"> online website (</w:t>
      </w:r>
      <w:hyperlink r:id="rId9" w:history="1">
        <w:r w:rsidR="00076D2F" w:rsidRPr="008F2084">
          <w:rPr>
            <w:rStyle w:val="Hyperlink"/>
            <w:sz w:val="24"/>
            <w:szCs w:val="24"/>
            <w:lang w:val="en-US"/>
          </w:rPr>
          <w:t>https://www.sealedenvelope.com)</w:t>
        </w:r>
      </w:hyperlink>
      <w:r w:rsidR="00076D2F">
        <w:rPr>
          <w:sz w:val="24"/>
          <w:szCs w:val="24"/>
          <w:lang w:val="en-US"/>
        </w:rPr>
        <w:t xml:space="preserve">. </w:t>
      </w:r>
      <w:r>
        <w:rPr>
          <w:sz w:val="24"/>
          <w:szCs w:val="24"/>
          <w:lang w:val="en-US"/>
        </w:rPr>
        <w:t xml:space="preserve">Allocation to study arms will be in </w:t>
      </w:r>
      <w:r w:rsidR="00EE4DC3">
        <w:rPr>
          <w:sz w:val="24"/>
          <w:szCs w:val="24"/>
          <w:lang w:val="en-US"/>
        </w:rPr>
        <w:t xml:space="preserve">a </w:t>
      </w:r>
      <w:r>
        <w:rPr>
          <w:sz w:val="24"/>
          <w:szCs w:val="24"/>
          <w:lang w:val="en-US"/>
        </w:rPr>
        <w:t xml:space="preserve">1:1 ratio, in blocks of 20 to </w:t>
      </w:r>
      <w:proofErr w:type="spellStart"/>
      <w:r>
        <w:rPr>
          <w:sz w:val="24"/>
          <w:szCs w:val="24"/>
          <w:lang w:val="en-US"/>
        </w:rPr>
        <w:t>minimise</w:t>
      </w:r>
      <w:proofErr w:type="spellEnd"/>
      <w:r>
        <w:rPr>
          <w:sz w:val="24"/>
          <w:szCs w:val="24"/>
          <w:lang w:val="en-US"/>
        </w:rPr>
        <w:t xml:space="preserve"> asymmetr</w:t>
      </w:r>
      <w:r w:rsidR="00282FE0">
        <w:rPr>
          <w:sz w:val="24"/>
          <w:szCs w:val="24"/>
          <w:lang w:val="en-US"/>
        </w:rPr>
        <w:t xml:space="preserve">ical </w:t>
      </w:r>
      <w:r>
        <w:rPr>
          <w:sz w:val="24"/>
          <w:szCs w:val="24"/>
          <w:lang w:val="en-US"/>
        </w:rPr>
        <w:t xml:space="preserve">allocation on </w:t>
      </w:r>
      <w:r w:rsidR="00FC1E9B">
        <w:rPr>
          <w:sz w:val="24"/>
          <w:szCs w:val="24"/>
          <w:lang w:val="en-US"/>
        </w:rPr>
        <w:t>completion of patient accrual. Each allocation</w:t>
      </w:r>
      <w:r>
        <w:rPr>
          <w:sz w:val="24"/>
          <w:szCs w:val="24"/>
          <w:lang w:val="en-US"/>
        </w:rPr>
        <w:t xml:space="preserve"> (stent, or no stent) will be printed</w:t>
      </w:r>
      <w:r w:rsidR="00282FE0">
        <w:rPr>
          <w:sz w:val="24"/>
          <w:szCs w:val="24"/>
          <w:lang w:val="en-US"/>
        </w:rPr>
        <w:t xml:space="preserve"> and placed in </w:t>
      </w:r>
      <w:r w:rsidR="00FC1E9B">
        <w:rPr>
          <w:sz w:val="24"/>
          <w:szCs w:val="24"/>
          <w:lang w:val="en-US"/>
        </w:rPr>
        <w:t xml:space="preserve">order (1-100) in </w:t>
      </w:r>
      <w:r w:rsidR="00282FE0">
        <w:rPr>
          <w:sz w:val="24"/>
          <w:szCs w:val="24"/>
          <w:lang w:val="en-US"/>
        </w:rPr>
        <w:t>an opaque sealed (</w:t>
      </w:r>
      <w:r w:rsidR="009C462F">
        <w:rPr>
          <w:sz w:val="24"/>
          <w:szCs w:val="24"/>
          <w:lang w:val="en-US"/>
        </w:rPr>
        <w:t xml:space="preserve">with </w:t>
      </w:r>
      <w:r w:rsidR="00282FE0">
        <w:rPr>
          <w:sz w:val="24"/>
          <w:szCs w:val="24"/>
          <w:lang w:val="en-US"/>
        </w:rPr>
        <w:t xml:space="preserve">glue and staple) envelope </w:t>
      </w:r>
      <w:r w:rsidR="00FC1E9B">
        <w:rPr>
          <w:sz w:val="24"/>
          <w:szCs w:val="24"/>
          <w:lang w:val="en-US"/>
        </w:rPr>
        <w:t>by three</w:t>
      </w:r>
      <w:r w:rsidR="00282FE0">
        <w:rPr>
          <w:sz w:val="24"/>
          <w:szCs w:val="24"/>
          <w:lang w:val="en-US"/>
        </w:rPr>
        <w:t xml:space="preserve"> investigators</w:t>
      </w:r>
      <w:r w:rsidR="00FC1E9B">
        <w:rPr>
          <w:sz w:val="24"/>
          <w:szCs w:val="24"/>
          <w:lang w:val="en-US"/>
        </w:rPr>
        <w:t xml:space="preserve"> and stored within a secure combination-lock safe. Only </w:t>
      </w:r>
      <w:r w:rsidR="00ED1591">
        <w:rPr>
          <w:sz w:val="24"/>
          <w:szCs w:val="24"/>
          <w:lang w:val="en-US"/>
        </w:rPr>
        <w:t>the</w:t>
      </w:r>
      <w:r w:rsidR="74F606EF">
        <w:rPr>
          <w:sz w:val="24"/>
          <w:szCs w:val="24"/>
          <w:lang w:val="en-US"/>
        </w:rPr>
        <w:t xml:space="preserve"> three</w:t>
      </w:r>
      <w:r w:rsidR="009C462F">
        <w:rPr>
          <w:sz w:val="24"/>
          <w:szCs w:val="24"/>
          <w:lang w:val="en-US"/>
        </w:rPr>
        <w:t xml:space="preserve"> investigators </w:t>
      </w:r>
      <w:r w:rsidR="74F606EF">
        <w:rPr>
          <w:sz w:val="24"/>
          <w:szCs w:val="24"/>
          <w:lang w:val="en-US"/>
        </w:rPr>
        <w:t xml:space="preserve">and the </w:t>
      </w:r>
      <w:r w:rsidR="3EFCDB62">
        <w:rPr>
          <w:sz w:val="24"/>
          <w:szCs w:val="24"/>
          <w:lang w:val="en-US"/>
        </w:rPr>
        <w:t xml:space="preserve">clinical nurse coordinator </w:t>
      </w:r>
      <w:r w:rsidR="0A8EE4B8">
        <w:rPr>
          <w:sz w:val="24"/>
          <w:szCs w:val="24"/>
          <w:lang w:val="en-US"/>
        </w:rPr>
        <w:t xml:space="preserve">(CNC) </w:t>
      </w:r>
      <w:r w:rsidR="3EFCDB62">
        <w:rPr>
          <w:sz w:val="24"/>
          <w:szCs w:val="24"/>
          <w:lang w:val="en-US"/>
        </w:rPr>
        <w:t xml:space="preserve">for liver transplant </w:t>
      </w:r>
      <w:r w:rsidR="1FBC2759">
        <w:rPr>
          <w:sz w:val="24"/>
          <w:szCs w:val="24"/>
          <w:lang w:val="en-US"/>
        </w:rPr>
        <w:t xml:space="preserve">in operating theatres </w:t>
      </w:r>
      <w:r w:rsidR="009C462F">
        <w:rPr>
          <w:sz w:val="24"/>
          <w:szCs w:val="24"/>
          <w:lang w:val="en-US"/>
        </w:rPr>
        <w:t xml:space="preserve">will know the </w:t>
      </w:r>
      <w:r w:rsidR="5713BBB5">
        <w:rPr>
          <w:sz w:val="24"/>
          <w:szCs w:val="24"/>
          <w:lang w:val="en-US"/>
        </w:rPr>
        <w:t>four</w:t>
      </w:r>
      <w:r w:rsidR="009C462F">
        <w:rPr>
          <w:sz w:val="24"/>
          <w:szCs w:val="24"/>
          <w:lang w:val="en-US"/>
        </w:rPr>
        <w:t>-</w:t>
      </w:r>
      <w:r w:rsidR="00FC1E9B">
        <w:rPr>
          <w:sz w:val="24"/>
          <w:szCs w:val="24"/>
          <w:lang w:val="en-US"/>
        </w:rPr>
        <w:t xml:space="preserve">digit code to </w:t>
      </w:r>
      <w:proofErr w:type="spellStart"/>
      <w:r w:rsidR="00FC1E9B">
        <w:rPr>
          <w:sz w:val="24"/>
          <w:szCs w:val="24"/>
          <w:lang w:val="en-US"/>
        </w:rPr>
        <w:t>minimise</w:t>
      </w:r>
      <w:proofErr w:type="spellEnd"/>
      <w:r w:rsidR="009C462F">
        <w:rPr>
          <w:sz w:val="24"/>
          <w:szCs w:val="24"/>
          <w:lang w:val="en-US"/>
        </w:rPr>
        <w:t xml:space="preserve"> any potential observer/investigator interference</w:t>
      </w:r>
      <w:r w:rsidR="00FC1E9B">
        <w:rPr>
          <w:sz w:val="24"/>
          <w:szCs w:val="24"/>
          <w:lang w:val="en-US"/>
        </w:rPr>
        <w:t xml:space="preserve">. </w:t>
      </w:r>
      <w:r w:rsidR="29CC586B">
        <w:rPr>
          <w:sz w:val="24"/>
          <w:szCs w:val="24"/>
          <w:lang w:val="en-US"/>
        </w:rPr>
        <w:t xml:space="preserve">One of these four persons will be available at </w:t>
      </w:r>
      <w:r w:rsidR="4A0CD78B">
        <w:rPr>
          <w:sz w:val="24"/>
          <w:szCs w:val="24"/>
          <w:lang w:val="en-US"/>
        </w:rPr>
        <w:t>the allocation</w:t>
      </w:r>
      <w:r w:rsidR="29CC586B">
        <w:rPr>
          <w:sz w:val="24"/>
          <w:szCs w:val="24"/>
          <w:lang w:val="en-US"/>
        </w:rPr>
        <w:t xml:space="preserve"> time to a</w:t>
      </w:r>
      <w:r w:rsidR="4A0CD78B">
        <w:rPr>
          <w:sz w:val="24"/>
          <w:szCs w:val="24"/>
          <w:lang w:val="en-US"/>
        </w:rPr>
        <w:t xml:space="preserve">ccess the safe. </w:t>
      </w:r>
    </w:p>
    <w:p w14:paraId="140C8FE8" w14:textId="77777777" w:rsidR="00B11EC8" w:rsidRPr="00A560ED" w:rsidRDefault="00B11EC8">
      <w:pPr>
        <w:rPr>
          <w:i/>
          <w:iCs/>
          <w:color w:val="823B0B" w:themeColor="accent2" w:themeShade="7F"/>
          <w:sz w:val="24"/>
          <w:szCs w:val="24"/>
          <w:lang w:val="en-US"/>
        </w:rPr>
      </w:pPr>
      <w:r w:rsidRPr="00A560ED">
        <w:rPr>
          <w:i/>
          <w:iCs/>
          <w:color w:val="823B0B" w:themeColor="accent2" w:themeShade="7F"/>
          <w:sz w:val="24"/>
          <w:szCs w:val="24"/>
          <w:lang w:val="en-US"/>
        </w:rPr>
        <w:t>BLINDING</w:t>
      </w:r>
    </w:p>
    <w:p w14:paraId="559149BE" w14:textId="076746EA" w:rsidR="00C57A8F" w:rsidRPr="00A560ED" w:rsidRDefault="00B17FAF">
      <w:pPr>
        <w:rPr>
          <w:sz w:val="24"/>
          <w:szCs w:val="24"/>
          <w:lang w:val="en-US"/>
        </w:rPr>
      </w:pPr>
      <w:proofErr w:type="spellStart"/>
      <w:r w:rsidRPr="00A560ED">
        <w:rPr>
          <w:sz w:val="24"/>
          <w:szCs w:val="24"/>
          <w:lang w:val="en-US"/>
        </w:rPr>
        <w:t>Randomisation</w:t>
      </w:r>
      <w:proofErr w:type="spellEnd"/>
      <w:r w:rsidRPr="00A560ED">
        <w:rPr>
          <w:sz w:val="24"/>
          <w:szCs w:val="24"/>
          <w:lang w:val="en-US"/>
        </w:rPr>
        <w:t xml:space="preserve"> will occur prior to commencement of the study and will be blinded to all participants except the three investigators. Allocation will be revealed to the operating surgeon after the vascular anastomoses are complete</w:t>
      </w:r>
      <w:r w:rsidR="00ED1591">
        <w:rPr>
          <w:sz w:val="24"/>
          <w:szCs w:val="24"/>
          <w:lang w:val="en-US"/>
        </w:rPr>
        <w:t>d</w:t>
      </w:r>
      <w:r w:rsidR="00EB5885" w:rsidRPr="00A560ED">
        <w:rPr>
          <w:sz w:val="24"/>
          <w:szCs w:val="24"/>
          <w:lang w:val="en-US"/>
        </w:rPr>
        <w:t xml:space="preserve"> during liver transplant</w:t>
      </w:r>
      <w:r w:rsidRPr="00A560ED">
        <w:rPr>
          <w:sz w:val="24"/>
          <w:szCs w:val="24"/>
          <w:lang w:val="en-US"/>
        </w:rPr>
        <w:t xml:space="preserve">. One of the three investigators </w:t>
      </w:r>
      <w:r w:rsidR="0A8EE4B8" w:rsidRPr="00A560ED">
        <w:rPr>
          <w:sz w:val="24"/>
          <w:szCs w:val="24"/>
          <w:lang w:val="en-US"/>
        </w:rPr>
        <w:t>or the CNC</w:t>
      </w:r>
      <w:r w:rsidR="4394CF83" w:rsidRPr="00A560ED">
        <w:rPr>
          <w:sz w:val="24"/>
          <w:szCs w:val="24"/>
          <w:lang w:val="en-US"/>
        </w:rPr>
        <w:t xml:space="preserve"> </w:t>
      </w:r>
      <w:r w:rsidRPr="00A560ED">
        <w:rPr>
          <w:sz w:val="24"/>
          <w:szCs w:val="24"/>
          <w:lang w:val="en-US"/>
        </w:rPr>
        <w:t>will access the safe and inform the surgeon of the allocation result. The patients will be blinded to the allocation until they are informed that an abdominal x-ray is required to assess stent position 4 weeks post liver transplant.</w:t>
      </w:r>
      <w:r w:rsidR="00EB5885" w:rsidRPr="00A560ED">
        <w:rPr>
          <w:sz w:val="24"/>
          <w:szCs w:val="24"/>
          <w:lang w:val="en-US"/>
        </w:rPr>
        <w:t xml:space="preserve"> Assessors will be independent of the randomization and allocation process.</w:t>
      </w:r>
    </w:p>
    <w:p w14:paraId="5D6F044C" w14:textId="41C6E56D" w:rsidR="00B11EC8" w:rsidRPr="00A560ED" w:rsidRDefault="00B11EC8">
      <w:pPr>
        <w:rPr>
          <w:i/>
          <w:iCs/>
          <w:color w:val="823B0B" w:themeColor="accent2" w:themeShade="7F"/>
          <w:sz w:val="24"/>
          <w:szCs w:val="24"/>
          <w:lang w:val="en-US"/>
        </w:rPr>
      </w:pPr>
      <w:r w:rsidRPr="00A560ED">
        <w:rPr>
          <w:i/>
          <w:iCs/>
          <w:color w:val="823B0B" w:themeColor="accent2" w:themeShade="7F"/>
          <w:sz w:val="24"/>
          <w:szCs w:val="24"/>
          <w:lang w:val="en-US"/>
        </w:rPr>
        <w:t>STATISTICAL TECHNIQUE</w:t>
      </w:r>
    </w:p>
    <w:p w14:paraId="6FD28977" w14:textId="44EACEF0" w:rsidR="00DB0F26" w:rsidRPr="00A560ED" w:rsidRDefault="001E7C88" w:rsidP="00A560ED">
      <w:pPr>
        <w:rPr>
          <w:b/>
          <w:bCs/>
          <w:sz w:val="24"/>
          <w:szCs w:val="24"/>
        </w:rPr>
      </w:pPr>
      <w:r w:rsidRPr="00A560ED">
        <w:rPr>
          <w:b/>
          <w:bCs/>
          <w:sz w:val="24"/>
          <w:szCs w:val="24"/>
        </w:rPr>
        <w:t>Detail of statistical methods and subgroup analyses</w:t>
      </w:r>
    </w:p>
    <w:p w14:paraId="065C538E" w14:textId="77777777" w:rsidR="00C57A8F" w:rsidRDefault="00C57A8F" w:rsidP="00DB0F26">
      <w:pPr>
        <w:pStyle w:val="Heading5"/>
        <w:jc w:val="left"/>
        <w:rPr>
          <w:sz w:val="28"/>
          <w:szCs w:val="28"/>
          <w:lang w:val="en-US"/>
        </w:rPr>
      </w:pPr>
    </w:p>
    <w:p w14:paraId="7A5008EA" w14:textId="1F36A097" w:rsidR="00DB0F26" w:rsidRDefault="00DB0F26" w:rsidP="00DB0F26">
      <w:pPr>
        <w:pStyle w:val="Heading5"/>
        <w:jc w:val="left"/>
        <w:rPr>
          <w:sz w:val="28"/>
          <w:szCs w:val="28"/>
          <w:lang w:val="en-US"/>
        </w:rPr>
      </w:pPr>
      <w:r>
        <w:rPr>
          <w:sz w:val="28"/>
          <w:szCs w:val="28"/>
          <w:lang w:val="en-US"/>
        </w:rPr>
        <w:t>results</w:t>
      </w:r>
    </w:p>
    <w:p w14:paraId="6FB37DA6" w14:textId="2CDAEAEC" w:rsidR="00244C34" w:rsidRPr="00A560ED" w:rsidRDefault="00244C34" w:rsidP="00A560ED">
      <w:pPr>
        <w:rPr>
          <w:i/>
          <w:iCs/>
          <w:color w:val="823B0B" w:themeColor="accent2" w:themeShade="7F"/>
          <w:sz w:val="24"/>
          <w:szCs w:val="24"/>
          <w:lang w:val="en-US"/>
        </w:rPr>
      </w:pPr>
      <w:r w:rsidRPr="00A560ED">
        <w:rPr>
          <w:i/>
          <w:iCs/>
          <w:color w:val="823B0B" w:themeColor="accent2" w:themeShade="7F"/>
          <w:sz w:val="24"/>
          <w:szCs w:val="24"/>
          <w:lang w:val="en-US"/>
        </w:rPr>
        <w:t>PARTICIPANT FLOW</w:t>
      </w:r>
    </w:p>
    <w:p w14:paraId="7AF083CD" w14:textId="356E7F3F" w:rsidR="00DB0F26" w:rsidRPr="00A560ED" w:rsidRDefault="00244C34" w:rsidP="00A560ED">
      <w:pPr>
        <w:rPr>
          <w:sz w:val="24"/>
          <w:szCs w:val="24"/>
          <w:lang w:val="en-US"/>
        </w:rPr>
      </w:pPr>
      <w:r w:rsidRPr="00A560ED">
        <w:rPr>
          <w:sz w:val="24"/>
          <w:szCs w:val="24"/>
        </w:rPr>
        <w:t xml:space="preserve">Consort flow diagram will be utilised as the </w:t>
      </w:r>
      <w:proofErr w:type="spellStart"/>
      <w:r w:rsidRPr="00A560ED">
        <w:rPr>
          <w:sz w:val="24"/>
          <w:szCs w:val="24"/>
        </w:rPr>
        <w:t>proforma</w:t>
      </w:r>
      <w:proofErr w:type="spellEnd"/>
      <w:r w:rsidRPr="00A560ED">
        <w:rPr>
          <w:sz w:val="24"/>
          <w:szCs w:val="24"/>
        </w:rPr>
        <w:t xml:space="preserve"> for participant flow through the trial</w:t>
      </w:r>
    </w:p>
    <w:p w14:paraId="404B33FC" w14:textId="6B2D2857" w:rsidR="00F20462" w:rsidRDefault="00C57A8F" w:rsidP="007512C8">
      <w:pPr>
        <w:rPr>
          <w:sz w:val="24"/>
          <w:szCs w:val="24"/>
          <w:lang w:val="en-US"/>
        </w:rPr>
      </w:pPr>
      <w:r w:rsidRPr="00A560ED">
        <w:rPr>
          <w:noProof/>
          <w:sz w:val="24"/>
          <w:szCs w:val="24"/>
          <w:lang w:eastAsia="en-GB"/>
        </w:rPr>
        <w:lastRenderedPageBreak/>
        <w:drawing>
          <wp:inline distT="0" distB="0" distL="0" distR="0" wp14:anchorId="1ABE77E6" wp14:editId="6ED1C684">
            <wp:extent cx="5727700" cy="5759450"/>
            <wp:effectExtent l="0" t="0" r="1270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27700" cy="5759450"/>
                    </a:xfrm>
                    <a:prstGeom prst="rect">
                      <a:avLst/>
                    </a:prstGeom>
                  </pic:spPr>
                </pic:pic>
              </a:graphicData>
            </a:graphic>
          </wp:inline>
        </w:drawing>
      </w:r>
    </w:p>
    <w:p w14:paraId="00B996D7" w14:textId="77777777" w:rsidR="00C57A8F" w:rsidRDefault="00C57A8F" w:rsidP="007512C8">
      <w:pPr>
        <w:rPr>
          <w:b/>
          <w:sz w:val="24"/>
          <w:szCs w:val="24"/>
          <w:lang w:val="en-US"/>
        </w:rPr>
      </w:pPr>
    </w:p>
    <w:p w14:paraId="1444E3DA" w14:textId="5B8A7EE7" w:rsidR="007512C8" w:rsidRPr="00A560ED" w:rsidRDefault="007512C8">
      <w:pPr>
        <w:rPr>
          <w:i/>
          <w:iCs/>
          <w:color w:val="823B0B" w:themeColor="accent2" w:themeShade="7F"/>
          <w:sz w:val="24"/>
          <w:szCs w:val="24"/>
          <w:lang w:val="en-US"/>
        </w:rPr>
      </w:pPr>
      <w:r w:rsidRPr="00A560ED">
        <w:rPr>
          <w:i/>
          <w:iCs/>
          <w:color w:val="823B0B" w:themeColor="accent2" w:themeShade="7F"/>
          <w:sz w:val="24"/>
          <w:szCs w:val="24"/>
          <w:lang w:val="en-US"/>
        </w:rPr>
        <w:t>RECRUITMENT</w:t>
      </w:r>
    </w:p>
    <w:p w14:paraId="10116B10" w14:textId="3E718C43" w:rsidR="00315BC0" w:rsidRPr="00A560ED" w:rsidRDefault="007512C8" w:rsidP="00A560ED">
      <w:pPr>
        <w:rPr>
          <w:lang w:val="en-US"/>
        </w:rPr>
      </w:pPr>
      <w:r>
        <w:rPr>
          <w:sz w:val="24"/>
          <w:szCs w:val="24"/>
          <w:lang w:val="en-US"/>
        </w:rPr>
        <w:t>Participant recruitment will begin 1</w:t>
      </w:r>
      <w:r w:rsidRPr="00A560ED">
        <w:rPr>
          <w:sz w:val="24"/>
          <w:szCs w:val="24"/>
          <w:vertAlign w:val="superscript"/>
          <w:lang w:val="en-US"/>
        </w:rPr>
        <w:t>st</w:t>
      </w:r>
      <w:r>
        <w:rPr>
          <w:sz w:val="24"/>
          <w:szCs w:val="24"/>
          <w:lang w:val="en-US"/>
        </w:rPr>
        <w:t xml:space="preserve"> March 2019 for two years. Outcomes will be measured up to 6 </w:t>
      </w:r>
      <w:proofErr w:type="gramStart"/>
      <w:r>
        <w:rPr>
          <w:sz w:val="24"/>
          <w:szCs w:val="24"/>
          <w:lang w:val="en-US"/>
        </w:rPr>
        <w:t>months</w:t>
      </w:r>
      <w:proofErr w:type="gramEnd"/>
      <w:r>
        <w:rPr>
          <w:sz w:val="24"/>
          <w:szCs w:val="24"/>
          <w:lang w:val="en-US"/>
        </w:rPr>
        <w:t xml:space="preserve"> </w:t>
      </w:r>
      <w:proofErr w:type="spellStart"/>
      <w:r>
        <w:rPr>
          <w:sz w:val="24"/>
          <w:szCs w:val="24"/>
          <w:lang w:val="en-US"/>
        </w:rPr>
        <w:t>post transplant</w:t>
      </w:r>
      <w:proofErr w:type="spellEnd"/>
      <w:r>
        <w:rPr>
          <w:sz w:val="24"/>
          <w:szCs w:val="24"/>
          <w:lang w:val="en-US"/>
        </w:rPr>
        <w:t xml:space="preserve">. </w:t>
      </w:r>
    </w:p>
    <w:p w14:paraId="6ADC6455" w14:textId="77777777" w:rsidR="00C57A8F" w:rsidRDefault="00C57A8F" w:rsidP="001E7C88">
      <w:pPr>
        <w:pStyle w:val="Heading5"/>
        <w:jc w:val="left"/>
        <w:rPr>
          <w:sz w:val="28"/>
          <w:szCs w:val="28"/>
          <w:lang w:val="en-US"/>
        </w:rPr>
      </w:pPr>
    </w:p>
    <w:p w14:paraId="25695F78" w14:textId="0F444BC2" w:rsidR="001E7C88" w:rsidRDefault="001E7C88" w:rsidP="001E7C88">
      <w:pPr>
        <w:pStyle w:val="Heading5"/>
        <w:jc w:val="left"/>
        <w:rPr>
          <w:sz w:val="28"/>
          <w:szCs w:val="28"/>
          <w:lang w:val="en-US"/>
        </w:rPr>
      </w:pPr>
      <w:r>
        <w:rPr>
          <w:sz w:val="28"/>
          <w:szCs w:val="28"/>
          <w:lang w:val="en-US"/>
        </w:rPr>
        <w:t>other information</w:t>
      </w:r>
    </w:p>
    <w:p w14:paraId="094C39CF" w14:textId="10A27EE5" w:rsidR="001E7C88" w:rsidRPr="00A560ED" w:rsidRDefault="001E7C88">
      <w:pPr>
        <w:rPr>
          <w:i/>
          <w:iCs/>
          <w:color w:val="823B0B" w:themeColor="accent2" w:themeShade="7F"/>
          <w:sz w:val="24"/>
          <w:szCs w:val="24"/>
          <w:lang w:val="en-US"/>
        </w:rPr>
      </w:pPr>
      <w:r w:rsidRPr="00A560ED">
        <w:rPr>
          <w:i/>
          <w:iCs/>
          <w:color w:val="823B0B" w:themeColor="accent2" w:themeShade="7F"/>
          <w:sz w:val="24"/>
          <w:szCs w:val="24"/>
          <w:lang w:val="en-US"/>
        </w:rPr>
        <w:t>REGISTRATION OF TRIAL</w:t>
      </w:r>
    </w:p>
    <w:p w14:paraId="3F4A03CF" w14:textId="0F602FD3" w:rsidR="00EA3160" w:rsidRPr="00A560ED" w:rsidRDefault="00EA3160">
      <w:pPr>
        <w:rPr>
          <w:b/>
          <w:bCs/>
          <w:sz w:val="24"/>
          <w:szCs w:val="24"/>
          <w:lang w:val="en-US"/>
        </w:rPr>
      </w:pPr>
      <w:r w:rsidRPr="00A560ED">
        <w:rPr>
          <w:b/>
          <w:bCs/>
          <w:sz w:val="24"/>
          <w:szCs w:val="24"/>
          <w:lang w:val="en-US"/>
        </w:rPr>
        <w:t>The trial will be registered on the Australia and New Zealand Clinical Trials Registry (ANZCTR)</w:t>
      </w:r>
    </w:p>
    <w:p w14:paraId="1580F5BE" w14:textId="78177529" w:rsidR="00EA3160" w:rsidRPr="00A560ED" w:rsidRDefault="00EA3160">
      <w:pPr>
        <w:rPr>
          <w:b/>
          <w:bCs/>
          <w:sz w:val="24"/>
          <w:szCs w:val="24"/>
          <w:lang w:val="en-US"/>
        </w:rPr>
      </w:pPr>
      <w:r w:rsidRPr="00A560ED">
        <w:rPr>
          <w:b/>
          <w:bCs/>
          <w:sz w:val="24"/>
          <w:szCs w:val="24"/>
          <w:lang w:val="en-US"/>
        </w:rPr>
        <w:t xml:space="preserve">Provide </w:t>
      </w:r>
      <w:proofErr w:type="spellStart"/>
      <w:r w:rsidRPr="00A560ED">
        <w:rPr>
          <w:b/>
          <w:bCs/>
          <w:sz w:val="24"/>
          <w:szCs w:val="24"/>
          <w:lang w:val="en-US"/>
        </w:rPr>
        <w:t>weblink</w:t>
      </w:r>
      <w:proofErr w:type="spellEnd"/>
    </w:p>
    <w:p w14:paraId="2BE53D1B" w14:textId="77777777" w:rsidR="00315C32" w:rsidRPr="00A560ED" w:rsidRDefault="00315C32">
      <w:pPr>
        <w:pStyle w:val="Heading5"/>
        <w:jc w:val="left"/>
        <w:rPr>
          <w:i/>
          <w:iCs/>
          <w:sz w:val="24"/>
          <w:szCs w:val="24"/>
          <w:lang w:val="en-US"/>
        </w:rPr>
      </w:pPr>
      <w:r w:rsidRPr="00A560ED">
        <w:rPr>
          <w:i/>
          <w:iCs/>
          <w:sz w:val="24"/>
          <w:szCs w:val="24"/>
          <w:lang w:val="en-US"/>
        </w:rPr>
        <w:lastRenderedPageBreak/>
        <w:t>Resources</w:t>
      </w:r>
    </w:p>
    <w:p w14:paraId="14660AAE" w14:textId="77777777" w:rsidR="00315C32" w:rsidRDefault="00315C32" w:rsidP="00315C32">
      <w:pPr>
        <w:rPr>
          <w:sz w:val="24"/>
          <w:szCs w:val="24"/>
          <w:lang w:val="en-US"/>
        </w:rPr>
      </w:pPr>
      <w:r w:rsidRPr="009F20BD">
        <w:rPr>
          <w:sz w:val="24"/>
          <w:szCs w:val="24"/>
          <w:lang w:val="en-US"/>
        </w:rPr>
        <w:t>No additional resources or funding are required for this project. The use of biliary stents is currently an option during liver transplantation.</w:t>
      </w:r>
      <w:r>
        <w:rPr>
          <w:sz w:val="24"/>
          <w:szCs w:val="24"/>
          <w:lang w:val="en-US"/>
        </w:rPr>
        <w:t xml:space="preserve"> The stent is an infant feeding catheter readily available in theatre stores.</w:t>
      </w:r>
    </w:p>
    <w:p w14:paraId="29B46ED5" w14:textId="77777777" w:rsidR="00315C32" w:rsidRPr="001E6C23" w:rsidRDefault="00315C32" w:rsidP="00315C32">
      <w:pPr>
        <w:pStyle w:val="Heading7"/>
        <w:jc w:val="left"/>
        <w:rPr>
          <w:sz w:val="24"/>
          <w:szCs w:val="24"/>
          <w:lang w:val="en-US"/>
        </w:rPr>
      </w:pPr>
      <w:r w:rsidRPr="001E6C23">
        <w:rPr>
          <w:sz w:val="24"/>
          <w:szCs w:val="24"/>
          <w:lang w:val="en-US"/>
        </w:rPr>
        <w:t>Device</w:t>
      </w:r>
    </w:p>
    <w:p w14:paraId="0A0CAF02" w14:textId="77777777" w:rsidR="00315C32" w:rsidRPr="008236FD" w:rsidRDefault="00315C32" w:rsidP="00315C32">
      <w:pPr>
        <w:rPr>
          <w:sz w:val="24"/>
          <w:szCs w:val="24"/>
          <w:lang w:val="en-US"/>
        </w:rPr>
      </w:pPr>
      <w:r w:rsidRPr="008236FD">
        <w:rPr>
          <w:sz w:val="24"/>
          <w:szCs w:val="24"/>
          <w:lang w:val="en-US"/>
        </w:rPr>
        <w:t xml:space="preserve">Approved name: </w:t>
      </w:r>
      <w:r w:rsidRPr="008236FD">
        <w:rPr>
          <w:sz w:val="24"/>
          <w:szCs w:val="24"/>
          <w:lang w:val="en-US"/>
        </w:rPr>
        <w:tab/>
      </w:r>
      <w:r w:rsidRPr="008236FD">
        <w:rPr>
          <w:sz w:val="24"/>
          <w:szCs w:val="24"/>
          <w:lang w:val="en-US"/>
        </w:rPr>
        <w:tab/>
      </w:r>
      <w:r w:rsidRPr="008236FD">
        <w:rPr>
          <w:sz w:val="24"/>
          <w:szCs w:val="24"/>
          <w:lang w:val="en-US"/>
        </w:rPr>
        <w:tab/>
        <w:t>Infant feeding catheter</w:t>
      </w:r>
    </w:p>
    <w:p w14:paraId="23A29A19" w14:textId="5FE8C58D" w:rsidR="00315C32" w:rsidRPr="008236FD" w:rsidRDefault="00315C32" w:rsidP="00315C32">
      <w:pPr>
        <w:rPr>
          <w:sz w:val="24"/>
          <w:szCs w:val="24"/>
          <w:lang w:val="en-US"/>
        </w:rPr>
      </w:pPr>
      <w:r w:rsidRPr="008236FD">
        <w:rPr>
          <w:sz w:val="24"/>
          <w:szCs w:val="24"/>
          <w:lang w:val="en-US"/>
        </w:rPr>
        <w:t>Composition:</w:t>
      </w:r>
      <w:r w:rsidR="7EC4A212" w:rsidRPr="008236FD">
        <w:rPr>
          <w:sz w:val="24"/>
          <w:szCs w:val="24"/>
          <w:lang w:val="en-US"/>
        </w:rPr>
        <w:t xml:space="preserve"> </w:t>
      </w:r>
      <w:r w:rsidRPr="008236FD">
        <w:rPr>
          <w:sz w:val="24"/>
          <w:szCs w:val="24"/>
          <w:lang w:val="en-US"/>
        </w:rPr>
        <w:tab/>
      </w:r>
      <w:r w:rsidRPr="008236FD">
        <w:rPr>
          <w:sz w:val="24"/>
          <w:szCs w:val="24"/>
          <w:lang w:val="en-US"/>
        </w:rPr>
        <w:tab/>
      </w:r>
      <w:r w:rsidRPr="008236FD">
        <w:rPr>
          <w:sz w:val="24"/>
          <w:szCs w:val="24"/>
          <w:lang w:val="en-US"/>
        </w:rPr>
        <w:tab/>
      </w:r>
      <w:r w:rsidRPr="008236FD">
        <w:rPr>
          <w:sz w:val="24"/>
          <w:szCs w:val="24"/>
          <w:lang w:val="en-US"/>
        </w:rPr>
        <w:tab/>
        <w:t>Polyvinyl chloride</w:t>
      </w:r>
    </w:p>
    <w:p w14:paraId="2FFE77AA" w14:textId="11CD5778" w:rsidR="00315C32" w:rsidRPr="008236FD" w:rsidRDefault="00315C32" w:rsidP="00315C32">
      <w:pPr>
        <w:rPr>
          <w:sz w:val="24"/>
          <w:szCs w:val="24"/>
          <w:lang w:val="en-US"/>
        </w:rPr>
      </w:pPr>
      <w:r w:rsidRPr="008236FD">
        <w:rPr>
          <w:sz w:val="24"/>
          <w:szCs w:val="24"/>
          <w:lang w:val="en-US"/>
        </w:rPr>
        <w:t>Supplier:</w:t>
      </w:r>
      <w:r w:rsidR="7EC4A212" w:rsidRPr="008236FD">
        <w:rPr>
          <w:sz w:val="24"/>
          <w:szCs w:val="24"/>
          <w:lang w:val="en-US"/>
        </w:rPr>
        <w:t xml:space="preserve"> </w:t>
      </w:r>
      <w:r w:rsidRPr="008236FD">
        <w:rPr>
          <w:sz w:val="24"/>
          <w:szCs w:val="24"/>
          <w:lang w:val="en-US"/>
        </w:rPr>
        <w:tab/>
      </w:r>
      <w:r w:rsidRPr="008236FD">
        <w:rPr>
          <w:sz w:val="24"/>
          <w:szCs w:val="24"/>
          <w:lang w:val="en-US"/>
        </w:rPr>
        <w:tab/>
      </w:r>
      <w:r w:rsidRPr="008236FD">
        <w:rPr>
          <w:sz w:val="24"/>
          <w:szCs w:val="24"/>
          <w:lang w:val="en-US"/>
        </w:rPr>
        <w:tab/>
      </w:r>
      <w:r w:rsidRPr="008236FD">
        <w:rPr>
          <w:sz w:val="24"/>
          <w:szCs w:val="24"/>
          <w:lang w:val="en-US"/>
        </w:rPr>
        <w:tab/>
        <w:t>Queensland Health</w:t>
      </w:r>
    </w:p>
    <w:p w14:paraId="504192A4" w14:textId="3C386AFA" w:rsidR="00315C32" w:rsidRPr="008236FD" w:rsidRDefault="00315C32" w:rsidP="00315C32">
      <w:pPr>
        <w:rPr>
          <w:sz w:val="24"/>
          <w:szCs w:val="24"/>
          <w:lang w:val="en-US"/>
        </w:rPr>
      </w:pPr>
      <w:r w:rsidRPr="008236FD">
        <w:rPr>
          <w:sz w:val="24"/>
          <w:szCs w:val="24"/>
          <w:lang w:val="en-US"/>
        </w:rPr>
        <w:t>Approved indication:</w:t>
      </w:r>
      <w:r w:rsidR="7EC4A212" w:rsidRPr="008236FD">
        <w:rPr>
          <w:sz w:val="24"/>
          <w:szCs w:val="24"/>
          <w:lang w:val="en-US"/>
        </w:rPr>
        <w:t xml:space="preserve"> </w:t>
      </w:r>
      <w:r w:rsidRPr="008236FD">
        <w:rPr>
          <w:sz w:val="24"/>
          <w:szCs w:val="24"/>
          <w:lang w:val="en-US"/>
        </w:rPr>
        <w:tab/>
      </w:r>
      <w:r w:rsidRPr="008236FD">
        <w:rPr>
          <w:sz w:val="24"/>
          <w:szCs w:val="24"/>
          <w:lang w:val="en-US"/>
        </w:rPr>
        <w:tab/>
      </w:r>
      <w:r w:rsidRPr="008236FD">
        <w:rPr>
          <w:sz w:val="24"/>
          <w:szCs w:val="24"/>
          <w:lang w:val="en-US"/>
        </w:rPr>
        <w:tab/>
        <w:t>Nasogastric feeding</w:t>
      </w:r>
    </w:p>
    <w:p w14:paraId="7EA38E44" w14:textId="1D0E3611" w:rsidR="00315C32" w:rsidRPr="008236FD" w:rsidRDefault="00315C32" w:rsidP="00315C32">
      <w:pPr>
        <w:rPr>
          <w:sz w:val="24"/>
          <w:szCs w:val="24"/>
          <w:lang w:val="en-US"/>
        </w:rPr>
      </w:pPr>
      <w:r w:rsidRPr="008236FD">
        <w:rPr>
          <w:sz w:val="24"/>
          <w:szCs w:val="24"/>
          <w:lang w:val="en-US"/>
        </w:rPr>
        <w:t>Believed mode of action:</w:t>
      </w:r>
      <w:r w:rsidR="7EC4A212" w:rsidRPr="008236FD">
        <w:rPr>
          <w:sz w:val="24"/>
          <w:szCs w:val="24"/>
          <w:lang w:val="en-US"/>
        </w:rPr>
        <w:t xml:space="preserve"> </w:t>
      </w:r>
      <w:r w:rsidRPr="008236FD">
        <w:rPr>
          <w:sz w:val="24"/>
          <w:szCs w:val="24"/>
          <w:lang w:val="en-US"/>
        </w:rPr>
        <w:tab/>
      </w:r>
      <w:r w:rsidRPr="008236FD">
        <w:rPr>
          <w:sz w:val="24"/>
          <w:szCs w:val="24"/>
          <w:lang w:val="en-US"/>
        </w:rPr>
        <w:tab/>
        <w:t>Decompression of bile duct</w:t>
      </w:r>
      <w:r w:rsidRPr="008236FD">
        <w:rPr>
          <w:sz w:val="24"/>
          <w:szCs w:val="24"/>
          <w:lang w:val="en-US"/>
        </w:rPr>
        <w:tab/>
      </w:r>
    </w:p>
    <w:p w14:paraId="6395CE19" w14:textId="4361926E" w:rsidR="00315C32" w:rsidRPr="008236FD" w:rsidRDefault="00315C32" w:rsidP="00315C32">
      <w:pPr>
        <w:rPr>
          <w:sz w:val="24"/>
          <w:szCs w:val="24"/>
          <w:lang w:val="en-US"/>
        </w:rPr>
      </w:pPr>
      <w:r w:rsidRPr="008236FD">
        <w:rPr>
          <w:sz w:val="24"/>
          <w:szCs w:val="24"/>
          <w:lang w:val="en-US"/>
        </w:rPr>
        <w:t>Known adverse events:</w:t>
      </w:r>
      <w:r w:rsidR="7EC4A212" w:rsidRPr="008236FD">
        <w:rPr>
          <w:sz w:val="24"/>
          <w:szCs w:val="24"/>
          <w:lang w:val="en-US"/>
        </w:rPr>
        <w:t xml:space="preserve"> </w:t>
      </w:r>
      <w:r w:rsidRPr="008236FD">
        <w:rPr>
          <w:sz w:val="24"/>
          <w:szCs w:val="24"/>
          <w:lang w:val="en-US"/>
        </w:rPr>
        <w:tab/>
      </w:r>
      <w:r w:rsidRPr="008236FD">
        <w:rPr>
          <w:sz w:val="24"/>
          <w:szCs w:val="24"/>
          <w:lang w:val="en-US"/>
        </w:rPr>
        <w:tab/>
      </w:r>
      <w:r w:rsidRPr="008236FD">
        <w:rPr>
          <w:sz w:val="24"/>
          <w:szCs w:val="24"/>
          <w:lang w:val="en-US"/>
        </w:rPr>
        <w:tab/>
        <w:t>Blockage</w:t>
      </w:r>
    </w:p>
    <w:p w14:paraId="5154C8AD" w14:textId="0338143C" w:rsidR="002A1CA0" w:rsidRPr="00A560ED" w:rsidRDefault="00315C32" w:rsidP="00A560ED">
      <w:pPr>
        <w:pStyle w:val="Heading7"/>
        <w:jc w:val="left"/>
        <w:rPr>
          <w:sz w:val="24"/>
          <w:szCs w:val="24"/>
          <w:lang w:val="en-US"/>
        </w:rPr>
      </w:pPr>
      <w:r w:rsidRPr="008236FD">
        <w:rPr>
          <w:sz w:val="24"/>
          <w:szCs w:val="24"/>
          <w:lang w:val="en-US"/>
        </w:rPr>
        <w:t>Known contra-indications or warnings:</w:t>
      </w:r>
      <w:r w:rsidR="2EA93A2C" w:rsidRPr="008236FD">
        <w:rPr>
          <w:sz w:val="24"/>
          <w:szCs w:val="24"/>
          <w:lang w:val="en-US"/>
        </w:rPr>
        <w:t xml:space="preserve"> </w:t>
      </w:r>
      <w:r w:rsidRPr="008236FD">
        <w:rPr>
          <w:sz w:val="24"/>
          <w:szCs w:val="24"/>
          <w:lang w:val="en-US"/>
        </w:rPr>
        <w:tab/>
        <w:t>Nil known</w:t>
      </w:r>
    </w:p>
    <w:p w14:paraId="3C16728F" w14:textId="4496C646" w:rsidR="00212B2F" w:rsidRPr="00A560ED" w:rsidRDefault="00DB0F26" w:rsidP="00A560ED">
      <w:pPr>
        <w:pStyle w:val="Heading5"/>
        <w:jc w:val="left"/>
        <w:rPr>
          <w:sz w:val="28"/>
          <w:szCs w:val="28"/>
          <w:lang w:val="en-US"/>
        </w:rPr>
      </w:pPr>
      <w:r>
        <w:rPr>
          <w:sz w:val="28"/>
          <w:szCs w:val="28"/>
          <w:lang w:val="en-US"/>
        </w:rPr>
        <w:t>references</w:t>
      </w:r>
    </w:p>
    <w:p w14:paraId="6EE0FF7A" w14:textId="687F4930" w:rsidR="00DB0F26" w:rsidRDefault="00007514">
      <w:pPr>
        <w:rPr>
          <w:sz w:val="24"/>
          <w:szCs w:val="24"/>
          <w:lang w:val="en-US"/>
        </w:rPr>
      </w:pPr>
      <w:r>
        <w:rPr>
          <w:sz w:val="24"/>
          <w:szCs w:val="24"/>
          <w:lang w:val="en-US"/>
        </w:rPr>
        <w:t xml:space="preserve">Ong M, Slater K, Hodgkinson P, Dunn N, Fawcett J. To stent or not to stent: the use of </w:t>
      </w:r>
      <w:proofErr w:type="spellStart"/>
      <w:r>
        <w:rPr>
          <w:sz w:val="24"/>
          <w:szCs w:val="24"/>
          <w:lang w:val="en-US"/>
        </w:rPr>
        <w:t>transanastomotic</w:t>
      </w:r>
      <w:proofErr w:type="spellEnd"/>
      <w:r>
        <w:rPr>
          <w:sz w:val="24"/>
          <w:szCs w:val="24"/>
          <w:lang w:val="en-US"/>
        </w:rPr>
        <w:t xml:space="preserve"> biliary stents in liver transplantation and patient outcomes. ANZ J Surg. 2017; 88 :603-606.</w:t>
      </w:r>
    </w:p>
    <w:p w14:paraId="41E23FFC" w14:textId="76B175EC" w:rsidR="00DB0F26" w:rsidRPr="007A4A63" w:rsidRDefault="00DB0F26">
      <w:pPr>
        <w:rPr>
          <w:sz w:val="24"/>
          <w:szCs w:val="24"/>
          <w:lang w:val="en-US"/>
        </w:rPr>
      </w:pPr>
      <w:r>
        <w:rPr>
          <w:sz w:val="24"/>
          <w:szCs w:val="24"/>
          <w:lang w:val="en-US"/>
        </w:rPr>
        <w:t>Consort checklist</w:t>
      </w:r>
      <w:r w:rsidR="00D7673A">
        <w:rPr>
          <w:sz w:val="24"/>
          <w:szCs w:val="24"/>
          <w:lang w:val="en-US"/>
        </w:rPr>
        <w:t xml:space="preserve">: </w:t>
      </w:r>
      <w:r w:rsidR="00D7673A" w:rsidRPr="00D7673A">
        <w:rPr>
          <w:sz w:val="24"/>
          <w:szCs w:val="24"/>
          <w:lang w:val="en-US"/>
        </w:rPr>
        <w:t>https://jamanetwork.com/journals/jama/fullarticle/1487502</w:t>
      </w:r>
    </w:p>
    <w:sectPr w:rsidR="00DB0F26" w:rsidRPr="007A4A63" w:rsidSect="00A560ED">
      <w:pgSz w:w="11900" w:h="16840"/>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2D77193" w16cid:durableId="2039F516"/>
  <w16cid:commentId w16cid:paraId="35EABF1C" w16cid:durableId="2039F5A7"/>
  <w16cid:commentId w16cid:paraId="6D126773" w16cid:durableId="2039F27B"/>
  <w16cid:commentId w16cid:paraId="392DDE75" w16cid:durableId="203B38C6"/>
  <w16cid:commentId w16cid:paraId="7555D064" w16cid:durableId="2039F27C"/>
  <w16cid:commentId w16cid:paraId="6A2A9F40" w16cid:durableId="2039F27D"/>
  <w16cid:commentId w16cid:paraId="4E85DC5F" w16cid:durableId="2039F27E"/>
  <w16cid:commentId w16cid:paraId="3E9E854A" w16cid:durableId="2039F27F"/>
  <w16cid:commentId w16cid:paraId="52687713" w16cid:durableId="2039F280"/>
  <w16cid:commentId w16cid:paraId="6E035C63" w16cid:durableId="2039F281"/>
  <w16cid:commentId w16cid:paraId="11FC3B47" w16cid:durableId="2039F282"/>
  <w16cid:commentId w16cid:paraId="0246535A" w16cid:durableId="2039F283"/>
  <w16cid:commentId w16cid:paraId="513E124D" w16cid:durableId="2039F284"/>
  <w16cid:commentId w16cid:paraId="489D7F72" w16cid:durableId="2039F285"/>
  <w16cid:commentId w16cid:paraId="2124C980" w16cid:durableId="2039F286"/>
  <w16cid:commentId w16cid:paraId="5C786FDB" w16cid:durableId="2039F287"/>
  <w16cid:commentId w16cid:paraId="5C6ABC24" w16cid:durableId="2039F288"/>
  <w16cid:commentId w16cid:paraId="31945842" w16cid:durableId="2039F289"/>
  <w16cid:commentId w16cid:paraId="6AD91ADE" w16cid:durableId="2039F28A"/>
  <w16cid:commentId w16cid:paraId="3B843937" w16cid:durableId="2039F28B"/>
  <w16cid:commentId w16cid:paraId="20A973AD" w16cid:durableId="2039F2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11088"/>
    <w:multiLevelType w:val="hybridMultilevel"/>
    <w:tmpl w:val="69C2AE5E"/>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0C"/>
    <w:rsid w:val="000043E0"/>
    <w:rsid w:val="00007514"/>
    <w:rsid w:val="00022271"/>
    <w:rsid w:val="000354DC"/>
    <w:rsid w:val="00036FA9"/>
    <w:rsid w:val="00053552"/>
    <w:rsid w:val="0006045C"/>
    <w:rsid w:val="00074483"/>
    <w:rsid w:val="00076D2F"/>
    <w:rsid w:val="000839AF"/>
    <w:rsid w:val="00093628"/>
    <w:rsid w:val="000A7358"/>
    <w:rsid w:val="000B4D17"/>
    <w:rsid w:val="000C5B02"/>
    <w:rsid w:val="000D32A0"/>
    <w:rsid w:val="000D5A3C"/>
    <w:rsid w:val="000D7074"/>
    <w:rsid w:val="000E7282"/>
    <w:rsid w:val="00104266"/>
    <w:rsid w:val="00163FF3"/>
    <w:rsid w:val="00166E93"/>
    <w:rsid w:val="00182030"/>
    <w:rsid w:val="00183A6D"/>
    <w:rsid w:val="001B0387"/>
    <w:rsid w:val="001B5DD3"/>
    <w:rsid w:val="001B747E"/>
    <w:rsid w:val="001C7E72"/>
    <w:rsid w:val="001D0FEF"/>
    <w:rsid w:val="001E3CD2"/>
    <w:rsid w:val="001E6C23"/>
    <w:rsid w:val="001E7C88"/>
    <w:rsid w:val="001F4383"/>
    <w:rsid w:val="00206349"/>
    <w:rsid w:val="0021036C"/>
    <w:rsid w:val="00212B2F"/>
    <w:rsid w:val="00225809"/>
    <w:rsid w:val="00236035"/>
    <w:rsid w:val="002366BE"/>
    <w:rsid w:val="00244C34"/>
    <w:rsid w:val="00257879"/>
    <w:rsid w:val="00282FE0"/>
    <w:rsid w:val="0028620E"/>
    <w:rsid w:val="002A1C57"/>
    <w:rsid w:val="002A1CA0"/>
    <w:rsid w:val="002B2D35"/>
    <w:rsid w:val="002B6611"/>
    <w:rsid w:val="002D36E3"/>
    <w:rsid w:val="002F0202"/>
    <w:rsid w:val="0031393E"/>
    <w:rsid w:val="00315BC0"/>
    <w:rsid w:val="00315C32"/>
    <w:rsid w:val="003235B7"/>
    <w:rsid w:val="00337558"/>
    <w:rsid w:val="00356067"/>
    <w:rsid w:val="00363F0C"/>
    <w:rsid w:val="00372E36"/>
    <w:rsid w:val="003807F4"/>
    <w:rsid w:val="00385B6E"/>
    <w:rsid w:val="00394308"/>
    <w:rsid w:val="00396C80"/>
    <w:rsid w:val="003C5F40"/>
    <w:rsid w:val="003F1662"/>
    <w:rsid w:val="00400BDC"/>
    <w:rsid w:val="00406CC9"/>
    <w:rsid w:val="0041305C"/>
    <w:rsid w:val="00416AF9"/>
    <w:rsid w:val="004212F2"/>
    <w:rsid w:val="00443E1A"/>
    <w:rsid w:val="00452CB6"/>
    <w:rsid w:val="00480FDC"/>
    <w:rsid w:val="00493F34"/>
    <w:rsid w:val="004A1AEB"/>
    <w:rsid w:val="004D2600"/>
    <w:rsid w:val="004E0C6A"/>
    <w:rsid w:val="004E1D29"/>
    <w:rsid w:val="00524762"/>
    <w:rsid w:val="005445AA"/>
    <w:rsid w:val="005468E7"/>
    <w:rsid w:val="00574D66"/>
    <w:rsid w:val="0058088C"/>
    <w:rsid w:val="00592649"/>
    <w:rsid w:val="005927AF"/>
    <w:rsid w:val="005A49E3"/>
    <w:rsid w:val="005B347A"/>
    <w:rsid w:val="005D29D3"/>
    <w:rsid w:val="005D3664"/>
    <w:rsid w:val="005F2956"/>
    <w:rsid w:val="00601DC8"/>
    <w:rsid w:val="006269EB"/>
    <w:rsid w:val="0063703C"/>
    <w:rsid w:val="006548B0"/>
    <w:rsid w:val="0065720E"/>
    <w:rsid w:val="00666B38"/>
    <w:rsid w:val="006718C6"/>
    <w:rsid w:val="006A4387"/>
    <w:rsid w:val="006A6910"/>
    <w:rsid w:val="006B29AA"/>
    <w:rsid w:val="006E30A4"/>
    <w:rsid w:val="007041E3"/>
    <w:rsid w:val="00710502"/>
    <w:rsid w:val="00710F20"/>
    <w:rsid w:val="00734006"/>
    <w:rsid w:val="007512C8"/>
    <w:rsid w:val="007517C2"/>
    <w:rsid w:val="00757D07"/>
    <w:rsid w:val="00761002"/>
    <w:rsid w:val="00766C0D"/>
    <w:rsid w:val="0077363B"/>
    <w:rsid w:val="007934B1"/>
    <w:rsid w:val="007A4A63"/>
    <w:rsid w:val="007B06FC"/>
    <w:rsid w:val="007C2149"/>
    <w:rsid w:val="007C3C27"/>
    <w:rsid w:val="007D231F"/>
    <w:rsid w:val="007D5EA7"/>
    <w:rsid w:val="007E1B11"/>
    <w:rsid w:val="007E5229"/>
    <w:rsid w:val="007E672C"/>
    <w:rsid w:val="007F25C7"/>
    <w:rsid w:val="00804BD9"/>
    <w:rsid w:val="00810F57"/>
    <w:rsid w:val="0081223C"/>
    <w:rsid w:val="00812B4A"/>
    <w:rsid w:val="008236FD"/>
    <w:rsid w:val="00831D93"/>
    <w:rsid w:val="008408EA"/>
    <w:rsid w:val="00857D30"/>
    <w:rsid w:val="00862382"/>
    <w:rsid w:val="00886418"/>
    <w:rsid w:val="00895900"/>
    <w:rsid w:val="008B0B2E"/>
    <w:rsid w:val="008E579C"/>
    <w:rsid w:val="008E69A7"/>
    <w:rsid w:val="00904E12"/>
    <w:rsid w:val="009204E8"/>
    <w:rsid w:val="00924DB2"/>
    <w:rsid w:val="00930C58"/>
    <w:rsid w:val="00940D49"/>
    <w:rsid w:val="00950A0F"/>
    <w:rsid w:val="0095468B"/>
    <w:rsid w:val="00975C9E"/>
    <w:rsid w:val="00977C03"/>
    <w:rsid w:val="0098150D"/>
    <w:rsid w:val="009C462F"/>
    <w:rsid w:val="009C5BAA"/>
    <w:rsid w:val="009D348B"/>
    <w:rsid w:val="009D773A"/>
    <w:rsid w:val="009E2D5F"/>
    <w:rsid w:val="009E5870"/>
    <w:rsid w:val="009F20BD"/>
    <w:rsid w:val="00A04C96"/>
    <w:rsid w:val="00A33CE8"/>
    <w:rsid w:val="00A36B26"/>
    <w:rsid w:val="00A3765E"/>
    <w:rsid w:val="00A560ED"/>
    <w:rsid w:val="00A721EB"/>
    <w:rsid w:val="00A75A63"/>
    <w:rsid w:val="00A95725"/>
    <w:rsid w:val="00A9798D"/>
    <w:rsid w:val="00AA0437"/>
    <w:rsid w:val="00AA6738"/>
    <w:rsid w:val="00AB6EBB"/>
    <w:rsid w:val="00AB70D4"/>
    <w:rsid w:val="00AC733E"/>
    <w:rsid w:val="00AF233D"/>
    <w:rsid w:val="00B116B2"/>
    <w:rsid w:val="00B11EC8"/>
    <w:rsid w:val="00B17FAF"/>
    <w:rsid w:val="00B27527"/>
    <w:rsid w:val="00B47774"/>
    <w:rsid w:val="00B47945"/>
    <w:rsid w:val="00B800CA"/>
    <w:rsid w:val="00BA798B"/>
    <w:rsid w:val="00BB6C6A"/>
    <w:rsid w:val="00BD4617"/>
    <w:rsid w:val="00BE5D66"/>
    <w:rsid w:val="00C00346"/>
    <w:rsid w:val="00C10CF9"/>
    <w:rsid w:val="00C15371"/>
    <w:rsid w:val="00C3337A"/>
    <w:rsid w:val="00C417A2"/>
    <w:rsid w:val="00C4457F"/>
    <w:rsid w:val="00C44950"/>
    <w:rsid w:val="00C51954"/>
    <w:rsid w:val="00C57A8F"/>
    <w:rsid w:val="00C6378E"/>
    <w:rsid w:val="00C656D5"/>
    <w:rsid w:val="00C84D7A"/>
    <w:rsid w:val="00C879CF"/>
    <w:rsid w:val="00C97D98"/>
    <w:rsid w:val="00CA19F8"/>
    <w:rsid w:val="00CA1B0B"/>
    <w:rsid w:val="00CB4F29"/>
    <w:rsid w:val="00CB58BF"/>
    <w:rsid w:val="00CB6852"/>
    <w:rsid w:val="00CC4886"/>
    <w:rsid w:val="00CC552C"/>
    <w:rsid w:val="00CD1C4C"/>
    <w:rsid w:val="00CD33C0"/>
    <w:rsid w:val="00D063EF"/>
    <w:rsid w:val="00D41F99"/>
    <w:rsid w:val="00D423A6"/>
    <w:rsid w:val="00D678EA"/>
    <w:rsid w:val="00D70C1B"/>
    <w:rsid w:val="00D71A92"/>
    <w:rsid w:val="00D7673A"/>
    <w:rsid w:val="00D93DED"/>
    <w:rsid w:val="00DA058A"/>
    <w:rsid w:val="00DA13DC"/>
    <w:rsid w:val="00DB08AA"/>
    <w:rsid w:val="00DB0F26"/>
    <w:rsid w:val="00DD3F90"/>
    <w:rsid w:val="00DE1119"/>
    <w:rsid w:val="00DE4E51"/>
    <w:rsid w:val="00DE6F48"/>
    <w:rsid w:val="00E04A33"/>
    <w:rsid w:val="00E05A53"/>
    <w:rsid w:val="00E151FB"/>
    <w:rsid w:val="00E366B6"/>
    <w:rsid w:val="00E40388"/>
    <w:rsid w:val="00E421ED"/>
    <w:rsid w:val="00E44D0F"/>
    <w:rsid w:val="00E46664"/>
    <w:rsid w:val="00E61A7C"/>
    <w:rsid w:val="00E669CA"/>
    <w:rsid w:val="00E707AA"/>
    <w:rsid w:val="00EA3160"/>
    <w:rsid w:val="00EB249C"/>
    <w:rsid w:val="00EB5885"/>
    <w:rsid w:val="00ED1591"/>
    <w:rsid w:val="00EE4DC3"/>
    <w:rsid w:val="00F009EA"/>
    <w:rsid w:val="00F12060"/>
    <w:rsid w:val="00F20462"/>
    <w:rsid w:val="00F51646"/>
    <w:rsid w:val="00F5F353"/>
    <w:rsid w:val="00F73ECE"/>
    <w:rsid w:val="00F97BB7"/>
    <w:rsid w:val="00FC0036"/>
    <w:rsid w:val="00FC1E9B"/>
    <w:rsid w:val="00FE225F"/>
    <w:rsid w:val="029A78DA"/>
    <w:rsid w:val="0465844A"/>
    <w:rsid w:val="04AD348E"/>
    <w:rsid w:val="04FAC1A1"/>
    <w:rsid w:val="0565CC4E"/>
    <w:rsid w:val="07206582"/>
    <w:rsid w:val="08C410D2"/>
    <w:rsid w:val="09EB8F25"/>
    <w:rsid w:val="09FA4C9A"/>
    <w:rsid w:val="0A8EE4B8"/>
    <w:rsid w:val="0BE932CA"/>
    <w:rsid w:val="0DD6CC7F"/>
    <w:rsid w:val="101F0BA9"/>
    <w:rsid w:val="1077AEA7"/>
    <w:rsid w:val="12E85CC5"/>
    <w:rsid w:val="13C5E36D"/>
    <w:rsid w:val="153269AB"/>
    <w:rsid w:val="190A5344"/>
    <w:rsid w:val="1B5708C3"/>
    <w:rsid w:val="1B5F6A87"/>
    <w:rsid w:val="1DC1FD59"/>
    <w:rsid w:val="1E76B8C1"/>
    <w:rsid w:val="1F242D4B"/>
    <w:rsid w:val="1F790A46"/>
    <w:rsid w:val="1FBC2759"/>
    <w:rsid w:val="20169FFF"/>
    <w:rsid w:val="20A2D170"/>
    <w:rsid w:val="22099C2D"/>
    <w:rsid w:val="226E6388"/>
    <w:rsid w:val="2717366F"/>
    <w:rsid w:val="27B1E813"/>
    <w:rsid w:val="27F321EB"/>
    <w:rsid w:val="29B477E0"/>
    <w:rsid w:val="29CC586B"/>
    <w:rsid w:val="29D504A7"/>
    <w:rsid w:val="2A1FC4C8"/>
    <w:rsid w:val="2B636ACC"/>
    <w:rsid w:val="2C7138D0"/>
    <w:rsid w:val="2E5D5A18"/>
    <w:rsid w:val="2EA93A2C"/>
    <w:rsid w:val="2F4F75ED"/>
    <w:rsid w:val="2FA76CAD"/>
    <w:rsid w:val="2FC2B8D5"/>
    <w:rsid w:val="309FD8E3"/>
    <w:rsid w:val="323E4070"/>
    <w:rsid w:val="355E9B84"/>
    <w:rsid w:val="36EE5483"/>
    <w:rsid w:val="380EF28A"/>
    <w:rsid w:val="3889A6AB"/>
    <w:rsid w:val="3A047BB6"/>
    <w:rsid w:val="3A95BAFD"/>
    <w:rsid w:val="3B116F9A"/>
    <w:rsid w:val="3B70593D"/>
    <w:rsid w:val="3E264356"/>
    <w:rsid w:val="3EFCDB62"/>
    <w:rsid w:val="409FAA74"/>
    <w:rsid w:val="427AFDD4"/>
    <w:rsid w:val="4373E275"/>
    <w:rsid w:val="4394CF83"/>
    <w:rsid w:val="45418BA0"/>
    <w:rsid w:val="47FA507E"/>
    <w:rsid w:val="480955AE"/>
    <w:rsid w:val="4868EDC0"/>
    <w:rsid w:val="489254BF"/>
    <w:rsid w:val="48B43DE6"/>
    <w:rsid w:val="4960412E"/>
    <w:rsid w:val="4A0CD78B"/>
    <w:rsid w:val="4B1DB2FB"/>
    <w:rsid w:val="4B2D83ED"/>
    <w:rsid w:val="4B83EE1A"/>
    <w:rsid w:val="4BE133C9"/>
    <w:rsid w:val="4D11F534"/>
    <w:rsid w:val="4F49AD2D"/>
    <w:rsid w:val="4F672CDE"/>
    <w:rsid w:val="52632FAB"/>
    <w:rsid w:val="561C9441"/>
    <w:rsid w:val="5713BBB5"/>
    <w:rsid w:val="57208EB9"/>
    <w:rsid w:val="57674050"/>
    <w:rsid w:val="58DAB650"/>
    <w:rsid w:val="5A3CE427"/>
    <w:rsid w:val="5AA84AB8"/>
    <w:rsid w:val="5D7C5DA7"/>
    <w:rsid w:val="60C43C95"/>
    <w:rsid w:val="61637A28"/>
    <w:rsid w:val="6270241A"/>
    <w:rsid w:val="630D50E0"/>
    <w:rsid w:val="643AF978"/>
    <w:rsid w:val="6579BBCE"/>
    <w:rsid w:val="6D263906"/>
    <w:rsid w:val="6D9A7E05"/>
    <w:rsid w:val="70BE2BC1"/>
    <w:rsid w:val="73D8B5EF"/>
    <w:rsid w:val="74F606EF"/>
    <w:rsid w:val="777C4228"/>
    <w:rsid w:val="78B0DD74"/>
    <w:rsid w:val="7A3E4480"/>
    <w:rsid w:val="7A4688D5"/>
    <w:rsid w:val="7B941B98"/>
    <w:rsid w:val="7C991FF6"/>
    <w:rsid w:val="7CC1EF3A"/>
    <w:rsid w:val="7EC4A212"/>
    <w:rsid w:val="7ECA1ABE"/>
    <w:rsid w:val="7EF6D32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1ADB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5C9E"/>
  </w:style>
  <w:style w:type="paragraph" w:styleId="Heading1">
    <w:name w:val="heading 1"/>
    <w:basedOn w:val="Normal"/>
    <w:next w:val="Normal"/>
    <w:link w:val="Heading1Char"/>
    <w:uiPriority w:val="9"/>
    <w:qFormat/>
    <w:rsid w:val="00975C9E"/>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975C9E"/>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975C9E"/>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975C9E"/>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975C9E"/>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975C9E"/>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975C9E"/>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975C9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75C9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3DC"/>
    <w:rPr>
      <w:color w:val="0563C1" w:themeColor="hyperlink"/>
      <w:u w:val="single"/>
    </w:rPr>
  </w:style>
  <w:style w:type="character" w:customStyle="1" w:styleId="Heading1Char">
    <w:name w:val="Heading 1 Char"/>
    <w:basedOn w:val="DefaultParagraphFont"/>
    <w:link w:val="Heading1"/>
    <w:uiPriority w:val="9"/>
    <w:rsid w:val="00975C9E"/>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975C9E"/>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975C9E"/>
    <w:rPr>
      <w:caps/>
      <w:color w:val="823B0B" w:themeColor="accent2" w:themeShade="7F"/>
      <w:sz w:val="24"/>
      <w:szCs w:val="24"/>
    </w:rPr>
  </w:style>
  <w:style w:type="character" w:customStyle="1" w:styleId="Heading4Char">
    <w:name w:val="Heading 4 Char"/>
    <w:basedOn w:val="DefaultParagraphFont"/>
    <w:link w:val="Heading4"/>
    <w:uiPriority w:val="9"/>
    <w:rsid w:val="00975C9E"/>
    <w:rPr>
      <w:caps/>
      <w:color w:val="823B0B" w:themeColor="accent2" w:themeShade="7F"/>
      <w:spacing w:val="10"/>
    </w:rPr>
  </w:style>
  <w:style w:type="character" w:customStyle="1" w:styleId="Heading5Char">
    <w:name w:val="Heading 5 Char"/>
    <w:basedOn w:val="DefaultParagraphFont"/>
    <w:link w:val="Heading5"/>
    <w:uiPriority w:val="9"/>
    <w:rsid w:val="00975C9E"/>
    <w:rPr>
      <w:caps/>
      <w:color w:val="823B0B" w:themeColor="accent2" w:themeShade="7F"/>
      <w:spacing w:val="10"/>
    </w:rPr>
  </w:style>
  <w:style w:type="character" w:customStyle="1" w:styleId="Heading6Char">
    <w:name w:val="Heading 6 Char"/>
    <w:basedOn w:val="DefaultParagraphFont"/>
    <w:link w:val="Heading6"/>
    <w:uiPriority w:val="9"/>
    <w:rsid w:val="00975C9E"/>
    <w:rPr>
      <w:caps/>
      <w:color w:val="C45911" w:themeColor="accent2" w:themeShade="BF"/>
      <w:spacing w:val="10"/>
    </w:rPr>
  </w:style>
  <w:style w:type="character" w:customStyle="1" w:styleId="Heading7Char">
    <w:name w:val="Heading 7 Char"/>
    <w:basedOn w:val="DefaultParagraphFont"/>
    <w:link w:val="Heading7"/>
    <w:uiPriority w:val="9"/>
    <w:rsid w:val="00975C9E"/>
    <w:rPr>
      <w:i/>
      <w:iCs/>
      <w:caps/>
      <w:color w:val="C45911" w:themeColor="accent2" w:themeShade="BF"/>
      <w:spacing w:val="10"/>
    </w:rPr>
  </w:style>
  <w:style w:type="character" w:customStyle="1" w:styleId="Heading8Char">
    <w:name w:val="Heading 8 Char"/>
    <w:basedOn w:val="DefaultParagraphFont"/>
    <w:link w:val="Heading8"/>
    <w:uiPriority w:val="9"/>
    <w:rsid w:val="00975C9E"/>
    <w:rPr>
      <w:caps/>
      <w:spacing w:val="10"/>
      <w:sz w:val="20"/>
      <w:szCs w:val="20"/>
    </w:rPr>
  </w:style>
  <w:style w:type="character" w:customStyle="1" w:styleId="Heading9Char">
    <w:name w:val="Heading 9 Char"/>
    <w:basedOn w:val="DefaultParagraphFont"/>
    <w:link w:val="Heading9"/>
    <w:uiPriority w:val="9"/>
    <w:semiHidden/>
    <w:rsid w:val="00975C9E"/>
    <w:rPr>
      <w:i/>
      <w:iCs/>
      <w:caps/>
      <w:spacing w:val="10"/>
      <w:sz w:val="20"/>
      <w:szCs w:val="20"/>
    </w:rPr>
  </w:style>
  <w:style w:type="paragraph" w:styleId="Caption">
    <w:name w:val="caption"/>
    <w:basedOn w:val="Normal"/>
    <w:next w:val="Normal"/>
    <w:uiPriority w:val="35"/>
    <w:semiHidden/>
    <w:unhideWhenUsed/>
    <w:qFormat/>
    <w:rsid w:val="00975C9E"/>
    <w:rPr>
      <w:caps/>
      <w:spacing w:val="10"/>
      <w:sz w:val="18"/>
      <w:szCs w:val="18"/>
    </w:rPr>
  </w:style>
  <w:style w:type="paragraph" w:styleId="Title">
    <w:name w:val="Title"/>
    <w:basedOn w:val="Normal"/>
    <w:next w:val="Normal"/>
    <w:link w:val="TitleChar"/>
    <w:uiPriority w:val="10"/>
    <w:qFormat/>
    <w:rsid w:val="00975C9E"/>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975C9E"/>
    <w:rPr>
      <w:caps/>
      <w:color w:val="833C0B" w:themeColor="accent2" w:themeShade="80"/>
      <w:spacing w:val="50"/>
      <w:sz w:val="44"/>
      <w:szCs w:val="44"/>
    </w:rPr>
  </w:style>
  <w:style w:type="paragraph" w:styleId="Subtitle">
    <w:name w:val="Subtitle"/>
    <w:basedOn w:val="Normal"/>
    <w:next w:val="Normal"/>
    <w:link w:val="SubtitleChar"/>
    <w:uiPriority w:val="11"/>
    <w:qFormat/>
    <w:rsid w:val="00975C9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75C9E"/>
    <w:rPr>
      <w:caps/>
      <w:spacing w:val="20"/>
      <w:sz w:val="18"/>
      <w:szCs w:val="18"/>
    </w:rPr>
  </w:style>
  <w:style w:type="character" w:styleId="Strong">
    <w:name w:val="Strong"/>
    <w:uiPriority w:val="22"/>
    <w:qFormat/>
    <w:rsid w:val="00975C9E"/>
    <w:rPr>
      <w:b/>
      <w:bCs/>
      <w:color w:val="C45911" w:themeColor="accent2" w:themeShade="BF"/>
      <w:spacing w:val="5"/>
    </w:rPr>
  </w:style>
  <w:style w:type="character" w:styleId="Emphasis">
    <w:name w:val="Emphasis"/>
    <w:uiPriority w:val="20"/>
    <w:qFormat/>
    <w:rsid w:val="00975C9E"/>
    <w:rPr>
      <w:caps/>
      <w:spacing w:val="5"/>
      <w:sz w:val="20"/>
      <w:szCs w:val="20"/>
    </w:rPr>
  </w:style>
  <w:style w:type="paragraph" w:styleId="NoSpacing">
    <w:name w:val="No Spacing"/>
    <w:basedOn w:val="Normal"/>
    <w:link w:val="NoSpacingChar"/>
    <w:uiPriority w:val="1"/>
    <w:qFormat/>
    <w:rsid w:val="00975C9E"/>
    <w:pPr>
      <w:spacing w:after="0" w:line="240" w:lineRule="auto"/>
    </w:pPr>
  </w:style>
  <w:style w:type="character" w:customStyle="1" w:styleId="NoSpacingChar">
    <w:name w:val="No Spacing Char"/>
    <w:basedOn w:val="DefaultParagraphFont"/>
    <w:link w:val="NoSpacing"/>
    <w:uiPriority w:val="1"/>
    <w:rsid w:val="00975C9E"/>
  </w:style>
  <w:style w:type="paragraph" w:styleId="ListParagraph">
    <w:name w:val="List Paragraph"/>
    <w:basedOn w:val="Normal"/>
    <w:uiPriority w:val="34"/>
    <w:qFormat/>
    <w:rsid w:val="00975C9E"/>
    <w:pPr>
      <w:ind w:left="720"/>
      <w:contextualSpacing/>
    </w:pPr>
  </w:style>
  <w:style w:type="paragraph" w:styleId="Quote">
    <w:name w:val="Quote"/>
    <w:basedOn w:val="Normal"/>
    <w:next w:val="Normal"/>
    <w:link w:val="QuoteChar"/>
    <w:uiPriority w:val="29"/>
    <w:qFormat/>
    <w:rsid w:val="00975C9E"/>
    <w:rPr>
      <w:i/>
      <w:iCs/>
    </w:rPr>
  </w:style>
  <w:style w:type="character" w:customStyle="1" w:styleId="QuoteChar">
    <w:name w:val="Quote Char"/>
    <w:basedOn w:val="DefaultParagraphFont"/>
    <w:link w:val="Quote"/>
    <w:uiPriority w:val="29"/>
    <w:rsid w:val="00975C9E"/>
    <w:rPr>
      <w:i/>
      <w:iCs/>
    </w:rPr>
  </w:style>
  <w:style w:type="paragraph" w:styleId="IntenseQuote">
    <w:name w:val="Intense Quote"/>
    <w:basedOn w:val="Normal"/>
    <w:next w:val="Normal"/>
    <w:link w:val="IntenseQuoteChar"/>
    <w:uiPriority w:val="30"/>
    <w:qFormat/>
    <w:rsid w:val="00975C9E"/>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975C9E"/>
    <w:rPr>
      <w:caps/>
      <w:color w:val="823B0B" w:themeColor="accent2" w:themeShade="7F"/>
      <w:spacing w:val="5"/>
      <w:sz w:val="20"/>
      <w:szCs w:val="20"/>
    </w:rPr>
  </w:style>
  <w:style w:type="character" w:styleId="SubtleEmphasis">
    <w:name w:val="Subtle Emphasis"/>
    <w:uiPriority w:val="19"/>
    <w:qFormat/>
    <w:rsid w:val="00975C9E"/>
    <w:rPr>
      <w:i/>
      <w:iCs/>
    </w:rPr>
  </w:style>
  <w:style w:type="character" w:styleId="IntenseEmphasis">
    <w:name w:val="Intense Emphasis"/>
    <w:uiPriority w:val="21"/>
    <w:qFormat/>
    <w:rsid w:val="00975C9E"/>
    <w:rPr>
      <w:i/>
      <w:iCs/>
      <w:caps/>
      <w:spacing w:val="10"/>
      <w:sz w:val="20"/>
      <w:szCs w:val="20"/>
    </w:rPr>
  </w:style>
  <w:style w:type="character" w:styleId="SubtleReference">
    <w:name w:val="Subtle Reference"/>
    <w:basedOn w:val="DefaultParagraphFont"/>
    <w:uiPriority w:val="31"/>
    <w:qFormat/>
    <w:rsid w:val="00975C9E"/>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975C9E"/>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975C9E"/>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975C9E"/>
    <w:pPr>
      <w:outlineLvl w:val="9"/>
    </w:pPr>
  </w:style>
  <w:style w:type="paragraph" w:customStyle="1" w:styleId="PersonalName">
    <w:name w:val="Personal Name"/>
    <w:basedOn w:val="Title"/>
    <w:rsid w:val="0058088C"/>
    <w:rPr>
      <w:b/>
      <w:caps w:val="0"/>
      <w:color w:val="000000"/>
      <w:sz w:val="28"/>
      <w:szCs w:val="28"/>
    </w:rPr>
  </w:style>
  <w:style w:type="paragraph" w:styleId="BalloonText">
    <w:name w:val="Balloon Text"/>
    <w:basedOn w:val="Normal"/>
    <w:link w:val="BalloonTextChar"/>
    <w:uiPriority w:val="99"/>
    <w:semiHidden/>
    <w:unhideWhenUsed/>
    <w:rsid w:val="00E61A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A7C"/>
    <w:rPr>
      <w:rFonts w:ascii="Lucida Grande" w:hAnsi="Lucida Grande" w:cs="Lucida Grande"/>
      <w:sz w:val="18"/>
      <w:szCs w:val="18"/>
    </w:rPr>
  </w:style>
  <w:style w:type="character" w:styleId="CommentReference">
    <w:name w:val="annotation reference"/>
    <w:basedOn w:val="DefaultParagraphFont"/>
    <w:uiPriority w:val="99"/>
    <w:semiHidden/>
    <w:unhideWhenUsed/>
    <w:rsid w:val="002B6611"/>
    <w:rPr>
      <w:sz w:val="18"/>
      <w:szCs w:val="18"/>
    </w:rPr>
  </w:style>
  <w:style w:type="paragraph" w:styleId="CommentText">
    <w:name w:val="annotation text"/>
    <w:basedOn w:val="Normal"/>
    <w:link w:val="CommentTextChar"/>
    <w:uiPriority w:val="99"/>
    <w:semiHidden/>
    <w:unhideWhenUsed/>
    <w:rsid w:val="002B6611"/>
    <w:pPr>
      <w:spacing w:line="240" w:lineRule="auto"/>
    </w:pPr>
    <w:rPr>
      <w:sz w:val="24"/>
      <w:szCs w:val="24"/>
    </w:rPr>
  </w:style>
  <w:style w:type="character" w:customStyle="1" w:styleId="CommentTextChar">
    <w:name w:val="Comment Text Char"/>
    <w:basedOn w:val="DefaultParagraphFont"/>
    <w:link w:val="CommentText"/>
    <w:uiPriority w:val="99"/>
    <w:semiHidden/>
    <w:rsid w:val="002B6611"/>
    <w:rPr>
      <w:sz w:val="24"/>
      <w:szCs w:val="24"/>
    </w:rPr>
  </w:style>
  <w:style w:type="paragraph" w:styleId="CommentSubject">
    <w:name w:val="annotation subject"/>
    <w:basedOn w:val="CommentText"/>
    <w:next w:val="CommentText"/>
    <w:link w:val="CommentSubjectChar"/>
    <w:uiPriority w:val="99"/>
    <w:semiHidden/>
    <w:unhideWhenUsed/>
    <w:rsid w:val="002B6611"/>
    <w:rPr>
      <w:b/>
      <w:bCs/>
      <w:sz w:val="20"/>
      <w:szCs w:val="20"/>
    </w:rPr>
  </w:style>
  <w:style w:type="character" w:customStyle="1" w:styleId="CommentSubjectChar">
    <w:name w:val="Comment Subject Char"/>
    <w:basedOn w:val="CommentTextChar"/>
    <w:link w:val="CommentSubject"/>
    <w:uiPriority w:val="99"/>
    <w:semiHidden/>
    <w:rsid w:val="002B6611"/>
    <w:rPr>
      <w:b/>
      <w:bCs/>
      <w:sz w:val="20"/>
      <w:szCs w:val="20"/>
    </w:rPr>
  </w:style>
  <w:style w:type="paragraph" w:styleId="Revision">
    <w:name w:val="Revision"/>
    <w:hidden/>
    <w:uiPriority w:val="99"/>
    <w:semiHidden/>
    <w:rsid w:val="00734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347">
      <w:bodyDiv w:val="1"/>
      <w:marLeft w:val="0"/>
      <w:marRight w:val="0"/>
      <w:marTop w:val="0"/>
      <w:marBottom w:val="0"/>
      <w:divBdr>
        <w:top w:val="none" w:sz="0" w:space="0" w:color="auto"/>
        <w:left w:val="none" w:sz="0" w:space="0" w:color="auto"/>
        <w:bottom w:val="none" w:sz="0" w:space="0" w:color="auto"/>
        <w:right w:val="none" w:sz="0" w:space="0" w:color="auto"/>
      </w:divBdr>
    </w:div>
    <w:div w:id="339964651">
      <w:bodyDiv w:val="1"/>
      <w:marLeft w:val="0"/>
      <w:marRight w:val="0"/>
      <w:marTop w:val="0"/>
      <w:marBottom w:val="0"/>
      <w:divBdr>
        <w:top w:val="none" w:sz="0" w:space="0" w:color="auto"/>
        <w:left w:val="none" w:sz="0" w:space="0" w:color="auto"/>
        <w:bottom w:val="none" w:sz="0" w:space="0" w:color="auto"/>
        <w:right w:val="none" w:sz="0" w:space="0" w:color="auto"/>
      </w:divBdr>
    </w:div>
    <w:div w:id="809595420">
      <w:bodyDiv w:val="1"/>
      <w:marLeft w:val="0"/>
      <w:marRight w:val="0"/>
      <w:marTop w:val="0"/>
      <w:marBottom w:val="0"/>
      <w:divBdr>
        <w:top w:val="none" w:sz="0" w:space="0" w:color="auto"/>
        <w:left w:val="none" w:sz="0" w:space="0" w:color="auto"/>
        <w:bottom w:val="none" w:sz="0" w:space="0" w:color="auto"/>
        <w:right w:val="none" w:sz="0" w:space="0" w:color="auto"/>
      </w:divBdr>
    </w:div>
    <w:div w:id="1585646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rsarahbyrne@gmail.com" TargetMode="External"/><Relationship Id="rId7" Type="http://schemas.openxmlformats.org/officeDocument/2006/relationships/hyperlink" Target="mailto:peter.hodgkinson@health.qld.gov.au" TargetMode="External"/><Relationship Id="rId8" Type="http://schemas.openxmlformats.org/officeDocument/2006/relationships/hyperlink" Target="mailto:nick.butler@health.qld.gov.au" TargetMode="External"/><Relationship Id="rId9" Type="http://schemas.openxmlformats.org/officeDocument/2006/relationships/hyperlink" Target="https://www.sealedenvelope.com)" TargetMode="External"/><Relationship Id="rId10"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483745"/>
    <w:rsid w:val="00020A81"/>
    <w:rsid w:val="0048374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Ong18</b:Tag>
    <b:SourceType>JournalArticle</b:SourceType>
    <b:Guid>{84A913EE-C37F-7A4C-AB15-20B4BCA75959}</b:Guid>
    <b:Title>To stent of not to stent: the use of transanastomotic biliary stents in liver transplantation and patient outcomes</b:Title>
    <b:Year>2018</b:Year>
    <b:Pages>603-606</b:Pages>
    <b:Author>
      <b:Author>
        <b:NameList>
          <b:Person>
            <b:Last>Ong M</b:Last>
            <b:First>Slater</b:First>
            <b:Middle>K, Hodgkinson P, Dunn N, Fawcett J</b:Middle>
          </b:Person>
        </b:NameList>
      </b:Author>
    </b:Author>
    <b:JournalName>ANZ J Surg</b:JournalName>
    <b:Month>June</b:Month>
    <b:RefOrder>1</b:RefOrder>
  </b:Source>
  <b:Source>
    <b:Tag>Gou15</b:Tag>
    <b:SourceType>JournalArticle</b:SourceType>
    <b:Guid>{C86B66DF-77A8-214C-BBD6-EF4EF1DC4C57}</b:Guid>
    <b:Author>
      <b:Author>
        <b:NameList>
          <b:Person>
            <b:Last>Goumard C</b:Last>
            <b:First>Cachanado</b:First>
            <b:Middle>M, Herrero A, Rousseau G, Dondero F, Compagnon P, Boleslawski E, Mabrut JY, Salame E, Soubrane O, Simon T, Scatton O</b:Middle>
          </b:Person>
        </b:NameList>
      </b:Author>
    </b:Author>
    <b:Title>Biliary reconstuction with or without an intraductal removable stent in liver transplantation: study protocol for a randomised controlled trial</b:Title>
    <b:JournalName>Trials</b:JournalName>
    <b:Year>2015</b:Year>
    <b:Month>Dec</b:Month>
    <b:Pages>598</b:Pages>
    <b:RefOrder>2</b:RefOrder>
  </b:Source>
</b:Sources>
</file>

<file path=customXml/itemProps1.xml><?xml version="1.0" encoding="utf-8"?>
<ds:datastoreItem xmlns:ds="http://schemas.openxmlformats.org/officeDocument/2006/customXml" ds:itemID="{48266CBA-6746-DA4F-811C-3D4D80F1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2102</Words>
  <Characters>11988</Characters>
  <Application>Microsoft Macintosh Word</Application>
  <DocSecurity>0</DocSecurity>
  <Lines>99</Lines>
  <Paragraphs>28</Paragraphs>
  <ScaleCrop>false</ScaleCrop>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Sarah Byrne</cp:lastModifiedBy>
  <cp:revision>2</cp:revision>
  <dcterms:created xsi:type="dcterms:W3CDTF">2019-04-26T02:16:00Z</dcterms:created>
  <dcterms:modified xsi:type="dcterms:W3CDTF">2019-04-26T02:16:00Z</dcterms:modified>
</cp:coreProperties>
</file>