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D11A" w14:textId="77777777" w:rsidR="00E8330D" w:rsidRDefault="00E8330D" w:rsidP="00701249">
      <w:pPr>
        <w:spacing w:after="0" w:line="360" w:lineRule="auto"/>
        <w:jc w:val="center"/>
      </w:pPr>
      <w:r>
        <w:t>References</w:t>
      </w:r>
      <w:bookmarkStart w:id="0" w:name="_GoBack"/>
      <w:bookmarkEnd w:id="0"/>
    </w:p>
    <w:p w14:paraId="7807BF8A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F1226">
        <w:t>1.</w:t>
      </w:r>
      <w:r w:rsidRPr="005F1226">
        <w:tab/>
        <w:t xml:space="preserve">Burgess, P., J. Pirkis, and T. Coombs, </w:t>
      </w:r>
      <w:r w:rsidRPr="005F1226">
        <w:rPr>
          <w:i/>
        </w:rPr>
        <w:t>Routine outcome measurement in Australia.</w:t>
      </w:r>
      <w:r w:rsidRPr="005F1226">
        <w:t xml:space="preserve"> Int Rev Psychiatry, 2015. </w:t>
      </w:r>
      <w:r w:rsidRPr="005F1226">
        <w:rPr>
          <w:b/>
        </w:rPr>
        <w:t>27</w:t>
      </w:r>
      <w:r w:rsidRPr="005F1226">
        <w:t>(4): p. 264-75.</w:t>
      </w:r>
    </w:p>
    <w:p w14:paraId="5C4BFCF4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2.</w:t>
      </w:r>
      <w:r w:rsidRPr="005F1226">
        <w:tab/>
        <w:t xml:space="preserve">Excellence, N.I.i.C., </w:t>
      </w:r>
      <w:r w:rsidRPr="005F1226">
        <w:rPr>
          <w:i/>
        </w:rPr>
        <w:t>NICE Quality standard for drug use disorders. NICE quality standards QS23.</w:t>
      </w:r>
      <w:r w:rsidRPr="005F1226">
        <w:t xml:space="preserve"> 2012, National Institute in Health and Clinical Excellence: London.</w:t>
      </w:r>
    </w:p>
    <w:p w14:paraId="6A34052A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3.</w:t>
      </w:r>
      <w:r w:rsidRPr="005F1226">
        <w:tab/>
        <w:t xml:space="preserve">Excellence, N.I.i.C., </w:t>
      </w:r>
      <w:r w:rsidRPr="005F1226">
        <w:rPr>
          <w:i/>
        </w:rPr>
        <w:t xml:space="preserve">NICE: Alcohol-use disorders: diagnosis, assessment and management of harmful drinking and alcohol dependence. </w:t>
      </w:r>
      <w:r w:rsidRPr="005F1226">
        <w:t>. 2011, National Institute for Clinical Excellence: London.</w:t>
      </w:r>
    </w:p>
    <w:p w14:paraId="68B70501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4.</w:t>
      </w:r>
      <w:r w:rsidRPr="005F1226">
        <w:tab/>
        <w:t xml:space="preserve">Lambert, M.J., et al., </w:t>
      </w:r>
      <w:r w:rsidRPr="005F1226">
        <w:rPr>
          <w:i/>
        </w:rPr>
        <w:t>Providing feedback to psychotherapists on their patients' progress: Clinical results and practice suggestions.</w:t>
      </w:r>
      <w:r w:rsidRPr="005F1226">
        <w:t xml:space="preserve"> Journal of Clinical Psychology, 2005. </w:t>
      </w:r>
      <w:r w:rsidRPr="005F1226">
        <w:rPr>
          <w:b/>
        </w:rPr>
        <w:t>61</w:t>
      </w:r>
      <w:r w:rsidRPr="005F1226">
        <w:t>(2): p. 165-174.</w:t>
      </w:r>
    </w:p>
    <w:p w14:paraId="5047F504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5.</w:t>
      </w:r>
      <w:r w:rsidRPr="005F1226">
        <w:tab/>
        <w:t xml:space="preserve">Yardley, L., et al., </w:t>
      </w:r>
      <w:r w:rsidRPr="005F1226">
        <w:rPr>
          <w:i/>
        </w:rPr>
        <w:t>The Person-Based Approach to Intervention Development: Application to Digital Health-Related Behavior Change Interventions.</w:t>
      </w:r>
      <w:r w:rsidRPr="005F1226">
        <w:t xml:space="preserve"> Journal of Medical Internet Research, 2015. </w:t>
      </w:r>
      <w:r w:rsidRPr="005F1226">
        <w:rPr>
          <w:b/>
        </w:rPr>
        <w:t>17</w:t>
      </w:r>
      <w:r w:rsidRPr="005F1226">
        <w:t>(1): p. e30.</w:t>
      </w:r>
    </w:p>
    <w:p w14:paraId="738F8BBE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6.</w:t>
      </w:r>
      <w:r w:rsidRPr="005F1226">
        <w:tab/>
        <w:t xml:space="preserve">Mohr, D.C., et al., </w:t>
      </w:r>
      <w:r w:rsidRPr="005F1226">
        <w:rPr>
          <w:i/>
        </w:rPr>
        <w:t>The behavioral intervention technology model: an integrated conceptual and technological framework for eHealth and mHealth interventions.</w:t>
      </w:r>
      <w:r w:rsidRPr="005F1226">
        <w:t xml:space="preserve"> J Med Internet Res, 2014. </w:t>
      </w:r>
      <w:r w:rsidRPr="005F1226">
        <w:rPr>
          <w:b/>
        </w:rPr>
        <w:t>16</w:t>
      </w:r>
      <w:r w:rsidRPr="005F1226">
        <w:t>(6): p. e146.</w:t>
      </w:r>
    </w:p>
    <w:p w14:paraId="64F0EA70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7.</w:t>
      </w:r>
      <w:r w:rsidRPr="005F1226">
        <w:tab/>
        <w:t xml:space="preserve">Mummah, S.A., et al., </w:t>
      </w:r>
      <w:r w:rsidRPr="005F1226">
        <w:rPr>
          <w:i/>
        </w:rPr>
        <w:t>IDEAS (Integrate, Design, Assess, and Share): A Framework and Toolkit of Strategies for the Development of More Effective Digital Interventions to Change Health Behavior.</w:t>
      </w:r>
      <w:r w:rsidRPr="005F1226">
        <w:t xml:space="preserve"> Journal of Medical Internet Research, 2016. </w:t>
      </w:r>
      <w:r w:rsidRPr="005F1226">
        <w:rPr>
          <w:b/>
        </w:rPr>
        <w:t>18</w:t>
      </w:r>
      <w:r w:rsidRPr="005F1226">
        <w:t>(12): p. e317.</w:t>
      </w:r>
    </w:p>
    <w:p w14:paraId="095EB29E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8.</w:t>
      </w:r>
      <w:r w:rsidRPr="005F1226">
        <w:tab/>
        <w:t xml:space="preserve">Excellence, N.I.f.H.C., </w:t>
      </w:r>
      <w:r w:rsidRPr="005F1226">
        <w:rPr>
          <w:i/>
        </w:rPr>
        <w:t>Drug Misuse: Psychosocial interventions</w:t>
      </w:r>
      <w:r w:rsidRPr="005F1226">
        <w:t>. 2008, The British Psychological Society and The Royal College of Psychiatrists: London.</w:t>
      </w:r>
    </w:p>
    <w:p w14:paraId="10F70868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9.</w:t>
      </w:r>
      <w:r w:rsidRPr="005F1226">
        <w:tab/>
        <w:t xml:space="preserve">Carlier, I.V., et al., </w:t>
      </w:r>
      <w:r w:rsidRPr="005F1226">
        <w:rPr>
          <w:i/>
        </w:rPr>
        <w:t>Routine outcome monitoring and feedback on physical or mental health status: evidence and theory.</w:t>
      </w:r>
      <w:r w:rsidRPr="005F1226">
        <w:t xml:space="preserve"> J Eval Clin Pract, 2012. </w:t>
      </w:r>
      <w:r w:rsidRPr="005F1226">
        <w:rPr>
          <w:b/>
        </w:rPr>
        <w:t>18</w:t>
      </w:r>
      <w:r w:rsidRPr="005F1226">
        <w:t>(1): p. 104-10.</w:t>
      </w:r>
    </w:p>
    <w:p w14:paraId="700A2950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10.</w:t>
      </w:r>
      <w:r w:rsidRPr="005F1226">
        <w:tab/>
        <w:t xml:space="preserve">Ve Carlier, I. and W. A van Eeden, </w:t>
      </w:r>
      <w:r w:rsidRPr="005F1226">
        <w:rPr>
          <w:i/>
        </w:rPr>
        <w:t>Routine Outcome Monitoring in Mental Health Care and Particularly in Addiction Treatment: Evidence-Based Clinical and Research Recommendations</w:t>
      </w:r>
      <w:r w:rsidRPr="005F1226">
        <w:t>. Vol. 08. 2017.</w:t>
      </w:r>
    </w:p>
    <w:p w14:paraId="50DFD05B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11.</w:t>
      </w:r>
      <w:r w:rsidRPr="005F1226">
        <w:tab/>
        <w:t xml:space="preserve">Noar, S.M., C.N. Benac, and M.S. Harris, </w:t>
      </w:r>
      <w:r w:rsidRPr="005F1226">
        <w:rPr>
          <w:i/>
        </w:rPr>
        <w:t>Does tailoring matter? Meta-analytic review of tailored print health behavior change interventions.</w:t>
      </w:r>
      <w:r w:rsidRPr="005F1226">
        <w:t xml:space="preserve"> Psychol Bull, 2007. </w:t>
      </w:r>
      <w:r w:rsidRPr="005F1226">
        <w:rPr>
          <w:b/>
        </w:rPr>
        <w:t>133</w:t>
      </w:r>
      <w:r w:rsidRPr="005F1226">
        <w:t>(4): p. 673-93.</w:t>
      </w:r>
    </w:p>
    <w:p w14:paraId="35491B49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12.</w:t>
      </w:r>
      <w:r w:rsidRPr="005F1226">
        <w:tab/>
        <w:t xml:space="preserve">Hoeppner, B.B., et al., </w:t>
      </w:r>
      <w:r w:rsidRPr="005F1226">
        <w:rPr>
          <w:i/>
        </w:rPr>
        <w:t>There is an app for that – Or is there? A content analysis of publicly available smartphone apps for managing alcohol use.</w:t>
      </w:r>
      <w:r w:rsidRPr="005F1226">
        <w:t xml:space="preserve"> Journal of Substance Abuse Treatment, 2017. </w:t>
      </w:r>
      <w:r w:rsidRPr="005F1226">
        <w:rPr>
          <w:b/>
        </w:rPr>
        <w:t>82</w:t>
      </w:r>
      <w:r w:rsidRPr="005F1226">
        <w:t>: p. 67-73.</w:t>
      </w:r>
    </w:p>
    <w:p w14:paraId="50A88C65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lastRenderedPageBreak/>
        <w:t>13.</w:t>
      </w:r>
      <w:r w:rsidRPr="005F1226">
        <w:tab/>
        <w:t xml:space="preserve">Garnett, C., et al., </w:t>
      </w:r>
      <w:r w:rsidRPr="005F1226">
        <w:rPr>
          <w:i/>
        </w:rPr>
        <w:t>Identification of Behavior Change Techniques and Engagement Strategies to Design a Smartphone App to Reduce Alcohol Consumption Using a Formal Consensus Method.</w:t>
      </w:r>
      <w:r w:rsidRPr="005F1226">
        <w:t xml:space="preserve"> JMIR mHealth and uHealth, 2015. </w:t>
      </w:r>
      <w:r w:rsidRPr="005F1226">
        <w:rPr>
          <w:b/>
        </w:rPr>
        <w:t>3</w:t>
      </w:r>
      <w:r w:rsidRPr="005F1226">
        <w:t>(2): p. e73.</w:t>
      </w:r>
    </w:p>
    <w:p w14:paraId="6D1EE677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14.</w:t>
      </w:r>
      <w:r w:rsidRPr="005F1226">
        <w:tab/>
        <w:t xml:space="preserve">Gondek, D., et al., </w:t>
      </w:r>
      <w:r w:rsidRPr="005F1226">
        <w:rPr>
          <w:i/>
        </w:rPr>
        <w:t>Feedback from Outcome Measures and Treatment Effectiveness, Treatment Efficiency, and Collaborative Practice: A Systematic Review.</w:t>
      </w:r>
      <w:r w:rsidRPr="005F1226">
        <w:t xml:space="preserve"> Administration and Policy in Mental Health and Mental Health Services Research, 2016. </w:t>
      </w:r>
      <w:r w:rsidRPr="005F1226">
        <w:rPr>
          <w:b/>
        </w:rPr>
        <w:t>43</w:t>
      </w:r>
      <w:r w:rsidRPr="005F1226">
        <w:t>(3): p. 325-343.</w:t>
      </w:r>
    </w:p>
    <w:p w14:paraId="557C5306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15.</w:t>
      </w:r>
      <w:r w:rsidRPr="005F1226">
        <w:tab/>
        <w:t xml:space="preserve">Kendrick, T., et al., </w:t>
      </w:r>
      <w:r w:rsidRPr="005F1226">
        <w:rPr>
          <w:i/>
        </w:rPr>
        <w:t>Routine use of patient reported outcome measures (PROMs) for improving treatment of common mental health disorders in adults.</w:t>
      </w:r>
      <w:r w:rsidRPr="005F1226">
        <w:t xml:space="preserve"> Cochrane Database Syst Rev, 2016. </w:t>
      </w:r>
      <w:r w:rsidRPr="005F1226">
        <w:rPr>
          <w:b/>
        </w:rPr>
        <w:t>7</w:t>
      </w:r>
      <w:r w:rsidRPr="005F1226">
        <w:t>: p. CD011119.</w:t>
      </w:r>
    </w:p>
    <w:p w14:paraId="1D89E752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16.</w:t>
      </w:r>
      <w:r w:rsidRPr="005F1226">
        <w:tab/>
        <w:t xml:space="preserve">Duncan, E.A.S. and J. Murray, </w:t>
      </w:r>
      <w:r w:rsidRPr="005F1226">
        <w:rPr>
          <w:i/>
        </w:rPr>
        <w:t>The barriers and facilitators to routine outcome measurement by allied health professionals in practice: a systematic review.</w:t>
      </w:r>
      <w:r w:rsidRPr="005F1226">
        <w:t xml:space="preserve"> BMC Health Services Research, 2012. </w:t>
      </w:r>
      <w:r w:rsidRPr="005F1226">
        <w:rPr>
          <w:b/>
        </w:rPr>
        <w:t>12</w:t>
      </w:r>
      <w:r w:rsidRPr="005F1226">
        <w:t>(1): p. 96.</w:t>
      </w:r>
    </w:p>
    <w:p w14:paraId="4E7BFBF8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17.</w:t>
      </w:r>
      <w:r w:rsidRPr="005F1226">
        <w:tab/>
        <w:t xml:space="preserve">Berrouiguet, S., et al., </w:t>
      </w:r>
      <w:r w:rsidRPr="005F1226">
        <w:rPr>
          <w:i/>
        </w:rPr>
        <w:t>Fundamentals for Future Mobile-Health (mHealth): A Systematic Review of Mobile Phone and Web-Based Text Messaging in Mental Health.</w:t>
      </w:r>
      <w:r w:rsidRPr="005F1226">
        <w:t xml:space="preserve"> J Med Internet Res, 2016. </w:t>
      </w:r>
      <w:r w:rsidRPr="005F1226">
        <w:rPr>
          <w:b/>
        </w:rPr>
        <w:t>18</w:t>
      </w:r>
      <w:r w:rsidRPr="005F1226">
        <w:t>(6): p. e135.</w:t>
      </w:r>
    </w:p>
    <w:p w14:paraId="057E485E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18.</w:t>
      </w:r>
      <w:r w:rsidRPr="005F1226">
        <w:tab/>
        <w:t xml:space="preserve">Boswell, J.F., et al., </w:t>
      </w:r>
      <w:r w:rsidRPr="005F1226">
        <w:rPr>
          <w:i/>
        </w:rPr>
        <w:t>Implementing routine outcome monitoring in clinical practice: benefits, challenges, and solutions.</w:t>
      </w:r>
      <w:r w:rsidRPr="005F1226">
        <w:t xml:space="preserve"> Psychother Res, 2015. </w:t>
      </w:r>
      <w:r w:rsidRPr="005F1226">
        <w:rPr>
          <w:b/>
        </w:rPr>
        <w:t>25</w:t>
      </w:r>
      <w:r w:rsidRPr="005F1226">
        <w:t>(1): p. 6-19.</w:t>
      </w:r>
    </w:p>
    <w:p w14:paraId="58AAE782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19.</w:t>
      </w:r>
      <w:r w:rsidRPr="005F1226">
        <w:tab/>
        <w:t xml:space="preserve">NADA, </w:t>
      </w:r>
      <w:r w:rsidRPr="005F1226">
        <w:rPr>
          <w:i/>
        </w:rPr>
        <w:t>NGO Drug and Alcohol and Mental Health Information Management Project: Determining the Treatment Outcomes Data Collection Set</w:t>
      </w:r>
      <w:r w:rsidRPr="005F1226">
        <w:t>. 2009, NADA: Strawberry Hills.</w:t>
      </w:r>
    </w:p>
    <w:p w14:paraId="2F804A42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20.</w:t>
      </w:r>
      <w:r w:rsidRPr="005F1226">
        <w:tab/>
        <w:t xml:space="preserve">Schluter, M.G., et al., </w:t>
      </w:r>
      <w:r w:rsidRPr="005F1226">
        <w:rPr>
          <w:i/>
        </w:rPr>
        <w:t>Can one simple questionnaire assess substance-related and behavioural addiction problems? Results of a proposed new screener for community epidemiology.</w:t>
      </w:r>
      <w:r w:rsidRPr="005F1226">
        <w:t xml:space="preserve"> Addiction, 2018. </w:t>
      </w:r>
      <w:r w:rsidRPr="005F1226">
        <w:rPr>
          <w:b/>
        </w:rPr>
        <w:t>113</w:t>
      </w:r>
      <w:r w:rsidRPr="005F1226">
        <w:t>(8): p. 1528-1537.</w:t>
      </w:r>
    </w:p>
    <w:p w14:paraId="67AD8C42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21.</w:t>
      </w:r>
      <w:r w:rsidRPr="005F1226">
        <w:tab/>
        <w:t xml:space="preserve">Neale, J., et al., </w:t>
      </w:r>
      <w:r w:rsidRPr="005F1226">
        <w:rPr>
          <w:i/>
        </w:rPr>
        <w:t>DEVELOPMENT AND VALIDATION OF ‘SURE’: A PATIENT REPORTED OUTCOME MEASURE (PROM) FOR RECOVERY FROM DRUG AND ALCOHOL DEPENDENCE.</w:t>
      </w:r>
      <w:r w:rsidRPr="005F1226">
        <w:t xml:space="preserve"> Drug and Alcohol Dependence, 2016. </w:t>
      </w:r>
      <w:r w:rsidRPr="005F1226">
        <w:rPr>
          <w:b/>
        </w:rPr>
        <w:t>165</w:t>
      </w:r>
      <w:r w:rsidRPr="005F1226">
        <w:t>: p. 159-167.</w:t>
      </w:r>
    </w:p>
    <w:p w14:paraId="07EAA85B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22.</w:t>
      </w:r>
      <w:r w:rsidRPr="005F1226">
        <w:tab/>
        <w:t xml:space="preserve">Kessler, R.C., et al., </w:t>
      </w:r>
      <w:r w:rsidRPr="005F1226">
        <w:rPr>
          <w:i/>
        </w:rPr>
        <w:t>Short screening scales to monitor population prevalences and trends in non-specific psychological distress.</w:t>
      </w:r>
      <w:r w:rsidRPr="005F1226">
        <w:t xml:space="preserve"> Psychol Med, 2002. </w:t>
      </w:r>
      <w:r w:rsidRPr="005F1226">
        <w:rPr>
          <w:b/>
        </w:rPr>
        <w:t>32</w:t>
      </w:r>
      <w:r w:rsidRPr="005F1226">
        <w:t>(6): p. 959-76.</w:t>
      </w:r>
    </w:p>
    <w:p w14:paraId="50495F82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23.</w:t>
      </w:r>
      <w:r w:rsidRPr="005F1226">
        <w:tab/>
        <w:t xml:space="preserve">Kessler, R.C., et al., </w:t>
      </w:r>
      <w:r w:rsidRPr="005F1226">
        <w:rPr>
          <w:i/>
        </w:rPr>
        <w:t>Screening for serious mental illness in the general population.</w:t>
      </w:r>
      <w:r w:rsidRPr="005F1226">
        <w:t xml:space="preserve"> Arch Gen Psychiatry, 2003. </w:t>
      </w:r>
      <w:r w:rsidRPr="005F1226">
        <w:rPr>
          <w:b/>
        </w:rPr>
        <w:t>60</w:t>
      </w:r>
      <w:r w:rsidRPr="005F1226">
        <w:t>(2): p. 184-9.</w:t>
      </w:r>
    </w:p>
    <w:p w14:paraId="29E1DDC3" w14:textId="77777777" w:rsidR="00E8330D" w:rsidRPr="005F1226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24.</w:t>
      </w:r>
      <w:r w:rsidRPr="005F1226">
        <w:tab/>
        <w:t xml:space="preserve">Braun, V. and V. Clarke, </w:t>
      </w:r>
      <w:r w:rsidRPr="005F1226">
        <w:rPr>
          <w:i/>
        </w:rPr>
        <w:t>Using thematic analysis in psychology.</w:t>
      </w:r>
      <w:r w:rsidRPr="005F1226">
        <w:t xml:space="preserve"> Qualitative Research in Psychology, 2006. </w:t>
      </w:r>
      <w:r w:rsidRPr="005F1226">
        <w:rPr>
          <w:b/>
        </w:rPr>
        <w:t>3</w:t>
      </w:r>
      <w:r w:rsidRPr="005F1226">
        <w:t>(2): p. 77-101.</w:t>
      </w:r>
    </w:p>
    <w:p w14:paraId="001E07A4" w14:textId="77777777" w:rsidR="00701249" w:rsidRDefault="00E8330D" w:rsidP="00701249">
      <w:pPr>
        <w:pStyle w:val="EndNoteBibliography"/>
        <w:spacing w:after="0" w:line="360" w:lineRule="auto"/>
        <w:ind w:left="720" w:hanging="720"/>
      </w:pPr>
      <w:r w:rsidRPr="005F1226">
        <w:t>25.</w:t>
      </w:r>
      <w:r w:rsidRPr="005F1226">
        <w:tab/>
        <w:t xml:space="preserve">A, K., </w:t>
      </w:r>
      <w:r w:rsidRPr="005F1226">
        <w:rPr>
          <w:i/>
        </w:rPr>
        <w:t>The unobtrusive researcher</w:t>
      </w:r>
      <w:r w:rsidRPr="005F1226">
        <w:t>. 1993, Sydney: Allen &amp; Unwin.</w:t>
      </w:r>
    </w:p>
    <w:p w14:paraId="29B87180" w14:textId="77777777" w:rsidR="00701249" w:rsidRDefault="00701249" w:rsidP="00701249">
      <w:pPr>
        <w:pStyle w:val="EndNoteBibliography"/>
        <w:spacing w:after="0" w:line="360" w:lineRule="auto"/>
        <w:ind w:left="720" w:hanging="720"/>
      </w:pPr>
      <w:r>
        <w:t xml:space="preserve">26. </w:t>
      </w:r>
      <w:r>
        <w:tab/>
      </w:r>
      <w:r>
        <w:t xml:space="preserve">Australia SR. SMART Recovery Facilitator Training Manual: Practical Information and Tools to Help You Facilitate a SMART Recovery Group. Haymarket: </w:t>
      </w:r>
      <w:r>
        <w:t>SMART Recovery Australia; 2015.</w:t>
      </w:r>
    </w:p>
    <w:p w14:paraId="4C297E6C" w14:textId="26B03C28" w:rsidR="00701249" w:rsidRDefault="00701249" w:rsidP="00701249">
      <w:pPr>
        <w:pStyle w:val="EndNoteBibliography"/>
        <w:spacing w:after="0" w:line="360" w:lineRule="auto"/>
        <w:ind w:left="720" w:hanging="720"/>
      </w:pPr>
      <w:r>
        <w:lastRenderedPageBreak/>
        <w:t xml:space="preserve">27. </w:t>
      </w:r>
      <w:r>
        <w:tab/>
      </w:r>
      <w:r>
        <w:t>Australia SR. SMART Recovery Australia Participants' Manual: Tools and strategies to help you manage addictive behaviours. Wooloomooloo: SMART Recovery Australia; 2016.</w:t>
      </w:r>
    </w:p>
    <w:p w14:paraId="37018C4D" w14:textId="44C9929A" w:rsidR="00701249" w:rsidRDefault="00701249" w:rsidP="00701249">
      <w:pPr>
        <w:pStyle w:val="EndNoteBibliography"/>
        <w:spacing w:after="0" w:line="360" w:lineRule="auto"/>
        <w:ind w:left="720" w:hanging="720"/>
      </w:pPr>
      <w:r>
        <w:t>2</w:t>
      </w:r>
      <w:r w:rsidRPr="0033660D">
        <w:t>8.</w:t>
      </w:r>
      <w:r w:rsidRPr="0033660D">
        <w:tab/>
        <w:t>Wilson KG, Sandoz EK, Kitchens J, Roberts M. The Valued Living Questionnaire: Defining and Measuring Valued Action within a Behavioral Framework. The Psychological Record. 2010;60(2):249-72.</w:t>
      </w:r>
    </w:p>
    <w:p w14:paraId="0A90ECEF" w14:textId="5A93D82B" w:rsidR="00701249" w:rsidRPr="0033660D" w:rsidRDefault="00701249" w:rsidP="00701249">
      <w:pPr>
        <w:pStyle w:val="EndNoteBibliography"/>
        <w:spacing w:after="0" w:line="360" w:lineRule="auto"/>
        <w:ind w:left="720" w:hanging="720"/>
      </w:pPr>
      <w:r>
        <w:t>2</w:t>
      </w:r>
      <w:r w:rsidRPr="0033660D">
        <w:t>9.</w:t>
      </w:r>
      <w:r w:rsidRPr="0033660D">
        <w:tab/>
        <w:t>Miller WR, Rollnick S. Motivational interviewing: Helping people change. 3rd ed. New York: Guildford Press; 2013.</w:t>
      </w:r>
    </w:p>
    <w:p w14:paraId="03E74326" w14:textId="5518A15E" w:rsidR="00701249" w:rsidRDefault="00701249" w:rsidP="00701249">
      <w:pPr>
        <w:pStyle w:val="EndNoteBibliography"/>
        <w:spacing w:after="0" w:line="360" w:lineRule="auto"/>
        <w:ind w:left="720" w:hanging="720"/>
      </w:pPr>
      <w:r>
        <w:t>3</w:t>
      </w:r>
      <w:r w:rsidRPr="0033660D">
        <w:t>0.</w:t>
      </w:r>
      <w:r w:rsidRPr="0033660D">
        <w:tab/>
        <w:t>Nikolaos Kazantzis FPDaKRR. Assessment of Homework Completion. In: Nikolaos Kazantzis FPD, Kevin R. Ronan and Luciano L'Abate, editor. Using Homework Assignments in Cognitive Behaviour Therapy. New York: Routledge Taylor &amp; Francis Group; 2005. p. 50-60.</w:t>
      </w:r>
    </w:p>
    <w:p w14:paraId="2CF379BA" w14:textId="7C868F80" w:rsidR="00701249" w:rsidRPr="0033660D" w:rsidRDefault="00701249" w:rsidP="00701249">
      <w:pPr>
        <w:pStyle w:val="EndNoteBibliography"/>
        <w:spacing w:after="0" w:line="360" w:lineRule="auto"/>
        <w:ind w:left="720" w:hanging="720"/>
      </w:pPr>
      <w:r>
        <w:t>31</w:t>
      </w:r>
      <w:r w:rsidRPr="0033660D">
        <w:t>.</w:t>
      </w:r>
      <w:r w:rsidRPr="0033660D">
        <w:tab/>
        <w:t>Schluter MG, Hodgins DC, Wolfe J, Wild TC. Can one simple questionnaire assess substance-related and behavioural addiction problems? Results of a proposed new screener for community epidemiology. Addiction. 2018;113(8):1528-37.</w:t>
      </w:r>
    </w:p>
    <w:p w14:paraId="7A2199A6" w14:textId="795F22D4" w:rsidR="00701249" w:rsidRDefault="00701249" w:rsidP="00701249">
      <w:pPr>
        <w:pStyle w:val="EndNoteBibliography"/>
        <w:spacing w:after="0" w:line="360" w:lineRule="auto"/>
        <w:ind w:left="720" w:hanging="720"/>
      </w:pPr>
      <w:r>
        <w:t>32</w:t>
      </w:r>
      <w:r w:rsidRPr="0033660D">
        <w:t>.</w:t>
      </w:r>
      <w:r w:rsidRPr="0033660D">
        <w:tab/>
        <w:t>Rocha NSd, Power MJ, Bushnell DM, Fleck MP. The EUROHIS-QOL 8-Item Index: Comparative Psychometric Properties to Its Parent WHOQOL-BREF. Value in Health. 2012;15(3):449-57.</w:t>
      </w:r>
    </w:p>
    <w:p w14:paraId="206A41D4" w14:textId="6BF3B8F3" w:rsidR="00701249" w:rsidRDefault="00701249" w:rsidP="00701249">
      <w:pPr>
        <w:pStyle w:val="EndNoteBibliography"/>
        <w:spacing w:after="0" w:line="360" w:lineRule="auto"/>
        <w:ind w:left="720" w:hanging="720"/>
      </w:pPr>
      <w:r>
        <w:t>33.</w:t>
      </w:r>
      <w:r w:rsidRPr="0033660D">
        <w:tab/>
        <w:t>Lawrinson P, Copeland J, Indig D. The brief treatment outcome measure: opioid maintenance pharmacotherapy (BTOM) manual. Sydney; 2003.</w:t>
      </w:r>
    </w:p>
    <w:p w14:paraId="2ED28526" w14:textId="2A6A694E" w:rsidR="00701249" w:rsidRPr="0033660D" w:rsidRDefault="00701249" w:rsidP="00701249">
      <w:pPr>
        <w:pStyle w:val="EndNoteBibliography"/>
        <w:spacing w:after="0" w:line="360" w:lineRule="auto"/>
        <w:ind w:left="720" w:hanging="720"/>
      </w:pPr>
      <w:r>
        <w:t>34</w:t>
      </w:r>
      <w:r w:rsidRPr="0033660D">
        <w:t>.</w:t>
      </w:r>
      <w:r w:rsidRPr="0033660D">
        <w:tab/>
        <w:t>Agencies NoAOD. Using the Client Outcomes Management System (COMS). Sydney: NSW Ministry of Health; 2012.</w:t>
      </w:r>
    </w:p>
    <w:p w14:paraId="25184317" w14:textId="77777777" w:rsidR="00701249" w:rsidRPr="0033660D" w:rsidRDefault="00701249" w:rsidP="00701249">
      <w:pPr>
        <w:pStyle w:val="EndNoteBibliography"/>
        <w:spacing w:after="0" w:line="360" w:lineRule="auto"/>
      </w:pPr>
    </w:p>
    <w:p w14:paraId="0D480EBE" w14:textId="77777777" w:rsidR="00701249" w:rsidRPr="0033660D" w:rsidRDefault="00701249" w:rsidP="00701249">
      <w:pPr>
        <w:pStyle w:val="EndNoteBibliography"/>
        <w:spacing w:after="0" w:line="360" w:lineRule="auto"/>
      </w:pPr>
    </w:p>
    <w:p w14:paraId="6CF2BB1F" w14:textId="77777777" w:rsidR="00701249" w:rsidRPr="005F1226" w:rsidRDefault="00701249" w:rsidP="00701249">
      <w:pPr>
        <w:pStyle w:val="EndNoteBibliography"/>
        <w:spacing w:after="0" w:line="360" w:lineRule="auto"/>
        <w:ind w:left="720" w:hanging="720"/>
      </w:pPr>
    </w:p>
    <w:p w14:paraId="3B422EEA" w14:textId="77777777" w:rsidR="00E8330D" w:rsidRDefault="00E8330D" w:rsidP="00701249">
      <w:pPr>
        <w:spacing w:after="0" w:line="360" w:lineRule="auto"/>
      </w:pPr>
      <w:r>
        <w:fldChar w:fldCharType="end"/>
      </w:r>
    </w:p>
    <w:p w14:paraId="750E8B57" w14:textId="77777777" w:rsidR="00090966" w:rsidRDefault="00090966" w:rsidP="00701249">
      <w:pPr>
        <w:spacing w:after="0" w:line="360" w:lineRule="auto"/>
      </w:pPr>
    </w:p>
    <w:sectPr w:rsidR="00090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0D"/>
    <w:rsid w:val="00090966"/>
    <w:rsid w:val="00701249"/>
    <w:rsid w:val="00E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D750"/>
  <w15:chartTrackingRefBased/>
  <w15:docId w15:val="{3BB0772D-5875-4D5C-BC23-6F7AC67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E8330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8330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Beck</dc:creator>
  <cp:keywords/>
  <dc:description/>
  <cp:lastModifiedBy>Alison Beck</cp:lastModifiedBy>
  <cp:revision>2</cp:revision>
  <dcterms:created xsi:type="dcterms:W3CDTF">2019-04-03T02:42:00Z</dcterms:created>
  <dcterms:modified xsi:type="dcterms:W3CDTF">2019-04-16T23:07:00Z</dcterms:modified>
</cp:coreProperties>
</file>