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89312D" w:rsidRPr="00BB73C0" w14:paraId="24DB9DF9" w14:textId="77777777" w:rsidTr="006C5BEB">
        <w:tc>
          <w:tcPr>
            <w:tcW w:w="538" w:type="dxa"/>
          </w:tcPr>
          <w:p w14:paraId="3796F5DB" w14:textId="77777777" w:rsidR="0089312D" w:rsidRPr="00BB73C0" w:rsidRDefault="0089312D" w:rsidP="0089312D">
            <w:pPr>
              <w:spacing w:before="60" w:after="60"/>
              <w:rPr>
                <w:rFonts w:ascii="Arial" w:hAnsi="Arial" w:cs="Arial"/>
                <w:b/>
                <w:sz w:val="20"/>
                <w:szCs w:val="20"/>
              </w:rPr>
            </w:pPr>
            <w:r w:rsidRPr="00BB73C0">
              <w:rPr>
                <w:rFonts w:ascii="Arial" w:hAnsi="Arial" w:cs="Arial"/>
                <w:b/>
                <w:sz w:val="20"/>
                <w:szCs w:val="20"/>
              </w:rPr>
              <w:t>1.</w:t>
            </w:r>
          </w:p>
        </w:tc>
        <w:tc>
          <w:tcPr>
            <w:tcW w:w="9254" w:type="dxa"/>
          </w:tcPr>
          <w:p w14:paraId="3562A834" w14:textId="77777777" w:rsidR="0089312D" w:rsidRPr="00BB73C0" w:rsidRDefault="0089312D" w:rsidP="0089312D">
            <w:pPr>
              <w:spacing w:before="60" w:after="60"/>
              <w:rPr>
                <w:rFonts w:ascii="Arial" w:hAnsi="Arial" w:cs="Arial"/>
                <w:b/>
                <w:sz w:val="20"/>
                <w:szCs w:val="20"/>
              </w:rPr>
            </w:pPr>
            <w:r w:rsidRPr="00BB73C0">
              <w:rPr>
                <w:rFonts w:ascii="Arial" w:hAnsi="Arial" w:cs="Arial"/>
                <w:b/>
                <w:sz w:val="20"/>
                <w:szCs w:val="20"/>
              </w:rPr>
              <w:t>Front Page</w:t>
            </w:r>
            <w:r w:rsidR="009F4DD9" w:rsidRPr="00BB73C0">
              <w:rPr>
                <w:rFonts w:ascii="Arial" w:hAnsi="Arial" w:cs="Arial"/>
                <w:b/>
                <w:sz w:val="20"/>
                <w:szCs w:val="20"/>
              </w:rPr>
              <w:t xml:space="preserve"> *</w:t>
            </w:r>
          </w:p>
        </w:tc>
      </w:tr>
    </w:tbl>
    <w:p w14:paraId="18480D16" w14:textId="77777777" w:rsidR="0089312D" w:rsidRPr="00BB73C0" w:rsidRDefault="0089312D" w:rsidP="001C3A62">
      <w:pPr>
        <w:rPr>
          <w:rFonts w:ascii="Arial" w:hAnsi="Arial" w:cs="Arial"/>
          <w:b/>
          <w:sz w:val="20"/>
          <w:szCs w:val="20"/>
        </w:rPr>
      </w:pPr>
    </w:p>
    <w:p w14:paraId="1F2ABE3D" w14:textId="77777777" w:rsidR="0089312D" w:rsidRPr="00BB73C0" w:rsidRDefault="0089312D" w:rsidP="004811CE">
      <w:pPr>
        <w:jc w:val="center"/>
        <w:rPr>
          <w:rFonts w:ascii="Arial" w:hAnsi="Arial" w:cs="Arial"/>
          <w:b/>
          <w:color w:val="000000"/>
          <w:sz w:val="20"/>
          <w:szCs w:val="20"/>
        </w:rPr>
      </w:pPr>
    </w:p>
    <w:p w14:paraId="45D0FB4F" w14:textId="4692A397" w:rsidR="004811CE" w:rsidRPr="00BB73C0" w:rsidRDefault="004811CE" w:rsidP="004811CE">
      <w:pPr>
        <w:jc w:val="center"/>
        <w:rPr>
          <w:rFonts w:ascii="Arial" w:hAnsi="Arial" w:cs="Arial"/>
          <w:b/>
          <w:color w:val="000000"/>
          <w:sz w:val="20"/>
          <w:szCs w:val="20"/>
        </w:rPr>
      </w:pPr>
      <w:r w:rsidRPr="00BB73C0">
        <w:rPr>
          <w:rFonts w:ascii="Arial" w:hAnsi="Arial" w:cs="Arial"/>
          <w:b/>
          <w:color w:val="000000"/>
          <w:sz w:val="20"/>
          <w:szCs w:val="20"/>
          <w:highlight w:val="lightGray"/>
        </w:rPr>
        <w:t>[]</w:t>
      </w:r>
    </w:p>
    <w:p w14:paraId="7D45D4AC" w14:textId="77777777" w:rsidR="004811CE" w:rsidRPr="00BB73C0" w:rsidRDefault="004811CE" w:rsidP="004811CE">
      <w:pPr>
        <w:jc w:val="center"/>
        <w:rPr>
          <w:rFonts w:ascii="Arial" w:hAnsi="Arial" w:cs="Arial"/>
          <w:b/>
          <w:color w:val="000000"/>
          <w:sz w:val="20"/>
          <w:szCs w:val="20"/>
        </w:rPr>
      </w:pPr>
    </w:p>
    <w:p w14:paraId="7AFCB58E" w14:textId="77777777" w:rsidR="004811CE" w:rsidRPr="00BB73C0" w:rsidRDefault="004811CE" w:rsidP="004811CE">
      <w:pPr>
        <w:jc w:val="center"/>
        <w:rPr>
          <w:rFonts w:ascii="Arial" w:hAnsi="Arial" w:cs="Arial"/>
          <w:b/>
          <w:color w:val="000000"/>
          <w:sz w:val="20"/>
          <w:szCs w:val="20"/>
        </w:rPr>
      </w:pPr>
    </w:p>
    <w:p w14:paraId="4BCDF827" w14:textId="5EDAF831" w:rsidR="004811CE" w:rsidRPr="00BB73C0" w:rsidRDefault="001A75AB" w:rsidP="004811CE">
      <w:pPr>
        <w:jc w:val="center"/>
        <w:rPr>
          <w:rFonts w:ascii="Arial" w:hAnsi="Arial" w:cs="Arial"/>
          <w:b/>
          <w:color w:val="000000"/>
          <w:sz w:val="20"/>
          <w:szCs w:val="20"/>
        </w:rPr>
      </w:pPr>
      <w:r>
        <w:rPr>
          <w:rFonts w:ascii="Arial" w:hAnsi="Arial" w:cs="Arial"/>
          <w:b/>
          <w:color w:val="000000"/>
          <w:sz w:val="20"/>
          <w:szCs w:val="20"/>
        </w:rPr>
        <w:t>U</w:t>
      </w:r>
      <w:r w:rsidRPr="001A75AB">
        <w:rPr>
          <w:rFonts w:ascii="Arial" w:hAnsi="Arial" w:cs="Arial"/>
          <w:b/>
          <w:color w:val="000000"/>
          <w:sz w:val="20"/>
          <w:szCs w:val="20"/>
        </w:rPr>
        <w:t xml:space="preserve">ltrarapid iron polymaltose infusion for iron deficiency anaemia: a </w:t>
      </w:r>
      <w:r w:rsidR="000A62E9">
        <w:rPr>
          <w:rFonts w:ascii="Arial" w:hAnsi="Arial" w:cs="Arial"/>
          <w:b/>
          <w:color w:val="000000"/>
          <w:sz w:val="20"/>
          <w:szCs w:val="20"/>
        </w:rPr>
        <w:t xml:space="preserve">single </w:t>
      </w:r>
      <w:r w:rsidR="0083069A">
        <w:rPr>
          <w:rFonts w:ascii="Arial" w:hAnsi="Arial" w:cs="Arial"/>
          <w:b/>
          <w:color w:val="000000"/>
          <w:sz w:val="20"/>
          <w:szCs w:val="20"/>
        </w:rPr>
        <w:t>centre</w:t>
      </w:r>
      <w:r w:rsidRPr="001A75AB">
        <w:rPr>
          <w:rFonts w:ascii="Arial" w:hAnsi="Arial" w:cs="Arial"/>
          <w:b/>
          <w:color w:val="000000"/>
          <w:sz w:val="20"/>
          <w:szCs w:val="20"/>
        </w:rPr>
        <w:t xml:space="preserve"> study</w:t>
      </w:r>
    </w:p>
    <w:p w14:paraId="37B5DBD7" w14:textId="77777777" w:rsidR="004811CE" w:rsidRPr="00BB73C0" w:rsidRDefault="004811CE" w:rsidP="004811CE">
      <w:pPr>
        <w:jc w:val="center"/>
        <w:rPr>
          <w:rFonts w:ascii="Arial" w:hAnsi="Arial" w:cs="Arial"/>
          <w:b/>
          <w:color w:val="000000"/>
          <w:sz w:val="20"/>
          <w:szCs w:val="20"/>
        </w:rPr>
      </w:pPr>
    </w:p>
    <w:p w14:paraId="56BFA19E" w14:textId="77777777" w:rsidR="004811CE" w:rsidRPr="00BB73C0" w:rsidRDefault="004811CE" w:rsidP="004811CE">
      <w:pPr>
        <w:rPr>
          <w:rFonts w:ascii="Arial" w:hAnsi="Arial" w:cs="Arial"/>
          <w:color w:val="000000"/>
          <w:sz w:val="20"/>
          <w:szCs w:val="20"/>
        </w:rPr>
      </w:pPr>
    </w:p>
    <w:p w14:paraId="10A8146D" w14:textId="3993EEB4" w:rsidR="004811CE" w:rsidRPr="00BB73C0" w:rsidRDefault="00CE2C2E" w:rsidP="004811CE">
      <w:pPr>
        <w:jc w:val="center"/>
        <w:rPr>
          <w:rFonts w:ascii="Arial" w:hAnsi="Arial" w:cs="Arial"/>
          <w:b/>
          <w:color w:val="000000"/>
          <w:sz w:val="20"/>
          <w:szCs w:val="20"/>
        </w:rPr>
      </w:pPr>
      <w:proofErr w:type="spellStart"/>
      <w:r>
        <w:rPr>
          <w:rFonts w:ascii="Arial" w:hAnsi="Arial" w:cs="Arial"/>
          <w:b/>
          <w:color w:val="000000"/>
          <w:sz w:val="20"/>
          <w:szCs w:val="20"/>
        </w:rPr>
        <w:t>UltraRIIPH</w:t>
      </w:r>
      <w:proofErr w:type="spellEnd"/>
      <w:r w:rsidR="001A75AB">
        <w:rPr>
          <w:rFonts w:ascii="Arial" w:hAnsi="Arial" w:cs="Arial"/>
          <w:b/>
          <w:color w:val="000000"/>
          <w:sz w:val="20"/>
          <w:szCs w:val="20"/>
        </w:rPr>
        <w:t xml:space="preserve"> </w:t>
      </w:r>
      <w:r w:rsidR="000A62E9">
        <w:rPr>
          <w:rFonts w:ascii="Arial" w:hAnsi="Arial" w:cs="Arial"/>
          <w:b/>
          <w:color w:val="000000"/>
          <w:sz w:val="20"/>
          <w:szCs w:val="20"/>
        </w:rPr>
        <w:t xml:space="preserve">single </w:t>
      </w:r>
      <w:r w:rsidR="0083069A">
        <w:rPr>
          <w:rFonts w:ascii="Arial" w:hAnsi="Arial" w:cs="Arial"/>
          <w:b/>
          <w:color w:val="000000"/>
          <w:sz w:val="20"/>
          <w:szCs w:val="20"/>
        </w:rPr>
        <w:t>centre</w:t>
      </w:r>
      <w:r w:rsidR="000C62C9">
        <w:rPr>
          <w:rFonts w:ascii="Arial" w:hAnsi="Arial" w:cs="Arial"/>
          <w:b/>
          <w:color w:val="000000"/>
          <w:sz w:val="20"/>
          <w:szCs w:val="20"/>
        </w:rPr>
        <w:t xml:space="preserve"> study</w:t>
      </w:r>
    </w:p>
    <w:p w14:paraId="1B244DE6" w14:textId="77777777" w:rsidR="004811CE" w:rsidRPr="00BB73C0" w:rsidRDefault="004811CE" w:rsidP="004811CE">
      <w:pPr>
        <w:jc w:val="center"/>
        <w:rPr>
          <w:rFonts w:ascii="Arial" w:hAnsi="Arial" w:cs="Arial"/>
          <w:color w:val="000000"/>
          <w:sz w:val="20"/>
          <w:szCs w:val="20"/>
        </w:rPr>
      </w:pPr>
    </w:p>
    <w:p w14:paraId="5ACD4226" w14:textId="77777777" w:rsidR="004811CE" w:rsidRPr="00BB73C0" w:rsidRDefault="004811CE" w:rsidP="004811CE">
      <w:pPr>
        <w:jc w:val="center"/>
        <w:rPr>
          <w:rFonts w:ascii="Arial" w:hAnsi="Arial" w:cs="Arial"/>
          <w:color w:val="000000"/>
          <w:sz w:val="20"/>
          <w:szCs w:val="20"/>
        </w:rPr>
      </w:pPr>
    </w:p>
    <w:p w14:paraId="0F6FA498" w14:textId="77777777" w:rsidR="004811CE" w:rsidRPr="00BB73C0" w:rsidRDefault="004811CE" w:rsidP="004811CE">
      <w:pPr>
        <w:ind w:left="720"/>
        <w:rPr>
          <w:rFonts w:ascii="Arial" w:hAnsi="Arial" w:cs="Arial"/>
          <w:color w:val="000000"/>
          <w:sz w:val="20"/>
          <w:szCs w:val="20"/>
        </w:rPr>
      </w:pPr>
    </w:p>
    <w:p w14:paraId="490A0734" w14:textId="77777777" w:rsidR="004811CE" w:rsidRPr="00BB73C0" w:rsidRDefault="004811CE" w:rsidP="004811CE">
      <w:pPr>
        <w:ind w:left="720"/>
        <w:rPr>
          <w:rFonts w:ascii="Arial" w:hAnsi="Arial" w:cs="Arial"/>
          <w:color w:val="000000"/>
          <w:sz w:val="20"/>
          <w:szCs w:val="20"/>
        </w:rPr>
      </w:pPr>
    </w:p>
    <w:p w14:paraId="20C32145" w14:textId="77777777" w:rsidR="004811CE" w:rsidRPr="00BB73C0" w:rsidRDefault="004811CE" w:rsidP="004811CE">
      <w:pPr>
        <w:ind w:left="720"/>
        <w:rPr>
          <w:rFonts w:ascii="Arial" w:hAnsi="Arial" w:cs="Arial"/>
          <w:color w:val="000000"/>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
        <w:gridCol w:w="9256"/>
      </w:tblGrid>
      <w:tr w:rsidR="00D9640F" w:rsidRPr="00BB73C0" w14:paraId="15DFCB1F" w14:textId="77777777">
        <w:tc>
          <w:tcPr>
            <w:tcW w:w="540" w:type="dxa"/>
          </w:tcPr>
          <w:p w14:paraId="78E02390" w14:textId="77777777" w:rsidR="00D9640F" w:rsidRPr="00BB73C0" w:rsidRDefault="00D9640F" w:rsidP="009F4DD9">
            <w:pPr>
              <w:spacing w:before="60" w:after="60"/>
              <w:rPr>
                <w:rFonts w:ascii="Arial" w:hAnsi="Arial" w:cs="Arial"/>
                <w:b/>
                <w:sz w:val="20"/>
                <w:szCs w:val="20"/>
              </w:rPr>
            </w:pPr>
          </w:p>
        </w:tc>
        <w:tc>
          <w:tcPr>
            <w:tcW w:w="9360" w:type="dxa"/>
          </w:tcPr>
          <w:p w14:paraId="49C140CD" w14:textId="77777777" w:rsidR="00D9640F" w:rsidRPr="00BB73C0" w:rsidRDefault="00D9640F" w:rsidP="009F4DD9">
            <w:pPr>
              <w:spacing w:before="60" w:after="60"/>
              <w:jc w:val="center"/>
              <w:rPr>
                <w:rFonts w:ascii="Arial" w:hAnsi="Arial" w:cs="Arial"/>
                <w:b/>
                <w:color w:val="000000"/>
                <w:sz w:val="20"/>
                <w:szCs w:val="20"/>
              </w:rPr>
            </w:pPr>
            <w:r w:rsidRPr="00BB73C0">
              <w:rPr>
                <w:rFonts w:ascii="Arial" w:hAnsi="Arial" w:cs="Arial"/>
                <w:b/>
                <w:color w:val="000000"/>
                <w:sz w:val="20"/>
                <w:szCs w:val="20"/>
              </w:rPr>
              <w:t>CONFIDENTIAL</w:t>
            </w:r>
          </w:p>
        </w:tc>
      </w:tr>
      <w:tr w:rsidR="00D9640F" w:rsidRPr="00BB73C0" w14:paraId="7B2CC3B2" w14:textId="77777777">
        <w:tc>
          <w:tcPr>
            <w:tcW w:w="540" w:type="dxa"/>
          </w:tcPr>
          <w:p w14:paraId="45802526" w14:textId="77777777" w:rsidR="00D9640F" w:rsidRPr="00BB73C0" w:rsidRDefault="00D9640F" w:rsidP="009F4DD9">
            <w:pPr>
              <w:spacing w:before="60" w:after="60"/>
              <w:rPr>
                <w:rFonts w:ascii="Arial" w:hAnsi="Arial" w:cs="Arial"/>
                <w:b/>
                <w:sz w:val="20"/>
                <w:szCs w:val="20"/>
              </w:rPr>
            </w:pPr>
          </w:p>
        </w:tc>
        <w:tc>
          <w:tcPr>
            <w:tcW w:w="9360" w:type="dxa"/>
          </w:tcPr>
          <w:p w14:paraId="601E082E" w14:textId="77777777" w:rsidR="00D9640F" w:rsidRPr="00BB73C0" w:rsidRDefault="00D9640F" w:rsidP="009F4DD9">
            <w:pPr>
              <w:spacing w:before="60" w:after="60"/>
              <w:rPr>
                <w:rFonts w:ascii="Arial" w:hAnsi="Arial" w:cs="Arial"/>
                <w:color w:val="000000"/>
                <w:sz w:val="20"/>
                <w:szCs w:val="20"/>
              </w:rPr>
            </w:pPr>
            <w:r w:rsidRPr="00BB73C0">
              <w:rPr>
                <w:rFonts w:ascii="Arial" w:hAnsi="Arial" w:cs="Arial"/>
                <w:color w:val="000000"/>
                <w:sz w:val="20"/>
                <w:szCs w:val="20"/>
              </w:rPr>
              <w:t>This document is co</w:t>
            </w:r>
            <w:r w:rsidR="008D2AD2" w:rsidRPr="00BB73C0">
              <w:rPr>
                <w:rFonts w:ascii="Arial" w:hAnsi="Arial" w:cs="Arial"/>
                <w:color w:val="000000"/>
                <w:sz w:val="20"/>
                <w:szCs w:val="20"/>
              </w:rPr>
              <w:t xml:space="preserve">nfidential. </w:t>
            </w:r>
            <w:r w:rsidRPr="00BB73C0">
              <w:rPr>
                <w:rFonts w:ascii="Arial" w:hAnsi="Arial" w:cs="Arial"/>
                <w:color w:val="000000"/>
                <w:sz w:val="20"/>
                <w:szCs w:val="20"/>
              </w:rPr>
              <w:t>No part of it may be transmitted, reproduced, published, or used without prior written authoris</w:t>
            </w:r>
            <w:r w:rsidR="008D2AD2" w:rsidRPr="00BB73C0">
              <w:rPr>
                <w:rFonts w:ascii="Arial" w:hAnsi="Arial" w:cs="Arial"/>
                <w:color w:val="000000"/>
                <w:sz w:val="20"/>
                <w:szCs w:val="20"/>
              </w:rPr>
              <w:t>ation from the Principal Investigator</w:t>
            </w:r>
            <w:r w:rsidRPr="00BB73C0">
              <w:rPr>
                <w:rFonts w:ascii="Arial" w:hAnsi="Arial" w:cs="Arial"/>
                <w:color w:val="000000"/>
                <w:sz w:val="20"/>
                <w:szCs w:val="20"/>
              </w:rPr>
              <w:t>.</w:t>
            </w:r>
          </w:p>
        </w:tc>
      </w:tr>
    </w:tbl>
    <w:p w14:paraId="7F5C6E95" w14:textId="77777777" w:rsidR="004811CE" w:rsidRPr="00BB73C0" w:rsidRDefault="004811CE" w:rsidP="004811CE">
      <w:pPr>
        <w:ind w:left="720"/>
        <w:rPr>
          <w:rFonts w:ascii="Arial" w:hAnsi="Arial" w:cs="Arial"/>
          <w:color w:val="000000"/>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
        <w:gridCol w:w="9256"/>
      </w:tblGrid>
      <w:tr w:rsidR="00D9640F" w:rsidRPr="00BB73C0" w14:paraId="779B8F1C" w14:textId="77777777">
        <w:tc>
          <w:tcPr>
            <w:tcW w:w="540" w:type="dxa"/>
          </w:tcPr>
          <w:p w14:paraId="180B5220" w14:textId="77777777" w:rsidR="00D9640F" w:rsidRPr="00BB73C0" w:rsidRDefault="00D9640F" w:rsidP="009F4DD9">
            <w:pPr>
              <w:spacing w:before="60" w:after="60"/>
              <w:rPr>
                <w:rFonts w:ascii="Arial" w:hAnsi="Arial" w:cs="Arial"/>
                <w:b/>
                <w:sz w:val="20"/>
                <w:szCs w:val="20"/>
              </w:rPr>
            </w:pPr>
          </w:p>
        </w:tc>
        <w:tc>
          <w:tcPr>
            <w:tcW w:w="9360" w:type="dxa"/>
          </w:tcPr>
          <w:p w14:paraId="055A632E" w14:textId="77777777" w:rsidR="00D9640F" w:rsidRPr="00BB73C0" w:rsidRDefault="00D9640F" w:rsidP="009F4DD9">
            <w:pPr>
              <w:spacing w:before="60" w:after="60"/>
              <w:jc w:val="center"/>
              <w:rPr>
                <w:rFonts w:ascii="Arial" w:hAnsi="Arial" w:cs="Arial"/>
                <w:b/>
                <w:color w:val="000000"/>
                <w:sz w:val="20"/>
                <w:szCs w:val="20"/>
              </w:rPr>
            </w:pPr>
            <w:r w:rsidRPr="00BB73C0">
              <w:rPr>
                <w:rFonts w:ascii="Arial" w:hAnsi="Arial" w:cs="Arial"/>
                <w:b/>
                <w:color w:val="000000"/>
                <w:sz w:val="20"/>
                <w:szCs w:val="20"/>
              </w:rPr>
              <w:t>STATEMENT OF COMPLIANCE</w:t>
            </w:r>
          </w:p>
        </w:tc>
      </w:tr>
      <w:tr w:rsidR="00D9640F" w:rsidRPr="00BB73C0" w14:paraId="755B1734" w14:textId="77777777">
        <w:trPr>
          <w:trHeight w:val="423"/>
        </w:trPr>
        <w:tc>
          <w:tcPr>
            <w:tcW w:w="540" w:type="dxa"/>
          </w:tcPr>
          <w:p w14:paraId="25CE163E" w14:textId="77777777" w:rsidR="00D9640F" w:rsidRPr="00BB73C0" w:rsidRDefault="00D9640F" w:rsidP="009F4DD9">
            <w:pPr>
              <w:spacing w:before="60" w:after="60"/>
              <w:rPr>
                <w:rFonts w:ascii="Arial" w:hAnsi="Arial" w:cs="Arial"/>
                <w:b/>
                <w:sz w:val="20"/>
                <w:szCs w:val="20"/>
              </w:rPr>
            </w:pPr>
          </w:p>
        </w:tc>
        <w:tc>
          <w:tcPr>
            <w:tcW w:w="9360" w:type="dxa"/>
          </w:tcPr>
          <w:p w14:paraId="6E37FFBE" w14:textId="77777777" w:rsidR="00D9640F" w:rsidRPr="00BB73C0" w:rsidRDefault="00D9640F" w:rsidP="009F4DD9">
            <w:pPr>
              <w:autoSpaceDE w:val="0"/>
              <w:autoSpaceDN w:val="0"/>
              <w:adjustRightInd w:val="0"/>
              <w:spacing w:before="60" w:after="60"/>
              <w:jc w:val="both"/>
              <w:rPr>
                <w:rFonts w:ascii="Arial" w:hAnsi="Arial" w:cs="Arial"/>
                <w:color w:val="000000"/>
                <w:sz w:val="20"/>
                <w:szCs w:val="20"/>
              </w:rPr>
            </w:pPr>
            <w:r w:rsidRPr="00BB73C0">
              <w:rPr>
                <w:rFonts w:ascii="Arial" w:hAnsi="Arial" w:cs="Arial"/>
                <w:color w:val="000000"/>
                <w:sz w:val="20"/>
                <w:szCs w:val="20"/>
              </w:rPr>
              <w:t>Th</w:t>
            </w:r>
            <w:r w:rsidR="00164E53">
              <w:rPr>
                <w:rFonts w:ascii="Arial" w:hAnsi="Arial" w:cs="Arial"/>
                <w:color w:val="000000"/>
                <w:sz w:val="20"/>
                <w:szCs w:val="20"/>
              </w:rPr>
              <w:t>is</w:t>
            </w:r>
            <w:r w:rsidRPr="00BB73C0">
              <w:rPr>
                <w:rFonts w:ascii="Arial" w:hAnsi="Arial" w:cs="Arial"/>
                <w:color w:val="000000"/>
                <w:sz w:val="20"/>
                <w:szCs w:val="20"/>
              </w:rPr>
              <w:t xml:space="preserve"> study will be conducted in compliance with all stipulations of this protocol, the conditions of ethics committee approval, the NHMRC </w:t>
            </w:r>
            <w:hyperlink r:id="rId8" w:history="1">
              <w:r w:rsidRPr="00164E53">
                <w:rPr>
                  <w:rStyle w:val="Hyperlink"/>
                  <w:rFonts w:ascii="Arial" w:hAnsi="Arial" w:cs="Arial"/>
                  <w:sz w:val="20"/>
                  <w:szCs w:val="20"/>
                </w:rPr>
                <w:t>National Statement on Ethical Conduct in Human Research</w:t>
              </w:r>
            </w:hyperlink>
            <w:r w:rsidRPr="00BB73C0">
              <w:rPr>
                <w:rFonts w:ascii="Arial" w:hAnsi="Arial" w:cs="Arial"/>
                <w:color w:val="000000"/>
                <w:sz w:val="20"/>
                <w:szCs w:val="20"/>
              </w:rPr>
              <w:t xml:space="preserve"> (2007) and </w:t>
            </w:r>
            <w:r w:rsidR="008D2AD2" w:rsidRPr="00BB73C0">
              <w:rPr>
                <w:rFonts w:ascii="Arial" w:hAnsi="Arial" w:cs="Arial"/>
                <w:color w:val="000000"/>
                <w:sz w:val="20"/>
                <w:szCs w:val="20"/>
              </w:rPr>
              <w:t xml:space="preserve">(if applicable) </w:t>
            </w:r>
            <w:r w:rsidRPr="00BB73C0">
              <w:rPr>
                <w:rFonts w:ascii="Arial" w:hAnsi="Arial" w:cs="Arial"/>
                <w:color w:val="000000"/>
                <w:sz w:val="20"/>
                <w:szCs w:val="20"/>
              </w:rPr>
              <w:t xml:space="preserve">the </w:t>
            </w:r>
            <w:hyperlink r:id="rId9" w:history="1">
              <w:r w:rsidRPr="00164E53">
                <w:rPr>
                  <w:rStyle w:val="Hyperlink"/>
                  <w:rFonts w:ascii="Arial" w:hAnsi="Arial" w:cs="Arial"/>
                  <w:sz w:val="20"/>
                  <w:szCs w:val="20"/>
                </w:rPr>
                <w:t>Note for Guidance on Good Clinical Practice</w:t>
              </w:r>
            </w:hyperlink>
            <w:r w:rsidRPr="00BB73C0">
              <w:rPr>
                <w:rFonts w:ascii="Arial" w:hAnsi="Arial" w:cs="Arial"/>
                <w:color w:val="000000"/>
                <w:sz w:val="20"/>
                <w:szCs w:val="20"/>
              </w:rPr>
              <w:t xml:space="preserve"> (CPMP/ICH-135/95).</w:t>
            </w:r>
          </w:p>
        </w:tc>
      </w:tr>
    </w:tbl>
    <w:p w14:paraId="42961768" w14:textId="77777777" w:rsidR="00D9640F" w:rsidRPr="00BB73C0" w:rsidRDefault="00D9640F" w:rsidP="00D9640F">
      <w:pPr>
        <w:rPr>
          <w:rFonts w:ascii="Arial" w:hAnsi="Arial" w:cs="Arial"/>
          <w:b/>
          <w:sz w:val="20"/>
          <w:szCs w:val="20"/>
        </w:rPr>
      </w:pPr>
    </w:p>
    <w:p w14:paraId="130CD1D1" w14:textId="77777777" w:rsidR="00D9640F" w:rsidRPr="00BB73C0" w:rsidRDefault="00D9640F" w:rsidP="00D9640F">
      <w:pPr>
        <w:rPr>
          <w:rFonts w:ascii="Arial" w:hAnsi="Arial" w:cs="Arial"/>
          <w:b/>
          <w:sz w:val="20"/>
          <w:szCs w:val="20"/>
        </w:rPr>
      </w:pPr>
    </w:p>
    <w:p w14:paraId="6DD9FB04" w14:textId="77777777" w:rsidR="00D9640F" w:rsidRPr="00BB73C0" w:rsidRDefault="00D9640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5"/>
        <w:gridCol w:w="9257"/>
      </w:tblGrid>
      <w:tr w:rsidR="00D9640F" w:rsidRPr="00BB73C0" w14:paraId="5AFF56CD" w14:textId="77777777" w:rsidTr="00BB337D">
        <w:tc>
          <w:tcPr>
            <w:tcW w:w="540" w:type="dxa"/>
          </w:tcPr>
          <w:p w14:paraId="5E7FBC37" w14:textId="77777777" w:rsidR="00D9640F" w:rsidRPr="00BB73C0" w:rsidRDefault="00D9640F" w:rsidP="009F4DD9">
            <w:pPr>
              <w:spacing w:before="60" w:after="60"/>
              <w:rPr>
                <w:rFonts w:ascii="Arial" w:hAnsi="Arial" w:cs="Arial"/>
                <w:b/>
                <w:sz w:val="20"/>
                <w:szCs w:val="20"/>
              </w:rPr>
            </w:pPr>
          </w:p>
        </w:tc>
        <w:tc>
          <w:tcPr>
            <w:tcW w:w="9383" w:type="dxa"/>
          </w:tcPr>
          <w:p w14:paraId="65647C3F"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 xml:space="preserve">Principal Investigator: </w:t>
            </w:r>
          </w:p>
        </w:tc>
      </w:tr>
      <w:tr w:rsidR="00D9640F" w:rsidRPr="00BB73C0" w14:paraId="4F858D6F" w14:textId="77777777" w:rsidTr="00BB337D">
        <w:tc>
          <w:tcPr>
            <w:tcW w:w="540" w:type="dxa"/>
          </w:tcPr>
          <w:p w14:paraId="10B1CF1E" w14:textId="77777777" w:rsidR="00D9640F" w:rsidRPr="00BB73C0" w:rsidRDefault="00D9640F" w:rsidP="009F4DD9">
            <w:pPr>
              <w:spacing w:before="60" w:after="60"/>
              <w:rPr>
                <w:rFonts w:ascii="Arial" w:hAnsi="Arial" w:cs="Arial"/>
                <w:b/>
                <w:sz w:val="20"/>
                <w:szCs w:val="20"/>
              </w:rPr>
            </w:pPr>
          </w:p>
        </w:tc>
        <w:tc>
          <w:tcPr>
            <w:tcW w:w="9383" w:type="dxa"/>
          </w:tcPr>
          <w:p w14:paraId="106360CF" w14:textId="77777777" w:rsidR="00D9640F" w:rsidRPr="00BB73C0" w:rsidRDefault="001A75AB" w:rsidP="009F4DD9">
            <w:pPr>
              <w:spacing w:before="60" w:after="60"/>
              <w:rPr>
                <w:rFonts w:ascii="Arial" w:hAnsi="Arial" w:cs="Arial"/>
                <w:sz w:val="20"/>
                <w:szCs w:val="20"/>
              </w:rPr>
            </w:pPr>
            <w:r>
              <w:rPr>
                <w:rFonts w:ascii="Arial" w:hAnsi="Arial" w:cs="Arial"/>
                <w:sz w:val="20"/>
                <w:szCs w:val="20"/>
              </w:rPr>
              <w:t>Iouri Banakh</w:t>
            </w:r>
          </w:p>
        </w:tc>
      </w:tr>
      <w:tr w:rsidR="00D9640F" w:rsidRPr="00BB73C0" w14:paraId="46F06090" w14:textId="77777777" w:rsidTr="00BB337D">
        <w:tc>
          <w:tcPr>
            <w:tcW w:w="540" w:type="dxa"/>
          </w:tcPr>
          <w:p w14:paraId="518FC9EB" w14:textId="77777777" w:rsidR="00D9640F" w:rsidRPr="00BB73C0" w:rsidRDefault="00D9640F" w:rsidP="009F4DD9">
            <w:pPr>
              <w:spacing w:before="60" w:after="60"/>
              <w:rPr>
                <w:rFonts w:ascii="Arial" w:hAnsi="Arial" w:cs="Arial"/>
                <w:b/>
                <w:sz w:val="20"/>
                <w:szCs w:val="20"/>
              </w:rPr>
            </w:pPr>
          </w:p>
        </w:tc>
        <w:tc>
          <w:tcPr>
            <w:tcW w:w="9383" w:type="dxa"/>
          </w:tcPr>
          <w:p w14:paraId="14421A1C"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Associate Investigator(s):</w:t>
            </w:r>
          </w:p>
        </w:tc>
      </w:tr>
      <w:tr w:rsidR="00D9640F" w:rsidRPr="00BB73C0" w14:paraId="0BA3E9FA" w14:textId="77777777" w:rsidTr="00BB337D">
        <w:tc>
          <w:tcPr>
            <w:tcW w:w="540" w:type="dxa"/>
          </w:tcPr>
          <w:p w14:paraId="0EB55D97" w14:textId="77777777" w:rsidR="00D9640F" w:rsidRPr="00BB73C0" w:rsidRDefault="00D9640F" w:rsidP="009F4DD9">
            <w:pPr>
              <w:spacing w:before="60" w:after="60"/>
              <w:rPr>
                <w:rFonts w:ascii="Arial" w:hAnsi="Arial" w:cs="Arial"/>
                <w:b/>
                <w:sz w:val="20"/>
                <w:szCs w:val="20"/>
              </w:rPr>
            </w:pPr>
          </w:p>
        </w:tc>
        <w:tc>
          <w:tcPr>
            <w:tcW w:w="9383" w:type="dxa"/>
          </w:tcPr>
          <w:p w14:paraId="5ED42532" w14:textId="5E1A2C6E" w:rsidR="00D9640F" w:rsidRPr="00BB73C0" w:rsidRDefault="001A75AB" w:rsidP="00C07AAF">
            <w:pPr>
              <w:spacing w:before="60" w:after="60"/>
              <w:rPr>
                <w:rFonts w:ascii="Arial" w:hAnsi="Arial" w:cs="Arial"/>
                <w:sz w:val="20"/>
                <w:szCs w:val="20"/>
              </w:rPr>
            </w:pPr>
            <w:r>
              <w:rPr>
                <w:rFonts w:ascii="Arial" w:hAnsi="Arial" w:cs="Arial"/>
                <w:sz w:val="20"/>
                <w:szCs w:val="20"/>
              </w:rPr>
              <w:t xml:space="preserve">Martha </w:t>
            </w:r>
            <w:proofErr w:type="spellStart"/>
            <w:r>
              <w:rPr>
                <w:rFonts w:ascii="Arial" w:hAnsi="Arial" w:cs="Arial"/>
                <w:sz w:val="20"/>
                <w:szCs w:val="20"/>
              </w:rPr>
              <w:t>Turek</w:t>
            </w:r>
            <w:proofErr w:type="spellEnd"/>
            <w:r>
              <w:rPr>
                <w:rFonts w:ascii="Arial" w:hAnsi="Arial" w:cs="Arial"/>
                <w:sz w:val="20"/>
                <w:szCs w:val="20"/>
              </w:rPr>
              <w:t>,</w:t>
            </w:r>
            <w:r w:rsidR="0036516B">
              <w:rPr>
                <w:rFonts w:ascii="Arial" w:hAnsi="Arial" w:cs="Arial"/>
                <w:sz w:val="20"/>
                <w:szCs w:val="20"/>
              </w:rPr>
              <w:t xml:space="preserve"> Dr Daniel </w:t>
            </w:r>
            <w:proofErr w:type="spellStart"/>
            <w:r w:rsidR="0036516B" w:rsidRPr="0036516B">
              <w:rPr>
                <w:rFonts w:ascii="Arial" w:hAnsi="Arial" w:cs="Arial"/>
                <w:sz w:val="20"/>
                <w:szCs w:val="20"/>
              </w:rPr>
              <w:t>Niewodowski</w:t>
            </w:r>
            <w:proofErr w:type="spellEnd"/>
            <w:r w:rsidR="00C07AAF">
              <w:rPr>
                <w:rFonts w:ascii="Arial" w:hAnsi="Arial" w:cs="Arial"/>
                <w:sz w:val="20"/>
                <w:szCs w:val="20"/>
              </w:rPr>
              <w:t xml:space="preserve">, Dr </w:t>
            </w:r>
            <w:proofErr w:type="spellStart"/>
            <w:r w:rsidR="00C07AAF" w:rsidRPr="00C07AAF">
              <w:rPr>
                <w:rFonts w:ascii="Arial" w:hAnsi="Arial" w:cs="Arial"/>
                <w:sz w:val="20"/>
                <w:szCs w:val="20"/>
              </w:rPr>
              <w:t>Rumes</w:t>
            </w:r>
            <w:proofErr w:type="spellEnd"/>
            <w:r w:rsidR="00C07AAF" w:rsidRPr="00C07AAF">
              <w:rPr>
                <w:rFonts w:ascii="Arial" w:hAnsi="Arial" w:cs="Arial"/>
                <w:sz w:val="20"/>
                <w:szCs w:val="20"/>
              </w:rPr>
              <w:t xml:space="preserve"> </w:t>
            </w:r>
            <w:proofErr w:type="spellStart"/>
            <w:r w:rsidR="00C07AAF" w:rsidRPr="00C07AAF">
              <w:rPr>
                <w:rFonts w:ascii="Arial" w:hAnsi="Arial" w:cs="Arial"/>
                <w:sz w:val="20"/>
                <w:szCs w:val="20"/>
              </w:rPr>
              <w:t>Kanna</w:t>
            </w:r>
            <w:proofErr w:type="spellEnd"/>
            <w:r w:rsidR="00C07AAF" w:rsidRPr="00C07AAF">
              <w:rPr>
                <w:rFonts w:ascii="Arial" w:hAnsi="Arial" w:cs="Arial"/>
                <w:sz w:val="20"/>
                <w:szCs w:val="20"/>
              </w:rPr>
              <w:t xml:space="preserve"> </w:t>
            </w:r>
            <w:proofErr w:type="spellStart"/>
            <w:r w:rsidR="00C07AAF" w:rsidRPr="00C07AAF">
              <w:rPr>
                <w:rFonts w:ascii="Arial" w:hAnsi="Arial" w:cs="Arial"/>
                <w:sz w:val="20"/>
                <w:szCs w:val="20"/>
              </w:rPr>
              <w:t>Sriamareswaran</w:t>
            </w:r>
            <w:proofErr w:type="spellEnd"/>
            <w:r w:rsidR="00C07AAF">
              <w:rPr>
                <w:rFonts w:ascii="Arial" w:hAnsi="Arial" w:cs="Arial"/>
                <w:sz w:val="20"/>
                <w:szCs w:val="20"/>
              </w:rPr>
              <w:t xml:space="preserve">, </w:t>
            </w:r>
            <w:r w:rsidR="00292F61">
              <w:rPr>
                <w:rFonts w:ascii="Arial" w:hAnsi="Arial" w:cs="Arial"/>
                <w:sz w:val="20"/>
                <w:szCs w:val="20"/>
              </w:rPr>
              <w:t xml:space="preserve">Dr Fiona </w:t>
            </w:r>
            <w:proofErr w:type="spellStart"/>
            <w:r w:rsidR="00292F61">
              <w:rPr>
                <w:rFonts w:ascii="Arial" w:hAnsi="Arial" w:cs="Arial"/>
                <w:sz w:val="20"/>
                <w:szCs w:val="20"/>
              </w:rPr>
              <w:t>Yeaman</w:t>
            </w:r>
            <w:proofErr w:type="spellEnd"/>
            <w:r w:rsidR="00292F61">
              <w:rPr>
                <w:rFonts w:ascii="Arial" w:hAnsi="Arial" w:cs="Arial"/>
                <w:sz w:val="20"/>
                <w:szCs w:val="20"/>
              </w:rPr>
              <w:t xml:space="preserve">, </w:t>
            </w:r>
            <w:r w:rsidR="00C07AAF">
              <w:rPr>
                <w:rFonts w:ascii="Arial" w:hAnsi="Arial" w:cs="Arial"/>
                <w:sz w:val="20"/>
                <w:szCs w:val="20"/>
              </w:rPr>
              <w:t>Lilian Vo</w:t>
            </w:r>
            <w:r w:rsidR="00386758">
              <w:rPr>
                <w:rFonts w:ascii="Arial" w:hAnsi="Arial" w:cs="Arial"/>
                <w:sz w:val="20"/>
                <w:szCs w:val="20"/>
              </w:rPr>
              <w:t>, Dr Travis Churchill</w:t>
            </w:r>
          </w:p>
        </w:tc>
      </w:tr>
    </w:tbl>
    <w:p w14:paraId="2A53C422" w14:textId="77777777" w:rsidR="00D9640F" w:rsidRPr="00BB73C0" w:rsidRDefault="00D9640F" w:rsidP="00D9640F">
      <w:pPr>
        <w:rPr>
          <w:rFonts w:ascii="Arial" w:hAnsi="Arial" w:cs="Arial"/>
          <w:b/>
          <w:sz w:val="20"/>
          <w:szCs w:val="20"/>
        </w:rPr>
      </w:pPr>
    </w:p>
    <w:p w14:paraId="6A981B8C" w14:textId="77777777" w:rsidR="00D9640F" w:rsidRPr="00BB73C0" w:rsidRDefault="00D9640F" w:rsidP="00D9640F">
      <w:pPr>
        <w:rPr>
          <w:rFonts w:ascii="Arial" w:hAnsi="Arial" w:cs="Arial"/>
          <w:b/>
          <w:sz w:val="20"/>
          <w:szCs w:val="20"/>
        </w:rPr>
      </w:pPr>
    </w:p>
    <w:p w14:paraId="6865C9D6" w14:textId="77777777" w:rsidR="00D9640F" w:rsidRPr="00BB73C0" w:rsidRDefault="00D9640F" w:rsidP="00D9640F">
      <w:pPr>
        <w:rPr>
          <w:rFonts w:ascii="Arial" w:hAnsi="Arial" w:cs="Arial"/>
          <w:b/>
          <w:sz w:val="20"/>
          <w:szCs w:val="20"/>
        </w:rPr>
      </w:pPr>
    </w:p>
    <w:p w14:paraId="23FCF9E0" w14:textId="77777777" w:rsidR="00D9640F" w:rsidRPr="00BB73C0" w:rsidRDefault="00D9640F" w:rsidP="00D9640F">
      <w:pPr>
        <w:rPr>
          <w:rFonts w:ascii="Arial" w:hAnsi="Arial" w:cs="Arial"/>
          <w:b/>
          <w:sz w:val="20"/>
          <w:szCs w:val="20"/>
        </w:rPr>
      </w:pPr>
    </w:p>
    <w:p w14:paraId="3B0AC5C4" w14:textId="77777777" w:rsidR="00D9640F" w:rsidRPr="00BB73C0" w:rsidRDefault="00D9640F" w:rsidP="00D9640F">
      <w:pPr>
        <w:rPr>
          <w:rFonts w:ascii="Arial" w:hAnsi="Arial" w:cs="Arial"/>
          <w:b/>
          <w:sz w:val="20"/>
          <w:szCs w:val="20"/>
        </w:rPr>
      </w:pPr>
    </w:p>
    <w:p w14:paraId="2751BD4E" w14:textId="77777777" w:rsidR="00D9640F" w:rsidRPr="00BB73C0" w:rsidRDefault="00D9640F" w:rsidP="00D9640F">
      <w:pPr>
        <w:rPr>
          <w:rFonts w:ascii="Arial" w:hAnsi="Arial" w:cs="Arial"/>
          <w:b/>
          <w:sz w:val="20"/>
          <w:szCs w:val="20"/>
        </w:rPr>
      </w:pPr>
    </w:p>
    <w:p w14:paraId="05D82FA8" w14:textId="77777777" w:rsidR="00D9640F" w:rsidRPr="00BB73C0" w:rsidRDefault="00D9640F" w:rsidP="00D9640F">
      <w:pPr>
        <w:rPr>
          <w:rFonts w:ascii="Arial" w:hAnsi="Arial" w:cs="Arial"/>
          <w:b/>
          <w:sz w:val="20"/>
          <w:szCs w:val="20"/>
        </w:rPr>
      </w:pPr>
    </w:p>
    <w:p w14:paraId="51A8FD19" w14:textId="77777777" w:rsidR="00D9640F" w:rsidRPr="00BB73C0" w:rsidRDefault="00D9640F" w:rsidP="00D9640F">
      <w:pPr>
        <w:rPr>
          <w:rFonts w:ascii="Arial" w:hAnsi="Arial" w:cs="Arial"/>
          <w:b/>
          <w:sz w:val="20"/>
          <w:szCs w:val="20"/>
        </w:rPr>
      </w:pPr>
    </w:p>
    <w:p w14:paraId="5B028358" w14:textId="77777777" w:rsidR="00D9640F" w:rsidRPr="00BB73C0" w:rsidRDefault="00D9640F" w:rsidP="00D9640F">
      <w:pPr>
        <w:rPr>
          <w:rFonts w:ascii="Arial" w:hAnsi="Arial" w:cs="Arial"/>
          <w:b/>
          <w:sz w:val="20"/>
          <w:szCs w:val="20"/>
        </w:rPr>
      </w:pPr>
      <w:r w:rsidRPr="00BB73C0">
        <w:rPr>
          <w:rFonts w:ascii="Arial" w:hAnsi="Arial" w:cs="Arial"/>
          <w:b/>
          <w:sz w:val="20"/>
          <w:szCs w:val="20"/>
        </w:rPr>
        <w:t xml:space="preserve"> </w:t>
      </w:r>
    </w:p>
    <w:p w14:paraId="0A75A9F4" w14:textId="77777777" w:rsidR="00D9640F" w:rsidRPr="00BB73C0" w:rsidRDefault="00D9640F" w:rsidP="00D9640F">
      <w:pPr>
        <w:rPr>
          <w:rFonts w:ascii="Arial" w:hAnsi="Arial" w:cs="Arial"/>
          <w:b/>
          <w:sz w:val="20"/>
          <w:szCs w:val="20"/>
        </w:rPr>
      </w:pPr>
    </w:p>
    <w:p w14:paraId="5F05A717" w14:textId="77777777" w:rsidR="00D9640F" w:rsidRPr="00BB73C0" w:rsidRDefault="004811CE" w:rsidP="00D9640F">
      <w:pPr>
        <w:rPr>
          <w:rFonts w:ascii="Arial" w:hAnsi="Arial" w:cs="Arial"/>
          <w:b/>
          <w:sz w:val="20"/>
          <w:szCs w:val="20"/>
        </w:rPr>
      </w:pPr>
      <w:r w:rsidRPr="00BB73C0">
        <w:rPr>
          <w:rFonts w:ascii="Arial" w:hAnsi="Arial" w:cs="Arial"/>
          <w:b/>
          <w:sz w:val="20"/>
          <w:szCs w:val="20"/>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7"/>
        <w:gridCol w:w="9255"/>
      </w:tblGrid>
      <w:tr w:rsidR="00D9640F" w:rsidRPr="00BB73C0" w14:paraId="101683DD" w14:textId="77777777" w:rsidTr="00BB337D">
        <w:tc>
          <w:tcPr>
            <w:tcW w:w="540" w:type="dxa"/>
          </w:tcPr>
          <w:p w14:paraId="76E8190F" w14:textId="77777777" w:rsidR="00D9640F" w:rsidRPr="00BB73C0" w:rsidRDefault="0089312D" w:rsidP="009F4DD9">
            <w:pPr>
              <w:spacing w:before="60" w:after="60"/>
              <w:rPr>
                <w:rFonts w:ascii="Arial" w:hAnsi="Arial" w:cs="Arial"/>
                <w:b/>
                <w:sz w:val="20"/>
                <w:szCs w:val="20"/>
              </w:rPr>
            </w:pPr>
            <w:r w:rsidRPr="00BB73C0">
              <w:rPr>
                <w:rFonts w:ascii="Arial" w:hAnsi="Arial" w:cs="Arial"/>
                <w:b/>
                <w:sz w:val="20"/>
                <w:szCs w:val="20"/>
              </w:rPr>
              <w:lastRenderedPageBreak/>
              <w:t>2.</w:t>
            </w:r>
          </w:p>
        </w:tc>
        <w:tc>
          <w:tcPr>
            <w:tcW w:w="9383" w:type="dxa"/>
            <w:tcBorders>
              <w:bottom w:val="single" w:sz="4" w:space="0" w:color="auto"/>
            </w:tcBorders>
          </w:tcPr>
          <w:p w14:paraId="41165062"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Synopsis (250 – 300 words)</w:t>
            </w:r>
          </w:p>
        </w:tc>
      </w:tr>
      <w:tr w:rsidR="00D9640F" w:rsidRPr="00BB73C0" w14:paraId="6431C0AE" w14:textId="77777777" w:rsidTr="00BB337D">
        <w:trPr>
          <w:trHeight w:val="95"/>
        </w:trPr>
        <w:tc>
          <w:tcPr>
            <w:tcW w:w="540" w:type="dxa"/>
            <w:tcBorders>
              <w:right w:val="single" w:sz="4" w:space="0" w:color="auto"/>
            </w:tcBorders>
          </w:tcPr>
          <w:p w14:paraId="4ACD7AF8" w14:textId="77777777" w:rsidR="00D9640F" w:rsidRPr="00BB73C0" w:rsidRDefault="00D9640F" w:rsidP="009F4DD9">
            <w:pPr>
              <w:spacing w:before="60" w:after="60"/>
              <w:rPr>
                <w:rFonts w:ascii="Arial" w:hAnsi="Arial" w:cs="Arial"/>
                <w:b/>
                <w:sz w:val="20"/>
                <w:szCs w:val="20"/>
              </w:rPr>
            </w:pPr>
          </w:p>
        </w:tc>
        <w:tc>
          <w:tcPr>
            <w:tcW w:w="9383" w:type="dxa"/>
            <w:tcBorders>
              <w:top w:val="single" w:sz="4" w:space="0" w:color="auto"/>
              <w:left w:val="single" w:sz="4" w:space="0" w:color="auto"/>
              <w:bottom w:val="single" w:sz="4" w:space="0" w:color="auto"/>
              <w:right w:val="single" w:sz="4" w:space="0" w:color="auto"/>
            </w:tcBorders>
          </w:tcPr>
          <w:p w14:paraId="74721A18" w14:textId="75A607E2" w:rsidR="000D6874" w:rsidRDefault="000A0713" w:rsidP="00C0605A">
            <w:pPr>
              <w:spacing w:before="60" w:after="60"/>
              <w:jc w:val="both"/>
              <w:rPr>
                <w:rFonts w:ascii="Arial" w:hAnsi="Arial" w:cs="Arial"/>
                <w:sz w:val="20"/>
                <w:szCs w:val="20"/>
              </w:rPr>
            </w:pPr>
            <w:r w:rsidRPr="000A0713">
              <w:rPr>
                <w:rFonts w:ascii="Arial" w:hAnsi="Arial" w:cs="Arial"/>
                <w:sz w:val="20"/>
                <w:szCs w:val="20"/>
              </w:rPr>
              <w:t>Iron deficiency anaemia is a common condition that frequently requires intravenous treatment in patients with chronic conditions. Two formulations of intravenous iron are available in Australia that are used for total body iron replacement. However, the newer ferric carboxymaltose is limited by high cost and a maximum dose of 1000</w:t>
            </w:r>
            <w:r>
              <w:rPr>
                <w:rFonts w:ascii="Arial" w:hAnsi="Arial" w:cs="Arial"/>
                <w:sz w:val="20"/>
                <w:szCs w:val="20"/>
              </w:rPr>
              <w:t xml:space="preserve"> </w:t>
            </w:r>
            <w:r w:rsidRPr="000A0713">
              <w:rPr>
                <w:rFonts w:ascii="Arial" w:hAnsi="Arial" w:cs="Arial"/>
                <w:sz w:val="20"/>
                <w:szCs w:val="20"/>
              </w:rPr>
              <w:t>mg</w:t>
            </w:r>
            <w:r w:rsidR="00FE1BC4">
              <w:rPr>
                <w:rFonts w:ascii="Arial" w:hAnsi="Arial" w:cs="Arial"/>
                <w:sz w:val="20"/>
                <w:szCs w:val="20"/>
              </w:rPr>
              <w:t xml:space="preserve"> per week</w:t>
            </w:r>
            <w:r w:rsidRPr="000A0713">
              <w:rPr>
                <w:rFonts w:ascii="Arial" w:hAnsi="Arial" w:cs="Arial"/>
                <w:sz w:val="20"/>
                <w:szCs w:val="20"/>
              </w:rPr>
              <w:t xml:space="preserve"> over 15 minutes. Iron polymaltose has the advantage of being cost</w:t>
            </w:r>
            <w:r>
              <w:rPr>
                <w:rFonts w:ascii="Arial" w:hAnsi="Arial" w:cs="Arial"/>
                <w:sz w:val="20"/>
                <w:szCs w:val="20"/>
              </w:rPr>
              <w:t>-</w:t>
            </w:r>
            <w:r w:rsidRPr="000A0713">
              <w:rPr>
                <w:rFonts w:ascii="Arial" w:hAnsi="Arial" w:cs="Arial"/>
                <w:sz w:val="20"/>
                <w:szCs w:val="20"/>
              </w:rPr>
              <w:t xml:space="preserve">effective with the ability to provide total body </w:t>
            </w:r>
            <w:r>
              <w:rPr>
                <w:rFonts w:ascii="Arial" w:hAnsi="Arial" w:cs="Arial"/>
                <w:sz w:val="20"/>
                <w:szCs w:val="20"/>
              </w:rPr>
              <w:t xml:space="preserve">iron </w:t>
            </w:r>
            <w:r w:rsidRPr="000A0713">
              <w:rPr>
                <w:rFonts w:ascii="Arial" w:hAnsi="Arial" w:cs="Arial"/>
                <w:sz w:val="20"/>
                <w:szCs w:val="20"/>
              </w:rPr>
              <w:t xml:space="preserve">replacement </w:t>
            </w:r>
            <w:r w:rsidR="0083749D">
              <w:rPr>
                <w:rFonts w:ascii="Arial" w:hAnsi="Arial" w:cs="Arial"/>
                <w:sz w:val="20"/>
                <w:szCs w:val="20"/>
              </w:rPr>
              <w:t xml:space="preserve">in one administration </w:t>
            </w:r>
            <w:r w:rsidR="005C161D">
              <w:rPr>
                <w:rFonts w:ascii="Arial" w:hAnsi="Arial" w:cs="Arial"/>
                <w:sz w:val="20"/>
                <w:szCs w:val="20"/>
              </w:rPr>
              <w:t xml:space="preserve">of </w:t>
            </w:r>
            <w:r w:rsidR="000D6874">
              <w:rPr>
                <w:rFonts w:ascii="Arial" w:hAnsi="Arial" w:cs="Arial"/>
                <w:sz w:val="20"/>
                <w:szCs w:val="20"/>
              </w:rPr>
              <w:t>up to 1500 mg over 1 hour or greater amounts over 4 hours.</w:t>
            </w:r>
            <w:r w:rsidR="00DB6A62">
              <w:rPr>
                <w:rFonts w:ascii="Arial" w:hAnsi="Arial" w:cs="Arial"/>
                <w:sz w:val="20"/>
                <w:szCs w:val="20"/>
              </w:rPr>
              <w:t xml:space="preserve"> A pilot study in 2017-2018 demonstrated safety of delivering iron polymaltose at doses up to and including 1500</w:t>
            </w:r>
            <w:r w:rsidR="00FE1BC4">
              <w:rPr>
                <w:rFonts w:ascii="Arial" w:hAnsi="Arial" w:cs="Arial"/>
                <w:sz w:val="20"/>
                <w:szCs w:val="20"/>
              </w:rPr>
              <w:t xml:space="preserve"> </w:t>
            </w:r>
            <w:r w:rsidR="00DB6A62">
              <w:rPr>
                <w:rFonts w:ascii="Arial" w:hAnsi="Arial" w:cs="Arial"/>
                <w:sz w:val="20"/>
                <w:szCs w:val="20"/>
              </w:rPr>
              <w:t>mg over 30 and 15 minutes.</w:t>
            </w:r>
          </w:p>
          <w:p w14:paraId="5CC74869" w14:textId="0CBAAC4F" w:rsidR="00EC4E12" w:rsidRPr="003508AB" w:rsidRDefault="000A0713" w:rsidP="00C07AAF">
            <w:pPr>
              <w:spacing w:before="60" w:after="60"/>
              <w:jc w:val="both"/>
              <w:rPr>
                <w:rFonts w:ascii="Helvetica" w:hAnsi="Helvetica" w:cs="Helvetica"/>
              </w:rPr>
            </w:pPr>
            <w:r w:rsidRPr="000A0713">
              <w:rPr>
                <w:rFonts w:ascii="Arial" w:hAnsi="Arial" w:cs="Arial"/>
                <w:sz w:val="20"/>
                <w:szCs w:val="20"/>
              </w:rPr>
              <w:t xml:space="preserve">This </w:t>
            </w:r>
            <w:r w:rsidR="000D6874" w:rsidRPr="000D6874">
              <w:rPr>
                <w:rFonts w:ascii="Arial" w:hAnsi="Arial" w:cs="Arial"/>
                <w:sz w:val="20"/>
                <w:szCs w:val="20"/>
              </w:rPr>
              <w:t>will be an open</w:t>
            </w:r>
            <w:r w:rsidR="000D6874">
              <w:rPr>
                <w:rFonts w:ascii="Arial" w:hAnsi="Arial" w:cs="Arial"/>
                <w:sz w:val="20"/>
                <w:szCs w:val="20"/>
              </w:rPr>
              <w:t>-</w:t>
            </w:r>
            <w:r w:rsidR="00DB6A62">
              <w:rPr>
                <w:rFonts w:ascii="Arial" w:hAnsi="Arial" w:cs="Arial"/>
                <w:sz w:val="20"/>
                <w:szCs w:val="20"/>
              </w:rPr>
              <w:t xml:space="preserve">label, </w:t>
            </w:r>
            <w:r w:rsidR="00C07AAF">
              <w:rPr>
                <w:rFonts w:ascii="Arial" w:hAnsi="Arial" w:cs="Arial"/>
                <w:sz w:val="20"/>
                <w:szCs w:val="20"/>
              </w:rPr>
              <w:t xml:space="preserve">single centre </w:t>
            </w:r>
            <w:r w:rsidR="000D6874" w:rsidRPr="000D6874">
              <w:rPr>
                <w:rFonts w:ascii="Arial" w:hAnsi="Arial" w:cs="Arial"/>
                <w:sz w:val="20"/>
                <w:szCs w:val="20"/>
              </w:rPr>
              <w:t xml:space="preserve">study </w:t>
            </w:r>
            <w:r w:rsidR="000D6874">
              <w:rPr>
                <w:rFonts w:ascii="Arial" w:hAnsi="Arial" w:cs="Arial"/>
                <w:sz w:val="20"/>
                <w:szCs w:val="20"/>
              </w:rPr>
              <w:t>aiming</w:t>
            </w:r>
            <w:r w:rsidR="00EC4E12">
              <w:rPr>
                <w:rFonts w:ascii="Arial" w:hAnsi="Arial" w:cs="Arial"/>
                <w:sz w:val="20"/>
                <w:szCs w:val="20"/>
              </w:rPr>
              <w:t xml:space="preserve"> to</w:t>
            </w:r>
            <w:r w:rsidRPr="000A0713">
              <w:rPr>
                <w:rFonts w:ascii="Arial" w:hAnsi="Arial" w:cs="Arial"/>
                <w:sz w:val="20"/>
                <w:szCs w:val="20"/>
              </w:rPr>
              <w:t xml:space="preserve"> </w:t>
            </w:r>
            <w:r w:rsidR="00DB6A62">
              <w:rPr>
                <w:rFonts w:ascii="Arial" w:hAnsi="Arial" w:cs="Arial"/>
                <w:sz w:val="20"/>
                <w:szCs w:val="20"/>
              </w:rPr>
              <w:t xml:space="preserve">confirm the </w:t>
            </w:r>
            <w:r w:rsidRPr="000A0713">
              <w:rPr>
                <w:rFonts w:ascii="Arial" w:hAnsi="Arial" w:cs="Arial"/>
                <w:sz w:val="20"/>
                <w:szCs w:val="20"/>
              </w:rPr>
              <w:t>saf</w:t>
            </w:r>
            <w:r w:rsidR="00AD65C7">
              <w:rPr>
                <w:rFonts w:ascii="Arial" w:hAnsi="Arial" w:cs="Arial"/>
                <w:sz w:val="20"/>
                <w:szCs w:val="20"/>
              </w:rPr>
              <w:t>ety of iron polymaltose</w:t>
            </w:r>
            <w:r w:rsidR="000D6874">
              <w:rPr>
                <w:rFonts w:ascii="Arial" w:hAnsi="Arial" w:cs="Arial"/>
                <w:sz w:val="20"/>
                <w:szCs w:val="20"/>
              </w:rPr>
              <w:t xml:space="preserve"> </w:t>
            </w:r>
            <w:r w:rsidR="00DB6A62">
              <w:rPr>
                <w:rFonts w:ascii="Arial" w:hAnsi="Arial" w:cs="Arial"/>
                <w:sz w:val="20"/>
                <w:szCs w:val="20"/>
              </w:rPr>
              <w:t xml:space="preserve">administered </w:t>
            </w:r>
            <w:r w:rsidR="000D6874">
              <w:rPr>
                <w:rFonts w:ascii="Arial" w:hAnsi="Arial" w:cs="Arial"/>
                <w:sz w:val="20"/>
                <w:szCs w:val="20"/>
              </w:rPr>
              <w:t xml:space="preserve">as an ultrarapid </w:t>
            </w:r>
            <w:r w:rsidR="00DB6A62">
              <w:rPr>
                <w:rFonts w:ascii="Arial" w:hAnsi="Arial" w:cs="Arial"/>
                <w:sz w:val="20"/>
                <w:szCs w:val="20"/>
              </w:rPr>
              <w:t>(</w:t>
            </w:r>
            <w:r w:rsidR="00FE1BC4">
              <w:rPr>
                <w:rFonts w:ascii="Arial" w:hAnsi="Arial" w:cs="Arial"/>
                <w:sz w:val="20"/>
                <w:szCs w:val="20"/>
              </w:rPr>
              <w:t>15-</w:t>
            </w:r>
            <w:r w:rsidR="00DB6A62">
              <w:rPr>
                <w:rFonts w:ascii="Arial" w:hAnsi="Arial" w:cs="Arial"/>
                <w:sz w:val="20"/>
                <w:szCs w:val="20"/>
              </w:rPr>
              <w:t xml:space="preserve">minute) </w:t>
            </w:r>
            <w:r w:rsidR="000D6874">
              <w:rPr>
                <w:rFonts w:ascii="Arial" w:hAnsi="Arial" w:cs="Arial"/>
                <w:sz w:val="20"/>
                <w:szCs w:val="20"/>
              </w:rPr>
              <w:t xml:space="preserve">infusion </w:t>
            </w:r>
            <w:r w:rsidR="000D6874" w:rsidRPr="000D6874">
              <w:rPr>
                <w:rFonts w:ascii="Arial" w:hAnsi="Arial" w:cs="Arial"/>
                <w:sz w:val="20"/>
                <w:szCs w:val="20"/>
              </w:rPr>
              <w:t>in a general hospital population</w:t>
            </w:r>
            <w:r w:rsidR="000D6874">
              <w:rPr>
                <w:rFonts w:ascii="Arial" w:hAnsi="Arial" w:cs="Arial"/>
                <w:sz w:val="20"/>
                <w:szCs w:val="20"/>
              </w:rPr>
              <w:t>.</w:t>
            </w:r>
            <w:r w:rsidR="003508AB">
              <w:t xml:space="preserve"> </w:t>
            </w:r>
            <w:r w:rsidR="003508AB" w:rsidRPr="003508AB">
              <w:rPr>
                <w:rFonts w:ascii="Arial" w:hAnsi="Arial" w:cs="Arial"/>
                <w:sz w:val="20"/>
                <w:szCs w:val="20"/>
              </w:rPr>
              <w:t xml:space="preserve">Patients diagnosed with iron deficiency anaemia of any cause requiring </w:t>
            </w:r>
            <w:r w:rsidR="003508AB">
              <w:rPr>
                <w:rFonts w:ascii="Arial" w:hAnsi="Arial" w:cs="Arial"/>
                <w:sz w:val="20"/>
                <w:szCs w:val="20"/>
              </w:rPr>
              <w:t xml:space="preserve">replacement </w:t>
            </w:r>
            <w:r w:rsidR="00FE1BC4">
              <w:rPr>
                <w:rFonts w:ascii="Arial" w:hAnsi="Arial" w:cs="Arial"/>
                <w:sz w:val="20"/>
                <w:szCs w:val="20"/>
              </w:rPr>
              <w:t xml:space="preserve">with iron polymaltose </w:t>
            </w:r>
            <w:r w:rsidR="003508AB" w:rsidRPr="003508AB">
              <w:rPr>
                <w:rFonts w:ascii="Arial" w:hAnsi="Arial" w:cs="Arial"/>
                <w:sz w:val="20"/>
                <w:szCs w:val="20"/>
              </w:rPr>
              <w:t>doses up to 1500 mg will be enrolled into the study</w:t>
            </w:r>
            <w:r w:rsidR="003508AB">
              <w:rPr>
                <w:rFonts w:ascii="Arial" w:hAnsi="Arial" w:cs="Arial"/>
                <w:sz w:val="20"/>
                <w:szCs w:val="20"/>
              </w:rPr>
              <w:t xml:space="preserve"> after obtaining consent.</w:t>
            </w:r>
            <w:r w:rsidR="003508AB" w:rsidRPr="003508AB">
              <w:rPr>
                <w:rFonts w:ascii="Arial" w:hAnsi="Arial" w:cs="Arial"/>
                <w:sz w:val="20"/>
                <w:szCs w:val="20"/>
              </w:rPr>
              <w:t xml:space="preserve"> </w:t>
            </w:r>
            <w:r w:rsidR="000D6874" w:rsidRPr="003508AB">
              <w:rPr>
                <w:rFonts w:ascii="Arial" w:hAnsi="Arial" w:cs="Arial"/>
                <w:sz w:val="20"/>
                <w:szCs w:val="20"/>
              </w:rPr>
              <w:t xml:space="preserve">Rates </w:t>
            </w:r>
            <w:r w:rsidR="003508AB" w:rsidRPr="003508AB">
              <w:rPr>
                <w:rFonts w:ascii="Arial" w:hAnsi="Arial" w:cs="Arial"/>
                <w:sz w:val="20"/>
                <w:szCs w:val="20"/>
              </w:rPr>
              <w:t xml:space="preserve">and severity </w:t>
            </w:r>
            <w:r w:rsidR="000D6874" w:rsidRPr="003508AB">
              <w:rPr>
                <w:rFonts w:ascii="Arial" w:hAnsi="Arial" w:cs="Arial"/>
                <w:sz w:val="20"/>
                <w:szCs w:val="20"/>
              </w:rPr>
              <w:t xml:space="preserve">of adverse events </w:t>
            </w:r>
            <w:r w:rsidR="003508AB">
              <w:rPr>
                <w:rFonts w:ascii="Arial" w:hAnsi="Arial" w:cs="Arial"/>
                <w:sz w:val="20"/>
                <w:szCs w:val="20"/>
              </w:rPr>
              <w:t xml:space="preserve">will be compared </w:t>
            </w:r>
            <w:r w:rsidR="003508AB" w:rsidRPr="00EC4E12">
              <w:rPr>
                <w:rFonts w:ascii="Arial" w:hAnsi="Arial" w:cs="Arial"/>
                <w:sz w:val="20"/>
                <w:szCs w:val="20"/>
              </w:rPr>
              <w:t>to th</w:t>
            </w:r>
            <w:r w:rsidR="00087460">
              <w:rPr>
                <w:rFonts w:ascii="Arial" w:hAnsi="Arial" w:cs="Arial"/>
                <w:sz w:val="20"/>
                <w:szCs w:val="20"/>
              </w:rPr>
              <w:t>ose previously published for</w:t>
            </w:r>
            <w:r w:rsidR="003508AB" w:rsidRPr="00EC4E12">
              <w:rPr>
                <w:rFonts w:ascii="Arial" w:hAnsi="Arial" w:cs="Arial"/>
                <w:sz w:val="20"/>
                <w:szCs w:val="20"/>
              </w:rPr>
              <w:t xml:space="preserve"> iron polymaltose admin</w:t>
            </w:r>
            <w:r w:rsidR="000F4660">
              <w:rPr>
                <w:rFonts w:ascii="Arial" w:hAnsi="Arial" w:cs="Arial"/>
                <w:sz w:val="20"/>
                <w:szCs w:val="20"/>
              </w:rPr>
              <w:t>istered over 1 hour and 4 hours,</w:t>
            </w:r>
            <w:r w:rsidR="003508AB" w:rsidRPr="00EC4E12">
              <w:rPr>
                <w:rFonts w:ascii="Arial" w:hAnsi="Arial" w:cs="Arial"/>
                <w:sz w:val="20"/>
                <w:szCs w:val="20"/>
              </w:rPr>
              <w:t xml:space="preserve"> </w:t>
            </w:r>
            <w:r w:rsidR="003508AB">
              <w:rPr>
                <w:rFonts w:ascii="Arial" w:hAnsi="Arial" w:cs="Arial"/>
                <w:sz w:val="20"/>
                <w:szCs w:val="20"/>
              </w:rPr>
              <w:t xml:space="preserve">as well as </w:t>
            </w:r>
            <w:r w:rsidR="003508AB" w:rsidRPr="00EC4E12">
              <w:rPr>
                <w:rFonts w:ascii="Arial" w:hAnsi="Arial" w:cs="Arial"/>
                <w:sz w:val="20"/>
                <w:szCs w:val="20"/>
              </w:rPr>
              <w:t>to previously published safety outcomes for ferric carboxymaltose infusions.</w:t>
            </w:r>
          </w:p>
        </w:tc>
      </w:tr>
    </w:tbl>
    <w:p w14:paraId="63B9B990" w14:textId="77777777" w:rsidR="004811CE" w:rsidRPr="00BB73C0" w:rsidRDefault="004811CE"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D9640F" w:rsidRPr="00BB73C0" w14:paraId="3C7F16B7" w14:textId="77777777">
        <w:tc>
          <w:tcPr>
            <w:tcW w:w="540" w:type="dxa"/>
          </w:tcPr>
          <w:p w14:paraId="6710A7CC" w14:textId="77777777" w:rsidR="00D9640F" w:rsidRPr="00BB73C0" w:rsidRDefault="0089312D" w:rsidP="009F4DD9">
            <w:pPr>
              <w:spacing w:before="60" w:after="60"/>
              <w:rPr>
                <w:rFonts w:ascii="Arial" w:hAnsi="Arial" w:cs="Arial"/>
                <w:b/>
                <w:sz w:val="20"/>
                <w:szCs w:val="20"/>
              </w:rPr>
            </w:pPr>
            <w:r w:rsidRPr="00BB73C0">
              <w:rPr>
                <w:rFonts w:ascii="Arial" w:hAnsi="Arial" w:cs="Arial"/>
                <w:b/>
                <w:sz w:val="20"/>
                <w:szCs w:val="20"/>
              </w:rPr>
              <w:t>3.</w:t>
            </w:r>
          </w:p>
        </w:tc>
        <w:tc>
          <w:tcPr>
            <w:tcW w:w="9360" w:type="dxa"/>
            <w:tcBorders>
              <w:bottom w:val="single" w:sz="4" w:space="0" w:color="auto"/>
            </w:tcBorders>
          </w:tcPr>
          <w:p w14:paraId="050218D3" w14:textId="77777777" w:rsidR="00D9640F" w:rsidRPr="00BB73C0" w:rsidRDefault="00D9640F" w:rsidP="009F4DD9">
            <w:pPr>
              <w:spacing w:before="60" w:after="60"/>
              <w:rPr>
                <w:rFonts w:ascii="Arial" w:hAnsi="Arial" w:cs="Arial"/>
                <w:b/>
                <w:sz w:val="20"/>
                <w:szCs w:val="20"/>
              </w:rPr>
            </w:pPr>
            <w:r w:rsidRPr="00BB73C0">
              <w:rPr>
                <w:rFonts w:ascii="Arial" w:hAnsi="Arial" w:cs="Arial"/>
                <w:b/>
                <w:sz w:val="20"/>
                <w:szCs w:val="20"/>
              </w:rPr>
              <w:t>Introduction / Background</w:t>
            </w:r>
            <w:r w:rsidR="009F4DD9" w:rsidRPr="00BB73C0">
              <w:rPr>
                <w:rFonts w:ascii="Arial" w:hAnsi="Arial" w:cs="Arial"/>
                <w:b/>
                <w:sz w:val="20"/>
                <w:szCs w:val="20"/>
              </w:rPr>
              <w:t xml:space="preserve"> *</w:t>
            </w:r>
          </w:p>
        </w:tc>
      </w:tr>
      <w:tr w:rsidR="00D9640F" w:rsidRPr="00BB73C0" w14:paraId="75AED016" w14:textId="77777777">
        <w:trPr>
          <w:trHeight w:val="70"/>
        </w:trPr>
        <w:tc>
          <w:tcPr>
            <w:tcW w:w="540" w:type="dxa"/>
            <w:tcBorders>
              <w:right w:val="single" w:sz="4" w:space="0" w:color="auto"/>
            </w:tcBorders>
          </w:tcPr>
          <w:p w14:paraId="72974FEE" w14:textId="77777777" w:rsidR="00D9640F" w:rsidRPr="00BB73C0" w:rsidRDefault="00D9640F" w:rsidP="009F4DD9">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206722BA" w14:textId="77777777" w:rsidR="0083749D" w:rsidRDefault="000C3F56" w:rsidP="00C0605A">
            <w:pPr>
              <w:autoSpaceDE w:val="0"/>
              <w:autoSpaceDN w:val="0"/>
              <w:adjustRightInd w:val="0"/>
              <w:jc w:val="both"/>
              <w:rPr>
                <w:rFonts w:ascii="Arial" w:hAnsi="Arial" w:cs="Arial"/>
                <w:sz w:val="20"/>
                <w:szCs w:val="20"/>
                <w:vertAlign w:val="superscript"/>
              </w:rPr>
            </w:pPr>
            <w:r w:rsidRPr="0083749D">
              <w:rPr>
                <w:rFonts w:ascii="Arial" w:hAnsi="Arial" w:cs="Arial"/>
                <w:sz w:val="20"/>
                <w:szCs w:val="20"/>
              </w:rPr>
              <w:t>Iron deficiency anaemia is a common condition among the general population and patients admitted to hospitals.</w:t>
            </w:r>
            <w:r w:rsidRPr="0083749D">
              <w:rPr>
                <w:rFonts w:ascii="Arial" w:hAnsi="Arial" w:cs="Arial"/>
                <w:position w:val="4"/>
                <w:sz w:val="20"/>
                <w:szCs w:val="20"/>
                <w:vertAlign w:val="superscript"/>
              </w:rPr>
              <w:t>1-4</w:t>
            </w:r>
            <w:r w:rsidRPr="0083749D">
              <w:rPr>
                <w:rFonts w:ascii="Arial" w:hAnsi="Arial" w:cs="Arial"/>
                <w:sz w:val="20"/>
                <w:szCs w:val="20"/>
                <w:vertAlign w:val="superscript"/>
              </w:rPr>
              <w:t xml:space="preserve"> </w:t>
            </w:r>
            <w:r w:rsidRPr="0083749D">
              <w:rPr>
                <w:rFonts w:ascii="Arial" w:hAnsi="Arial" w:cs="Arial"/>
                <w:sz w:val="20"/>
                <w:szCs w:val="20"/>
              </w:rPr>
              <w:t>Correction of iron deficiency leads to improved quality of life with reduction in symptoms of anaemia, improved sensitivity to erythropoietin stimulating agents (ESAs) in patients with renal impairment as well as resolution of</w:t>
            </w:r>
            <w:r w:rsidR="0083749D">
              <w:rPr>
                <w:rFonts w:ascii="Arial" w:hAnsi="Arial" w:cs="Arial"/>
                <w:sz w:val="20"/>
                <w:szCs w:val="20"/>
              </w:rPr>
              <w:t xml:space="preserve"> </w:t>
            </w:r>
            <w:r w:rsidRPr="0083749D">
              <w:rPr>
                <w:rFonts w:ascii="Arial" w:hAnsi="Arial" w:cs="Arial"/>
                <w:sz w:val="20"/>
                <w:szCs w:val="20"/>
              </w:rPr>
              <w:t>other related conditions.</w:t>
            </w:r>
            <w:r w:rsidRPr="0083749D">
              <w:rPr>
                <w:rFonts w:ascii="Arial" w:hAnsi="Arial" w:cs="Arial"/>
                <w:position w:val="4"/>
                <w:sz w:val="20"/>
                <w:szCs w:val="20"/>
                <w:vertAlign w:val="superscript"/>
              </w:rPr>
              <w:t xml:space="preserve">1-4 </w:t>
            </w:r>
            <w:r w:rsidRPr="0083749D">
              <w:rPr>
                <w:rFonts w:ascii="Arial" w:hAnsi="Arial" w:cs="Arial"/>
                <w:sz w:val="20"/>
                <w:szCs w:val="20"/>
              </w:rPr>
              <w:t>Total body iron replacement is a common practice in hospital setting</w:t>
            </w:r>
            <w:r w:rsidR="0083749D">
              <w:rPr>
                <w:rFonts w:ascii="Arial" w:hAnsi="Arial" w:cs="Arial"/>
                <w:sz w:val="20"/>
                <w:szCs w:val="20"/>
              </w:rPr>
              <w:t>s</w:t>
            </w:r>
            <w:r w:rsidRPr="0083749D">
              <w:rPr>
                <w:rFonts w:ascii="Arial" w:hAnsi="Arial" w:cs="Arial"/>
                <w:sz w:val="20"/>
                <w:szCs w:val="20"/>
              </w:rPr>
              <w:t xml:space="preserve"> for patients who</w:t>
            </w:r>
            <w:r w:rsidR="0083749D">
              <w:rPr>
                <w:rFonts w:ascii="Arial" w:hAnsi="Arial" w:cs="Arial"/>
                <w:sz w:val="20"/>
                <w:szCs w:val="20"/>
              </w:rPr>
              <w:t xml:space="preserve"> </w:t>
            </w:r>
            <w:r w:rsidRPr="0083749D">
              <w:rPr>
                <w:rFonts w:ascii="Arial" w:hAnsi="Arial" w:cs="Arial"/>
                <w:sz w:val="20"/>
                <w:szCs w:val="20"/>
              </w:rPr>
              <w:t>are unable to tolerate oral iron supplements due to adverse effects, malabsorpti</w:t>
            </w:r>
            <w:r w:rsidR="0083749D">
              <w:rPr>
                <w:rFonts w:ascii="Arial" w:hAnsi="Arial" w:cs="Arial"/>
                <w:sz w:val="20"/>
                <w:szCs w:val="20"/>
              </w:rPr>
              <w:t>ve</w:t>
            </w:r>
            <w:r w:rsidRPr="0083749D">
              <w:rPr>
                <w:rFonts w:ascii="Arial" w:hAnsi="Arial" w:cs="Arial"/>
                <w:sz w:val="20"/>
                <w:szCs w:val="20"/>
              </w:rPr>
              <w:t xml:space="preserve"> conditions, poor medication</w:t>
            </w:r>
            <w:r w:rsidR="0083749D">
              <w:rPr>
                <w:rFonts w:ascii="Arial" w:hAnsi="Arial" w:cs="Arial"/>
                <w:sz w:val="20"/>
                <w:szCs w:val="20"/>
              </w:rPr>
              <w:t xml:space="preserve"> </w:t>
            </w:r>
            <w:r w:rsidRPr="0083749D">
              <w:rPr>
                <w:rFonts w:ascii="Arial" w:hAnsi="Arial" w:cs="Arial"/>
                <w:sz w:val="20"/>
                <w:szCs w:val="20"/>
              </w:rPr>
              <w:t>adherence, as well as conditions such as chronic renal failure (CRF), malignancies and continuing blood loss.</w:t>
            </w:r>
            <w:r w:rsidRPr="0083749D">
              <w:rPr>
                <w:rFonts w:ascii="Arial" w:hAnsi="Arial" w:cs="Arial"/>
                <w:position w:val="4"/>
                <w:sz w:val="20"/>
                <w:szCs w:val="20"/>
                <w:vertAlign w:val="superscript"/>
              </w:rPr>
              <w:t>3,4</w:t>
            </w:r>
            <w:r w:rsidR="0083749D">
              <w:rPr>
                <w:rFonts w:ascii="Arial" w:hAnsi="Arial" w:cs="Arial"/>
                <w:sz w:val="20"/>
                <w:szCs w:val="20"/>
                <w:vertAlign w:val="superscript"/>
              </w:rPr>
              <w:t xml:space="preserve"> </w:t>
            </w:r>
          </w:p>
          <w:p w14:paraId="3E84579E" w14:textId="77777777" w:rsidR="0083749D" w:rsidRDefault="000C3F56" w:rsidP="00C0605A">
            <w:pPr>
              <w:autoSpaceDE w:val="0"/>
              <w:autoSpaceDN w:val="0"/>
              <w:adjustRightInd w:val="0"/>
              <w:jc w:val="both"/>
              <w:rPr>
                <w:rFonts w:ascii="Arial" w:hAnsi="Arial" w:cs="Arial"/>
                <w:sz w:val="20"/>
                <w:szCs w:val="20"/>
              </w:rPr>
            </w:pPr>
            <w:r w:rsidRPr="0083749D">
              <w:rPr>
                <w:rFonts w:ascii="Arial" w:hAnsi="Arial" w:cs="Arial"/>
                <w:sz w:val="20"/>
                <w:szCs w:val="20"/>
              </w:rPr>
              <w:t xml:space="preserve">Previous research has demonstrated the safety of iron polymaltose </w:t>
            </w:r>
            <w:r w:rsidR="0083749D">
              <w:rPr>
                <w:rFonts w:ascii="Arial" w:hAnsi="Arial" w:cs="Arial"/>
                <w:sz w:val="20"/>
                <w:szCs w:val="20"/>
              </w:rPr>
              <w:t xml:space="preserve">up to 1500 mg </w:t>
            </w:r>
            <w:r w:rsidRPr="0083749D">
              <w:rPr>
                <w:rFonts w:ascii="Arial" w:hAnsi="Arial" w:cs="Arial"/>
                <w:sz w:val="20"/>
                <w:szCs w:val="20"/>
              </w:rPr>
              <w:t>administered as a rapid</w:t>
            </w:r>
            <w:r w:rsidR="0083749D">
              <w:rPr>
                <w:rFonts w:ascii="Arial" w:hAnsi="Arial" w:cs="Arial"/>
                <w:sz w:val="20"/>
                <w:szCs w:val="20"/>
              </w:rPr>
              <w:t xml:space="preserve"> 1-hour infusion </w:t>
            </w:r>
            <w:r w:rsidRPr="0083749D">
              <w:rPr>
                <w:rFonts w:ascii="Arial" w:hAnsi="Arial" w:cs="Arial"/>
                <w:sz w:val="20"/>
                <w:szCs w:val="20"/>
              </w:rPr>
              <w:t>in management of iron deficiency anaemia</w:t>
            </w:r>
            <w:r w:rsidR="0083749D">
              <w:rPr>
                <w:rFonts w:ascii="Arial" w:hAnsi="Arial" w:cs="Arial"/>
                <w:sz w:val="20"/>
                <w:szCs w:val="20"/>
              </w:rPr>
              <w:t>.</w:t>
            </w:r>
            <w:r w:rsidR="0083749D" w:rsidRPr="0083749D">
              <w:rPr>
                <w:rFonts w:ascii="Arial" w:hAnsi="Arial" w:cs="Arial"/>
                <w:sz w:val="20"/>
                <w:szCs w:val="20"/>
                <w:vertAlign w:val="superscript"/>
              </w:rPr>
              <w:t>3-4</w:t>
            </w:r>
            <w:r w:rsidR="0083749D">
              <w:rPr>
                <w:rFonts w:ascii="Arial" w:hAnsi="Arial" w:cs="Arial"/>
                <w:sz w:val="20"/>
                <w:szCs w:val="20"/>
              </w:rPr>
              <w:t xml:space="preserve"> </w:t>
            </w:r>
            <w:r w:rsidRPr="0083749D">
              <w:rPr>
                <w:rFonts w:ascii="Arial" w:hAnsi="Arial" w:cs="Arial"/>
                <w:sz w:val="20"/>
                <w:szCs w:val="20"/>
              </w:rPr>
              <w:t xml:space="preserve">However, despite the safety of this drug, its </w:t>
            </w:r>
            <w:r w:rsidR="0083749D" w:rsidRPr="0083749D">
              <w:rPr>
                <w:rFonts w:ascii="Arial" w:hAnsi="Arial" w:cs="Arial"/>
                <w:sz w:val="20"/>
                <w:szCs w:val="20"/>
              </w:rPr>
              <w:t>competitor</w:t>
            </w:r>
            <w:r w:rsidR="0083749D">
              <w:rPr>
                <w:rFonts w:ascii="Arial" w:hAnsi="Arial" w:cs="Arial"/>
                <w:sz w:val="20"/>
                <w:szCs w:val="20"/>
              </w:rPr>
              <w:t>,</w:t>
            </w:r>
            <w:r w:rsidRPr="0083749D">
              <w:rPr>
                <w:rFonts w:ascii="Arial" w:hAnsi="Arial" w:cs="Arial"/>
                <w:sz w:val="20"/>
                <w:szCs w:val="20"/>
              </w:rPr>
              <w:t xml:space="preserve"> ferric carboxymaltose</w:t>
            </w:r>
            <w:r w:rsidR="0083749D">
              <w:rPr>
                <w:rFonts w:ascii="Arial" w:hAnsi="Arial" w:cs="Arial"/>
                <w:sz w:val="20"/>
                <w:szCs w:val="20"/>
              </w:rPr>
              <w:t>,</w:t>
            </w:r>
            <w:r w:rsidRPr="0083749D">
              <w:rPr>
                <w:rFonts w:ascii="Arial" w:hAnsi="Arial" w:cs="Arial"/>
                <w:sz w:val="20"/>
                <w:szCs w:val="20"/>
              </w:rPr>
              <w:t xml:space="preserve"> is frequently used at a greater cost and with the limitation of a capped maximum dose of 1000</w:t>
            </w:r>
            <w:r w:rsidR="0083749D">
              <w:rPr>
                <w:rFonts w:ascii="Arial" w:hAnsi="Arial" w:cs="Arial"/>
                <w:sz w:val="20"/>
                <w:szCs w:val="20"/>
              </w:rPr>
              <w:t xml:space="preserve"> </w:t>
            </w:r>
            <w:r w:rsidRPr="0083749D">
              <w:rPr>
                <w:rFonts w:ascii="Arial" w:hAnsi="Arial" w:cs="Arial"/>
                <w:sz w:val="20"/>
                <w:szCs w:val="20"/>
              </w:rPr>
              <w:t xml:space="preserve">mg per week. The primary advantage of </w:t>
            </w:r>
            <w:r w:rsidR="0083749D">
              <w:rPr>
                <w:rFonts w:ascii="Arial" w:hAnsi="Arial" w:cs="Arial"/>
                <w:sz w:val="20"/>
                <w:szCs w:val="20"/>
              </w:rPr>
              <w:t xml:space="preserve">ferric carboxymaltose over iron </w:t>
            </w:r>
            <w:r w:rsidRPr="0083749D">
              <w:rPr>
                <w:rFonts w:ascii="Arial" w:hAnsi="Arial" w:cs="Arial"/>
                <w:sz w:val="20"/>
                <w:szCs w:val="20"/>
              </w:rPr>
              <w:t xml:space="preserve">polymaltose is the ultrarapid administration rate </w:t>
            </w:r>
            <w:r w:rsidR="0083749D">
              <w:rPr>
                <w:rFonts w:ascii="Arial" w:hAnsi="Arial" w:cs="Arial"/>
                <w:sz w:val="20"/>
                <w:szCs w:val="20"/>
              </w:rPr>
              <w:t>over</w:t>
            </w:r>
            <w:r w:rsidRPr="0083749D">
              <w:rPr>
                <w:rFonts w:ascii="Arial" w:hAnsi="Arial" w:cs="Arial"/>
                <w:sz w:val="20"/>
                <w:szCs w:val="20"/>
              </w:rPr>
              <w:t xml:space="preserve"> 15 minutes</w:t>
            </w:r>
            <w:r w:rsidR="0083749D">
              <w:rPr>
                <w:rFonts w:ascii="Arial" w:hAnsi="Arial" w:cs="Arial"/>
                <w:sz w:val="20"/>
                <w:szCs w:val="20"/>
              </w:rPr>
              <w:t>.</w:t>
            </w:r>
            <w:r w:rsidR="0083749D" w:rsidRPr="0083749D">
              <w:rPr>
                <w:rFonts w:ascii="Arial" w:hAnsi="Arial" w:cs="Arial"/>
                <w:sz w:val="20"/>
                <w:szCs w:val="20"/>
                <w:vertAlign w:val="superscript"/>
              </w:rPr>
              <w:t>5</w:t>
            </w:r>
          </w:p>
          <w:p w14:paraId="298EBB5A" w14:textId="24CBC436" w:rsidR="000C3F56" w:rsidRPr="00B907AB" w:rsidRDefault="000C3F56" w:rsidP="00C0605A">
            <w:pPr>
              <w:autoSpaceDE w:val="0"/>
              <w:autoSpaceDN w:val="0"/>
              <w:adjustRightInd w:val="0"/>
              <w:jc w:val="both"/>
              <w:rPr>
                <w:rFonts w:ascii="Arial" w:hAnsi="Arial" w:cs="Arial"/>
                <w:sz w:val="20"/>
                <w:szCs w:val="20"/>
                <w:vertAlign w:val="superscript"/>
              </w:rPr>
            </w:pPr>
            <w:r w:rsidRPr="0083749D">
              <w:rPr>
                <w:rFonts w:ascii="Arial" w:hAnsi="Arial" w:cs="Arial"/>
                <w:sz w:val="20"/>
                <w:szCs w:val="20"/>
              </w:rPr>
              <w:t xml:space="preserve">For this reason, </w:t>
            </w:r>
            <w:r w:rsidR="00225CB9">
              <w:rPr>
                <w:rFonts w:ascii="Arial" w:hAnsi="Arial" w:cs="Arial"/>
                <w:sz w:val="20"/>
                <w:szCs w:val="20"/>
              </w:rPr>
              <w:t>a pilot</w:t>
            </w:r>
            <w:r w:rsidRPr="0083749D">
              <w:rPr>
                <w:rFonts w:ascii="Arial" w:hAnsi="Arial" w:cs="Arial"/>
                <w:sz w:val="20"/>
                <w:szCs w:val="20"/>
              </w:rPr>
              <w:t xml:space="preserve"> study </w:t>
            </w:r>
            <w:r w:rsidR="00225CB9">
              <w:rPr>
                <w:rFonts w:ascii="Arial" w:hAnsi="Arial" w:cs="Arial"/>
                <w:sz w:val="20"/>
                <w:szCs w:val="20"/>
              </w:rPr>
              <w:t>was conducted in 2017-2018 demonstrating the</w:t>
            </w:r>
            <w:r w:rsidRPr="0083749D">
              <w:rPr>
                <w:rFonts w:ascii="Arial" w:hAnsi="Arial" w:cs="Arial"/>
                <w:sz w:val="20"/>
                <w:szCs w:val="20"/>
              </w:rPr>
              <w:t xml:space="preserve"> safety of iron polymaltose administered over</w:t>
            </w:r>
            <w:r w:rsidR="00225CB9">
              <w:rPr>
                <w:rFonts w:ascii="Arial" w:hAnsi="Arial" w:cs="Arial"/>
                <w:sz w:val="20"/>
                <w:szCs w:val="20"/>
              </w:rPr>
              <w:t xml:space="preserve"> 30</w:t>
            </w:r>
            <w:r w:rsidR="0028073B">
              <w:rPr>
                <w:rFonts w:ascii="Arial" w:hAnsi="Arial" w:cs="Arial"/>
                <w:sz w:val="20"/>
                <w:szCs w:val="20"/>
              </w:rPr>
              <w:t xml:space="preserve"> and </w:t>
            </w:r>
            <w:r w:rsidRPr="0083749D">
              <w:rPr>
                <w:rFonts w:ascii="Arial" w:hAnsi="Arial" w:cs="Arial"/>
                <w:sz w:val="20"/>
                <w:szCs w:val="20"/>
              </w:rPr>
              <w:t>15 minutes</w:t>
            </w:r>
            <w:r w:rsidR="00225CB9">
              <w:rPr>
                <w:rFonts w:ascii="Arial" w:hAnsi="Arial" w:cs="Arial"/>
                <w:sz w:val="20"/>
                <w:szCs w:val="20"/>
              </w:rPr>
              <w:t xml:space="preserve"> for dose up to and including 1500</w:t>
            </w:r>
            <w:r w:rsidR="00FE1BC4">
              <w:rPr>
                <w:rFonts w:ascii="Arial" w:hAnsi="Arial" w:cs="Arial"/>
                <w:sz w:val="20"/>
                <w:szCs w:val="20"/>
              </w:rPr>
              <w:t xml:space="preserve"> </w:t>
            </w:r>
            <w:r w:rsidR="00225CB9">
              <w:rPr>
                <w:rFonts w:ascii="Arial" w:hAnsi="Arial" w:cs="Arial"/>
                <w:sz w:val="20"/>
                <w:szCs w:val="20"/>
              </w:rPr>
              <w:t>mg</w:t>
            </w:r>
            <w:r w:rsidRPr="0083749D">
              <w:rPr>
                <w:rFonts w:ascii="Arial" w:hAnsi="Arial" w:cs="Arial"/>
                <w:sz w:val="20"/>
                <w:szCs w:val="20"/>
              </w:rPr>
              <w:t>.</w:t>
            </w:r>
            <w:r w:rsidR="0057490E">
              <w:rPr>
                <w:rFonts w:ascii="Arial" w:hAnsi="Arial" w:cs="Arial"/>
                <w:sz w:val="20"/>
                <w:szCs w:val="20"/>
                <w:vertAlign w:val="superscript"/>
              </w:rPr>
              <w:t>6</w:t>
            </w:r>
            <w:r w:rsidRPr="0083749D">
              <w:rPr>
                <w:rFonts w:ascii="Arial" w:hAnsi="Arial" w:cs="Arial"/>
                <w:sz w:val="20"/>
                <w:szCs w:val="20"/>
              </w:rPr>
              <w:t xml:space="preserve"> </w:t>
            </w:r>
            <w:r w:rsidR="00225CB9">
              <w:rPr>
                <w:rFonts w:ascii="Arial" w:hAnsi="Arial" w:cs="Arial"/>
                <w:sz w:val="20"/>
                <w:szCs w:val="20"/>
              </w:rPr>
              <w:t xml:space="preserve">This study aims to confirm the result of the pilot ultrarapid administered iron polymaltose, which will compare the safety </w:t>
            </w:r>
            <w:r w:rsidRPr="0083749D">
              <w:rPr>
                <w:rFonts w:ascii="Arial" w:hAnsi="Arial" w:cs="Arial"/>
                <w:sz w:val="20"/>
                <w:szCs w:val="20"/>
              </w:rPr>
              <w:t xml:space="preserve">to the slower infusions of 1 and 4 hours, and </w:t>
            </w:r>
            <w:r w:rsidR="00FE1BC4">
              <w:rPr>
                <w:rFonts w:ascii="Arial" w:hAnsi="Arial" w:cs="Arial"/>
                <w:sz w:val="20"/>
                <w:szCs w:val="20"/>
              </w:rPr>
              <w:t xml:space="preserve">to </w:t>
            </w:r>
            <w:r w:rsidRPr="0083749D">
              <w:rPr>
                <w:rFonts w:ascii="Arial" w:hAnsi="Arial" w:cs="Arial"/>
                <w:sz w:val="20"/>
                <w:szCs w:val="20"/>
              </w:rPr>
              <w:t>that of ferric carboxymaltose</w:t>
            </w:r>
            <w:r w:rsidR="00225CB9">
              <w:rPr>
                <w:rFonts w:ascii="Arial" w:hAnsi="Arial" w:cs="Arial"/>
                <w:sz w:val="20"/>
                <w:szCs w:val="20"/>
              </w:rPr>
              <w:t xml:space="preserve">. </w:t>
            </w:r>
            <w:r w:rsidR="00FE1BC4">
              <w:rPr>
                <w:rFonts w:ascii="Arial" w:hAnsi="Arial" w:cs="Arial"/>
                <w:sz w:val="20"/>
                <w:szCs w:val="20"/>
              </w:rPr>
              <w:t xml:space="preserve">Confirmation </w:t>
            </w:r>
            <w:r w:rsidRPr="0083749D">
              <w:rPr>
                <w:rFonts w:ascii="Arial" w:hAnsi="Arial" w:cs="Arial"/>
                <w:sz w:val="20"/>
                <w:szCs w:val="20"/>
              </w:rPr>
              <w:t>could lead to significant benefit</w:t>
            </w:r>
            <w:r w:rsidR="00225CB9">
              <w:rPr>
                <w:rFonts w:ascii="Arial" w:hAnsi="Arial" w:cs="Arial"/>
                <w:sz w:val="20"/>
                <w:szCs w:val="20"/>
              </w:rPr>
              <w:t>s</w:t>
            </w:r>
            <w:r w:rsidRPr="0083749D">
              <w:rPr>
                <w:rFonts w:ascii="Arial" w:hAnsi="Arial" w:cs="Arial"/>
                <w:sz w:val="20"/>
                <w:szCs w:val="20"/>
              </w:rPr>
              <w:t xml:space="preserve"> for patients </w:t>
            </w:r>
            <w:r w:rsidR="0028073B">
              <w:rPr>
                <w:rFonts w:ascii="Arial" w:hAnsi="Arial" w:cs="Arial"/>
                <w:sz w:val="20"/>
                <w:szCs w:val="20"/>
              </w:rPr>
              <w:t xml:space="preserve">requiring </w:t>
            </w:r>
            <w:r w:rsidRPr="0083749D">
              <w:rPr>
                <w:rFonts w:ascii="Arial" w:hAnsi="Arial" w:cs="Arial"/>
                <w:sz w:val="20"/>
                <w:szCs w:val="20"/>
              </w:rPr>
              <w:t>total body iron replacement in a treatment session over a shorter period of time, a</w:t>
            </w:r>
            <w:r w:rsidR="0028073B">
              <w:rPr>
                <w:rFonts w:ascii="Arial" w:hAnsi="Arial" w:cs="Arial"/>
                <w:sz w:val="20"/>
                <w:szCs w:val="20"/>
              </w:rPr>
              <w:t>s well as</w:t>
            </w:r>
            <w:r w:rsidRPr="0083749D">
              <w:rPr>
                <w:rFonts w:ascii="Arial" w:hAnsi="Arial" w:cs="Arial"/>
                <w:sz w:val="20"/>
                <w:szCs w:val="20"/>
              </w:rPr>
              <w:t xml:space="preserve"> a significant benefit for infusion centres and hospitals with reduced nursing time and direct medication costs, which are </w:t>
            </w:r>
            <w:r w:rsidR="0057490E" w:rsidRPr="0083749D">
              <w:rPr>
                <w:rFonts w:ascii="Arial" w:hAnsi="Arial" w:cs="Arial"/>
                <w:sz w:val="20"/>
                <w:szCs w:val="20"/>
              </w:rPr>
              <w:t>1</w:t>
            </w:r>
            <w:r w:rsidR="0057490E">
              <w:rPr>
                <w:rFonts w:ascii="Arial" w:hAnsi="Arial" w:cs="Arial"/>
                <w:sz w:val="20"/>
                <w:szCs w:val="20"/>
              </w:rPr>
              <w:t>2</w:t>
            </w:r>
            <w:r w:rsidR="0057490E" w:rsidRPr="0083749D">
              <w:rPr>
                <w:rFonts w:ascii="Arial" w:hAnsi="Arial" w:cs="Arial"/>
                <w:sz w:val="20"/>
                <w:szCs w:val="20"/>
              </w:rPr>
              <w:t xml:space="preserve"> </w:t>
            </w:r>
            <w:r w:rsidRPr="0083749D">
              <w:rPr>
                <w:rFonts w:ascii="Arial" w:hAnsi="Arial" w:cs="Arial"/>
                <w:sz w:val="20"/>
                <w:szCs w:val="20"/>
              </w:rPr>
              <w:t>times lower.</w:t>
            </w:r>
          </w:p>
          <w:p w14:paraId="24B39075" w14:textId="77777777" w:rsidR="0028073B" w:rsidRDefault="0028073B" w:rsidP="00C0605A">
            <w:pPr>
              <w:autoSpaceDE w:val="0"/>
              <w:autoSpaceDN w:val="0"/>
              <w:adjustRightInd w:val="0"/>
              <w:jc w:val="both"/>
              <w:rPr>
                <w:rFonts w:ascii="Arial" w:hAnsi="Arial" w:cs="Arial"/>
                <w:sz w:val="20"/>
                <w:szCs w:val="20"/>
              </w:rPr>
            </w:pPr>
          </w:p>
          <w:p w14:paraId="63B63533" w14:textId="7DBBB249" w:rsidR="000C3F56" w:rsidRDefault="000C3F56" w:rsidP="00C0605A">
            <w:pPr>
              <w:autoSpaceDE w:val="0"/>
              <w:autoSpaceDN w:val="0"/>
              <w:adjustRightInd w:val="0"/>
              <w:jc w:val="both"/>
              <w:rPr>
                <w:rFonts w:ascii="Arial" w:hAnsi="Arial" w:cs="Arial"/>
                <w:sz w:val="20"/>
                <w:szCs w:val="20"/>
              </w:rPr>
            </w:pPr>
            <w:r w:rsidRPr="0083749D">
              <w:rPr>
                <w:rFonts w:ascii="Arial" w:hAnsi="Arial" w:cs="Arial"/>
                <w:sz w:val="20"/>
                <w:szCs w:val="20"/>
              </w:rPr>
              <w:t>References:</w:t>
            </w:r>
          </w:p>
          <w:p w14:paraId="20265576" w14:textId="77777777" w:rsidR="0028073B" w:rsidRDefault="0028073B" w:rsidP="00C0605A">
            <w:pPr>
              <w:pStyle w:val="ListParagraph"/>
              <w:numPr>
                <w:ilvl w:val="0"/>
                <w:numId w:val="17"/>
              </w:numPr>
              <w:autoSpaceDE w:val="0"/>
              <w:autoSpaceDN w:val="0"/>
              <w:adjustRightInd w:val="0"/>
              <w:ind w:left="381"/>
              <w:jc w:val="both"/>
              <w:rPr>
                <w:rFonts w:ascii="Arial" w:hAnsi="Arial" w:cs="Arial"/>
                <w:sz w:val="20"/>
                <w:szCs w:val="20"/>
              </w:rPr>
            </w:pPr>
            <w:proofErr w:type="spellStart"/>
            <w:r w:rsidRPr="0028073B">
              <w:rPr>
                <w:rFonts w:ascii="Arial" w:hAnsi="Arial" w:cs="Arial"/>
                <w:sz w:val="20"/>
                <w:szCs w:val="20"/>
              </w:rPr>
              <w:t>Pasricha</w:t>
            </w:r>
            <w:proofErr w:type="spellEnd"/>
            <w:r w:rsidRPr="0028073B">
              <w:rPr>
                <w:rFonts w:ascii="Arial" w:hAnsi="Arial" w:cs="Arial"/>
                <w:sz w:val="20"/>
                <w:szCs w:val="20"/>
              </w:rPr>
              <w:t xml:space="preserve"> SR, </w:t>
            </w:r>
            <w:proofErr w:type="spellStart"/>
            <w:r w:rsidRPr="0028073B">
              <w:rPr>
                <w:rFonts w:ascii="Arial" w:hAnsi="Arial" w:cs="Arial"/>
                <w:sz w:val="20"/>
                <w:szCs w:val="20"/>
              </w:rPr>
              <w:t>Flecknoe</w:t>
            </w:r>
            <w:proofErr w:type="spellEnd"/>
            <w:r w:rsidRPr="0028073B">
              <w:rPr>
                <w:rFonts w:ascii="Arial" w:hAnsi="Arial" w:cs="Arial"/>
                <w:sz w:val="20"/>
                <w:szCs w:val="20"/>
              </w:rPr>
              <w:t>-Brown SC, Allen KJ, Gibson PR, McMahon LP, Olynyk JK, et al. Diagnosis and management of iron deficiency anaemia: a clinical update. MJA. 2010; 193: 525-32</w:t>
            </w:r>
          </w:p>
          <w:p w14:paraId="04E7E6C9" w14:textId="6C08A110"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Goddard AF, James MW, et al. Guidelines for the managem</w:t>
            </w:r>
            <w:r w:rsidR="00AF6E39">
              <w:rPr>
                <w:rFonts w:ascii="Arial" w:hAnsi="Arial" w:cs="Arial"/>
                <w:sz w:val="20"/>
                <w:szCs w:val="20"/>
              </w:rPr>
              <w:t>e</w:t>
            </w:r>
            <w:r w:rsidRPr="0028073B">
              <w:rPr>
                <w:rFonts w:ascii="Arial" w:hAnsi="Arial" w:cs="Arial"/>
                <w:sz w:val="20"/>
                <w:szCs w:val="20"/>
              </w:rPr>
              <w:t xml:space="preserve">nt of iron </w:t>
            </w:r>
            <w:proofErr w:type="spellStart"/>
            <w:r w:rsidRPr="0028073B">
              <w:rPr>
                <w:rFonts w:ascii="Arial" w:hAnsi="Arial" w:cs="Arial"/>
                <w:sz w:val="20"/>
                <w:szCs w:val="20"/>
              </w:rPr>
              <w:t>defiency</w:t>
            </w:r>
            <w:proofErr w:type="spellEnd"/>
            <w:r w:rsidRPr="0028073B">
              <w:rPr>
                <w:rFonts w:ascii="Arial" w:hAnsi="Arial" w:cs="Arial"/>
                <w:sz w:val="20"/>
                <w:szCs w:val="20"/>
              </w:rPr>
              <w:t xml:space="preserve"> anaemia. Gut. 2011; 60: 1309-16.</w:t>
            </w:r>
          </w:p>
          <w:p w14:paraId="735DCD91" w14:textId="77777777"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Garg M, Morrison G, Friedman A, Lau A. Lau D, Gibson PR. A rapid infusion protocol is safe for total dose iron polymaltose: time for a change. Intern Med J. 2011</w:t>
            </w:r>
            <w:proofErr w:type="gramStart"/>
            <w:r w:rsidRPr="0028073B">
              <w:rPr>
                <w:rFonts w:ascii="Arial" w:hAnsi="Arial" w:cs="Arial"/>
                <w:sz w:val="20"/>
                <w:szCs w:val="20"/>
              </w:rPr>
              <w:t>;41:548</w:t>
            </w:r>
            <w:proofErr w:type="gramEnd"/>
            <w:r w:rsidRPr="0028073B">
              <w:rPr>
                <w:rFonts w:ascii="Arial" w:hAnsi="Arial" w:cs="Arial"/>
                <w:sz w:val="20"/>
                <w:szCs w:val="20"/>
              </w:rPr>
              <w:t>-54.</w:t>
            </w:r>
          </w:p>
          <w:p w14:paraId="52BF9DA9" w14:textId="07A76C72" w:rsidR="0028073B" w:rsidRDefault="000C3F56" w:rsidP="00C0605A">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 xml:space="preserve">Banakh I, Lam A, </w:t>
            </w:r>
            <w:proofErr w:type="spellStart"/>
            <w:r w:rsidRPr="0028073B">
              <w:rPr>
                <w:rFonts w:ascii="Arial" w:hAnsi="Arial" w:cs="Arial"/>
                <w:sz w:val="20"/>
                <w:szCs w:val="20"/>
              </w:rPr>
              <w:t>Turek</w:t>
            </w:r>
            <w:proofErr w:type="spellEnd"/>
            <w:r w:rsidRPr="0028073B">
              <w:rPr>
                <w:rFonts w:ascii="Arial" w:hAnsi="Arial" w:cs="Arial"/>
                <w:sz w:val="20"/>
                <w:szCs w:val="20"/>
              </w:rPr>
              <w:t xml:space="preserve"> M, </w:t>
            </w:r>
            <w:proofErr w:type="spellStart"/>
            <w:r w:rsidRPr="0028073B">
              <w:rPr>
                <w:rFonts w:ascii="Arial" w:hAnsi="Arial" w:cs="Arial"/>
                <w:sz w:val="20"/>
                <w:szCs w:val="20"/>
              </w:rPr>
              <w:t>Htet</w:t>
            </w:r>
            <w:proofErr w:type="spellEnd"/>
            <w:r w:rsidRPr="0028073B">
              <w:rPr>
                <w:rFonts w:ascii="Arial" w:hAnsi="Arial" w:cs="Arial"/>
                <w:sz w:val="20"/>
                <w:szCs w:val="20"/>
              </w:rPr>
              <w:t xml:space="preserve"> TD, </w:t>
            </w:r>
            <w:proofErr w:type="spellStart"/>
            <w:r w:rsidRPr="0028073B">
              <w:rPr>
                <w:rFonts w:ascii="Arial" w:hAnsi="Arial" w:cs="Arial"/>
                <w:sz w:val="20"/>
                <w:szCs w:val="20"/>
              </w:rPr>
              <w:t>Vorlander</w:t>
            </w:r>
            <w:proofErr w:type="spellEnd"/>
            <w:r w:rsidRPr="0028073B">
              <w:rPr>
                <w:rFonts w:ascii="Arial" w:hAnsi="Arial" w:cs="Arial"/>
                <w:sz w:val="20"/>
                <w:szCs w:val="20"/>
              </w:rPr>
              <w:t xml:space="preserve"> C. et al. Rapid versus </w:t>
            </w:r>
            <w:proofErr w:type="spellStart"/>
            <w:r w:rsidRPr="0028073B">
              <w:rPr>
                <w:rFonts w:ascii="Arial" w:hAnsi="Arial" w:cs="Arial"/>
                <w:sz w:val="20"/>
                <w:szCs w:val="20"/>
              </w:rPr>
              <w:t>standar</w:t>
            </w:r>
            <w:proofErr w:type="spellEnd"/>
            <w:r w:rsidRPr="0028073B">
              <w:rPr>
                <w:rFonts w:ascii="Arial" w:hAnsi="Arial" w:cs="Arial"/>
                <w:sz w:val="20"/>
                <w:szCs w:val="20"/>
              </w:rPr>
              <w:t xml:space="preserve"> iron polymaltose infusions: a single centre safety study. J Pharm </w:t>
            </w:r>
            <w:proofErr w:type="spellStart"/>
            <w:r w:rsidRPr="0028073B">
              <w:rPr>
                <w:rFonts w:ascii="Arial" w:hAnsi="Arial" w:cs="Arial"/>
                <w:sz w:val="20"/>
                <w:szCs w:val="20"/>
              </w:rPr>
              <w:t>Pract</w:t>
            </w:r>
            <w:proofErr w:type="spellEnd"/>
            <w:r w:rsidRPr="0028073B">
              <w:rPr>
                <w:rFonts w:ascii="Arial" w:hAnsi="Arial" w:cs="Arial"/>
                <w:sz w:val="20"/>
                <w:szCs w:val="20"/>
              </w:rPr>
              <w:t xml:space="preserve"> Res. 201</w:t>
            </w:r>
            <w:r w:rsidR="00FC7AC8">
              <w:rPr>
                <w:rFonts w:ascii="Arial" w:hAnsi="Arial" w:cs="Arial"/>
                <w:sz w:val="20"/>
                <w:szCs w:val="20"/>
              </w:rPr>
              <w:t>7; 47 (2): 103-109.</w:t>
            </w:r>
            <w:r w:rsidRPr="0028073B">
              <w:rPr>
                <w:rFonts w:ascii="Arial" w:hAnsi="Arial" w:cs="Arial"/>
                <w:sz w:val="20"/>
                <w:szCs w:val="20"/>
              </w:rPr>
              <w:t xml:space="preserve"> </w:t>
            </w:r>
            <w:proofErr w:type="spellStart"/>
            <w:r w:rsidRPr="0028073B">
              <w:rPr>
                <w:rFonts w:ascii="Arial" w:hAnsi="Arial" w:cs="Arial"/>
                <w:sz w:val="20"/>
                <w:szCs w:val="20"/>
              </w:rPr>
              <w:t>doi</w:t>
            </w:r>
            <w:proofErr w:type="spellEnd"/>
            <w:r w:rsidRPr="0028073B">
              <w:rPr>
                <w:rFonts w:ascii="Arial" w:hAnsi="Arial" w:cs="Arial"/>
                <w:sz w:val="20"/>
                <w:szCs w:val="20"/>
              </w:rPr>
              <w:t xml:space="preserve">: 10.1002/jppr.1236. </w:t>
            </w:r>
          </w:p>
          <w:p w14:paraId="57AD6F31" w14:textId="77777777" w:rsidR="0057490E" w:rsidRDefault="000C3F56" w:rsidP="0057490E">
            <w:pPr>
              <w:pStyle w:val="ListParagraph"/>
              <w:numPr>
                <w:ilvl w:val="0"/>
                <w:numId w:val="17"/>
              </w:numPr>
              <w:autoSpaceDE w:val="0"/>
              <w:autoSpaceDN w:val="0"/>
              <w:adjustRightInd w:val="0"/>
              <w:ind w:left="381"/>
              <w:jc w:val="both"/>
              <w:rPr>
                <w:rFonts w:ascii="Arial" w:hAnsi="Arial" w:cs="Arial"/>
                <w:sz w:val="20"/>
                <w:szCs w:val="20"/>
              </w:rPr>
            </w:pPr>
            <w:r w:rsidRPr="0028073B">
              <w:rPr>
                <w:rFonts w:ascii="Arial" w:hAnsi="Arial" w:cs="Arial"/>
                <w:sz w:val="20"/>
                <w:szCs w:val="20"/>
              </w:rPr>
              <w:t xml:space="preserve">Bregman DB, Goodnough LT. Experience with intravenous ferric carboxymaltose in patients with iron deficiency </w:t>
            </w:r>
            <w:proofErr w:type="spellStart"/>
            <w:r w:rsidRPr="0028073B">
              <w:rPr>
                <w:rFonts w:ascii="Arial" w:hAnsi="Arial" w:cs="Arial"/>
                <w:sz w:val="20"/>
                <w:szCs w:val="20"/>
              </w:rPr>
              <w:t>anemia</w:t>
            </w:r>
            <w:proofErr w:type="spellEnd"/>
            <w:r w:rsidRPr="0028073B">
              <w:rPr>
                <w:rFonts w:ascii="Arial" w:hAnsi="Arial" w:cs="Arial"/>
                <w:sz w:val="20"/>
                <w:szCs w:val="20"/>
              </w:rPr>
              <w:t xml:space="preserve">. </w:t>
            </w:r>
            <w:proofErr w:type="spellStart"/>
            <w:r w:rsidRPr="0028073B">
              <w:rPr>
                <w:rFonts w:ascii="Arial" w:hAnsi="Arial" w:cs="Arial"/>
                <w:sz w:val="20"/>
                <w:szCs w:val="20"/>
              </w:rPr>
              <w:t>Ther</w:t>
            </w:r>
            <w:proofErr w:type="spellEnd"/>
            <w:r w:rsidRPr="0028073B">
              <w:rPr>
                <w:rFonts w:ascii="Arial" w:hAnsi="Arial" w:cs="Arial"/>
                <w:sz w:val="20"/>
                <w:szCs w:val="20"/>
              </w:rPr>
              <w:t xml:space="preserve"> </w:t>
            </w:r>
            <w:proofErr w:type="spellStart"/>
            <w:r w:rsidRPr="0028073B">
              <w:rPr>
                <w:rFonts w:ascii="Arial" w:hAnsi="Arial" w:cs="Arial"/>
                <w:sz w:val="20"/>
                <w:szCs w:val="20"/>
              </w:rPr>
              <w:t>Adv</w:t>
            </w:r>
            <w:proofErr w:type="spellEnd"/>
            <w:r w:rsidRPr="0028073B">
              <w:rPr>
                <w:rFonts w:ascii="Arial" w:hAnsi="Arial" w:cs="Arial"/>
                <w:sz w:val="20"/>
                <w:szCs w:val="20"/>
              </w:rPr>
              <w:t xml:space="preserve"> </w:t>
            </w:r>
            <w:proofErr w:type="spellStart"/>
            <w:r w:rsidRPr="0028073B">
              <w:rPr>
                <w:rFonts w:ascii="Arial" w:hAnsi="Arial" w:cs="Arial"/>
                <w:sz w:val="20"/>
                <w:szCs w:val="20"/>
              </w:rPr>
              <w:t>Hematol</w:t>
            </w:r>
            <w:proofErr w:type="spellEnd"/>
            <w:r w:rsidRPr="0028073B">
              <w:rPr>
                <w:rFonts w:ascii="Arial" w:hAnsi="Arial" w:cs="Arial"/>
                <w:sz w:val="20"/>
                <w:szCs w:val="20"/>
              </w:rPr>
              <w:t>. 2014;5: 48-60.</w:t>
            </w:r>
          </w:p>
          <w:p w14:paraId="2C6E042B" w14:textId="6FB3FA25" w:rsidR="0057490E" w:rsidRPr="0057490E" w:rsidRDefault="0057490E" w:rsidP="0057490E">
            <w:pPr>
              <w:pStyle w:val="ListParagraph"/>
              <w:numPr>
                <w:ilvl w:val="0"/>
                <w:numId w:val="17"/>
              </w:numPr>
              <w:autoSpaceDE w:val="0"/>
              <w:autoSpaceDN w:val="0"/>
              <w:adjustRightInd w:val="0"/>
              <w:ind w:left="381"/>
              <w:jc w:val="both"/>
              <w:rPr>
                <w:rFonts w:ascii="Arial" w:hAnsi="Arial" w:cs="Arial"/>
                <w:sz w:val="20"/>
                <w:szCs w:val="20"/>
              </w:rPr>
            </w:pPr>
            <w:r w:rsidRPr="0057490E">
              <w:rPr>
                <w:rFonts w:ascii="Arial" w:hAnsi="Arial" w:cs="Arial"/>
                <w:sz w:val="20"/>
                <w:szCs w:val="20"/>
              </w:rPr>
              <w:t>Chin J C, Banakh I, Turek M, Churchill T.</w:t>
            </w:r>
            <w:r w:rsidR="002C7325">
              <w:rPr>
                <w:rFonts w:ascii="Arial" w:hAnsi="Arial" w:cs="Arial"/>
                <w:sz w:val="20"/>
                <w:szCs w:val="20"/>
              </w:rPr>
              <w:t xml:space="preserve"> </w:t>
            </w:r>
            <w:r w:rsidRPr="0057490E">
              <w:rPr>
                <w:rFonts w:ascii="Arial" w:hAnsi="Arial" w:cs="Arial"/>
                <w:sz w:val="20"/>
                <w:szCs w:val="20"/>
              </w:rPr>
              <w:t>Ultrarapid iron polymaltose infusion for iron deficiency anaemia (</w:t>
            </w:r>
            <w:proofErr w:type="spellStart"/>
            <w:r w:rsidRPr="0057490E">
              <w:rPr>
                <w:rFonts w:ascii="Arial" w:hAnsi="Arial" w:cs="Arial"/>
                <w:sz w:val="20"/>
                <w:szCs w:val="20"/>
              </w:rPr>
              <w:t>UltraRIIPH</w:t>
            </w:r>
            <w:proofErr w:type="spellEnd"/>
            <w:r w:rsidRPr="0057490E">
              <w:rPr>
                <w:rFonts w:ascii="Arial" w:hAnsi="Arial" w:cs="Arial"/>
                <w:sz w:val="20"/>
                <w:szCs w:val="20"/>
              </w:rPr>
              <w:t>): a pilot safety study. Journal of Gastroenterology and Hepatology 2018; 33 (Suppl. 2): 139–143. doi:10.1111/jgh.14398.</w:t>
            </w:r>
          </w:p>
          <w:p w14:paraId="6822628E" w14:textId="77777777" w:rsidR="0057490E" w:rsidRPr="0057490E" w:rsidRDefault="0057490E" w:rsidP="0057490E">
            <w:pPr>
              <w:autoSpaceDE w:val="0"/>
              <w:autoSpaceDN w:val="0"/>
              <w:adjustRightInd w:val="0"/>
              <w:ind w:left="21"/>
              <w:jc w:val="both"/>
              <w:rPr>
                <w:rFonts w:ascii="Arial" w:hAnsi="Arial" w:cs="Arial"/>
                <w:sz w:val="20"/>
                <w:szCs w:val="20"/>
              </w:rPr>
            </w:pPr>
          </w:p>
          <w:p w14:paraId="62B5DB66" w14:textId="39EF2311" w:rsidR="00AF6E39" w:rsidRPr="00225CB9" w:rsidRDefault="00AF6E39" w:rsidP="00225CB9">
            <w:pPr>
              <w:autoSpaceDE w:val="0"/>
              <w:autoSpaceDN w:val="0"/>
              <w:adjustRightInd w:val="0"/>
              <w:jc w:val="both"/>
              <w:rPr>
                <w:rFonts w:ascii="Arial" w:hAnsi="Arial" w:cs="Arial"/>
                <w:sz w:val="20"/>
                <w:szCs w:val="20"/>
              </w:rPr>
            </w:pPr>
          </w:p>
        </w:tc>
      </w:tr>
    </w:tbl>
    <w:p w14:paraId="4E71DBBF" w14:textId="6DC5969E" w:rsidR="00D9640F" w:rsidRPr="00BB73C0" w:rsidRDefault="00D9640F" w:rsidP="0089312D">
      <w:pPr>
        <w:rPr>
          <w:rFonts w:ascii="Arial" w:hAnsi="Arial" w:cs="Arial"/>
          <w:b/>
          <w:sz w:val="20"/>
          <w:szCs w:val="20"/>
        </w:rPr>
      </w:pPr>
    </w:p>
    <w:p w14:paraId="0107FCB1" w14:textId="77777777" w:rsidR="00A6411F" w:rsidRPr="00BB73C0" w:rsidRDefault="00A6411F" w:rsidP="0089312D">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A6411F" w:rsidRPr="00BB73C0" w14:paraId="25A88103" w14:textId="77777777">
        <w:tc>
          <w:tcPr>
            <w:tcW w:w="540" w:type="dxa"/>
          </w:tcPr>
          <w:p w14:paraId="2A75BEA9" w14:textId="77777777" w:rsidR="00A6411F" w:rsidRPr="00BB73C0" w:rsidRDefault="0089312D" w:rsidP="009F4DD9">
            <w:pPr>
              <w:spacing w:before="60" w:after="60"/>
              <w:rPr>
                <w:rFonts w:ascii="Arial" w:hAnsi="Arial" w:cs="Arial"/>
                <w:b/>
                <w:sz w:val="20"/>
                <w:szCs w:val="20"/>
              </w:rPr>
            </w:pPr>
            <w:r w:rsidRPr="00BB73C0">
              <w:rPr>
                <w:rFonts w:ascii="Arial" w:hAnsi="Arial" w:cs="Arial"/>
                <w:b/>
                <w:sz w:val="20"/>
                <w:szCs w:val="20"/>
              </w:rPr>
              <w:t>4.</w:t>
            </w:r>
          </w:p>
        </w:tc>
        <w:tc>
          <w:tcPr>
            <w:tcW w:w="9360" w:type="dxa"/>
            <w:tcBorders>
              <w:bottom w:val="single" w:sz="4" w:space="0" w:color="auto"/>
            </w:tcBorders>
          </w:tcPr>
          <w:p w14:paraId="02202142" w14:textId="77777777" w:rsidR="00A6411F" w:rsidRPr="00BB73C0" w:rsidRDefault="00A6411F" w:rsidP="009F4DD9">
            <w:pPr>
              <w:spacing w:before="60" w:after="60"/>
              <w:rPr>
                <w:rFonts w:ascii="Arial" w:hAnsi="Arial" w:cs="Arial"/>
                <w:b/>
                <w:sz w:val="20"/>
                <w:szCs w:val="20"/>
              </w:rPr>
            </w:pPr>
            <w:r w:rsidRPr="00BB73C0">
              <w:rPr>
                <w:rFonts w:ascii="Arial" w:hAnsi="Arial" w:cs="Arial"/>
                <w:b/>
                <w:sz w:val="20"/>
                <w:szCs w:val="20"/>
              </w:rPr>
              <w:t>Objectives</w:t>
            </w:r>
            <w:r w:rsidR="009F4DD9" w:rsidRPr="00BB73C0">
              <w:rPr>
                <w:rFonts w:ascii="Arial" w:hAnsi="Arial" w:cs="Arial"/>
                <w:b/>
                <w:sz w:val="20"/>
                <w:szCs w:val="20"/>
              </w:rPr>
              <w:t xml:space="preserve"> *</w:t>
            </w:r>
          </w:p>
        </w:tc>
      </w:tr>
      <w:tr w:rsidR="00A6411F" w:rsidRPr="00BB73C0" w14:paraId="61984984" w14:textId="77777777">
        <w:tc>
          <w:tcPr>
            <w:tcW w:w="540" w:type="dxa"/>
            <w:tcBorders>
              <w:right w:val="single" w:sz="4" w:space="0" w:color="auto"/>
            </w:tcBorders>
          </w:tcPr>
          <w:p w14:paraId="4C6A0960" w14:textId="77777777" w:rsidR="00A6411F" w:rsidRPr="00BB73C0" w:rsidRDefault="00A6411F" w:rsidP="009F4DD9">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7C90C87D" w14:textId="337C57BE" w:rsidR="00755799" w:rsidRDefault="000F4660" w:rsidP="00330679">
            <w:pPr>
              <w:spacing w:before="60" w:after="60"/>
              <w:jc w:val="both"/>
              <w:rPr>
                <w:rFonts w:ascii="Arial" w:hAnsi="Arial" w:cs="Arial"/>
                <w:sz w:val="20"/>
                <w:szCs w:val="20"/>
              </w:rPr>
            </w:pPr>
            <w:r>
              <w:rPr>
                <w:rFonts w:ascii="Arial" w:hAnsi="Arial" w:cs="Arial"/>
                <w:sz w:val="20"/>
                <w:szCs w:val="20"/>
              </w:rPr>
              <w:t xml:space="preserve">The primary </w:t>
            </w:r>
            <w:r w:rsidR="00C0605A">
              <w:rPr>
                <w:rFonts w:ascii="Arial" w:hAnsi="Arial" w:cs="Arial"/>
                <w:sz w:val="20"/>
                <w:szCs w:val="20"/>
              </w:rPr>
              <w:t>objective of this study is to</w:t>
            </w:r>
            <w:r w:rsidR="00C0605A">
              <w:t xml:space="preserve"> </w:t>
            </w:r>
            <w:r w:rsidR="003E3CAE">
              <w:rPr>
                <w:rFonts w:ascii="Arial" w:hAnsi="Arial" w:cs="Arial"/>
                <w:sz w:val="20"/>
                <w:szCs w:val="20"/>
              </w:rPr>
              <w:t>confirm</w:t>
            </w:r>
            <w:r w:rsidR="00C0605A" w:rsidRPr="00C0605A">
              <w:rPr>
                <w:rFonts w:ascii="Arial" w:hAnsi="Arial" w:cs="Arial"/>
                <w:sz w:val="20"/>
                <w:szCs w:val="20"/>
              </w:rPr>
              <w:t xml:space="preserve"> the safety of iron polymaltose administered as an ultrarapid infusion</w:t>
            </w:r>
            <w:r>
              <w:rPr>
                <w:rFonts w:ascii="Arial" w:hAnsi="Arial" w:cs="Arial"/>
                <w:sz w:val="20"/>
                <w:szCs w:val="20"/>
              </w:rPr>
              <w:t xml:space="preserve"> </w:t>
            </w:r>
            <w:r w:rsidRPr="000A0713">
              <w:rPr>
                <w:rFonts w:ascii="Arial" w:hAnsi="Arial" w:cs="Arial"/>
                <w:sz w:val="20"/>
                <w:szCs w:val="20"/>
              </w:rPr>
              <w:t>over 15 minutes</w:t>
            </w:r>
            <w:r w:rsidR="00FE1BC4">
              <w:rPr>
                <w:rFonts w:ascii="Arial" w:hAnsi="Arial" w:cs="Arial"/>
                <w:sz w:val="20"/>
                <w:szCs w:val="20"/>
              </w:rPr>
              <w:t>,</w:t>
            </w:r>
            <w:r w:rsidR="00FB5302">
              <w:rPr>
                <w:rFonts w:ascii="Arial" w:hAnsi="Arial" w:cs="Arial"/>
                <w:sz w:val="20"/>
                <w:szCs w:val="20"/>
              </w:rPr>
              <w:t xml:space="preserve"> </w:t>
            </w:r>
            <w:r w:rsidR="003E3CAE">
              <w:rPr>
                <w:rFonts w:ascii="Arial" w:hAnsi="Arial" w:cs="Arial"/>
                <w:sz w:val="20"/>
                <w:szCs w:val="20"/>
              </w:rPr>
              <w:t>as has been demonstrated in the pilot study</w:t>
            </w:r>
            <w:r w:rsidR="00FE1BC4">
              <w:rPr>
                <w:rFonts w:ascii="Arial" w:hAnsi="Arial" w:cs="Arial"/>
                <w:sz w:val="20"/>
                <w:szCs w:val="20"/>
              </w:rPr>
              <w:t>,</w:t>
            </w:r>
            <w:r w:rsidR="003E3CAE">
              <w:rPr>
                <w:rFonts w:ascii="Arial" w:hAnsi="Arial" w:cs="Arial"/>
                <w:sz w:val="20"/>
                <w:szCs w:val="20"/>
              </w:rPr>
              <w:t xml:space="preserve"> </w:t>
            </w:r>
            <w:r>
              <w:rPr>
                <w:rFonts w:ascii="Arial" w:hAnsi="Arial" w:cs="Arial"/>
                <w:sz w:val="20"/>
                <w:szCs w:val="20"/>
              </w:rPr>
              <w:t xml:space="preserve">and </w:t>
            </w:r>
            <w:r w:rsidR="00FE1BC4">
              <w:rPr>
                <w:rFonts w:ascii="Arial" w:hAnsi="Arial" w:cs="Arial"/>
                <w:sz w:val="20"/>
                <w:szCs w:val="20"/>
              </w:rPr>
              <w:t xml:space="preserve">to </w:t>
            </w:r>
            <w:r>
              <w:rPr>
                <w:rFonts w:ascii="Arial" w:hAnsi="Arial" w:cs="Arial"/>
                <w:sz w:val="20"/>
                <w:szCs w:val="20"/>
              </w:rPr>
              <w:t>compare</w:t>
            </w:r>
            <w:r w:rsidR="003E3CAE">
              <w:rPr>
                <w:rFonts w:ascii="Arial" w:hAnsi="Arial" w:cs="Arial"/>
                <w:sz w:val="20"/>
                <w:szCs w:val="20"/>
              </w:rPr>
              <w:t xml:space="preserve"> the</w:t>
            </w:r>
            <w:r w:rsidR="000D31D4">
              <w:rPr>
                <w:rFonts w:ascii="Arial" w:hAnsi="Arial" w:cs="Arial"/>
                <w:sz w:val="20"/>
                <w:szCs w:val="20"/>
              </w:rPr>
              <w:t xml:space="preserve"> rates and severity of </w:t>
            </w:r>
            <w:r>
              <w:rPr>
                <w:rFonts w:ascii="Arial" w:hAnsi="Arial" w:cs="Arial"/>
                <w:sz w:val="20"/>
                <w:szCs w:val="20"/>
              </w:rPr>
              <w:t>adverse event</w:t>
            </w:r>
            <w:r w:rsidR="005C161D">
              <w:rPr>
                <w:rFonts w:ascii="Arial" w:hAnsi="Arial" w:cs="Arial"/>
                <w:sz w:val="20"/>
                <w:szCs w:val="20"/>
              </w:rPr>
              <w:t>s</w:t>
            </w:r>
            <w:r>
              <w:rPr>
                <w:rFonts w:ascii="Arial" w:hAnsi="Arial" w:cs="Arial"/>
                <w:sz w:val="20"/>
                <w:szCs w:val="20"/>
              </w:rPr>
              <w:t xml:space="preserve"> to </w:t>
            </w:r>
            <w:r w:rsidRPr="00EC4E12">
              <w:rPr>
                <w:rFonts w:ascii="Arial" w:hAnsi="Arial" w:cs="Arial"/>
                <w:sz w:val="20"/>
                <w:szCs w:val="20"/>
              </w:rPr>
              <w:t>the previously determined published rates of iron polymaltose admin</w:t>
            </w:r>
            <w:r>
              <w:rPr>
                <w:rFonts w:ascii="Arial" w:hAnsi="Arial" w:cs="Arial"/>
                <w:sz w:val="20"/>
                <w:szCs w:val="20"/>
              </w:rPr>
              <w:t>istered over 1 hour and 4 hours.</w:t>
            </w:r>
          </w:p>
          <w:p w14:paraId="64F45536" w14:textId="59685A18" w:rsidR="00C0605A" w:rsidRDefault="000F4660" w:rsidP="00330679">
            <w:pPr>
              <w:spacing w:before="60" w:after="60"/>
              <w:jc w:val="both"/>
              <w:rPr>
                <w:rFonts w:ascii="Arial" w:hAnsi="Arial" w:cs="Arial"/>
                <w:sz w:val="20"/>
                <w:szCs w:val="20"/>
              </w:rPr>
            </w:pPr>
            <w:r>
              <w:rPr>
                <w:rFonts w:ascii="Arial" w:hAnsi="Arial" w:cs="Arial"/>
                <w:sz w:val="20"/>
                <w:szCs w:val="20"/>
              </w:rPr>
              <w:t xml:space="preserve">The secondary objective </w:t>
            </w:r>
            <w:r w:rsidR="00755799">
              <w:rPr>
                <w:rFonts w:ascii="Arial" w:hAnsi="Arial" w:cs="Arial"/>
                <w:sz w:val="20"/>
                <w:szCs w:val="20"/>
              </w:rPr>
              <w:t>will be to compare these rates t</w:t>
            </w:r>
            <w:r w:rsidRPr="00EC4E12">
              <w:rPr>
                <w:rFonts w:ascii="Arial" w:hAnsi="Arial" w:cs="Arial"/>
                <w:sz w:val="20"/>
                <w:szCs w:val="20"/>
              </w:rPr>
              <w:t>o previously published safety outcomes for ferric carboxymaltose infusions.</w:t>
            </w:r>
          </w:p>
          <w:p w14:paraId="7B3E3D1A" w14:textId="57870ED8" w:rsidR="009955AE" w:rsidRDefault="009955AE" w:rsidP="00FF280D">
            <w:pPr>
              <w:autoSpaceDE w:val="0"/>
              <w:autoSpaceDN w:val="0"/>
              <w:adjustRightInd w:val="0"/>
              <w:jc w:val="both"/>
              <w:rPr>
                <w:sz w:val="20"/>
                <w:szCs w:val="20"/>
              </w:rPr>
            </w:pPr>
            <w:r>
              <w:rPr>
                <w:rFonts w:ascii="Arial" w:hAnsi="Arial" w:cs="Arial"/>
                <w:sz w:val="20"/>
                <w:szCs w:val="20"/>
              </w:rPr>
              <w:t>The p</w:t>
            </w:r>
            <w:r w:rsidR="000C62C9">
              <w:rPr>
                <w:rFonts w:ascii="Arial" w:hAnsi="Arial" w:cs="Arial"/>
                <w:sz w:val="20"/>
                <w:szCs w:val="20"/>
              </w:rPr>
              <w:t>rimary</w:t>
            </w:r>
            <w:r w:rsidR="000C62C9" w:rsidRPr="00C0605A">
              <w:rPr>
                <w:rFonts w:ascii="Arial" w:hAnsi="Arial" w:cs="Arial"/>
                <w:sz w:val="20"/>
                <w:szCs w:val="20"/>
              </w:rPr>
              <w:t xml:space="preserve"> </w:t>
            </w:r>
            <w:r w:rsidR="00C0605A" w:rsidRPr="00C0605A">
              <w:rPr>
                <w:rFonts w:ascii="Arial" w:hAnsi="Arial" w:cs="Arial"/>
                <w:sz w:val="20"/>
                <w:szCs w:val="20"/>
              </w:rPr>
              <w:t>hypothesis</w:t>
            </w:r>
            <w:r w:rsidR="000C62C9">
              <w:rPr>
                <w:rFonts w:ascii="Arial" w:hAnsi="Arial" w:cs="Arial"/>
                <w:sz w:val="20"/>
                <w:szCs w:val="20"/>
              </w:rPr>
              <w:t xml:space="preserve"> is </w:t>
            </w:r>
            <w:r w:rsidR="00C0605A" w:rsidRPr="00C0605A">
              <w:rPr>
                <w:rFonts w:ascii="Arial" w:hAnsi="Arial" w:cs="Arial"/>
                <w:sz w:val="20"/>
                <w:szCs w:val="20"/>
              </w:rPr>
              <w:t>that there</w:t>
            </w:r>
            <w:r w:rsidR="000F4660">
              <w:rPr>
                <w:rFonts w:ascii="Arial" w:hAnsi="Arial" w:cs="Arial"/>
                <w:sz w:val="20"/>
                <w:szCs w:val="20"/>
              </w:rPr>
              <w:t xml:space="preserve"> are</w:t>
            </w:r>
            <w:r w:rsidR="00C0605A" w:rsidRPr="00C0605A">
              <w:rPr>
                <w:rFonts w:ascii="Arial" w:hAnsi="Arial" w:cs="Arial"/>
                <w:sz w:val="20"/>
                <w:szCs w:val="20"/>
              </w:rPr>
              <w:t xml:space="preserve"> no difference</w:t>
            </w:r>
            <w:r w:rsidR="000F4660">
              <w:rPr>
                <w:rFonts w:ascii="Arial" w:hAnsi="Arial" w:cs="Arial"/>
                <w:sz w:val="20"/>
                <w:szCs w:val="20"/>
              </w:rPr>
              <w:t>s</w:t>
            </w:r>
            <w:r w:rsidR="005C161D">
              <w:rPr>
                <w:rFonts w:ascii="Arial" w:hAnsi="Arial" w:cs="Arial"/>
                <w:sz w:val="20"/>
                <w:szCs w:val="20"/>
              </w:rPr>
              <w:t xml:space="preserve"> in </w:t>
            </w:r>
            <w:r w:rsidR="00C0605A" w:rsidRPr="00C0605A">
              <w:rPr>
                <w:rFonts w:ascii="Arial" w:hAnsi="Arial" w:cs="Arial"/>
                <w:sz w:val="20"/>
                <w:szCs w:val="20"/>
              </w:rPr>
              <w:t xml:space="preserve">adverse event rates between iron polymaltose infusions administered over </w:t>
            </w:r>
            <w:r w:rsidR="00755799">
              <w:rPr>
                <w:rFonts w:ascii="Arial" w:hAnsi="Arial" w:cs="Arial"/>
                <w:sz w:val="20"/>
                <w:szCs w:val="20"/>
              </w:rPr>
              <w:t>15</w:t>
            </w:r>
            <w:r w:rsidR="00C0605A" w:rsidRPr="00C0605A">
              <w:rPr>
                <w:rFonts w:ascii="Arial" w:hAnsi="Arial" w:cs="Arial"/>
                <w:sz w:val="20"/>
                <w:szCs w:val="20"/>
              </w:rPr>
              <w:t xml:space="preserve"> minutes compared to infusions administered over 1 hour and over 4 hours</w:t>
            </w:r>
            <w:r>
              <w:rPr>
                <w:rFonts w:ascii="Arial" w:hAnsi="Arial" w:cs="Arial"/>
                <w:sz w:val="20"/>
                <w:szCs w:val="20"/>
              </w:rPr>
              <w:t>. Previous study results suggest that the a</w:t>
            </w:r>
            <w:r w:rsidR="00840F4C">
              <w:rPr>
                <w:rFonts w:ascii="Arial" w:hAnsi="Arial" w:cs="Arial"/>
                <w:sz w:val="20"/>
                <w:szCs w:val="20"/>
              </w:rPr>
              <w:t xml:space="preserve">dverse events appear to be related to </w:t>
            </w:r>
            <w:r>
              <w:rPr>
                <w:rFonts w:ascii="Arial" w:hAnsi="Arial" w:cs="Arial"/>
                <w:sz w:val="20"/>
                <w:szCs w:val="20"/>
              </w:rPr>
              <w:t xml:space="preserve">supra-therapeutic dosing without consideration of patients’ weights or the iron content of any blood transfusions prior to iron replacement </w:t>
            </w:r>
            <w:r w:rsidR="00840F4C">
              <w:rPr>
                <w:rFonts w:ascii="Arial" w:hAnsi="Arial" w:cs="Arial"/>
                <w:sz w:val="20"/>
                <w:szCs w:val="20"/>
              </w:rPr>
              <w:t>and not the infusion rate</w:t>
            </w:r>
            <w:r>
              <w:rPr>
                <w:rFonts w:ascii="Arial" w:hAnsi="Arial" w:cs="Arial"/>
                <w:sz w:val="20"/>
                <w:szCs w:val="20"/>
              </w:rPr>
              <w:t>s.</w:t>
            </w:r>
            <w:r w:rsidDel="009955AE">
              <w:rPr>
                <w:sz w:val="20"/>
                <w:szCs w:val="20"/>
              </w:rPr>
              <w:t xml:space="preserve"> </w:t>
            </w:r>
          </w:p>
          <w:p w14:paraId="7DA5ED94" w14:textId="03570F52" w:rsidR="00C0605A" w:rsidRPr="00A50C91" w:rsidRDefault="000F4660" w:rsidP="00FF280D">
            <w:pPr>
              <w:autoSpaceDE w:val="0"/>
              <w:autoSpaceDN w:val="0"/>
              <w:adjustRightInd w:val="0"/>
              <w:jc w:val="both"/>
              <w:rPr>
                <w:sz w:val="20"/>
                <w:szCs w:val="20"/>
                <w:highlight w:val="lightGray"/>
              </w:rPr>
            </w:pPr>
            <w:r w:rsidRPr="00FF280D">
              <w:rPr>
                <w:rFonts w:ascii="Arial" w:hAnsi="Arial" w:cs="Arial"/>
                <w:sz w:val="20"/>
                <w:szCs w:val="20"/>
              </w:rPr>
              <w:t>Our s</w:t>
            </w:r>
            <w:r w:rsidR="00C0605A" w:rsidRPr="00FF280D">
              <w:rPr>
                <w:rFonts w:ascii="Arial" w:hAnsi="Arial" w:cs="Arial"/>
                <w:sz w:val="20"/>
                <w:szCs w:val="20"/>
              </w:rPr>
              <w:t xml:space="preserve">econdary hypothesis is that there </w:t>
            </w:r>
            <w:r w:rsidR="00755799" w:rsidRPr="00FF280D">
              <w:rPr>
                <w:rFonts w:ascii="Arial" w:hAnsi="Arial" w:cs="Arial"/>
                <w:sz w:val="20"/>
                <w:szCs w:val="20"/>
              </w:rPr>
              <w:t>are also no differences</w:t>
            </w:r>
            <w:r w:rsidR="005C161D" w:rsidRPr="00FF280D">
              <w:rPr>
                <w:rFonts w:ascii="Arial" w:hAnsi="Arial" w:cs="Arial"/>
                <w:sz w:val="20"/>
                <w:szCs w:val="20"/>
              </w:rPr>
              <w:t xml:space="preserve"> in adverse event rates</w:t>
            </w:r>
            <w:r w:rsidR="00755799" w:rsidRPr="00FF280D">
              <w:rPr>
                <w:rFonts w:ascii="Arial" w:hAnsi="Arial" w:cs="Arial"/>
                <w:sz w:val="20"/>
                <w:szCs w:val="20"/>
              </w:rPr>
              <w:t xml:space="preserve"> </w:t>
            </w:r>
            <w:r w:rsidR="00C0605A" w:rsidRPr="00FF280D">
              <w:rPr>
                <w:rFonts w:ascii="Arial" w:hAnsi="Arial" w:cs="Arial"/>
                <w:sz w:val="20"/>
                <w:szCs w:val="20"/>
              </w:rPr>
              <w:t>compared to infusions of ferric carboxymaltose administered over 15 minutes.</w:t>
            </w:r>
          </w:p>
        </w:tc>
      </w:tr>
    </w:tbl>
    <w:p w14:paraId="2A492572" w14:textId="77777777" w:rsidR="00A6411F" w:rsidRPr="00BB73C0" w:rsidRDefault="00A6411F" w:rsidP="0089312D">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A6411F" w:rsidRPr="00BB73C0" w14:paraId="11DCF1EB" w14:textId="77777777" w:rsidTr="00EC4E12">
        <w:tc>
          <w:tcPr>
            <w:tcW w:w="538" w:type="dxa"/>
          </w:tcPr>
          <w:p w14:paraId="532E4DBF" w14:textId="77777777" w:rsidR="00A6411F" w:rsidRPr="00BB73C0" w:rsidRDefault="0089312D" w:rsidP="0089312D">
            <w:pPr>
              <w:spacing w:before="60" w:after="60"/>
              <w:rPr>
                <w:rFonts w:ascii="Arial" w:hAnsi="Arial" w:cs="Arial"/>
                <w:b/>
                <w:sz w:val="20"/>
                <w:szCs w:val="20"/>
              </w:rPr>
            </w:pPr>
            <w:r w:rsidRPr="00BB73C0">
              <w:rPr>
                <w:rFonts w:ascii="Arial" w:hAnsi="Arial" w:cs="Arial"/>
                <w:b/>
                <w:sz w:val="20"/>
                <w:szCs w:val="20"/>
              </w:rPr>
              <w:t>5.</w:t>
            </w:r>
          </w:p>
        </w:tc>
        <w:tc>
          <w:tcPr>
            <w:tcW w:w="9254" w:type="dxa"/>
          </w:tcPr>
          <w:p w14:paraId="32696F3B" w14:textId="77777777" w:rsidR="00A6411F" w:rsidRPr="00BB73C0" w:rsidRDefault="00A6411F" w:rsidP="0089312D">
            <w:pPr>
              <w:spacing w:before="60" w:after="60"/>
              <w:rPr>
                <w:rFonts w:ascii="Arial" w:hAnsi="Arial" w:cs="Arial"/>
                <w:i/>
                <w:sz w:val="16"/>
                <w:szCs w:val="16"/>
              </w:rPr>
            </w:pPr>
            <w:r w:rsidRPr="00BB73C0">
              <w:rPr>
                <w:rFonts w:ascii="Arial" w:hAnsi="Arial" w:cs="Arial"/>
                <w:b/>
                <w:sz w:val="20"/>
                <w:szCs w:val="20"/>
              </w:rPr>
              <w:t>Personnel</w:t>
            </w:r>
          </w:p>
        </w:tc>
      </w:tr>
    </w:tbl>
    <w:p w14:paraId="19D249BC" w14:textId="77777777" w:rsidR="00A6411F" w:rsidRPr="00BB73C0" w:rsidRDefault="00A6411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A6411F" w:rsidRPr="00BB73C0" w14:paraId="6367DD96" w14:textId="77777777">
        <w:tc>
          <w:tcPr>
            <w:tcW w:w="540" w:type="dxa"/>
          </w:tcPr>
          <w:p w14:paraId="336378BD" w14:textId="77777777" w:rsidR="00A6411F" w:rsidRPr="00BB73C0" w:rsidRDefault="0089312D" w:rsidP="002470D1">
            <w:pPr>
              <w:spacing w:before="60" w:after="60"/>
              <w:rPr>
                <w:rFonts w:ascii="Arial" w:hAnsi="Arial" w:cs="Arial"/>
                <w:b/>
                <w:sz w:val="20"/>
                <w:szCs w:val="20"/>
              </w:rPr>
            </w:pPr>
            <w:r w:rsidRPr="00BB73C0">
              <w:rPr>
                <w:rFonts w:ascii="Arial" w:hAnsi="Arial" w:cs="Arial"/>
                <w:b/>
                <w:sz w:val="20"/>
                <w:szCs w:val="20"/>
              </w:rPr>
              <w:t>5.1</w:t>
            </w:r>
          </w:p>
        </w:tc>
        <w:tc>
          <w:tcPr>
            <w:tcW w:w="9360" w:type="dxa"/>
          </w:tcPr>
          <w:p w14:paraId="0A1BB127" w14:textId="77777777" w:rsidR="00A6411F" w:rsidRPr="00BB73C0" w:rsidRDefault="00A6411F" w:rsidP="002470D1">
            <w:pPr>
              <w:spacing w:before="60" w:after="60"/>
              <w:rPr>
                <w:rFonts w:ascii="Arial" w:hAnsi="Arial" w:cs="Arial"/>
                <w:i/>
                <w:sz w:val="16"/>
                <w:szCs w:val="16"/>
              </w:rPr>
            </w:pPr>
            <w:r w:rsidRPr="00BB73C0">
              <w:rPr>
                <w:rFonts w:ascii="Arial" w:hAnsi="Arial" w:cs="Arial"/>
                <w:b/>
                <w:sz w:val="20"/>
                <w:szCs w:val="20"/>
              </w:rPr>
              <w:t>Principal Investigator</w:t>
            </w:r>
          </w:p>
        </w:tc>
      </w:tr>
    </w:tbl>
    <w:p w14:paraId="22ACBB14" w14:textId="77777777" w:rsidR="00A6411F" w:rsidRPr="00BB73C0" w:rsidRDefault="00A6411F" w:rsidP="00A6411F">
      <w:pPr>
        <w:rPr>
          <w:rFonts w:ascii="Arial" w:hAnsi="Arial" w:cs="Arial"/>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1899"/>
        <w:gridCol w:w="1554"/>
        <w:gridCol w:w="1485"/>
        <w:gridCol w:w="1558"/>
        <w:gridCol w:w="1514"/>
        <w:gridCol w:w="1487"/>
      </w:tblGrid>
      <w:tr w:rsidR="00520F31" w:rsidRPr="00BB73C0" w14:paraId="153D3683" w14:textId="77777777" w:rsidTr="00520F31">
        <w:tc>
          <w:tcPr>
            <w:tcW w:w="511" w:type="dxa"/>
            <w:tcBorders>
              <w:right w:val="single" w:sz="4" w:space="0" w:color="333333"/>
            </w:tcBorders>
          </w:tcPr>
          <w:p w14:paraId="5791C435"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E210C3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24DE16C3"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Mr</w:t>
            </w:r>
          </w:p>
        </w:tc>
        <w:tc>
          <w:tcPr>
            <w:tcW w:w="1485" w:type="dxa"/>
            <w:tcBorders>
              <w:top w:val="single" w:sz="4" w:space="0" w:color="333333"/>
              <w:left w:val="single" w:sz="4" w:space="0" w:color="333333"/>
              <w:bottom w:val="single" w:sz="4" w:space="0" w:color="333333"/>
              <w:right w:val="single" w:sz="4" w:space="0" w:color="333333"/>
            </w:tcBorders>
          </w:tcPr>
          <w:p w14:paraId="771BF19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060FCA8F"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Iouri</w:t>
            </w:r>
          </w:p>
        </w:tc>
        <w:tc>
          <w:tcPr>
            <w:tcW w:w="1514" w:type="dxa"/>
            <w:tcBorders>
              <w:top w:val="single" w:sz="4" w:space="0" w:color="333333"/>
              <w:left w:val="single" w:sz="4" w:space="0" w:color="333333"/>
              <w:bottom w:val="single" w:sz="4" w:space="0" w:color="333333"/>
              <w:right w:val="single" w:sz="4" w:space="0" w:color="333333"/>
            </w:tcBorders>
          </w:tcPr>
          <w:p w14:paraId="26DA72F1"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Surname</w:t>
            </w:r>
          </w:p>
        </w:tc>
        <w:tc>
          <w:tcPr>
            <w:tcW w:w="1487" w:type="dxa"/>
            <w:tcBorders>
              <w:top w:val="single" w:sz="4" w:space="0" w:color="333333"/>
              <w:left w:val="single" w:sz="4" w:space="0" w:color="333333"/>
              <w:bottom w:val="single" w:sz="4" w:space="0" w:color="333333"/>
              <w:right w:val="single" w:sz="4" w:space="0" w:color="333333"/>
            </w:tcBorders>
          </w:tcPr>
          <w:p w14:paraId="25785AB9"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Banakh</w:t>
            </w:r>
          </w:p>
        </w:tc>
      </w:tr>
      <w:tr w:rsidR="00A6411F" w:rsidRPr="00BB73C0" w14:paraId="5FBE4C0F" w14:textId="77777777" w:rsidTr="007227D9">
        <w:tc>
          <w:tcPr>
            <w:tcW w:w="511" w:type="dxa"/>
            <w:tcBorders>
              <w:right w:val="single" w:sz="4" w:space="0" w:color="333333"/>
            </w:tcBorders>
          </w:tcPr>
          <w:p w14:paraId="6861081E"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D816081"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5"/>
            <w:tcBorders>
              <w:top w:val="single" w:sz="4" w:space="0" w:color="333333"/>
              <w:left w:val="single" w:sz="4" w:space="0" w:color="333333"/>
              <w:bottom w:val="single" w:sz="4" w:space="0" w:color="333333"/>
              <w:right w:val="single" w:sz="4" w:space="0" w:color="333333"/>
            </w:tcBorders>
          </w:tcPr>
          <w:p w14:paraId="17602D80" w14:textId="4329B33E" w:rsidR="00A6411F" w:rsidRPr="00BB73C0" w:rsidRDefault="00AD65C7">
            <w:pPr>
              <w:spacing w:before="60" w:after="60"/>
              <w:rPr>
                <w:rFonts w:ascii="Arial" w:hAnsi="Arial" w:cs="Arial"/>
                <w:sz w:val="20"/>
                <w:szCs w:val="20"/>
              </w:rPr>
            </w:pPr>
            <w:r>
              <w:rPr>
                <w:rFonts w:ascii="Arial" w:hAnsi="Arial" w:cs="Arial"/>
                <w:sz w:val="20"/>
                <w:szCs w:val="20"/>
              </w:rPr>
              <w:t>Pharmacy Department, Frankston Hospital</w:t>
            </w:r>
            <w:r w:rsidR="00A134E6">
              <w:rPr>
                <w:rFonts w:ascii="Arial" w:hAnsi="Arial" w:cs="Arial"/>
                <w:sz w:val="20"/>
                <w:szCs w:val="20"/>
              </w:rPr>
              <w:t>, 2 Hastings Road, Frankston Victoria 3199</w:t>
            </w:r>
            <w:r w:rsidR="0022479D">
              <w:rPr>
                <w:rFonts w:ascii="Arial" w:hAnsi="Arial" w:cs="Arial"/>
                <w:sz w:val="20"/>
                <w:szCs w:val="20"/>
              </w:rPr>
              <w:t>.</w:t>
            </w:r>
          </w:p>
        </w:tc>
      </w:tr>
      <w:tr w:rsidR="00A6411F" w:rsidRPr="00BB73C0" w14:paraId="0FAF0DE1" w14:textId="77777777" w:rsidTr="007227D9">
        <w:tc>
          <w:tcPr>
            <w:tcW w:w="511" w:type="dxa"/>
            <w:tcBorders>
              <w:right w:val="single" w:sz="4" w:space="0" w:color="333333"/>
            </w:tcBorders>
          </w:tcPr>
          <w:p w14:paraId="2278BD02"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CF7BC3D"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16FD20B7"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07DCDAEF" w14:textId="77777777" w:rsidR="00A6411F" w:rsidRPr="00BB73C0" w:rsidRDefault="00A6411F" w:rsidP="002470D1">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2"/>
            <w:tcBorders>
              <w:top w:val="single" w:sz="4" w:space="0" w:color="333333"/>
              <w:left w:val="single" w:sz="4" w:space="0" w:color="333333"/>
              <w:bottom w:val="single" w:sz="4" w:space="0" w:color="333333"/>
              <w:right w:val="single" w:sz="4" w:space="0" w:color="333333"/>
            </w:tcBorders>
          </w:tcPr>
          <w:p w14:paraId="3EC7BD1E"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3199</w:t>
            </w:r>
          </w:p>
        </w:tc>
      </w:tr>
      <w:tr w:rsidR="00A6411F" w:rsidRPr="00BB73C0" w14:paraId="4BA65CB9" w14:textId="77777777" w:rsidTr="007227D9">
        <w:tc>
          <w:tcPr>
            <w:tcW w:w="511" w:type="dxa"/>
            <w:tcBorders>
              <w:right w:val="single" w:sz="4" w:space="0" w:color="333333"/>
            </w:tcBorders>
          </w:tcPr>
          <w:p w14:paraId="49B42C62"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2017758F"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3F05AD24"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57D00EC6" w14:textId="77777777" w:rsidR="00A6411F" w:rsidRPr="00BB73C0" w:rsidRDefault="00A6411F" w:rsidP="002470D1">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2"/>
            <w:tcBorders>
              <w:top w:val="single" w:sz="4" w:space="0" w:color="333333"/>
              <w:left w:val="single" w:sz="4" w:space="0" w:color="333333"/>
              <w:bottom w:val="single" w:sz="4" w:space="0" w:color="333333"/>
              <w:right w:val="single" w:sz="4" w:space="0" w:color="333333"/>
            </w:tcBorders>
          </w:tcPr>
          <w:p w14:paraId="63D3B3D2"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Pharmacy</w:t>
            </w:r>
          </w:p>
        </w:tc>
      </w:tr>
      <w:tr w:rsidR="00A6411F" w:rsidRPr="00BB73C0" w14:paraId="658593E1" w14:textId="77777777" w:rsidTr="007227D9">
        <w:tc>
          <w:tcPr>
            <w:tcW w:w="511" w:type="dxa"/>
            <w:tcBorders>
              <w:right w:val="single" w:sz="4" w:space="0" w:color="333333"/>
            </w:tcBorders>
          </w:tcPr>
          <w:p w14:paraId="48401274"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5D10BF89"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6690CAFA"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Pharmacist</w:t>
            </w:r>
          </w:p>
        </w:tc>
        <w:tc>
          <w:tcPr>
            <w:tcW w:w="1558" w:type="dxa"/>
            <w:tcBorders>
              <w:top w:val="single" w:sz="4" w:space="0" w:color="333333"/>
              <w:left w:val="single" w:sz="4" w:space="0" w:color="333333"/>
              <w:bottom w:val="single" w:sz="4" w:space="0" w:color="333333"/>
              <w:right w:val="single" w:sz="4" w:space="0" w:color="333333"/>
            </w:tcBorders>
          </w:tcPr>
          <w:p w14:paraId="5BC7BB5A"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2"/>
            <w:tcBorders>
              <w:top w:val="single" w:sz="4" w:space="0" w:color="333333"/>
              <w:left w:val="single" w:sz="4" w:space="0" w:color="333333"/>
              <w:bottom w:val="single" w:sz="4" w:space="0" w:color="333333"/>
              <w:right w:val="single" w:sz="4" w:space="0" w:color="333333"/>
            </w:tcBorders>
          </w:tcPr>
          <w:p w14:paraId="186B4011"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B. Pharm, Master of Clinical Pharmacy</w:t>
            </w:r>
          </w:p>
        </w:tc>
      </w:tr>
      <w:tr w:rsidR="00A6411F" w:rsidRPr="00BB73C0" w14:paraId="4339D942" w14:textId="77777777" w:rsidTr="007227D9">
        <w:tc>
          <w:tcPr>
            <w:tcW w:w="511" w:type="dxa"/>
            <w:tcBorders>
              <w:right w:val="single" w:sz="4" w:space="0" w:color="333333"/>
            </w:tcBorders>
          </w:tcPr>
          <w:p w14:paraId="5087186C"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9C0C079"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22A4C89C" w14:textId="77777777" w:rsidR="00A6411F" w:rsidRPr="00AD65C7" w:rsidRDefault="00AD65C7" w:rsidP="002470D1">
            <w:pPr>
              <w:spacing w:before="60" w:after="60"/>
              <w:rPr>
                <w:rFonts w:ascii="Arial" w:hAnsi="Arial" w:cs="Arial"/>
                <w:sz w:val="20"/>
                <w:szCs w:val="20"/>
              </w:rPr>
            </w:pPr>
            <w:r w:rsidRPr="00AD65C7">
              <w:rPr>
                <w:rFonts w:ascii="Arial" w:hAnsi="Arial" w:cs="Arial"/>
                <w:sz w:val="20"/>
                <w:szCs w:val="20"/>
              </w:rPr>
              <w:t>0397847602</w:t>
            </w:r>
          </w:p>
        </w:tc>
        <w:tc>
          <w:tcPr>
            <w:tcW w:w="1558" w:type="dxa"/>
            <w:tcBorders>
              <w:top w:val="single" w:sz="4" w:space="0" w:color="333333"/>
              <w:left w:val="single" w:sz="4" w:space="0" w:color="333333"/>
              <w:bottom w:val="single" w:sz="4" w:space="0" w:color="333333"/>
              <w:right w:val="single" w:sz="4" w:space="0" w:color="333333"/>
            </w:tcBorders>
          </w:tcPr>
          <w:p w14:paraId="26B0DCAB"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2"/>
            <w:tcBorders>
              <w:top w:val="single" w:sz="4" w:space="0" w:color="333333"/>
              <w:left w:val="single" w:sz="4" w:space="0" w:color="333333"/>
              <w:bottom w:val="single" w:sz="4" w:space="0" w:color="333333"/>
              <w:right w:val="single" w:sz="4" w:space="0" w:color="333333"/>
            </w:tcBorders>
          </w:tcPr>
          <w:p w14:paraId="6A0E5759" w14:textId="0823326B" w:rsidR="00A6411F" w:rsidRPr="00BB73C0" w:rsidRDefault="00AD65C7" w:rsidP="00A80F0A">
            <w:pPr>
              <w:spacing w:before="60" w:after="60"/>
              <w:rPr>
                <w:rFonts w:ascii="Arial" w:hAnsi="Arial" w:cs="Arial"/>
                <w:sz w:val="20"/>
                <w:szCs w:val="20"/>
              </w:rPr>
            </w:pPr>
            <w:r>
              <w:rPr>
                <w:rFonts w:ascii="Arial" w:hAnsi="Arial" w:cs="Arial"/>
                <w:sz w:val="20"/>
                <w:szCs w:val="20"/>
              </w:rPr>
              <w:t>04</w:t>
            </w:r>
            <w:r w:rsidR="00A80F0A">
              <w:rPr>
                <w:rFonts w:ascii="Arial" w:hAnsi="Arial" w:cs="Arial"/>
                <w:sz w:val="20"/>
                <w:szCs w:val="20"/>
              </w:rPr>
              <w:t>91091846</w:t>
            </w:r>
          </w:p>
        </w:tc>
      </w:tr>
      <w:tr w:rsidR="00A6411F" w:rsidRPr="00BB73C0" w14:paraId="3CE00AFE" w14:textId="77777777" w:rsidTr="007227D9">
        <w:tc>
          <w:tcPr>
            <w:tcW w:w="511" w:type="dxa"/>
            <w:tcBorders>
              <w:right w:val="single" w:sz="4" w:space="0" w:color="333333"/>
            </w:tcBorders>
          </w:tcPr>
          <w:p w14:paraId="1D509058"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36BE51DE"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5"/>
            <w:tcBorders>
              <w:top w:val="single" w:sz="4" w:space="0" w:color="333333"/>
              <w:left w:val="single" w:sz="4" w:space="0" w:color="333333"/>
              <w:bottom w:val="single" w:sz="4" w:space="0" w:color="333333"/>
              <w:right w:val="single" w:sz="4" w:space="0" w:color="333333"/>
            </w:tcBorders>
          </w:tcPr>
          <w:p w14:paraId="3E577994"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ibanakh@phcn.vic.gov.au</w:t>
            </w:r>
          </w:p>
        </w:tc>
      </w:tr>
      <w:tr w:rsidR="00A50C91" w:rsidRPr="00BB73C0" w14:paraId="53584CF5" w14:textId="77777777" w:rsidTr="007227D9">
        <w:tc>
          <w:tcPr>
            <w:tcW w:w="511" w:type="dxa"/>
            <w:tcBorders>
              <w:right w:val="single" w:sz="4" w:space="0" w:color="333333"/>
            </w:tcBorders>
          </w:tcPr>
          <w:p w14:paraId="7A127F26" w14:textId="77777777" w:rsidR="00A50C91" w:rsidRPr="00BB73C0" w:rsidRDefault="00A50C91"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32A4BC95" w14:textId="77777777" w:rsidR="00A50C91" w:rsidRPr="00BB73C0" w:rsidRDefault="00164E53" w:rsidP="00520F31">
            <w:pPr>
              <w:spacing w:before="60" w:after="60"/>
              <w:rPr>
                <w:rFonts w:ascii="Arial" w:hAnsi="Arial" w:cs="Arial"/>
                <w:b/>
                <w:sz w:val="20"/>
                <w:szCs w:val="20"/>
              </w:rPr>
            </w:pPr>
            <w:r>
              <w:rPr>
                <w:rFonts w:ascii="Arial" w:hAnsi="Arial" w:cs="Arial"/>
                <w:b/>
                <w:sz w:val="20"/>
                <w:szCs w:val="20"/>
              </w:rPr>
              <w:t xml:space="preserve">Project </w:t>
            </w:r>
            <w:r w:rsidR="00520F31">
              <w:rPr>
                <w:rFonts w:ascii="Arial" w:hAnsi="Arial" w:cs="Arial"/>
                <w:b/>
                <w:sz w:val="20"/>
                <w:szCs w:val="20"/>
              </w:rPr>
              <w:t>Role</w:t>
            </w:r>
          </w:p>
        </w:tc>
        <w:tc>
          <w:tcPr>
            <w:tcW w:w="7598" w:type="dxa"/>
            <w:gridSpan w:val="5"/>
            <w:tcBorders>
              <w:top w:val="single" w:sz="4" w:space="0" w:color="333333"/>
              <w:left w:val="single" w:sz="4" w:space="0" w:color="333333"/>
              <w:bottom w:val="single" w:sz="4" w:space="0" w:color="333333"/>
              <w:right w:val="single" w:sz="4" w:space="0" w:color="333333"/>
            </w:tcBorders>
          </w:tcPr>
          <w:p w14:paraId="74E369A1" w14:textId="77777777" w:rsidR="00A50C91" w:rsidRPr="00BB73C0" w:rsidRDefault="00AD65C7" w:rsidP="002470D1">
            <w:pPr>
              <w:spacing w:before="60" w:after="60"/>
              <w:rPr>
                <w:rFonts w:ascii="Arial" w:hAnsi="Arial" w:cs="Arial"/>
                <w:sz w:val="20"/>
                <w:szCs w:val="20"/>
              </w:rPr>
            </w:pPr>
            <w:r>
              <w:rPr>
                <w:rFonts w:ascii="Arial" w:hAnsi="Arial" w:cs="Arial"/>
                <w:sz w:val="20"/>
                <w:szCs w:val="20"/>
              </w:rPr>
              <w:t>Principal investigator</w:t>
            </w:r>
          </w:p>
        </w:tc>
      </w:tr>
    </w:tbl>
    <w:p w14:paraId="7D8D3C6D" w14:textId="77777777" w:rsidR="00A6411F" w:rsidRPr="00BB73C0" w:rsidRDefault="00A6411F" w:rsidP="00D9640F">
      <w:pPr>
        <w:rPr>
          <w:rFonts w:ascii="Arial" w:hAnsi="Arial" w:cs="Arial"/>
          <w:b/>
          <w:sz w:val="20"/>
          <w:szCs w:val="20"/>
        </w:rPr>
      </w:pPr>
    </w:p>
    <w:p w14:paraId="2E54113E" w14:textId="77777777" w:rsidR="00A6411F" w:rsidRPr="00BB73C0" w:rsidRDefault="00A6411F" w:rsidP="00D9640F">
      <w:pPr>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A6411F" w:rsidRPr="00BB73C0" w14:paraId="73DCA392" w14:textId="77777777">
        <w:tc>
          <w:tcPr>
            <w:tcW w:w="540" w:type="dxa"/>
          </w:tcPr>
          <w:p w14:paraId="6A2643E0" w14:textId="77777777" w:rsidR="00A6411F" w:rsidRPr="00BB73C0" w:rsidRDefault="0089312D" w:rsidP="002470D1">
            <w:pPr>
              <w:spacing w:before="60" w:after="60"/>
              <w:rPr>
                <w:rFonts w:ascii="Arial" w:hAnsi="Arial" w:cs="Arial"/>
                <w:b/>
                <w:sz w:val="20"/>
                <w:szCs w:val="20"/>
              </w:rPr>
            </w:pPr>
            <w:r w:rsidRPr="00BB73C0">
              <w:rPr>
                <w:rFonts w:ascii="Arial" w:hAnsi="Arial" w:cs="Arial"/>
                <w:b/>
                <w:sz w:val="20"/>
                <w:szCs w:val="20"/>
              </w:rPr>
              <w:t>5.2</w:t>
            </w:r>
          </w:p>
        </w:tc>
        <w:tc>
          <w:tcPr>
            <w:tcW w:w="9360" w:type="dxa"/>
          </w:tcPr>
          <w:p w14:paraId="5906C5BC" w14:textId="77777777" w:rsidR="00A6411F" w:rsidRPr="00BB73C0" w:rsidRDefault="00A6411F" w:rsidP="00520F31">
            <w:pPr>
              <w:spacing w:before="60" w:after="60"/>
              <w:rPr>
                <w:rFonts w:ascii="Arial" w:hAnsi="Arial" w:cs="Arial"/>
                <w:i/>
                <w:sz w:val="16"/>
                <w:szCs w:val="16"/>
              </w:rPr>
            </w:pPr>
            <w:r w:rsidRPr="00BB73C0">
              <w:rPr>
                <w:rFonts w:ascii="Arial" w:hAnsi="Arial" w:cs="Arial"/>
                <w:b/>
                <w:sz w:val="20"/>
                <w:szCs w:val="20"/>
              </w:rPr>
              <w:t xml:space="preserve">Associate Investigator(s) </w:t>
            </w:r>
            <w:r w:rsidR="00520F31" w:rsidRPr="007227D9">
              <w:rPr>
                <w:rFonts w:ascii="Arial" w:hAnsi="Arial" w:cs="Arial"/>
                <w:i/>
                <w:sz w:val="20"/>
                <w:szCs w:val="20"/>
              </w:rPr>
              <w:t>(copy and repeat for all additional investigators)</w:t>
            </w:r>
          </w:p>
        </w:tc>
      </w:tr>
    </w:tbl>
    <w:p w14:paraId="727C15EA" w14:textId="77777777" w:rsidR="00A6411F" w:rsidRPr="00BB73C0" w:rsidRDefault="00A6411F" w:rsidP="00A6411F">
      <w:pPr>
        <w:rPr>
          <w:rFonts w:ascii="Arial" w:hAnsi="Arial" w:cs="Arial"/>
          <w:sz w:val="20"/>
          <w:szCs w:val="20"/>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1899"/>
        <w:gridCol w:w="1554"/>
        <w:gridCol w:w="1485"/>
        <w:gridCol w:w="1558"/>
        <w:gridCol w:w="1514"/>
        <w:gridCol w:w="1487"/>
      </w:tblGrid>
      <w:tr w:rsidR="00A6411F" w:rsidRPr="00BB73C0" w14:paraId="5863FC03" w14:textId="77777777" w:rsidTr="00AD65C7">
        <w:tc>
          <w:tcPr>
            <w:tcW w:w="511" w:type="dxa"/>
            <w:tcBorders>
              <w:right w:val="single" w:sz="4" w:space="0" w:color="333333"/>
            </w:tcBorders>
          </w:tcPr>
          <w:p w14:paraId="1D61B835" w14:textId="77777777" w:rsidR="00A6411F" w:rsidRPr="00BB73C0" w:rsidRDefault="00A6411F" w:rsidP="002470D1">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8E4890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Title</w:t>
            </w:r>
          </w:p>
        </w:tc>
        <w:tc>
          <w:tcPr>
            <w:tcW w:w="1554" w:type="dxa"/>
            <w:tcBorders>
              <w:top w:val="single" w:sz="4" w:space="0" w:color="333333"/>
              <w:left w:val="single" w:sz="4" w:space="0" w:color="333333"/>
              <w:bottom w:val="single" w:sz="4" w:space="0" w:color="333333"/>
              <w:right w:val="single" w:sz="4" w:space="0" w:color="333333"/>
            </w:tcBorders>
          </w:tcPr>
          <w:p w14:paraId="02694E66"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Ms</w:t>
            </w:r>
          </w:p>
        </w:tc>
        <w:tc>
          <w:tcPr>
            <w:tcW w:w="1485" w:type="dxa"/>
            <w:tcBorders>
              <w:top w:val="single" w:sz="4" w:space="0" w:color="333333"/>
              <w:left w:val="single" w:sz="4" w:space="0" w:color="333333"/>
              <w:bottom w:val="single" w:sz="4" w:space="0" w:color="333333"/>
              <w:right w:val="single" w:sz="4" w:space="0" w:color="333333"/>
            </w:tcBorders>
          </w:tcPr>
          <w:p w14:paraId="1CF160C5"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First Name</w:t>
            </w:r>
          </w:p>
        </w:tc>
        <w:tc>
          <w:tcPr>
            <w:tcW w:w="1558" w:type="dxa"/>
            <w:tcBorders>
              <w:top w:val="single" w:sz="4" w:space="0" w:color="333333"/>
              <w:left w:val="single" w:sz="4" w:space="0" w:color="333333"/>
              <w:bottom w:val="single" w:sz="4" w:space="0" w:color="333333"/>
              <w:right w:val="single" w:sz="4" w:space="0" w:color="333333"/>
            </w:tcBorders>
          </w:tcPr>
          <w:p w14:paraId="731A2481"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Martha</w:t>
            </w:r>
          </w:p>
        </w:tc>
        <w:tc>
          <w:tcPr>
            <w:tcW w:w="1514" w:type="dxa"/>
            <w:tcBorders>
              <w:top w:val="single" w:sz="4" w:space="0" w:color="333333"/>
              <w:left w:val="single" w:sz="4" w:space="0" w:color="333333"/>
              <w:bottom w:val="single" w:sz="4" w:space="0" w:color="333333"/>
              <w:right w:val="single" w:sz="4" w:space="0" w:color="333333"/>
            </w:tcBorders>
          </w:tcPr>
          <w:p w14:paraId="4CF76FE2" w14:textId="77777777" w:rsidR="00A6411F" w:rsidRPr="00BB73C0" w:rsidRDefault="00A6411F" w:rsidP="002470D1">
            <w:pPr>
              <w:spacing w:before="60" w:after="60"/>
              <w:rPr>
                <w:rFonts w:ascii="Arial" w:hAnsi="Arial" w:cs="Arial"/>
                <w:b/>
                <w:sz w:val="20"/>
                <w:szCs w:val="20"/>
              </w:rPr>
            </w:pPr>
            <w:r w:rsidRPr="00BB73C0">
              <w:rPr>
                <w:rFonts w:ascii="Arial" w:hAnsi="Arial" w:cs="Arial"/>
                <w:b/>
                <w:sz w:val="20"/>
                <w:szCs w:val="20"/>
              </w:rPr>
              <w:t>Surname</w:t>
            </w:r>
          </w:p>
        </w:tc>
        <w:tc>
          <w:tcPr>
            <w:tcW w:w="1487" w:type="dxa"/>
            <w:tcBorders>
              <w:top w:val="single" w:sz="4" w:space="0" w:color="333333"/>
              <w:left w:val="single" w:sz="4" w:space="0" w:color="333333"/>
              <w:bottom w:val="single" w:sz="4" w:space="0" w:color="333333"/>
              <w:right w:val="single" w:sz="4" w:space="0" w:color="333333"/>
            </w:tcBorders>
          </w:tcPr>
          <w:p w14:paraId="4B8C173A" w14:textId="77777777" w:rsidR="00A6411F" w:rsidRPr="00BB73C0" w:rsidRDefault="00AD65C7" w:rsidP="002470D1">
            <w:pPr>
              <w:spacing w:before="60" w:after="60"/>
              <w:rPr>
                <w:rFonts w:ascii="Arial" w:hAnsi="Arial" w:cs="Arial"/>
                <w:sz w:val="20"/>
                <w:szCs w:val="20"/>
              </w:rPr>
            </w:pPr>
            <w:r>
              <w:rPr>
                <w:rFonts w:ascii="Arial" w:hAnsi="Arial" w:cs="Arial"/>
                <w:sz w:val="20"/>
                <w:szCs w:val="20"/>
              </w:rPr>
              <w:t>Turek</w:t>
            </w:r>
          </w:p>
        </w:tc>
      </w:tr>
      <w:tr w:rsidR="00AD65C7" w:rsidRPr="00BB73C0" w14:paraId="285BEEC7" w14:textId="77777777" w:rsidTr="00AD65C7">
        <w:tc>
          <w:tcPr>
            <w:tcW w:w="511" w:type="dxa"/>
            <w:tcBorders>
              <w:right w:val="single" w:sz="4" w:space="0" w:color="333333"/>
            </w:tcBorders>
          </w:tcPr>
          <w:p w14:paraId="0EC7E72B"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25FC1B90"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5"/>
            <w:tcBorders>
              <w:top w:val="single" w:sz="4" w:space="0" w:color="333333"/>
              <w:left w:val="single" w:sz="4" w:space="0" w:color="333333"/>
              <w:bottom w:val="single" w:sz="4" w:space="0" w:color="333333"/>
              <w:right w:val="single" w:sz="4" w:space="0" w:color="333333"/>
            </w:tcBorders>
          </w:tcPr>
          <w:p w14:paraId="53BA2CF7" w14:textId="4FC3C50A" w:rsidR="00AD65C7" w:rsidRPr="00BB73C0" w:rsidRDefault="0022479D" w:rsidP="00AD65C7">
            <w:pPr>
              <w:spacing w:before="60" w:after="60"/>
              <w:rPr>
                <w:rFonts w:ascii="Arial" w:hAnsi="Arial" w:cs="Arial"/>
                <w:sz w:val="20"/>
                <w:szCs w:val="20"/>
              </w:rPr>
            </w:pPr>
            <w:r>
              <w:rPr>
                <w:rFonts w:ascii="Arial" w:hAnsi="Arial" w:cs="Arial"/>
                <w:sz w:val="20"/>
                <w:szCs w:val="20"/>
              </w:rPr>
              <w:t>Pharmacy Department, Frankston Hospital, 2 Hastings Road, Frankston Victoria 3199.</w:t>
            </w:r>
          </w:p>
        </w:tc>
      </w:tr>
      <w:tr w:rsidR="002871CA" w:rsidRPr="00BB73C0" w14:paraId="1CA2BD1C" w14:textId="77777777" w:rsidTr="00AD65C7">
        <w:tc>
          <w:tcPr>
            <w:tcW w:w="511" w:type="dxa"/>
            <w:tcBorders>
              <w:right w:val="single" w:sz="4" w:space="0" w:color="333333"/>
            </w:tcBorders>
          </w:tcPr>
          <w:p w14:paraId="69E4031C"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B583990"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2"/>
            <w:tcBorders>
              <w:top w:val="single" w:sz="4" w:space="0" w:color="333333"/>
              <w:left w:val="single" w:sz="4" w:space="0" w:color="333333"/>
              <w:bottom w:val="single" w:sz="4" w:space="0" w:color="333333"/>
              <w:right w:val="single" w:sz="4" w:space="0" w:color="333333"/>
            </w:tcBorders>
          </w:tcPr>
          <w:p w14:paraId="32A534D6"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Frankston</w:t>
            </w:r>
          </w:p>
        </w:tc>
        <w:tc>
          <w:tcPr>
            <w:tcW w:w="1558" w:type="dxa"/>
            <w:tcBorders>
              <w:top w:val="single" w:sz="4" w:space="0" w:color="333333"/>
              <w:left w:val="single" w:sz="4" w:space="0" w:color="333333"/>
              <w:bottom w:val="single" w:sz="4" w:space="0" w:color="333333"/>
              <w:right w:val="single" w:sz="4" w:space="0" w:color="333333"/>
            </w:tcBorders>
          </w:tcPr>
          <w:p w14:paraId="06E8C266"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2"/>
            <w:tcBorders>
              <w:top w:val="single" w:sz="4" w:space="0" w:color="333333"/>
              <w:left w:val="single" w:sz="4" w:space="0" w:color="333333"/>
              <w:bottom w:val="single" w:sz="4" w:space="0" w:color="333333"/>
              <w:right w:val="single" w:sz="4" w:space="0" w:color="333333"/>
            </w:tcBorders>
          </w:tcPr>
          <w:p w14:paraId="2A766F90"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3199</w:t>
            </w:r>
          </w:p>
        </w:tc>
      </w:tr>
      <w:tr w:rsidR="002871CA" w:rsidRPr="00BB73C0" w14:paraId="2B8A0CB7" w14:textId="77777777" w:rsidTr="00AD65C7">
        <w:tc>
          <w:tcPr>
            <w:tcW w:w="511" w:type="dxa"/>
            <w:tcBorders>
              <w:right w:val="single" w:sz="4" w:space="0" w:color="333333"/>
            </w:tcBorders>
          </w:tcPr>
          <w:p w14:paraId="2A3D8DD3" w14:textId="77777777" w:rsidR="002871CA" w:rsidRPr="00BB73C0" w:rsidRDefault="002871CA" w:rsidP="002871CA">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1676A967" w14:textId="77777777" w:rsidR="002871CA" w:rsidRPr="00BB73C0" w:rsidRDefault="002871CA" w:rsidP="002871CA">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2"/>
            <w:tcBorders>
              <w:top w:val="single" w:sz="4" w:space="0" w:color="333333"/>
              <w:left w:val="single" w:sz="4" w:space="0" w:color="333333"/>
              <w:bottom w:val="single" w:sz="4" w:space="0" w:color="333333"/>
              <w:right w:val="single" w:sz="4" w:space="0" w:color="333333"/>
            </w:tcBorders>
          </w:tcPr>
          <w:p w14:paraId="614D8E69" w14:textId="77777777" w:rsidR="002871CA" w:rsidRPr="00AD65C7" w:rsidRDefault="002871CA" w:rsidP="002871CA">
            <w:pPr>
              <w:spacing w:before="60" w:after="60"/>
              <w:rPr>
                <w:rFonts w:ascii="Arial" w:hAnsi="Arial" w:cs="Arial"/>
                <w:sz w:val="20"/>
                <w:szCs w:val="20"/>
              </w:rPr>
            </w:pPr>
            <w:r w:rsidRPr="00AD65C7">
              <w:rPr>
                <w:rFonts w:ascii="Arial" w:hAnsi="Arial" w:cs="Arial"/>
                <w:sz w:val="20"/>
                <w:szCs w:val="20"/>
              </w:rPr>
              <w:t>Peninsula Health</w:t>
            </w:r>
          </w:p>
        </w:tc>
        <w:tc>
          <w:tcPr>
            <w:tcW w:w="1558" w:type="dxa"/>
            <w:tcBorders>
              <w:top w:val="single" w:sz="4" w:space="0" w:color="333333"/>
              <w:left w:val="single" w:sz="4" w:space="0" w:color="333333"/>
              <w:bottom w:val="single" w:sz="4" w:space="0" w:color="333333"/>
              <w:right w:val="single" w:sz="4" w:space="0" w:color="333333"/>
            </w:tcBorders>
          </w:tcPr>
          <w:p w14:paraId="775D429C" w14:textId="77777777" w:rsidR="002871CA" w:rsidRPr="00BB73C0" w:rsidRDefault="002871CA" w:rsidP="002871CA">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2"/>
            <w:tcBorders>
              <w:top w:val="single" w:sz="4" w:space="0" w:color="333333"/>
              <w:left w:val="single" w:sz="4" w:space="0" w:color="333333"/>
              <w:bottom w:val="single" w:sz="4" w:space="0" w:color="333333"/>
              <w:right w:val="single" w:sz="4" w:space="0" w:color="333333"/>
            </w:tcBorders>
          </w:tcPr>
          <w:p w14:paraId="4FD14D29" w14:textId="77777777" w:rsidR="002871CA" w:rsidRPr="00BB73C0" w:rsidRDefault="002871CA" w:rsidP="002871CA">
            <w:pPr>
              <w:spacing w:before="60" w:after="60"/>
              <w:rPr>
                <w:rFonts w:ascii="Arial" w:hAnsi="Arial" w:cs="Arial"/>
                <w:sz w:val="20"/>
                <w:szCs w:val="20"/>
              </w:rPr>
            </w:pPr>
            <w:r>
              <w:rPr>
                <w:rFonts w:ascii="Arial" w:hAnsi="Arial" w:cs="Arial"/>
                <w:sz w:val="20"/>
                <w:szCs w:val="20"/>
              </w:rPr>
              <w:t>Pharmacy</w:t>
            </w:r>
          </w:p>
        </w:tc>
      </w:tr>
      <w:tr w:rsidR="00AD65C7" w:rsidRPr="00BB73C0" w14:paraId="28F324DB" w14:textId="77777777" w:rsidTr="00AD65C7">
        <w:tc>
          <w:tcPr>
            <w:tcW w:w="511" w:type="dxa"/>
            <w:tcBorders>
              <w:right w:val="single" w:sz="4" w:space="0" w:color="333333"/>
            </w:tcBorders>
          </w:tcPr>
          <w:p w14:paraId="6A1694C1"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7F55ACDE"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2"/>
            <w:tcBorders>
              <w:top w:val="single" w:sz="4" w:space="0" w:color="333333"/>
              <w:left w:val="single" w:sz="4" w:space="0" w:color="333333"/>
              <w:bottom w:val="single" w:sz="4" w:space="0" w:color="333333"/>
              <w:right w:val="single" w:sz="4" w:space="0" w:color="333333"/>
            </w:tcBorders>
          </w:tcPr>
          <w:p w14:paraId="14D5AB0D" w14:textId="77777777" w:rsidR="00AD65C7" w:rsidRPr="00AD65C7" w:rsidRDefault="00AD65C7" w:rsidP="00AD65C7">
            <w:pPr>
              <w:spacing w:before="60" w:after="60"/>
              <w:rPr>
                <w:rFonts w:ascii="Arial" w:hAnsi="Arial" w:cs="Arial"/>
                <w:sz w:val="20"/>
                <w:szCs w:val="20"/>
              </w:rPr>
            </w:pPr>
            <w:r w:rsidRPr="00AD65C7">
              <w:rPr>
                <w:rFonts w:ascii="Arial" w:hAnsi="Arial" w:cs="Arial"/>
                <w:sz w:val="20"/>
                <w:szCs w:val="20"/>
              </w:rPr>
              <w:t>Pharmacist</w:t>
            </w:r>
          </w:p>
        </w:tc>
        <w:tc>
          <w:tcPr>
            <w:tcW w:w="1558" w:type="dxa"/>
            <w:tcBorders>
              <w:top w:val="single" w:sz="4" w:space="0" w:color="333333"/>
              <w:left w:val="single" w:sz="4" w:space="0" w:color="333333"/>
              <w:bottom w:val="single" w:sz="4" w:space="0" w:color="333333"/>
              <w:right w:val="single" w:sz="4" w:space="0" w:color="333333"/>
            </w:tcBorders>
          </w:tcPr>
          <w:p w14:paraId="640FC280"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2"/>
            <w:tcBorders>
              <w:top w:val="single" w:sz="4" w:space="0" w:color="333333"/>
              <w:left w:val="single" w:sz="4" w:space="0" w:color="333333"/>
              <w:bottom w:val="single" w:sz="4" w:space="0" w:color="333333"/>
              <w:right w:val="single" w:sz="4" w:space="0" w:color="333333"/>
            </w:tcBorders>
          </w:tcPr>
          <w:p w14:paraId="4BA58BDB" w14:textId="77777777" w:rsidR="00AD65C7" w:rsidRPr="00E0703C" w:rsidRDefault="00AD65C7" w:rsidP="00AD65C7">
            <w:pPr>
              <w:spacing w:before="60" w:after="60"/>
              <w:rPr>
                <w:rFonts w:ascii="Arial" w:hAnsi="Arial" w:cs="Arial"/>
                <w:sz w:val="20"/>
                <w:szCs w:val="20"/>
              </w:rPr>
            </w:pPr>
            <w:proofErr w:type="spellStart"/>
            <w:r>
              <w:rPr>
                <w:rFonts w:ascii="Arial" w:hAnsi="Arial" w:cs="Arial"/>
                <w:sz w:val="20"/>
                <w:szCs w:val="20"/>
              </w:rPr>
              <w:t>B.Pharm</w:t>
            </w:r>
            <w:proofErr w:type="spellEnd"/>
            <w:r>
              <w:rPr>
                <w:rFonts w:ascii="Arial" w:hAnsi="Arial" w:cs="Arial"/>
                <w:sz w:val="20"/>
                <w:szCs w:val="20"/>
              </w:rPr>
              <w:t>, Master of Pharmacy Practice</w:t>
            </w:r>
          </w:p>
        </w:tc>
      </w:tr>
      <w:tr w:rsidR="00AD65C7" w:rsidRPr="00BB73C0" w14:paraId="790380C6" w14:textId="77777777" w:rsidTr="00AD65C7">
        <w:tc>
          <w:tcPr>
            <w:tcW w:w="511" w:type="dxa"/>
            <w:tcBorders>
              <w:right w:val="single" w:sz="4" w:space="0" w:color="333333"/>
            </w:tcBorders>
          </w:tcPr>
          <w:p w14:paraId="12D9A64D"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42CD890D"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2"/>
            <w:tcBorders>
              <w:top w:val="single" w:sz="4" w:space="0" w:color="333333"/>
              <w:left w:val="single" w:sz="4" w:space="0" w:color="333333"/>
              <w:bottom w:val="single" w:sz="4" w:space="0" w:color="333333"/>
              <w:right w:val="single" w:sz="4" w:space="0" w:color="333333"/>
            </w:tcBorders>
          </w:tcPr>
          <w:p w14:paraId="620F9096" w14:textId="77777777" w:rsidR="00AD65C7" w:rsidRPr="00AD65C7" w:rsidRDefault="00AD65C7" w:rsidP="00AD65C7">
            <w:pPr>
              <w:spacing w:before="60" w:after="60"/>
              <w:rPr>
                <w:rFonts w:ascii="Arial" w:hAnsi="Arial" w:cs="Arial"/>
                <w:sz w:val="20"/>
                <w:szCs w:val="20"/>
              </w:rPr>
            </w:pPr>
            <w:r w:rsidRPr="00AD65C7">
              <w:rPr>
                <w:rFonts w:ascii="Arial" w:hAnsi="Arial" w:cs="Arial"/>
                <w:sz w:val="20"/>
                <w:szCs w:val="20"/>
              </w:rPr>
              <w:t>0397847602</w:t>
            </w:r>
          </w:p>
        </w:tc>
        <w:tc>
          <w:tcPr>
            <w:tcW w:w="1558" w:type="dxa"/>
            <w:tcBorders>
              <w:top w:val="single" w:sz="4" w:space="0" w:color="333333"/>
              <w:left w:val="single" w:sz="4" w:space="0" w:color="333333"/>
              <w:bottom w:val="single" w:sz="4" w:space="0" w:color="333333"/>
              <w:right w:val="single" w:sz="4" w:space="0" w:color="333333"/>
            </w:tcBorders>
          </w:tcPr>
          <w:p w14:paraId="0A2AB4AB"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2"/>
            <w:tcBorders>
              <w:top w:val="single" w:sz="4" w:space="0" w:color="333333"/>
              <w:left w:val="single" w:sz="4" w:space="0" w:color="333333"/>
              <w:bottom w:val="single" w:sz="4" w:space="0" w:color="333333"/>
              <w:right w:val="single" w:sz="4" w:space="0" w:color="333333"/>
            </w:tcBorders>
          </w:tcPr>
          <w:p w14:paraId="2361C65C"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0431543805</w:t>
            </w:r>
          </w:p>
        </w:tc>
      </w:tr>
      <w:tr w:rsidR="00AD65C7" w:rsidRPr="00BB73C0" w14:paraId="17E39A01" w14:textId="77777777" w:rsidTr="00AD65C7">
        <w:tc>
          <w:tcPr>
            <w:tcW w:w="511" w:type="dxa"/>
            <w:tcBorders>
              <w:right w:val="single" w:sz="4" w:space="0" w:color="333333"/>
            </w:tcBorders>
          </w:tcPr>
          <w:p w14:paraId="16702577"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675A11AE" w14:textId="77777777" w:rsidR="00AD65C7" w:rsidRPr="00BB73C0" w:rsidRDefault="00AD65C7" w:rsidP="00AD65C7">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5"/>
            <w:tcBorders>
              <w:top w:val="single" w:sz="4" w:space="0" w:color="333333"/>
              <w:left w:val="single" w:sz="4" w:space="0" w:color="333333"/>
              <w:bottom w:val="single" w:sz="4" w:space="0" w:color="333333"/>
              <w:right w:val="single" w:sz="4" w:space="0" w:color="333333"/>
            </w:tcBorders>
          </w:tcPr>
          <w:p w14:paraId="05653D0C"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mturek@phcn.vic.gov.au</w:t>
            </w:r>
          </w:p>
        </w:tc>
      </w:tr>
      <w:tr w:rsidR="00AD65C7" w:rsidRPr="00BB73C0" w14:paraId="2F78AC59" w14:textId="77777777" w:rsidTr="00AD65C7">
        <w:tc>
          <w:tcPr>
            <w:tcW w:w="511" w:type="dxa"/>
            <w:tcBorders>
              <w:right w:val="single" w:sz="4" w:space="0" w:color="333333"/>
            </w:tcBorders>
          </w:tcPr>
          <w:p w14:paraId="1197C506" w14:textId="77777777" w:rsidR="00AD65C7" w:rsidRPr="00BB73C0" w:rsidRDefault="00AD65C7" w:rsidP="00AD65C7">
            <w:pPr>
              <w:spacing w:before="60" w:after="60"/>
              <w:rPr>
                <w:rFonts w:ascii="Arial" w:hAnsi="Arial" w:cs="Arial"/>
                <w:b/>
                <w:sz w:val="20"/>
                <w:szCs w:val="20"/>
              </w:rPr>
            </w:pPr>
          </w:p>
        </w:tc>
        <w:tc>
          <w:tcPr>
            <w:tcW w:w="1899" w:type="dxa"/>
            <w:tcBorders>
              <w:top w:val="single" w:sz="4" w:space="0" w:color="333333"/>
              <w:left w:val="single" w:sz="4" w:space="0" w:color="333333"/>
              <w:bottom w:val="single" w:sz="4" w:space="0" w:color="333333"/>
              <w:right w:val="single" w:sz="4" w:space="0" w:color="333333"/>
            </w:tcBorders>
          </w:tcPr>
          <w:p w14:paraId="066E348D" w14:textId="77777777" w:rsidR="00AD65C7" w:rsidRPr="00BB73C0" w:rsidRDefault="00AD65C7" w:rsidP="00AD65C7">
            <w:pPr>
              <w:spacing w:before="60" w:after="60"/>
              <w:rPr>
                <w:rFonts w:ascii="Arial" w:hAnsi="Arial" w:cs="Arial"/>
                <w:b/>
                <w:sz w:val="20"/>
                <w:szCs w:val="20"/>
              </w:rPr>
            </w:pPr>
            <w:r>
              <w:rPr>
                <w:rFonts w:ascii="Arial" w:hAnsi="Arial" w:cs="Arial"/>
                <w:b/>
                <w:sz w:val="20"/>
                <w:szCs w:val="20"/>
              </w:rPr>
              <w:t>Project Role</w:t>
            </w:r>
          </w:p>
        </w:tc>
        <w:tc>
          <w:tcPr>
            <w:tcW w:w="7598" w:type="dxa"/>
            <w:gridSpan w:val="5"/>
            <w:tcBorders>
              <w:top w:val="single" w:sz="4" w:space="0" w:color="333333"/>
              <w:left w:val="single" w:sz="4" w:space="0" w:color="333333"/>
              <w:bottom w:val="single" w:sz="4" w:space="0" w:color="333333"/>
              <w:right w:val="single" w:sz="4" w:space="0" w:color="333333"/>
            </w:tcBorders>
          </w:tcPr>
          <w:p w14:paraId="4CE2AFA2" w14:textId="77777777" w:rsidR="00AD65C7" w:rsidRPr="00BB73C0" w:rsidRDefault="00AD65C7" w:rsidP="00AD65C7">
            <w:pPr>
              <w:spacing w:before="60" w:after="60"/>
              <w:rPr>
                <w:rFonts w:ascii="Arial" w:hAnsi="Arial" w:cs="Arial"/>
                <w:sz w:val="20"/>
                <w:szCs w:val="20"/>
              </w:rPr>
            </w:pPr>
            <w:r>
              <w:rPr>
                <w:rFonts w:ascii="Arial" w:hAnsi="Arial" w:cs="Arial"/>
                <w:sz w:val="20"/>
                <w:szCs w:val="20"/>
              </w:rPr>
              <w:t>Associate investigator</w:t>
            </w:r>
          </w:p>
        </w:tc>
      </w:tr>
    </w:tbl>
    <w:p w14:paraId="4378ABA6" w14:textId="77777777" w:rsidR="00A6411F" w:rsidRDefault="00A6411F" w:rsidP="00D9640F">
      <w:pPr>
        <w:rPr>
          <w:rFonts w:ascii="Arial" w:hAnsi="Arial" w:cs="Arial"/>
          <w:b/>
          <w:sz w:val="20"/>
          <w:szCs w:val="20"/>
        </w:rPr>
      </w:pPr>
    </w:p>
    <w:p w14:paraId="25349449" w14:textId="77777777" w:rsidR="00520F31" w:rsidRDefault="00520F31" w:rsidP="00D9640F">
      <w:pPr>
        <w:rPr>
          <w:rFonts w:ascii="Arial" w:hAnsi="Arial" w:cs="Arial"/>
          <w:b/>
          <w:sz w:val="20"/>
          <w:szCs w:val="20"/>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1"/>
        <w:gridCol w:w="29"/>
        <w:gridCol w:w="1359"/>
        <w:gridCol w:w="511"/>
        <w:gridCol w:w="1043"/>
        <w:gridCol w:w="511"/>
        <w:gridCol w:w="974"/>
        <w:gridCol w:w="511"/>
        <w:gridCol w:w="1047"/>
        <w:gridCol w:w="511"/>
        <w:gridCol w:w="1003"/>
        <w:gridCol w:w="511"/>
        <w:gridCol w:w="976"/>
        <w:gridCol w:w="403"/>
        <w:gridCol w:w="108"/>
      </w:tblGrid>
      <w:tr w:rsidR="000E2CE7" w:rsidRPr="00BB73C0" w14:paraId="2E143BB0" w14:textId="77777777" w:rsidTr="000E2CE7">
        <w:tc>
          <w:tcPr>
            <w:tcW w:w="511" w:type="dxa"/>
            <w:tcBorders>
              <w:right w:val="single" w:sz="4" w:space="0" w:color="333333"/>
            </w:tcBorders>
          </w:tcPr>
          <w:p w14:paraId="69897EA3"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5ACC3271"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Title</w:t>
            </w:r>
          </w:p>
        </w:tc>
        <w:tc>
          <w:tcPr>
            <w:tcW w:w="1554" w:type="dxa"/>
            <w:gridSpan w:val="2"/>
            <w:tcBorders>
              <w:top w:val="single" w:sz="4" w:space="0" w:color="333333"/>
              <w:left w:val="single" w:sz="4" w:space="0" w:color="333333"/>
              <w:bottom w:val="single" w:sz="4" w:space="0" w:color="333333"/>
              <w:right w:val="single" w:sz="4" w:space="0" w:color="333333"/>
            </w:tcBorders>
          </w:tcPr>
          <w:p w14:paraId="66B80339" w14:textId="6960482E" w:rsidR="000E2CE7" w:rsidRPr="00BB73C0" w:rsidRDefault="000E2CE7" w:rsidP="00ED12DF">
            <w:pPr>
              <w:spacing w:before="60" w:after="60"/>
              <w:rPr>
                <w:rFonts w:ascii="Arial" w:hAnsi="Arial" w:cs="Arial"/>
                <w:sz w:val="20"/>
                <w:szCs w:val="20"/>
              </w:rPr>
            </w:pPr>
            <w:r>
              <w:rPr>
                <w:rFonts w:ascii="Arial" w:hAnsi="Arial" w:cs="Arial"/>
                <w:sz w:val="20"/>
                <w:szCs w:val="20"/>
              </w:rPr>
              <w:t>Dr</w:t>
            </w:r>
          </w:p>
        </w:tc>
        <w:tc>
          <w:tcPr>
            <w:tcW w:w="1485" w:type="dxa"/>
            <w:gridSpan w:val="2"/>
            <w:tcBorders>
              <w:top w:val="single" w:sz="4" w:space="0" w:color="333333"/>
              <w:left w:val="single" w:sz="4" w:space="0" w:color="333333"/>
              <w:bottom w:val="single" w:sz="4" w:space="0" w:color="333333"/>
              <w:right w:val="single" w:sz="4" w:space="0" w:color="333333"/>
            </w:tcBorders>
          </w:tcPr>
          <w:p w14:paraId="3C608A4F"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First Name</w:t>
            </w:r>
          </w:p>
        </w:tc>
        <w:tc>
          <w:tcPr>
            <w:tcW w:w="1558" w:type="dxa"/>
            <w:gridSpan w:val="2"/>
            <w:tcBorders>
              <w:top w:val="single" w:sz="4" w:space="0" w:color="333333"/>
              <w:left w:val="single" w:sz="4" w:space="0" w:color="333333"/>
              <w:bottom w:val="single" w:sz="4" w:space="0" w:color="333333"/>
              <w:right w:val="single" w:sz="4" w:space="0" w:color="333333"/>
            </w:tcBorders>
          </w:tcPr>
          <w:p w14:paraId="5EA6C20D" w14:textId="516FA98E" w:rsidR="000E2CE7" w:rsidRPr="00BB73C0" w:rsidRDefault="0036516B" w:rsidP="00ED12DF">
            <w:pPr>
              <w:spacing w:before="60" w:after="60"/>
              <w:rPr>
                <w:rFonts w:ascii="Arial" w:hAnsi="Arial" w:cs="Arial"/>
                <w:sz w:val="20"/>
                <w:szCs w:val="20"/>
              </w:rPr>
            </w:pPr>
            <w:r>
              <w:rPr>
                <w:rFonts w:ascii="Arial" w:hAnsi="Arial" w:cs="Arial"/>
                <w:sz w:val="20"/>
                <w:szCs w:val="20"/>
              </w:rPr>
              <w:t>Daniel</w:t>
            </w:r>
          </w:p>
        </w:tc>
        <w:tc>
          <w:tcPr>
            <w:tcW w:w="1514" w:type="dxa"/>
            <w:gridSpan w:val="2"/>
            <w:tcBorders>
              <w:top w:val="single" w:sz="4" w:space="0" w:color="333333"/>
              <w:left w:val="single" w:sz="4" w:space="0" w:color="333333"/>
              <w:bottom w:val="single" w:sz="4" w:space="0" w:color="333333"/>
              <w:right w:val="single" w:sz="4" w:space="0" w:color="333333"/>
            </w:tcBorders>
          </w:tcPr>
          <w:p w14:paraId="3E6F6642"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Surname</w:t>
            </w:r>
          </w:p>
        </w:tc>
        <w:tc>
          <w:tcPr>
            <w:tcW w:w="1487" w:type="dxa"/>
            <w:gridSpan w:val="3"/>
            <w:tcBorders>
              <w:top w:val="single" w:sz="4" w:space="0" w:color="333333"/>
              <w:left w:val="single" w:sz="4" w:space="0" w:color="333333"/>
              <w:bottom w:val="single" w:sz="4" w:space="0" w:color="333333"/>
              <w:right w:val="single" w:sz="4" w:space="0" w:color="333333"/>
            </w:tcBorders>
          </w:tcPr>
          <w:p w14:paraId="52B2BD47" w14:textId="43C87DBC" w:rsidR="000E2CE7" w:rsidRPr="00BB73C0" w:rsidRDefault="0036516B" w:rsidP="000E2CE7">
            <w:pPr>
              <w:spacing w:before="60" w:after="60"/>
              <w:rPr>
                <w:rFonts w:ascii="Arial" w:hAnsi="Arial" w:cs="Arial"/>
                <w:sz w:val="20"/>
                <w:szCs w:val="20"/>
              </w:rPr>
            </w:pPr>
            <w:r>
              <w:rPr>
                <w:rFonts w:ascii="Arial" w:hAnsi="Arial" w:cs="Arial"/>
                <w:sz w:val="20"/>
                <w:szCs w:val="20"/>
              </w:rPr>
              <w:t>Niewodowski</w:t>
            </w:r>
          </w:p>
        </w:tc>
      </w:tr>
      <w:tr w:rsidR="000E2CE7" w:rsidRPr="00BB73C0" w14:paraId="761F6DB7" w14:textId="77777777" w:rsidTr="000E2CE7">
        <w:tc>
          <w:tcPr>
            <w:tcW w:w="511" w:type="dxa"/>
            <w:tcBorders>
              <w:right w:val="single" w:sz="4" w:space="0" w:color="333333"/>
            </w:tcBorders>
          </w:tcPr>
          <w:p w14:paraId="5942A22E"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6C54B758"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11"/>
            <w:tcBorders>
              <w:top w:val="single" w:sz="4" w:space="0" w:color="333333"/>
              <w:left w:val="single" w:sz="4" w:space="0" w:color="333333"/>
              <w:bottom w:val="single" w:sz="4" w:space="0" w:color="333333"/>
              <w:right w:val="single" w:sz="4" w:space="0" w:color="333333"/>
            </w:tcBorders>
          </w:tcPr>
          <w:p w14:paraId="090A95BF" w14:textId="4E1271D2" w:rsidR="000E2CE7" w:rsidRPr="00BB73C0" w:rsidRDefault="0022479D">
            <w:pPr>
              <w:spacing w:before="60" w:after="60"/>
              <w:rPr>
                <w:rFonts w:ascii="Arial" w:hAnsi="Arial" w:cs="Arial"/>
                <w:sz w:val="20"/>
                <w:szCs w:val="20"/>
              </w:rPr>
            </w:pPr>
            <w:r>
              <w:rPr>
                <w:rFonts w:ascii="Arial" w:hAnsi="Arial" w:cs="Arial"/>
                <w:sz w:val="20"/>
                <w:szCs w:val="20"/>
              </w:rPr>
              <w:t xml:space="preserve">Department of Medicine, </w:t>
            </w:r>
            <w:r w:rsidR="0036516B">
              <w:rPr>
                <w:rFonts w:ascii="Arial" w:hAnsi="Arial" w:cs="Arial"/>
                <w:sz w:val="20"/>
                <w:szCs w:val="20"/>
              </w:rPr>
              <w:t>Frankston Hospital 2 Hastings Road</w:t>
            </w:r>
            <w:r w:rsidR="00AA026B">
              <w:rPr>
                <w:rFonts w:ascii="Arial" w:hAnsi="Arial" w:cs="Arial"/>
                <w:sz w:val="20"/>
                <w:szCs w:val="20"/>
              </w:rPr>
              <w:t>, Frankston Victoria 3199.</w:t>
            </w:r>
          </w:p>
        </w:tc>
      </w:tr>
      <w:tr w:rsidR="000E2CE7" w:rsidRPr="00BB73C0" w14:paraId="24345C2A" w14:textId="77777777" w:rsidTr="000E2CE7">
        <w:tc>
          <w:tcPr>
            <w:tcW w:w="511" w:type="dxa"/>
            <w:tcBorders>
              <w:right w:val="single" w:sz="4" w:space="0" w:color="333333"/>
            </w:tcBorders>
          </w:tcPr>
          <w:p w14:paraId="2EC10190"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3D65C35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4"/>
            <w:tcBorders>
              <w:top w:val="single" w:sz="4" w:space="0" w:color="333333"/>
              <w:left w:val="single" w:sz="4" w:space="0" w:color="333333"/>
              <w:bottom w:val="single" w:sz="4" w:space="0" w:color="333333"/>
              <w:right w:val="single" w:sz="4" w:space="0" w:color="333333"/>
            </w:tcBorders>
          </w:tcPr>
          <w:p w14:paraId="0404764B" w14:textId="0DEF9624" w:rsidR="000E2CE7" w:rsidRPr="00AD65C7" w:rsidRDefault="0036516B" w:rsidP="00ED12DF">
            <w:pPr>
              <w:spacing w:before="60" w:after="60"/>
              <w:rPr>
                <w:rFonts w:ascii="Arial" w:hAnsi="Arial" w:cs="Arial"/>
                <w:sz w:val="20"/>
                <w:szCs w:val="20"/>
              </w:rPr>
            </w:pPr>
            <w:r>
              <w:rPr>
                <w:rFonts w:ascii="Arial" w:hAnsi="Arial" w:cs="Arial"/>
                <w:sz w:val="20"/>
                <w:szCs w:val="20"/>
              </w:rPr>
              <w:t>Frankston</w:t>
            </w:r>
          </w:p>
        </w:tc>
        <w:tc>
          <w:tcPr>
            <w:tcW w:w="1558" w:type="dxa"/>
            <w:gridSpan w:val="2"/>
            <w:tcBorders>
              <w:top w:val="single" w:sz="4" w:space="0" w:color="333333"/>
              <w:left w:val="single" w:sz="4" w:space="0" w:color="333333"/>
              <w:bottom w:val="single" w:sz="4" w:space="0" w:color="333333"/>
              <w:right w:val="single" w:sz="4" w:space="0" w:color="333333"/>
            </w:tcBorders>
          </w:tcPr>
          <w:p w14:paraId="3A3AD4DE" w14:textId="77777777" w:rsidR="000E2CE7" w:rsidRPr="00BB73C0" w:rsidRDefault="000E2CE7" w:rsidP="00ED12DF">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5"/>
            <w:tcBorders>
              <w:top w:val="single" w:sz="4" w:space="0" w:color="333333"/>
              <w:left w:val="single" w:sz="4" w:space="0" w:color="333333"/>
              <w:bottom w:val="single" w:sz="4" w:space="0" w:color="333333"/>
              <w:right w:val="single" w:sz="4" w:space="0" w:color="333333"/>
            </w:tcBorders>
          </w:tcPr>
          <w:p w14:paraId="7E051645" w14:textId="3B5FAC49" w:rsidR="000E2CE7" w:rsidRPr="00BB73C0" w:rsidRDefault="0036516B" w:rsidP="00ED12DF">
            <w:pPr>
              <w:spacing w:before="60" w:after="60"/>
              <w:rPr>
                <w:rFonts w:ascii="Arial" w:hAnsi="Arial" w:cs="Arial"/>
                <w:sz w:val="20"/>
                <w:szCs w:val="20"/>
              </w:rPr>
            </w:pPr>
            <w:r>
              <w:rPr>
                <w:rFonts w:ascii="Arial" w:hAnsi="Arial" w:cs="Arial"/>
                <w:sz w:val="20"/>
                <w:szCs w:val="20"/>
              </w:rPr>
              <w:t>3199</w:t>
            </w:r>
          </w:p>
        </w:tc>
      </w:tr>
      <w:tr w:rsidR="000E2CE7" w:rsidRPr="00BB73C0" w14:paraId="753226FD" w14:textId="77777777" w:rsidTr="000E2CE7">
        <w:tc>
          <w:tcPr>
            <w:tcW w:w="511" w:type="dxa"/>
            <w:tcBorders>
              <w:right w:val="single" w:sz="4" w:space="0" w:color="333333"/>
            </w:tcBorders>
          </w:tcPr>
          <w:p w14:paraId="07C07DEB"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7EAB5ED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Organisation</w:t>
            </w:r>
          </w:p>
        </w:tc>
        <w:tc>
          <w:tcPr>
            <w:tcW w:w="3039" w:type="dxa"/>
            <w:gridSpan w:val="4"/>
            <w:tcBorders>
              <w:top w:val="single" w:sz="4" w:space="0" w:color="333333"/>
              <w:left w:val="single" w:sz="4" w:space="0" w:color="333333"/>
              <w:bottom w:val="single" w:sz="4" w:space="0" w:color="333333"/>
              <w:right w:val="single" w:sz="4" w:space="0" w:color="333333"/>
            </w:tcBorders>
          </w:tcPr>
          <w:p w14:paraId="0F630A7F" w14:textId="606131C0" w:rsidR="000E2CE7" w:rsidRPr="00AD65C7" w:rsidRDefault="0036516B">
            <w:pPr>
              <w:spacing w:before="60" w:after="60"/>
              <w:rPr>
                <w:rFonts w:ascii="Arial" w:hAnsi="Arial" w:cs="Arial"/>
                <w:sz w:val="20"/>
                <w:szCs w:val="20"/>
              </w:rPr>
            </w:pPr>
            <w:r>
              <w:rPr>
                <w:rFonts w:ascii="Arial" w:hAnsi="Arial" w:cs="Arial"/>
                <w:sz w:val="20"/>
                <w:szCs w:val="20"/>
              </w:rPr>
              <w:t>Frankston</w:t>
            </w:r>
            <w:r w:rsidR="00D76FB1">
              <w:rPr>
                <w:rFonts w:ascii="Arial" w:hAnsi="Arial" w:cs="Arial"/>
                <w:sz w:val="20"/>
                <w:szCs w:val="20"/>
              </w:rPr>
              <w:t xml:space="preserve"> Hospital</w:t>
            </w:r>
          </w:p>
        </w:tc>
        <w:tc>
          <w:tcPr>
            <w:tcW w:w="1558" w:type="dxa"/>
            <w:gridSpan w:val="2"/>
            <w:tcBorders>
              <w:top w:val="single" w:sz="4" w:space="0" w:color="333333"/>
              <w:left w:val="single" w:sz="4" w:space="0" w:color="333333"/>
              <w:bottom w:val="single" w:sz="4" w:space="0" w:color="333333"/>
              <w:right w:val="single" w:sz="4" w:space="0" w:color="333333"/>
            </w:tcBorders>
          </w:tcPr>
          <w:p w14:paraId="65966541" w14:textId="77777777" w:rsidR="000E2CE7" w:rsidRPr="00BB73C0" w:rsidRDefault="000E2CE7" w:rsidP="00ED12DF">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5"/>
            <w:tcBorders>
              <w:top w:val="single" w:sz="4" w:space="0" w:color="333333"/>
              <w:left w:val="single" w:sz="4" w:space="0" w:color="333333"/>
              <w:bottom w:val="single" w:sz="4" w:space="0" w:color="333333"/>
              <w:right w:val="single" w:sz="4" w:space="0" w:color="333333"/>
            </w:tcBorders>
          </w:tcPr>
          <w:p w14:paraId="55B75484" w14:textId="24D92450" w:rsidR="000E2CE7" w:rsidRPr="00BB73C0" w:rsidRDefault="00AA7782" w:rsidP="00ED12DF">
            <w:pPr>
              <w:spacing w:before="60" w:after="60"/>
              <w:rPr>
                <w:rFonts w:ascii="Arial" w:hAnsi="Arial" w:cs="Arial"/>
                <w:sz w:val="20"/>
                <w:szCs w:val="20"/>
              </w:rPr>
            </w:pPr>
            <w:r>
              <w:rPr>
                <w:rFonts w:ascii="Arial" w:hAnsi="Arial" w:cs="Arial"/>
                <w:sz w:val="20"/>
                <w:szCs w:val="20"/>
              </w:rPr>
              <w:t>Medicine</w:t>
            </w:r>
          </w:p>
        </w:tc>
      </w:tr>
      <w:tr w:rsidR="000E2CE7" w:rsidRPr="00BB73C0" w14:paraId="5DFF2E0F" w14:textId="77777777" w:rsidTr="000E2CE7">
        <w:tc>
          <w:tcPr>
            <w:tcW w:w="511" w:type="dxa"/>
            <w:tcBorders>
              <w:right w:val="single" w:sz="4" w:space="0" w:color="333333"/>
            </w:tcBorders>
          </w:tcPr>
          <w:p w14:paraId="200EAC5A"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6DF6B6A9"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4"/>
            <w:tcBorders>
              <w:top w:val="single" w:sz="4" w:space="0" w:color="333333"/>
              <w:left w:val="single" w:sz="4" w:space="0" w:color="333333"/>
              <w:bottom w:val="single" w:sz="4" w:space="0" w:color="333333"/>
              <w:right w:val="single" w:sz="4" w:space="0" w:color="333333"/>
            </w:tcBorders>
          </w:tcPr>
          <w:p w14:paraId="2CCA538D" w14:textId="0BBE8CA9" w:rsidR="000E2CE7" w:rsidRPr="00AD65C7" w:rsidRDefault="000E2CE7" w:rsidP="00ED12DF">
            <w:pPr>
              <w:spacing w:before="60" w:after="60"/>
              <w:rPr>
                <w:rFonts w:ascii="Arial" w:hAnsi="Arial" w:cs="Arial"/>
                <w:sz w:val="20"/>
                <w:szCs w:val="20"/>
              </w:rPr>
            </w:pPr>
            <w:r>
              <w:rPr>
                <w:rFonts w:ascii="Arial" w:hAnsi="Arial" w:cs="Arial"/>
                <w:sz w:val="20"/>
                <w:szCs w:val="20"/>
              </w:rPr>
              <w:t>Registrar</w:t>
            </w:r>
          </w:p>
        </w:tc>
        <w:tc>
          <w:tcPr>
            <w:tcW w:w="1558" w:type="dxa"/>
            <w:gridSpan w:val="2"/>
            <w:tcBorders>
              <w:top w:val="single" w:sz="4" w:space="0" w:color="333333"/>
              <w:left w:val="single" w:sz="4" w:space="0" w:color="333333"/>
              <w:bottom w:val="single" w:sz="4" w:space="0" w:color="333333"/>
              <w:right w:val="single" w:sz="4" w:space="0" w:color="333333"/>
            </w:tcBorders>
          </w:tcPr>
          <w:p w14:paraId="68F42043"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5"/>
            <w:tcBorders>
              <w:top w:val="single" w:sz="4" w:space="0" w:color="333333"/>
              <w:left w:val="single" w:sz="4" w:space="0" w:color="333333"/>
              <w:bottom w:val="single" w:sz="4" w:space="0" w:color="333333"/>
              <w:right w:val="single" w:sz="4" w:space="0" w:color="333333"/>
            </w:tcBorders>
          </w:tcPr>
          <w:p w14:paraId="78869496" w14:textId="4BB6A2CF" w:rsidR="000E2CE7" w:rsidRPr="00E0703C" w:rsidRDefault="008A723F" w:rsidP="00ED12DF">
            <w:pPr>
              <w:spacing w:before="60" w:after="60"/>
              <w:rPr>
                <w:rFonts w:ascii="Arial" w:hAnsi="Arial" w:cs="Arial"/>
                <w:sz w:val="20"/>
                <w:szCs w:val="20"/>
              </w:rPr>
            </w:pPr>
            <w:r>
              <w:rPr>
                <w:rFonts w:ascii="Arial" w:hAnsi="Arial" w:cs="Arial"/>
                <w:sz w:val="20"/>
                <w:szCs w:val="20"/>
              </w:rPr>
              <w:t>MBBS</w:t>
            </w:r>
          </w:p>
        </w:tc>
      </w:tr>
      <w:tr w:rsidR="000E2CE7" w:rsidRPr="00BB73C0" w14:paraId="3392683F" w14:textId="77777777" w:rsidTr="000E2CE7">
        <w:tc>
          <w:tcPr>
            <w:tcW w:w="511" w:type="dxa"/>
            <w:tcBorders>
              <w:right w:val="single" w:sz="4" w:space="0" w:color="333333"/>
            </w:tcBorders>
          </w:tcPr>
          <w:p w14:paraId="2196E120"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34473CC7"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4"/>
            <w:tcBorders>
              <w:top w:val="single" w:sz="4" w:space="0" w:color="333333"/>
              <w:left w:val="single" w:sz="4" w:space="0" w:color="333333"/>
              <w:bottom w:val="single" w:sz="4" w:space="0" w:color="333333"/>
              <w:right w:val="single" w:sz="4" w:space="0" w:color="333333"/>
            </w:tcBorders>
          </w:tcPr>
          <w:p w14:paraId="2BF361F4" w14:textId="6E5DE669" w:rsidR="000E2CE7" w:rsidRPr="00AD65C7" w:rsidRDefault="00AA026B" w:rsidP="00ED12DF">
            <w:pPr>
              <w:spacing w:before="60" w:after="60"/>
              <w:rPr>
                <w:rFonts w:ascii="Arial" w:hAnsi="Arial" w:cs="Arial"/>
                <w:sz w:val="20"/>
                <w:szCs w:val="20"/>
              </w:rPr>
            </w:pPr>
            <w:r w:rsidRPr="00AD65C7">
              <w:rPr>
                <w:rFonts w:ascii="Arial" w:hAnsi="Arial" w:cs="Arial"/>
                <w:sz w:val="20"/>
                <w:szCs w:val="20"/>
              </w:rPr>
              <w:t>0397847</w:t>
            </w:r>
            <w:r>
              <w:rPr>
                <w:rFonts w:ascii="Arial" w:hAnsi="Arial" w:cs="Arial"/>
                <w:sz w:val="20"/>
                <w:szCs w:val="20"/>
              </w:rPr>
              <w:t>777</w:t>
            </w:r>
          </w:p>
        </w:tc>
        <w:tc>
          <w:tcPr>
            <w:tcW w:w="1558" w:type="dxa"/>
            <w:gridSpan w:val="2"/>
            <w:tcBorders>
              <w:top w:val="single" w:sz="4" w:space="0" w:color="333333"/>
              <w:left w:val="single" w:sz="4" w:space="0" w:color="333333"/>
              <w:bottom w:val="single" w:sz="4" w:space="0" w:color="333333"/>
              <w:right w:val="single" w:sz="4" w:space="0" w:color="333333"/>
            </w:tcBorders>
          </w:tcPr>
          <w:p w14:paraId="3301A84E"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5"/>
            <w:tcBorders>
              <w:top w:val="single" w:sz="4" w:space="0" w:color="333333"/>
              <w:left w:val="single" w:sz="4" w:space="0" w:color="333333"/>
              <w:bottom w:val="single" w:sz="4" w:space="0" w:color="333333"/>
              <w:right w:val="single" w:sz="4" w:space="0" w:color="333333"/>
            </w:tcBorders>
          </w:tcPr>
          <w:p w14:paraId="61A289EE" w14:textId="2826F72D" w:rsidR="000E2CE7" w:rsidRPr="00BB73C0" w:rsidRDefault="000E2CE7" w:rsidP="00ED12DF">
            <w:pPr>
              <w:spacing w:before="60" w:after="60"/>
              <w:rPr>
                <w:rFonts w:ascii="Arial" w:hAnsi="Arial" w:cs="Arial"/>
                <w:sz w:val="20"/>
                <w:szCs w:val="20"/>
              </w:rPr>
            </w:pPr>
          </w:p>
        </w:tc>
      </w:tr>
      <w:tr w:rsidR="000E2CE7" w:rsidRPr="00BB73C0" w14:paraId="4FDB9508" w14:textId="77777777" w:rsidTr="000E2CE7">
        <w:tc>
          <w:tcPr>
            <w:tcW w:w="511" w:type="dxa"/>
            <w:tcBorders>
              <w:right w:val="single" w:sz="4" w:space="0" w:color="333333"/>
            </w:tcBorders>
          </w:tcPr>
          <w:p w14:paraId="12B60B3C"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6CD9C82C" w14:textId="77777777" w:rsidR="000E2CE7" w:rsidRPr="00BB73C0" w:rsidRDefault="000E2CE7" w:rsidP="00ED12DF">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11"/>
            <w:tcBorders>
              <w:top w:val="single" w:sz="4" w:space="0" w:color="333333"/>
              <w:left w:val="single" w:sz="4" w:space="0" w:color="333333"/>
              <w:bottom w:val="single" w:sz="4" w:space="0" w:color="333333"/>
              <w:right w:val="single" w:sz="4" w:space="0" w:color="333333"/>
            </w:tcBorders>
          </w:tcPr>
          <w:p w14:paraId="79E135D8" w14:textId="79E553A2" w:rsidR="000E2CE7" w:rsidRPr="00BB73C0" w:rsidRDefault="0036516B" w:rsidP="00ED12DF">
            <w:pPr>
              <w:spacing w:before="60" w:after="60"/>
              <w:rPr>
                <w:rFonts w:ascii="Arial" w:hAnsi="Arial" w:cs="Arial"/>
                <w:sz w:val="20"/>
                <w:szCs w:val="20"/>
              </w:rPr>
            </w:pPr>
            <w:r>
              <w:rPr>
                <w:rFonts w:ascii="Arial" w:hAnsi="Arial" w:cs="Arial"/>
                <w:sz w:val="20"/>
                <w:szCs w:val="20"/>
              </w:rPr>
              <w:t>daniel.niewodowski@gmail.com</w:t>
            </w:r>
          </w:p>
        </w:tc>
      </w:tr>
      <w:tr w:rsidR="000E2CE7" w:rsidRPr="00BB73C0" w14:paraId="7174B7EC" w14:textId="77777777" w:rsidTr="000E2CE7">
        <w:tc>
          <w:tcPr>
            <w:tcW w:w="511" w:type="dxa"/>
            <w:tcBorders>
              <w:right w:val="single" w:sz="4" w:space="0" w:color="333333"/>
            </w:tcBorders>
          </w:tcPr>
          <w:p w14:paraId="35F12D99" w14:textId="77777777" w:rsidR="000E2CE7" w:rsidRPr="00BB73C0" w:rsidRDefault="000E2CE7" w:rsidP="00ED12DF">
            <w:pPr>
              <w:spacing w:before="60" w:after="60"/>
              <w:rPr>
                <w:rFonts w:ascii="Arial" w:hAnsi="Arial" w:cs="Arial"/>
                <w:b/>
                <w:sz w:val="20"/>
                <w:szCs w:val="20"/>
              </w:rPr>
            </w:pPr>
          </w:p>
        </w:tc>
        <w:tc>
          <w:tcPr>
            <w:tcW w:w="1899" w:type="dxa"/>
            <w:gridSpan w:val="3"/>
            <w:tcBorders>
              <w:top w:val="single" w:sz="4" w:space="0" w:color="333333"/>
              <w:left w:val="single" w:sz="4" w:space="0" w:color="333333"/>
              <w:bottom w:val="single" w:sz="4" w:space="0" w:color="333333"/>
              <w:right w:val="single" w:sz="4" w:space="0" w:color="333333"/>
            </w:tcBorders>
          </w:tcPr>
          <w:p w14:paraId="006F0A52" w14:textId="77777777" w:rsidR="000E2CE7" w:rsidRPr="00BB73C0" w:rsidRDefault="000E2CE7" w:rsidP="00ED12DF">
            <w:pPr>
              <w:spacing w:before="60" w:after="60"/>
              <w:rPr>
                <w:rFonts w:ascii="Arial" w:hAnsi="Arial" w:cs="Arial"/>
                <w:b/>
                <w:sz w:val="20"/>
                <w:szCs w:val="20"/>
              </w:rPr>
            </w:pPr>
            <w:r>
              <w:rPr>
                <w:rFonts w:ascii="Arial" w:hAnsi="Arial" w:cs="Arial"/>
                <w:b/>
                <w:sz w:val="20"/>
                <w:szCs w:val="20"/>
              </w:rPr>
              <w:t>Project Role</w:t>
            </w:r>
          </w:p>
        </w:tc>
        <w:tc>
          <w:tcPr>
            <w:tcW w:w="7598" w:type="dxa"/>
            <w:gridSpan w:val="11"/>
            <w:tcBorders>
              <w:top w:val="single" w:sz="4" w:space="0" w:color="333333"/>
              <w:left w:val="single" w:sz="4" w:space="0" w:color="333333"/>
              <w:bottom w:val="single" w:sz="4" w:space="0" w:color="333333"/>
              <w:right w:val="single" w:sz="4" w:space="0" w:color="333333"/>
            </w:tcBorders>
          </w:tcPr>
          <w:p w14:paraId="3EEBA70F" w14:textId="77777777" w:rsidR="000E2CE7" w:rsidRPr="00BB73C0" w:rsidRDefault="000E2CE7" w:rsidP="00ED12DF">
            <w:pPr>
              <w:spacing w:before="60" w:after="60"/>
              <w:rPr>
                <w:rFonts w:ascii="Arial" w:hAnsi="Arial" w:cs="Arial"/>
                <w:sz w:val="20"/>
                <w:szCs w:val="20"/>
              </w:rPr>
            </w:pPr>
            <w:r>
              <w:rPr>
                <w:rFonts w:ascii="Arial" w:hAnsi="Arial" w:cs="Arial"/>
                <w:sz w:val="20"/>
                <w:szCs w:val="20"/>
              </w:rPr>
              <w:t>Associate investigator</w:t>
            </w:r>
          </w:p>
        </w:tc>
      </w:tr>
      <w:tr w:rsidR="007868FE" w:rsidRPr="00BB73C0" w14:paraId="1F1050B1" w14:textId="77777777" w:rsidTr="000E2CE7">
        <w:trPr>
          <w:gridAfter w:val="1"/>
          <w:wAfter w:w="108" w:type="dxa"/>
        </w:trPr>
        <w:tc>
          <w:tcPr>
            <w:tcW w:w="540" w:type="dxa"/>
            <w:gridSpan w:val="2"/>
          </w:tcPr>
          <w:p w14:paraId="6D297E3F" w14:textId="77777777" w:rsidR="00100953" w:rsidRPr="00BB73C0" w:rsidRDefault="00100953" w:rsidP="009F4DD9">
            <w:pPr>
              <w:spacing w:before="60" w:after="60"/>
              <w:rPr>
                <w:rFonts w:ascii="Arial" w:hAnsi="Arial" w:cs="Arial"/>
                <w:b/>
                <w:sz w:val="20"/>
                <w:szCs w:val="20"/>
              </w:rPr>
            </w:pPr>
          </w:p>
        </w:tc>
        <w:tc>
          <w:tcPr>
            <w:tcW w:w="9360" w:type="dxa"/>
            <w:gridSpan w:val="12"/>
          </w:tcPr>
          <w:p w14:paraId="41FF1F29" w14:textId="77777777" w:rsidR="007C370B" w:rsidRDefault="007C370B" w:rsidP="007C370B">
            <w:pPr>
              <w:rPr>
                <w:rFonts w:ascii="Arial" w:hAnsi="Arial" w:cs="Arial"/>
                <w:b/>
                <w:sz w:val="20"/>
                <w:szCs w:val="20"/>
              </w:rPr>
            </w:pPr>
          </w:p>
          <w:tbl>
            <w:tblPr>
              <w:tblStyle w:val="TableGrid"/>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7"/>
              <w:gridCol w:w="1487"/>
              <w:gridCol w:w="1421"/>
              <w:gridCol w:w="1426"/>
              <w:gridCol w:w="1134"/>
              <w:gridCol w:w="1803"/>
            </w:tblGrid>
            <w:tr w:rsidR="007C370B" w:rsidRPr="00BB73C0" w14:paraId="2D075CD8"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0E07112C"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Title</w:t>
                  </w:r>
                </w:p>
              </w:tc>
              <w:tc>
                <w:tcPr>
                  <w:tcW w:w="1487" w:type="dxa"/>
                  <w:tcBorders>
                    <w:top w:val="single" w:sz="4" w:space="0" w:color="333333"/>
                    <w:left w:val="single" w:sz="4" w:space="0" w:color="333333"/>
                    <w:bottom w:val="single" w:sz="4" w:space="0" w:color="333333"/>
                    <w:right w:val="single" w:sz="4" w:space="0" w:color="333333"/>
                  </w:tcBorders>
                </w:tcPr>
                <w:p w14:paraId="402A6CC6" w14:textId="77777777" w:rsidR="007C370B" w:rsidRPr="00BB73C0" w:rsidRDefault="007C370B" w:rsidP="005609D3">
                  <w:pPr>
                    <w:spacing w:before="60" w:after="60"/>
                    <w:rPr>
                      <w:rFonts w:ascii="Arial" w:hAnsi="Arial" w:cs="Arial"/>
                      <w:sz w:val="20"/>
                      <w:szCs w:val="20"/>
                    </w:rPr>
                  </w:pPr>
                  <w:r>
                    <w:rPr>
                      <w:rFonts w:ascii="Arial" w:hAnsi="Arial" w:cs="Arial"/>
                      <w:sz w:val="20"/>
                      <w:szCs w:val="20"/>
                    </w:rPr>
                    <w:t>Dr</w:t>
                  </w:r>
                </w:p>
              </w:tc>
              <w:tc>
                <w:tcPr>
                  <w:tcW w:w="1421" w:type="dxa"/>
                  <w:tcBorders>
                    <w:top w:val="single" w:sz="4" w:space="0" w:color="333333"/>
                    <w:left w:val="single" w:sz="4" w:space="0" w:color="333333"/>
                    <w:bottom w:val="single" w:sz="4" w:space="0" w:color="333333"/>
                    <w:right w:val="single" w:sz="4" w:space="0" w:color="333333"/>
                  </w:tcBorders>
                </w:tcPr>
                <w:p w14:paraId="369BACB7"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First Name</w:t>
                  </w:r>
                </w:p>
              </w:tc>
              <w:tc>
                <w:tcPr>
                  <w:tcW w:w="1426" w:type="dxa"/>
                  <w:tcBorders>
                    <w:top w:val="single" w:sz="4" w:space="0" w:color="333333"/>
                    <w:left w:val="single" w:sz="4" w:space="0" w:color="333333"/>
                    <w:bottom w:val="single" w:sz="4" w:space="0" w:color="333333"/>
                    <w:right w:val="single" w:sz="4" w:space="0" w:color="333333"/>
                  </w:tcBorders>
                </w:tcPr>
                <w:p w14:paraId="0D3DB895" w14:textId="688B0384" w:rsidR="007C370B" w:rsidRPr="00BB73C0" w:rsidRDefault="007A327C" w:rsidP="005609D3">
                  <w:pPr>
                    <w:spacing w:before="60" w:after="60"/>
                    <w:rPr>
                      <w:rFonts w:ascii="Arial" w:hAnsi="Arial" w:cs="Arial"/>
                      <w:sz w:val="20"/>
                      <w:szCs w:val="20"/>
                    </w:rPr>
                  </w:pPr>
                  <w:proofErr w:type="spellStart"/>
                  <w:r>
                    <w:rPr>
                      <w:rFonts w:ascii="Arial" w:hAnsi="Arial" w:cs="Arial"/>
                      <w:sz w:val="20"/>
                      <w:szCs w:val="20"/>
                    </w:rPr>
                    <w:t>Rumes</w:t>
                  </w:r>
                  <w:proofErr w:type="spellEnd"/>
                </w:p>
              </w:tc>
              <w:tc>
                <w:tcPr>
                  <w:tcW w:w="1134" w:type="dxa"/>
                  <w:tcBorders>
                    <w:top w:val="single" w:sz="4" w:space="0" w:color="333333"/>
                    <w:left w:val="single" w:sz="4" w:space="0" w:color="333333"/>
                    <w:bottom w:val="single" w:sz="4" w:space="0" w:color="333333"/>
                    <w:right w:val="single" w:sz="4" w:space="0" w:color="333333"/>
                  </w:tcBorders>
                </w:tcPr>
                <w:p w14:paraId="13DEE647"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Surname</w:t>
                  </w:r>
                </w:p>
              </w:tc>
              <w:tc>
                <w:tcPr>
                  <w:tcW w:w="1803" w:type="dxa"/>
                  <w:tcBorders>
                    <w:top w:val="single" w:sz="4" w:space="0" w:color="333333"/>
                    <w:left w:val="single" w:sz="4" w:space="0" w:color="333333"/>
                    <w:bottom w:val="single" w:sz="4" w:space="0" w:color="333333"/>
                    <w:right w:val="single" w:sz="4" w:space="0" w:color="333333"/>
                  </w:tcBorders>
                </w:tcPr>
                <w:p w14:paraId="6934E378" w14:textId="7F325C0F" w:rsidR="007C370B" w:rsidRPr="00BB73C0" w:rsidRDefault="007A327C" w:rsidP="005609D3">
                  <w:pPr>
                    <w:spacing w:before="60" w:after="60"/>
                    <w:rPr>
                      <w:rFonts w:ascii="Arial" w:hAnsi="Arial" w:cs="Arial"/>
                      <w:sz w:val="20"/>
                      <w:szCs w:val="20"/>
                    </w:rPr>
                  </w:pPr>
                  <w:proofErr w:type="spellStart"/>
                  <w:r w:rsidRPr="00C07AAF">
                    <w:rPr>
                      <w:rFonts w:ascii="Arial" w:hAnsi="Arial" w:cs="Arial"/>
                      <w:sz w:val="20"/>
                      <w:szCs w:val="20"/>
                    </w:rPr>
                    <w:t>Sriamareswaran</w:t>
                  </w:r>
                  <w:proofErr w:type="spellEnd"/>
                </w:p>
              </w:tc>
            </w:tr>
            <w:tr w:rsidR="007C370B" w:rsidRPr="00BB73C0" w14:paraId="2C029C21"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1C0B1915"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Mailing Address</w:t>
                  </w:r>
                </w:p>
              </w:tc>
              <w:tc>
                <w:tcPr>
                  <w:tcW w:w="7271" w:type="dxa"/>
                  <w:gridSpan w:val="5"/>
                  <w:tcBorders>
                    <w:top w:val="single" w:sz="4" w:space="0" w:color="333333"/>
                    <w:left w:val="single" w:sz="4" w:space="0" w:color="333333"/>
                    <w:bottom w:val="single" w:sz="4" w:space="0" w:color="333333"/>
                    <w:right w:val="single" w:sz="4" w:space="0" w:color="333333"/>
                  </w:tcBorders>
                </w:tcPr>
                <w:p w14:paraId="70CE0E2C" w14:textId="5CFE2403" w:rsidR="007C370B" w:rsidRPr="00BB73C0" w:rsidRDefault="007C370B" w:rsidP="005609D3">
                  <w:pPr>
                    <w:spacing w:before="60" w:after="60"/>
                    <w:rPr>
                      <w:rFonts w:ascii="Arial" w:hAnsi="Arial" w:cs="Arial"/>
                      <w:sz w:val="20"/>
                      <w:szCs w:val="20"/>
                    </w:rPr>
                  </w:pPr>
                  <w:r>
                    <w:rPr>
                      <w:rFonts w:ascii="Arial" w:hAnsi="Arial" w:cs="Arial"/>
                      <w:sz w:val="20"/>
                      <w:szCs w:val="20"/>
                    </w:rPr>
                    <w:t>Department of Medicine, Frankston Hospital 2 Hastings Road</w:t>
                  </w:r>
                  <w:r w:rsidR="00AA026B">
                    <w:rPr>
                      <w:rFonts w:ascii="Arial" w:hAnsi="Arial" w:cs="Arial"/>
                      <w:sz w:val="20"/>
                      <w:szCs w:val="20"/>
                    </w:rPr>
                    <w:t>, Frankston Victoria 3199.</w:t>
                  </w:r>
                </w:p>
              </w:tc>
            </w:tr>
            <w:tr w:rsidR="007C370B" w:rsidRPr="00BB73C0" w14:paraId="0BAFB5D2"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7414D0A6"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Suburb/City</w:t>
                  </w:r>
                </w:p>
              </w:tc>
              <w:tc>
                <w:tcPr>
                  <w:tcW w:w="2908" w:type="dxa"/>
                  <w:gridSpan w:val="2"/>
                  <w:tcBorders>
                    <w:top w:val="single" w:sz="4" w:space="0" w:color="333333"/>
                    <w:left w:val="single" w:sz="4" w:space="0" w:color="333333"/>
                    <w:bottom w:val="single" w:sz="4" w:space="0" w:color="333333"/>
                    <w:right w:val="single" w:sz="4" w:space="0" w:color="333333"/>
                  </w:tcBorders>
                </w:tcPr>
                <w:p w14:paraId="5D95759A" w14:textId="77777777" w:rsidR="007C370B" w:rsidRPr="00AD65C7" w:rsidRDefault="007C370B" w:rsidP="005609D3">
                  <w:pPr>
                    <w:spacing w:before="60" w:after="60"/>
                    <w:rPr>
                      <w:rFonts w:ascii="Arial" w:hAnsi="Arial" w:cs="Arial"/>
                      <w:sz w:val="20"/>
                      <w:szCs w:val="20"/>
                    </w:rPr>
                  </w:pPr>
                  <w:r>
                    <w:rPr>
                      <w:rFonts w:ascii="Arial" w:hAnsi="Arial" w:cs="Arial"/>
                      <w:sz w:val="20"/>
                      <w:szCs w:val="20"/>
                    </w:rPr>
                    <w:t>Frankston</w:t>
                  </w:r>
                </w:p>
              </w:tc>
              <w:tc>
                <w:tcPr>
                  <w:tcW w:w="1426" w:type="dxa"/>
                  <w:tcBorders>
                    <w:top w:val="single" w:sz="4" w:space="0" w:color="333333"/>
                    <w:left w:val="single" w:sz="4" w:space="0" w:color="333333"/>
                    <w:bottom w:val="single" w:sz="4" w:space="0" w:color="333333"/>
                    <w:right w:val="single" w:sz="4" w:space="0" w:color="333333"/>
                  </w:tcBorders>
                </w:tcPr>
                <w:p w14:paraId="49CD742E" w14:textId="77777777" w:rsidR="007C370B" w:rsidRPr="00BB73C0" w:rsidRDefault="007C370B" w:rsidP="005609D3">
                  <w:pPr>
                    <w:spacing w:before="60" w:after="60"/>
                    <w:rPr>
                      <w:rFonts w:ascii="Arial" w:hAnsi="Arial" w:cs="Arial"/>
                      <w:sz w:val="20"/>
                      <w:szCs w:val="20"/>
                    </w:rPr>
                  </w:pPr>
                  <w:r w:rsidRPr="00BB73C0">
                    <w:rPr>
                      <w:rFonts w:ascii="Arial" w:hAnsi="Arial" w:cs="Arial"/>
                      <w:b/>
                      <w:sz w:val="20"/>
                      <w:szCs w:val="20"/>
                    </w:rPr>
                    <w:t>Postcode</w:t>
                  </w:r>
                </w:p>
              </w:tc>
              <w:tc>
                <w:tcPr>
                  <w:tcW w:w="2937" w:type="dxa"/>
                  <w:gridSpan w:val="2"/>
                  <w:tcBorders>
                    <w:top w:val="single" w:sz="4" w:space="0" w:color="333333"/>
                    <w:left w:val="single" w:sz="4" w:space="0" w:color="333333"/>
                    <w:bottom w:val="single" w:sz="4" w:space="0" w:color="333333"/>
                    <w:right w:val="single" w:sz="4" w:space="0" w:color="333333"/>
                  </w:tcBorders>
                </w:tcPr>
                <w:p w14:paraId="69EEDD61" w14:textId="77777777" w:rsidR="007C370B" w:rsidRPr="00BB73C0" w:rsidRDefault="007C370B" w:rsidP="005609D3">
                  <w:pPr>
                    <w:spacing w:before="60" w:after="60"/>
                    <w:rPr>
                      <w:rFonts w:ascii="Arial" w:hAnsi="Arial" w:cs="Arial"/>
                      <w:sz w:val="20"/>
                      <w:szCs w:val="20"/>
                    </w:rPr>
                  </w:pPr>
                  <w:r>
                    <w:rPr>
                      <w:rFonts w:ascii="Arial" w:hAnsi="Arial" w:cs="Arial"/>
                      <w:sz w:val="20"/>
                      <w:szCs w:val="20"/>
                    </w:rPr>
                    <w:t>3199</w:t>
                  </w:r>
                </w:p>
              </w:tc>
            </w:tr>
            <w:tr w:rsidR="007C370B" w:rsidRPr="00BB73C0" w14:paraId="544B645F"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7B7B325C"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Organisation</w:t>
                  </w:r>
                </w:p>
              </w:tc>
              <w:tc>
                <w:tcPr>
                  <w:tcW w:w="2908" w:type="dxa"/>
                  <w:gridSpan w:val="2"/>
                  <w:tcBorders>
                    <w:top w:val="single" w:sz="4" w:space="0" w:color="333333"/>
                    <w:left w:val="single" w:sz="4" w:space="0" w:color="333333"/>
                    <w:bottom w:val="single" w:sz="4" w:space="0" w:color="333333"/>
                    <w:right w:val="single" w:sz="4" w:space="0" w:color="333333"/>
                  </w:tcBorders>
                </w:tcPr>
                <w:p w14:paraId="4047F26D" w14:textId="77777777" w:rsidR="007C370B" w:rsidRPr="00AD65C7" w:rsidRDefault="007C370B" w:rsidP="005609D3">
                  <w:pPr>
                    <w:spacing w:before="60" w:after="60"/>
                    <w:rPr>
                      <w:rFonts w:ascii="Arial" w:hAnsi="Arial" w:cs="Arial"/>
                      <w:sz w:val="20"/>
                      <w:szCs w:val="20"/>
                    </w:rPr>
                  </w:pPr>
                  <w:r>
                    <w:rPr>
                      <w:rFonts w:ascii="Arial" w:hAnsi="Arial" w:cs="Arial"/>
                      <w:sz w:val="20"/>
                      <w:szCs w:val="20"/>
                    </w:rPr>
                    <w:t>Frankston Hospital</w:t>
                  </w:r>
                </w:p>
              </w:tc>
              <w:tc>
                <w:tcPr>
                  <w:tcW w:w="1426" w:type="dxa"/>
                  <w:tcBorders>
                    <w:top w:val="single" w:sz="4" w:space="0" w:color="333333"/>
                    <w:left w:val="single" w:sz="4" w:space="0" w:color="333333"/>
                    <w:bottom w:val="single" w:sz="4" w:space="0" w:color="333333"/>
                    <w:right w:val="single" w:sz="4" w:space="0" w:color="333333"/>
                  </w:tcBorders>
                </w:tcPr>
                <w:p w14:paraId="232C14F1" w14:textId="77777777" w:rsidR="007C370B" w:rsidRPr="00BB73C0" w:rsidRDefault="007C370B" w:rsidP="005609D3">
                  <w:pPr>
                    <w:spacing w:before="60" w:after="60"/>
                    <w:rPr>
                      <w:rFonts w:ascii="Arial" w:hAnsi="Arial" w:cs="Arial"/>
                      <w:sz w:val="20"/>
                      <w:szCs w:val="20"/>
                    </w:rPr>
                  </w:pPr>
                  <w:r w:rsidRPr="00BB73C0">
                    <w:rPr>
                      <w:rFonts w:ascii="Arial" w:hAnsi="Arial" w:cs="Arial"/>
                      <w:b/>
                      <w:sz w:val="20"/>
                      <w:szCs w:val="20"/>
                    </w:rPr>
                    <w:t>Department</w:t>
                  </w:r>
                </w:p>
              </w:tc>
              <w:tc>
                <w:tcPr>
                  <w:tcW w:w="2937" w:type="dxa"/>
                  <w:gridSpan w:val="2"/>
                  <w:tcBorders>
                    <w:top w:val="single" w:sz="4" w:space="0" w:color="333333"/>
                    <w:left w:val="single" w:sz="4" w:space="0" w:color="333333"/>
                    <w:bottom w:val="single" w:sz="4" w:space="0" w:color="333333"/>
                    <w:right w:val="single" w:sz="4" w:space="0" w:color="333333"/>
                  </w:tcBorders>
                </w:tcPr>
                <w:p w14:paraId="6D2C371E" w14:textId="77777777" w:rsidR="007C370B" w:rsidRPr="00BB73C0" w:rsidRDefault="007C370B" w:rsidP="005609D3">
                  <w:pPr>
                    <w:spacing w:before="60" w:after="60"/>
                    <w:rPr>
                      <w:rFonts w:ascii="Arial" w:hAnsi="Arial" w:cs="Arial"/>
                      <w:sz w:val="20"/>
                      <w:szCs w:val="20"/>
                    </w:rPr>
                  </w:pPr>
                  <w:r>
                    <w:rPr>
                      <w:rFonts w:ascii="Arial" w:hAnsi="Arial" w:cs="Arial"/>
                      <w:sz w:val="20"/>
                      <w:szCs w:val="20"/>
                    </w:rPr>
                    <w:t>Medicine</w:t>
                  </w:r>
                </w:p>
              </w:tc>
            </w:tr>
            <w:tr w:rsidR="007C370B" w:rsidRPr="00BB73C0" w14:paraId="2B142329"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6DE188DD"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Appointment</w:t>
                  </w:r>
                </w:p>
              </w:tc>
              <w:tc>
                <w:tcPr>
                  <w:tcW w:w="2908" w:type="dxa"/>
                  <w:gridSpan w:val="2"/>
                  <w:tcBorders>
                    <w:top w:val="single" w:sz="4" w:space="0" w:color="333333"/>
                    <w:left w:val="single" w:sz="4" w:space="0" w:color="333333"/>
                    <w:bottom w:val="single" w:sz="4" w:space="0" w:color="333333"/>
                    <w:right w:val="single" w:sz="4" w:space="0" w:color="333333"/>
                  </w:tcBorders>
                </w:tcPr>
                <w:p w14:paraId="004C7D33" w14:textId="77777777" w:rsidR="007C370B" w:rsidRPr="00AD65C7" w:rsidRDefault="007C370B" w:rsidP="005609D3">
                  <w:pPr>
                    <w:spacing w:before="60" w:after="60"/>
                    <w:rPr>
                      <w:rFonts w:ascii="Arial" w:hAnsi="Arial" w:cs="Arial"/>
                      <w:sz w:val="20"/>
                      <w:szCs w:val="20"/>
                    </w:rPr>
                  </w:pPr>
                  <w:r>
                    <w:rPr>
                      <w:rFonts w:ascii="Arial" w:hAnsi="Arial" w:cs="Arial"/>
                      <w:sz w:val="20"/>
                      <w:szCs w:val="20"/>
                    </w:rPr>
                    <w:t>Registrar</w:t>
                  </w:r>
                </w:p>
              </w:tc>
              <w:tc>
                <w:tcPr>
                  <w:tcW w:w="1426" w:type="dxa"/>
                  <w:tcBorders>
                    <w:top w:val="single" w:sz="4" w:space="0" w:color="333333"/>
                    <w:left w:val="single" w:sz="4" w:space="0" w:color="333333"/>
                    <w:bottom w:val="single" w:sz="4" w:space="0" w:color="333333"/>
                    <w:right w:val="single" w:sz="4" w:space="0" w:color="333333"/>
                  </w:tcBorders>
                </w:tcPr>
                <w:p w14:paraId="116BCB32"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Qualifications</w:t>
                  </w:r>
                </w:p>
              </w:tc>
              <w:tc>
                <w:tcPr>
                  <w:tcW w:w="2937" w:type="dxa"/>
                  <w:gridSpan w:val="2"/>
                  <w:tcBorders>
                    <w:top w:val="single" w:sz="4" w:space="0" w:color="333333"/>
                    <w:left w:val="single" w:sz="4" w:space="0" w:color="333333"/>
                    <w:bottom w:val="single" w:sz="4" w:space="0" w:color="333333"/>
                    <w:right w:val="single" w:sz="4" w:space="0" w:color="333333"/>
                  </w:tcBorders>
                </w:tcPr>
                <w:p w14:paraId="6F5F0372" w14:textId="77777777" w:rsidR="007C370B" w:rsidRPr="00E0703C" w:rsidRDefault="007C370B" w:rsidP="005609D3">
                  <w:pPr>
                    <w:spacing w:before="60" w:after="60"/>
                    <w:rPr>
                      <w:rFonts w:ascii="Arial" w:hAnsi="Arial" w:cs="Arial"/>
                      <w:sz w:val="20"/>
                      <w:szCs w:val="20"/>
                    </w:rPr>
                  </w:pPr>
                  <w:r>
                    <w:rPr>
                      <w:rFonts w:ascii="Arial" w:hAnsi="Arial" w:cs="Arial"/>
                      <w:sz w:val="20"/>
                      <w:szCs w:val="20"/>
                    </w:rPr>
                    <w:t>MBBS</w:t>
                  </w:r>
                </w:p>
              </w:tc>
            </w:tr>
            <w:tr w:rsidR="007C370B" w:rsidRPr="00BB73C0" w14:paraId="7A4550A4"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0B453A34"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Phone (BH)</w:t>
                  </w:r>
                </w:p>
              </w:tc>
              <w:tc>
                <w:tcPr>
                  <w:tcW w:w="2908" w:type="dxa"/>
                  <w:gridSpan w:val="2"/>
                  <w:tcBorders>
                    <w:top w:val="single" w:sz="4" w:space="0" w:color="333333"/>
                    <w:left w:val="single" w:sz="4" w:space="0" w:color="333333"/>
                    <w:bottom w:val="single" w:sz="4" w:space="0" w:color="333333"/>
                    <w:right w:val="single" w:sz="4" w:space="0" w:color="333333"/>
                  </w:tcBorders>
                </w:tcPr>
                <w:p w14:paraId="79D6978E" w14:textId="654A99D7" w:rsidR="007C370B" w:rsidRPr="00AD65C7" w:rsidRDefault="00AA026B" w:rsidP="005609D3">
                  <w:pPr>
                    <w:spacing w:before="60" w:after="60"/>
                    <w:rPr>
                      <w:rFonts w:ascii="Arial" w:hAnsi="Arial" w:cs="Arial"/>
                      <w:sz w:val="20"/>
                      <w:szCs w:val="20"/>
                    </w:rPr>
                  </w:pPr>
                  <w:r w:rsidRPr="00AD65C7">
                    <w:rPr>
                      <w:rFonts w:ascii="Arial" w:hAnsi="Arial" w:cs="Arial"/>
                      <w:sz w:val="20"/>
                      <w:szCs w:val="20"/>
                    </w:rPr>
                    <w:t>0397847</w:t>
                  </w:r>
                  <w:r>
                    <w:rPr>
                      <w:rFonts w:ascii="Arial" w:hAnsi="Arial" w:cs="Arial"/>
                      <w:sz w:val="20"/>
                      <w:szCs w:val="20"/>
                    </w:rPr>
                    <w:t>777</w:t>
                  </w:r>
                </w:p>
              </w:tc>
              <w:tc>
                <w:tcPr>
                  <w:tcW w:w="1426" w:type="dxa"/>
                  <w:tcBorders>
                    <w:top w:val="single" w:sz="4" w:space="0" w:color="333333"/>
                    <w:left w:val="single" w:sz="4" w:space="0" w:color="333333"/>
                    <w:bottom w:val="single" w:sz="4" w:space="0" w:color="333333"/>
                    <w:right w:val="single" w:sz="4" w:space="0" w:color="333333"/>
                  </w:tcBorders>
                </w:tcPr>
                <w:p w14:paraId="38812B68"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Mobile</w:t>
                  </w:r>
                </w:p>
              </w:tc>
              <w:tc>
                <w:tcPr>
                  <w:tcW w:w="2937" w:type="dxa"/>
                  <w:gridSpan w:val="2"/>
                  <w:tcBorders>
                    <w:top w:val="single" w:sz="4" w:space="0" w:color="333333"/>
                    <w:left w:val="single" w:sz="4" w:space="0" w:color="333333"/>
                    <w:bottom w:val="single" w:sz="4" w:space="0" w:color="333333"/>
                    <w:right w:val="single" w:sz="4" w:space="0" w:color="333333"/>
                  </w:tcBorders>
                </w:tcPr>
                <w:p w14:paraId="4E6B0255" w14:textId="77777777" w:rsidR="007C370B" w:rsidRPr="00BB73C0" w:rsidRDefault="007C370B" w:rsidP="005609D3">
                  <w:pPr>
                    <w:spacing w:before="60" w:after="60"/>
                    <w:rPr>
                      <w:rFonts w:ascii="Arial" w:hAnsi="Arial" w:cs="Arial"/>
                      <w:sz w:val="20"/>
                      <w:szCs w:val="20"/>
                    </w:rPr>
                  </w:pPr>
                </w:p>
              </w:tc>
            </w:tr>
            <w:tr w:rsidR="007C370B" w:rsidRPr="00BB73C0" w14:paraId="710ACF70"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65DA5B86" w14:textId="77777777" w:rsidR="007C370B" w:rsidRPr="00BB73C0" w:rsidRDefault="007C370B" w:rsidP="005609D3">
                  <w:pPr>
                    <w:spacing w:before="60" w:after="60"/>
                    <w:rPr>
                      <w:rFonts w:ascii="Arial" w:hAnsi="Arial" w:cs="Arial"/>
                      <w:b/>
                      <w:sz w:val="20"/>
                      <w:szCs w:val="20"/>
                    </w:rPr>
                  </w:pPr>
                  <w:r w:rsidRPr="00BB73C0">
                    <w:rPr>
                      <w:rFonts w:ascii="Arial" w:hAnsi="Arial" w:cs="Arial"/>
                      <w:b/>
                      <w:sz w:val="20"/>
                      <w:szCs w:val="20"/>
                    </w:rPr>
                    <w:t>Email</w:t>
                  </w:r>
                </w:p>
              </w:tc>
              <w:tc>
                <w:tcPr>
                  <w:tcW w:w="7271" w:type="dxa"/>
                  <w:gridSpan w:val="5"/>
                  <w:tcBorders>
                    <w:top w:val="single" w:sz="4" w:space="0" w:color="333333"/>
                    <w:left w:val="single" w:sz="4" w:space="0" w:color="333333"/>
                    <w:bottom w:val="single" w:sz="4" w:space="0" w:color="333333"/>
                    <w:right w:val="single" w:sz="4" w:space="0" w:color="333333"/>
                  </w:tcBorders>
                </w:tcPr>
                <w:p w14:paraId="04F61EDE" w14:textId="30858401" w:rsidR="007C370B" w:rsidRPr="00BB73C0" w:rsidRDefault="007A327C" w:rsidP="005609D3">
                  <w:pPr>
                    <w:spacing w:before="60" w:after="60"/>
                    <w:rPr>
                      <w:rFonts w:ascii="Arial" w:hAnsi="Arial" w:cs="Arial"/>
                      <w:sz w:val="20"/>
                      <w:szCs w:val="20"/>
                    </w:rPr>
                  </w:pPr>
                  <w:r>
                    <w:rPr>
                      <w:rFonts w:ascii="Arial" w:hAnsi="Arial" w:cs="Arial"/>
                      <w:sz w:val="20"/>
                      <w:szCs w:val="20"/>
                    </w:rPr>
                    <w:t>rumeskanna@gmail.com</w:t>
                  </w:r>
                </w:p>
              </w:tc>
            </w:tr>
            <w:tr w:rsidR="007C370B" w:rsidRPr="00BB73C0" w14:paraId="66FA7647" w14:textId="77777777" w:rsidTr="007A327C">
              <w:trPr>
                <w:trHeight w:val="339"/>
              </w:trPr>
              <w:tc>
                <w:tcPr>
                  <w:tcW w:w="1817" w:type="dxa"/>
                  <w:tcBorders>
                    <w:top w:val="single" w:sz="4" w:space="0" w:color="333333"/>
                    <w:left w:val="single" w:sz="4" w:space="0" w:color="333333"/>
                    <w:bottom w:val="single" w:sz="4" w:space="0" w:color="333333"/>
                    <w:right w:val="single" w:sz="4" w:space="0" w:color="333333"/>
                  </w:tcBorders>
                </w:tcPr>
                <w:p w14:paraId="09518195" w14:textId="77777777" w:rsidR="007C370B" w:rsidRPr="00BB73C0" w:rsidRDefault="007C370B" w:rsidP="005609D3">
                  <w:pPr>
                    <w:spacing w:before="60" w:after="60"/>
                    <w:rPr>
                      <w:rFonts w:ascii="Arial" w:hAnsi="Arial" w:cs="Arial"/>
                      <w:b/>
                      <w:sz w:val="20"/>
                      <w:szCs w:val="20"/>
                    </w:rPr>
                  </w:pPr>
                  <w:r>
                    <w:rPr>
                      <w:rFonts w:ascii="Arial" w:hAnsi="Arial" w:cs="Arial"/>
                      <w:b/>
                      <w:sz w:val="20"/>
                      <w:szCs w:val="20"/>
                    </w:rPr>
                    <w:t>Project Role</w:t>
                  </w:r>
                </w:p>
              </w:tc>
              <w:tc>
                <w:tcPr>
                  <w:tcW w:w="7271" w:type="dxa"/>
                  <w:gridSpan w:val="5"/>
                  <w:tcBorders>
                    <w:top w:val="single" w:sz="4" w:space="0" w:color="333333"/>
                    <w:left w:val="single" w:sz="4" w:space="0" w:color="333333"/>
                    <w:bottom w:val="single" w:sz="4" w:space="0" w:color="333333"/>
                    <w:right w:val="single" w:sz="4" w:space="0" w:color="333333"/>
                  </w:tcBorders>
                </w:tcPr>
                <w:p w14:paraId="16E4EA3A" w14:textId="77777777" w:rsidR="007C370B" w:rsidRPr="00BB73C0" w:rsidRDefault="007C370B" w:rsidP="005609D3">
                  <w:pPr>
                    <w:spacing w:before="60" w:after="60"/>
                    <w:rPr>
                      <w:rFonts w:ascii="Arial" w:hAnsi="Arial" w:cs="Arial"/>
                      <w:sz w:val="20"/>
                      <w:szCs w:val="20"/>
                    </w:rPr>
                  </w:pPr>
                  <w:r>
                    <w:rPr>
                      <w:rFonts w:ascii="Arial" w:hAnsi="Arial" w:cs="Arial"/>
                      <w:sz w:val="20"/>
                      <w:szCs w:val="20"/>
                    </w:rPr>
                    <w:t>Associate investigator</w:t>
                  </w:r>
                </w:p>
              </w:tc>
            </w:tr>
          </w:tbl>
          <w:p w14:paraId="6BDD2CE5" w14:textId="71C163F8" w:rsidR="007868FE" w:rsidRPr="00BB73C0" w:rsidRDefault="007868FE" w:rsidP="009F4DD9">
            <w:pPr>
              <w:spacing w:before="60" w:after="60"/>
              <w:rPr>
                <w:rFonts w:ascii="Arial" w:hAnsi="Arial" w:cs="Arial"/>
                <w:b/>
                <w:sz w:val="20"/>
                <w:szCs w:val="20"/>
              </w:rPr>
            </w:pPr>
          </w:p>
        </w:tc>
      </w:tr>
      <w:tr w:rsidR="00100953" w:rsidRPr="00BB73C0" w14:paraId="22564303" w14:textId="77777777" w:rsidTr="005609D3">
        <w:trPr>
          <w:gridAfter w:val="1"/>
          <w:wAfter w:w="108" w:type="dxa"/>
        </w:trPr>
        <w:tc>
          <w:tcPr>
            <w:tcW w:w="540" w:type="dxa"/>
            <w:gridSpan w:val="2"/>
          </w:tcPr>
          <w:p w14:paraId="63546B5F" w14:textId="77777777" w:rsidR="00100953" w:rsidRPr="00BB73C0" w:rsidRDefault="00100953" w:rsidP="005609D3">
            <w:pPr>
              <w:spacing w:before="60" w:after="60"/>
              <w:rPr>
                <w:rFonts w:ascii="Arial" w:hAnsi="Arial" w:cs="Arial"/>
                <w:b/>
                <w:sz w:val="20"/>
                <w:szCs w:val="20"/>
              </w:rPr>
            </w:pPr>
          </w:p>
        </w:tc>
        <w:tc>
          <w:tcPr>
            <w:tcW w:w="9360" w:type="dxa"/>
            <w:gridSpan w:val="12"/>
          </w:tcPr>
          <w:p w14:paraId="47626509" w14:textId="77777777" w:rsidR="00292F61" w:rsidRDefault="00292F61"/>
          <w:tbl>
            <w:tblPr>
              <w:tblStyle w:val="TableGrid"/>
              <w:tblW w:w="9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87"/>
              <w:gridCol w:w="1695"/>
              <w:gridCol w:w="1395"/>
              <w:gridCol w:w="1463"/>
              <w:gridCol w:w="1422"/>
              <w:gridCol w:w="1397"/>
            </w:tblGrid>
            <w:tr w:rsidR="00292F61" w:rsidRPr="00BB73C0" w14:paraId="5F1527CE" w14:textId="77777777" w:rsidTr="00AA026B">
              <w:trPr>
                <w:trHeight w:val="323"/>
              </w:trPr>
              <w:tc>
                <w:tcPr>
                  <w:tcW w:w="1687" w:type="dxa"/>
                  <w:tcBorders>
                    <w:top w:val="single" w:sz="4" w:space="0" w:color="333333"/>
                    <w:left w:val="single" w:sz="4" w:space="0" w:color="333333"/>
                    <w:bottom w:val="single" w:sz="4" w:space="0" w:color="333333"/>
                    <w:right w:val="single" w:sz="4" w:space="0" w:color="333333"/>
                  </w:tcBorders>
                </w:tcPr>
                <w:p w14:paraId="45C7CAFA" w14:textId="77777777" w:rsidR="00292F61" w:rsidRPr="00BB73C0" w:rsidRDefault="00292F61" w:rsidP="00292F61">
                  <w:pPr>
                    <w:spacing w:before="60" w:after="60"/>
                    <w:rPr>
                      <w:rFonts w:ascii="Arial" w:hAnsi="Arial" w:cs="Arial"/>
                      <w:b/>
                      <w:sz w:val="20"/>
                      <w:szCs w:val="20"/>
                    </w:rPr>
                  </w:pPr>
                  <w:r w:rsidRPr="00BB73C0">
                    <w:rPr>
                      <w:rFonts w:ascii="Arial" w:hAnsi="Arial" w:cs="Arial"/>
                      <w:b/>
                      <w:sz w:val="20"/>
                      <w:szCs w:val="20"/>
                    </w:rPr>
                    <w:t>Title</w:t>
                  </w:r>
                </w:p>
              </w:tc>
              <w:tc>
                <w:tcPr>
                  <w:tcW w:w="1695" w:type="dxa"/>
                  <w:tcBorders>
                    <w:top w:val="single" w:sz="4" w:space="0" w:color="333333"/>
                    <w:left w:val="single" w:sz="4" w:space="0" w:color="333333"/>
                    <w:bottom w:val="single" w:sz="4" w:space="0" w:color="333333"/>
                    <w:right w:val="single" w:sz="4" w:space="0" w:color="333333"/>
                  </w:tcBorders>
                </w:tcPr>
                <w:p w14:paraId="1CC2A0AE" w14:textId="2C26251F" w:rsidR="00292F61" w:rsidRPr="00BB73C0" w:rsidRDefault="00AA026B" w:rsidP="00292F61">
                  <w:pPr>
                    <w:spacing w:before="60" w:after="60"/>
                    <w:rPr>
                      <w:rFonts w:ascii="Arial" w:hAnsi="Arial" w:cs="Arial"/>
                      <w:sz w:val="20"/>
                      <w:szCs w:val="20"/>
                    </w:rPr>
                  </w:pPr>
                  <w:r>
                    <w:rPr>
                      <w:rFonts w:ascii="Arial" w:hAnsi="Arial" w:cs="Arial"/>
                      <w:sz w:val="20"/>
                      <w:szCs w:val="20"/>
                    </w:rPr>
                    <w:t>Dr</w:t>
                  </w:r>
                </w:p>
              </w:tc>
              <w:tc>
                <w:tcPr>
                  <w:tcW w:w="1395" w:type="dxa"/>
                  <w:tcBorders>
                    <w:top w:val="single" w:sz="4" w:space="0" w:color="333333"/>
                    <w:left w:val="single" w:sz="4" w:space="0" w:color="333333"/>
                    <w:bottom w:val="single" w:sz="4" w:space="0" w:color="333333"/>
                    <w:right w:val="single" w:sz="4" w:space="0" w:color="333333"/>
                  </w:tcBorders>
                </w:tcPr>
                <w:p w14:paraId="719AEE1A" w14:textId="77777777" w:rsidR="00292F61" w:rsidRPr="00BB73C0" w:rsidRDefault="00292F61" w:rsidP="00292F61">
                  <w:pPr>
                    <w:spacing w:before="60" w:after="60"/>
                    <w:rPr>
                      <w:rFonts w:ascii="Arial" w:hAnsi="Arial" w:cs="Arial"/>
                      <w:b/>
                      <w:sz w:val="20"/>
                      <w:szCs w:val="20"/>
                    </w:rPr>
                  </w:pPr>
                  <w:r w:rsidRPr="00BB73C0">
                    <w:rPr>
                      <w:rFonts w:ascii="Arial" w:hAnsi="Arial" w:cs="Arial"/>
                      <w:b/>
                      <w:sz w:val="20"/>
                      <w:szCs w:val="20"/>
                    </w:rPr>
                    <w:t>First Name</w:t>
                  </w:r>
                </w:p>
              </w:tc>
              <w:tc>
                <w:tcPr>
                  <w:tcW w:w="1463" w:type="dxa"/>
                  <w:tcBorders>
                    <w:top w:val="single" w:sz="4" w:space="0" w:color="333333"/>
                    <w:left w:val="single" w:sz="4" w:space="0" w:color="333333"/>
                    <w:bottom w:val="single" w:sz="4" w:space="0" w:color="333333"/>
                    <w:right w:val="single" w:sz="4" w:space="0" w:color="333333"/>
                  </w:tcBorders>
                </w:tcPr>
                <w:p w14:paraId="5FAD52CE" w14:textId="67033EAC" w:rsidR="00292F61" w:rsidRPr="00BB73C0" w:rsidRDefault="00AA026B" w:rsidP="00292F61">
                  <w:pPr>
                    <w:spacing w:before="60" w:after="60"/>
                    <w:rPr>
                      <w:rFonts w:ascii="Arial" w:hAnsi="Arial" w:cs="Arial"/>
                      <w:sz w:val="20"/>
                      <w:szCs w:val="20"/>
                    </w:rPr>
                  </w:pPr>
                  <w:r>
                    <w:rPr>
                      <w:rFonts w:ascii="Arial" w:hAnsi="Arial" w:cs="Arial"/>
                      <w:sz w:val="20"/>
                      <w:szCs w:val="20"/>
                    </w:rPr>
                    <w:t>Fiona</w:t>
                  </w:r>
                </w:p>
              </w:tc>
              <w:tc>
                <w:tcPr>
                  <w:tcW w:w="1422" w:type="dxa"/>
                  <w:tcBorders>
                    <w:top w:val="single" w:sz="4" w:space="0" w:color="333333"/>
                    <w:left w:val="single" w:sz="4" w:space="0" w:color="333333"/>
                    <w:bottom w:val="single" w:sz="4" w:space="0" w:color="333333"/>
                    <w:right w:val="single" w:sz="4" w:space="0" w:color="333333"/>
                  </w:tcBorders>
                </w:tcPr>
                <w:p w14:paraId="174E9051" w14:textId="77777777" w:rsidR="00292F61" w:rsidRPr="00BB73C0" w:rsidRDefault="00292F61" w:rsidP="00292F61">
                  <w:pPr>
                    <w:spacing w:before="60" w:after="60"/>
                    <w:rPr>
                      <w:rFonts w:ascii="Arial" w:hAnsi="Arial" w:cs="Arial"/>
                      <w:b/>
                      <w:sz w:val="20"/>
                      <w:szCs w:val="20"/>
                    </w:rPr>
                  </w:pPr>
                  <w:r w:rsidRPr="00BB73C0">
                    <w:rPr>
                      <w:rFonts w:ascii="Arial" w:hAnsi="Arial" w:cs="Arial"/>
                      <w:b/>
                      <w:sz w:val="20"/>
                      <w:szCs w:val="20"/>
                    </w:rPr>
                    <w:t>Surname</w:t>
                  </w:r>
                </w:p>
              </w:tc>
              <w:tc>
                <w:tcPr>
                  <w:tcW w:w="1397" w:type="dxa"/>
                  <w:tcBorders>
                    <w:top w:val="single" w:sz="4" w:space="0" w:color="333333"/>
                    <w:left w:val="single" w:sz="4" w:space="0" w:color="333333"/>
                    <w:bottom w:val="single" w:sz="4" w:space="0" w:color="333333"/>
                    <w:right w:val="single" w:sz="4" w:space="0" w:color="333333"/>
                  </w:tcBorders>
                </w:tcPr>
                <w:p w14:paraId="3C0320FC" w14:textId="3A19EB7F" w:rsidR="00292F61" w:rsidRPr="00BB73C0" w:rsidRDefault="00AA026B" w:rsidP="00292F61">
                  <w:pPr>
                    <w:spacing w:before="60" w:after="60"/>
                    <w:rPr>
                      <w:rFonts w:ascii="Arial" w:hAnsi="Arial" w:cs="Arial"/>
                      <w:sz w:val="20"/>
                      <w:szCs w:val="20"/>
                    </w:rPr>
                  </w:pPr>
                  <w:proofErr w:type="spellStart"/>
                  <w:r>
                    <w:rPr>
                      <w:rFonts w:ascii="Arial" w:hAnsi="Arial" w:cs="Arial"/>
                      <w:sz w:val="20"/>
                      <w:szCs w:val="20"/>
                    </w:rPr>
                    <w:t>Yeaman</w:t>
                  </w:r>
                  <w:proofErr w:type="spellEnd"/>
                </w:p>
              </w:tc>
            </w:tr>
            <w:tr w:rsidR="00AA026B" w:rsidRPr="00BB73C0" w14:paraId="7D4BF73F" w14:textId="77777777" w:rsidTr="00AA026B">
              <w:trPr>
                <w:trHeight w:val="534"/>
              </w:trPr>
              <w:tc>
                <w:tcPr>
                  <w:tcW w:w="1687" w:type="dxa"/>
                  <w:tcBorders>
                    <w:top w:val="single" w:sz="4" w:space="0" w:color="333333"/>
                    <w:left w:val="single" w:sz="4" w:space="0" w:color="333333"/>
                    <w:bottom w:val="single" w:sz="4" w:space="0" w:color="333333"/>
                    <w:right w:val="single" w:sz="4" w:space="0" w:color="333333"/>
                  </w:tcBorders>
                </w:tcPr>
                <w:p w14:paraId="5879B618"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Mailing Address</w:t>
                  </w:r>
                </w:p>
              </w:tc>
              <w:tc>
                <w:tcPr>
                  <w:tcW w:w="7372" w:type="dxa"/>
                  <w:gridSpan w:val="5"/>
                  <w:tcBorders>
                    <w:top w:val="single" w:sz="4" w:space="0" w:color="333333"/>
                    <w:left w:val="single" w:sz="4" w:space="0" w:color="333333"/>
                    <w:bottom w:val="single" w:sz="4" w:space="0" w:color="333333"/>
                    <w:right w:val="single" w:sz="4" w:space="0" w:color="333333"/>
                  </w:tcBorders>
                </w:tcPr>
                <w:p w14:paraId="504B8C23" w14:textId="04C65ECF" w:rsidR="00AA026B" w:rsidRPr="00BB73C0" w:rsidRDefault="00AA026B" w:rsidP="00AA026B">
                  <w:pPr>
                    <w:spacing w:before="60" w:after="60"/>
                    <w:rPr>
                      <w:rFonts w:ascii="Arial" w:hAnsi="Arial" w:cs="Arial"/>
                      <w:sz w:val="20"/>
                      <w:szCs w:val="20"/>
                    </w:rPr>
                  </w:pPr>
                  <w:r>
                    <w:rPr>
                      <w:rFonts w:ascii="Arial" w:hAnsi="Arial" w:cs="Arial"/>
                      <w:sz w:val="20"/>
                      <w:szCs w:val="20"/>
                    </w:rPr>
                    <w:t>Department of Medicine, Frankston Hospital 2 Hastings Road, Frankston Victoria 3199.</w:t>
                  </w:r>
                </w:p>
              </w:tc>
            </w:tr>
            <w:tr w:rsidR="00AA026B" w:rsidRPr="00BB73C0" w14:paraId="30E3FE6A" w14:textId="77777777" w:rsidTr="00AA026B">
              <w:trPr>
                <w:trHeight w:val="323"/>
              </w:trPr>
              <w:tc>
                <w:tcPr>
                  <w:tcW w:w="1687" w:type="dxa"/>
                  <w:tcBorders>
                    <w:top w:val="single" w:sz="4" w:space="0" w:color="333333"/>
                    <w:left w:val="single" w:sz="4" w:space="0" w:color="333333"/>
                    <w:bottom w:val="single" w:sz="4" w:space="0" w:color="333333"/>
                    <w:right w:val="single" w:sz="4" w:space="0" w:color="333333"/>
                  </w:tcBorders>
                </w:tcPr>
                <w:p w14:paraId="07DD4A95"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Suburb/City</w:t>
                  </w:r>
                </w:p>
              </w:tc>
              <w:tc>
                <w:tcPr>
                  <w:tcW w:w="3090" w:type="dxa"/>
                  <w:gridSpan w:val="2"/>
                  <w:tcBorders>
                    <w:top w:val="single" w:sz="4" w:space="0" w:color="333333"/>
                    <w:left w:val="single" w:sz="4" w:space="0" w:color="333333"/>
                    <w:bottom w:val="single" w:sz="4" w:space="0" w:color="333333"/>
                    <w:right w:val="single" w:sz="4" w:space="0" w:color="333333"/>
                  </w:tcBorders>
                </w:tcPr>
                <w:p w14:paraId="4F82F96A" w14:textId="77777777" w:rsidR="00AA026B" w:rsidRPr="00AD65C7" w:rsidRDefault="00AA026B" w:rsidP="00AA026B">
                  <w:pPr>
                    <w:spacing w:before="60" w:after="60"/>
                    <w:rPr>
                      <w:rFonts w:ascii="Arial" w:hAnsi="Arial" w:cs="Arial"/>
                      <w:sz w:val="20"/>
                      <w:szCs w:val="20"/>
                    </w:rPr>
                  </w:pPr>
                  <w:r w:rsidRPr="00AD65C7">
                    <w:rPr>
                      <w:rFonts w:ascii="Arial" w:hAnsi="Arial" w:cs="Arial"/>
                      <w:sz w:val="20"/>
                      <w:szCs w:val="20"/>
                    </w:rPr>
                    <w:t>Frankston</w:t>
                  </w:r>
                </w:p>
              </w:tc>
              <w:tc>
                <w:tcPr>
                  <w:tcW w:w="1463" w:type="dxa"/>
                  <w:tcBorders>
                    <w:top w:val="single" w:sz="4" w:space="0" w:color="333333"/>
                    <w:left w:val="single" w:sz="4" w:space="0" w:color="333333"/>
                    <w:bottom w:val="single" w:sz="4" w:space="0" w:color="333333"/>
                    <w:right w:val="single" w:sz="4" w:space="0" w:color="333333"/>
                  </w:tcBorders>
                </w:tcPr>
                <w:p w14:paraId="6EA735B1" w14:textId="77777777" w:rsidR="00AA026B" w:rsidRPr="00BB73C0" w:rsidRDefault="00AA026B" w:rsidP="00AA026B">
                  <w:pPr>
                    <w:spacing w:before="60" w:after="60"/>
                    <w:rPr>
                      <w:rFonts w:ascii="Arial" w:hAnsi="Arial" w:cs="Arial"/>
                      <w:sz w:val="20"/>
                      <w:szCs w:val="20"/>
                    </w:rPr>
                  </w:pPr>
                  <w:r w:rsidRPr="00BB73C0">
                    <w:rPr>
                      <w:rFonts w:ascii="Arial" w:hAnsi="Arial" w:cs="Arial"/>
                      <w:b/>
                      <w:sz w:val="20"/>
                      <w:szCs w:val="20"/>
                    </w:rPr>
                    <w:t>Postcode</w:t>
                  </w:r>
                </w:p>
              </w:tc>
              <w:tc>
                <w:tcPr>
                  <w:tcW w:w="2819" w:type="dxa"/>
                  <w:gridSpan w:val="2"/>
                  <w:tcBorders>
                    <w:top w:val="single" w:sz="4" w:space="0" w:color="333333"/>
                    <w:left w:val="single" w:sz="4" w:space="0" w:color="333333"/>
                    <w:bottom w:val="single" w:sz="4" w:space="0" w:color="333333"/>
                    <w:right w:val="single" w:sz="4" w:space="0" w:color="333333"/>
                  </w:tcBorders>
                </w:tcPr>
                <w:p w14:paraId="1FC3AD81" w14:textId="77777777" w:rsidR="00AA026B" w:rsidRPr="00BB73C0" w:rsidRDefault="00AA026B" w:rsidP="00AA026B">
                  <w:pPr>
                    <w:spacing w:before="60" w:after="60"/>
                    <w:rPr>
                      <w:rFonts w:ascii="Arial" w:hAnsi="Arial" w:cs="Arial"/>
                      <w:sz w:val="20"/>
                      <w:szCs w:val="20"/>
                    </w:rPr>
                  </w:pPr>
                  <w:r>
                    <w:rPr>
                      <w:rFonts w:ascii="Arial" w:hAnsi="Arial" w:cs="Arial"/>
                      <w:sz w:val="20"/>
                      <w:szCs w:val="20"/>
                    </w:rPr>
                    <w:t>3199</w:t>
                  </w:r>
                </w:p>
              </w:tc>
            </w:tr>
            <w:tr w:rsidR="00AA026B" w:rsidRPr="00BB73C0" w14:paraId="0AD0F5AD" w14:textId="77777777" w:rsidTr="00AA026B">
              <w:trPr>
                <w:trHeight w:val="323"/>
              </w:trPr>
              <w:tc>
                <w:tcPr>
                  <w:tcW w:w="1687" w:type="dxa"/>
                  <w:tcBorders>
                    <w:top w:val="single" w:sz="4" w:space="0" w:color="333333"/>
                    <w:left w:val="single" w:sz="4" w:space="0" w:color="333333"/>
                    <w:bottom w:val="single" w:sz="4" w:space="0" w:color="333333"/>
                    <w:right w:val="single" w:sz="4" w:space="0" w:color="333333"/>
                  </w:tcBorders>
                </w:tcPr>
                <w:p w14:paraId="6BBF32C2"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Organisation</w:t>
                  </w:r>
                </w:p>
              </w:tc>
              <w:tc>
                <w:tcPr>
                  <w:tcW w:w="3090" w:type="dxa"/>
                  <w:gridSpan w:val="2"/>
                  <w:tcBorders>
                    <w:top w:val="single" w:sz="4" w:space="0" w:color="333333"/>
                    <w:left w:val="single" w:sz="4" w:space="0" w:color="333333"/>
                    <w:bottom w:val="single" w:sz="4" w:space="0" w:color="333333"/>
                    <w:right w:val="single" w:sz="4" w:space="0" w:color="333333"/>
                  </w:tcBorders>
                </w:tcPr>
                <w:p w14:paraId="210B28FA" w14:textId="77777777" w:rsidR="00AA026B" w:rsidRPr="00AD65C7" w:rsidRDefault="00AA026B" w:rsidP="00AA026B">
                  <w:pPr>
                    <w:spacing w:before="60" w:after="60"/>
                    <w:rPr>
                      <w:rFonts w:ascii="Arial" w:hAnsi="Arial" w:cs="Arial"/>
                      <w:sz w:val="20"/>
                      <w:szCs w:val="20"/>
                    </w:rPr>
                  </w:pPr>
                  <w:r w:rsidRPr="00AD65C7">
                    <w:rPr>
                      <w:rFonts w:ascii="Arial" w:hAnsi="Arial" w:cs="Arial"/>
                      <w:sz w:val="20"/>
                      <w:szCs w:val="20"/>
                    </w:rPr>
                    <w:t>Peninsula Health</w:t>
                  </w:r>
                </w:p>
              </w:tc>
              <w:tc>
                <w:tcPr>
                  <w:tcW w:w="1463" w:type="dxa"/>
                  <w:tcBorders>
                    <w:top w:val="single" w:sz="4" w:space="0" w:color="333333"/>
                    <w:left w:val="single" w:sz="4" w:space="0" w:color="333333"/>
                    <w:bottom w:val="single" w:sz="4" w:space="0" w:color="333333"/>
                    <w:right w:val="single" w:sz="4" w:space="0" w:color="333333"/>
                  </w:tcBorders>
                </w:tcPr>
                <w:p w14:paraId="442FB2E5" w14:textId="77777777" w:rsidR="00AA026B" w:rsidRPr="00BB73C0" w:rsidRDefault="00AA026B" w:rsidP="00AA026B">
                  <w:pPr>
                    <w:spacing w:before="60" w:after="60"/>
                    <w:rPr>
                      <w:rFonts w:ascii="Arial" w:hAnsi="Arial" w:cs="Arial"/>
                      <w:sz w:val="20"/>
                      <w:szCs w:val="20"/>
                    </w:rPr>
                  </w:pPr>
                  <w:r w:rsidRPr="00BB73C0">
                    <w:rPr>
                      <w:rFonts w:ascii="Arial" w:hAnsi="Arial" w:cs="Arial"/>
                      <w:b/>
                      <w:sz w:val="20"/>
                      <w:szCs w:val="20"/>
                    </w:rPr>
                    <w:t>Department</w:t>
                  </w:r>
                </w:p>
              </w:tc>
              <w:tc>
                <w:tcPr>
                  <w:tcW w:w="2819" w:type="dxa"/>
                  <w:gridSpan w:val="2"/>
                  <w:tcBorders>
                    <w:top w:val="single" w:sz="4" w:space="0" w:color="333333"/>
                    <w:left w:val="single" w:sz="4" w:space="0" w:color="333333"/>
                    <w:bottom w:val="single" w:sz="4" w:space="0" w:color="333333"/>
                    <w:right w:val="single" w:sz="4" w:space="0" w:color="333333"/>
                  </w:tcBorders>
                </w:tcPr>
                <w:p w14:paraId="74EEDE3E" w14:textId="6E0A1FB7" w:rsidR="00AA026B" w:rsidRPr="00BB73C0" w:rsidRDefault="00AA026B" w:rsidP="00AA026B">
                  <w:pPr>
                    <w:spacing w:before="60" w:after="60"/>
                    <w:rPr>
                      <w:rFonts w:ascii="Arial" w:hAnsi="Arial" w:cs="Arial"/>
                      <w:sz w:val="20"/>
                      <w:szCs w:val="20"/>
                    </w:rPr>
                  </w:pPr>
                  <w:r>
                    <w:rPr>
                      <w:rFonts w:ascii="Arial" w:hAnsi="Arial" w:cs="Arial"/>
                      <w:sz w:val="20"/>
                      <w:szCs w:val="20"/>
                    </w:rPr>
                    <w:t>Medicine</w:t>
                  </w:r>
                </w:p>
              </w:tc>
            </w:tr>
            <w:tr w:rsidR="00AA026B" w:rsidRPr="00BB73C0" w14:paraId="4A337783" w14:textId="77777777" w:rsidTr="00AA026B">
              <w:trPr>
                <w:trHeight w:val="548"/>
              </w:trPr>
              <w:tc>
                <w:tcPr>
                  <w:tcW w:w="1687" w:type="dxa"/>
                  <w:tcBorders>
                    <w:top w:val="single" w:sz="4" w:space="0" w:color="333333"/>
                    <w:left w:val="single" w:sz="4" w:space="0" w:color="333333"/>
                    <w:bottom w:val="single" w:sz="4" w:space="0" w:color="333333"/>
                    <w:right w:val="single" w:sz="4" w:space="0" w:color="333333"/>
                  </w:tcBorders>
                </w:tcPr>
                <w:p w14:paraId="408B0D91"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Appointment</w:t>
                  </w:r>
                </w:p>
              </w:tc>
              <w:tc>
                <w:tcPr>
                  <w:tcW w:w="3090" w:type="dxa"/>
                  <w:gridSpan w:val="2"/>
                  <w:tcBorders>
                    <w:top w:val="single" w:sz="4" w:space="0" w:color="333333"/>
                    <w:left w:val="single" w:sz="4" w:space="0" w:color="333333"/>
                    <w:bottom w:val="single" w:sz="4" w:space="0" w:color="333333"/>
                    <w:right w:val="single" w:sz="4" w:space="0" w:color="333333"/>
                  </w:tcBorders>
                </w:tcPr>
                <w:p w14:paraId="31945682" w14:textId="22E23EAE" w:rsidR="00AA026B" w:rsidRPr="00AD65C7" w:rsidRDefault="00AA026B" w:rsidP="00AA026B">
                  <w:pPr>
                    <w:spacing w:before="60" w:after="60"/>
                    <w:rPr>
                      <w:rFonts w:ascii="Arial" w:hAnsi="Arial" w:cs="Arial"/>
                      <w:sz w:val="20"/>
                      <w:szCs w:val="20"/>
                    </w:rPr>
                  </w:pPr>
                  <w:r>
                    <w:rPr>
                      <w:rFonts w:ascii="Arial" w:hAnsi="Arial" w:cs="Arial"/>
                      <w:sz w:val="20"/>
                      <w:szCs w:val="20"/>
                    </w:rPr>
                    <w:t>Registrar</w:t>
                  </w:r>
                </w:p>
              </w:tc>
              <w:tc>
                <w:tcPr>
                  <w:tcW w:w="1463" w:type="dxa"/>
                  <w:tcBorders>
                    <w:top w:val="single" w:sz="4" w:space="0" w:color="333333"/>
                    <w:left w:val="single" w:sz="4" w:space="0" w:color="333333"/>
                    <w:bottom w:val="single" w:sz="4" w:space="0" w:color="333333"/>
                    <w:right w:val="single" w:sz="4" w:space="0" w:color="333333"/>
                  </w:tcBorders>
                </w:tcPr>
                <w:p w14:paraId="22C7831C"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Qualifications</w:t>
                  </w:r>
                </w:p>
              </w:tc>
              <w:tc>
                <w:tcPr>
                  <w:tcW w:w="2819" w:type="dxa"/>
                  <w:gridSpan w:val="2"/>
                  <w:tcBorders>
                    <w:top w:val="single" w:sz="4" w:space="0" w:color="333333"/>
                    <w:left w:val="single" w:sz="4" w:space="0" w:color="333333"/>
                    <w:bottom w:val="single" w:sz="4" w:space="0" w:color="333333"/>
                    <w:right w:val="single" w:sz="4" w:space="0" w:color="333333"/>
                  </w:tcBorders>
                </w:tcPr>
                <w:p w14:paraId="5AFD8065" w14:textId="2C925580" w:rsidR="00AA026B" w:rsidRPr="00E0703C" w:rsidRDefault="00AA026B" w:rsidP="00AA026B">
                  <w:pPr>
                    <w:spacing w:before="60" w:after="60"/>
                    <w:rPr>
                      <w:rFonts w:ascii="Arial" w:hAnsi="Arial" w:cs="Arial"/>
                      <w:sz w:val="20"/>
                      <w:szCs w:val="20"/>
                    </w:rPr>
                  </w:pPr>
                  <w:r>
                    <w:rPr>
                      <w:rFonts w:ascii="Arial" w:hAnsi="Arial" w:cs="Arial"/>
                      <w:sz w:val="20"/>
                      <w:szCs w:val="20"/>
                    </w:rPr>
                    <w:t>MBBS</w:t>
                  </w:r>
                </w:p>
              </w:tc>
            </w:tr>
            <w:tr w:rsidR="00AA026B" w:rsidRPr="00BB73C0" w14:paraId="1C42672E" w14:textId="77777777" w:rsidTr="00AA026B">
              <w:trPr>
                <w:trHeight w:val="323"/>
              </w:trPr>
              <w:tc>
                <w:tcPr>
                  <w:tcW w:w="1687" w:type="dxa"/>
                  <w:tcBorders>
                    <w:top w:val="single" w:sz="4" w:space="0" w:color="333333"/>
                    <w:left w:val="single" w:sz="4" w:space="0" w:color="333333"/>
                    <w:bottom w:val="single" w:sz="4" w:space="0" w:color="333333"/>
                    <w:right w:val="single" w:sz="4" w:space="0" w:color="333333"/>
                  </w:tcBorders>
                </w:tcPr>
                <w:p w14:paraId="503C04FB"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Phone (BH)</w:t>
                  </w:r>
                </w:p>
              </w:tc>
              <w:tc>
                <w:tcPr>
                  <w:tcW w:w="3090" w:type="dxa"/>
                  <w:gridSpan w:val="2"/>
                  <w:tcBorders>
                    <w:top w:val="single" w:sz="4" w:space="0" w:color="333333"/>
                    <w:left w:val="single" w:sz="4" w:space="0" w:color="333333"/>
                    <w:bottom w:val="single" w:sz="4" w:space="0" w:color="333333"/>
                    <w:right w:val="single" w:sz="4" w:space="0" w:color="333333"/>
                  </w:tcBorders>
                </w:tcPr>
                <w:p w14:paraId="2997ECAC" w14:textId="77AAC889" w:rsidR="00AA026B" w:rsidRPr="00AD65C7" w:rsidRDefault="00AA026B" w:rsidP="00AA026B">
                  <w:pPr>
                    <w:spacing w:before="60" w:after="60"/>
                    <w:rPr>
                      <w:rFonts w:ascii="Arial" w:hAnsi="Arial" w:cs="Arial"/>
                      <w:sz w:val="20"/>
                      <w:szCs w:val="20"/>
                    </w:rPr>
                  </w:pPr>
                  <w:r w:rsidRPr="00AD65C7">
                    <w:rPr>
                      <w:rFonts w:ascii="Arial" w:hAnsi="Arial" w:cs="Arial"/>
                      <w:sz w:val="20"/>
                      <w:szCs w:val="20"/>
                    </w:rPr>
                    <w:t>0397847</w:t>
                  </w:r>
                  <w:r>
                    <w:rPr>
                      <w:rFonts w:ascii="Arial" w:hAnsi="Arial" w:cs="Arial"/>
                      <w:sz w:val="20"/>
                      <w:szCs w:val="20"/>
                    </w:rPr>
                    <w:t>777</w:t>
                  </w:r>
                </w:p>
              </w:tc>
              <w:tc>
                <w:tcPr>
                  <w:tcW w:w="1463" w:type="dxa"/>
                  <w:tcBorders>
                    <w:top w:val="single" w:sz="4" w:space="0" w:color="333333"/>
                    <w:left w:val="single" w:sz="4" w:space="0" w:color="333333"/>
                    <w:bottom w:val="single" w:sz="4" w:space="0" w:color="333333"/>
                    <w:right w:val="single" w:sz="4" w:space="0" w:color="333333"/>
                  </w:tcBorders>
                </w:tcPr>
                <w:p w14:paraId="445F5402"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Mobile</w:t>
                  </w:r>
                </w:p>
              </w:tc>
              <w:tc>
                <w:tcPr>
                  <w:tcW w:w="2819" w:type="dxa"/>
                  <w:gridSpan w:val="2"/>
                  <w:tcBorders>
                    <w:top w:val="single" w:sz="4" w:space="0" w:color="333333"/>
                    <w:left w:val="single" w:sz="4" w:space="0" w:color="333333"/>
                    <w:bottom w:val="single" w:sz="4" w:space="0" w:color="333333"/>
                    <w:right w:val="single" w:sz="4" w:space="0" w:color="333333"/>
                  </w:tcBorders>
                </w:tcPr>
                <w:p w14:paraId="18269C2F" w14:textId="6DDC1C7D" w:rsidR="00AA026B" w:rsidRPr="00BB73C0" w:rsidRDefault="00AA026B" w:rsidP="00AA026B">
                  <w:pPr>
                    <w:spacing w:before="60" w:after="60"/>
                    <w:rPr>
                      <w:rFonts w:ascii="Arial" w:hAnsi="Arial" w:cs="Arial"/>
                      <w:sz w:val="20"/>
                      <w:szCs w:val="20"/>
                    </w:rPr>
                  </w:pPr>
                </w:p>
              </w:tc>
            </w:tr>
            <w:tr w:rsidR="00AA026B" w:rsidRPr="00BB73C0" w14:paraId="11462B49" w14:textId="77777777" w:rsidTr="00AA026B">
              <w:trPr>
                <w:trHeight w:val="323"/>
              </w:trPr>
              <w:tc>
                <w:tcPr>
                  <w:tcW w:w="1687" w:type="dxa"/>
                  <w:tcBorders>
                    <w:top w:val="single" w:sz="4" w:space="0" w:color="333333"/>
                    <w:left w:val="single" w:sz="4" w:space="0" w:color="333333"/>
                    <w:bottom w:val="single" w:sz="4" w:space="0" w:color="333333"/>
                    <w:right w:val="single" w:sz="4" w:space="0" w:color="333333"/>
                  </w:tcBorders>
                </w:tcPr>
                <w:p w14:paraId="6C76B180" w14:textId="77777777" w:rsidR="00AA026B" w:rsidRPr="00BB73C0" w:rsidRDefault="00AA026B" w:rsidP="00AA026B">
                  <w:pPr>
                    <w:spacing w:before="60" w:after="60"/>
                    <w:rPr>
                      <w:rFonts w:ascii="Arial" w:hAnsi="Arial" w:cs="Arial"/>
                      <w:b/>
                      <w:sz w:val="20"/>
                      <w:szCs w:val="20"/>
                    </w:rPr>
                  </w:pPr>
                  <w:r w:rsidRPr="00BB73C0">
                    <w:rPr>
                      <w:rFonts w:ascii="Arial" w:hAnsi="Arial" w:cs="Arial"/>
                      <w:b/>
                      <w:sz w:val="20"/>
                      <w:szCs w:val="20"/>
                    </w:rPr>
                    <w:t>Email</w:t>
                  </w:r>
                </w:p>
              </w:tc>
              <w:tc>
                <w:tcPr>
                  <w:tcW w:w="7372" w:type="dxa"/>
                  <w:gridSpan w:val="5"/>
                  <w:tcBorders>
                    <w:top w:val="single" w:sz="4" w:space="0" w:color="333333"/>
                    <w:left w:val="single" w:sz="4" w:space="0" w:color="333333"/>
                    <w:bottom w:val="single" w:sz="4" w:space="0" w:color="333333"/>
                    <w:right w:val="single" w:sz="4" w:space="0" w:color="333333"/>
                  </w:tcBorders>
                </w:tcPr>
                <w:p w14:paraId="20845F3B" w14:textId="2D837B77" w:rsidR="00AA026B" w:rsidRPr="00BB73C0" w:rsidRDefault="00AA026B" w:rsidP="00AA026B">
                  <w:pPr>
                    <w:spacing w:before="60" w:after="60"/>
                    <w:rPr>
                      <w:rFonts w:ascii="Arial" w:hAnsi="Arial" w:cs="Arial"/>
                      <w:sz w:val="20"/>
                      <w:szCs w:val="20"/>
                    </w:rPr>
                  </w:pPr>
                  <w:r>
                    <w:rPr>
                      <w:rFonts w:ascii="Arial" w:hAnsi="Arial" w:cs="Arial"/>
                      <w:sz w:val="20"/>
                      <w:szCs w:val="20"/>
                    </w:rPr>
                    <w:t>Fiona.yeaman@gmail.com</w:t>
                  </w:r>
                </w:p>
              </w:tc>
            </w:tr>
            <w:tr w:rsidR="00AA026B" w:rsidRPr="00BB73C0" w14:paraId="1A083192" w14:textId="77777777" w:rsidTr="00AA026B">
              <w:trPr>
                <w:trHeight w:val="309"/>
              </w:trPr>
              <w:tc>
                <w:tcPr>
                  <w:tcW w:w="1687" w:type="dxa"/>
                  <w:tcBorders>
                    <w:top w:val="single" w:sz="4" w:space="0" w:color="333333"/>
                    <w:left w:val="single" w:sz="4" w:space="0" w:color="333333"/>
                    <w:bottom w:val="single" w:sz="4" w:space="0" w:color="333333"/>
                    <w:right w:val="single" w:sz="4" w:space="0" w:color="333333"/>
                  </w:tcBorders>
                </w:tcPr>
                <w:p w14:paraId="67C3A2F4" w14:textId="77777777" w:rsidR="00AA026B" w:rsidRPr="00BB73C0" w:rsidRDefault="00AA026B" w:rsidP="00AA026B">
                  <w:pPr>
                    <w:spacing w:before="60" w:after="60"/>
                    <w:rPr>
                      <w:rFonts w:ascii="Arial" w:hAnsi="Arial" w:cs="Arial"/>
                      <w:b/>
                      <w:sz w:val="20"/>
                      <w:szCs w:val="20"/>
                    </w:rPr>
                  </w:pPr>
                  <w:r>
                    <w:rPr>
                      <w:rFonts w:ascii="Arial" w:hAnsi="Arial" w:cs="Arial"/>
                      <w:b/>
                      <w:sz w:val="20"/>
                      <w:szCs w:val="20"/>
                    </w:rPr>
                    <w:t>Project Role</w:t>
                  </w:r>
                </w:p>
              </w:tc>
              <w:tc>
                <w:tcPr>
                  <w:tcW w:w="7372" w:type="dxa"/>
                  <w:gridSpan w:val="5"/>
                  <w:tcBorders>
                    <w:top w:val="single" w:sz="4" w:space="0" w:color="333333"/>
                    <w:left w:val="single" w:sz="4" w:space="0" w:color="333333"/>
                    <w:bottom w:val="single" w:sz="4" w:space="0" w:color="333333"/>
                    <w:right w:val="single" w:sz="4" w:space="0" w:color="333333"/>
                  </w:tcBorders>
                </w:tcPr>
                <w:p w14:paraId="574F58A2" w14:textId="77777777" w:rsidR="00AA026B" w:rsidRPr="00BB73C0" w:rsidRDefault="00AA026B" w:rsidP="00AA026B">
                  <w:pPr>
                    <w:spacing w:before="60" w:after="60"/>
                    <w:rPr>
                      <w:rFonts w:ascii="Arial" w:hAnsi="Arial" w:cs="Arial"/>
                      <w:sz w:val="20"/>
                      <w:szCs w:val="20"/>
                    </w:rPr>
                  </w:pPr>
                  <w:r>
                    <w:rPr>
                      <w:rFonts w:ascii="Arial" w:hAnsi="Arial" w:cs="Arial"/>
                      <w:sz w:val="20"/>
                      <w:szCs w:val="20"/>
                    </w:rPr>
                    <w:t>Associate investigator</w:t>
                  </w:r>
                </w:p>
              </w:tc>
            </w:tr>
          </w:tbl>
          <w:p w14:paraId="08456857" w14:textId="77777777" w:rsidR="00100953" w:rsidRDefault="00100953" w:rsidP="005609D3">
            <w:pPr>
              <w:spacing w:before="60" w:after="60"/>
              <w:rPr>
                <w:rFonts w:ascii="Arial" w:hAnsi="Arial" w:cs="Arial"/>
                <w:b/>
                <w:sz w:val="20"/>
                <w:szCs w:val="20"/>
              </w:rPr>
            </w:pPr>
          </w:p>
          <w:p w14:paraId="38A80F0D" w14:textId="398D9978" w:rsidR="00292F61" w:rsidRPr="00BB73C0" w:rsidRDefault="00292F61" w:rsidP="005609D3">
            <w:pPr>
              <w:spacing w:before="60" w:after="60"/>
              <w:rPr>
                <w:rFonts w:ascii="Arial" w:hAnsi="Arial" w:cs="Arial"/>
                <w:b/>
                <w:sz w:val="20"/>
                <w:szCs w:val="20"/>
              </w:rPr>
            </w:pPr>
          </w:p>
        </w:tc>
      </w:tr>
      <w:tr w:rsidR="00100953" w:rsidRPr="00BB73C0" w14:paraId="1D71E6AF"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62558309"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Title</w:t>
            </w:r>
          </w:p>
        </w:tc>
        <w:tc>
          <w:tcPr>
            <w:tcW w:w="1554" w:type="dxa"/>
            <w:gridSpan w:val="2"/>
            <w:tcBorders>
              <w:top w:val="single" w:sz="4" w:space="0" w:color="333333"/>
              <w:left w:val="single" w:sz="4" w:space="0" w:color="333333"/>
              <w:bottom w:val="single" w:sz="4" w:space="0" w:color="333333"/>
              <w:right w:val="single" w:sz="4" w:space="0" w:color="333333"/>
            </w:tcBorders>
            <w:shd w:val="clear" w:color="auto" w:fill="auto"/>
          </w:tcPr>
          <w:p w14:paraId="0590CBE9"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Ms</w:t>
            </w:r>
          </w:p>
        </w:tc>
        <w:tc>
          <w:tcPr>
            <w:tcW w:w="1485" w:type="dxa"/>
            <w:gridSpan w:val="2"/>
            <w:tcBorders>
              <w:top w:val="single" w:sz="4" w:space="0" w:color="333333"/>
              <w:left w:val="single" w:sz="4" w:space="0" w:color="333333"/>
              <w:bottom w:val="single" w:sz="4" w:space="0" w:color="333333"/>
              <w:right w:val="single" w:sz="4" w:space="0" w:color="333333"/>
            </w:tcBorders>
            <w:shd w:val="clear" w:color="auto" w:fill="auto"/>
          </w:tcPr>
          <w:p w14:paraId="1EEB62BE"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First Name</w:t>
            </w:r>
          </w:p>
        </w:tc>
        <w:tc>
          <w:tcPr>
            <w:tcW w:w="1558" w:type="dxa"/>
            <w:gridSpan w:val="2"/>
            <w:tcBorders>
              <w:top w:val="single" w:sz="4" w:space="0" w:color="333333"/>
              <w:left w:val="single" w:sz="4" w:space="0" w:color="333333"/>
              <w:bottom w:val="single" w:sz="4" w:space="0" w:color="333333"/>
              <w:right w:val="single" w:sz="4" w:space="0" w:color="333333"/>
            </w:tcBorders>
            <w:shd w:val="clear" w:color="auto" w:fill="auto"/>
          </w:tcPr>
          <w:p w14:paraId="4737D63C"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Lilian</w:t>
            </w:r>
          </w:p>
        </w:tc>
        <w:tc>
          <w:tcPr>
            <w:tcW w:w="1514" w:type="dxa"/>
            <w:gridSpan w:val="2"/>
            <w:tcBorders>
              <w:top w:val="single" w:sz="4" w:space="0" w:color="333333"/>
              <w:left w:val="single" w:sz="4" w:space="0" w:color="333333"/>
              <w:bottom w:val="single" w:sz="4" w:space="0" w:color="333333"/>
              <w:right w:val="single" w:sz="4" w:space="0" w:color="333333"/>
            </w:tcBorders>
            <w:shd w:val="clear" w:color="auto" w:fill="auto"/>
          </w:tcPr>
          <w:p w14:paraId="44229303"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Surname</w:t>
            </w:r>
          </w:p>
        </w:tc>
        <w:tc>
          <w:tcPr>
            <w:tcW w:w="1487" w:type="dxa"/>
            <w:gridSpan w:val="2"/>
            <w:tcBorders>
              <w:top w:val="single" w:sz="4" w:space="0" w:color="333333"/>
              <w:left w:val="single" w:sz="4" w:space="0" w:color="333333"/>
              <w:bottom w:val="single" w:sz="4" w:space="0" w:color="333333"/>
              <w:right w:val="single" w:sz="4" w:space="0" w:color="333333"/>
            </w:tcBorders>
            <w:shd w:val="clear" w:color="auto" w:fill="auto"/>
          </w:tcPr>
          <w:p w14:paraId="7D6EC469"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Vo</w:t>
            </w:r>
          </w:p>
        </w:tc>
      </w:tr>
      <w:tr w:rsidR="00100953" w:rsidRPr="00BB73C0" w14:paraId="659FDEF6"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35AB88D6"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Mailing Address</w:t>
            </w:r>
          </w:p>
        </w:tc>
        <w:tc>
          <w:tcPr>
            <w:tcW w:w="7598" w:type="dxa"/>
            <w:gridSpan w:val="10"/>
            <w:tcBorders>
              <w:top w:val="single" w:sz="4" w:space="0" w:color="333333"/>
              <w:left w:val="single" w:sz="4" w:space="0" w:color="333333"/>
              <w:bottom w:val="single" w:sz="4" w:space="0" w:color="333333"/>
              <w:right w:val="single" w:sz="4" w:space="0" w:color="333333"/>
            </w:tcBorders>
            <w:shd w:val="clear" w:color="auto" w:fill="auto"/>
          </w:tcPr>
          <w:p w14:paraId="10AD5B9A"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Pharmacy Department, Frankston Hospital, 2 Hastings Road, Frankston Victoria 3199.</w:t>
            </w:r>
          </w:p>
        </w:tc>
      </w:tr>
      <w:tr w:rsidR="00100953" w:rsidRPr="00BB73C0" w14:paraId="3ABE9266"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4139702A"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Suburb/City</w:t>
            </w:r>
          </w:p>
        </w:tc>
        <w:tc>
          <w:tcPr>
            <w:tcW w:w="3039" w:type="dxa"/>
            <w:gridSpan w:val="4"/>
            <w:tcBorders>
              <w:top w:val="single" w:sz="4" w:space="0" w:color="333333"/>
              <w:left w:val="single" w:sz="4" w:space="0" w:color="333333"/>
              <w:bottom w:val="single" w:sz="4" w:space="0" w:color="333333"/>
              <w:right w:val="single" w:sz="4" w:space="0" w:color="333333"/>
            </w:tcBorders>
            <w:shd w:val="clear" w:color="auto" w:fill="auto"/>
          </w:tcPr>
          <w:p w14:paraId="5390CB35" w14:textId="77777777" w:rsidR="00100953" w:rsidRPr="00AD65C7" w:rsidRDefault="00100953" w:rsidP="005609D3">
            <w:pPr>
              <w:spacing w:before="60" w:after="60"/>
              <w:rPr>
                <w:rFonts w:ascii="Arial" w:hAnsi="Arial" w:cs="Arial"/>
                <w:sz w:val="20"/>
                <w:szCs w:val="20"/>
              </w:rPr>
            </w:pPr>
            <w:r w:rsidRPr="00AD65C7">
              <w:rPr>
                <w:rFonts w:ascii="Arial" w:hAnsi="Arial" w:cs="Arial"/>
                <w:sz w:val="20"/>
                <w:szCs w:val="20"/>
              </w:rPr>
              <w:t>Frankston</w:t>
            </w:r>
          </w:p>
        </w:tc>
        <w:tc>
          <w:tcPr>
            <w:tcW w:w="1558" w:type="dxa"/>
            <w:gridSpan w:val="2"/>
            <w:tcBorders>
              <w:top w:val="single" w:sz="4" w:space="0" w:color="333333"/>
              <w:left w:val="single" w:sz="4" w:space="0" w:color="333333"/>
              <w:bottom w:val="single" w:sz="4" w:space="0" w:color="333333"/>
              <w:right w:val="single" w:sz="4" w:space="0" w:color="333333"/>
            </w:tcBorders>
            <w:shd w:val="clear" w:color="auto" w:fill="auto"/>
          </w:tcPr>
          <w:p w14:paraId="74D082D2" w14:textId="77777777" w:rsidR="00100953" w:rsidRPr="00BB73C0" w:rsidRDefault="00100953" w:rsidP="005609D3">
            <w:pPr>
              <w:spacing w:before="60" w:after="60"/>
              <w:rPr>
                <w:rFonts w:ascii="Arial" w:hAnsi="Arial" w:cs="Arial"/>
                <w:sz w:val="20"/>
                <w:szCs w:val="20"/>
              </w:rPr>
            </w:pPr>
            <w:r w:rsidRPr="00BB73C0">
              <w:rPr>
                <w:rFonts w:ascii="Arial" w:hAnsi="Arial" w:cs="Arial"/>
                <w:b/>
                <w:sz w:val="20"/>
                <w:szCs w:val="20"/>
              </w:rPr>
              <w:t>Postcode</w:t>
            </w:r>
          </w:p>
        </w:tc>
        <w:tc>
          <w:tcPr>
            <w:tcW w:w="3001" w:type="dxa"/>
            <w:gridSpan w:val="4"/>
            <w:tcBorders>
              <w:top w:val="single" w:sz="4" w:space="0" w:color="333333"/>
              <w:left w:val="single" w:sz="4" w:space="0" w:color="333333"/>
              <w:bottom w:val="single" w:sz="4" w:space="0" w:color="333333"/>
              <w:right w:val="single" w:sz="4" w:space="0" w:color="333333"/>
            </w:tcBorders>
            <w:shd w:val="clear" w:color="auto" w:fill="auto"/>
          </w:tcPr>
          <w:p w14:paraId="7E37B8EF"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3199</w:t>
            </w:r>
          </w:p>
        </w:tc>
      </w:tr>
      <w:tr w:rsidR="00100953" w:rsidRPr="00BB73C0" w14:paraId="0BBF7E1D"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3C032A59"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lastRenderedPageBreak/>
              <w:t>Organisation</w:t>
            </w:r>
          </w:p>
        </w:tc>
        <w:tc>
          <w:tcPr>
            <w:tcW w:w="3039" w:type="dxa"/>
            <w:gridSpan w:val="4"/>
            <w:tcBorders>
              <w:top w:val="single" w:sz="4" w:space="0" w:color="333333"/>
              <w:left w:val="single" w:sz="4" w:space="0" w:color="333333"/>
              <w:bottom w:val="single" w:sz="4" w:space="0" w:color="333333"/>
              <w:right w:val="single" w:sz="4" w:space="0" w:color="333333"/>
            </w:tcBorders>
            <w:shd w:val="clear" w:color="auto" w:fill="auto"/>
          </w:tcPr>
          <w:p w14:paraId="607C6342" w14:textId="77777777" w:rsidR="00100953" w:rsidRPr="00AD65C7" w:rsidRDefault="00100953" w:rsidP="005609D3">
            <w:pPr>
              <w:spacing w:before="60" w:after="60"/>
              <w:rPr>
                <w:rFonts w:ascii="Arial" w:hAnsi="Arial" w:cs="Arial"/>
                <w:sz w:val="20"/>
                <w:szCs w:val="20"/>
              </w:rPr>
            </w:pPr>
            <w:r w:rsidRPr="00AD65C7">
              <w:rPr>
                <w:rFonts w:ascii="Arial" w:hAnsi="Arial" w:cs="Arial"/>
                <w:sz w:val="20"/>
                <w:szCs w:val="20"/>
              </w:rPr>
              <w:t>Peninsula Health</w:t>
            </w:r>
          </w:p>
        </w:tc>
        <w:tc>
          <w:tcPr>
            <w:tcW w:w="1558" w:type="dxa"/>
            <w:gridSpan w:val="2"/>
            <w:tcBorders>
              <w:top w:val="single" w:sz="4" w:space="0" w:color="333333"/>
              <w:left w:val="single" w:sz="4" w:space="0" w:color="333333"/>
              <w:bottom w:val="single" w:sz="4" w:space="0" w:color="333333"/>
              <w:right w:val="single" w:sz="4" w:space="0" w:color="333333"/>
            </w:tcBorders>
            <w:shd w:val="clear" w:color="auto" w:fill="auto"/>
          </w:tcPr>
          <w:p w14:paraId="1EF8CD65" w14:textId="77777777" w:rsidR="00100953" w:rsidRPr="00BB73C0" w:rsidRDefault="00100953" w:rsidP="005609D3">
            <w:pPr>
              <w:spacing w:before="60" w:after="60"/>
              <w:rPr>
                <w:rFonts w:ascii="Arial" w:hAnsi="Arial" w:cs="Arial"/>
                <w:sz w:val="20"/>
                <w:szCs w:val="20"/>
              </w:rPr>
            </w:pPr>
            <w:r w:rsidRPr="00BB73C0">
              <w:rPr>
                <w:rFonts w:ascii="Arial" w:hAnsi="Arial" w:cs="Arial"/>
                <w:b/>
                <w:sz w:val="20"/>
                <w:szCs w:val="20"/>
              </w:rPr>
              <w:t>Department</w:t>
            </w:r>
          </w:p>
        </w:tc>
        <w:tc>
          <w:tcPr>
            <w:tcW w:w="3001" w:type="dxa"/>
            <w:gridSpan w:val="4"/>
            <w:tcBorders>
              <w:top w:val="single" w:sz="4" w:space="0" w:color="333333"/>
              <w:left w:val="single" w:sz="4" w:space="0" w:color="333333"/>
              <w:bottom w:val="single" w:sz="4" w:space="0" w:color="333333"/>
              <w:right w:val="single" w:sz="4" w:space="0" w:color="333333"/>
            </w:tcBorders>
            <w:shd w:val="clear" w:color="auto" w:fill="auto"/>
          </w:tcPr>
          <w:p w14:paraId="49EC5D2E"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Pharmacy</w:t>
            </w:r>
          </w:p>
        </w:tc>
      </w:tr>
      <w:tr w:rsidR="00100953" w:rsidRPr="00BB73C0" w14:paraId="31B91054"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4C55CE30"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Appointment</w:t>
            </w:r>
          </w:p>
        </w:tc>
        <w:tc>
          <w:tcPr>
            <w:tcW w:w="3039" w:type="dxa"/>
            <w:gridSpan w:val="4"/>
            <w:tcBorders>
              <w:top w:val="single" w:sz="4" w:space="0" w:color="333333"/>
              <w:left w:val="single" w:sz="4" w:space="0" w:color="333333"/>
              <w:bottom w:val="single" w:sz="4" w:space="0" w:color="333333"/>
              <w:right w:val="single" w:sz="4" w:space="0" w:color="333333"/>
            </w:tcBorders>
            <w:shd w:val="clear" w:color="auto" w:fill="auto"/>
          </w:tcPr>
          <w:p w14:paraId="12D3F55C" w14:textId="77777777" w:rsidR="00100953" w:rsidRPr="00AD65C7" w:rsidRDefault="00100953" w:rsidP="005609D3">
            <w:pPr>
              <w:spacing w:before="60" w:after="60"/>
              <w:rPr>
                <w:rFonts w:ascii="Arial" w:hAnsi="Arial" w:cs="Arial"/>
                <w:sz w:val="20"/>
                <w:szCs w:val="20"/>
              </w:rPr>
            </w:pPr>
            <w:r w:rsidRPr="00AD65C7">
              <w:rPr>
                <w:rFonts w:ascii="Arial" w:hAnsi="Arial" w:cs="Arial"/>
                <w:sz w:val="20"/>
                <w:szCs w:val="20"/>
              </w:rPr>
              <w:t>Pharmacist</w:t>
            </w:r>
          </w:p>
        </w:tc>
        <w:tc>
          <w:tcPr>
            <w:tcW w:w="1558" w:type="dxa"/>
            <w:gridSpan w:val="2"/>
            <w:tcBorders>
              <w:top w:val="single" w:sz="4" w:space="0" w:color="333333"/>
              <w:left w:val="single" w:sz="4" w:space="0" w:color="333333"/>
              <w:bottom w:val="single" w:sz="4" w:space="0" w:color="333333"/>
              <w:right w:val="single" w:sz="4" w:space="0" w:color="333333"/>
            </w:tcBorders>
            <w:shd w:val="clear" w:color="auto" w:fill="auto"/>
          </w:tcPr>
          <w:p w14:paraId="68788FCE"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Qualifications</w:t>
            </w:r>
          </w:p>
        </w:tc>
        <w:tc>
          <w:tcPr>
            <w:tcW w:w="3001" w:type="dxa"/>
            <w:gridSpan w:val="4"/>
            <w:tcBorders>
              <w:top w:val="single" w:sz="4" w:space="0" w:color="333333"/>
              <w:left w:val="single" w:sz="4" w:space="0" w:color="333333"/>
              <w:bottom w:val="single" w:sz="4" w:space="0" w:color="333333"/>
              <w:right w:val="single" w:sz="4" w:space="0" w:color="333333"/>
            </w:tcBorders>
            <w:shd w:val="clear" w:color="auto" w:fill="auto"/>
          </w:tcPr>
          <w:p w14:paraId="7431B351"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 xml:space="preserve">B. Pharm (Hons), </w:t>
            </w:r>
            <w:proofErr w:type="spellStart"/>
            <w:r w:rsidRPr="007E1743">
              <w:rPr>
                <w:rFonts w:ascii="Arial" w:hAnsi="Arial" w:cs="Arial"/>
                <w:sz w:val="19"/>
                <w:szCs w:val="19"/>
                <w:lang w:val="en"/>
              </w:rPr>
              <w:t>GradCertPharmPrac</w:t>
            </w:r>
            <w:proofErr w:type="spellEnd"/>
          </w:p>
        </w:tc>
      </w:tr>
      <w:tr w:rsidR="00100953" w:rsidRPr="00BB73C0" w14:paraId="774EEBE4"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23B4418E"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Phone (BH)</w:t>
            </w:r>
          </w:p>
        </w:tc>
        <w:tc>
          <w:tcPr>
            <w:tcW w:w="3039" w:type="dxa"/>
            <w:gridSpan w:val="4"/>
            <w:tcBorders>
              <w:top w:val="single" w:sz="4" w:space="0" w:color="333333"/>
              <w:left w:val="single" w:sz="4" w:space="0" w:color="333333"/>
              <w:bottom w:val="single" w:sz="4" w:space="0" w:color="333333"/>
              <w:right w:val="single" w:sz="4" w:space="0" w:color="333333"/>
            </w:tcBorders>
            <w:shd w:val="clear" w:color="auto" w:fill="auto"/>
          </w:tcPr>
          <w:p w14:paraId="5543B2A9" w14:textId="77777777" w:rsidR="00100953" w:rsidRPr="00AD65C7" w:rsidRDefault="00100953" w:rsidP="005609D3">
            <w:pPr>
              <w:spacing w:before="60" w:after="60"/>
              <w:rPr>
                <w:rFonts w:ascii="Arial" w:hAnsi="Arial" w:cs="Arial"/>
                <w:sz w:val="20"/>
                <w:szCs w:val="20"/>
              </w:rPr>
            </w:pPr>
            <w:r w:rsidRPr="00AD65C7">
              <w:rPr>
                <w:rFonts w:ascii="Arial" w:hAnsi="Arial" w:cs="Arial"/>
                <w:sz w:val="20"/>
                <w:szCs w:val="20"/>
              </w:rPr>
              <w:t>0397847602</w:t>
            </w:r>
          </w:p>
        </w:tc>
        <w:tc>
          <w:tcPr>
            <w:tcW w:w="1558" w:type="dxa"/>
            <w:gridSpan w:val="2"/>
            <w:tcBorders>
              <w:top w:val="single" w:sz="4" w:space="0" w:color="333333"/>
              <w:left w:val="single" w:sz="4" w:space="0" w:color="333333"/>
              <w:bottom w:val="single" w:sz="4" w:space="0" w:color="333333"/>
              <w:right w:val="single" w:sz="4" w:space="0" w:color="333333"/>
            </w:tcBorders>
            <w:shd w:val="clear" w:color="auto" w:fill="auto"/>
          </w:tcPr>
          <w:p w14:paraId="2129E193"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Mobile</w:t>
            </w:r>
          </w:p>
        </w:tc>
        <w:tc>
          <w:tcPr>
            <w:tcW w:w="3001" w:type="dxa"/>
            <w:gridSpan w:val="4"/>
            <w:tcBorders>
              <w:top w:val="single" w:sz="4" w:space="0" w:color="333333"/>
              <w:left w:val="single" w:sz="4" w:space="0" w:color="333333"/>
              <w:bottom w:val="single" w:sz="4" w:space="0" w:color="333333"/>
              <w:right w:val="single" w:sz="4" w:space="0" w:color="333333"/>
            </w:tcBorders>
            <w:shd w:val="clear" w:color="auto" w:fill="auto"/>
          </w:tcPr>
          <w:p w14:paraId="5EBF989F"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0423811269</w:t>
            </w:r>
          </w:p>
        </w:tc>
      </w:tr>
      <w:tr w:rsidR="00100953" w:rsidRPr="00BB73C0" w14:paraId="59161861"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29BC8BC1" w14:textId="77777777" w:rsidR="00100953" w:rsidRPr="00BB73C0" w:rsidRDefault="00100953" w:rsidP="005609D3">
            <w:pPr>
              <w:spacing w:before="60" w:after="60"/>
              <w:rPr>
                <w:rFonts w:ascii="Arial" w:hAnsi="Arial" w:cs="Arial"/>
                <w:b/>
                <w:sz w:val="20"/>
                <w:szCs w:val="20"/>
              </w:rPr>
            </w:pPr>
            <w:r w:rsidRPr="00BB73C0">
              <w:rPr>
                <w:rFonts w:ascii="Arial" w:hAnsi="Arial" w:cs="Arial"/>
                <w:b/>
                <w:sz w:val="20"/>
                <w:szCs w:val="20"/>
              </w:rPr>
              <w:t>Email</w:t>
            </w:r>
          </w:p>
        </w:tc>
        <w:tc>
          <w:tcPr>
            <w:tcW w:w="7598" w:type="dxa"/>
            <w:gridSpan w:val="10"/>
            <w:tcBorders>
              <w:top w:val="single" w:sz="4" w:space="0" w:color="333333"/>
              <w:left w:val="single" w:sz="4" w:space="0" w:color="333333"/>
              <w:bottom w:val="single" w:sz="4" w:space="0" w:color="333333"/>
              <w:right w:val="single" w:sz="4" w:space="0" w:color="333333"/>
            </w:tcBorders>
            <w:shd w:val="clear" w:color="auto" w:fill="auto"/>
          </w:tcPr>
          <w:p w14:paraId="414A43C1"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lvo@phcn.vic.gov.au</w:t>
            </w:r>
          </w:p>
        </w:tc>
      </w:tr>
      <w:tr w:rsidR="00100953" w:rsidRPr="00BB73C0" w14:paraId="5E274FFF" w14:textId="77777777" w:rsidTr="005609D3">
        <w:trPr>
          <w:gridAfter w:val="2"/>
          <w:wAfter w:w="511" w:type="dxa"/>
        </w:trPr>
        <w:tc>
          <w:tcPr>
            <w:tcW w:w="1899" w:type="dxa"/>
            <w:gridSpan w:val="3"/>
            <w:tcBorders>
              <w:top w:val="single" w:sz="4" w:space="0" w:color="333333"/>
              <w:left w:val="single" w:sz="4" w:space="0" w:color="333333"/>
              <w:bottom w:val="single" w:sz="4" w:space="0" w:color="333333"/>
              <w:right w:val="single" w:sz="4" w:space="0" w:color="333333"/>
            </w:tcBorders>
            <w:shd w:val="clear" w:color="auto" w:fill="auto"/>
          </w:tcPr>
          <w:p w14:paraId="3FB23634" w14:textId="77777777" w:rsidR="00100953" w:rsidRPr="00BB73C0" w:rsidRDefault="00100953" w:rsidP="005609D3">
            <w:pPr>
              <w:spacing w:before="60" w:after="60"/>
              <w:rPr>
                <w:rFonts w:ascii="Arial" w:hAnsi="Arial" w:cs="Arial"/>
                <w:b/>
                <w:sz w:val="20"/>
                <w:szCs w:val="20"/>
              </w:rPr>
            </w:pPr>
            <w:r>
              <w:rPr>
                <w:rFonts w:ascii="Arial" w:hAnsi="Arial" w:cs="Arial"/>
                <w:b/>
                <w:sz w:val="20"/>
                <w:szCs w:val="20"/>
              </w:rPr>
              <w:t>Project Role</w:t>
            </w:r>
          </w:p>
        </w:tc>
        <w:tc>
          <w:tcPr>
            <w:tcW w:w="7598" w:type="dxa"/>
            <w:gridSpan w:val="10"/>
            <w:tcBorders>
              <w:top w:val="single" w:sz="4" w:space="0" w:color="333333"/>
              <w:left w:val="single" w:sz="4" w:space="0" w:color="333333"/>
              <w:bottom w:val="single" w:sz="4" w:space="0" w:color="333333"/>
              <w:right w:val="single" w:sz="4" w:space="0" w:color="333333"/>
            </w:tcBorders>
            <w:shd w:val="clear" w:color="auto" w:fill="auto"/>
          </w:tcPr>
          <w:p w14:paraId="32D6311F" w14:textId="77777777" w:rsidR="00100953" w:rsidRPr="00BB73C0" w:rsidRDefault="00100953" w:rsidP="005609D3">
            <w:pPr>
              <w:spacing w:before="60" w:after="60"/>
              <w:rPr>
                <w:rFonts w:ascii="Arial" w:hAnsi="Arial" w:cs="Arial"/>
                <w:sz w:val="20"/>
                <w:szCs w:val="20"/>
              </w:rPr>
            </w:pPr>
            <w:r>
              <w:rPr>
                <w:rFonts w:ascii="Arial" w:hAnsi="Arial" w:cs="Arial"/>
                <w:sz w:val="20"/>
                <w:szCs w:val="20"/>
              </w:rPr>
              <w:t>Associate investigator</w:t>
            </w:r>
          </w:p>
        </w:tc>
      </w:tr>
      <w:tr w:rsidR="00100953" w:rsidRPr="00BB73C0" w14:paraId="3398D963" w14:textId="77777777" w:rsidTr="000E2CE7">
        <w:trPr>
          <w:gridAfter w:val="1"/>
          <w:wAfter w:w="108" w:type="dxa"/>
        </w:trPr>
        <w:tc>
          <w:tcPr>
            <w:tcW w:w="540" w:type="dxa"/>
            <w:gridSpan w:val="2"/>
          </w:tcPr>
          <w:p w14:paraId="1F18965A" w14:textId="77777777" w:rsidR="00100953" w:rsidRDefault="00100953" w:rsidP="00DD6FFF">
            <w:pPr>
              <w:spacing w:before="60" w:after="60"/>
              <w:rPr>
                <w:rFonts w:ascii="Arial" w:hAnsi="Arial" w:cs="Arial"/>
                <w:b/>
                <w:sz w:val="20"/>
                <w:szCs w:val="20"/>
              </w:rPr>
            </w:pPr>
          </w:p>
          <w:p w14:paraId="0D4CAEA0" w14:textId="77777777" w:rsidR="00100953" w:rsidRDefault="00100953" w:rsidP="00DD6FFF">
            <w:pPr>
              <w:spacing w:before="60" w:after="60"/>
              <w:rPr>
                <w:rFonts w:ascii="Arial" w:hAnsi="Arial" w:cs="Arial"/>
                <w:b/>
                <w:sz w:val="20"/>
                <w:szCs w:val="20"/>
              </w:rPr>
            </w:pPr>
          </w:p>
          <w:p w14:paraId="74656AD3" w14:textId="77777777" w:rsidR="00A2228D" w:rsidRDefault="00A2228D" w:rsidP="00DD6FFF">
            <w:pPr>
              <w:spacing w:before="60" w:after="60"/>
              <w:rPr>
                <w:rFonts w:ascii="Arial" w:hAnsi="Arial" w:cs="Arial"/>
                <w:b/>
                <w:sz w:val="20"/>
                <w:szCs w:val="20"/>
              </w:rPr>
            </w:pPr>
          </w:p>
          <w:p w14:paraId="29BFF5CB" w14:textId="77777777" w:rsidR="00A2228D" w:rsidRDefault="00A2228D" w:rsidP="00DD6FFF">
            <w:pPr>
              <w:spacing w:before="60" w:after="60"/>
              <w:rPr>
                <w:rFonts w:ascii="Arial" w:hAnsi="Arial" w:cs="Arial"/>
                <w:b/>
                <w:sz w:val="20"/>
                <w:szCs w:val="20"/>
              </w:rPr>
            </w:pPr>
          </w:p>
          <w:p w14:paraId="318D24D7" w14:textId="77777777" w:rsidR="00A2228D" w:rsidRDefault="00A2228D" w:rsidP="00DD6FFF">
            <w:pPr>
              <w:spacing w:before="60" w:after="60"/>
              <w:rPr>
                <w:rFonts w:ascii="Arial" w:hAnsi="Arial" w:cs="Arial"/>
                <w:b/>
                <w:sz w:val="20"/>
                <w:szCs w:val="20"/>
              </w:rPr>
            </w:pPr>
          </w:p>
          <w:p w14:paraId="34E3003A" w14:textId="77777777" w:rsidR="00A2228D" w:rsidRDefault="00A2228D" w:rsidP="00DD6FFF">
            <w:pPr>
              <w:spacing w:before="60" w:after="60"/>
              <w:rPr>
                <w:rFonts w:ascii="Arial" w:hAnsi="Arial" w:cs="Arial"/>
                <w:b/>
                <w:sz w:val="20"/>
                <w:szCs w:val="20"/>
              </w:rPr>
            </w:pPr>
          </w:p>
          <w:p w14:paraId="628DCAD8" w14:textId="77777777" w:rsidR="00A2228D" w:rsidRDefault="00A2228D" w:rsidP="00DD6FFF">
            <w:pPr>
              <w:spacing w:before="60" w:after="60"/>
              <w:rPr>
                <w:rFonts w:ascii="Arial" w:hAnsi="Arial" w:cs="Arial"/>
                <w:b/>
                <w:sz w:val="20"/>
                <w:szCs w:val="20"/>
              </w:rPr>
            </w:pPr>
          </w:p>
          <w:p w14:paraId="515E6245" w14:textId="77777777" w:rsidR="00A2228D" w:rsidRDefault="00A2228D" w:rsidP="00DD6FFF">
            <w:pPr>
              <w:spacing w:before="60" w:after="60"/>
              <w:rPr>
                <w:rFonts w:ascii="Arial" w:hAnsi="Arial" w:cs="Arial"/>
                <w:b/>
                <w:sz w:val="20"/>
                <w:szCs w:val="20"/>
              </w:rPr>
            </w:pPr>
          </w:p>
          <w:p w14:paraId="292D3D9F" w14:textId="77777777" w:rsidR="00A2228D" w:rsidRDefault="00A2228D" w:rsidP="00DD6FFF">
            <w:pPr>
              <w:spacing w:before="60" w:after="60"/>
              <w:rPr>
                <w:rFonts w:ascii="Arial" w:hAnsi="Arial" w:cs="Arial"/>
                <w:b/>
                <w:sz w:val="20"/>
                <w:szCs w:val="20"/>
              </w:rPr>
            </w:pPr>
          </w:p>
          <w:p w14:paraId="225FCD83" w14:textId="77777777" w:rsidR="00A2228D" w:rsidRDefault="00A2228D" w:rsidP="00DD6FFF">
            <w:pPr>
              <w:spacing w:before="60" w:after="60"/>
              <w:rPr>
                <w:rFonts w:ascii="Arial" w:hAnsi="Arial" w:cs="Arial"/>
                <w:b/>
                <w:sz w:val="20"/>
                <w:szCs w:val="20"/>
              </w:rPr>
            </w:pPr>
          </w:p>
          <w:p w14:paraId="1B303093" w14:textId="77777777" w:rsidR="00A2228D" w:rsidRDefault="00A2228D" w:rsidP="00DD6FFF">
            <w:pPr>
              <w:spacing w:before="60" w:after="60"/>
              <w:rPr>
                <w:rFonts w:ascii="Arial" w:hAnsi="Arial" w:cs="Arial"/>
                <w:b/>
                <w:sz w:val="20"/>
                <w:szCs w:val="20"/>
              </w:rPr>
            </w:pPr>
          </w:p>
          <w:p w14:paraId="522EF5CA" w14:textId="77777777" w:rsidR="00A2228D" w:rsidRDefault="00A2228D" w:rsidP="00DD6FFF">
            <w:pPr>
              <w:spacing w:before="60" w:after="60"/>
              <w:rPr>
                <w:rFonts w:ascii="Arial" w:hAnsi="Arial" w:cs="Arial"/>
                <w:b/>
                <w:sz w:val="20"/>
                <w:szCs w:val="20"/>
              </w:rPr>
            </w:pPr>
          </w:p>
          <w:p w14:paraId="51D3DEE1" w14:textId="6778F0C1" w:rsidR="00100953" w:rsidRDefault="00100953" w:rsidP="00DD6FFF">
            <w:pPr>
              <w:spacing w:before="60" w:after="60"/>
              <w:rPr>
                <w:rFonts w:ascii="Arial" w:hAnsi="Arial" w:cs="Arial"/>
                <w:b/>
                <w:sz w:val="20"/>
                <w:szCs w:val="20"/>
              </w:rPr>
            </w:pPr>
            <w:r w:rsidRPr="00BB73C0">
              <w:rPr>
                <w:rFonts w:ascii="Arial" w:hAnsi="Arial" w:cs="Arial"/>
                <w:b/>
                <w:sz w:val="20"/>
                <w:szCs w:val="20"/>
              </w:rPr>
              <w:t>6.</w:t>
            </w:r>
          </w:p>
          <w:p w14:paraId="4FF467BF" w14:textId="7DE6ECD5" w:rsidR="00100953" w:rsidRPr="00BB73C0" w:rsidRDefault="00100953" w:rsidP="009F4DD9">
            <w:pPr>
              <w:spacing w:before="60" w:after="60"/>
              <w:rPr>
                <w:rFonts w:ascii="Arial" w:hAnsi="Arial" w:cs="Arial"/>
                <w:sz w:val="20"/>
                <w:szCs w:val="20"/>
              </w:rPr>
            </w:pPr>
          </w:p>
        </w:tc>
        <w:tc>
          <w:tcPr>
            <w:tcW w:w="9360" w:type="dxa"/>
            <w:gridSpan w:val="12"/>
            <w:tcBorders>
              <w:bottom w:val="single" w:sz="4" w:space="0" w:color="auto"/>
            </w:tcBorders>
          </w:tcPr>
          <w:p w14:paraId="4D345E66" w14:textId="77777777" w:rsidR="00A2228D" w:rsidRDefault="00A2228D"/>
          <w:tbl>
            <w:tblPr>
              <w:tblStyle w:val="TableGrid"/>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290"/>
              <w:gridCol w:w="1418"/>
              <w:gridCol w:w="992"/>
              <w:gridCol w:w="1417"/>
              <w:gridCol w:w="2049"/>
              <w:gridCol w:w="1320"/>
              <w:gridCol w:w="1298"/>
              <w:gridCol w:w="197"/>
            </w:tblGrid>
            <w:tr w:rsidR="00A2228D" w:rsidRPr="00BB73C0" w14:paraId="1C347BD8" w14:textId="77777777" w:rsidTr="007D18C7">
              <w:trPr>
                <w:gridAfter w:val="1"/>
                <w:wAfter w:w="197" w:type="dxa"/>
                <w:trHeight w:val="260"/>
              </w:trPr>
              <w:tc>
                <w:tcPr>
                  <w:tcW w:w="236" w:type="dxa"/>
                  <w:tcBorders>
                    <w:right w:val="single" w:sz="4" w:space="0" w:color="333333"/>
                  </w:tcBorders>
                </w:tcPr>
                <w:p w14:paraId="4D422D0F"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7EC77B80"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Title</w:t>
                  </w:r>
                </w:p>
              </w:tc>
              <w:tc>
                <w:tcPr>
                  <w:tcW w:w="992" w:type="dxa"/>
                  <w:tcBorders>
                    <w:top w:val="single" w:sz="4" w:space="0" w:color="333333"/>
                    <w:left w:val="single" w:sz="4" w:space="0" w:color="333333"/>
                    <w:bottom w:val="single" w:sz="4" w:space="0" w:color="333333"/>
                    <w:right w:val="single" w:sz="4" w:space="0" w:color="333333"/>
                  </w:tcBorders>
                </w:tcPr>
                <w:p w14:paraId="45D9E2A6"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Dr</w:t>
                  </w:r>
                </w:p>
              </w:tc>
              <w:tc>
                <w:tcPr>
                  <w:tcW w:w="1417" w:type="dxa"/>
                  <w:tcBorders>
                    <w:top w:val="single" w:sz="4" w:space="0" w:color="333333"/>
                    <w:left w:val="single" w:sz="4" w:space="0" w:color="333333"/>
                    <w:bottom w:val="single" w:sz="4" w:space="0" w:color="333333"/>
                    <w:right w:val="single" w:sz="4" w:space="0" w:color="333333"/>
                  </w:tcBorders>
                </w:tcPr>
                <w:p w14:paraId="52D8CB9A"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First Name</w:t>
                  </w:r>
                </w:p>
              </w:tc>
              <w:tc>
                <w:tcPr>
                  <w:tcW w:w="2049" w:type="dxa"/>
                  <w:tcBorders>
                    <w:top w:val="single" w:sz="4" w:space="0" w:color="333333"/>
                    <w:left w:val="single" w:sz="4" w:space="0" w:color="333333"/>
                    <w:bottom w:val="single" w:sz="4" w:space="0" w:color="333333"/>
                    <w:right w:val="single" w:sz="4" w:space="0" w:color="333333"/>
                  </w:tcBorders>
                </w:tcPr>
                <w:p w14:paraId="6207AFDB"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Travis</w:t>
                  </w:r>
                </w:p>
              </w:tc>
              <w:tc>
                <w:tcPr>
                  <w:tcW w:w="1320" w:type="dxa"/>
                  <w:tcBorders>
                    <w:top w:val="single" w:sz="4" w:space="0" w:color="333333"/>
                    <w:left w:val="single" w:sz="4" w:space="0" w:color="333333"/>
                    <w:bottom w:val="single" w:sz="4" w:space="0" w:color="333333"/>
                    <w:right w:val="single" w:sz="4" w:space="0" w:color="333333"/>
                  </w:tcBorders>
                </w:tcPr>
                <w:p w14:paraId="5BF24763"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Surname</w:t>
                  </w:r>
                </w:p>
              </w:tc>
              <w:tc>
                <w:tcPr>
                  <w:tcW w:w="1298" w:type="dxa"/>
                  <w:tcBorders>
                    <w:top w:val="single" w:sz="4" w:space="0" w:color="333333"/>
                    <w:left w:val="single" w:sz="4" w:space="0" w:color="333333"/>
                    <w:bottom w:val="single" w:sz="4" w:space="0" w:color="333333"/>
                    <w:right w:val="single" w:sz="4" w:space="0" w:color="333333"/>
                  </w:tcBorders>
                </w:tcPr>
                <w:p w14:paraId="78A99134"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Churchill</w:t>
                  </w:r>
                </w:p>
              </w:tc>
            </w:tr>
            <w:tr w:rsidR="00A2228D" w:rsidRPr="00BB73C0" w14:paraId="613262F1" w14:textId="77777777" w:rsidTr="007D18C7">
              <w:trPr>
                <w:gridAfter w:val="1"/>
                <w:wAfter w:w="197" w:type="dxa"/>
                <w:trHeight w:val="430"/>
              </w:trPr>
              <w:tc>
                <w:tcPr>
                  <w:tcW w:w="236" w:type="dxa"/>
                  <w:tcBorders>
                    <w:right w:val="single" w:sz="4" w:space="0" w:color="333333"/>
                  </w:tcBorders>
                </w:tcPr>
                <w:p w14:paraId="247FBC00"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535C1E1F"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Mailing Address</w:t>
                  </w:r>
                </w:p>
              </w:tc>
              <w:tc>
                <w:tcPr>
                  <w:tcW w:w="7076" w:type="dxa"/>
                  <w:gridSpan w:val="5"/>
                  <w:tcBorders>
                    <w:top w:val="single" w:sz="4" w:space="0" w:color="333333"/>
                    <w:left w:val="single" w:sz="4" w:space="0" w:color="333333"/>
                    <w:bottom w:val="single" w:sz="4" w:space="0" w:color="333333"/>
                    <w:right w:val="single" w:sz="4" w:space="0" w:color="333333"/>
                  </w:tcBorders>
                </w:tcPr>
                <w:p w14:paraId="0FFC681A"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Department of Medicine, Frankston Hospital, 2 Hastings Road, Frankston Victoria 3199.</w:t>
                  </w:r>
                </w:p>
              </w:tc>
            </w:tr>
            <w:tr w:rsidR="00A2228D" w:rsidRPr="00BB73C0" w14:paraId="7E4A8376" w14:textId="77777777" w:rsidTr="007D18C7">
              <w:trPr>
                <w:gridAfter w:val="1"/>
                <w:wAfter w:w="197" w:type="dxa"/>
                <w:trHeight w:val="260"/>
              </w:trPr>
              <w:tc>
                <w:tcPr>
                  <w:tcW w:w="236" w:type="dxa"/>
                  <w:tcBorders>
                    <w:right w:val="single" w:sz="4" w:space="0" w:color="333333"/>
                  </w:tcBorders>
                </w:tcPr>
                <w:p w14:paraId="650AABEA"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65720D37"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Suburb/City</w:t>
                  </w:r>
                </w:p>
              </w:tc>
              <w:tc>
                <w:tcPr>
                  <w:tcW w:w="2409" w:type="dxa"/>
                  <w:gridSpan w:val="2"/>
                  <w:tcBorders>
                    <w:top w:val="single" w:sz="4" w:space="0" w:color="333333"/>
                    <w:left w:val="single" w:sz="4" w:space="0" w:color="333333"/>
                    <w:bottom w:val="single" w:sz="4" w:space="0" w:color="333333"/>
                    <w:right w:val="single" w:sz="4" w:space="0" w:color="333333"/>
                  </w:tcBorders>
                </w:tcPr>
                <w:p w14:paraId="6371F5AF" w14:textId="77777777" w:rsidR="00A2228D" w:rsidRPr="00AD65C7" w:rsidRDefault="00A2228D" w:rsidP="00A2228D">
                  <w:pPr>
                    <w:spacing w:before="60" w:after="60"/>
                    <w:rPr>
                      <w:rFonts w:ascii="Arial" w:hAnsi="Arial" w:cs="Arial"/>
                      <w:sz w:val="20"/>
                      <w:szCs w:val="20"/>
                    </w:rPr>
                  </w:pPr>
                  <w:r w:rsidRPr="00AD65C7">
                    <w:rPr>
                      <w:rFonts w:ascii="Arial" w:hAnsi="Arial" w:cs="Arial"/>
                      <w:sz w:val="20"/>
                      <w:szCs w:val="20"/>
                    </w:rPr>
                    <w:t>Frankston</w:t>
                  </w:r>
                </w:p>
              </w:tc>
              <w:tc>
                <w:tcPr>
                  <w:tcW w:w="2049" w:type="dxa"/>
                  <w:tcBorders>
                    <w:top w:val="single" w:sz="4" w:space="0" w:color="333333"/>
                    <w:left w:val="single" w:sz="4" w:space="0" w:color="333333"/>
                    <w:bottom w:val="single" w:sz="4" w:space="0" w:color="333333"/>
                    <w:right w:val="single" w:sz="4" w:space="0" w:color="333333"/>
                  </w:tcBorders>
                </w:tcPr>
                <w:p w14:paraId="25EB1A56" w14:textId="77777777" w:rsidR="00A2228D" w:rsidRPr="00BB73C0" w:rsidRDefault="00A2228D" w:rsidP="00A2228D">
                  <w:pPr>
                    <w:spacing w:before="60" w:after="60"/>
                    <w:rPr>
                      <w:rFonts w:ascii="Arial" w:hAnsi="Arial" w:cs="Arial"/>
                      <w:sz w:val="20"/>
                      <w:szCs w:val="20"/>
                    </w:rPr>
                  </w:pPr>
                  <w:r w:rsidRPr="00BB73C0">
                    <w:rPr>
                      <w:rFonts w:ascii="Arial" w:hAnsi="Arial" w:cs="Arial"/>
                      <w:b/>
                      <w:sz w:val="20"/>
                      <w:szCs w:val="20"/>
                    </w:rPr>
                    <w:t>Postcode</w:t>
                  </w:r>
                </w:p>
              </w:tc>
              <w:tc>
                <w:tcPr>
                  <w:tcW w:w="2618" w:type="dxa"/>
                  <w:gridSpan w:val="2"/>
                  <w:tcBorders>
                    <w:top w:val="single" w:sz="4" w:space="0" w:color="333333"/>
                    <w:left w:val="single" w:sz="4" w:space="0" w:color="333333"/>
                    <w:bottom w:val="single" w:sz="4" w:space="0" w:color="333333"/>
                    <w:right w:val="single" w:sz="4" w:space="0" w:color="333333"/>
                  </w:tcBorders>
                </w:tcPr>
                <w:p w14:paraId="475E0DF6"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3199</w:t>
                  </w:r>
                </w:p>
              </w:tc>
            </w:tr>
            <w:tr w:rsidR="00A2228D" w:rsidRPr="00BB73C0" w14:paraId="1A41CC7D" w14:textId="77777777" w:rsidTr="007D18C7">
              <w:trPr>
                <w:gridAfter w:val="1"/>
                <w:wAfter w:w="197" w:type="dxa"/>
                <w:trHeight w:val="260"/>
              </w:trPr>
              <w:tc>
                <w:tcPr>
                  <w:tcW w:w="236" w:type="dxa"/>
                  <w:tcBorders>
                    <w:right w:val="single" w:sz="4" w:space="0" w:color="333333"/>
                  </w:tcBorders>
                </w:tcPr>
                <w:p w14:paraId="0BA231B1"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68591576"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Organisation</w:t>
                  </w:r>
                </w:p>
              </w:tc>
              <w:tc>
                <w:tcPr>
                  <w:tcW w:w="2409" w:type="dxa"/>
                  <w:gridSpan w:val="2"/>
                  <w:tcBorders>
                    <w:top w:val="single" w:sz="4" w:space="0" w:color="333333"/>
                    <w:left w:val="single" w:sz="4" w:space="0" w:color="333333"/>
                    <w:bottom w:val="single" w:sz="4" w:space="0" w:color="333333"/>
                    <w:right w:val="single" w:sz="4" w:space="0" w:color="333333"/>
                  </w:tcBorders>
                </w:tcPr>
                <w:p w14:paraId="3C99389E" w14:textId="77777777" w:rsidR="00A2228D" w:rsidRPr="00AD65C7" w:rsidRDefault="00A2228D" w:rsidP="00A2228D">
                  <w:pPr>
                    <w:spacing w:before="60" w:after="60"/>
                    <w:rPr>
                      <w:rFonts w:ascii="Arial" w:hAnsi="Arial" w:cs="Arial"/>
                      <w:sz w:val="20"/>
                      <w:szCs w:val="20"/>
                    </w:rPr>
                  </w:pPr>
                  <w:r w:rsidRPr="00AD65C7">
                    <w:rPr>
                      <w:rFonts w:ascii="Arial" w:hAnsi="Arial" w:cs="Arial"/>
                      <w:sz w:val="20"/>
                      <w:szCs w:val="20"/>
                    </w:rPr>
                    <w:t>Peninsula Health</w:t>
                  </w:r>
                </w:p>
              </w:tc>
              <w:tc>
                <w:tcPr>
                  <w:tcW w:w="2049" w:type="dxa"/>
                  <w:tcBorders>
                    <w:top w:val="single" w:sz="4" w:space="0" w:color="333333"/>
                    <w:left w:val="single" w:sz="4" w:space="0" w:color="333333"/>
                    <w:bottom w:val="single" w:sz="4" w:space="0" w:color="333333"/>
                    <w:right w:val="single" w:sz="4" w:space="0" w:color="333333"/>
                  </w:tcBorders>
                </w:tcPr>
                <w:p w14:paraId="5D1DDCB0" w14:textId="77777777" w:rsidR="00A2228D" w:rsidRPr="00BB73C0" w:rsidRDefault="00A2228D" w:rsidP="00A2228D">
                  <w:pPr>
                    <w:spacing w:before="60" w:after="60"/>
                    <w:rPr>
                      <w:rFonts w:ascii="Arial" w:hAnsi="Arial" w:cs="Arial"/>
                      <w:sz w:val="20"/>
                      <w:szCs w:val="20"/>
                    </w:rPr>
                  </w:pPr>
                  <w:r w:rsidRPr="00BB73C0">
                    <w:rPr>
                      <w:rFonts w:ascii="Arial" w:hAnsi="Arial" w:cs="Arial"/>
                      <w:b/>
                      <w:sz w:val="20"/>
                      <w:szCs w:val="20"/>
                    </w:rPr>
                    <w:t>Department</w:t>
                  </w:r>
                </w:p>
              </w:tc>
              <w:tc>
                <w:tcPr>
                  <w:tcW w:w="2618" w:type="dxa"/>
                  <w:gridSpan w:val="2"/>
                  <w:tcBorders>
                    <w:top w:val="single" w:sz="4" w:space="0" w:color="333333"/>
                    <w:left w:val="single" w:sz="4" w:space="0" w:color="333333"/>
                    <w:bottom w:val="single" w:sz="4" w:space="0" w:color="333333"/>
                    <w:right w:val="single" w:sz="4" w:space="0" w:color="333333"/>
                  </w:tcBorders>
                </w:tcPr>
                <w:p w14:paraId="5DA83D3A"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Medicine</w:t>
                  </w:r>
                </w:p>
              </w:tc>
            </w:tr>
            <w:tr w:rsidR="00A2228D" w:rsidRPr="00BB73C0" w14:paraId="750E1CA9" w14:textId="77777777" w:rsidTr="007D18C7">
              <w:trPr>
                <w:gridAfter w:val="1"/>
                <w:wAfter w:w="197" w:type="dxa"/>
                <w:trHeight w:val="260"/>
              </w:trPr>
              <w:tc>
                <w:tcPr>
                  <w:tcW w:w="236" w:type="dxa"/>
                  <w:tcBorders>
                    <w:right w:val="single" w:sz="4" w:space="0" w:color="333333"/>
                  </w:tcBorders>
                </w:tcPr>
                <w:p w14:paraId="694E98E5"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074C7FF5"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Appointment</w:t>
                  </w:r>
                </w:p>
              </w:tc>
              <w:tc>
                <w:tcPr>
                  <w:tcW w:w="2409" w:type="dxa"/>
                  <w:gridSpan w:val="2"/>
                  <w:tcBorders>
                    <w:top w:val="single" w:sz="4" w:space="0" w:color="333333"/>
                    <w:left w:val="single" w:sz="4" w:space="0" w:color="333333"/>
                    <w:bottom w:val="single" w:sz="4" w:space="0" w:color="333333"/>
                    <w:right w:val="single" w:sz="4" w:space="0" w:color="333333"/>
                  </w:tcBorders>
                </w:tcPr>
                <w:p w14:paraId="1CD589A9" w14:textId="77777777" w:rsidR="00A2228D" w:rsidRPr="00AD65C7" w:rsidRDefault="00A2228D" w:rsidP="00A2228D">
                  <w:pPr>
                    <w:spacing w:before="60" w:after="60"/>
                    <w:rPr>
                      <w:rFonts w:ascii="Arial" w:hAnsi="Arial" w:cs="Arial"/>
                      <w:sz w:val="20"/>
                      <w:szCs w:val="20"/>
                    </w:rPr>
                  </w:pPr>
                  <w:r>
                    <w:rPr>
                      <w:rFonts w:ascii="Arial" w:hAnsi="Arial" w:cs="Arial"/>
                      <w:sz w:val="20"/>
                      <w:szCs w:val="20"/>
                    </w:rPr>
                    <w:t>Advanced Trainee Registrar</w:t>
                  </w:r>
                </w:p>
              </w:tc>
              <w:tc>
                <w:tcPr>
                  <w:tcW w:w="2049" w:type="dxa"/>
                  <w:tcBorders>
                    <w:top w:val="single" w:sz="4" w:space="0" w:color="333333"/>
                    <w:left w:val="single" w:sz="4" w:space="0" w:color="333333"/>
                    <w:bottom w:val="single" w:sz="4" w:space="0" w:color="333333"/>
                    <w:right w:val="single" w:sz="4" w:space="0" w:color="333333"/>
                  </w:tcBorders>
                </w:tcPr>
                <w:p w14:paraId="470EDFF3"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Qualifications</w:t>
                  </w:r>
                </w:p>
              </w:tc>
              <w:tc>
                <w:tcPr>
                  <w:tcW w:w="2618" w:type="dxa"/>
                  <w:gridSpan w:val="2"/>
                  <w:tcBorders>
                    <w:top w:val="single" w:sz="4" w:space="0" w:color="333333"/>
                    <w:left w:val="single" w:sz="4" w:space="0" w:color="333333"/>
                    <w:bottom w:val="single" w:sz="4" w:space="0" w:color="333333"/>
                    <w:right w:val="single" w:sz="4" w:space="0" w:color="333333"/>
                  </w:tcBorders>
                </w:tcPr>
                <w:p w14:paraId="20B25907" w14:textId="77777777" w:rsidR="00A2228D" w:rsidRPr="00E0703C" w:rsidRDefault="00A2228D" w:rsidP="00A2228D">
                  <w:pPr>
                    <w:spacing w:before="60" w:after="60"/>
                    <w:rPr>
                      <w:rFonts w:ascii="Arial" w:hAnsi="Arial" w:cs="Arial"/>
                      <w:sz w:val="20"/>
                      <w:szCs w:val="20"/>
                    </w:rPr>
                  </w:pPr>
                  <w:r>
                    <w:rPr>
                      <w:rFonts w:ascii="Arial" w:hAnsi="Arial" w:cs="Arial"/>
                      <w:sz w:val="20"/>
                      <w:szCs w:val="20"/>
                    </w:rPr>
                    <w:t>MBBS</w:t>
                  </w:r>
                </w:p>
              </w:tc>
            </w:tr>
            <w:tr w:rsidR="00A2228D" w:rsidRPr="00BB73C0" w14:paraId="7D27955B" w14:textId="77777777" w:rsidTr="007D18C7">
              <w:trPr>
                <w:gridAfter w:val="1"/>
                <w:wAfter w:w="197" w:type="dxa"/>
                <w:trHeight w:val="260"/>
              </w:trPr>
              <w:tc>
                <w:tcPr>
                  <w:tcW w:w="236" w:type="dxa"/>
                  <w:tcBorders>
                    <w:right w:val="single" w:sz="4" w:space="0" w:color="333333"/>
                  </w:tcBorders>
                </w:tcPr>
                <w:p w14:paraId="396E654C"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5B30EFA5"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Phone (BH)</w:t>
                  </w:r>
                </w:p>
              </w:tc>
              <w:tc>
                <w:tcPr>
                  <w:tcW w:w="2409" w:type="dxa"/>
                  <w:gridSpan w:val="2"/>
                  <w:tcBorders>
                    <w:top w:val="single" w:sz="4" w:space="0" w:color="333333"/>
                    <w:left w:val="single" w:sz="4" w:space="0" w:color="333333"/>
                    <w:bottom w:val="single" w:sz="4" w:space="0" w:color="333333"/>
                    <w:right w:val="single" w:sz="4" w:space="0" w:color="333333"/>
                  </w:tcBorders>
                </w:tcPr>
                <w:p w14:paraId="7F668160" w14:textId="77777777" w:rsidR="00A2228D" w:rsidRPr="00AD65C7" w:rsidRDefault="00A2228D" w:rsidP="00A2228D">
                  <w:pPr>
                    <w:spacing w:before="60" w:after="60"/>
                    <w:rPr>
                      <w:rFonts w:ascii="Arial" w:hAnsi="Arial" w:cs="Arial"/>
                      <w:sz w:val="20"/>
                      <w:szCs w:val="20"/>
                    </w:rPr>
                  </w:pPr>
                  <w:r w:rsidRPr="00BB73C0">
                    <w:rPr>
                      <w:rFonts w:ascii="Arial" w:hAnsi="Arial" w:cs="Arial"/>
                      <w:b/>
                      <w:sz w:val="20"/>
                      <w:szCs w:val="20"/>
                    </w:rPr>
                    <w:fldChar w:fldCharType="begin">
                      <w:ffData>
                        <w:name w:val="Text15"/>
                        <w:enabled/>
                        <w:calcOnExit w:val="0"/>
                        <w:textInput/>
                      </w:ffData>
                    </w:fldChar>
                  </w:r>
                  <w:r w:rsidRPr="00BB73C0">
                    <w:rPr>
                      <w:rFonts w:ascii="Arial" w:hAnsi="Arial" w:cs="Arial"/>
                      <w:b/>
                      <w:sz w:val="20"/>
                      <w:szCs w:val="20"/>
                    </w:rPr>
                    <w:instrText xml:space="preserve"> FORMTEXT </w:instrText>
                  </w:r>
                  <w:r w:rsidRPr="00BB73C0">
                    <w:rPr>
                      <w:rFonts w:ascii="Arial" w:hAnsi="Arial" w:cs="Arial"/>
                      <w:b/>
                      <w:sz w:val="20"/>
                      <w:szCs w:val="20"/>
                    </w:rPr>
                  </w:r>
                  <w:r w:rsidRPr="00BB73C0">
                    <w:rPr>
                      <w:rFonts w:ascii="Arial" w:hAnsi="Arial" w:cs="Arial"/>
                      <w:b/>
                      <w:sz w:val="20"/>
                      <w:szCs w:val="20"/>
                    </w:rPr>
                    <w:fldChar w:fldCharType="separate"/>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noProof/>
                      <w:sz w:val="20"/>
                      <w:szCs w:val="20"/>
                    </w:rPr>
                    <w:t> </w:t>
                  </w:r>
                  <w:r w:rsidRPr="00BB73C0">
                    <w:rPr>
                      <w:rFonts w:ascii="Arial" w:hAnsi="Arial" w:cs="Arial"/>
                      <w:b/>
                      <w:sz w:val="20"/>
                      <w:szCs w:val="20"/>
                    </w:rPr>
                    <w:fldChar w:fldCharType="end"/>
                  </w:r>
                </w:p>
              </w:tc>
              <w:tc>
                <w:tcPr>
                  <w:tcW w:w="2049" w:type="dxa"/>
                  <w:tcBorders>
                    <w:top w:val="single" w:sz="4" w:space="0" w:color="333333"/>
                    <w:left w:val="single" w:sz="4" w:space="0" w:color="333333"/>
                    <w:bottom w:val="single" w:sz="4" w:space="0" w:color="333333"/>
                    <w:right w:val="single" w:sz="4" w:space="0" w:color="333333"/>
                  </w:tcBorders>
                </w:tcPr>
                <w:p w14:paraId="1A7E4A6C"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Mobile</w:t>
                  </w:r>
                </w:p>
              </w:tc>
              <w:tc>
                <w:tcPr>
                  <w:tcW w:w="2618" w:type="dxa"/>
                  <w:gridSpan w:val="2"/>
                  <w:tcBorders>
                    <w:top w:val="single" w:sz="4" w:space="0" w:color="333333"/>
                    <w:left w:val="single" w:sz="4" w:space="0" w:color="333333"/>
                    <w:bottom w:val="single" w:sz="4" w:space="0" w:color="333333"/>
                    <w:right w:val="single" w:sz="4" w:space="0" w:color="333333"/>
                  </w:tcBorders>
                </w:tcPr>
                <w:p w14:paraId="79F9BF2A"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0435916758</w:t>
                  </w:r>
                </w:p>
              </w:tc>
            </w:tr>
            <w:tr w:rsidR="00A2228D" w:rsidRPr="00BB73C0" w14:paraId="207AAC2F" w14:textId="77777777" w:rsidTr="007D18C7">
              <w:trPr>
                <w:gridAfter w:val="1"/>
                <w:wAfter w:w="197" w:type="dxa"/>
                <w:trHeight w:val="260"/>
              </w:trPr>
              <w:tc>
                <w:tcPr>
                  <w:tcW w:w="236" w:type="dxa"/>
                  <w:tcBorders>
                    <w:right w:val="single" w:sz="4" w:space="0" w:color="333333"/>
                  </w:tcBorders>
                </w:tcPr>
                <w:p w14:paraId="7299C1DC"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0FAF143A" w14:textId="77777777" w:rsidR="00A2228D" w:rsidRPr="00BB73C0" w:rsidRDefault="00A2228D" w:rsidP="00A2228D">
                  <w:pPr>
                    <w:spacing w:before="60" w:after="60"/>
                    <w:rPr>
                      <w:rFonts w:ascii="Arial" w:hAnsi="Arial" w:cs="Arial"/>
                      <w:b/>
                      <w:sz w:val="20"/>
                      <w:szCs w:val="20"/>
                    </w:rPr>
                  </w:pPr>
                  <w:r w:rsidRPr="00BB73C0">
                    <w:rPr>
                      <w:rFonts w:ascii="Arial" w:hAnsi="Arial" w:cs="Arial"/>
                      <w:b/>
                      <w:sz w:val="20"/>
                      <w:szCs w:val="20"/>
                    </w:rPr>
                    <w:t>Email</w:t>
                  </w:r>
                </w:p>
              </w:tc>
              <w:tc>
                <w:tcPr>
                  <w:tcW w:w="7076" w:type="dxa"/>
                  <w:gridSpan w:val="5"/>
                  <w:tcBorders>
                    <w:top w:val="single" w:sz="4" w:space="0" w:color="333333"/>
                    <w:left w:val="single" w:sz="4" w:space="0" w:color="333333"/>
                    <w:bottom w:val="single" w:sz="4" w:space="0" w:color="333333"/>
                    <w:right w:val="single" w:sz="4" w:space="0" w:color="333333"/>
                  </w:tcBorders>
                </w:tcPr>
                <w:p w14:paraId="4AA7BFEC"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TChurchill@phcn.vic.gov.au</w:t>
                  </w:r>
                </w:p>
              </w:tc>
            </w:tr>
            <w:tr w:rsidR="00A2228D" w:rsidRPr="00BB73C0" w14:paraId="7223596C" w14:textId="77777777" w:rsidTr="007D18C7">
              <w:trPr>
                <w:gridAfter w:val="1"/>
                <w:wAfter w:w="197" w:type="dxa"/>
                <w:trHeight w:val="260"/>
              </w:trPr>
              <w:tc>
                <w:tcPr>
                  <w:tcW w:w="236" w:type="dxa"/>
                  <w:tcBorders>
                    <w:right w:val="single" w:sz="4" w:space="0" w:color="333333"/>
                  </w:tcBorders>
                </w:tcPr>
                <w:p w14:paraId="1D2C4CAF" w14:textId="77777777" w:rsidR="00A2228D" w:rsidRPr="00BB73C0" w:rsidRDefault="00A2228D" w:rsidP="00A2228D">
                  <w:pPr>
                    <w:spacing w:before="60" w:after="60"/>
                    <w:rPr>
                      <w:rFonts w:ascii="Arial" w:hAnsi="Arial" w:cs="Arial"/>
                      <w:b/>
                      <w:sz w:val="20"/>
                      <w:szCs w:val="20"/>
                    </w:rPr>
                  </w:pPr>
                </w:p>
              </w:tc>
              <w:tc>
                <w:tcPr>
                  <w:tcW w:w="1708" w:type="dxa"/>
                  <w:gridSpan w:val="2"/>
                  <w:tcBorders>
                    <w:top w:val="single" w:sz="4" w:space="0" w:color="333333"/>
                    <w:left w:val="single" w:sz="4" w:space="0" w:color="333333"/>
                    <w:bottom w:val="single" w:sz="4" w:space="0" w:color="333333"/>
                    <w:right w:val="single" w:sz="4" w:space="0" w:color="333333"/>
                  </w:tcBorders>
                </w:tcPr>
                <w:p w14:paraId="4786A599" w14:textId="77777777" w:rsidR="00A2228D" w:rsidRPr="00BB73C0" w:rsidRDefault="00A2228D" w:rsidP="00A2228D">
                  <w:pPr>
                    <w:spacing w:before="60" w:after="60"/>
                    <w:rPr>
                      <w:rFonts w:ascii="Arial" w:hAnsi="Arial" w:cs="Arial"/>
                      <w:b/>
                      <w:sz w:val="20"/>
                      <w:szCs w:val="20"/>
                    </w:rPr>
                  </w:pPr>
                  <w:r>
                    <w:rPr>
                      <w:rFonts w:ascii="Arial" w:hAnsi="Arial" w:cs="Arial"/>
                      <w:b/>
                      <w:sz w:val="20"/>
                      <w:szCs w:val="20"/>
                    </w:rPr>
                    <w:t>Project Role</w:t>
                  </w:r>
                </w:p>
              </w:tc>
              <w:tc>
                <w:tcPr>
                  <w:tcW w:w="7076" w:type="dxa"/>
                  <w:gridSpan w:val="5"/>
                  <w:tcBorders>
                    <w:top w:val="single" w:sz="4" w:space="0" w:color="333333"/>
                    <w:left w:val="single" w:sz="4" w:space="0" w:color="333333"/>
                    <w:bottom w:val="single" w:sz="4" w:space="0" w:color="333333"/>
                    <w:right w:val="single" w:sz="4" w:space="0" w:color="333333"/>
                  </w:tcBorders>
                </w:tcPr>
                <w:p w14:paraId="138BB820" w14:textId="77777777" w:rsidR="00A2228D" w:rsidRPr="00BB73C0" w:rsidRDefault="00A2228D" w:rsidP="00A2228D">
                  <w:pPr>
                    <w:spacing w:before="60" w:after="60"/>
                    <w:rPr>
                      <w:rFonts w:ascii="Arial" w:hAnsi="Arial" w:cs="Arial"/>
                      <w:sz w:val="20"/>
                      <w:szCs w:val="20"/>
                    </w:rPr>
                  </w:pPr>
                  <w:r>
                    <w:rPr>
                      <w:rFonts w:ascii="Arial" w:hAnsi="Arial" w:cs="Arial"/>
                      <w:sz w:val="20"/>
                      <w:szCs w:val="20"/>
                    </w:rPr>
                    <w:t>Associate investigator</w:t>
                  </w:r>
                </w:p>
              </w:tc>
            </w:tr>
            <w:tr w:rsidR="00A2228D" w:rsidRPr="00BB73C0" w14:paraId="1598D544" w14:textId="77777777" w:rsidTr="007D18C7">
              <w:trPr>
                <w:trHeight w:val="260"/>
              </w:trPr>
              <w:tc>
                <w:tcPr>
                  <w:tcW w:w="526" w:type="dxa"/>
                  <w:gridSpan w:val="2"/>
                </w:tcPr>
                <w:p w14:paraId="512A6E1B" w14:textId="77777777" w:rsidR="00A2228D" w:rsidRPr="00BB73C0" w:rsidRDefault="00A2228D" w:rsidP="007D18C7">
                  <w:pPr>
                    <w:spacing w:before="60" w:after="60"/>
                    <w:rPr>
                      <w:rFonts w:ascii="Arial" w:hAnsi="Arial" w:cs="Arial"/>
                      <w:b/>
                      <w:sz w:val="20"/>
                      <w:szCs w:val="20"/>
                    </w:rPr>
                  </w:pPr>
                  <w:r w:rsidRPr="00BB73C0">
                    <w:rPr>
                      <w:rFonts w:ascii="Arial" w:hAnsi="Arial" w:cs="Arial"/>
                      <w:b/>
                      <w:sz w:val="20"/>
                      <w:szCs w:val="20"/>
                    </w:rPr>
                    <w:t>6.</w:t>
                  </w:r>
                </w:p>
              </w:tc>
              <w:tc>
                <w:tcPr>
                  <w:tcW w:w="8691" w:type="dxa"/>
                  <w:gridSpan w:val="7"/>
                </w:tcPr>
                <w:p w14:paraId="63CEF4F9" w14:textId="77777777" w:rsidR="00A2228D" w:rsidRPr="00BB73C0" w:rsidRDefault="00A2228D" w:rsidP="007D18C7">
                  <w:pPr>
                    <w:spacing w:before="60" w:after="60"/>
                    <w:rPr>
                      <w:rFonts w:ascii="Arial" w:hAnsi="Arial" w:cs="Arial"/>
                      <w:b/>
                      <w:sz w:val="20"/>
                      <w:szCs w:val="20"/>
                    </w:rPr>
                  </w:pPr>
                  <w:r w:rsidRPr="00BB73C0">
                    <w:rPr>
                      <w:rFonts w:ascii="Arial" w:hAnsi="Arial" w:cs="Arial"/>
                      <w:b/>
                      <w:sz w:val="20"/>
                      <w:szCs w:val="20"/>
                    </w:rPr>
                    <w:t>Study Design *</w:t>
                  </w:r>
                </w:p>
              </w:tc>
            </w:tr>
            <w:tr w:rsidR="00A2228D" w:rsidRPr="00BB73C0" w14:paraId="6EB1C5F0" w14:textId="77777777" w:rsidTr="007D18C7">
              <w:trPr>
                <w:trHeight w:val="271"/>
              </w:trPr>
              <w:tc>
                <w:tcPr>
                  <w:tcW w:w="526" w:type="dxa"/>
                  <w:gridSpan w:val="2"/>
                </w:tcPr>
                <w:p w14:paraId="233A5F42" w14:textId="77777777" w:rsidR="00A2228D" w:rsidRPr="00BB73C0" w:rsidRDefault="00A2228D" w:rsidP="007D18C7">
                  <w:pPr>
                    <w:spacing w:before="60" w:after="60"/>
                    <w:rPr>
                      <w:rFonts w:ascii="Arial" w:hAnsi="Arial" w:cs="Arial"/>
                      <w:sz w:val="20"/>
                      <w:szCs w:val="20"/>
                    </w:rPr>
                  </w:pPr>
                  <w:r w:rsidRPr="00BB73C0">
                    <w:rPr>
                      <w:rFonts w:ascii="Arial" w:hAnsi="Arial" w:cs="Arial"/>
                      <w:sz w:val="20"/>
                      <w:szCs w:val="20"/>
                    </w:rPr>
                    <w:t>6.1</w:t>
                  </w:r>
                </w:p>
              </w:tc>
              <w:tc>
                <w:tcPr>
                  <w:tcW w:w="8691" w:type="dxa"/>
                  <w:gridSpan w:val="7"/>
                  <w:tcBorders>
                    <w:bottom w:val="single" w:sz="4" w:space="0" w:color="auto"/>
                  </w:tcBorders>
                </w:tcPr>
                <w:p w14:paraId="11651A61" w14:textId="77777777" w:rsidR="00A2228D" w:rsidRPr="00BB73C0" w:rsidRDefault="00A2228D" w:rsidP="007D18C7">
                  <w:pPr>
                    <w:spacing w:before="60" w:after="60"/>
                    <w:rPr>
                      <w:rFonts w:ascii="Arial" w:hAnsi="Arial" w:cs="Arial"/>
                      <w:sz w:val="20"/>
                      <w:szCs w:val="20"/>
                    </w:rPr>
                  </w:pPr>
                  <w:r w:rsidRPr="00BB73C0">
                    <w:rPr>
                      <w:rFonts w:ascii="Arial" w:hAnsi="Arial" w:cs="Arial"/>
                      <w:sz w:val="20"/>
                      <w:szCs w:val="20"/>
                    </w:rPr>
                    <w:t>Study Description *</w:t>
                  </w:r>
                </w:p>
              </w:tc>
            </w:tr>
            <w:tr w:rsidR="00A2228D" w:rsidRPr="00BB73C0" w14:paraId="6362BC08" w14:textId="77777777" w:rsidTr="007D18C7">
              <w:trPr>
                <w:trHeight w:val="249"/>
              </w:trPr>
              <w:tc>
                <w:tcPr>
                  <w:tcW w:w="526" w:type="dxa"/>
                  <w:gridSpan w:val="2"/>
                  <w:tcBorders>
                    <w:right w:val="single" w:sz="4" w:space="0" w:color="auto"/>
                  </w:tcBorders>
                </w:tcPr>
                <w:p w14:paraId="35038C10" w14:textId="77777777" w:rsidR="00A2228D" w:rsidRPr="00BB73C0" w:rsidRDefault="00A2228D" w:rsidP="007D18C7">
                  <w:pPr>
                    <w:spacing w:before="60" w:after="60"/>
                    <w:rPr>
                      <w:rFonts w:ascii="Arial" w:hAnsi="Arial" w:cs="Arial"/>
                      <w:b/>
                      <w:sz w:val="20"/>
                      <w:szCs w:val="20"/>
                    </w:rPr>
                  </w:pPr>
                </w:p>
              </w:tc>
              <w:tc>
                <w:tcPr>
                  <w:tcW w:w="8691" w:type="dxa"/>
                  <w:gridSpan w:val="7"/>
                  <w:tcBorders>
                    <w:top w:val="single" w:sz="4" w:space="0" w:color="auto"/>
                    <w:left w:val="single" w:sz="4" w:space="0" w:color="auto"/>
                    <w:bottom w:val="single" w:sz="4" w:space="0" w:color="auto"/>
                    <w:right w:val="single" w:sz="4" w:space="0" w:color="auto"/>
                  </w:tcBorders>
                </w:tcPr>
                <w:p w14:paraId="64210FA9" w14:textId="77777777" w:rsidR="00A2228D" w:rsidRPr="00F64B42" w:rsidRDefault="00A2228D" w:rsidP="007D18C7">
                  <w:pPr>
                    <w:autoSpaceDE w:val="0"/>
                    <w:autoSpaceDN w:val="0"/>
                    <w:adjustRightInd w:val="0"/>
                    <w:spacing w:after="4"/>
                    <w:jc w:val="both"/>
                    <w:rPr>
                      <w:rFonts w:ascii="Arial" w:hAnsi="Arial" w:cs="Arial"/>
                      <w:color w:val="000000"/>
                      <w:sz w:val="20"/>
                      <w:szCs w:val="20"/>
                      <w:highlight w:val="lightGray"/>
                    </w:rPr>
                  </w:pPr>
                  <w:r>
                    <w:rPr>
                      <w:rFonts w:ascii="Arial" w:hAnsi="Arial" w:cs="Arial"/>
                      <w:sz w:val="20"/>
                      <w:szCs w:val="20"/>
                    </w:rPr>
                    <w:t>This study is an o</w:t>
                  </w:r>
                  <w:r w:rsidRPr="000D6874">
                    <w:rPr>
                      <w:rFonts w:ascii="Arial" w:hAnsi="Arial" w:cs="Arial"/>
                      <w:sz w:val="20"/>
                      <w:szCs w:val="20"/>
                    </w:rPr>
                    <w:t>pen</w:t>
                  </w:r>
                  <w:r>
                    <w:rPr>
                      <w:rFonts w:ascii="Arial" w:hAnsi="Arial" w:cs="Arial"/>
                      <w:sz w:val="20"/>
                      <w:szCs w:val="20"/>
                    </w:rPr>
                    <w:t>-</w:t>
                  </w:r>
                  <w:r w:rsidRPr="000D6874">
                    <w:rPr>
                      <w:rFonts w:ascii="Arial" w:hAnsi="Arial" w:cs="Arial"/>
                      <w:sz w:val="20"/>
                      <w:szCs w:val="20"/>
                    </w:rPr>
                    <w:t>label</w:t>
                  </w:r>
                  <w:r>
                    <w:rPr>
                      <w:rFonts w:ascii="Arial" w:hAnsi="Arial" w:cs="Arial"/>
                      <w:sz w:val="20"/>
                      <w:szCs w:val="20"/>
                    </w:rPr>
                    <w:t>, double arm Phase 4 safety study.</w:t>
                  </w:r>
                </w:p>
              </w:tc>
            </w:tr>
          </w:tbl>
          <w:p w14:paraId="4B23A187" w14:textId="77777777" w:rsidR="00100953" w:rsidRDefault="00100953" w:rsidP="009F4DD9">
            <w:pPr>
              <w:spacing w:before="60" w:after="60"/>
              <w:rPr>
                <w:rFonts w:ascii="Arial" w:hAnsi="Arial" w:cs="Arial"/>
                <w:sz w:val="20"/>
                <w:szCs w:val="20"/>
              </w:rPr>
            </w:pPr>
          </w:p>
          <w:p w14:paraId="30F89E9F" w14:textId="275B110B" w:rsidR="00100953" w:rsidRDefault="00100953" w:rsidP="009F4DD9">
            <w:pPr>
              <w:spacing w:before="60" w:after="60"/>
              <w:rPr>
                <w:rFonts w:ascii="Arial" w:hAnsi="Arial" w:cs="Arial"/>
                <w:sz w:val="20"/>
                <w:szCs w:val="20"/>
              </w:rPr>
            </w:pPr>
            <w:r w:rsidRPr="00BB73C0">
              <w:rPr>
                <w:rFonts w:ascii="Arial" w:hAnsi="Arial" w:cs="Arial"/>
                <w:b/>
                <w:sz w:val="20"/>
                <w:szCs w:val="20"/>
              </w:rPr>
              <w:t>Study Design *</w:t>
            </w:r>
          </w:p>
          <w:p w14:paraId="6E3CF53B" w14:textId="77777777" w:rsidR="00100953" w:rsidRPr="00BB73C0" w:rsidRDefault="00100953" w:rsidP="009F4DD9">
            <w:pPr>
              <w:spacing w:before="60" w:after="60"/>
              <w:rPr>
                <w:rFonts w:ascii="Arial" w:hAnsi="Arial" w:cs="Arial"/>
                <w:sz w:val="20"/>
                <w:szCs w:val="20"/>
              </w:rPr>
            </w:pPr>
            <w:r w:rsidRPr="00BB73C0">
              <w:rPr>
                <w:rFonts w:ascii="Arial" w:hAnsi="Arial" w:cs="Arial"/>
                <w:sz w:val="20"/>
                <w:szCs w:val="20"/>
              </w:rPr>
              <w:t>Study Description *</w:t>
            </w:r>
          </w:p>
        </w:tc>
      </w:tr>
      <w:tr w:rsidR="00100953" w:rsidRPr="00BB73C0" w14:paraId="5EA19A21" w14:textId="77777777" w:rsidTr="005609D3">
        <w:trPr>
          <w:gridAfter w:val="1"/>
          <w:wAfter w:w="108" w:type="dxa"/>
        </w:trPr>
        <w:tc>
          <w:tcPr>
            <w:tcW w:w="540" w:type="dxa"/>
            <w:gridSpan w:val="2"/>
          </w:tcPr>
          <w:p w14:paraId="5FE57DC7" w14:textId="77777777" w:rsidR="00100953" w:rsidRPr="00BB73C0" w:rsidRDefault="00100953" w:rsidP="005609D3">
            <w:pPr>
              <w:spacing w:before="60" w:after="60"/>
              <w:rPr>
                <w:rFonts w:ascii="Arial" w:hAnsi="Arial" w:cs="Arial"/>
                <w:b/>
                <w:sz w:val="20"/>
                <w:szCs w:val="20"/>
              </w:rPr>
            </w:pPr>
          </w:p>
        </w:tc>
        <w:tc>
          <w:tcPr>
            <w:tcW w:w="9360" w:type="dxa"/>
            <w:gridSpan w:val="12"/>
          </w:tcPr>
          <w:p w14:paraId="5C8B1496" w14:textId="02E85D97" w:rsidR="00100953" w:rsidRPr="00BB73C0" w:rsidRDefault="00100953" w:rsidP="005609D3">
            <w:pPr>
              <w:spacing w:before="60" w:after="60"/>
              <w:rPr>
                <w:rFonts w:ascii="Arial" w:hAnsi="Arial" w:cs="Arial"/>
                <w:b/>
                <w:sz w:val="20"/>
                <w:szCs w:val="20"/>
              </w:rPr>
            </w:pPr>
          </w:p>
        </w:tc>
      </w:tr>
      <w:tr w:rsidR="00100953" w:rsidRPr="00BB73C0" w14:paraId="6DA97B9D" w14:textId="77777777" w:rsidTr="000E2CE7">
        <w:trPr>
          <w:gridAfter w:val="1"/>
          <w:wAfter w:w="108" w:type="dxa"/>
        </w:trPr>
        <w:tc>
          <w:tcPr>
            <w:tcW w:w="540" w:type="dxa"/>
            <w:gridSpan w:val="2"/>
            <w:tcBorders>
              <w:right w:val="single" w:sz="4" w:space="0" w:color="auto"/>
            </w:tcBorders>
          </w:tcPr>
          <w:p w14:paraId="09D875AC" w14:textId="77777777" w:rsidR="00100953" w:rsidRPr="00BB73C0" w:rsidRDefault="00100953" w:rsidP="009F4DD9">
            <w:pPr>
              <w:spacing w:before="60" w:after="60"/>
              <w:rPr>
                <w:rFonts w:ascii="Arial" w:hAnsi="Arial" w:cs="Arial"/>
                <w:b/>
                <w:sz w:val="20"/>
                <w:szCs w:val="20"/>
              </w:rPr>
            </w:pPr>
          </w:p>
        </w:tc>
        <w:tc>
          <w:tcPr>
            <w:tcW w:w="9360" w:type="dxa"/>
            <w:gridSpan w:val="12"/>
            <w:tcBorders>
              <w:top w:val="single" w:sz="4" w:space="0" w:color="auto"/>
              <w:left w:val="single" w:sz="4" w:space="0" w:color="auto"/>
              <w:bottom w:val="single" w:sz="4" w:space="0" w:color="auto"/>
              <w:right w:val="single" w:sz="4" w:space="0" w:color="auto"/>
            </w:tcBorders>
          </w:tcPr>
          <w:p w14:paraId="5D5DAC57" w14:textId="6EE26BEB" w:rsidR="00100953" w:rsidRPr="00F64B42" w:rsidRDefault="00100953" w:rsidP="00E9042C">
            <w:pPr>
              <w:autoSpaceDE w:val="0"/>
              <w:autoSpaceDN w:val="0"/>
              <w:adjustRightInd w:val="0"/>
              <w:spacing w:after="4"/>
              <w:jc w:val="both"/>
              <w:rPr>
                <w:rFonts w:ascii="Arial" w:hAnsi="Arial" w:cs="Arial"/>
                <w:color w:val="000000"/>
                <w:sz w:val="20"/>
                <w:szCs w:val="20"/>
                <w:highlight w:val="lightGray"/>
              </w:rPr>
            </w:pPr>
            <w:r>
              <w:rPr>
                <w:rFonts w:ascii="Arial" w:hAnsi="Arial" w:cs="Arial"/>
                <w:sz w:val="20"/>
                <w:szCs w:val="20"/>
              </w:rPr>
              <w:t>This study is an o</w:t>
            </w:r>
            <w:r w:rsidRPr="000D6874">
              <w:rPr>
                <w:rFonts w:ascii="Arial" w:hAnsi="Arial" w:cs="Arial"/>
                <w:sz w:val="20"/>
                <w:szCs w:val="20"/>
              </w:rPr>
              <w:t>pen</w:t>
            </w:r>
            <w:r>
              <w:rPr>
                <w:rFonts w:ascii="Arial" w:hAnsi="Arial" w:cs="Arial"/>
                <w:sz w:val="20"/>
                <w:szCs w:val="20"/>
              </w:rPr>
              <w:t>-</w:t>
            </w:r>
            <w:r w:rsidRPr="000D6874">
              <w:rPr>
                <w:rFonts w:ascii="Arial" w:hAnsi="Arial" w:cs="Arial"/>
                <w:sz w:val="20"/>
                <w:szCs w:val="20"/>
              </w:rPr>
              <w:t>label</w:t>
            </w:r>
            <w:r>
              <w:rPr>
                <w:rFonts w:ascii="Arial" w:hAnsi="Arial" w:cs="Arial"/>
                <w:sz w:val="20"/>
                <w:szCs w:val="20"/>
              </w:rPr>
              <w:t xml:space="preserve">, </w:t>
            </w:r>
            <w:r w:rsidR="00E9042C">
              <w:rPr>
                <w:rFonts w:ascii="Arial" w:hAnsi="Arial" w:cs="Arial"/>
                <w:sz w:val="20"/>
                <w:szCs w:val="20"/>
              </w:rPr>
              <w:t>single</w:t>
            </w:r>
            <w:r>
              <w:rPr>
                <w:rFonts w:ascii="Arial" w:hAnsi="Arial" w:cs="Arial"/>
                <w:sz w:val="20"/>
                <w:szCs w:val="20"/>
              </w:rPr>
              <w:t>-centre, Phase 4 safety study.</w:t>
            </w:r>
          </w:p>
        </w:tc>
      </w:tr>
    </w:tbl>
    <w:p w14:paraId="19F83976" w14:textId="12CD1494" w:rsidR="0089312D" w:rsidRPr="00BB73C0" w:rsidRDefault="0089312D" w:rsidP="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7868FE" w:rsidRPr="00BB73C0" w14:paraId="3D0B3F4B" w14:textId="77777777">
        <w:tc>
          <w:tcPr>
            <w:tcW w:w="540" w:type="dxa"/>
          </w:tcPr>
          <w:p w14:paraId="62C12E6B" w14:textId="77777777" w:rsidR="007868FE" w:rsidRPr="00BB73C0" w:rsidRDefault="0089312D" w:rsidP="0089312D">
            <w:pPr>
              <w:spacing w:before="60" w:after="60"/>
              <w:rPr>
                <w:rFonts w:ascii="Arial" w:hAnsi="Arial" w:cs="Arial"/>
                <w:sz w:val="20"/>
                <w:szCs w:val="20"/>
              </w:rPr>
            </w:pPr>
            <w:r w:rsidRPr="00BB73C0">
              <w:rPr>
                <w:rFonts w:ascii="Arial" w:hAnsi="Arial" w:cs="Arial"/>
                <w:sz w:val="20"/>
                <w:szCs w:val="20"/>
              </w:rPr>
              <w:t>6.2</w:t>
            </w:r>
          </w:p>
        </w:tc>
        <w:tc>
          <w:tcPr>
            <w:tcW w:w="9360" w:type="dxa"/>
            <w:tcBorders>
              <w:bottom w:val="single" w:sz="4" w:space="0" w:color="auto"/>
            </w:tcBorders>
          </w:tcPr>
          <w:p w14:paraId="281EB4CF"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Study comparison and interventions</w:t>
            </w:r>
            <w:r w:rsidR="009F4DD9" w:rsidRPr="00BB73C0">
              <w:rPr>
                <w:rFonts w:ascii="Arial" w:hAnsi="Arial" w:cs="Arial"/>
                <w:sz w:val="20"/>
                <w:szCs w:val="20"/>
              </w:rPr>
              <w:t xml:space="preserve"> *</w:t>
            </w:r>
          </w:p>
        </w:tc>
      </w:tr>
      <w:tr w:rsidR="007868FE" w:rsidRPr="00BB73C0" w14:paraId="0B1DB5D6" w14:textId="77777777">
        <w:tc>
          <w:tcPr>
            <w:tcW w:w="540" w:type="dxa"/>
            <w:tcBorders>
              <w:right w:val="single" w:sz="4" w:space="0" w:color="auto"/>
            </w:tcBorders>
          </w:tcPr>
          <w:p w14:paraId="7387EEC5" w14:textId="77777777" w:rsidR="007868FE" w:rsidRPr="00BB73C0" w:rsidRDefault="007868FE" w:rsidP="0089312D">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0957DF49" w14:textId="27B8A12D" w:rsidR="00330679" w:rsidRPr="00A611CC" w:rsidRDefault="00B6475B" w:rsidP="001D487E">
            <w:pPr>
              <w:spacing w:before="60" w:after="60"/>
              <w:jc w:val="both"/>
              <w:rPr>
                <w:rFonts w:ascii="Arial" w:hAnsi="Arial" w:cs="Arial"/>
                <w:sz w:val="20"/>
                <w:szCs w:val="20"/>
              </w:rPr>
            </w:pPr>
            <w:r>
              <w:rPr>
                <w:rFonts w:ascii="Arial" w:hAnsi="Arial" w:cs="Arial"/>
                <w:sz w:val="20"/>
                <w:szCs w:val="20"/>
              </w:rPr>
              <w:t>The study interventions include intravenous infusion</w:t>
            </w:r>
            <w:r w:rsidR="009E4433">
              <w:rPr>
                <w:rFonts w:ascii="Arial" w:hAnsi="Arial" w:cs="Arial"/>
                <w:sz w:val="20"/>
                <w:szCs w:val="20"/>
              </w:rPr>
              <w:t>s</w:t>
            </w:r>
            <w:r>
              <w:rPr>
                <w:rFonts w:ascii="Arial" w:hAnsi="Arial" w:cs="Arial"/>
                <w:sz w:val="20"/>
                <w:szCs w:val="20"/>
              </w:rPr>
              <w:t xml:space="preserve"> of iron polymaltose up to 1500 mg in 250 mL sodium chloride 0.9% </w:t>
            </w:r>
            <w:r w:rsidR="004E6586">
              <w:rPr>
                <w:rFonts w:ascii="Arial" w:hAnsi="Arial" w:cs="Arial"/>
                <w:sz w:val="20"/>
                <w:szCs w:val="20"/>
              </w:rPr>
              <w:t xml:space="preserve">administered </w:t>
            </w:r>
            <w:r w:rsidR="001D487E">
              <w:rPr>
                <w:rFonts w:ascii="Arial" w:hAnsi="Arial" w:cs="Arial"/>
                <w:sz w:val="20"/>
                <w:szCs w:val="20"/>
              </w:rPr>
              <w:t>at ultrarapid rate</w:t>
            </w:r>
            <w:r w:rsidR="009E4433">
              <w:rPr>
                <w:rFonts w:ascii="Arial" w:hAnsi="Arial" w:cs="Arial"/>
                <w:sz w:val="20"/>
                <w:szCs w:val="20"/>
              </w:rPr>
              <w:t>s</w:t>
            </w:r>
            <w:r>
              <w:rPr>
                <w:rFonts w:ascii="Arial" w:hAnsi="Arial" w:cs="Arial"/>
                <w:sz w:val="20"/>
                <w:szCs w:val="20"/>
              </w:rPr>
              <w:t xml:space="preserve"> over </w:t>
            </w:r>
            <w:r w:rsidRPr="000A0713">
              <w:rPr>
                <w:rFonts w:ascii="Arial" w:hAnsi="Arial" w:cs="Arial"/>
                <w:sz w:val="20"/>
                <w:szCs w:val="20"/>
              </w:rPr>
              <w:t>15 minutes</w:t>
            </w:r>
            <w:r>
              <w:rPr>
                <w:rFonts w:ascii="Arial" w:hAnsi="Arial" w:cs="Arial"/>
                <w:sz w:val="20"/>
                <w:szCs w:val="20"/>
              </w:rPr>
              <w:t>.</w:t>
            </w:r>
            <w:r w:rsidR="000D31D4">
              <w:rPr>
                <w:rFonts w:ascii="Arial" w:hAnsi="Arial" w:cs="Arial"/>
                <w:sz w:val="20"/>
                <w:szCs w:val="20"/>
              </w:rPr>
              <w:t xml:space="preserve"> The rates and severity of adverse event</w:t>
            </w:r>
            <w:r w:rsidR="00087460">
              <w:rPr>
                <w:rFonts w:ascii="Arial" w:hAnsi="Arial" w:cs="Arial"/>
                <w:sz w:val="20"/>
                <w:szCs w:val="20"/>
              </w:rPr>
              <w:t>s</w:t>
            </w:r>
            <w:r w:rsidR="000D31D4">
              <w:rPr>
                <w:rFonts w:ascii="Arial" w:hAnsi="Arial" w:cs="Arial"/>
                <w:sz w:val="20"/>
                <w:szCs w:val="20"/>
              </w:rPr>
              <w:t xml:space="preserve"> will be compared </w:t>
            </w:r>
            <w:r w:rsidR="00087460" w:rsidRPr="00EC4E12">
              <w:rPr>
                <w:rFonts w:ascii="Arial" w:hAnsi="Arial" w:cs="Arial"/>
                <w:sz w:val="20"/>
                <w:szCs w:val="20"/>
              </w:rPr>
              <w:t>to th</w:t>
            </w:r>
            <w:r w:rsidR="00087460">
              <w:rPr>
                <w:rFonts w:ascii="Arial" w:hAnsi="Arial" w:cs="Arial"/>
                <w:sz w:val="20"/>
                <w:szCs w:val="20"/>
              </w:rPr>
              <w:t>ose previously published for</w:t>
            </w:r>
            <w:r w:rsidR="00087460" w:rsidRPr="00EC4E12">
              <w:rPr>
                <w:rFonts w:ascii="Arial" w:hAnsi="Arial" w:cs="Arial"/>
                <w:sz w:val="20"/>
                <w:szCs w:val="20"/>
              </w:rPr>
              <w:t xml:space="preserve"> iron polymaltose admin</w:t>
            </w:r>
            <w:r w:rsidR="00087460">
              <w:rPr>
                <w:rFonts w:ascii="Arial" w:hAnsi="Arial" w:cs="Arial"/>
                <w:sz w:val="20"/>
                <w:szCs w:val="20"/>
              </w:rPr>
              <w:t>istered over 1 hour and 4 hours,</w:t>
            </w:r>
            <w:r w:rsidR="00087460" w:rsidRPr="00EC4E12">
              <w:rPr>
                <w:rFonts w:ascii="Arial" w:hAnsi="Arial" w:cs="Arial"/>
                <w:sz w:val="20"/>
                <w:szCs w:val="20"/>
              </w:rPr>
              <w:t xml:space="preserve"> </w:t>
            </w:r>
            <w:r w:rsidR="00087460">
              <w:rPr>
                <w:rFonts w:ascii="Arial" w:hAnsi="Arial" w:cs="Arial"/>
                <w:sz w:val="20"/>
                <w:szCs w:val="20"/>
              </w:rPr>
              <w:t xml:space="preserve">and for </w:t>
            </w:r>
            <w:r w:rsidR="00087460" w:rsidRPr="00EC4E12">
              <w:rPr>
                <w:rFonts w:ascii="Arial" w:hAnsi="Arial" w:cs="Arial"/>
                <w:sz w:val="20"/>
                <w:szCs w:val="20"/>
              </w:rPr>
              <w:t>ferric carboxymaltose infusions.</w:t>
            </w:r>
          </w:p>
        </w:tc>
      </w:tr>
    </w:tbl>
    <w:p w14:paraId="0DD57CB5" w14:textId="77777777" w:rsidR="0089312D" w:rsidRPr="00BB73C0" w:rsidRDefault="0089312D" w:rsidP="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7868FE" w:rsidRPr="00BB73C0" w14:paraId="0980D0F2" w14:textId="77777777">
        <w:tc>
          <w:tcPr>
            <w:tcW w:w="540" w:type="dxa"/>
          </w:tcPr>
          <w:p w14:paraId="521DD470" w14:textId="77777777" w:rsidR="007868FE" w:rsidRPr="00BB73C0" w:rsidRDefault="0089312D" w:rsidP="0089312D">
            <w:pPr>
              <w:spacing w:before="60" w:after="60"/>
              <w:rPr>
                <w:rFonts w:ascii="Arial" w:hAnsi="Arial" w:cs="Arial"/>
                <w:sz w:val="20"/>
                <w:szCs w:val="20"/>
              </w:rPr>
            </w:pPr>
            <w:r w:rsidRPr="00BB73C0">
              <w:rPr>
                <w:rFonts w:ascii="Arial" w:hAnsi="Arial" w:cs="Arial"/>
                <w:sz w:val="20"/>
                <w:szCs w:val="20"/>
              </w:rPr>
              <w:t>6.3</w:t>
            </w:r>
          </w:p>
        </w:tc>
        <w:tc>
          <w:tcPr>
            <w:tcW w:w="9360" w:type="dxa"/>
            <w:tcBorders>
              <w:bottom w:val="single" w:sz="4" w:space="0" w:color="auto"/>
            </w:tcBorders>
          </w:tcPr>
          <w:p w14:paraId="5D6BBEBA"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Participants</w:t>
            </w:r>
            <w:r w:rsidR="009F4DD9" w:rsidRPr="00BB73C0">
              <w:rPr>
                <w:rFonts w:ascii="Arial" w:hAnsi="Arial" w:cs="Arial"/>
                <w:sz w:val="20"/>
                <w:szCs w:val="20"/>
              </w:rPr>
              <w:t xml:space="preserve"> *</w:t>
            </w:r>
          </w:p>
        </w:tc>
      </w:tr>
      <w:tr w:rsidR="007868FE" w:rsidRPr="00BB73C0" w14:paraId="25F58453" w14:textId="77777777">
        <w:tc>
          <w:tcPr>
            <w:tcW w:w="540" w:type="dxa"/>
            <w:tcBorders>
              <w:right w:val="single" w:sz="4" w:space="0" w:color="auto"/>
            </w:tcBorders>
          </w:tcPr>
          <w:p w14:paraId="2DDC928E" w14:textId="77777777" w:rsidR="007868FE" w:rsidRPr="00BB73C0" w:rsidRDefault="007868FE" w:rsidP="0089312D">
            <w:pPr>
              <w:spacing w:before="60" w:after="60"/>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158B7F87" w14:textId="77777777" w:rsidR="00D701A2" w:rsidRPr="00FF280D" w:rsidRDefault="00D701A2" w:rsidP="00FF280D">
            <w:pPr>
              <w:autoSpaceDE w:val="0"/>
              <w:autoSpaceDN w:val="0"/>
              <w:adjustRightInd w:val="0"/>
              <w:jc w:val="both"/>
              <w:rPr>
                <w:rFonts w:ascii="Arial" w:hAnsi="Arial" w:cs="Arial"/>
                <w:sz w:val="20"/>
                <w:szCs w:val="20"/>
              </w:rPr>
            </w:pPr>
            <w:r w:rsidRPr="00FF280D">
              <w:rPr>
                <w:rFonts w:ascii="Arial" w:hAnsi="Arial" w:cs="Arial"/>
                <w:sz w:val="20"/>
                <w:szCs w:val="20"/>
              </w:rPr>
              <w:t>Inclusion criteria:</w:t>
            </w:r>
          </w:p>
          <w:p w14:paraId="0D1F9C73" w14:textId="7EB2BF21" w:rsidR="00D701A2" w:rsidRDefault="00330679" w:rsidP="00BA1C97">
            <w:pPr>
              <w:pStyle w:val="ListParagraph"/>
              <w:numPr>
                <w:ilvl w:val="0"/>
                <w:numId w:val="4"/>
              </w:numPr>
              <w:autoSpaceDE w:val="0"/>
              <w:autoSpaceDN w:val="0"/>
              <w:adjustRightInd w:val="0"/>
              <w:jc w:val="both"/>
              <w:rPr>
                <w:rFonts w:ascii="Arial" w:hAnsi="Arial" w:cs="Arial"/>
                <w:sz w:val="20"/>
                <w:szCs w:val="20"/>
              </w:rPr>
            </w:pPr>
            <w:r w:rsidRPr="004351E8">
              <w:rPr>
                <w:rFonts w:ascii="Arial" w:hAnsi="Arial" w:cs="Arial"/>
                <w:sz w:val="20"/>
                <w:szCs w:val="20"/>
              </w:rPr>
              <w:t xml:space="preserve">Frankston </w:t>
            </w:r>
            <w:r w:rsidR="00D701A2">
              <w:rPr>
                <w:rFonts w:ascii="Arial" w:hAnsi="Arial" w:cs="Arial"/>
                <w:sz w:val="20"/>
                <w:szCs w:val="20"/>
              </w:rPr>
              <w:t>H</w:t>
            </w:r>
            <w:r w:rsidRPr="004351E8">
              <w:rPr>
                <w:rFonts w:ascii="Arial" w:hAnsi="Arial" w:cs="Arial"/>
                <w:sz w:val="20"/>
                <w:szCs w:val="20"/>
              </w:rPr>
              <w:t>ospital</w:t>
            </w:r>
            <w:r w:rsidR="00E9042C">
              <w:rPr>
                <w:rFonts w:ascii="Arial" w:hAnsi="Arial" w:cs="Arial"/>
                <w:sz w:val="20"/>
                <w:szCs w:val="20"/>
              </w:rPr>
              <w:t xml:space="preserve"> </w:t>
            </w:r>
            <w:r w:rsidRPr="004351E8">
              <w:rPr>
                <w:rFonts w:ascii="Arial" w:hAnsi="Arial" w:cs="Arial"/>
                <w:sz w:val="20"/>
                <w:szCs w:val="20"/>
              </w:rPr>
              <w:t>patien</w:t>
            </w:r>
            <w:r w:rsidR="004351E8" w:rsidRPr="004351E8">
              <w:rPr>
                <w:rFonts w:ascii="Arial" w:hAnsi="Arial" w:cs="Arial"/>
                <w:sz w:val="20"/>
                <w:szCs w:val="20"/>
              </w:rPr>
              <w:t>ts</w:t>
            </w:r>
            <w:r w:rsidRPr="004351E8">
              <w:rPr>
                <w:rFonts w:ascii="Arial" w:hAnsi="Arial" w:cs="Arial"/>
                <w:sz w:val="20"/>
                <w:szCs w:val="20"/>
              </w:rPr>
              <w:t xml:space="preserve"> diagnosed with iron deficiency anaemia of any cause requiring </w:t>
            </w:r>
            <w:r w:rsidR="004351E8" w:rsidRPr="004351E8">
              <w:rPr>
                <w:rFonts w:ascii="Arial" w:hAnsi="Arial" w:cs="Arial"/>
                <w:sz w:val="20"/>
                <w:szCs w:val="20"/>
              </w:rPr>
              <w:t>replacement</w:t>
            </w:r>
            <w:r w:rsidR="009E4433">
              <w:rPr>
                <w:rFonts w:ascii="Arial" w:hAnsi="Arial" w:cs="Arial"/>
                <w:sz w:val="20"/>
                <w:szCs w:val="20"/>
              </w:rPr>
              <w:t xml:space="preserve"> with iron polymaltose</w:t>
            </w:r>
            <w:r w:rsidR="004351E8" w:rsidRPr="004351E8">
              <w:rPr>
                <w:rFonts w:ascii="Arial" w:hAnsi="Arial" w:cs="Arial"/>
                <w:sz w:val="20"/>
                <w:szCs w:val="20"/>
              </w:rPr>
              <w:t xml:space="preserve"> </w:t>
            </w:r>
            <w:r w:rsidRPr="004351E8">
              <w:rPr>
                <w:rFonts w:ascii="Arial" w:hAnsi="Arial" w:cs="Arial"/>
                <w:sz w:val="20"/>
                <w:szCs w:val="20"/>
              </w:rPr>
              <w:t xml:space="preserve">doses </w:t>
            </w:r>
            <w:r w:rsidR="004351E8" w:rsidRPr="004351E8">
              <w:rPr>
                <w:rFonts w:ascii="Arial" w:hAnsi="Arial" w:cs="Arial"/>
                <w:sz w:val="20"/>
                <w:szCs w:val="20"/>
              </w:rPr>
              <w:t xml:space="preserve">of </w:t>
            </w:r>
            <w:r w:rsidRPr="004351E8">
              <w:rPr>
                <w:rFonts w:ascii="Arial" w:hAnsi="Arial" w:cs="Arial"/>
                <w:sz w:val="20"/>
                <w:szCs w:val="20"/>
              </w:rPr>
              <w:t>up to 1500</w:t>
            </w:r>
            <w:r w:rsidR="004351E8" w:rsidRPr="004351E8">
              <w:rPr>
                <w:rFonts w:ascii="Arial" w:hAnsi="Arial" w:cs="Arial"/>
                <w:sz w:val="20"/>
                <w:szCs w:val="20"/>
              </w:rPr>
              <w:t xml:space="preserve"> </w:t>
            </w:r>
            <w:r w:rsidRPr="004351E8">
              <w:rPr>
                <w:rFonts w:ascii="Arial" w:hAnsi="Arial" w:cs="Arial"/>
                <w:sz w:val="20"/>
                <w:szCs w:val="20"/>
              </w:rPr>
              <w:t>mg</w:t>
            </w:r>
            <w:r w:rsidR="00D701A2">
              <w:rPr>
                <w:rFonts w:ascii="Arial" w:hAnsi="Arial" w:cs="Arial"/>
                <w:sz w:val="20"/>
                <w:szCs w:val="20"/>
              </w:rPr>
              <w:t>.</w:t>
            </w:r>
          </w:p>
          <w:p w14:paraId="06365175" w14:textId="7B4206CB" w:rsidR="00D81A2F" w:rsidRDefault="00D81A2F" w:rsidP="00BA1C97">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Treating team provided consent for their patient to be approached to participate.</w:t>
            </w:r>
          </w:p>
          <w:p w14:paraId="6CE32B27" w14:textId="5A775D6A" w:rsidR="004351E8" w:rsidRPr="004351E8" w:rsidRDefault="00D701A2" w:rsidP="00BA1C97">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Patients able to provide informed consent</w:t>
            </w:r>
            <w:r w:rsidR="004351E8" w:rsidRPr="004351E8">
              <w:rPr>
                <w:rFonts w:ascii="Arial" w:hAnsi="Arial" w:cs="Arial"/>
                <w:sz w:val="20"/>
                <w:szCs w:val="20"/>
              </w:rPr>
              <w:t xml:space="preserve">. </w:t>
            </w:r>
          </w:p>
          <w:p w14:paraId="5D46923A" w14:textId="6E9A05AD" w:rsidR="00D701A2" w:rsidRDefault="00D701A2" w:rsidP="00FF280D">
            <w:pPr>
              <w:pStyle w:val="ListParagraph"/>
              <w:autoSpaceDE w:val="0"/>
              <w:autoSpaceDN w:val="0"/>
              <w:adjustRightInd w:val="0"/>
              <w:ind w:left="360"/>
              <w:jc w:val="both"/>
              <w:rPr>
                <w:rFonts w:ascii="Arial" w:hAnsi="Arial" w:cs="Arial"/>
                <w:sz w:val="20"/>
                <w:szCs w:val="20"/>
              </w:rPr>
            </w:pPr>
          </w:p>
          <w:p w14:paraId="3A84D3BF" w14:textId="77777777" w:rsidR="00D701A2" w:rsidRPr="00FF280D" w:rsidRDefault="00D701A2" w:rsidP="00FF280D">
            <w:pPr>
              <w:autoSpaceDE w:val="0"/>
              <w:autoSpaceDN w:val="0"/>
              <w:adjustRightInd w:val="0"/>
              <w:jc w:val="both"/>
              <w:rPr>
                <w:rFonts w:ascii="Arial" w:hAnsi="Arial" w:cs="Arial"/>
                <w:sz w:val="20"/>
                <w:szCs w:val="20"/>
              </w:rPr>
            </w:pPr>
            <w:r w:rsidRPr="00FF280D">
              <w:rPr>
                <w:rFonts w:ascii="Arial" w:hAnsi="Arial" w:cs="Arial"/>
                <w:sz w:val="20"/>
                <w:szCs w:val="20"/>
              </w:rPr>
              <w:t>Exclusion criteria:</w:t>
            </w:r>
          </w:p>
          <w:p w14:paraId="58110C62" w14:textId="25D8BA15" w:rsidR="004351E8" w:rsidRDefault="0058666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Patients requiring doses greater than 1500 mg of iron polymaltose.</w:t>
            </w:r>
          </w:p>
          <w:p w14:paraId="7609FF14" w14:textId="4735F341" w:rsidR="00D701A2" w:rsidRDefault="00D701A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Patients unable to give informed consent.</w:t>
            </w:r>
          </w:p>
          <w:p w14:paraId="7BC1D742" w14:textId="77777777" w:rsidR="00D701A2" w:rsidRDefault="00D701A2"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lastRenderedPageBreak/>
              <w:t>Patients unable to read English.</w:t>
            </w:r>
          </w:p>
          <w:p w14:paraId="2F0B85A5" w14:textId="6812D3FF" w:rsidR="00D81A2F" w:rsidRDefault="00D81A2F" w:rsidP="004351E8">
            <w:pPr>
              <w:pStyle w:val="ListParagraph"/>
              <w:numPr>
                <w:ilvl w:val="0"/>
                <w:numId w:val="4"/>
              </w:numPr>
              <w:autoSpaceDE w:val="0"/>
              <w:autoSpaceDN w:val="0"/>
              <w:adjustRightInd w:val="0"/>
              <w:rPr>
                <w:rFonts w:ascii="Arial" w:hAnsi="Arial" w:cs="Arial"/>
                <w:sz w:val="20"/>
                <w:szCs w:val="20"/>
              </w:rPr>
            </w:pPr>
            <w:r>
              <w:rPr>
                <w:rFonts w:ascii="Arial" w:hAnsi="Arial" w:cs="Arial"/>
                <w:sz w:val="20"/>
                <w:szCs w:val="20"/>
              </w:rPr>
              <w:t>Treating team declining for their patient to be approached to participate in the study.</w:t>
            </w:r>
          </w:p>
          <w:p w14:paraId="3818AEC5" w14:textId="77649E0C" w:rsidR="00D701A2" w:rsidRPr="004351E8" w:rsidRDefault="00D701A2" w:rsidP="00FF280D">
            <w:pPr>
              <w:pStyle w:val="ListParagraph"/>
              <w:autoSpaceDE w:val="0"/>
              <w:autoSpaceDN w:val="0"/>
              <w:adjustRightInd w:val="0"/>
              <w:ind w:left="360"/>
              <w:rPr>
                <w:rFonts w:ascii="Arial" w:hAnsi="Arial" w:cs="Arial"/>
                <w:sz w:val="20"/>
                <w:szCs w:val="20"/>
              </w:rPr>
            </w:pPr>
          </w:p>
        </w:tc>
      </w:tr>
    </w:tbl>
    <w:p w14:paraId="56E225F0" w14:textId="23A80F6C" w:rsidR="0089312D" w:rsidRPr="00BB73C0" w:rsidRDefault="0089312D">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7868FE" w:rsidRPr="00BB73C0" w14:paraId="26B0507A" w14:textId="77777777">
        <w:tc>
          <w:tcPr>
            <w:tcW w:w="540" w:type="dxa"/>
          </w:tcPr>
          <w:p w14:paraId="3CD65476" w14:textId="77777777"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6.4</w:t>
            </w:r>
          </w:p>
        </w:tc>
        <w:tc>
          <w:tcPr>
            <w:tcW w:w="9360" w:type="dxa"/>
            <w:tcBorders>
              <w:bottom w:val="single" w:sz="4" w:space="0" w:color="auto"/>
            </w:tcBorders>
          </w:tcPr>
          <w:p w14:paraId="0572F868" w14:textId="77777777" w:rsidR="007868FE" w:rsidRPr="00BB73C0" w:rsidRDefault="007868FE" w:rsidP="0089312D">
            <w:pPr>
              <w:spacing w:before="60" w:after="60"/>
              <w:rPr>
                <w:rFonts w:ascii="Arial" w:hAnsi="Arial" w:cs="Arial"/>
                <w:sz w:val="20"/>
                <w:szCs w:val="20"/>
              </w:rPr>
            </w:pPr>
            <w:r w:rsidRPr="00BB73C0">
              <w:rPr>
                <w:rFonts w:ascii="Arial" w:hAnsi="Arial" w:cs="Arial"/>
                <w:sz w:val="20"/>
                <w:szCs w:val="20"/>
              </w:rPr>
              <w:t>Study procedure</w:t>
            </w:r>
            <w:r w:rsidR="009F4DD9" w:rsidRPr="00BB73C0">
              <w:rPr>
                <w:rFonts w:ascii="Arial" w:hAnsi="Arial" w:cs="Arial"/>
                <w:sz w:val="20"/>
                <w:szCs w:val="20"/>
              </w:rPr>
              <w:t xml:space="preserve"> *</w:t>
            </w:r>
          </w:p>
        </w:tc>
      </w:tr>
      <w:tr w:rsidR="007868FE" w:rsidRPr="00BB73C0" w14:paraId="6DA42F37" w14:textId="77777777">
        <w:tc>
          <w:tcPr>
            <w:tcW w:w="540" w:type="dxa"/>
            <w:tcBorders>
              <w:right w:val="single" w:sz="4" w:space="0" w:color="auto"/>
            </w:tcBorders>
          </w:tcPr>
          <w:p w14:paraId="550C0F9E"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70985A65" w14:textId="741D1FD8" w:rsidR="00B6475B" w:rsidRDefault="00903549" w:rsidP="00BA1C97">
            <w:pPr>
              <w:autoSpaceDE w:val="0"/>
              <w:autoSpaceDN w:val="0"/>
              <w:adjustRightInd w:val="0"/>
              <w:spacing w:after="2"/>
              <w:jc w:val="both"/>
              <w:rPr>
                <w:rFonts w:ascii="Arial" w:hAnsi="Arial" w:cs="Arial"/>
                <w:color w:val="000000"/>
                <w:sz w:val="20"/>
                <w:szCs w:val="20"/>
              </w:rPr>
            </w:pPr>
            <w:r>
              <w:rPr>
                <w:rFonts w:ascii="Arial" w:hAnsi="Arial" w:cs="Arial"/>
                <w:color w:val="000000"/>
                <w:sz w:val="20"/>
                <w:szCs w:val="20"/>
              </w:rPr>
              <w:t>P</w:t>
            </w:r>
            <w:r w:rsidR="00B6475B">
              <w:rPr>
                <w:rFonts w:ascii="Arial" w:hAnsi="Arial" w:cs="Arial"/>
                <w:color w:val="000000"/>
                <w:sz w:val="20"/>
                <w:szCs w:val="20"/>
              </w:rPr>
              <w:t xml:space="preserve">articipants will be </w:t>
            </w:r>
            <w:r>
              <w:rPr>
                <w:rFonts w:ascii="Arial" w:hAnsi="Arial" w:cs="Arial"/>
                <w:color w:val="000000"/>
                <w:sz w:val="20"/>
                <w:szCs w:val="20"/>
              </w:rPr>
              <w:t xml:space="preserve">screened for </w:t>
            </w:r>
            <w:r w:rsidR="00B6475B">
              <w:rPr>
                <w:rFonts w:ascii="Arial" w:hAnsi="Arial" w:cs="Arial"/>
                <w:color w:val="000000"/>
                <w:sz w:val="20"/>
                <w:szCs w:val="20"/>
              </w:rPr>
              <w:t xml:space="preserve">via the receipt of iron polymaltose infusion orders by the </w:t>
            </w:r>
            <w:r>
              <w:rPr>
                <w:rFonts w:ascii="Arial" w:hAnsi="Arial" w:cs="Arial"/>
                <w:color w:val="000000"/>
                <w:sz w:val="20"/>
                <w:szCs w:val="20"/>
              </w:rPr>
              <w:t>P</w:t>
            </w:r>
            <w:r w:rsidR="00B6475B">
              <w:rPr>
                <w:rFonts w:ascii="Arial" w:hAnsi="Arial" w:cs="Arial"/>
                <w:color w:val="000000"/>
                <w:sz w:val="20"/>
                <w:szCs w:val="20"/>
              </w:rPr>
              <w:t xml:space="preserve">harmacy </w:t>
            </w:r>
            <w:r>
              <w:rPr>
                <w:rFonts w:ascii="Arial" w:hAnsi="Arial" w:cs="Arial"/>
                <w:color w:val="000000"/>
                <w:sz w:val="20"/>
                <w:szCs w:val="20"/>
              </w:rPr>
              <w:t>D</w:t>
            </w:r>
            <w:r w:rsidR="00B6475B">
              <w:rPr>
                <w:rFonts w:ascii="Arial" w:hAnsi="Arial" w:cs="Arial"/>
                <w:color w:val="000000"/>
                <w:sz w:val="20"/>
                <w:szCs w:val="20"/>
              </w:rPr>
              <w:t>epartment</w:t>
            </w:r>
            <w:r w:rsidR="006045DC">
              <w:rPr>
                <w:rFonts w:ascii="Arial" w:hAnsi="Arial" w:cs="Arial"/>
                <w:color w:val="000000"/>
                <w:sz w:val="20"/>
                <w:szCs w:val="20"/>
              </w:rPr>
              <w:t xml:space="preserve"> as well as by </w:t>
            </w:r>
            <w:r>
              <w:rPr>
                <w:rFonts w:ascii="Arial" w:hAnsi="Arial" w:cs="Arial"/>
                <w:color w:val="000000"/>
                <w:sz w:val="20"/>
                <w:szCs w:val="20"/>
              </w:rPr>
              <w:t>the</w:t>
            </w:r>
            <w:r w:rsidR="0036516B">
              <w:rPr>
                <w:rFonts w:ascii="Arial" w:hAnsi="Arial" w:cs="Arial"/>
                <w:color w:val="000000"/>
                <w:sz w:val="20"/>
                <w:szCs w:val="20"/>
              </w:rPr>
              <w:t xml:space="preserve"> </w:t>
            </w:r>
            <w:r w:rsidR="000E2CE7">
              <w:rPr>
                <w:rFonts w:ascii="Arial" w:hAnsi="Arial" w:cs="Arial"/>
                <w:color w:val="000000"/>
                <w:sz w:val="20"/>
                <w:szCs w:val="20"/>
              </w:rPr>
              <w:t>General Medicine</w:t>
            </w:r>
            <w:r w:rsidR="0036516B">
              <w:rPr>
                <w:rFonts w:ascii="Arial" w:hAnsi="Arial" w:cs="Arial"/>
                <w:color w:val="000000"/>
                <w:sz w:val="20"/>
                <w:szCs w:val="20"/>
              </w:rPr>
              <w:t xml:space="preserve"> and Cardiology</w:t>
            </w:r>
            <w:r w:rsidR="006045DC">
              <w:rPr>
                <w:rFonts w:ascii="Arial" w:hAnsi="Arial" w:cs="Arial"/>
                <w:color w:val="000000"/>
                <w:sz w:val="20"/>
                <w:szCs w:val="20"/>
              </w:rPr>
              <w:t xml:space="preserve"> </w:t>
            </w:r>
            <w:r w:rsidR="005865A0">
              <w:rPr>
                <w:rFonts w:ascii="Arial" w:hAnsi="Arial" w:cs="Arial"/>
                <w:color w:val="000000"/>
                <w:sz w:val="20"/>
                <w:szCs w:val="20"/>
              </w:rPr>
              <w:t>registrars</w:t>
            </w:r>
            <w:r w:rsidR="006045DC">
              <w:rPr>
                <w:rFonts w:ascii="Arial" w:hAnsi="Arial" w:cs="Arial"/>
                <w:color w:val="000000"/>
                <w:sz w:val="20"/>
                <w:szCs w:val="20"/>
              </w:rPr>
              <w:t xml:space="preserve"> seeing patients requiring iron infusions for management of inflammatory bowel disease and iron deficiency anaemia due to gastrointestinal bleeding</w:t>
            </w:r>
            <w:r w:rsidR="0036516B">
              <w:rPr>
                <w:rFonts w:ascii="Arial" w:hAnsi="Arial" w:cs="Arial"/>
                <w:color w:val="000000"/>
                <w:sz w:val="20"/>
                <w:szCs w:val="20"/>
              </w:rPr>
              <w:t xml:space="preserve"> or heart failure</w:t>
            </w:r>
            <w:r w:rsidR="00B6475B">
              <w:rPr>
                <w:rFonts w:ascii="Arial" w:hAnsi="Arial" w:cs="Arial"/>
                <w:color w:val="000000"/>
                <w:sz w:val="20"/>
                <w:szCs w:val="20"/>
              </w:rPr>
              <w:t>.</w:t>
            </w:r>
            <w:r w:rsidR="005D7D59">
              <w:rPr>
                <w:rFonts w:ascii="Arial" w:hAnsi="Arial" w:cs="Arial"/>
                <w:color w:val="000000"/>
                <w:sz w:val="20"/>
                <w:szCs w:val="20"/>
              </w:rPr>
              <w:t xml:space="preserve"> </w:t>
            </w:r>
            <w:r w:rsidR="005D7D59" w:rsidRPr="004351E8">
              <w:rPr>
                <w:rFonts w:ascii="Arial" w:hAnsi="Arial" w:cs="Arial"/>
                <w:color w:val="000000"/>
                <w:sz w:val="20"/>
                <w:szCs w:val="20"/>
              </w:rPr>
              <w:t>The required dose will be calculated by medical and pharmacy staff using established guidelines</w:t>
            </w:r>
            <w:r w:rsidR="00C71216">
              <w:rPr>
                <w:rFonts w:ascii="Arial" w:hAnsi="Arial" w:cs="Arial"/>
                <w:color w:val="000000"/>
                <w:sz w:val="20"/>
                <w:szCs w:val="20"/>
              </w:rPr>
              <w:t xml:space="preserve"> for iron polymaltose (last update</w:t>
            </w:r>
            <w:r w:rsidR="009E4433">
              <w:rPr>
                <w:rFonts w:ascii="Arial" w:hAnsi="Arial" w:cs="Arial"/>
                <w:color w:val="000000"/>
                <w:sz w:val="20"/>
                <w:szCs w:val="20"/>
              </w:rPr>
              <w:t>d</w:t>
            </w:r>
            <w:r w:rsidR="00C71216">
              <w:rPr>
                <w:rFonts w:ascii="Arial" w:hAnsi="Arial" w:cs="Arial"/>
                <w:color w:val="000000"/>
                <w:sz w:val="20"/>
                <w:szCs w:val="20"/>
              </w:rPr>
              <w:t xml:space="preserve"> May 2016)</w:t>
            </w:r>
            <w:r w:rsidR="005D7D59" w:rsidRPr="004351E8">
              <w:rPr>
                <w:rFonts w:ascii="Arial" w:hAnsi="Arial" w:cs="Arial"/>
                <w:color w:val="000000"/>
                <w:sz w:val="20"/>
                <w:szCs w:val="20"/>
              </w:rPr>
              <w:t>.</w:t>
            </w:r>
            <w:r w:rsidR="005D7D59">
              <w:rPr>
                <w:rFonts w:ascii="Arial" w:hAnsi="Arial" w:cs="Arial"/>
                <w:color w:val="000000"/>
                <w:sz w:val="20"/>
                <w:szCs w:val="20"/>
              </w:rPr>
              <w:t xml:space="preserve"> </w:t>
            </w:r>
            <w:r w:rsidR="00BA1C97">
              <w:rPr>
                <w:rFonts w:ascii="Arial" w:hAnsi="Arial" w:cs="Arial"/>
                <w:color w:val="000000"/>
                <w:sz w:val="20"/>
                <w:szCs w:val="20"/>
              </w:rPr>
              <w:t>Approval for potential enrolment of eligible participants will be sought from the treating team</w:t>
            </w:r>
            <w:r w:rsidR="00BC5631">
              <w:rPr>
                <w:rFonts w:ascii="Arial" w:hAnsi="Arial" w:cs="Arial"/>
                <w:color w:val="000000"/>
                <w:sz w:val="20"/>
                <w:szCs w:val="20"/>
              </w:rPr>
              <w:t>s by investigato</w:t>
            </w:r>
            <w:r w:rsidR="00AB487F">
              <w:rPr>
                <w:rFonts w:ascii="Arial" w:hAnsi="Arial" w:cs="Arial"/>
                <w:color w:val="000000"/>
                <w:sz w:val="20"/>
                <w:szCs w:val="20"/>
              </w:rPr>
              <w:t>rs</w:t>
            </w:r>
            <w:r w:rsidR="00074421">
              <w:rPr>
                <w:rFonts w:ascii="Arial" w:hAnsi="Arial" w:cs="Arial"/>
                <w:color w:val="000000"/>
                <w:sz w:val="20"/>
                <w:szCs w:val="20"/>
              </w:rPr>
              <w:t>.</w:t>
            </w:r>
            <w:r w:rsidR="00AB487F">
              <w:rPr>
                <w:rFonts w:ascii="Arial" w:hAnsi="Arial" w:cs="Arial"/>
                <w:color w:val="000000"/>
                <w:sz w:val="20"/>
                <w:szCs w:val="20"/>
              </w:rPr>
              <w:t xml:space="preserve"> </w:t>
            </w:r>
            <w:r w:rsidR="00074421">
              <w:rPr>
                <w:rFonts w:ascii="Arial" w:hAnsi="Arial" w:cs="Arial"/>
                <w:color w:val="000000"/>
                <w:sz w:val="20"/>
                <w:szCs w:val="20"/>
              </w:rPr>
              <w:t>I</w:t>
            </w:r>
            <w:r w:rsidR="00AB487F">
              <w:rPr>
                <w:rFonts w:ascii="Arial" w:hAnsi="Arial" w:cs="Arial"/>
                <w:color w:val="000000"/>
                <w:sz w:val="20"/>
                <w:szCs w:val="20"/>
              </w:rPr>
              <w:t>f a</w:t>
            </w:r>
            <w:r w:rsidR="00BC5631">
              <w:rPr>
                <w:rFonts w:ascii="Arial" w:hAnsi="Arial" w:cs="Arial"/>
                <w:color w:val="000000"/>
                <w:sz w:val="20"/>
                <w:szCs w:val="20"/>
              </w:rPr>
              <w:t>pproved eligible</w:t>
            </w:r>
            <w:r w:rsidR="00A611CC">
              <w:rPr>
                <w:rFonts w:ascii="Arial" w:hAnsi="Arial" w:cs="Arial"/>
                <w:color w:val="000000"/>
                <w:sz w:val="20"/>
                <w:szCs w:val="20"/>
              </w:rPr>
              <w:t xml:space="preserve"> participants will be approached </w:t>
            </w:r>
            <w:r w:rsidR="00074421">
              <w:rPr>
                <w:rFonts w:ascii="Arial" w:hAnsi="Arial" w:cs="Arial"/>
                <w:color w:val="000000"/>
                <w:sz w:val="20"/>
                <w:szCs w:val="20"/>
              </w:rPr>
              <w:t>whilst on th</w:t>
            </w:r>
            <w:r w:rsidR="00D939BB">
              <w:rPr>
                <w:rFonts w:ascii="Arial" w:hAnsi="Arial" w:cs="Arial"/>
                <w:color w:val="000000"/>
                <w:sz w:val="20"/>
                <w:szCs w:val="20"/>
              </w:rPr>
              <w:t>e inpatient</w:t>
            </w:r>
            <w:r w:rsidR="00074421">
              <w:rPr>
                <w:rFonts w:ascii="Arial" w:hAnsi="Arial" w:cs="Arial"/>
                <w:color w:val="000000"/>
                <w:sz w:val="20"/>
                <w:szCs w:val="20"/>
              </w:rPr>
              <w:t xml:space="preserve"> ward </w:t>
            </w:r>
            <w:r w:rsidR="00A611CC">
              <w:rPr>
                <w:rFonts w:ascii="Arial" w:hAnsi="Arial" w:cs="Arial"/>
                <w:color w:val="000000"/>
                <w:sz w:val="20"/>
                <w:szCs w:val="20"/>
              </w:rPr>
              <w:t>by an investigator</w:t>
            </w:r>
            <w:r w:rsidR="00AB487F">
              <w:rPr>
                <w:rFonts w:ascii="Arial" w:hAnsi="Arial" w:cs="Arial"/>
                <w:color w:val="000000"/>
                <w:sz w:val="20"/>
                <w:szCs w:val="20"/>
              </w:rPr>
              <w:t xml:space="preserve"> </w:t>
            </w:r>
            <w:r w:rsidR="00BC5631">
              <w:rPr>
                <w:rFonts w:ascii="Arial" w:hAnsi="Arial" w:cs="Arial"/>
                <w:color w:val="000000"/>
                <w:sz w:val="20"/>
                <w:szCs w:val="20"/>
              </w:rPr>
              <w:t>t</w:t>
            </w:r>
            <w:r w:rsidR="00A611CC">
              <w:rPr>
                <w:rFonts w:ascii="Arial" w:hAnsi="Arial" w:cs="Arial"/>
                <w:color w:val="000000"/>
                <w:sz w:val="20"/>
                <w:szCs w:val="20"/>
              </w:rPr>
              <w:t xml:space="preserve">o obtain written consent </w:t>
            </w:r>
            <w:r w:rsidR="00074421">
              <w:rPr>
                <w:rFonts w:ascii="Arial" w:hAnsi="Arial" w:cs="Arial"/>
                <w:color w:val="000000"/>
                <w:sz w:val="20"/>
                <w:szCs w:val="20"/>
              </w:rPr>
              <w:t xml:space="preserve">with a </w:t>
            </w:r>
            <w:r w:rsidR="00074421" w:rsidRPr="00074421">
              <w:rPr>
                <w:rFonts w:ascii="Arial" w:hAnsi="Arial" w:cs="Arial"/>
                <w:color w:val="000000"/>
                <w:sz w:val="20"/>
                <w:szCs w:val="20"/>
              </w:rPr>
              <w:t>Participant Information Sheet/Consent Form</w:t>
            </w:r>
            <w:r w:rsidR="00074421">
              <w:rPr>
                <w:rFonts w:ascii="Arial" w:hAnsi="Arial" w:cs="Arial"/>
                <w:color w:val="000000"/>
                <w:sz w:val="20"/>
                <w:szCs w:val="20"/>
              </w:rPr>
              <w:t xml:space="preserve"> (PICF) </w:t>
            </w:r>
            <w:r w:rsidR="00743271">
              <w:rPr>
                <w:rFonts w:ascii="Arial" w:hAnsi="Arial" w:cs="Arial"/>
                <w:color w:val="000000"/>
                <w:sz w:val="20"/>
                <w:szCs w:val="20"/>
              </w:rPr>
              <w:t>p</w:t>
            </w:r>
            <w:r w:rsidR="00BC5631">
              <w:rPr>
                <w:rFonts w:ascii="Arial" w:hAnsi="Arial" w:cs="Arial"/>
                <w:color w:val="000000"/>
                <w:sz w:val="20"/>
                <w:szCs w:val="20"/>
              </w:rPr>
              <w:t xml:space="preserve">rior to receiving </w:t>
            </w:r>
            <w:r w:rsidR="005C1123">
              <w:rPr>
                <w:rFonts w:ascii="Arial" w:hAnsi="Arial" w:cs="Arial"/>
                <w:color w:val="000000"/>
                <w:sz w:val="20"/>
                <w:szCs w:val="20"/>
              </w:rPr>
              <w:t xml:space="preserve">the </w:t>
            </w:r>
            <w:r w:rsidR="00BC5631">
              <w:rPr>
                <w:rFonts w:ascii="Arial" w:hAnsi="Arial" w:cs="Arial"/>
                <w:color w:val="000000"/>
                <w:sz w:val="20"/>
                <w:szCs w:val="20"/>
              </w:rPr>
              <w:t xml:space="preserve">iron </w:t>
            </w:r>
            <w:r>
              <w:rPr>
                <w:rFonts w:ascii="Arial" w:hAnsi="Arial" w:cs="Arial"/>
                <w:color w:val="000000"/>
                <w:sz w:val="20"/>
                <w:szCs w:val="20"/>
              </w:rPr>
              <w:t xml:space="preserve">infusion </w:t>
            </w:r>
            <w:r w:rsidR="005C1123">
              <w:rPr>
                <w:rFonts w:ascii="Arial" w:hAnsi="Arial" w:cs="Arial"/>
                <w:color w:val="000000"/>
                <w:sz w:val="20"/>
                <w:szCs w:val="20"/>
              </w:rPr>
              <w:t xml:space="preserve">order </w:t>
            </w:r>
            <w:r w:rsidR="00BC5631">
              <w:rPr>
                <w:rFonts w:ascii="Arial" w:hAnsi="Arial" w:cs="Arial"/>
                <w:color w:val="000000"/>
                <w:sz w:val="20"/>
                <w:szCs w:val="20"/>
              </w:rPr>
              <w:t>at an amended infusion rate</w:t>
            </w:r>
            <w:r w:rsidR="005C1123">
              <w:rPr>
                <w:rFonts w:ascii="Arial" w:hAnsi="Arial" w:cs="Arial"/>
                <w:color w:val="000000"/>
                <w:sz w:val="20"/>
                <w:szCs w:val="20"/>
              </w:rPr>
              <w:t xml:space="preserve"> </w:t>
            </w:r>
            <w:r w:rsidR="00BC5631">
              <w:rPr>
                <w:rFonts w:ascii="Arial" w:hAnsi="Arial" w:cs="Arial"/>
                <w:color w:val="000000"/>
                <w:sz w:val="20"/>
                <w:szCs w:val="20"/>
              </w:rPr>
              <w:t xml:space="preserve">of over </w:t>
            </w:r>
            <w:r w:rsidR="009356C0">
              <w:rPr>
                <w:rFonts w:ascii="Arial" w:hAnsi="Arial" w:cs="Arial"/>
                <w:color w:val="000000"/>
                <w:sz w:val="20"/>
                <w:szCs w:val="20"/>
              </w:rPr>
              <w:t>15 minutes</w:t>
            </w:r>
            <w:r w:rsidR="00CF6A33">
              <w:rPr>
                <w:rFonts w:ascii="Arial" w:hAnsi="Arial" w:cs="Arial"/>
                <w:color w:val="000000"/>
                <w:sz w:val="20"/>
                <w:szCs w:val="20"/>
              </w:rPr>
              <w:t>. Patients referred from community settings to infusion centres will also be contacted on receipt of intravenous iron infusion orders</w:t>
            </w:r>
            <w:r w:rsidR="00743271">
              <w:rPr>
                <w:rFonts w:ascii="Arial" w:hAnsi="Arial" w:cs="Arial"/>
                <w:color w:val="000000"/>
                <w:sz w:val="20"/>
                <w:szCs w:val="20"/>
              </w:rPr>
              <w:t>.</w:t>
            </w:r>
            <w:r w:rsidR="00D701A2">
              <w:t xml:space="preserve"> </w:t>
            </w:r>
          </w:p>
          <w:p w14:paraId="12F4B4B5" w14:textId="4DCBCA41" w:rsidR="002064F4" w:rsidRDefault="00251796" w:rsidP="00DD2E0A">
            <w:pPr>
              <w:autoSpaceDE w:val="0"/>
              <w:autoSpaceDN w:val="0"/>
              <w:adjustRightInd w:val="0"/>
              <w:spacing w:after="2"/>
              <w:jc w:val="both"/>
              <w:rPr>
                <w:rFonts w:ascii="Arial" w:hAnsi="Arial" w:cs="Arial"/>
                <w:color w:val="000000"/>
                <w:sz w:val="20"/>
                <w:szCs w:val="20"/>
              </w:rPr>
            </w:pPr>
            <w:r>
              <w:rPr>
                <w:rFonts w:ascii="Arial" w:hAnsi="Arial" w:cs="Arial"/>
                <w:color w:val="000000"/>
                <w:sz w:val="20"/>
                <w:szCs w:val="20"/>
              </w:rPr>
              <w:t>The iron polymaltose infusion</w:t>
            </w:r>
            <w:r w:rsidR="009356C0">
              <w:rPr>
                <w:rFonts w:ascii="Arial" w:hAnsi="Arial" w:cs="Arial"/>
                <w:color w:val="000000"/>
                <w:sz w:val="20"/>
                <w:szCs w:val="20"/>
              </w:rPr>
              <w:t>s</w:t>
            </w:r>
            <w:r>
              <w:rPr>
                <w:rFonts w:ascii="Arial" w:hAnsi="Arial" w:cs="Arial"/>
                <w:color w:val="000000"/>
                <w:sz w:val="20"/>
                <w:szCs w:val="20"/>
              </w:rPr>
              <w:t xml:space="preserve"> will be prepared </w:t>
            </w:r>
            <w:r w:rsidR="00AB487F">
              <w:rPr>
                <w:rFonts w:ascii="Arial" w:hAnsi="Arial" w:cs="Arial"/>
                <w:color w:val="000000"/>
                <w:sz w:val="20"/>
                <w:szCs w:val="20"/>
              </w:rPr>
              <w:t>by the</w:t>
            </w:r>
            <w:r>
              <w:rPr>
                <w:rFonts w:ascii="Arial" w:hAnsi="Arial" w:cs="Arial"/>
                <w:color w:val="000000"/>
                <w:sz w:val="20"/>
                <w:szCs w:val="20"/>
              </w:rPr>
              <w:t xml:space="preserve"> </w:t>
            </w:r>
            <w:r w:rsidR="00AB487F">
              <w:rPr>
                <w:rFonts w:ascii="Arial" w:hAnsi="Arial" w:cs="Arial"/>
                <w:color w:val="000000"/>
                <w:sz w:val="20"/>
                <w:szCs w:val="20"/>
              </w:rPr>
              <w:t>P</w:t>
            </w:r>
            <w:r>
              <w:rPr>
                <w:rFonts w:ascii="Arial" w:hAnsi="Arial" w:cs="Arial"/>
                <w:color w:val="000000"/>
                <w:sz w:val="20"/>
                <w:szCs w:val="20"/>
              </w:rPr>
              <w:t xml:space="preserve">harmacy </w:t>
            </w:r>
            <w:r w:rsidR="00AB487F">
              <w:rPr>
                <w:rFonts w:ascii="Arial" w:hAnsi="Arial" w:cs="Arial"/>
                <w:color w:val="000000"/>
                <w:sz w:val="20"/>
                <w:szCs w:val="20"/>
              </w:rPr>
              <w:t>D</w:t>
            </w:r>
            <w:r>
              <w:rPr>
                <w:rFonts w:ascii="Arial" w:hAnsi="Arial" w:cs="Arial"/>
                <w:color w:val="000000"/>
                <w:sz w:val="20"/>
                <w:szCs w:val="20"/>
              </w:rPr>
              <w:t>epartment</w:t>
            </w:r>
            <w:r w:rsidR="009356C0">
              <w:rPr>
                <w:rFonts w:ascii="Arial" w:hAnsi="Arial" w:cs="Arial"/>
                <w:color w:val="000000"/>
                <w:sz w:val="20"/>
                <w:szCs w:val="20"/>
              </w:rPr>
              <w:t xml:space="preserve"> </w:t>
            </w:r>
            <w:r>
              <w:rPr>
                <w:rFonts w:ascii="Arial" w:hAnsi="Arial" w:cs="Arial"/>
                <w:color w:val="000000"/>
                <w:sz w:val="20"/>
                <w:szCs w:val="20"/>
              </w:rPr>
              <w:t xml:space="preserve">as per </w:t>
            </w:r>
            <w:r w:rsidR="00AB487F">
              <w:rPr>
                <w:rFonts w:ascii="Arial" w:hAnsi="Arial" w:cs="Arial"/>
                <w:color w:val="000000"/>
                <w:sz w:val="20"/>
                <w:szCs w:val="20"/>
              </w:rPr>
              <w:t>standard</w:t>
            </w:r>
            <w:r>
              <w:rPr>
                <w:rFonts w:ascii="Arial" w:hAnsi="Arial" w:cs="Arial"/>
                <w:color w:val="000000"/>
                <w:sz w:val="20"/>
                <w:szCs w:val="20"/>
              </w:rPr>
              <w:t xml:space="preserve"> procedure</w:t>
            </w:r>
            <w:r w:rsidR="009356C0">
              <w:rPr>
                <w:rFonts w:ascii="Arial" w:hAnsi="Arial" w:cs="Arial"/>
                <w:color w:val="000000"/>
                <w:sz w:val="20"/>
                <w:szCs w:val="20"/>
              </w:rPr>
              <w:t>s</w:t>
            </w:r>
            <w:bookmarkStart w:id="0" w:name="_GoBack"/>
            <w:bookmarkEnd w:id="0"/>
            <w:r>
              <w:rPr>
                <w:rFonts w:ascii="Arial" w:hAnsi="Arial" w:cs="Arial"/>
                <w:color w:val="000000"/>
                <w:sz w:val="20"/>
                <w:szCs w:val="20"/>
              </w:rPr>
              <w:t>, with the</w:t>
            </w:r>
            <w:r w:rsidRPr="004351E8">
              <w:rPr>
                <w:rFonts w:ascii="Arial" w:hAnsi="Arial" w:cs="Arial"/>
                <w:color w:val="000000"/>
                <w:sz w:val="20"/>
                <w:szCs w:val="20"/>
              </w:rPr>
              <w:t xml:space="preserve"> required dose diluted in 250</w:t>
            </w:r>
            <w:r>
              <w:rPr>
                <w:rFonts w:ascii="Arial" w:hAnsi="Arial" w:cs="Arial"/>
                <w:color w:val="000000"/>
                <w:sz w:val="20"/>
                <w:szCs w:val="20"/>
              </w:rPr>
              <w:t xml:space="preserve"> mL </w:t>
            </w:r>
            <w:r w:rsidRPr="004351E8">
              <w:rPr>
                <w:rFonts w:ascii="Arial" w:hAnsi="Arial" w:cs="Arial"/>
                <w:color w:val="000000"/>
                <w:sz w:val="20"/>
                <w:szCs w:val="20"/>
              </w:rPr>
              <w:t>sodium chloride 0.9%</w:t>
            </w:r>
            <w:r w:rsidR="00D64B85">
              <w:rPr>
                <w:rFonts w:ascii="Arial" w:hAnsi="Arial" w:cs="Arial"/>
                <w:color w:val="000000"/>
                <w:sz w:val="20"/>
                <w:szCs w:val="20"/>
              </w:rPr>
              <w:t>.</w:t>
            </w:r>
            <w:r w:rsidRPr="004351E8">
              <w:rPr>
                <w:rFonts w:ascii="Arial" w:hAnsi="Arial" w:cs="Arial"/>
                <w:color w:val="000000"/>
                <w:sz w:val="20"/>
                <w:szCs w:val="20"/>
              </w:rPr>
              <w:t xml:space="preserve"> </w:t>
            </w:r>
            <w:r w:rsidR="00D64B85">
              <w:rPr>
                <w:rFonts w:ascii="Arial" w:hAnsi="Arial" w:cs="Arial"/>
                <w:color w:val="000000"/>
                <w:sz w:val="20"/>
                <w:szCs w:val="20"/>
              </w:rPr>
              <w:t xml:space="preserve">It will be administered intravenously </w:t>
            </w:r>
            <w:r w:rsidR="005D7D59">
              <w:rPr>
                <w:rFonts w:ascii="Arial" w:hAnsi="Arial" w:cs="Arial"/>
                <w:color w:val="000000"/>
                <w:sz w:val="20"/>
                <w:szCs w:val="20"/>
              </w:rPr>
              <w:t xml:space="preserve">by nursing staff </w:t>
            </w:r>
            <w:r w:rsidR="00D64B85">
              <w:rPr>
                <w:rFonts w:ascii="Arial" w:hAnsi="Arial" w:cs="Arial"/>
                <w:color w:val="000000"/>
                <w:sz w:val="20"/>
                <w:szCs w:val="20"/>
              </w:rPr>
              <w:t>at the</w:t>
            </w:r>
            <w:r w:rsidR="00AB487F">
              <w:rPr>
                <w:rFonts w:ascii="Arial" w:hAnsi="Arial" w:cs="Arial"/>
                <w:color w:val="000000"/>
                <w:sz w:val="20"/>
                <w:szCs w:val="20"/>
              </w:rPr>
              <w:t xml:space="preserve"> trial</w:t>
            </w:r>
            <w:r w:rsidR="00D64B85">
              <w:rPr>
                <w:rFonts w:ascii="Arial" w:hAnsi="Arial" w:cs="Arial"/>
                <w:color w:val="000000"/>
                <w:sz w:val="20"/>
                <w:szCs w:val="20"/>
              </w:rPr>
              <w:t xml:space="preserve"> ultrarapid rate (15 minutes)</w:t>
            </w:r>
            <w:r w:rsidR="00D64B85" w:rsidRPr="004351E8">
              <w:rPr>
                <w:rFonts w:ascii="Arial" w:hAnsi="Arial" w:cs="Arial"/>
                <w:color w:val="000000"/>
                <w:sz w:val="20"/>
                <w:szCs w:val="20"/>
              </w:rPr>
              <w:t xml:space="preserve">, </w:t>
            </w:r>
            <w:r w:rsidR="00AB487F">
              <w:rPr>
                <w:rFonts w:ascii="Arial" w:hAnsi="Arial" w:cs="Arial"/>
                <w:color w:val="000000"/>
                <w:sz w:val="20"/>
                <w:szCs w:val="20"/>
              </w:rPr>
              <w:t>as specified by the investigators.</w:t>
            </w:r>
            <w:r w:rsidR="006C6C76">
              <w:rPr>
                <w:rFonts w:ascii="Arial" w:hAnsi="Arial" w:cs="Arial"/>
                <w:color w:val="000000"/>
                <w:sz w:val="20"/>
                <w:szCs w:val="20"/>
              </w:rPr>
              <w:t xml:space="preserve"> </w:t>
            </w:r>
            <w:r w:rsidR="009E4433">
              <w:rPr>
                <w:rFonts w:ascii="Arial" w:hAnsi="Arial" w:cs="Arial"/>
                <w:color w:val="000000"/>
                <w:sz w:val="20"/>
                <w:szCs w:val="20"/>
              </w:rPr>
              <w:t>Nursing staff will monitor participants</w:t>
            </w:r>
            <w:r w:rsidR="009356C0">
              <w:rPr>
                <w:rFonts w:ascii="Arial" w:hAnsi="Arial" w:cs="Arial"/>
                <w:color w:val="000000"/>
                <w:sz w:val="20"/>
                <w:szCs w:val="20"/>
              </w:rPr>
              <w:t xml:space="preserve"> for</w:t>
            </w:r>
            <w:r w:rsidR="00D64B85" w:rsidRPr="004351E8">
              <w:rPr>
                <w:rFonts w:ascii="Arial" w:hAnsi="Arial" w:cs="Arial"/>
                <w:color w:val="000000"/>
                <w:sz w:val="20"/>
                <w:szCs w:val="20"/>
              </w:rPr>
              <w:t xml:space="preserve"> the dur</w:t>
            </w:r>
            <w:r w:rsidR="00D64B85">
              <w:rPr>
                <w:rFonts w:ascii="Arial" w:hAnsi="Arial" w:cs="Arial"/>
                <w:color w:val="000000"/>
                <w:sz w:val="20"/>
                <w:szCs w:val="20"/>
              </w:rPr>
              <w:t>ation of the infusion</w:t>
            </w:r>
            <w:r w:rsidR="009356C0">
              <w:rPr>
                <w:rFonts w:ascii="Arial" w:hAnsi="Arial" w:cs="Arial"/>
                <w:color w:val="000000"/>
                <w:sz w:val="20"/>
                <w:szCs w:val="20"/>
              </w:rPr>
              <w:t xml:space="preserve"> and for</w:t>
            </w:r>
            <w:r w:rsidR="00D64B85">
              <w:rPr>
                <w:rFonts w:ascii="Arial" w:hAnsi="Arial" w:cs="Arial"/>
                <w:color w:val="000000"/>
                <w:sz w:val="20"/>
                <w:szCs w:val="20"/>
              </w:rPr>
              <w:t xml:space="preserve"> </w:t>
            </w:r>
            <w:r w:rsidR="009E4433">
              <w:rPr>
                <w:rFonts w:ascii="Arial" w:hAnsi="Arial" w:cs="Arial"/>
                <w:color w:val="000000"/>
                <w:sz w:val="20"/>
                <w:szCs w:val="20"/>
              </w:rPr>
              <w:t>the</w:t>
            </w:r>
            <w:r w:rsidR="0036516B">
              <w:rPr>
                <w:rFonts w:ascii="Arial" w:hAnsi="Arial" w:cs="Arial"/>
                <w:color w:val="000000"/>
                <w:sz w:val="20"/>
                <w:szCs w:val="20"/>
              </w:rPr>
              <w:t xml:space="preserve"> 1</w:t>
            </w:r>
            <w:r w:rsidR="00D64B85">
              <w:rPr>
                <w:rFonts w:ascii="Arial" w:hAnsi="Arial" w:cs="Arial"/>
                <w:color w:val="000000"/>
                <w:sz w:val="20"/>
                <w:szCs w:val="20"/>
              </w:rPr>
              <w:t xml:space="preserve"> </w:t>
            </w:r>
            <w:r w:rsidR="00D64B85" w:rsidRPr="004351E8">
              <w:rPr>
                <w:rFonts w:ascii="Arial" w:hAnsi="Arial" w:cs="Arial"/>
                <w:color w:val="000000"/>
                <w:sz w:val="20"/>
                <w:szCs w:val="20"/>
              </w:rPr>
              <w:t>hour</w:t>
            </w:r>
            <w:r w:rsidR="006C6C76">
              <w:rPr>
                <w:rFonts w:ascii="Arial" w:hAnsi="Arial" w:cs="Arial"/>
                <w:color w:val="000000"/>
                <w:sz w:val="20"/>
                <w:szCs w:val="20"/>
              </w:rPr>
              <w:t xml:space="preserve"> observation period</w:t>
            </w:r>
            <w:r w:rsidR="009356C0">
              <w:rPr>
                <w:rFonts w:ascii="Arial" w:hAnsi="Arial" w:cs="Arial"/>
                <w:color w:val="000000"/>
                <w:sz w:val="20"/>
                <w:szCs w:val="20"/>
              </w:rPr>
              <w:t xml:space="preserve"> after the end of the infusion.</w:t>
            </w:r>
            <w:r w:rsidR="00903549">
              <w:rPr>
                <w:rFonts w:ascii="Arial" w:hAnsi="Arial" w:cs="Arial"/>
                <w:color w:val="000000"/>
                <w:sz w:val="20"/>
                <w:szCs w:val="20"/>
              </w:rPr>
              <w:t xml:space="preserve"> Medical staff members will be called in case of any </w:t>
            </w:r>
            <w:r w:rsidR="00D14548">
              <w:rPr>
                <w:rFonts w:ascii="Arial" w:hAnsi="Arial" w:cs="Arial"/>
                <w:color w:val="000000"/>
                <w:sz w:val="20"/>
                <w:szCs w:val="20"/>
              </w:rPr>
              <w:t xml:space="preserve">moderate to severe </w:t>
            </w:r>
            <w:r w:rsidR="00903549">
              <w:rPr>
                <w:rFonts w:ascii="Arial" w:hAnsi="Arial" w:cs="Arial"/>
                <w:color w:val="000000"/>
                <w:sz w:val="20"/>
                <w:szCs w:val="20"/>
              </w:rPr>
              <w:t>adverse events</w:t>
            </w:r>
            <w:r w:rsidR="00D14548">
              <w:rPr>
                <w:rFonts w:ascii="Arial" w:hAnsi="Arial" w:cs="Arial"/>
                <w:color w:val="000000"/>
                <w:sz w:val="20"/>
                <w:szCs w:val="20"/>
              </w:rPr>
              <w:t xml:space="preserve"> requiring changes to the iron infusion rate</w:t>
            </w:r>
            <w:r w:rsidR="009356C0">
              <w:rPr>
                <w:rFonts w:ascii="Arial" w:hAnsi="Arial" w:cs="Arial"/>
                <w:color w:val="000000"/>
                <w:sz w:val="20"/>
                <w:szCs w:val="20"/>
              </w:rPr>
              <w:t xml:space="preserve">. </w:t>
            </w:r>
            <w:r w:rsidR="00DD2E0A">
              <w:rPr>
                <w:rFonts w:ascii="Arial" w:hAnsi="Arial" w:cs="Arial"/>
                <w:color w:val="000000"/>
                <w:sz w:val="20"/>
                <w:szCs w:val="20"/>
              </w:rPr>
              <w:t xml:space="preserve">Monitoring will include </w:t>
            </w:r>
            <w:r w:rsidR="00DD2E0A" w:rsidRPr="00DD2E0A">
              <w:rPr>
                <w:rFonts w:ascii="Arial" w:hAnsi="Arial" w:cs="Arial"/>
                <w:color w:val="000000"/>
                <w:sz w:val="20"/>
                <w:szCs w:val="20"/>
              </w:rPr>
              <w:t>pulse, blood pressure</w:t>
            </w:r>
            <w:r w:rsidR="00DD2E0A">
              <w:rPr>
                <w:rFonts w:ascii="Arial" w:hAnsi="Arial" w:cs="Arial"/>
                <w:color w:val="000000"/>
                <w:sz w:val="20"/>
                <w:szCs w:val="20"/>
              </w:rPr>
              <w:t>,</w:t>
            </w:r>
            <w:r w:rsidR="00DD2E0A" w:rsidRPr="00DD2E0A">
              <w:rPr>
                <w:rFonts w:ascii="Arial" w:hAnsi="Arial" w:cs="Arial"/>
                <w:color w:val="000000"/>
                <w:sz w:val="20"/>
                <w:szCs w:val="20"/>
              </w:rPr>
              <w:t xml:space="preserve"> temperature, and </w:t>
            </w:r>
            <w:r w:rsidR="00DD2E0A">
              <w:rPr>
                <w:rFonts w:ascii="Arial" w:hAnsi="Arial" w:cs="Arial"/>
                <w:color w:val="000000"/>
                <w:sz w:val="20"/>
                <w:szCs w:val="20"/>
              </w:rPr>
              <w:t>oxygen saturation</w:t>
            </w:r>
            <w:r w:rsidR="005A525A">
              <w:rPr>
                <w:rFonts w:ascii="Arial" w:hAnsi="Arial" w:cs="Arial"/>
                <w:color w:val="000000"/>
                <w:sz w:val="20"/>
                <w:szCs w:val="20"/>
              </w:rPr>
              <w:t xml:space="preserve"> prior to infusion</w:t>
            </w:r>
            <w:r w:rsidR="009E4433">
              <w:rPr>
                <w:rFonts w:ascii="Arial" w:hAnsi="Arial" w:cs="Arial"/>
                <w:color w:val="000000"/>
                <w:sz w:val="20"/>
                <w:szCs w:val="20"/>
              </w:rPr>
              <w:t>,</w:t>
            </w:r>
            <w:r w:rsidR="00DD2E0A">
              <w:rPr>
                <w:rFonts w:ascii="Arial" w:hAnsi="Arial" w:cs="Arial"/>
                <w:color w:val="000000"/>
                <w:sz w:val="20"/>
                <w:szCs w:val="20"/>
              </w:rPr>
              <w:t xml:space="preserve"> </w:t>
            </w:r>
            <w:r w:rsidR="00DD2E0A" w:rsidRPr="00DD2E0A">
              <w:rPr>
                <w:rFonts w:ascii="Arial" w:hAnsi="Arial" w:cs="Arial"/>
                <w:color w:val="000000"/>
                <w:sz w:val="20"/>
                <w:szCs w:val="20"/>
              </w:rPr>
              <w:t>every</w:t>
            </w:r>
            <w:r w:rsidR="005A525A">
              <w:rPr>
                <w:rFonts w:ascii="Arial" w:hAnsi="Arial" w:cs="Arial"/>
                <w:color w:val="000000"/>
                <w:sz w:val="20"/>
                <w:szCs w:val="20"/>
              </w:rPr>
              <w:t xml:space="preserve"> 5</w:t>
            </w:r>
            <w:r w:rsidR="00DD2E0A" w:rsidRPr="00DD2E0A">
              <w:rPr>
                <w:rFonts w:ascii="Arial" w:hAnsi="Arial" w:cs="Arial"/>
                <w:color w:val="000000"/>
                <w:sz w:val="20"/>
                <w:szCs w:val="20"/>
              </w:rPr>
              <w:t xml:space="preserve"> minutes</w:t>
            </w:r>
            <w:r w:rsidR="00DD2E0A">
              <w:rPr>
                <w:rFonts w:ascii="Arial" w:hAnsi="Arial" w:cs="Arial"/>
                <w:color w:val="000000"/>
                <w:sz w:val="20"/>
                <w:szCs w:val="20"/>
              </w:rPr>
              <w:t xml:space="preserve"> </w:t>
            </w:r>
            <w:r w:rsidR="005A525A">
              <w:rPr>
                <w:rFonts w:ascii="Arial" w:hAnsi="Arial" w:cs="Arial"/>
                <w:color w:val="000000"/>
                <w:sz w:val="20"/>
                <w:szCs w:val="20"/>
              </w:rPr>
              <w:t xml:space="preserve">for the duration of the infusion, then every 15 minutes during the hour post-infusion monitoring </w:t>
            </w:r>
            <w:r w:rsidR="00D64B85">
              <w:rPr>
                <w:rFonts w:ascii="Arial" w:hAnsi="Arial" w:cs="Arial"/>
                <w:color w:val="000000"/>
                <w:sz w:val="20"/>
                <w:szCs w:val="20"/>
              </w:rPr>
              <w:t xml:space="preserve">with documentation of any perceived adverse events. </w:t>
            </w:r>
            <w:r w:rsidR="00D64B85" w:rsidRPr="004351E8">
              <w:rPr>
                <w:rFonts w:ascii="Arial" w:hAnsi="Arial" w:cs="Arial"/>
                <w:color w:val="000000"/>
                <w:sz w:val="20"/>
                <w:szCs w:val="20"/>
              </w:rPr>
              <w:t>Pa</w:t>
            </w:r>
            <w:r w:rsidR="00D64B85">
              <w:rPr>
                <w:rFonts w:ascii="Arial" w:hAnsi="Arial" w:cs="Arial"/>
                <w:color w:val="000000"/>
                <w:sz w:val="20"/>
                <w:szCs w:val="20"/>
              </w:rPr>
              <w:t>rticipants</w:t>
            </w:r>
            <w:r w:rsidR="00D64B85" w:rsidRPr="004351E8">
              <w:rPr>
                <w:rFonts w:ascii="Arial" w:hAnsi="Arial" w:cs="Arial"/>
                <w:color w:val="000000"/>
                <w:sz w:val="20"/>
                <w:szCs w:val="20"/>
              </w:rPr>
              <w:t xml:space="preserve"> who experience adverse events will be able to complete the infusion at a slower rate or</w:t>
            </w:r>
            <w:r w:rsidR="00D64B85">
              <w:rPr>
                <w:rFonts w:ascii="Arial" w:hAnsi="Arial" w:cs="Arial"/>
                <w:color w:val="000000"/>
                <w:sz w:val="20"/>
                <w:szCs w:val="20"/>
              </w:rPr>
              <w:t>,</w:t>
            </w:r>
            <w:r w:rsidR="00D64B85" w:rsidRPr="004351E8">
              <w:rPr>
                <w:rFonts w:ascii="Arial" w:hAnsi="Arial" w:cs="Arial"/>
                <w:color w:val="000000"/>
                <w:sz w:val="20"/>
                <w:szCs w:val="20"/>
              </w:rPr>
              <w:t xml:space="preserve"> if the reactions are severe</w:t>
            </w:r>
            <w:r w:rsidR="00D64B85">
              <w:rPr>
                <w:rFonts w:ascii="Arial" w:hAnsi="Arial" w:cs="Arial"/>
                <w:color w:val="000000"/>
                <w:sz w:val="20"/>
                <w:szCs w:val="20"/>
              </w:rPr>
              <w:t>,</w:t>
            </w:r>
            <w:r w:rsidR="00D64B85" w:rsidRPr="004351E8">
              <w:rPr>
                <w:rFonts w:ascii="Arial" w:hAnsi="Arial" w:cs="Arial"/>
                <w:color w:val="000000"/>
                <w:sz w:val="20"/>
                <w:szCs w:val="20"/>
              </w:rPr>
              <w:t xml:space="preserve"> will have their infusions stopped and restarted only after medical review</w:t>
            </w:r>
            <w:r w:rsidR="00D64B85">
              <w:rPr>
                <w:rFonts w:ascii="Arial" w:hAnsi="Arial" w:cs="Arial"/>
                <w:color w:val="000000"/>
                <w:sz w:val="20"/>
                <w:szCs w:val="20"/>
              </w:rPr>
              <w:t xml:space="preserve"> and</w:t>
            </w:r>
            <w:r w:rsidR="00D64B85" w:rsidRPr="004351E8">
              <w:rPr>
                <w:rFonts w:ascii="Arial" w:hAnsi="Arial" w:cs="Arial"/>
                <w:color w:val="000000"/>
                <w:sz w:val="20"/>
                <w:szCs w:val="20"/>
              </w:rPr>
              <w:t xml:space="preserve"> if considered safe</w:t>
            </w:r>
            <w:r w:rsidR="006C6C76">
              <w:rPr>
                <w:rFonts w:ascii="Arial" w:hAnsi="Arial" w:cs="Arial"/>
                <w:color w:val="000000"/>
                <w:sz w:val="20"/>
                <w:szCs w:val="20"/>
              </w:rPr>
              <w:t>, as per previous rapid iron infusion study procedures</w:t>
            </w:r>
            <w:r w:rsidR="00D64B85" w:rsidRPr="004351E8">
              <w:rPr>
                <w:rFonts w:ascii="Arial" w:hAnsi="Arial" w:cs="Arial"/>
                <w:color w:val="000000"/>
                <w:sz w:val="20"/>
                <w:szCs w:val="20"/>
              </w:rPr>
              <w:t>.</w:t>
            </w:r>
          </w:p>
          <w:p w14:paraId="0E2077F5" w14:textId="77777777" w:rsidR="004351E8" w:rsidRDefault="00D64B85" w:rsidP="007A300E">
            <w:pPr>
              <w:autoSpaceDE w:val="0"/>
              <w:autoSpaceDN w:val="0"/>
              <w:adjustRightInd w:val="0"/>
              <w:spacing w:after="2"/>
              <w:jc w:val="both"/>
              <w:rPr>
                <w:rFonts w:ascii="Arial" w:hAnsi="Arial" w:cs="Arial"/>
                <w:color w:val="000000"/>
                <w:sz w:val="20"/>
                <w:szCs w:val="20"/>
              </w:rPr>
            </w:pPr>
            <w:r w:rsidRPr="004351E8">
              <w:rPr>
                <w:rFonts w:ascii="Arial" w:hAnsi="Arial" w:cs="Arial"/>
                <w:color w:val="000000"/>
                <w:sz w:val="20"/>
                <w:szCs w:val="20"/>
              </w:rPr>
              <w:t>Rates of mild, moderate and severe adverse events will be collected along with</w:t>
            </w:r>
            <w:r w:rsidR="00B85A4F">
              <w:rPr>
                <w:rFonts w:ascii="Arial" w:hAnsi="Arial" w:cs="Arial"/>
                <w:color w:val="000000"/>
                <w:sz w:val="20"/>
                <w:szCs w:val="20"/>
              </w:rPr>
              <w:t xml:space="preserve"> any adverse event treatments or adjustments to infusion rates,</w:t>
            </w:r>
            <w:r w:rsidR="0007754A">
              <w:rPr>
                <w:rFonts w:ascii="Arial" w:hAnsi="Arial" w:cs="Arial"/>
                <w:color w:val="000000"/>
                <w:sz w:val="20"/>
                <w:szCs w:val="20"/>
              </w:rPr>
              <w:t xml:space="preserve"> number of units of blood transfused if required,</w:t>
            </w:r>
            <w:r w:rsidR="00B85A4F">
              <w:rPr>
                <w:rFonts w:ascii="Arial" w:hAnsi="Arial" w:cs="Arial"/>
                <w:color w:val="000000"/>
                <w:sz w:val="20"/>
                <w:szCs w:val="20"/>
              </w:rPr>
              <w:t xml:space="preserve"> </w:t>
            </w:r>
            <w:r w:rsidRPr="004351E8">
              <w:rPr>
                <w:rFonts w:ascii="Arial" w:hAnsi="Arial" w:cs="Arial"/>
                <w:color w:val="000000"/>
                <w:sz w:val="20"/>
                <w:szCs w:val="20"/>
              </w:rPr>
              <w:t>patient demographics, past history, indication for iron infusion and pathology results</w:t>
            </w:r>
            <w:r w:rsidR="0042102B">
              <w:rPr>
                <w:rFonts w:ascii="Arial" w:hAnsi="Arial" w:cs="Arial"/>
                <w:color w:val="000000"/>
                <w:sz w:val="20"/>
                <w:szCs w:val="20"/>
              </w:rPr>
              <w:t>,</w:t>
            </w:r>
            <w:r w:rsidRPr="004351E8">
              <w:rPr>
                <w:rFonts w:ascii="Arial" w:hAnsi="Arial" w:cs="Arial"/>
                <w:color w:val="000000"/>
                <w:sz w:val="20"/>
                <w:szCs w:val="20"/>
              </w:rPr>
              <w:t xml:space="preserve"> if available.</w:t>
            </w:r>
          </w:p>
          <w:p w14:paraId="4067EAB6" w14:textId="4F3F92F6" w:rsidR="00D14548" w:rsidRPr="004351E8" w:rsidRDefault="00D14548">
            <w:pPr>
              <w:autoSpaceDE w:val="0"/>
              <w:autoSpaceDN w:val="0"/>
              <w:adjustRightInd w:val="0"/>
              <w:spacing w:after="2"/>
              <w:jc w:val="both"/>
              <w:rPr>
                <w:rFonts w:ascii="Arial" w:hAnsi="Arial" w:cs="Arial"/>
                <w:color w:val="000000"/>
                <w:sz w:val="20"/>
                <w:szCs w:val="20"/>
              </w:rPr>
            </w:pPr>
            <w:r>
              <w:rPr>
                <w:rFonts w:ascii="Arial" w:hAnsi="Arial" w:cs="Arial"/>
                <w:color w:val="000000"/>
                <w:sz w:val="20"/>
                <w:szCs w:val="20"/>
              </w:rPr>
              <w:t xml:space="preserve">Participants will be contacted via telephone or in person </w:t>
            </w:r>
            <w:r w:rsidR="00C3669E">
              <w:rPr>
                <w:rFonts w:ascii="Arial" w:hAnsi="Arial" w:cs="Arial"/>
                <w:color w:val="000000"/>
                <w:sz w:val="20"/>
                <w:szCs w:val="20"/>
              </w:rPr>
              <w:t>(</w:t>
            </w:r>
            <w:r>
              <w:rPr>
                <w:rFonts w:ascii="Arial" w:hAnsi="Arial" w:cs="Arial"/>
                <w:color w:val="000000"/>
                <w:sz w:val="20"/>
                <w:szCs w:val="20"/>
              </w:rPr>
              <w:t>if still hospitalised</w:t>
            </w:r>
            <w:r w:rsidR="00C3669E">
              <w:rPr>
                <w:rFonts w:ascii="Arial" w:hAnsi="Arial" w:cs="Arial"/>
                <w:color w:val="000000"/>
                <w:sz w:val="20"/>
                <w:szCs w:val="20"/>
              </w:rPr>
              <w:t>)</w:t>
            </w:r>
            <w:r>
              <w:rPr>
                <w:rFonts w:ascii="Arial" w:hAnsi="Arial" w:cs="Arial"/>
                <w:color w:val="000000"/>
                <w:sz w:val="20"/>
                <w:szCs w:val="20"/>
              </w:rPr>
              <w:t xml:space="preserve"> by the study investigators to document any adverse events during occurring in the week after the infusion. These delayed adverse events will be compared to the previous results of rapid iron polymaltose infusions and that of ferric carboxymaltose</w:t>
            </w:r>
            <w:r w:rsidR="006F3624">
              <w:rPr>
                <w:rFonts w:ascii="Arial" w:hAnsi="Arial" w:cs="Arial"/>
                <w:color w:val="000000"/>
                <w:sz w:val="20"/>
                <w:szCs w:val="20"/>
              </w:rPr>
              <w:t>.</w:t>
            </w:r>
          </w:p>
        </w:tc>
      </w:tr>
      <w:tr w:rsidR="007868FE" w:rsidRPr="00BB73C0" w14:paraId="759EA125" w14:textId="77777777">
        <w:tc>
          <w:tcPr>
            <w:tcW w:w="540" w:type="dxa"/>
          </w:tcPr>
          <w:p w14:paraId="4EB44EC9" w14:textId="7F152034"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6.5</w:t>
            </w:r>
          </w:p>
        </w:tc>
        <w:tc>
          <w:tcPr>
            <w:tcW w:w="9360" w:type="dxa"/>
            <w:tcBorders>
              <w:bottom w:val="single" w:sz="4" w:space="0" w:color="auto"/>
            </w:tcBorders>
          </w:tcPr>
          <w:p w14:paraId="763F4DF5" w14:textId="77777777" w:rsidR="007868FE" w:rsidRPr="00BB73C0" w:rsidRDefault="007868FE" w:rsidP="0089312D">
            <w:pPr>
              <w:spacing w:before="60" w:after="60"/>
              <w:jc w:val="both"/>
              <w:rPr>
                <w:rFonts w:ascii="Arial" w:hAnsi="Arial" w:cs="Arial"/>
                <w:sz w:val="20"/>
                <w:szCs w:val="20"/>
              </w:rPr>
            </w:pPr>
            <w:r w:rsidRPr="00BB73C0">
              <w:rPr>
                <w:rFonts w:ascii="Arial" w:hAnsi="Arial" w:cs="Arial"/>
                <w:sz w:val="20"/>
                <w:szCs w:val="20"/>
              </w:rPr>
              <w:t>Outcome(s)</w:t>
            </w:r>
            <w:r w:rsidR="009F4DD9" w:rsidRPr="00BB73C0">
              <w:rPr>
                <w:rFonts w:ascii="Arial" w:hAnsi="Arial" w:cs="Arial"/>
                <w:sz w:val="20"/>
                <w:szCs w:val="20"/>
              </w:rPr>
              <w:t xml:space="preserve"> *</w:t>
            </w:r>
          </w:p>
        </w:tc>
      </w:tr>
      <w:tr w:rsidR="007868FE" w:rsidRPr="00BB73C0" w14:paraId="5328CB8E" w14:textId="77777777">
        <w:tc>
          <w:tcPr>
            <w:tcW w:w="540" w:type="dxa"/>
            <w:tcBorders>
              <w:right w:val="single" w:sz="4" w:space="0" w:color="auto"/>
            </w:tcBorders>
          </w:tcPr>
          <w:p w14:paraId="6198ED12"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55FF1108" w14:textId="7784E9C1" w:rsidR="00903549" w:rsidRDefault="00903549" w:rsidP="00903549">
            <w:pPr>
              <w:autoSpaceDE w:val="0"/>
              <w:autoSpaceDN w:val="0"/>
              <w:adjustRightInd w:val="0"/>
              <w:spacing w:after="2"/>
              <w:rPr>
                <w:rFonts w:ascii="Arial" w:hAnsi="Arial" w:cs="Arial"/>
                <w:color w:val="000000"/>
                <w:sz w:val="20"/>
                <w:szCs w:val="20"/>
              </w:rPr>
            </w:pPr>
            <w:r w:rsidRPr="00903549">
              <w:rPr>
                <w:rFonts w:ascii="Arial" w:hAnsi="Arial" w:cs="Arial"/>
                <w:color w:val="000000"/>
                <w:sz w:val="20"/>
                <w:szCs w:val="20"/>
              </w:rPr>
              <w:t xml:space="preserve">The primary outcome </w:t>
            </w:r>
            <w:r>
              <w:rPr>
                <w:rFonts w:ascii="Arial" w:hAnsi="Arial" w:cs="Arial"/>
                <w:color w:val="000000"/>
                <w:sz w:val="20"/>
                <w:szCs w:val="20"/>
              </w:rPr>
              <w:t>is</w:t>
            </w:r>
            <w:r w:rsidRPr="00903549">
              <w:rPr>
                <w:rFonts w:ascii="Arial" w:hAnsi="Arial" w:cs="Arial"/>
                <w:color w:val="000000"/>
                <w:sz w:val="20"/>
                <w:szCs w:val="20"/>
              </w:rPr>
              <w:t xml:space="preserve"> the overall </w:t>
            </w:r>
            <w:r>
              <w:rPr>
                <w:rFonts w:ascii="Arial" w:hAnsi="Arial" w:cs="Arial"/>
                <w:color w:val="000000"/>
                <w:sz w:val="20"/>
                <w:szCs w:val="20"/>
              </w:rPr>
              <w:t>adverse event</w:t>
            </w:r>
            <w:r w:rsidRPr="00903549">
              <w:rPr>
                <w:rFonts w:ascii="Arial" w:hAnsi="Arial" w:cs="Arial"/>
                <w:color w:val="000000"/>
                <w:sz w:val="20"/>
                <w:szCs w:val="20"/>
              </w:rPr>
              <w:t xml:space="preserve"> rate </w:t>
            </w:r>
            <w:r w:rsidR="00586D97">
              <w:rPr>
                <w:rFonts w:ascii="Arial" w:hAnsi="Arial" w:cs="Arial"/>
                <w:color w:val="000000"/>
                <w:sz w:val="20"/>
                <w:szCs w:val="20"/>
              </w:rPr>
              <w:t>during the iron polymaltose infusions</w:t>
            </w:r>
            <w:r w:rsidRPr="00903549">
              <w:rPr>
                <w:rFonts w:ascii="Arial" w:hAnsi="Arial" w:cs="Arial"/>
                <w:color w:val="000000"/>
                <w:sz w:val="20"/>
                <w:szCs w:val="20"/>
              </w:rPr>
              <w:t xml:space="preserve">. </w:t>
            </w:r>
          </w:p>
          <w:p w14:paraId="3BF578D1" w14:textId="0288EDD8" w:rsidR="006B1954" w:rsidRPr="00BB73C0" w:rsidRDefault="00903549" w:rsidP="006F3624">
            <w:pPr>
              <w:autoSpaceDE w:val="0"/>
              <w:autoSpaceDN w:val="0"/>
              <w:adjustRightInd w:val="0"/>
              <w:spacing w:after="2"/>
              <w:jc w:val="both"/>
              <w:rPr>
                <w:rFonts w:ascii="Arial" w:hAnsi="Arial" w:cs="Arial"/>
                <w:color w:val="000000"/>
                <w:sz w:val="20"/>
                <w:szCs w:val="20"/>
              </w:rPr>
            </w:pPr>
            <w:r w:rsidRPr="00903549">
              <w:rPr>
                <w:rFonts w:ascii="Arial" w:hAnsi="Arial" w:cs="Arial"/>
                <w:color w:val="000000"/>
                <w:sz w:val="20"/>
                <w:szCs w:val="20"/>
              </w:rPr>
              <w:t>Secondary outc</w:t>
            </w:r>
            <w:r>
              <w:rPr>
                <w:rFonts w:ascii="Arial" w:hAnsi="Arial" w:cs="Arial"/>
                <w:color w:val="000000"/>
                <w:sz w:val="20"/>
                <w:szCs w:val="20"/>
              </w:rPr>
              <w:t xml:space="preserve">omes include the </w:t>
            </w:r>
            <w:r w:rsidR="006B1954">
              <w:rPr>
                <w:rFonts w:ascii="Arial" w:hAnsi="Arial" w:cs="Arial"/>
                <w:color w:val="000000"/>
                <w:sz w:val="20"/>
                <w:szCs w:val="20"/>
              </w:rPr>
              <w:t>adverse event</w:t>
            </w:r>
            <w:r w:rsidR="006B1954" w:rsidRPr="00903549">
              <w:rPr>
                <w:rFonts w:ascii="Arial" w:hAnsi="Arial" w:cs="Arial"/>
                <w:color w:val="000000"/>
                <w:sz w:val="20"/>
                <w:szCs w:val="20"/>
              </w:rPr>
              <w:t xml:space="preserve"> rate </w:t>
            </w:r>
            <w:r w:rsidR="006B1954">
              <w:rPr>
                <w:rFonts w:ascii="Arial" w:hAnsi="Arial" w:cs="Arial"/>
                <w:color w:val="000000"/>
                <w:sz w:val="20"/>
                <w:szCs w:val="20"/>
              </w:rPr>
              <w:t xml:space="preserve">during the week post-infusion as well as </w:t>
            </w:r>
            <w:r>
              <w:rPr>
                <w:rFonts w:ascii="Arial" w:hAnsi="Arial" w:cs="Arial"/>
                <w:color w:val="000000"/>
                <w:sz w:val="20"/>
                <w:szCs w:val="20"/>
              </w:rPr>
              <w:t>severity of adverse event</w:t>
            </w:r>
            <w:r w:rsidRPr="00903549">
              <w:rPr>
                <w:rFonts w:ascii="Arial" w:hAnsi="Arial" w:cs="Arial"/>
                <w:color w:val="000000"/>
                <w:sz w:val="20"/>
                <w:szCs w:val="20"/>
              </w:rPr>
              <w:t>s,</w:t>
            </w:r>
            <w:r>
              <w:rPr>
                <w:rFonts w:ascii="Arial" w:hAnsi="Arial" w:cs="Arial"/>
                <w:color w:val="000000"/>
                <w:sz w:val="20"/>
                <w:szCs w:val="20"/>
              </w:rPr>
              <w:t xml:space="preserve"> </w:t>
            </w:r>
            <w:r w:rsidRPr="00903549">
              <w:rPr>
                <w:rFonts w:ascii="Arial" w:hAnsi="Arial" w:cs="Arial"/>
                <w:color w:val="000000"/>
                <w:sz w:val="20"/>
                <w:szCs w:val="20"/>
              </w:rPr>
              <w:t>grade</w:t>
            </w:r>
            <w:r>
              <w:rPr>
                <w:rFonts w:ascii="Arial" w:hAnsi="Arial" w:cs="Arial"/>
                <w:color w:val="000000"/>
                <w:sz w:val="20"/>
                <w:szCs w:val="20"/>
              </w:rPr>
              <w:t>d as mild, moderate or severe.</w:t>
            </w:r>
            <w:r w:rsidRPr="00903549">
              <w:rPr>
                <w:rFonts w:ascii="Arial" w:hAnsi="Arial" w:cs="Arial"/>
                <w:color w:val="000000"/>
                <w:sz w:val="20"/>
                <w:szCs w:val="20"/>
              </w:rPr>
              <w:t xml:space="preserve"> </w:t>
            </w:r>
            <w:r w:rsidR="006B1954">
              <w:rPr>
                <w:rFonts w:ascii="Arial" w:hAnsi="Arial" w:cs="Arial"/>
                <w:color w:val="000000"/>
                <w:sz w:val="20"/>
                <w:szCs w:val="20"/>
              </w:rPr>
              <w:t>During the infusion: m</w:t>
            </w:r>
            <w:r w:rsidRPr="00903549">
              <w:rPr>
                <w:rFonts w:ascii="Arial" w:hAnsi="Arial" w:cs="Arial"/>
                <w:color w:val="000000"/>
                <w:sz w:val="20"/>
                <w:szCs w:val="20"/>
              </w:rPr>
              <w:t>ild</w:t>
            </w:r>
            <w:r>
              <w:rPr>
                <w:rFonts w:ascii="Arial" w:hAnsi="Arial" w:cs="Arial"/>
                <w:color w:val="000000"/>
                <w:sz w:val="20"/>
                <w:szCs w:val="20"/>
              </w:rPr>
              <w:t xml:space="preserve"> </w:t>
            </w:r>
            <w:r w:rsidRPr="00903549">
              <w:rPr>
                <w:rFonts w:ascii="Arial" w:hAnsi="Arial" w:cs="Arial"/>
                <w:color w:val="000000"/>
                <w:sz w:val="20"/>
                <w:szCs w:val="20"/>
              </w:rPr>
              <w:t>reactions w</w:t>
            </w:r>
            <w:r>
              <w:rPr>
                <w:rFonts w:ascii="Arial" w:hAnsi="Arial" w:cs="Arial"/>
                <w:color w:val="000000"/>
                <w:sz w:val="20"/>
                <w:szCs w:val="20"/>
              </w:rPr>
              <w:t>ill be</w:t>
            </w:r>
            <w:r w:rsidRPr="00903549">
              <w:rPr>
                <w:rFonts w:ascii="Arial" w:hAnsi="Arial" w:cs="Arial"/>
                <w:color w:val="000000"/>
                <w:sz w:val="20"/>
                <w:szCs w:val="20"/>
              </w:rPr>
              <w:t xml:space="preserve"> defined as those that d</w:t>
            </w:r>
            <w:r>
              <w:rPr>
                <w:rFonts w:ascii="Arial" w:hAnsi="Arial" w:cs="Arial"/>
                <w:color w:val="000000"/>
                <w:sz w:val="20"/>
                <w:szCs w:val="20"/>
              </w:rPr>
              <w:t>o</w:t>
            </w:r>
            <w:r w:rsidRPr="00903549">
              <w:rPr>
                <w:rFonts w:ascii="Arial" w:hAnsi="Arial" w:cs="Arial"/>
                <w:color w:val="000000"/>
                <w:sz w:val="20"/>
                <w:szCs w:val="20"/>
              </w:rPr>
              <w:t xml:space="preserve"> not require a</w:t>
            </w:r>
            <w:r>
              <w:rPr>
                <w:rFonts w:ascii="Arial" w:hAnsi="Arial" w:cs="Arial"/>
                <w:color w:val="000000"/>
                <w:sz w:val="20"/>
                <w:szCs w:val="20"/>
              </w:rPr>
              <w:t xml:space="preserve"> </w:t>
            </w:r>
            <w:r w:rsidRPr="00903549">
              <w:rPr>
                <w:rFonts w:ascii="Arial" w:hAnsi="Arial" w:cs="Arial"/>
                <w:color w:val="000000"/>
                <w:sz w:val="20"/>
                <w:szCs w:val="20"/>
              </w:rPr>
              <w:t>change in the infusion rate, treatment or prolongation</w:t>
            </w:r>
            <w:r>
              <w:rPr>
                <w:rFonts w:ascii="Arial" w:hAnsi="Arial" w:cs="Arial"/>
                <w:color w:val="000000"/>
                <w:sz w:val="20"/>
                <w:szCs w:val="20"/>
              </w:rPr>
              <w:t xml:space="preserve"> </w:t>
            </w:r>
            <w:r w:rsidRPr="00903549">
              <w:rPr>
                <w:rFonts w:ascii="Arial" w:hAnsi="Arial" w:cs="Arial"/>
                <w:color w:val="000000"/>
                <w:sz w:val="20"/>
                <w:szCs w:val="20"/>
              </w:rPr>
              <w:t>of hospital stay</w:t>
            </w:r>
            <w:r w:rsidR="006B1954">
              <w:rPr>
                <w:rFonts w:ascii="Arial" w:hAnsi="Arial" w:cs="Arial"/>
                <w:color w:val="000000"/>
                <w:sz w:val="20"/>
                <w:szCs w:val="20"/>
              </w:rPr>
              <w:t>; m</w:t>
            </w:r>
            <w:r w:rsidRPr="00903549">
              <w:rPr>
                <w:rFonts w:ascii="Arial" w:hAnsi="Arial" w:cs="Arial"/>
                <w:color w:val="000000"/>
                <w:sz w:val="20"/>
                <w:szCs w:val="20"/>
              </w:rPr>
              <w:t>odera</w:t>
            </w:r>
            <w:r>
              <w:rPr>
                <w:rFonts w:ascii="Arial" w:hAnsi="Arial" w:cs="Arial"/>
                <w:color w:val="000000"/>
                <w:sz w:val="20"/>
                <w:szCs w:val="20"/>
              </w:rPr>
              <w:t>te reactions will be defined as</w:t>
            </w:r>
            <w:r w:rsidRPr="00903549">
              <w:rPr>
                <w:rFonts w:ascii="Arial" w:hAnsi="Arial" w:cs="Arial"/>
                <w:color w:val="000000"/>
                <w:sz w:val="20"/>
                <w:szCs w:val="20"/>
              </w:rPr>
              <w:t xml:space="preserve"> those that require a</w:t>
            </w:r>
            <w:r w:rsidR="006B1954">
              <w:rPr>
                <w:rFonts w:ascii="Arial" w:hAnsi="Arial" w:cs="Arial"/>
                <w:color w:val="000000"/>
                <w:sz w:val="20"/>
                <w:szCs w:val="20"/>
              </w:rPr>
              <w:t>n interruption or</w:t>
            </w:r>
            <w:r w:rsidRPr="00903549">
              <w:rPr>
                <w:rFonts w:ascii="Arial" w:hAnsi="Arial" w:cs="Arial"/>
                <w:color w:val="000000"/>
                <w:sz w:val="20"/>
                <w:szCs w:val="20"/>
              </w:rPr>
              <w:t xml:space="preserve"> change </w:t>
            </w:r>
            <w:r w:rsidR="006B1954">
              <w:rPr>
                <w:rFonts w:ascii="Arial" w:hAnsi="Arial" w:cs="Arial"/>
                <w:color w:val="000000"/>
                <w:sz w:val="20"/>
                <w:szCs w:val="20"/>
              </w:rPr>
              <w:t>to</w:t>
            </w:r>
            <w:r w:rsidR="006B1954" w:rsidRPr="00903549">
              <w:rPr>
                <w:rFonts w:ascii="Arial" w:hAnsi="Arial" w:cs="Arial"/>
                <w:color w:val="000000"/>
                <w:sz w:val="20"/>
                <w:szCs w:val="20"/>
              </w:rPr>
              <w:t xml:space="preserve"> </w:t>
            </w:r>
            <w:r w:rsidRPr="00903549">
              <w:rPr>
                <w:rFonts w:ascii="Arial" w:hAnsi="Arial" w:cs="Arial"/>
                <w:color w:val="000000"/>
                <w:sz w:val="20"/>
                <w:szCs w:val="20"/>
              </w:rPr>
              <w:t>infusion rate, minor treatment</w:t>
            </w:r>
            <w:r>
              <w:rPr>
                <w:rFonts w:ascii="Arial" w:hAnsi="Arial" w:cs="Arial"/>
                <w:color w:val="000000"/>
                <w:sz w:val="20"/>
                <w:szCs w:val="20"/>
              </w:rPr>
              <w:t xml:space="preserve"> </w:t>
            </w:r>
            <w:r w:rsidRPr="00903549">
              <w:rPr>
                <w:rFonts w:ascii="Arial" w:hAnsi="Arial" w:cs="Arial"/>
                <w:color w:val="000000"/>
                <w:sz w:val="20"/>
                <w:szCs w:val="20"/>
              </w:rPr>
              <w:t>such as a</w:t>
            </w:r>
            <w:r>
              <w:rPr>
                <w:rFonts w:ascii="Arial" w:hAnsi="Arial" w:cs="Arial"/>
                <w:color w:val="000000"/>
                <w:sz w:val="20"/>
                <w:szCs w:val="20"/>
              </w:rPr>
              <w:t xml:space="preserve">nalgesia or </w:t>
            </w:r>
            <w:r w:rsidRPr="00903549">
              <w:rPr>
                <w:rFonts w:ascii="Arial" w:hAnsi="Arial" w:cs="Arial"/>
                <w:color w:val="000000"/>
                <w:sz w:val="20"/>
                <w:szCs w:val="20"/>
              </w:rPr>
              <w:t>additional monitoring</w:t>
            </w:r>
            <w:r w:rsidR="006B1954">
              <w:rPr>
                <w:rFonts w:ascii="Arial" w:hAnsi="Arial" w:cs="Arial"/>
                <w:color w:val="000000"/>
                <w:sz w:val="20"/>
                <w:szCs w:val="20"/>
              </w:rPr>
              <w:t>; and</w:t>
            </w:r>
            <w:r>
              <w:rPr>
                <w:rFonts w:ascii="Arial" w:hAnsi="Arial" w:cs="Arial"/>
                <w:color w:val="000000"/>
                <w:sz w:val="20"/>
                <w:szCs w:val="20"/>
              </w:rPr>
              <w:t xml:space="preserve"> </w:t>
            </w:r>
            <w:r w:rsidR="006B1954">
              <w:rPr>
                <w:rFonts w:ascii="Arial" w:hAnsi="Arial" w:cs="Arial"/>
                <w:color w:val="000000"/>
                <w:sz w:val="20"/>
                <w:szCs w:val="20"/>
              </w:rPr>
              <w:t xml:space="preserve">severe </w:t>
            </w:r>
            <w:r>
              <w:rPr>
                <w:rFonts w:ascii="Arial" w:hAnsi="Arial" w:cs="Arial"/>
                <w:color w:val="000000"/>
                <w:sz w:val="20"/>
                <w:szCs w:val="20"/>
              </w:rPr>
              <w:t>reactions will be</w:t>
            </w:r>
            <w:r w:rsidRPr="00903549">
              <w:rPr>
                <w:rFonts w:ascii="Arial" w:hAnsi="Arial" w:cs="Arial"/>
                <w:color w:val="000000"/>
                <w:sz w:val="20"/>
                <w:szCs w:val="20"/>
              </w:rPr>
              <w:t xml:space="preserve"> defined as</w:t>
            </w:r>
            <w:r>
              <w:rPr>
                <w:rFonts w:ascii="Arial" w:hAnsi="Arial" w:cs="Arial"/>
                <w:color w:val="000000"/>
                <w:sz w:val="20"/>
                <w:szCs w:val="20"/>
              </w:rPr>
              <w:t xml:space="preserve"> </w:t>
            </w:r>
            <w:r w:rsidRPr="00903549">
              <w:rPr>
                <w:rFonts w:ascii="Arial" w:hAnsi="Arial" w:cs="Arial"/>
                <w:color w:val="000000"/>
                <w:sz w:val="20"/>
                <w:szCs w:val="20"/>
              </w:rPr>
              <w:t>those that require the iron infusion to be stopped without</w:t>
            </w:r>
            <w:r>
              <w:rPr>
                <w:rFonts w:ascii="Arial" w:hAnsi="Arial" w:cs="Arial"/>
                <w:color w:val="000000"/>
                <w:sz w:val="20"/>
                <w:szCs w:val="20"/>
              </w:rPr>
              <w:t xml:space="preserve"> </w:t>
            </w:r>
            <w:r w:rsidRPr="00903549">
              <w:rPr>
                <w:rFonts w:ascii="Arial" w:hAnsi="Arial" w:cs="Arial"/>
                <w:color w:val="000000"/>
                <w:sz w:val="20"/>
                <w:szCs w:val="20"/>
              </w:rPr>
              <w:t>intention to res</w:t>
            </w:r>
            <w:r>
              <w:rPr>
                <w:rFonts w:ascii="Arial" w:hAnsi="Arial" w:cs="Arial"/>
                <w:color w:val="000000"/>
                <w:sz w:val="20"/>
                <w:szCs w:val="20"/>
              </w:rPr>
              <w:t xml:space="preserve">tart and where patients require </w:t>
            </w:r>
            <w:r w:rsidRPr="00903549">
              <w:rPr>
                <w:rFonts w:ascii="Arial" w:hAnsi="Arial" w:cs="Arial"/>
                <w:color w:val="000000"/>
                <w:sz w:val="20"/>
                <w:szCs w:val="20"/>
              </w:rPr>
              <w:t>urgent medical attention with administration of resuscitation</w:t>
            </w:r>
            <w:r>
              <w:rPr>
                <w:rFonts w:ascii="Arial" w:hAnsi="Arial" w:cs="Arial"/>
                <w:color w:val="000000"/>
                <w:sz w:val="20"/>
                <w:szCs w:val="20"/>
              </w:rPr>
              <w:t xml:space="preserve"> </w:t>
            </w:r>
            <w:r w:rsidRPr="00903549">
              <w:rPr>
                <w:rFonts w:ascii="Arial" w:hAnsi="Arial" w:cs="Arial"/>
                <w:color w:val="000000"/>
                <w:sz w:val="20"/>
                <w:szCs w:val="20"/>
              </w:rPr>
              <w:t>or severe allergic reaction medications such as adrenaline,</w:t>
            </w:r>
            <w:r w:rsidR="006B1954">
              <w:rPr>
                <w:rFonts w:ascii="Arial" w:hAnsi="Arial" w:cs="Arial"/>
                <w:color w:val="000000"/>
                <w:sz w:val="20"/>
                <w:szCs w:val="20"/>
              </w:rPr>
              <w:t xml:space="preserve"> </w:t>
            </w:r>
            <w:r w:rsidRPr="00903549">
              <w:rPr>
                <w:rFonts w:ascii="Arial" w:hAnsi="Arial" w:cs="Arial"/>
                <w:color w:val="000000"/>
                <w:sz w:val="20"/>
                <w:szCs w:val="20"/>
              </w:rPr>
              <w:t>hydrocortisone or parenteral antihistamine, or</w:t>
            </w:r>
            <w:r>
              <w:rPr>
                <w:rFonts w:ascii="Arial" w:hAnsi="Arial" w:cs="Arial"/>
                <w:color w:val="000000"/>
                <w:sz w:val="20"/>
                <w:szCs w:val="20"/>
              </w:rPr>
              <w:t xml:space="preserve"> prolongation of </w:t>
            </w:r>
            <w:r w:rsidRPr="00903549">
              <w:rPr>
                <w:rFonts w:ascii="Arial" w:hAnsi="Arial" w:cs="Arial"/>
                <w:color w:val="000000"/>
                <w:sz w:val="20"/>
                <w:szCs w:val="20"/>
              </w:rPr>
              <w:t>hospitalisation (more than 1 day).</w:t>
            </w:r>
            <w:r w:rsidR="00592210">
              <w:rPr>
                <w:rFonts w:ascii="Arial" w:hAnsi="Arial" w:cs="Arial"/>
                <w:color w:val="000000"/>
                <w:sz w:val="20"/>
                <w:szCs w:val="20"/>
              </w:rPr>
              <w:t xml:space="preserve"> </w:t>
            </w:r>
            <w:r w:rsidR="006B1954">
              <w:rPr>
                <w:rFonts w:ascii="Arial" w:hAnsi="Arial" w:cs="Arial"/>
                <w:color w:val="000000"/>
                <w:sz w:val="20"/>
                <w:szCs w:val="20"/>
              </w:rPr>
              <w:t>D</w:t>
            </w:r>
            <w:r w:rsidR="00592210">
              <w:rPr>
                <w:rFonts w:ascii="Arial" w:hAnsi="Arial" w:cs="Arial"/>
                <w:color w:val="000000"/>
                <w:sz w:val="20"/>
                <w:szCs w:val="20"/>
              </w:rPr>
              <w:t xml:space="preserve">uring the week </w:t>
            </w:r>
            <w:r w:rsidR="006B1954">
              <w:rPr>
                <w:rFonts w:ascii="Arial" w:hAnsi="Arial" w:cs="Arial"/>
                <w:color w:val="000000"/>
                <w:sz w:val="20"/>
                <w:szCs w:val="20"/>
              </w:rPr>
              <w:t xml:space="preserve">post </w:t>
            </w:r>
            <w:r w:rsidR="00592210">
              <w:rPr>
                <w:rFonts w:ascii="Arial" w:hAnsi="Arial" w:cs="Arial"/>
                <w:color w:val="000000"/>
                <w:sz w:val="20"/>
                <w:szCs w:val="20"/>
              </w:rPr>
              <w:t>infusion</w:t>
            </w:r>
            <w:r w:rsidR="00C67621">
              <w:rPr>
                <w:rFonts w:ascii="Arial" w:hAnsi="Arial" w:cs="Arial"/>
                <w:color w:val="000000"/>
                <w:sz w:val="20"/>
                <w:szCs w:val="20"/>
              </w:rPr>
              <w:t>, adverse events will be graded as</w:t>
            </w:r>
            <w:r w:rsidR="006B1954">
              <w:rPr>
                <w:rFonts w:ascii="Arial" w:hAnsi="Arial" w:cs="Arial"/>
                <w:color w:val="000000"/>
                <w:sz w:val="20"/>
                <w:szCs w:val="20"/>
              </w:rPr>
              <w:t xml:space="preserve">: </w:t>
            </w:r>
            <w:r w:rsidR="00C67621">
              <w:rPr>
                <w:rFonts w:ascii="Arial" w:hAnsi="Arial" w:cs="Arial"/>
                <w:color w:val="000000"/>
                <w:sz w:val="20"/>
                <w:szCs w:val="20"/>
              </w:rPr>
              <w:t xml:space="preserve">mild for those not requiring </w:t>
            </w:r>
            <w:r w:rsidR="006B1954">
              <w:rPr>
                <w:rFonts w:ascii="Arial" w:hAnsi="Arial" w:cs="Arial"/>
                <w:color w:val="000000"/>
                <w:sz w:val="20"/>
                <w:szCs w:val="20"/>
              </w:rPr>
              <w:t xml:space="preserve">treatment; moderate </w:t>
            </w:r>
            <w:r w:rsidR="00C67621">
              <w:rPr>
                <w:rFonts w:ascii="Arial" w:hAnsi="Arial" w:cs="Arial"/>
                <w:color w:val="000000"/>
                <w:sz w:val="20"/>
                <w:szCs w:val="20"/>
              </w:rPr>
              <w:t>where minor treatment was required; and severe for those requiring attention of a local doctor or hospital presentation.</w:t>
            </w:r>
            <w:r w:rsidR="00592210">
              <w:rPr>
                <w:rFonts w:ascii="Arial" w:hAnsi="Arial" w:cs="Arial"/>
                <w:color w:val="000000"/>
                <w:sz w:val="20"/>
                <w:szCs w:val="20"/>
              </w:rPr>
              <w:t xml:space="preserve"> </w:t>
            </w:r>
          </w:p>
        </w:tc>
      </w:tr>
    </w:tbl>
    <w:p w14:paraId="5F15FA6C" w14:textId="77777777" w:rsidR="0089312D" w:rsidRPr="00BB73C0" w:rsidRDefault="0089312D" w:rsidP="0089312D">
      <w:pPr>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7868FE" w:rsidRPr="00BB73C0" w14:paraId="57377C17" w14:textId="77777777">
        <w:tc>
          <w:tcPr>
            <w:tcW w:w="540" w:type="dxa"/>
          </w:tcPr>
          <w:p w14:paraId="6934FA64" w14:textId="77777777" w:rsidR="007868FE" w:rsidRPr="00BB73C0" w:rsidRDefault="0089312D" w:rsidP="0089312D">
            <w:pPr>
              <w:spacing w:before="60" w:after="60"/>
              <w:jc w:val="both"/>
              <w:rPr>
                <w:rFonts w:ascii="Arial" w:hAnsi="Arial" w:cs="Arial"/>
                <w:sz w:val="20"/>
                <w:szCs w:val="20"/>
              </w:rPr>
            </w:pPr>
            <w:r w:rsidRPr="00BB73C0">
              <w:rPr>
                <w:rFonts w:ascii="Arial" w:hAnsi="Arial" w:cs="Arial"/>
                <w:sz w:val="20"/>
                <w:szCs w:val="20"/>
              </w:rPr>
              <w:t>6.6</w:t>
            </w:r>
          </w:p>
        </w:tc>
        <w:tc>
          <w:tcPr>
            <w:tcW w:w="9360" w:type="dxa"/>
            <w:tcBorders>
              <w:bottom w:val="single" w:sz="4" w:space="0" w:color="auto"/>
            </w:tcBorders>
          </w:tcPr>
          <w:p w14:paraId="3076C384" w14:textId="77777777" w:rsidR="007868FE" w:rsidRPr="00BB73C0" w:rsidRDefault="007868FE" w:rsidP="0089312D">
            <w:pPr>
              <w:spacing w:before="60" w:after="60"/>
              <w:jc w:val="both"/>
              <w:rPr>
                <w:rFonts w:ascii="Arial" w:hAnsi="Arial" w:cs="Arial"/>
                <w:sz w:val="20"/>
                <w:szCs w:val="20"/>
              </w:rPr>
            </w:pPr>
            <w:r w:rsidRPr="00BB73C0">
              <w:rPr>
                <w:rFonts w:ascii="Arial" w:hAnsi="Arial" w:cs="Arial"/>
                <w:sz w:val="20"/>
                <w:szCs w:val="20"/>
              </w:rPr>
              <w:t>Data Collection</w:t>
            </w:r>
            <w:r w:rsidR="009F4DD9" w:rsidRPr="00BB73C0">
              <w:rPr>
                <w:rFonts w:ascii="Arial" w:hAnsi="Arial" w:cs="Arial"/>
                <w:sz w:val="20"/>
                <w:szCs w:val="20"/>
              </w:rPr>
              <w:t xml:space="preserve"> *</w:t>
            </w:r>
          </w:p>
        </w:tc>
      </w:tr>
      <w:tr w:rsidR="007868FE" w:rsidRPr="00BB73C0" w14:paraId="6A62A478" w14:textId="77777777">
        <w:tc>
          <w:tcPr>
            <w:tcW w:w="540" w:type="dxa"/>
            <w:tcBorders>
              <w:right w:val="single" w:sz="4" w:space="0" w:color="auto"/>
            </w:tcBorders>
          </w:tcPr>
          <w:p w14:paraId="06A04FBB" w14:textId="77777777" w:rsidR="007868FE" w:rsidRPr="00BB73C0" w:rsidRDefault="007868FE" w:rsidP="0089312D">
            <w:pPr>
              <w:spacing w:before="60" w:after="60"/>
              <w:jc w:val="both"/>
              <w:rPr>
                <w:rFonts w:ascii="Arial" w:hAnsi="Arial" w:cs="Arial"/>
                <w:b/>
                <w:sz w:val="20"/>
                <w:szCs w:val="20"/>
              </w:rPr>
            </w:pPr>
          </w:p>
        </w:tc>
        <w:tc>
          <w:tcPr>
            <w:tcW w:w="9360" w:type="dxa"/>
            <w:tcBorders>
              <w:top w:val="single" w:sz="4" w:space="0" w:color="auto"/>
              <w:left w:val="single" w:sz="4" w:space="0" w:color="auto"/>
              <w:bottom w:val="single" w:sz="4" w:space="0" w:color="auto"/>
              <w:right w:val="single" w:sz="4" w:space="0" w:color="auto"/>
            </w:tcBorders>
          </w:tcPr>
          <w:p w14:paraId="079E5AF9" w14:textId="48E8106A" w:rsidR="006F6439" w:rsidRDefault="006E6445" w:rsidP="006F6439">
            <w:pPr>
              <w:pStyle w:val="Default"/>
              <w:spacing w:after="4"/>
              <w:jc w:val="both"/>
              <w:rPr>
                <w:sz w:val="20"/>
                <w:szCs w:val="20"/>
              </w:rPr>
            </w:pPr>
            <w:r>
              <w:rPr>
                <w:sz w:val="20"/>
                <w:szCs w:val="20"/>
              </w:rPr>
              <w:t>Investigators will collect data</w:t>
            </w:r>
            <w:r w:rsidR="00597C52">
              <w:rPr>
                <w:sz w:val="20"/>
                <w:szCs w:val="20"/>
              </w:rPr>
              <w:t xml:space="preserve"> from the patient’s history </w:t>
            </w:r>
            <w:r w:rsidR="000653A5">
              <w:rPr>
                <w:sz w:val="20"/>
                <w:szCs w:val="20"/>
              </w:rPr>
              <w:t>and</w:t>
            </w:r>
            <w:r w:rsidR="00D65EF1">
              <w:rPr>
                <w:sz w:val="20"/>
                <w:szCs w:val="20"/>
              </w:rPr>
              <w:t>/</w:t>
            </w:r>
            <w:r w:rsidR="00597C52">
              <w:rPr>
                <w:sz w:val="20"/>
                <w:szCs w:val="20"/>
              </w:rPr>
              <w:t>or</w:t>
            </w:r>
            <w:r>
              <w:rPr>
                <w:sz w:val="20"/>
                <w:szCs w:val="20"/>
              </w:rPr>
              <w:t xml:space="preserve"> digitised medical records (DMR)</w:t>
            </w:r>
            <w:r w:rsidR="00CC5D3A">
              <w:rPr>
                <w:sz w:val="20"/>
                <w:szCs w:val="20"/>
              </w:rPr>
              <w:t xml:space="preserve"> and</w:t>
            </w:r>
            <w:r>
              <w:rPr>
                <w:sz w:val="20"/>
                <w:szCs w:val="20"/>
              </w:rPr>
              <w:t xml:space="preserve"> the electronic medication management system (</w:t>
            </w:r>
            <w:proofErr w:type="spellStart"/>
            <w:r>
              <w:rPr>
                <w:sz w:val="20"/>
                <w:szCs w:val="20"/>
              </w:rPr>
              <w:t>CLOVeR</w:t>
            </w:r>
            <w:proofErr w:type="spellEnd"/>
            <w:r>
              <w:rPr>
                <w:sz w:val="20"/>
                <w:szCs w:val="20"/>
              </w:rPr>
              <w:t>)</w:t>
            </w:r>
            <w:r w:rsidR="00CC5D3A">
              <w:rPr>
                <w:sz w:val="20"/>
                <w:szCs w:val="20"/>
              </w:rPr>
              <w:t xml:space="preserve">. </w:t>
            </w:r>
            <w:r w:rsidR="0059760D" w:rsidRPr="0059760D">
              <w:rPr>
                <w:sz w:val="20"/>
                <w:szCs w:val="20"/>
              </w:rPr>
              <w:t>All data</w:t>
            </w:r>
            <w:r w:rsidR="00597C52">
              <w:rPr>
                <w:sz w:val="20"/>
                <w:szCs w:val="20"/>
              </w:rPr>
              <w:t xml:space="preserve"> will be recorded on data collection forms in a </w:t>
            </w:r>
            <w:r w:rsidR="0059760D" w:rsidRPr="0059760D">
              <w:rPr>
                <w:sz w:val="20"/>
                <w:szCs w:val="20"/>
              </w:rPr>
              <w:t>de-identified</w:t>
            </w:r>
            <w:r w:rsidR="00597C52">
              <w:rPr>
                <w:sz w:val="20"/>
                <w:szCs w:val="20"/>
              </w:rPr>
              <w:t xml:space="preserve"> manner</w:t>
            </w:r>
            <w:r w:rsidR="0059760D" w:rsidRPr="0059760D">
              <w:rPr>
                <w:sz w:val="20"/>
                <w:szCs w:val="20"/>
              </w:rPr>
              <w:t xml:space="preserve"> and include</w:t>
            </w:r>
            <w:r w:rsidR="006F6439">
              <w:rPr>
                <w:sz w:val="20"/>
                <w:szCs w:val="20"/>
              </w:rPr>
              <w:t>:</w:t>
            </w:r>
          </w:p>
          <w:p w14:paraId="43B3B783" w14:textId="0A77E312" w:rsidR="0015659D" w:rsidRDefault="0059760D" w:rsidP="006F6439">
            <w:pPr>
              <w:pStyle w:val="Default"/>
              <w:numPr>
                <w:ilvl w:val="0"/>
                <w:numId w:val="19"/>
              </w:numPr>
              <w:spacing w:after="4"/>
              <w:ind w:left="379"/>
              <w:jc w:val="both"/>
              <w:rPr>
                <w:sz w:val="20"/>
                <w:szCs w:val="20"/>
              </w:rPr>
            </w:pPr>
            <w:r w:rsidRPr="0059760D">
              <w:rPr>
                <w:sz w:val="20"/>
                <w:szCs w:val="20"/>
              </w:rPr>
              <w:t>patient demographics (age, gender, weight),</w:t>
            </w:r>
            <w:r w:rsidR="006F6439">
              <w:rPr>
                <w:sz w:val="20"/>
                <w:szCs w:val="20"/>
              </w:rPr>
              <w:t xml:space="preserve"> cause of iron deficiency (if known),</w:t>
            </w:r>
            <w:r w:rsidRPr="0059760D">
              <w:rPr>
                <w:sz w:val="20"/>
                <w:szCs w:val="20"/>
              </w:rPr>
              <w:t xml:space="preserve"> </w:t>
            </w:r>
            <w:r w:rsidR="001143DE" w:rsidRPr="001143DE">
              <w:rPr>
                <w:sz w:val="20"/>
                <w:szCs w:val="20"/>
              </w:rPr>
              <w:t>pre-infusion blood test results</w:t>
            </w:r>
            <w:r w:rsidR="00D52B74">
              <w:rPr>
                <w:sz w:val="20"/>
                <w:szCs w:val="20"/>
              </w:rPr>
              <w:t xml:space="preserve"> (FBE, Iron studies, SeCr, CRP),</w:t>
            </w:r>
            <w:r w:rsidR="001143DE" w:rsidRPr="0059760D">
              <w:rPr>
                <w:sz w:val="20"/>
                <w:szCs w:val="20"/>
              </w:rPr>
              <w:t xml:space="preserve"> </w:t>
            </w:r>
            <w:r w:rsidR="00D52B74">
              <w:rPr>
                <w:sz w:val="20"/>
                <w:szCs w:val="20"/>
              </w:rPr>
              <w:t xml:space="preserve">any recent blood transfusions in last 2 weeks (with number of units), </w:t>
            </w:r>
            <w:r w:rsidRPr="0059760D">
              <w:rPr>
                <w:sz w:val="20"/>
                <w:szCs w:val="20"/>
              </w:rPr>
              <w:t xml:space="preserve">comorbidities, preadmission medications, </w:t>
            </w:r>
            <w:r w:rsidR="006F6439">
              <w:rPr>
                <w:sz w:val="20"/>
                <w:szCs w:val="20"/>
              </w:rPr>
              <w:t xml:space="preserve">any </w:t>
            </w:r>
            <w:r w:rsidR="0015659D">
              <w:rPr>
                <w:sz w:val="20"/>
                <w:szCs w:val="20"/>
              </w:rPr>
              <w:t>pre-medications used,</w:t>
            </w:r>
            <w:r w:rsidR="001143DE" w:rsidRPr="001143DE">
              <w:rPr>
                <w:sz w:val="20"/>
                <w:szCs w:val="20"/>
              </w:rPr>
              <w:t xml:space="preserve"> </w:t>
            </w:r>
          </w:p>
          <w:p w14:paraId="108D3C74" w14:textId="6C5CF7E4" w:rsidR="001143DE" w:rsidRDefault="0059760D" w:rsidP="001143DE">
            <w:pPr>
              <w:pStyle w:val="Default"/>
              <w:numPr>
                <w:ilvl w:val="0"/>
                <w:numId w:val="19"/>
              </w:numPr>
              <w:spacing w:after="4"/>
              <w:ind w:left="379"/>
              <w:jc w:val="both"/>
              <w:rPr>
                <w:sz w:val="20"/>
                <w:szCs w:val="20"/>
              </w:rPr>
            </w:pPr>
            <w:r w:rsidRPr="0059760D">
              <w:rPr>
                <w:sz w:val="20"/>
                <w:szCs w:val="20"/>
              </w:rPr>
              <w:lastRenderedPageBreak/>
              <w:t>iron</w:t>
            </w:r>
            <w:r w:rsidR="006F6439">
              <w:rPr>
                <w:sz w:val="20"/>
                <w:szCs w:val="20"/>
              </w:rPr>
              <w:t xml:space="preserve"> polymaltose</w:t>
            </w:r>
            <w:r w:rsidRPr="0059760D">
              <w:rPr>
                <w:sz w:val="20"/>
                <w:szCs w:val="20"/>
              </w:rPr>
              <w:t xml:space="preserve"> dose and </w:t>
            </w:r>
            <w:r w:rsidR="006F6439">
              <w:rPr>
                <w:sz w:val="20"/>
                <w:szCs w:val="20"/>
              </w:rPr>
              <w:t xml:space="preserve">infusion </w:t>
            </w:r>
            <w:r w:rsidRPr="0059760D">
              <w:rPr>
                <w:sz w:val="20"/>
                <w:szCs w:val="20"/>
              </w:rPr>
              <w:t xml:space="preserve">rate, </w:t>
            </w:r>
            <w:r w:rsidR="0015659D">
              <w:rPr>
                <w:sz w:val="20"/>
                <w:szCs w:val="20"/>
              </w:rPr>
              <w:t>ris</w:t>
            </w:r>
            <w:r w:rsidR="0015659D" w:rsidRPr="0059760D">
              <w:rPr>
                <w:sz w:val="20"/>
                <w:szCs w:val="20"/>
              </w:rPr>
              <w:t>k factors for adverse effects</w:t>
            </w:r>
            <w:r w:rsidR="0015659D">
              <w:rPr>
                <w:sz w:val="20"/>
                <w:szCs w:val="20"/>
              </w:rPr>
              <w:t xml:space="preserve"> to </w:t>
            </w:r>
            <w:r w:rsidR="00593A53">
              <w:rPr>
                <w:sz w:val="20"/>
                <w:szCs w:val="20"/>
              </w:rPr>
              <w:t xml:space="preserve">iron </w:t>
            </w:r>
            <w:r w:rsidR="0015659D">
              <w:rPr>
                <w:sz w:val="20"/>
                <w:szCs w:val="20"/>
              </w:rPr>
              <w:t>(IBD, raised inflammatory markers, concurrent immunosuppression)</w:t>
            </w:r>
            <w:r w:rsidR="001143DE">
              <w:rPr>
                <w:sz w:val="20"/>
                <w:szCs w:val="20"/>
              </w:rPr>
              <w:t>,</w:t>
            </w:r>
          </w:p>
          <w:p w14:paraId="23A21276" w14:textId="55578A2C" w:rsidR="00B7291C" w:rsidRDefault="0059760D" w:rsidP="00D579D6">
            <w:pPr>
              <w:pStyle w:val="Default"/>
              <w:numPr>
                <w:ilvl w:val="0"/>
                <w:numId w:val="19"/>
              </w:numPr>
              <w:spacing w:after="4"/>
              <w:ind w:left="379"/>
              <w:jc w:val="both"/>
              <w:rPr>
                <w:sz w:val="20"/>
                <w:szCs w:val="20"/>
              </w:rPr>
            </w:pPr>
            <w:r w:rsidRPr="001143DE">
              <w:rPr>
                <w:sz w:val="20"/>
                <w:szCs w:val="20"/>
              </w:rPr>
              <w:t xml:space="preserve">any adverse effects </w:t>
            </w:r>
            <w:r w:rsidR="00D579D6">
              <w:rPr>
                <w:sz w:val="20"/>
                <w:szCs w:val="20"/>
              </w:rPr>
              <w:t>observed during the monitoring period</w:t>
            </w:r>
            <w:r w:rsidRPr="001143DE">
              <w:rPr>
                <w:sz w:val="20"/>
                <w:szCs w:val="20"/>
              </w:rPr>
              <w:t>, any treatments of adverse effect</w:t>
            </w:r>
            <w:r w:rsidR="001143DE">
              <w:rPr>
                <w:sz w:val="20"/>
                <w:szCs w:val="20"/>
              </w:rPr>
              <w:t>s</w:t>
            </w:r>
            <w:r w:rsidRPr="001143DE">
              <w:rPr>
                <w:sz w:val="20"/>
                <w:szCs w:val="20"/>
              </w:rPr>
              <w:t xml:space="preserve"> to the iron infusions</w:t>
            </w:r>
            <w:r w:rsidR="00D52B74">
              <w:rPr>
                <w:sz w:val="20"/>
                <w:szCs w:val="20"/>
              </w:rPr>
              <w:t>, any adjustments made to infusion rates or whether they required cessation +/- restarting.</w:t>
            </w:r>
          </w:p>
          <w:p w14:paraId="68FA6E34" w14:textId="1A5CA0A4" w:rsidR="00334973" w:rsidRPr="006C5BEB" w:rsidRDefault="00E621DD">
            <w:pPr>
              <w:pStyle w:val="Default"/>
              <w:numPr>
                <w:ilvl w:val="0"/>
                <w:numId w:val="19"/>
              </w:numPr>
              <w:spacing w:after="4"/>
              <w:ind w:left="379"/>
              <w:jc w:val="both"/>
              <w:rPr>
                <w:sz w:val="20"/>
                <w:szCs w:val="20"/>
              </w:rPr>
            </w:pPr>
            <w:r>
              <w:rPr>
                <w:sz w:val="20"/>
                <w:szCs w:val="20"/>
              </w:rPr>
              <w:t>a</w:t>
            </w:r>
            <w:r w:rsidR="00334973">
              <w:rPr>
                <w:sz w:val="20"/>
                <w:szCs w:val="20"/>
              </w:rPr>
              <w:t xml:space="preserve">dverse events during the week after infusion administration, and their severity as per </w:t>
            </w:r>
            <w:r w:rsidR="00593A53">
              <w:rPr>
                <w:sz w:val="20"/>
                <w:szCs w:val="20"/>
              </w:rPr>
              <w:t xml:space="preserve">direct </w:t>
            </w:r>
            <w:r w:rsidR="00334973">
              <w:rPr>
                <w:sz w:val="20"/>
                <w:szCs w:val="20"/>
              </w:rPr>
              <w:t>patient f</w:t>
            </w:r>
            <w:r>
              <w:rPr>
                <w:sz w:val="20"/>
                <w:szCs w:val="20"/>
              </w:rPr>
              <w:t>ollow-</w:t>
            </w:r>
            <w:r w:rsidR="00334973">
              <w:rPr>
                <w:sz w:val="20"/>
                <w:szCs w:val="20"/>
              </w:rPr>
              <w:t>up.</w:t>
            </w:r>
          </w:p>
        </w:tc>
      </w:tr>
    </w:tbl>
    <w:p w14:paraId="654C78CB" w14:textId="6093F920" w:rsidR="007868FE" w:rsidRPr="00BB73C0" w:rsidRDefault="007868FE"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41A33C56" w14:textId="77777777">
        <w:tc>
          <w:tcPr>
            <w:tcW w:w="540" w:type="dxa"/>
          </w:tcPr>
          <w:p w14:paraId="41C2DE7C" w14:textId="77777777" w:rsidR="0089312D" w:rsidRPr="00BB73C0" w:rsidRDefault="0089312D" w:rsidP="0089312D">
            <w:pPr>
              <w:spacing w:before="60" w:after="60"/>
              <w:jc w:val="both"/>
              <w:rPr>
                <w:rFonts w:ascii="Arial" w:hAnsi="Arial" w:cs="Arial"/>
                <w:sz w:val="20"/>
                <w:szCs w:val="20"/>
              </w:rPr>
            </w:pPr>
            <w:r w:rsidRPr="00BB73C0">
              <w:rPr>
                <w:rFonts w:ascii="Arial" w:hAnsi="Arial" w:cs="Arial"/>
                <w:sz w:val="20"/>
                <w:szCs w:val="20"/>
              </w:rPr>
              <w:t>6.7</w:t>
            </w:r>
          </w:p>
        </w:tc>
        <w:tc>
          <w:tcPr>
            <w:tcW w:w="9360" w:type="dxa"/>
            <w:tcBorders>
              <w:bottom w:val="single" w:sz="4" w:space="0" w:color="auto"/>
            </w:tcBorders>
          </w:tcPr>
          <w:p w14:paraId="6BDE139C" w14:textId="77777777" w:rsidR="0089312D" w:rsidRPr="00BB73C0" w:rsidRDefault="0089312D" w:rsidP="00BB73C0">
            <w:pPr>
              <w:spacing w:before="60" w:after="60"/>
              <w:jc w:val="both"/>
              <w:rPr>
                <w:rFonts w:ascii="Arial" w:hAnsi="Arial" w:cs="Arial"/>
                <w:sz w:val="20"/>
                <w:szCs w:val="20"/>
              </w:rPr>
            </w:pPr>
            <w:r w:rsidRPr="00BB73C0">
              <w:rPr>
                <w:rFonts w:ascii="Arial" w:hAnsi="Arial" w:cs="Arial"/>
                <w:sz w:val="20"/>
                <w:szCs w:val="20"/>
              </w:rPr>
              <w:t xml:space="preserve">Expected Duration of trial and start times </w:t>
            </w:r>
          </w:p>
        </w:tc>
      </w:tr>
      <w:tr w:rsidR="0089312D" w:rsidRPr="00BB73C0" w14:paraId="5E82CDA3" w14:textId="77777777">
        <w:tc>
          <w:tcPr>
            <w:tcW w:w="540" w:type="dxa"/>
            <w:tcBorders>
              <w:right w:val="single" w:sz="4" w:space="0" w:color="auto"/>
            </w:tcBorders>
          </w:tcPr>
          <w:p w14:paraId="2E4E820A" w14:textId="77777777" w:rsidR="0089312D" w:rsidRPr="00A50C91" w:rsidRDefault="0089312D" w:rsidP="0089312D">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0E5FD015" w14:textId="4A863232" w:rsidR="00964F85" w:rsidRPr="00964F85" w:rsidRDefault="00964F85" w:rsidP="00964F85">
            <w:pPr>
              <w:pStyle w:val="ListParagraph"/>
              <w:numPr>
                <w:ilvl w:val="0"/>
                <w:numId w:val="16"/>
              </w:numPr>
              <w:spacing w:before="60" w:after="60"/>
              <w:jc w:val="both"/>
              <w:rPr>
                <w:rFonts w:ascii="Arial" w:hAnsi="Arial" w:cs="Arial"/>
                <w:sz w:val="20"/>
                <w:szCs w:val="20"/>
              </w:rPr>
            </w:pPr>
            <w:r w:rsidRPr="00964F85">
              <w:rPr>
                <w:rFonts w:ascii="Arial" w:hAnsi="Arial" w:cs="Arial"/>
                <w:sz w:val="20"/>
                <w:szCs w:val="20"/>
              </w:rPr>
              <w:t xml:space="preserve">Human Research Ethic Committee (HREC) review </w:t>
            </w:r>
            <w:r w:rsidR="006D428D">
              <w:rPr>
                <w:rFonts w:ascii="Arial" w:hAnsi="Arial" w:cs="Arial"/>
                <w:sz w:val="20"/>
                <w:szCs w:val="20"/>
              </w:rPr>
              <w:t xml:space="preserve">– estimated time of </w:t>
            </w:r>
            <w:r w:rsidR="00552140">
              <w:rPr>
                <w:rFonts w:ascii="Arial" w:hAnsi="Arial" w:cs="Arial"/>
                <w:sz w:val="20"/>
                <w:szCs w:val="20"/>
              </w:rPr>
              <w:t>4</w:t>
            </w:r>
            <w:r w:rsidR="006D428D">
              <w:rPr>
                <w:rFonts w:ascii="Arial" w:hAnsi="Arial" w:cs="Arial"/>
                <w:sz w:val="20"/>
                <w:szCs w:val="20"/>
              </w:rPr>
              <w:t xml:space="preserve"> months.</w:t>
            </w:r>
          </w:p>
          <w:p w14:paraId="0CBE66DC" w14:textId="3597650A" w:rsidR="00964F85" w:rsidRPr="00964F85" w:rsidRDefault="003345E7"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Expected trial period is 12-18</w:t>
            </w:r>
            <w:r w:rsidR="00D65EF1">
              <w:rPr>
                <w:rFonts w:ascii="Arial" w:hAnsi="Arial" w:cs="Arial"/>
                <w:sz w:val="20"/>
                <w:szCs w:val="20"/>
              </w:rPr>
              <w:t xml:space="preserve"> </w:t>
            </w:r>
            <w:r w:rsidR="006D428D">
              <w:rPr>
                <w:rFonts w:ascii="Arial" w:hAnsi="Arial" w:cs="Arial"/>
                <w:sz w:val="20"/>
                <w:szCs w:val="20"/>
              </w:rPr>
              <w:t>month</w:t>
            </w:r>
            <w:r w:rsidR="00D65EF1">
              <w:rPr>
                <w:rFonts w:ascii="Arial" w:hAnsi="Arial" w:cs="Arial"/>
                <w:sz w:val="20"/>
                <w:szCs w:val="20"/>
              </w:rPr>
              <w:t>s</w:t>
            </w:r>
            <w:r w:rsidR="006D428D">
              <w:rPr>
                <w:rFonts w:ascii="Arial" w:hAnsi="Arial" w:cs="Arial"/>
                <w:sz w:val="20"/>
                <w:szCs w:val="20"/>
              </w:rPr>
              <w:t xml:space="preserve"> based on current rates of iron infusions prepared at the Pharmacy Department, permitting for pa</w:t>
            </w:r>
            <w:r>
              <w:rPr>
                <w:rFonts w:ascii="Arial" w:hAnsi="Arial" w:cs="Arial"/>
                <w:sz w:val="20"/>
                <w:szCs w:val="20"/>
              </w:rPr>
              <w:t>tients declining to participate</w:t>
            </w:r>
            <w:r w:rsidR="006D428D">
              <w:rPr>
                <w:rFonts w:ascii="Arial" w:hAnsi="Arial" w:cs="Arial"/>
                <w:sz w:val="20"/>
                <w:szCs w:val="20"/>
              </w:rPr>
              <w:t xml:space="preserve">.  </w:t>
            </w:r>
            <w:r w:rsidR="00964F85" w:rsidRPr="00964F85">
              <w:rPr>
                <w:rFonts w:ascii="Arial" w:hAnsi="Arial" w:cs="Arial"/>
                <w:sz w:val="20"/>
                <w:szCs w:val="20"/>
              </w:rPr>
              <w:t xml:space="preserve"> </w:t>
            </w:r>
          </w:p>
          <w:p w14:paraId="5B0EAF4D" w14:textId="130BB787" w:rsidR="006D428D" w:rsidRDefault="006D428D"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Interim safety data analysis aft</w:t>
            </w:r>
            <w:r w:rsidR="003345E7">
              <w:rPr>
                <w:rFonts w:ascii="Arial" w:hAnsi="Arial" w:cs="Arial"/>
                <w:sz w:val="20"/>
                <w:szCs w:val="20"/>
              </w:rPr>
              <w:t>er the first 5</w:t>
            </w:r>
            <w:r>
              <w:rPr>
                <w:rFonts w:ascii="Arial" w:hAnsi="Arial" w:cs="Arial"/>
                <w:sz w:val="20"/>
                <w:szCs w:val="20"/>
              </w:rPr>
              <w:t>0 patients will be conducted</w:t>
            </w:r>
            <w:r w:rsidR="003345E7">
              <w:rPr>
                <w:rFonts w:ascii="Arial" w:hAnsi="Arial" w:cs="Arial"/>
                <w:sz w:val="20"/>
                <w:szCs w:val="20"/>
              </w:rPr>
              <w:t xml:space="preserve"> before further study progress</w:t>
            </w:r>
            <w:r>
              <w:rPr>
                <w:rFonts w:ascii="Arial" w:hAnsi="Arial" w:cs="Arial"/>
                <w:sz w:val="20"/>
                <w:szCs w:val="20"/>
              </w:rPr>
              <w:t>.</w:t>
            </w:r>
            <w:r w:rsidR="003345E7">
              <w:rPr>
                <w:rFonts w:ascii="Arial" w:hAnsi="Arial" w:cs="Arial"/>
                <w:sz w:val="20"/>
                <w:szCs w:val="20"/>
              </w:rPr>
              <w:t xml:space="preserve"> Results </w:t>
            </w:r>
            <w:r w:rsidR="00593A53">
              <w:rPr>
                <w:rFonts w:ascii="Arial" w:hAnsi="Arial" w:cs="Arial"/>
                <w:sz w:val="20"/>
                <w:szCs w:val="20"/>
              </w:rPr>
              <w:t>to be</w:t>
            </w:r>
            <w:r w:rsidR="003345E7">
              <w:rPr>
                <w:rFonts w:ascii="Arial" w:hAnsi="Arial" w:cs="Arial"/>
                <w:sz w:val="20"/>
                <w:szCs w:val="20"/>
              </w:rPr>
              <w:t xml:space="preserve"> compared to previous rapid and standard infusion adverse event rates as well as severities of adverse events.</w:t>
            </w:r>
          </w:p>
          <w:p w14:paraId="3E6C5783" w14:textId="39053E9E" w:rsidR="00964F85" w:rsidRDefault="00593A53"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S</w:t>
            </w:r>
            <w:r w:rsidR="00964F85">
              <w:rPr>
                <w:rFonts w:ascii="Arial" w:hAnsi="Arial" w:cs="Arial"/>
                <w:sz w:val="20"/>
                <w:szCs w:val="20"/>
              </w:rPr>
              <w:t xml:space="preserve">tudy data collection, </w:t>
            </w:r>
            <w:r w:rsidR="00964F85" w:rsidRPr="00964F85">
              <w:rPr>
                <w:rFonts w:ascii="Arial" w:hAnsi="Arial" w:cs="Arial"/>
                <w:sz w:val="20"/>
                <w:szCs w:val="20"/>
              </w:rPr>
              <w:t>analysis</w:t>
            </w:r>
            <w:r>
              <w:rPr>
                <w:rFonts w:ascii="Arial" w:hAnsi="Arial" w:cs="Arial"/>
                <w:sz w:val="20"/>
                <w:szCs w:val="20"/>
              </w:rPr>
              <w:t xml:space="preserve"> – </w:t>
            </w:r>
            <w:r w:rsidR="000F13AF">
              <w:rPr>
                <w:rFonts w:ascii="Arial" w:hAnsi="Arial" w:cs="Arial"/>
                <w:sz w:val="20"/>
                <w:szCs w:val="20"/>
              </w:rPr>
              <w:t>2</w:t>
            </w:r>
            <w:r w:rsidR="006D428D">
              <w:rPr>
                <w:rFonts w:ascii="Arial" w:hAnsi="Arial" w:cs="Arial"/>
                <w:sz w:val="20"/>
                <w:szCs w:val="20"/>
              </w:rPr>
              <w:t xml:space="preserve"> month</w:t>
            </w:r>
            <w:r w:rsidR="000F13AF">
              <w:rPr>
                <w:rFonts w:ascii="Arial" w:hAnsi="Arial" w:cs="Arial"/>
                <w:sz w:val="20"/>
                <w:szCs w:val="20"/>
              </w:rPr>
              <w:t>s.</w:t>
            </w:r>
          </w:p>
          <w:p w14:paraId="0462BD8E" w14:textId="5D0AB8D6" w:rsidR="006D428D" w:rsidRDefault="006D428D" w:rsidP="00964F85">
            <w:pPr>
              <w:pStyle w:val="ListParagraph"/>
              <w:numPr>
                <w:ilvl w:val="0"/>
                <w:numId w:val="16"/>
              </w:numPr>
              <w:spacing w:before="60" w:after="60"/>
              <w:jc w:val="both"/>
              <w:rPr>
                <w:rFonts w:ascii="Arial" w:hAnsi="Arial" w:cs="Arial"/>
                <w:sz w:val="20"/>
                <w:szCs w:val="20"/>
              </w:rPr>
            </w:pPr>
            <w:r>
              <w:rPr>
                <w:rFonts w:ascii="Arial" w:hAnsi="Arial" w:cs="Arial"/>
                <w:sz w:val="20"/>
                <w:szCs w:val="20"/>
              </w:rPr>
              <w:t>Study results write up</w:t>
            </w:r>
            <w:r w:rsidR="00593A53">
              <w:rPr>
                <w:rFonts w:ascii="Arial" w:hAnsi="Arial" w:cs="Arial"/>
                <w:sz w:val="20"/>
                <w:szCs w:val="20"/>
              </w:rPr>
              <w:t xml:space="preserve"> – </w:t>
            </w:r>
            <w:r>
              <w:rPr>
                <w:rFonts w:ascii="Arial" w:hAnsi="Arial" w:cs="Arial"/>
                <w:sz w:val="20"/>
                <w:szCs w:val="20"/>
              </w:rPr>
              <w:t>2 months.</w:t>
            </w:r>
          </w:p>
          <w:p w14:paraId="14DF8876" w14:textId="5D254278" w:rsidR="00964F85" w:rsidRPr="00964F85" w:rsidRDefault="00964F85">
            <w:pPr>
              <w:pStyle w:val="ListParagraph"/>
              <w:numPr>
                <w:ilvl w:val="0"/>
                <w:numId w:val="16"/>
              </w:numPr>
              <w:spacing w:before="60" w:after="60"/>
              <w:jc w:val="both"/>
              <w:rPr>
                <w:rFonts w:ascii="Arial" w:hAnsi="Arial" w:cs="Arial"/>
                <w:sz w:val="20"/>
                <w:szCs w:val="20"/>
              </w:rPr>
            </w:pPr>
            <w:r w:rsidRPr="00964F85">
              <w:rPr>
                <w:rFonts w:ascii="Arial" w:hAnsi="Arial" w:cs="Arial"/>
                <w:sz w:val="20"/>
                <w:szCs w:val="20"/>
              </w:rPr>
              <w:t>The results will be submitted to HREC and Drugs and Therapeutics Committee</w:t>
            </w:r>
            <w:r w:rsidR="006D428D">
              <w:rPr>
                <w:rFonts w:ascii="Arial" w:hAnsi="Arial" w:cs="Arial"/>
                <w:sz w:val="20"/>
                <w:szCs w:val="20"/>
              </w:rPr>
              <w:t xml:space="preserve"> and</w:t>
            </w:r>
            <w:r w:rsidR="00593A53">
              <w:rPr>
                <w:rFonts w:ascii="Arial" w:hAnsi="Arial" w:cs="Arial"/>
                <w:sz w:val="20"/>
                <w:szCs w:val="20"/>
              </w:rPr>
              <w:t>,</w:t>
            </w:r>
            <w:r w:rsidR="006D428D">
              <w:rPr>
                <w:rFonts w:ascii="Arial" w:hAnsi="Arial" w:cs="Arial"/>
                <w:sz w:val="20"/>
                <w:szCs w:val="20"/>
              </w:rPr>
              <w:t xml:space="preserve"> if considered significant</w:t>
            </w:r>
            <w:r w:rsidR="00593A53">
              <w:rPr>
                <w:rFonts w:ascii="Arial" w:hAnsi="Arial" w:cs="Arial"/>
                <w:sz w:val="20"/>
                <w:szCs w:val="20"/>
              </w:rPr>
              <w:t>,</w:t>
            </w:r>
            <w:r w:rsidR="006D428D">
              <w:rPr>
                <w:rFonts w:ascii="Arial" w:hAnsi="Arial" w:cs="Arial"/>
                <w:sz w:val="20"/>
                <w:szCs w:val="20"/>
              </w:rPr>
              <w:t xml:space="preserve"> submitted to a medical or pharmaceutical journal for publication</w:t>
            </w:r>
            <w:r w:rsidRPr="00964F85">
              <w:rPr>
                <w:rFonts w:ascii="Arial" w:hAnsi="Arial" w:cs="Arial"/>
                <w:sz w:val="20"/>
                <w:szCs w:val="20"/>
              </w:rPr>
              <w:t>.</w:t>
            </w:r>
          </w:p>
        </w:tc>
      </w:tr>
    </w:tbl>
    <w:p w14:paraId="5B17DDF3"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4329ECC7" w14:textId="77777777">
        <w:tc>
          <w:tcPr>
            <w:tcW w:w="540" w:type="dxa"/>
          </w:tcPr>
          <w:p w14:paraId="3DAA9728" w14:textId="77777777" w:rsidR="0089312D" w:rsidRPr="00BB73C0" w:rsidRDefault="0089312D" w:rsidP="009F4DD9">
            <w:pPr>
              <w:spacing w:before="60" w:after="60"/>
              <w:jc w:val="both"/>
              <w:rPr>
                <w:rFonts w:ascii="Arial" w:hAnsi="Arial" w:cs="Arial"/>
                <w:sz w:val="20"/>
                <w:szCs w:val="20"/>
              </w:rPr>
            </w:pPr>
            <w:r w:rsidRPr="00BB73C0">
              <w:rPr>
                <w:rFonts w:ascii="Arial" w:hAnsi="Arial" w:cs="Arial"/>
                <w:sz w:val="20"/>
                <w:szCs w:val="20"/>
              </w:rPr>
              <w:t>6.8</w:t>
            </w:r>
          </w:p>
        </w:tc>
        <w:tc>
          <w:tcPr>
            <w:tcW w:w="9360" w:type="dxa"/>
            <w:tcBorders>
              <w:bottom w:val="single" w:sz="4" w:space="0" w:color="auto"/>
            </w:tcBorders>
          </w:tcPr>
          <w:p w14:paraId="5475B83D" w14:textId="77777777" w:rsidR="0089312D" w:rsidRPr="00BB73C0" w:rsidRDefault="0089312D" w:rsidP="009F4DD9">
            <w:pPr>
              <w:spacing w:before="60" w:after="60"/>
              <w:jc w:val="both"/>
              <w:rPr>
                <w:rFonts w:ascii="Arial" w:hAnsi="Arial" w:cs="Arial"/>
                <w:sz w:val="20"/>
                <w:szCs w:val="20"/>
              </w:rPr>
            </w:pPr>
            <w:r w:rsidRPr="00BB73C0">
              <w:rPr>
                <w:rFonts w:ascii="Arial" w:hAnsi="Arial" w:cs="Arial"/>
                <w:sz w:val="20"/>
                <w:szCs w:val="20"/>
              </w:rPr>
              <w:t xml:space="preserve">Participant withdrawal </w:t>
            </w:r>
          </w:p>
        </w:tc>
      </w:tr>
      <w:tr w:rsidR="0089312D" w:rsidRPr="00BB73C0" w14:paraId="6995C4DF" w14:textId="77777777">
        <w:tc>
          <w:tcPr>
            <w:tcW w:w="540" w:type="dxa"/>
            <w:tcBorders>
              <w:right w:val="single" w:sz="4" w:space="0" w:color="auto"/>
            </w:tcBorders>
          </w:tcPr>
          <w:p w14:paraId="3A6D685C"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21CDA73E" w14:textId="1A8E1310" w:rsidR="005D7D59" w:rsidRPr="00990C8A" w:rsidRDefault="005D7D59" w:rsidP="006334C2">
            <w:pPr>
              <w:pStyle w:val="Default"/>
              <w:jc w:val="both"/>
              <w:rPr>
                <w:sz w:val="20"/>
                <w:szCs w:val="20"/>
                <w:lang w:val="en"/>
              </w:rPr>
            </w:pPr>
            <w:r>
              <w:rPr>
                <w:sz w:val="20"/>
                <w:szCs w:val="20"/>
                <w:lang w:val="en"/>
              </w:rPr>
              <w:t xml:space="preserve">Participants may </w:t>
            </w:r>
            <w:r w:rsidR="00153067">
              <w:rPr>
                <w:sz w:val="20"/>
                <w:szCs w:val="20"/>
                <w:lang w:val="en"/>
              </w:rPr>
              <w:t xml:space="preserve">choose to withdraw their consent at any time, they must inform </w:t>
            </w:r>
            <w:r w:rsidR="004F2E57">
              <w:rPr>
                <w:sz w:val="20"/>
                <w:szCs w:val="20"/>
                <w:lang w:val="en"/>
              </w:rPr>
              <w:t xml:space="preserve">a member of </w:t>
            </w:r>
            <w:r w:rsidR="00153067">
              <w:rPr>
                <w:sz w:val="20"/>
                <w:szCs w:val="20"/>
                <w:lang w:val="en"/>
              </w:rPr>
              <w:t>the research team</w:t>
            </w:r>
            <w:r w:rsidR="000D2718">
              <w:rPr>
                <w:sz w:val="20"/>
                <w:szCs w:val="20"/>
                <w:lang w:val="en"/>
              </w:rPr>
              <w:t xml:space="preserve"> </w:t>
            </w:r>
            <w:r w:rsidR="00990C8A" w:rsidRPr="00990C8A">
              <w:rPr>
                <w:sz w:val="20"/>
                <w:szCs w:val="20"/>
                <w:lang w:val="en"/>
              </w:rPr>
              <w:t>who will</w:t>
            </w:r>
            <w:r w:rsidR="004F2E57">
              <w:rPr>
                <w:sz w:val="20"/>
                <w:szCs w:val="20"/>
                <w:lang w:val="en"/>
              </w:rPr>
              <w:t xml:space="preserve"> be available</w:t>
            </w:r>
            <w:r w:rsidR="00416D50">
              <w:rPr>
                <w:sz w:val="20"/>
                <w:szCs w:val="20"/>
                <w:lang w:val="en"/>
              </w:rPr>
              <w:t xml:space="preserve"> before and after</w:t>
            </w:r>
            <w:r w:rsidR="004F2E57">
              <w:rPr>
                <w:sz w:val="20"/>
                <w:szCs w:val="20"/>
                <w:lang w:val="en"/>
              </w:rPr>
              <w:t xml:space="preserve"> the iron infusion</w:t>
            </w:r>
            <w:r w:rsidR="00416D50">
              <w:rPr>
                <w:sz w:val="20"/>
                <w:szCs w:val="20"/>
                <w:lang w:val="en"/>
              </w:rPr>
              <w:t>, as well contactable via phone at individual participating sites</w:t>
            </w:r>
            <w:r w:rsidR="004F2E57">
              <w:rPr>
                <w:sz w:val="20"/>
                <w:szCs w:val="20"/>
                <w:lang w:val="en"/>
              </w:rPr>
              <w:t>.</w:t>
            </w:r>
            <w:r w:rsidR="003E2271">
              <w:rPr>
                <w:sz w:val="20"/>
                <w:szCs w:val="20"/>
                <w:lang w:val="en"/>
              </w:rPr>
              <w:t xml:space="preserve"> </w:t>
            </w:r>
          </w:p>
        </w:tc>
      </w:tr>
    </w:tbl>
    <w:p w14:paraId="31AE8690" w14:textId="73E9EAA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89312D" w:rsidRPr="00BB73C0" w14:paraId="4C3B3CF7" w14:textId="77777777">
        <w:tc>
          <w:tcPr>
            <w:tcW w:w="540" w:type="dxa"/>
          </w:tcPr>
          <w:p w14:paraId="0F6D1D34"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7.</w:t>
            </w:r>
          </w:p>
        </w:tc>
        <w:tc>
          <w:tcPr>
            <w:tcW w:w="9360" w:type="dxa"/>
            <w:tcBorders>
              <w:bottom w:val="single" w:sz="4" w:space="0" w:color="auto"/>
            </w:tcBorders>
          </w:tcPr>
          <w:p w14:paraId="68061407"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Data Management</w:t>
            </w:r>
            <w:r w:rsidR="009F4DD9" w:rsidRPr="00BB73C0">
              <w:rPr>
                <w:rFonts w:ascii="Arial" w:hAnsi="Arial" w:cs="Arial"/>
                <w:b/>
                <w:sz w:val="20"/>
                <w:szCs w:val="20"/>
              </w:rPr>
              <w:t xml:space="preserve"> *</w:t>
            </w:r>
          </w:p>
        </w:tc>
      </w:tr>
      <w:tr w:rsidR="009F4DD9" w:rsidRPr="00BB73C0" w14:paraId="7C13CC7F" w14:textId="77777777">
        <w:tc>
          <w:tcPr>
            <w:tcW w:w="540" w:type="dxa"/>
            <w:tcBorders>
              <w:right w:val="single" w:sz="4" w:space="0" w:color="auto"/>
            </w:tcBorders>
          </w:tcPr>
          <w:p w14:paraId="179EA334"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6E42008A" w14:textId="3B242C86" w:rsidR="007E31C6" w:rsidRDefault="007E31C6" w:rsidP="007227D9">
            <w:pPr>
              <w:pStyle w:val="Default"/>
              <w:rPr>
                <w:sz w:val="20"/>
                <w:szCs w:val="20"/>
              </w:rPr>
            </w:pPr>
            <w:r>
              <w:rPr>
                <w:sz w:val="20"/>
                <w:szCs w:val="20"/>
              </w:rPr>
              <w:t xml:space="preserve">All data </w:t>
            </w:r>
            <w:r w:rsidR="00927514">
              <w:rPr>
                <w:sz w:val="20"/>
                <w:szCs w:val="20"/>
              </w:rPr>
              <w:t xml:space="preserve">will be de-identified at </w:t>
            </w:r>
            <w:r w:rsidR="006334C2">
              <w:rPr>
                <w:sz w:val="20"/>
                <w:szCs w:val="20"/>
              </w:rPr>
              <w:t xml:space="preserve">the </w:t>
            </w:r>
            <w:r w:rsidR="00927514">
              <w:rPr>
                <w:sz w:val="20"/>
                <w:szCs w:val="20"/>
              </w:rPr>
              <w:t>time of data entry</w:t>
            </w:r>
            <w:r>
              <w:rPr>
                <w:sz w:val="20"/>
                <w:szCs w:val="20"/>
              </w:rPr>
              <w:t xml:space="preserve"> on data collection forms</w:t>
            </w:r>
            <w:r w:rsidR="00927514">
              <w:rPr>
                <w:sz w:val="20"/>
                <w:szCs w:val="20"/>
              </w:rPr>
              <w:t>.</w:t>
            </w:r>
            <w:r>
              <w:rPr>
                <w:sz w:val="20"/>
                <w:szCs w:val="20"/>
              </w:rPr>
              <w:t xml:space="preserve"> </w:t>
            </w:r>
          </w:p>
          <w:p w14:paraId="6E653C0B" w14:textId="54F5B43E" w:rsidR="002A0F0A" w:rsidRDefault="007E31C6" w:rsidP="002A0F0A">
            <w:pPr>
              <w:pStyle w:val="Default"/>
              <w:jc w:val="both"/>
              <w:rPr>
                <w:sz w:val="20"/>
                <w:szCs w:val="20"/>
              </w:rPr>
            </w:pPr>
            <w:r>
              <w:rPr>
                <w:sz w:val="20"/>
                <w:szCs w:val="20"/>
              </w:rPr>
              <w:t xml:space="preserve">Hard copies of data collections forms, consent forms and withdrawal of participation forms will be stored </w:t>
            </w:r>
            <w:r w:rsidR="006334C2">
              <w:rPr>
                <w:sz w:val="20"/>
                <w:szCs w:val="20"/>
              </w:rPr>
              <w:t>at</w:t>
            </w:r>
            <w:r>
              <w:rPr>
                <w:sz w:val="20"/>
                <w:szCs w:val="20"/>
              </w:rPr>
              <w:t xml:space="preserve"> the </w:t>
            </w:r>
            <w:r w:rsidR="006334C2">
              <w:rPr>
                <w:sz w:val="20"/>
                <w:szCs w:val="20"/>
              </w:rPr>
              <w:t>P</w:t>
            </w:r>
            <w:r>
              <w:rPr>
                <w:sz w:val="20"/>
                <w:szCs w:val="20"/>
              </w:rPr>
              <w:t xml:space="preserve">harmacy </w:t>
            </w:r>
            <w:r w:rsidR="006334C2">
              <w:rPr>
                <w:sz w:val="20"/>
                <w:szCs w:val="20"/>
              </w:rPr>
              <w:t>D</w:t>
            </w:r>
            <w:r>
              <w:rPr>
                <w:sz w:val="20"/>
                <w:szCs w:val="20"/>
              </w:rPr>
              <w:t>epartment</w:t>
            </w:r>
            <w:r w:rsidR="003441C8">
              <w:rPr>
                <w:sz w:val="20"/>
                <w:szCs w:val="20"/>
              </w:rPr>
              <w:t xml:space="preserve"> </w:t>
            </w:r>
            <w:r>
              <w:rPr>
                <w:sz w:val="20"/>
                <w:szCs w:val="20"/>
              </w:rPr>
              <w:t xml:space="preserve">for </w:t>
            </w:r>
            <w:r w:rsidR="006334C2">
              <w:rPr>
                <w:sz w:val="20"/>
                <w:szCs w:val="20"/>
              </w:rPr>
              <w:t>7</w:t>
            </w:r>
            <w:r>
              <w:rPr>
                <w:sz w:val="20"/>
                <w:szCs w:val="20"/>
              </w:rPr>
              <w:t xml:space="preserve"> years, accessible only by the investigat</w:t>
            </w:r>
            <w:r w:rsidR="002A0F0A">
              <w:rPr>
                <w:sz w:val="20"/>
                <w:szCs w:val="20"/>
              </w:rPr>
              <w:t>ing team</w:t>
            </w:r>
            <w:r>
              <w:rPr>
                <w:sz w:val="20"/>
                <w:szCs w:val="20"/>
              </w:rPr>
              <w:t>.</w:t>
            </w:r>
            <w:r w:rsidR="002A0F0A">
              <w:rPr>
                <w:sz w:val="20"/>
                <w:szCs w:val="20"/>
              </w:rPr>
              <w:t xml:space="preserve"> </w:t>
            </w:r>
            <w:r w:rsidR="00927514" w:rsidRPr="008419C1">
              <w:rPr>
                <w:sz w:val="20"/>
                <w:szCs w:val="20"/>
              </w:rPr>
              <w:t xml:space="preserve">These records will then be destroyed by placement into a confidential bin by </w:t>
            </w:r>
            <w:r w:rsidR="002A0F0A">
              <w:rPr>
                <w:sz w:val="20"/>
                <w:szCs w:val="20"/>
              </w:rPr>
              <w:t>investigator</w:t>
            </w:r>
            <w:r w:rsidR="00C43964">
              <w:rPr>
                <w:sz w:val="20"/>
                <w:szCs w:val="20"/>
              </w:rPr>
              <w:t>s</w:t>
            </w:r>
            <w:r w:rsidR="00927514" w:rsidRPr="008419C1">
              <w:rPr>
                <w:sz w:val="20"/>
                <w:szCs w:val="20"/>
              </w:rPr>
              <w:t xml:space="preserve">. </w:t>
            </w:r>
          </w:p>
          <w:p w14:paraId="32D04C81" w14:textId="7F1D0F55" w:rsidR="00927514" w:rsidRPr="007227D9" w:rsidRDefault="00927514" w:rsidP="005865A0">
            <w:pPr>
              <w:pStyle w:val="Default"/>
              <w:jc w:val="both"/>
              <w:rPr>
                <w:i/>
                <w:sz w:val="20"/>
                <w:szCs w:val="20"/>
                <w:highlight w:val="lightGray"/>
              </w:rPr>
            </w:pPr>
            <w:r w:rsidRPr="008419C1">
              <w:rPr>
                <w:sz w:val="20"/>
                <w:szCs w:val="20"/>
              </w:rPr>
              <w:t>An electronic copy of the results will be kept on the Peninsula Health Pharmacy M:\ drive in a de-identified format.</w:t>
            </w:r>
          </w:p>
        </w:tc>
      </w:tr>
    </w:tbl>
    <w:p w14:paraId="1E9929F6" w14:textId="5071B7B6"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89312D" w:rsidRPr="00BB73C0" w14:paraId="6F2C3C6F" w14:textId="77777777">
        <w:tc>
          <w:tcPr>
            <w:tcW w:w="540" w:type="dxa"/>
          </w:tcPr>
          <w:p w14:paraId="74EB85BA"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8.</w:t>
            </w:r>
          </w:p>
        </w:tc>
        <w:tc>
          <w:tcPr>
            <w:tcW w:w="9360" w:type="dxa"/>
            <w:tcBorders>
              <w:bottom w:val="single" w:sz="4" w:space="0" w:color="auto"/>
            </w:tcBorders>
          </w:tcPr>
          <w:p w14:paraId="0A7615BA"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Statistical considerations / Planned Analysis</w:t>
            </w:r>
            <w:r w:rsidR="009F4DD9" w:rsidRPr="00BB73C0">
              <w:rPr>
                <w:rFonts w:ascii="Arial" w:hAnsi="Arial" w:cs="Arial"/>
                <w:b/>
                <w:sz w:val="20"/>
                <w:szCs w:val="20"/>
              </w:rPr>
              <w:t xml:space="preserve"> *</w:t>
            </w:r>
          </w:p>
        </w:tc>
      </w:tr>
      <w:tr w:rsidR="0089312D" w:rsidRPr="00BB73C0" w14:paraId="740B64DD" w14:textId="77777777">
        <w:tc>
          <w:tcPr>
            <w:tcW w:w="540" w:type="dxa"/>
            <w:tcBorders>
              <w:right w:val="single" w:sz="4" w:space="0" w:color="auto"/>
            </w:tcBorders>
          </w:tcPr>
          <w:p w14:paraId="0F17738D"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5307F9EA" w14:textId="1C21D322" w:rsidR="00D579D6" w:rsidRPr="00A50C91" w:rsidRDefault="00E015AB">
            <w:pPr>
              <w:pStyle w:val="Default"/>
              <w:jc w:val="both"/>
              <w:rPr>
                <w:sz w:val="20"/>
                <w:szCs w:val="20"/>
                <w:highlight w:val="lightGray"/>
              </w:rPr>
            </w:pPr>
            <w:r>
              <w:rPr>
                <w:sz w:val="20"/>
                <w:szCs w:val="20"/>
              </w:rPr>
              <w:t>Based on previous study results</w:t>
            </w:r>
            <w:r w:rsidR="00721AFA">
              <w:rPr>
                <w:sz w:val="20"/>
                <w:szCs w:val="20"/>
              </w:rPr>
              <w:t xml:space="preserve"> of sufficiently powered studies</w:t>
            </w:r>
            <w:r>
              <w:rPr>
                <w:sz w:val="20"/>
                <w:szCs w:val="20"/>
              </w:rPr>
              <w:t xml:space="preserve">, an overall adverse event rate of 8-9% is expected, with </w:t>
            </w:r>
            <w:r w:rsidR="0004317C">
              <w:rPr>
                <w:sz w:val="20"/>
                <w:szCs w:val="20"/>
              </w:rPr>
              <w:t xml:space="preserve">an </w:t>
            </w:r>
            <w:r>
              <w:rPr>
                <w:sz w:val="20"/>
                <w:szCs w:val="20"/>
              </w:rPr>
              <w:t xml:space="preserve">acceptable </w:t>
            </w:r>
            <w:r w:rsidR="0004317C">
              <w:rPr>
                <w:sz w:val="20"/>
                <w:szCs w:val="20"/>
              </w:rPr>
              <w:t xml:space="preserve">safety </w:t>
            </w:r>
            <w:r>
              <w:rPr>
                <w:sz w:val="20"/>
                <w:szCs w:val="20"/>
              </w:rPr>
              <w:t>rate of up to 4% for severe adverse event</w:t>
            </w:r>
            <w:r w:rsidR="0004317C">
              <w:rPr>
                <w:sz w:val="20"/>
                <w:szCs w:val="20"/>
              </w:rPr>
              <w:t>s</w:t>
            </w:r>
            <w:r w:rsidR="00721AFA">
              <w:rPr>
                <w:sz w:val="20"/>
                <w:szCs w:val="20"/>
              </w:rPr>
              <w:t xml:space="preserve"> as was used by the original rapid infusion study conducted in Victoria (including Peninsula Health) in 2009</w:t>
            </w:r>
            <w:r>
              <w:rPr>
                <w:sz w:val="20"/>
                <w:szCs w:val="20"/>
              </w:rPr>
              <w:t xml:space="preserve">. </w:t>
            </w:r>
            <w:r w:rsidR="007A5030">
              <w:rPr>
                <w:sz w:val="20"/>
                <w:szCs w:val="20"/>
              </w:rPr>
              <w:t>C</w:t>
            </w:r>
            <w:r>
              <w:rPr>
                <w:sz w:val="20"/>
                <w:szCs w:val="20"/>
              </w:rPr>
              <w:t>alculate</w:t>
            </w:r>
            <w:r w:rsidR="0004317C">
              <w:rPr>
                <w:sz w:val="20"/>
                <w:szCs w:val="20"/>
              </w:rPr>
              <w:t>d</w:t>
            </w:r>
            <w:r>
              <w:rPr>
                <w:sz w:val="20"/>
                <w:szCs w:val="20"/>
              </w:rPr>
              <w:t xml:space="preserve"> participant number of </w:t>
            </w:r>
            <w:r w:rsidR="007A5030">
              <w:rPr>
                <w:sz w:val="20"/>
                <w:szCs w:val="20"/>
              </w:rPr>
              <w:t xml:space="preserve">172 </w:t>
            </w:r>
            <w:r>
              <w:rPr>
                <w:sz w:val="20"/>
                <w:szCs w:val="20"/>
              </w:rPr>
              <w:t>patients will be required to power the study</w:t>
            </w:r>
            <w:r w:rsidR="0004317C">
              <w:rPr>
                <w:sz w:val="20"/>
                <w:szCs w:val="20"/>
              </w:rPr>
              <w:t xml:space="preserve"> to</w:t>
            </w:r>
            <w:r>
              <w:rPr>
                <w:sz w:val="20"/>
                <w:szCs w:val="20"/>
              </w:rPr>
              <w:t xml:space="preserve"> 80% with a 2-side</w:t>
            </w:r>
            <w:r w:rsidR="0004317C">
              <w:rPr>
                <w:sz w:val="20"/>
                <w:szCs w:val="20"/>
              </w:rPr>
              <w:t>d</w:t>
            </w:r>
            <w:r>
              <w:rPr>
                <w:sz w:val="20"/>
                <w:szCs w:val="20"/>
              </w:rPr>
              <w:t xml:space="preserve"> alpha of 0.05</w:t>
            </w:r>
            <w:r w:rsidR="007A5030">
              <w:rPr>
                <w:sz w:val="20"/>
                <w:szCs w:val="20"/>
              </w:rPr>
              <w:t xml:space="preserve"> to detect a 3% increase in severe reactions</w:t>
            </w:r>
            <w:r w:rsidR="00721AFA">
              <w:rPr>
                <w:sz w:val="20"/>
                <w:szCs w:val="20"/>
              </w:rPr>
              <w:t>, and</w:t>
            </w:r>
            <w:r w:rsidR="007A5030">
              <w:rPr>
                <w:sz w:val="20"/>
                <w:szCs w:val="20"/>
              </w:rPr>
              <w:t xml:space="preserve"> 249 participants </w:t>
            </w:r>
            <w:r w:rsidR="00721AFA">
              <w:rPr>
                <w:sz w:val="20"/>
                <w:szCs w:val="20"/>
              </w:rPr>
              <w:t xml:space="preserve"> will be required </w:t>
            </w:r>
            <w:r w:rsidR="007A5030">
              <w:rPr>
                <w:sz w:val="20"/>
                <w:szCs w:val="20"/>
              </w:rPr>
              <w:t>to detect a 7% increase in overall adverse effects</w:t>
            </w:r>
            <w:r>
              <w:rPr>
                <w:sz w:val="20"/>
                <w:szCs w:val="20"/>
              </w:rPr>
              <w:t>.</w:t>
            </w:r>
            <w:r w:rsidR="00721AFA">
              <w:rPr>
                <w:sz w:val="20"/>
                <w:szCs w:val="20"/>
              </w:rPr>
              <w:t xml:space="preserve"> The original rapid infusion study of 100 participants had a rate of any adverse events of 24%, which was considered acceptable for inclusion into hospital guidelines for clinical use.</w:t>
            </w:r>
            <w:r w:rsidR="007A5030">
              <w:rPr>
                <w:sz w:val="20"/>
                <w:szCs w:val="20"/>
              </w:rPr>
              <w:t xml:space="preserve"> A total of 300 participants will</w:t>
            </w:r>
            <w:r w:rsidR="00721AFA">
              <w:rPr>
                <w:sz w:val="20"/>
                <w:szCs w:val="20"/>
              </w:rPr>
              <w:t xml:space="preserve"> targeted for enrolment into this</w:t>
            </w:r>
            <w:r w:rsidR="007A5030">
              <w:rPr>
                <w:sz w:val="20"/>
                <w:szCs w:val="20"/>
              </w:rPr>
              <w:t xml:space="preserve"> study, to allow for 10-20% drop out rate or loss to follow up for 1 week adverse effect data collection.</w:t>
            </w:r>
            <w:r>
              <w:rPr>
                <w:sz w:val="20"/>
                <w:szCs w:val="20"/>
              </w:rPr>
              <w:t xml:space="preserve"> </w:t>
            </w:r>
            <w:r w:rsidR="00D579D6">
              <w:rPr>
                <w:sz w:val="20"/>
                <w:szCs w:val="20"/>
              </w:rPr>
              <w:t>Adverse e</w:t>
            </w:r>
            <w:r w:rsidR="00D579D6" w:rsidRPr="00D579D6">
              <w:rPr>
                <w:sz w:val="20"/>
                <w:szCs w:val="20"/>
              </w:rPr>
              <w:t>vent rates will be compared using Fisher's exact test</w:t>
            </w:r>
            <w:r w:rsidR="00721AFA">
              <w:rPr>
                <w:sz w:val="20"/>
                <w:szCs w:val="20"/>
              </w:rPr>
              <w:t xml:space="preserve"> and Mann-Witney U test</w:t>
            </w:r>
            <w:r w:rsidR="00D579D6">
              <w:rPr>
                <w:sz w:val="20"/>
                <w:szCs w:val="20"/>
              </w:rPr>
              <w:t>,</w:t>
            </w:r>
            <w:r w:rsidR="00D579D6" w:rsidRPr="00D579D6">
              <w:rPr>
                <w:sz w:val="20"/>
                <w:szCs w:val="20"/>
              </w:rPr>
              <w:t xml:space="preserve"> and baseline parameters using Fisher's exact and student-t test</w:t>
            </w:r>
            <w:r w:rsidR="009F6C3F">
              <w:rPr>
                <w:sz w:val="20"/>
                <w:szCs w:val="20"/>
              </w:rPr>
              <w:t xml:space="preserve"> or</w:t>
            </w:r>
            <w:r w:rsidR="00721AFA">
              <w:rPr>
                <w:sz w:val="20"/>
                <w:szCs w:val="20"/>
              </w:rPr>
              <w:t xml:space="preserve"> Mann-Witney U test</w:t>
            </w:r>
            <w:r w:rsidR="009F6C3F">
              <w:rPr>
                <w:sz w:val="20"/>
                <w:szCs w:val="20"/>
              </w:rPr>
              <w:t xml:space="preserve"> if non-normally distributed data is identified.</w:t>
            </w:r>
            <w:r w:rsidR="00D579D6" w:rsidRPr="00D579D6">
              <w:rPr>
                <w:sz w:val="20"/>
                <w:szCs w:val="20"/>
              </w:rPr>
              <w:t xml:space="preserve"> </w:t>
            </w:r>
          </w:p>
        </w:tc>
      </w:tr>
    </w:tbl>
    <w:p w14:paraId="742970D6" w14:textId="7731484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
        <w:gridCol w:w="9254"/>
      </w:tblGrid>
      <w:tr w:rsidR="0089312D" w:rsidRPr="00BB73C0" w14:paraId="5B2F856A" w14:textId="77777777">
        <w:tc>
          <w:tcPr>
            <w:tcW w:w="540" w:type="dxa"/>
          </w:tcPr>
          <w:p w14:paraId="74DABA00"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9.</w:t>
            </w:r>
          </w:p>
        </w:tc>
        <w:tc>
          <w:tcPr>
            <w:tcW w:w="9360" w:type="dxa"/>
            <w:tcBorders>
              <w:bottom w:val="single" w:sz="4" w:space="0" w:color="auto"/>
            </w:tcBorders>
          </w:tcPr>
          <w:p w14:paraId="061E8060"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Quality Assurance, monitoring and safety</w:t>
            </w:r>
            <w:r w:rsidR="009F4DD9" w:rsidRPr="00BB73C0">
              <w:rPr>
                <w:rFonts w:ascii="Arial" w:hAnsi="Arial" w:cs="Arial"/>
                <w:b/>
                <w:sz w:val="20"/>
                <w:szCs w:val="20"/>
              </w:rPr>
              <w:t xml:space="preserve"> </w:t>
            </w:r>
          </w:p>
        </w:tc>
      </w:tr>
      <w:tr w:rsidR="0089312D" w:rsidRPr="00BB73C0" w14:paraId="171B64B8" w14:textId="77777777">
        <w:tc>
          <w:tcPr>
            <w:tcW w:w="540" w:type="dxa"/>
            <w:tcBorders>
              <w:right w:val="single" w:sz="4" w:space="0" w:color="auto"/>
            </w:tcBorders>
          </w:tcPr>
          <w:p w14:paraId="491E2998"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627E4A8B" w14:textId="58AD8868" w:rsidR="002D5E80" w:rsidRDefault="002D5E80" w:rsidP="00B36FE3">
            <w:pPr>
              <w:pStyle w:val="Default"/>
              <w:jc w:val="both"/>
              <w:rPr>
                <w:sz w:val="20"/>
                <w:szCs w:val="20"/>
              </w:rPr>
            </w:pPr>
            <w:r>
              <w:rPr>
                <w:sz w:val="20"/>
                <w:szCs w:val="20"/>
              </w:rPr>
              <w:t xml:space="preserve">The results will be reported to the Drugs </w:t>
            </w:r>
            <w:r w:rsidR="0059644D">
              <w:rPr>
                <w:sz w:val="20"/>
                <w:szCs w:val="20"/>
              </w:rPr>
              <w:t xml:space="preserve">and </w:t>
            </w:r>
            <w:r>
              <w:rPr>
                <w:sz w:val="20"/>
                <w:szCs w:val="20"/>
              </w:rPr>
              <w:t xml:space="preserve">Therapeutics Committee. </w:t>
            </w:r>
            <w:r w:rsidR="004C3B40">
              <w:rPr>
                <w:sz w:val="20"/>
                <w:szCs w:val="20"/>
              </w:rPr>
              <w:t>An interim results analysis and report will be provided to HREC</w:t>
            </w:r>
            <w:r w:rsidR="00205695">
              <w:rPr>
                <w:sz w:val="20"/>
                <w:szCs w:val="20"/>
              </w:rPr>
              <w:t>s</w:t>
            </w:r>
            <w:r w:rsidR="004C3B40">
              <w:rPr>
                <w:sz w:val="20"/>
                <w:szCs w:val="20"/>
              </w:rPr>
              <w:t xml:space="preserve"> and Drug</w:t>
            </w:r>
            <w:r w:rsidR="0059644D">
              <w:rPr>
                <w:sz w:val="20"/>
                <w:szCs w:val="20"/>
              </w:rPr>
              <w:t>s</w:t>
            </w:r>
            <w:r w:rsidR="004C3B40">
              <w:rPr>
                <w:sz w:val="20"/>
                <w:szCs w:val="20"/>
              </w:rPr>
              <w:t xml:space="preserve"> and Therapeutics </w:t>
            </w:r>
            <w:r w:rsidR="0059644D">
              <w:rPr>
                <w:sz w:val="20"/>
                <w:szCs w:val="20"/>
              </w:rPr>
              <w:t>C</w:t>
            </w:r>
            <w:r w:rsidR="004C3B40">
              <w:rPr>
                <w:sz w:val="20"/>
                <w:szCs w:val="20"/>
              </w:rPr>
              <w:t>ommittee</w:t>
            </w:r>
            <w:r w:rsidR="00205695">
              <w:rPr>
                <w:sz w:val="20"/>
                <w:szCs w:val="20"/>
              </w:rPr>
              <w:t>s</w:t>
            </w:r>
            <w:r w:rsidR="004C3B40">
              <w:rPr>
                <w:sz w:val="20"/>
                <w:szCs w:val="20"/>
              </w:rPr>
              <w:t xml:space="preserve"> prior to</w:t>
            </w:r>
            <w:r w:rsidR="00205695">
              <w:rPr>
                <w:sz w:val="20"/>
                <w:szCs w:val="20"/>
              </w:rPr>
              <w:t xml:space="preserve"> study</w:t>
            </w:r>
            <w:r w:rsidR="004C3B40">
              <w:rPr>
                <w:sz w:val="20"/>
                <w:szCs w:val="20"/>
              </w:rPr>
              <w:t xml:space="preserve"> progression </w:t>
            </w:r>
            <w:r w:rsidR="00205695">
              <w:rPr>
                <w:sz w:val="20"/>
                <w:szCs w:val="20"/>
              </w:rPr>
              <w:t>beyond the first 50 participants</w:t>
            </w:r>
            <w:r w:rsidR="004C3B40">
              <w:rPr>
                <w:sz w:val="20"/>
                <w:szCs w:val="20"/>
              </w:rPr>
              <w:t>.</w:t>
            </w:r>
          </w:p>
          <w:p w14:paraId="7A1140B3" w14:textId="518BAB6E" w:rsidR="00050B89" w:rsidRDefault="00B36FE3">
            <w:pPr>
              <w:pStyle w:val="Default"/>
              <w:jc w:val="both"/>
              <w:rPr>
                <w:sz w:val="20"/>
                <w:szCs w:val="20"/>
              </w:rPr>
            </w:pPr>
            <w:r>
              <w:rPr>
                <w:sz w:val="20"/>
                <w:szCs w:val="20"/>
              </w:rPr>
              <w:t>Participants will be monitored for adverse effects during the infusion and for the following</w:t>
            </w:r>
            <w:r w:rsidR="00FF280D">
              <w:rPr>
                <w:sz w:val="20"/>
                <w:szCs w:val="20"/>
              </w:rPr>
              <w:t xml:space="preserve"> hour by nursing staff</w:t>
            </w:r>
            <w:r>
              <w:rPr>
                <w:sz w:val="20"/>
                <w:szCs w:val="20"/>
              </w:rPr>
              <w:t xml:space="preserve">. </w:t>
            </w:r>
            <w:r w:rsidRPr="004351E8">
              <w:rPr>
                <w:sz w:val="20"/>
                <w:szCs w:val="20"/>
              </w:rPr>
              <w:t>Pa</w:t>
            </w:r>
            <w:r>
              <w:rPr>
                <w:sz w:val="20"/>
                <w:szCs w:val="20"/>
              </w:rPr>
              <w:t>rticipants</w:t>
            </w:r>
            <w:r w:rsidRPr="004351E8">
              <w:rPr>
                <w:sz w:val="20"/>
                <w:szCs w:val="20"/>
              </w:rPr>
              <w:t xml:space="preserve"> who experience adverse events will be able to complete the infusion at a </w:t>
            </w:r>
            <w:r w:rsidRPr="004351E8">
              <w:rPr>
                <w:sz w:val="20"/>
                <w:szCs w:val="20"/>
              </w:rPr>
              <w:lastRenderedPageBreak/>
              <w:t>slower rate or</w:t>
            </w:r>
            <w:r>
              <w:rPr>
                <w:sz w:val="20"/>
                <w:szCs w:val="20"/>
              </w:rPr>
              <w:t>,</w:t>
            </w:r>
            <w:r w:rsidRPr="004351E8">
              <w:rPr>
                <w:sz w:val="20"/>
                <w:szCs w:val="20"/>
              </w:rPr>
              <w:t xml:space="preserve"> if the reactions are severe</w:t>
            </w:r>
            <w:r>
              <w:rPr>
                <w:sz w:val="20"/>
                <w:szCs w:val="20"/>
              </w:rPr>
              <w:t>,</w:t>
            </w:r>
            <w:r w:rsidRPr="004351E8">
              <w:rPr>
                <w:sz w:val="20"/>
                <w:szCs w:val="20"/>
              </w:rPr>
              <w:t xml:space="preserve"> will have their infusions stopped and restarted only after medical review</w:t>
            </w:r>
            <w:r>
              <w:rPr>
                <w:sz w:val="20"/>
                <w:szCs w:val="20"/>
              </w:rPr>
              <w:t xml:space="preserve"> and</w:t>
            </w:r>
            <w:r w:rsidRPr="004351E8">
              <w:rPr>
                <w:sz w:val="20"/>
                <w:szCs w:val="20"/>
              </w:rPr>
              <w:t xml:space="preserve"> if considered safe</w:t>
            </w:r>
            <w:r w:rsidR="004C3B40">
              <w:rPr>
                <w:sz w:val="20"/>
                <w:szCs w:val="20"/>
              </w:rPr>
              <w:t xml:space="preserve"> as per current procedures</w:t>
            </w:r>
            <w:r w:rsidRPr="004351E8">
              <w:rPr>
                <w:sz w:val="20"/>
                <w:szCs w:val="20"/>
              </w:rPr>
              <w:t>.</w:t>
            </w:r>
            <w:r>
              <w:rPr>
                <w:sz w:val="20"/>
                <w:szCs w:val="20"/>
              </w:rPr>
              <w:t xml:space="preserve"> </w:t>
            </w:r>
            <w:r w:rsidR="00050B89">
              <w:rPr>
                <w:sz w:val="20"/>
                <w:szCs w:val="20"/>
              </w:rPr>
              <w:t xml:space="preserve">Delayed adverse reactions for the week after infusion will be </w:t>
            </w:r>
            <w:r w:rsidR="005716B8">
              <w:rPr>
                <w:sz w:val="20"/>
                <w:szCs w:val="20"/>
              </w:rPr>
              <w:t>collected</w:t>
            </w:r>
            <w:r w:rsidR="00050B89">
              <w:rPr>
                <w:sz w:val="20"/>
                <w:szCs w:val="20"/>
              </w:rPr>
              <w:t xml:space="preserve"> by direct participant contact </w:t>
            </w:r>
            <w:r w:rsidR="00552140">
              <w:rPr>
                <w:sz w:val="20"/>
                <w:szCs w:val="20"/>
              </w:rPr>
              <w:t>to check for any adverse event occurrence, their management and severity.</w:t>
            </w:r>
          </w:p>
          <w:p w14:paraId="5766A02B" w14:textId="0C396188" w:rsidR="00B36FE3" w:rsidRPr="00A50C91" w:rsidRDefault="005716B8">
            <w:pPr>
              <w:pStyle w:val="Default"/>
              <w:jc w:val="both"/>
              <w:rPr>
                <w:sz w:val="20"/>
                <w:szCs w:val="20"/>
                <w:highlight w:val="lightGray"/>
              </w:rPr>
            </w:pPr>
            <w:r>
              <w:rPr>
                <w:sz w:val="20"/>
                <w:szCs w:val="20"/>
              </w:rPr>
              <w:t>If the rate of</w:t>
            </w:r>
            <w:r w:rsidR="00552140">
              <w:rPr>
                <w:sz w:val="20"/>
                <w:szCs w:val="20"/>
              </w:rPr>
              <w:t xml:space="preserve"> severe reactions that occur during the study </w:t>
            </w:r>
            <w:r>
              <w:rPr>
                <w:sz w:val="20"/>
                <w:szCs w:val="20"/>
              </w:rPr>
              <w:t xml:space="preserve">exceeds 4% at any point during the study the study will stopped. Any severe reactions occurring during the infusions </w:t>
            </w:r>
            <w:r w:rsidR="00552140">
              <w:rPr>
                <w:sz w:val="20"/>
                <w:szCs w:val="20"/>
              </w:rPr>
              <w:t xml:space="preserve">will be </w:t>
            </w:r>
            <w:r w:rsidR="00E621DD">
              <w:rPr>
                <w:sz w:val="20"/>
                <w:szCs w:val="20"/>
              </w:rPr>
              <w:t xml:space="preserve">reviewed by </w:t>
            </w:r>
            <w:r w:rsidR="00552140">
              <w:rPr>
                <w:sz w:val="20"/>
                <w:szCs w:val="20"/>
              </w:rPr>
              <w:t>an ICU consultant</w:t>
            </w:r>
            <w:r w:rsidR="00E621DD">
              <w:rPr>
                <w:sz w:val="20"/>
                <w:szCs w:val="20"/>
              </w:rPr>
              <w:t xml:space="preserve"> (</w:t>
            </w:r>
            <w:r w:rsidR="001121FA">
              <w:rPr>
                <w:sz w:val="20"/>
                <w:szCs w:val="20"/>
              </w:rPr>
              <w:t>as an independent adjudicator)</w:t>
            </w:r>
            <w:r w:rsidR="00552140">
              <w:rPr>
                <w:sz w:val="20"/>
                <w:szCs w:val="20"/>
              </w:rPr>
              <w:t xml:space="preserve"> prior</w:t>
            </w:r>
            <w:r w:rsidR="001121FA">
              <w:rPr>
                <w:sz w:val="20"/>
                <w:szCs w:val="20"/>
              </w:rPr>
              <w:t xml:space="preserve"> to considering continuation of the study.</w:t>
            </w:r>
          </w:p>
        </w:tc>
      </w:tr>
    </w:tbl>
    <w:p w14:paraId="10F3AB2E"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6B27CCF9" w14:textId="77777777">
        <w:tc>
          <w:tcPr>
            <w:tcW w:w="540" w:type="dxa"/>
          </w:tcPr>
          <w:p w14:paraId="6EFAD05C"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10.</w:t>
            </w:r>
          </w:p>
        </w:tc>
        <w:tc>
          <w:tcPr>
            <w:tcW w:w="9360" w:type="dxa"/>
            <w:tcBorders>
              <w:bottom w:val="single" w:sz="4" w:space="0" w:color="auto"/>
            </w:tcBorders>
          </w:tcPr>
          <w:p w14:paraId="271852A8"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Ethical issues</w:t>
            </w:r>
          </w:p>
        </w:tc>
      </w:tr>
      <w:tr w:rsidR="0089312D" w:rsidRPr="00BB73C0" w14:paraId="4238F994" w14:textId="77777777">
        <w:tc>
          <w:tcPr>
            <w:tcW w:w="540" w:type="dxa"/>
            <w:tcBorders>
              <w:right w:val="single" w:sz="4" w:space="0" w:color="auto"/>
            </w:tcBorders>
          </w:tcPr>
          <w:p w14:paraId="70EF5368"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5B21FECE" w14:textId="2032597E" w:rsidR="000F7729" w:rsidRPr="006A3F0D" w:rsidRDefault="00692256" w:rsidP="00F54A7A">
            <w:pPr>
              <w:pStyle w:val="Default"/>
              <w:spacing w:after="4"/>
              <w:jc w:val="both"/>
              <w:rPr>
                <w:sz w:val="20"/>
                <w:szCs w:val="20"/>
              </w:rPr>
            </w:pPr>
            <w:r>
              <w:rPr>
                <w:sz w:val="20"/>
                <w:szCs w:val="20"/>
              </w:rPr>
              <w:t xml:space="preserve">Iron polymaltose infusions </w:t>
            </w:r>
            <w:r w:rsidR="00DD2E0A">
              <w:rPr>
                <w:sz w:val="20"/>
                <w:szCs w:val="20"/>
              </w:rPr>
              <w:t xml:space="preserve">were typically administered over </w:t>
            </w:r>
            <w:r w:rsidR="00F54A7A">
              <w:rPr>
                <w:sz w:val="20"/>
                <w:szCs w:val="20"/>
              </w:rPr>
              <w:t>4-</w:t>
            </w:r>
            <w:r w:rsidR="00BF71F3">
              <w:rPr>
                <w:sz w:val="20"/>
                <w:szCs w:val="20"/>
              </w:rPr>
              <w:t>5</w:t>
            </w:r>
            <w:r w:rsidR="00DD2E0A">
              <w:rPr>
                <w:sz w:val="20"/>
                <w:szCs w:val="20"/>
              </w:rPr>
              <w:t xml:space="preserve"> hours</w:t>
            </w:r>
            <w:r w:rsidR="00BF71F3">
              <w:rPr>
                <w:sz w:val="20"/>
                <w:szCs w:val="20"/>
              </w:rPr>
              <w:t xml:space="preserve"> with test dosing</w:t>
            </w:r>
            <w:r w:rsidR="006A3F0D">
              <w:rPr>
                <w:sz w:val="20"/>
                <w:szCs w:val="20"/>
              </w:rPr>
              <w:t xml:space="preserve"> at even slower rate</w:t>
            </w:r>
            <w:r w:rsidR="00BF71F3">
              <w:rPr>
                <w:sz w:val="20"/>
                <w:szCs w:val="20"/>
              </w:rPr>
              <w:t xml:space="preserve"> for the first 15 minutes. Recent research has </w:t>
            </w:r>
            <w:r w:rsidR="006A3F0D">
              <w:rPr>
                <w:sz w:val="20"/>
                <w:szCs w:val="20"/>
              </w:rPr>
              <w:t xml:space="preserve">determined </w:t>
            </w:r>
            <w:r w:rsidR="00BF71F3">
              <w:rPr>
                <w:sz w:val="20"/>
                <w:szCs w:val="20"/>
              </w:rPr>
              <w:t>that safety is not compromised at faster infusion rates over 1 h</w:t>
            </w:r>
            <w:r>
              <w:rPr>
                <w:sz w:val="20"/>
                <w:szCs w:val="20"/>
              </w:rPr>
              <w:t xml:space="preserve">our for doses </w:t>
            </w:r>
            <w:r w:rsidR="006A3F0D">
              <w:rPr>
                <w:sz w:val="20"/>
                <w:szCs w:val="20"/>
              </w:rPr>
              <w:t>up to</w:t>
            </w:r>
            <w:r>
              <w:rPr>
                <w:sz w:val="20"/>
                <w:szCs w:val="20"/>
              </w:rPr>
              <w:t xml:space="preserve"> 1500 mg</w:t>
            </w:r>
            <w:r w:rsidR="00BB572D">
              <w:rPr>
                <w:sz w:val="20"/>
                <w:szCs w:val="20"/>
              </w:rPr>
              <w:t>. T</w:t>
            </w:r>
            <w:r w:rsidR="006A3F0D">
              <w:rPr>
                <w:sz w:val="20"/>
                <w:szCs w:val="20"/>
              </w:rPr>
              <w:t xml:space="preserve">est doses are no longer recommended by </w:t>
            </w:r>
            <w:r w:rsidR="00E74483">
              <w:rPr>
                <w:sz w:val="20"/>
                <w:szCs w:val="20"/>
              </w:rPr>
              <w:t>the European Medicines Agency</w:t>
            </w:r>
            <w:r w:rsidR="00BB572D">
              <w:rPr>
                <w:sz w:val="20"/>
                <w:szCs w:val="20"/>
              </w:rPr>
              <w:t xml:space="preserve">, nor are they </w:t>
            </w:r>
            <w:r w:rsidR="00E74483">
              <w:rPr>
                <w:sz w:val="20"/>
                <w:szCs w:val="20"/>
              </w:rPr>
              <w:t>included in the current iron polymaltose infusion guidelines</w:t>
            </w:r>
            <w:r w:rsidR="00883B63">
              <w:rPr>
                <w:sz w:val="20"/>
                <w:szCs w:val="20"/>
              </w:rPr>
              <w:t xml:space="preserve"> at Peninsula Health</w:t>
            </w:r>
            <w:r w:rsidR="006A3F0D">
              <w:rPr>
                <w:sz w:val="20"/>
                <w:szCs w:val="20"/>
              </w:rPr>
              <w:t>. These findings have been incorporated into the hospital guideline and, as such, have become</w:t>
            </w:r>
            <w:r>
              <w:rPr>
                <w:sz w:val="20"/>
                <w:szCs w:val="20"/>
              </w:rPr>
              <w:t xml:space="preserve"> standard practice. This study aims to explore the safety of </w:t>
            </w:r>
            <w:r w:rsidR="00BB572D">
              <w:rPr>
                <w:sz w:val="20"/>
                <w:szCs w:val="20"/>
              </w:rPr>
              <w:t xml:space="preserve">iron polymaltose </w:t>
            </w:r>
            <w:r>
              <w:rPr>
                <w:sz w:val="20"/>
                <w:szCs w:val="20"/>
              </w:rPr>
              <w:t xml:space="preserve">ultrarapid administration over </w:t>
            </w:r>
            <w:r w:rsidRPr="000A0713">
              <w:rPr>
                <w:sz w:val="20"/>
                <w:szCs w:val="20"/>
              </w:rPr>
              <w:t>15 minutes</w:t>
            </w:r>
            <w:r>
              <w:rPr>
                <w:sz w:val="20"/>
                <w:szCs w:val="20"/>
              </w:rPr>
              <w:t xml:space="preserve"> </w:t>
            </w:r>
            <w:r w:rsidR="00883B63">
              <w:rPr>
                <w:sz w:val="20"/>
                <w:szCs w:val="20"/>
              </w:rPr>
              <w:t>as a follow</w:t>
            </w:r>
            <w:r w:rsidR="00BB572D">
              <w:rPr>
                <w:sz w:val="20"/>
                <w:szCs w:val="20"/>
              </w:rPr>
              <w:t>-</w:t>
            </w:r>
            <w:r w:rsidR="00883B63">
              <w:rPr>
                <w:sz w:val="20"/>
                <w:szCs w:val="20"/>
              </w:rPr>
              <w:t xml:space="preserve">up </w:t>
            </w:r>
            <w:r w:rsidR="00BB572D">
              <w:rPr>
                <w:sz w:val="20"/>
                <w:szCs w:val="20"/>
              </w:rPr>
              <w:t>to the</w:t>
            </w:r>
            <w:r w:rsidR="00883B63">
              <w:rPr>
                <w:sz w:val="20"/>
                <w:szCs w:val="20"/>
              </w:rPr>
              <w:t xml:space="preserve"> successful pilot</w:t>
            </w:r>
            <w:r w:rsidR="00BB572D">
              <w:rPr>
                <w:sz w:val="20"/>
                <w:szCs w:val="20"/>
              </w:rPr>
              <w:t xml:space="preserve"> study</w:t>
            </w:r>
            <w:r w:rsidR="00F54A7A">
              <w:rPr>
                <w:sz w:val="20"/>
                <w:szCs w:val="20"/>
              </w:rPr>
              <w:t xml:space="preserve">, which identified no </w:t>
            </w:r>
            <w:r w:rsidR="00883B63">
              <w:rPr>
                <w:sz w:val="20"/>
                <w:szCs w:val="20"/>
              </w:rPr>
              <w:t xml:space="preserve">safety issues. </w:t>
            </w:r>
            <w:r w:rsidR="000F7729">
              <w:rPr>
                <w:sz w:val="20"/>
                <w:szCs w:val="20"/>
              </w:rPr>
              <w:t>Given the risk of adverse events, t</w:t>
            </w:r>
            <w:r w:rsidR="000F7729" w:rsidRPr="000F7729">
              <w:rPr>
                <w:sz w:val="20"/>
                <w:szCs w:val="20"/>
              </w:rPr>
              <w:t>he study will require HREC review and development of patient consent form</w:t>
            </w:r>
            <w:r w:rsidR="000F7729">
              <w:rPr>
                <w:sz w:val="20"/>
                <w:szCs w:val="20"/>
              </w:rPr>
              <w:t>s.</w:t>
            </w:r>
          </w:p>
        </w:tc>
      </w:tr>
    </w:tbl>
    <w:p w14:paraId="1ECB8D51"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40BA9FD9" w14:textId="77777777">
        <w:tc>
          <w:tcPr>
            <w:tcW w:w="540" w:type="dxa"/>
          </w:tcPr>
          <w:p w14:paraId="01F91B25"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11.</w:t>
            </w:r>
          </w:p>
        </w:tc>
        <w:tc>
          <w:tcPr>
            <w:tcW w:w="9360" w:type="dxa"/>
            <w:tcBorders>
              <w:bottom w:val="single" w:sz="4" w:space="0" w:color="auto"/>
            </w:tcBorders>
          </w:tcPr>
          <w:p w14:paraId="4C930F31"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Finance and resource use</w:t>
            </w:r>
            <w:r w:rsidR="009F4DD9" w:rsidRPr="00BB73C0">
              <w:rPr>
                <w:rFonts w:ascii="Arial" w:hAnsi="Arial" w:cs="Arial"/>
                <w:b/>
                <w:sz w:val="20"/>
                <w:szCs w:val="20"/>
              </w:rPr>
              <w:t xml:space="preserve"> *</w:t>
            </w:r>
          </w:p>
        </w:tc>
      </w:tr>
      <w:tr w:rsidR="0089312D" w:rsidRPr="00BB73C0" w14:paraId="23C10B4D" w14:textId="77777777">
        <w:tc>
          <w:tcPr>
            <w:tcW w:w="540" w:type="dxa"/>
            <w:tcBorders>
              <w:right w:val="single" w:sz="4" w:space="0" w:color="auto"/>
            </w:tcBorders>
          </w:tcPr>
          <w:p w14:paraId="52931887"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38FB8243" w14:textId="105F4F30" w:rsidR="00BC773C" w:rsidRPr="00A50C91" w:rsidRDefault="000665A0" w:rsidP="00BC773C">
            <w:pPr>
              <w:pStyle w:val="Default"/>
              <w:rPr>
                <w:sz w:val="20"/>
                <w:szCs w:val="20"/>
                <w:highlight w:val="lightGray"/>
              </w:rPr>
            </w:pPr>
            <w:r>
              <w:rPr>
                <w:sz w:val="20"/>
                <w:szCs w:val="20"/>
              </w:rPr>
              <w:t>Iron polymaltose will be provided by the hospital as per current procedures. No additional funding was obtained for the conduct of this study. Principal investigator and associate investigators will contribute their own time for patient enrolment, data collection and analysis, and subsequent distribution of results.</w:t>
            </w:r>
          </w:p>
        </w:tc>
      </w:tr>
    </w:tbl>
    <w:p w14:paraId="3FDB3CF9" w14:textId="77777777"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2A8E7344" w14:textId="77777777">
        <w:tc>
          <w:tcPr>
            <w:tcW w:w="540" w:type="dxa"/>
          </w:tcPr>
          <w:p w14:paraId="58BEF88B"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12.</w:t>
            </w:r>
          </w:p>
        </w:tc>
        <w:tc>
          <w:tcPr>
            <w:tcW w:w="9360" w:type="dxa"/>
            <w:tcBorders>
              <w:bottom w:val="single" w:sz="4" w:space="0" w:color="auto"/>
            </w:tcBorders>
          </w:tcPr>
          <w:p w14:paraId="3151CF67"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Publication / Authorship</w:t>
            </w:r>
          </w:p>
        </w:tc>
      </w:tr>
      <w:tr w:rsidR="0089312D" w:rsidRPr="00BB73C0" w14:paraId="2D721969" w14:textId="77777777">
        <w:tc>
          <w:tcPr>
            <w:tcW w:w="540" w:type="dxa"/>
            <w:tcBorders>
              <w:right w:val="single" w:sz="4" w:space="0" w:color="auto"/>
            </w:tcBorders>
          </w:tcPr>
          <w:p w14:paraId="35E8D12B"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4234A99F" w14:textId="77777777" w:rsidR="0023176A" w:rsidRDefault="0023176A" w:rsidP="0023176A">
            <w:pPr>
              <w:pStyle w:val="Default"/>
              <w:rPr>
                <w:sz w:val="20"/>
                <w:szCs w:val="20"/>
              </w:rPr>
            </w:pPr>
            <w:r>
              <w:rPr>
                <w:sz w:val="20"/>
                <w:szCs w:val="20"/>
              </w:rPr>
              <w:t xml:space="preserve">Authorship has been determined in accordance with the </w:t>
            </w:r>
            <w:r w:rsidRPr="0023176A">
              <w:rPr>
                <w:sz w:val="20"/>
                <w:szCs w:val="20"/>
              </w:rPr>
              <w:t xml:space="preserve">Australian Code for the Responsible </w:t>
            </w:r>
            <w:r>
              <w:rPr>
                <w:sz w:val="20"/>
                <w:szCs w:val="20"/>
              </w:rPr>
              <w:t>Conduct of Research (2007) and Peninsula Health</w:t>
            </w:r>
            <w:r w:rsidRPr="0023176A">
              <w:rPr>
                <w:sz w:val="20"/>
                <w:szCs w:val="20"/>
              </w:rPr>
              <w:t xml:space="preserve"> Authorship Policy</w:t>
            </w:r>
            <w:r>
              <w:rPr>
                <w:sz w:val="20"/>
                <w:szCs w:val="20"/>
              </w:rPr>
              <w:t>.</w:t>
            </w:r>
          </w:p>
          <w:p w14:paraId="70815A4C" w14:textId="14FF5661" w:rsidR="0023176A" w:rsidRPr="00A50C91" w:rsidRDefault="0023176A" w:rsidP="00BF5AB9">
            <w:pPr>
              <w:pStyle w:val="Default"/>
              <w:rPr>
                <w:sz w:val="20"/>
                <w:szCs w:val="20"/>
                <w:highlight w:val="lightGray"/>
              </w:rPr>
            </w:pPr>
            <w:r>
              <w:rPr>
                <w:sz w:val="20"/>
                <w:szCs w:val="20"/>
              </w:rPr>
              <w:t xml:space="preserve">The results of this study will be </w:t>
            </w:r>
            <w:r w:rsidR="00BF5AB9">
              <w:rPr>
                <w:sz w:val="20"/>
                <w:szCs w:val="20"/>
              </w:rPr>
              <w:t xml:space="preserve">submitted </w:t>
            </w:r>
            <w:r>
              <w:rPr>
                <w:sz w:val="20"/>
                <w:szCs w:val="20"/>
              </w:rPr>
              <w:t xml:space="preserve">for publication </w:t>
            </w:r>
            <w:r w:rsidR="00BF5AB9">
              <w:rPr>
                <w:sz w:val="20"/>
                <w:szCs w:val="20"/>
              </w:rPr>
              <w:t xml:space="preserve">at a medical or pharmaceutical journal. </w:t>
            </w:r>
          </w:p>
        </w:tc>
      </w:tr>
    </w:tbl>
    <w:p w14:paraId="0D45981B" w14:textId="795C234E" w:rsidR="0089312D" w:rsidRPr="00BB73C0" w:rsidRDefault="0089312D" w:rsidP="0089312D">
      <w:pPr>
        <w:jc w:val="both"/>
        <w:rPr>
          <w:rFonts w:ascii="Arial" w:hAnsi="Arial" w:cs="Arial"/>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
        <w:gridCol w:w="9253"/>
      </w:tblGrid>
      <w:tr w:rsidR="0089312D" w:rsidRPr="00BB73C0" w14:paraId="04B37F6E" w14:textId="77777777">
        <w:tc>
          <w:tcPr>
            <w:tcW w:w="540" w:type="dxa"/>
          </w:tcPr>
          <w:p w14:paraId="41E8F7CF" w14:textId="77777777" w:rsidR="0089312D" w:rsidRPr="00BB73C0" w:rsidRDefault="0089312D" w:rsidP="009F4DD9">
            <w:pPr>
              <w:spacing w:before="60" w:after="60"/>
              <w:jc w:val="both"/>
              <w:rPr>
                <w:rFonts w:ascii="Arial" w:hAnsi="Arial" w:cs="Arial"/>
                <w:b/>
                <w:sz w:val="20"/>
                <w:szCs w:val="20"/>
              </w:rPr>
            </w:pPr>
            <w:r w:rsidRPr="00BB73C0">
              <w:rPr>
                <w:rFonts w:ascii="Arial" w:hAnsi="Arial" w:cs="Arial"/>
                <w:b/>
                <w:sz w:val="20"/>
                <w:szCs w:val="20"/>
              </w:rPr>
              <w:t>13.</w:t>
            </w:r>
          </w:p>
        </w:tc>
        <w:tc>
          <w:tcPr>
            <w:tcW w:w="9360" w:type="dxa"/>
            <w:tcBorders>
              <w:bottom w:val="single" w:sz="4" w:space="0" w:color="auto"/>
            </w:tcBorders>
          </w:tcPr>
          <w:p w14:paraId="21779C4A" w14:textId="77777777" w:rsidR="0089312D" w:rsidRPr="00BB73C0" w:rsidRDefault="0089312D" w:rsidP="009F4DD9">
            <w:pPr>
              <w:spacing w:before="60" w:after="60"/>
              <w:rPr>
                <w:rFonts w:ascii="Arial" w:hAnsi="Arial" w:cs="Arial"/>
                <w:b/>
                <w:sz w:val="20"/>
                <w:szCs w:val="20"/>
              </w:rPr>
            </w:pPr>
            <w:r w:rsidRPr="00BB73C0">
              <w:rPr>
                <w:rFonts w:ascii="Arial" w:hAnsi="Arial" w:cs="Arial"/>
                <w:b/>
                <w:sz w:val="20"/>
                <w:szCs w:val="20"/>
              </w:rPr>
              <w:t>Limitations of the study &amp; future directions</w:t>
            </w:r>
          </w:p>
        </w:tc>
      </w:tr>
      <w:tr w:rsidR="0089312D" w:rsidRPr="00BB73C0" w14:paraId="0F0C5416" w14:textId="77777777">
        <w:tc>
          <w:tcPr>
            <w:tcW w:w="540" w:type="dxa"/>
            <w:tcBorders>
              <w:right w:val="single" w:sz="4" w:space="0" w:color="auto"/>
            </w:tcBorders>
          </w:tcPr>
          <w:p w14:paraId="752C4971" w14:textId="77777777" w:rsidR="0089312D" w:rsidRPr="00A50C91" w:rsidRDefault="0089312D" w:rsidP="009F4DD9">
            <w:pPr>
              <w:spacing w:before="60" w:after="60"/>
              <w:jc w:val="both"/>
              <w:rPr>
                <w:rFonts w:ascii="Arial" w:hAnsi="Arial" w:cs="Arial"/>
                <w:b/>
                <w:sz w:val="20"/>
                <w:szCs w:val="20"/>
                <w:highlight w:val="lightGray"/>
              </w:rPr>
            </w:pPr>
          </w:p>
        </w:tc>
        <w:tc>
          <w:tcPr>
            <w:tcW w:w="9360" w:type="dxa"/>
            <w:tcBorders>
              <w:top w:val="single" w:sz="4" w:space="0" w:color="auto"/>
              <w:left w:val="single" w:sz="4" w:space="0" w:color="auto"/>
              <w:bottom w:val="single" w:sz="4" w:space="0" w:color="auto"/>
              <w:right w:val="single" w:sz="4" w:space="0" w:color="auto"/>
            </w:tcBorders>
          </w:tcPr>
          <w:p w14:paraId="73782FE4" w14:textId="4E99AF43" w:rsidR="0023176A" w:rsidRDefault="0023176A" w:rsidP="0023176A">
            <w:pPr>
              <w:spacing w:before="60" w:after="60"/>
              <w:jc w:val="both"/>
              <w:rPr>
                <w:rFonts w:ascii="Arial" w:hAnsi="Arial" w:cs="Arial"/>
                <w:sz w:val="20"/>
                <w:szCs w:val="20"/>
              </w:rPr>
            </w:pPr>
            <w:r>
              <w:rPr>
                <w:rFonts w:ascii="Arial" w:hAnsi="Arial" w:cs="Arial"/>
                <w:sz w:val="20"/>
                <w:szCs w:val="20"/>
              </w:rPr>
              <w:t xml:space="preserve">The study may be limited by </w:t>
            </w:r>
            <w:r w:rsidRPr="0023176A">
              <w:rPr>
                <w:rFonts w:ascii="Arial" w:hAnsi="Arial" w:cs="Arial"/>
                <w:sz w:val="20"/>
                <w:szCs w:val="20"/>
              </w:rPr>
              <w:t>accuracy in documentation</w:t>
            </w:r>
            <w:r>
              <w:rPr>
                <w:rFonts w:ascii="Arial" w:hAnsi="Arial" w:cs="Arial"/>
                <w:sz w:val="20"/>
                <w:szCs w:val="20"/>
              </w:rPr>
              <w:t xml:space="preserve"> of adverse events by </w:t>
            </w:r>
            <w:r w:rsidR="002D1731">
              <w:rPr>
                <w:rFonts w:ascii="Arial" w:hAnsi="Arial" w:cs="Arial"/>
                <w:sz w:val="20"/>
                <w:szCs w:val="20"/>
              </w:rPr>
              <w:t xml:space="preserve">nursing </w:t>
            </w:r>
            <w:r>
              <w:rPr>
                <w:rFonts w:ascii="Arial" w:hAnsi="Arial" w:cs="Arial"/>
                <w:sz w:val="20"/>
                <w:szCs w:val="20"/>
              </w:rPr>
              <w:t xml:space="preserve">staff. Another limitation of this study is the ability to detect delayed reactions, as many patients are admitted solely for iron infusions and discharged usually after </w:t>
            </w:r>
            <w:r w:rsidRPr="0023176A">
              <w:rPr>
                <w:rFonts w:ascii="Arial" w:hAnsi="Arial" w:cs="Arial"/>
                <w:sz w:val="20"/>
                <w:szCs w:val="20"/>
              </w:rPr>
              <w:t>an hour of observation post-infusion</w:t>
            </w:r>
            <w:r>
              <w:rPr>
                <w:rFonts w:ascii="Arial" w:hAnsi="Arial" w:cs="Arial"/>
                <w:sz w:val="20"/>
                <w:szCs w:val="20"/>
              </w:rPr>
              <w:t>, limiting the ability of this study to identify reactions that occur during the infusion or the 1-hour observation period.</w:t>
            </w:r>
            <w:r w:rsidR="00B36923">
              <w:rPr>
                <w:rFonts w:ascii="Arial" w:hAnsi="Arial" w:cs="Arial"/>
                <w:sz w:val="20"/>
                <w:szCs w:val="20"/>
              </w:rPr>
              <w:t xml:space="preserve"> Delayed reactions will be biased by patient recall.</w:t>
            </w:r>
          </w:p>
          <w:p w14:paraId="50494C82" w14:textId="77777777" w:rsidR="00DD5C03" w:rsidRDefault="00883B63" w:rsidP="000F7729">
            <w:pPr>
              <w:spacing w:before="60" w:after="60"/>
              <w:jc w:val="both"/>
              <w:rPr>
                <w:rFonts w:ascii="Arial" w:hAnsi="Arial" w:cs="Arial"/>
                <w:sz w:val="20"/>
                <w:szCs w:val="20"/>
              </w:rPr>
            </w:pPr>
            <w:r>
              <w:rPr>
                <w:rFonts w:ascii="Arial" w:hAnsi="Arial" w:cs="Arial"/>
                <w:sz w:val="20"/>
                <w:szCs w:val="20"/>
              </w:rPr>
              <w:t>If the results indicate non-inferior safety profile for the ultrarapid infusion, the results will be used to update iron</w:t>
            </w:r>
            <w:r w:rsidR="00BB572D">
              <w:rPr>
                <w:rFonts w:ascii="Arial" w:hAnsi="Arial" w:cs="Arial"/>
                <w:sz w:val="20"/>
                <w:szCs w:val="20"/>
              </w:rPr>
              <w:t xml:space="preserve"> polymaltose</w:t>
            </w:r>
            <w:r>
              <w:rPr>
                <w:rFonts w:ascii="Arial" w:hAnsi="Arial" w:cs="Arial"/>
                <w:sz w:val="20"/>
                <w:szCs w:val="20"/>
              </w:rPr>
              <w:t xml:space="preserve"> infusion guidelines to reduce infusion times from 1 hour to 15 minutes for iron polymaltose doses up to and including 1500</w:t>
            </w:r>
            <w:r w:rsidR="00BB572D">
              <w:rPr>
                <w:rFonts w:ascii="Arial" w:hAnsi="Arial" w:cs="Arial"/>
                <w:sz w:val="20"/>
                <w:szCs w:val="20"/>
              </w:rPr>
              <w:t xml:space="preserve"> </w:t>
            </w:r>
            <w:r>
              <w:rPr>
                <w:rFonts w:ascii="Arial" w:hAnsi="Arial" w:cs="Arial"/>
                <w:sz w:val="20"/>
                <w:szCs w:val="20"/>
              </w:rPr>
              <w:t>mg.</w:t>
            </w:r>
            <w:r w:rsidR="002D1731">
              <w:rPr>
                <w:rFonts w:ascii="Arial" w:hAnsi="Arial" w:cs="Arial"/>
                <w:sz w:val="20"/>
                <w:szCs w:val="20"/>
              </w:rPr>
              <w:t xml:space="preserve"> </w:t>
            </w:r>
          </w:p>
          <w:p w14:paraId="3F0A73E1" w14:textId="2414E2B0" w:rsidR="0023176A" w:rsidRPr="00E5590C" w:rsidRDefault="002D1731" w:rsidP="000F7729">
            <w:pPr>
              <w:spacing w:before="60" w:after="60"/>
              <w:jc w:val="both"/>
              <w:rPr>
                <w:rFonts w:ascii="Arial" w:hAnsi="Arial" w:cs="Arial"/>
                <w:sz w:val="20"/>
                <w:szCs w:val="20"/>
              </w:rPr>
            </w:pPr>
            <w:r>
              <w:rPr>
                <w:rFonts w:ascii="Arial" w:hAnsi="Arial" w:cs="Arial"/>
                <w:sz w:val="20"/>
                <w:szCs w:val="20"/>
              </w:rPr>
              <w:t>Clinicians using infusion centres for iron deficiency anaemia management will be notified of the results of the study with an offer to improve their patient care with a single total body iron replacement dose of iron polymaltose instead of multiple admissions for ferric carboxymaltose.</w:t>
            </w:r>
          </w:p>
        </w:tc>
      </w:tr>
    </w:tbl>
    <w:p w14:paraId="67027F32" w14:textId="77777777" w:rsidR="0089312D" w:rsidRPr="00BB73C0" w:rsidRDefault="0089312D" w:rsidP="00D9640F">
      <w:pPr>
        <w:rPr>
          <w:rFonts w:ascii="Arial" w:hAnsi="Arial" w:cs="Arial"/>
          <w:b/>
          <w:sz w:val="20"/>
          <w:szCs w:val="20"/>
        </w:rPr>
      </w:pPr>
    </w:p>
    <w:sectPr w:rsidR="0089312D" w:rsidRPr="00BB73C0" w:rsidSect="0028642A">
      <w:headerReference w:type="default" r:id="rId10"/>
      <w:footerReference w:type="default" r:id="rId11"/>
      <w:pgSz w:w="11906" w:h="16838"/>
      <w:pgMar w:top="539" w:right="1106" w:bottom="1440" w:left="900" w:header="709"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83D04" w14:textId="77777777" w:rsidR="003E2271" w:rsidRDefault="003E2271">
      <w:r>
        <w:separator/>
      </w:r>
    </w:p>
  </w:endnote>
  <w:endnote w:type="continuationSeparator" w:id="0">
    <w:p w14:paraId="191A26EF" w14:textId="77777777" w:rsidR="003E2271" w:rsidRDefault="003E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447"/>
      <w:gridCol w:w="2464"/>
      <w:gridCol w:w="2497"/>
    </w:tblGrid>
    <w:tr w:rsidR="003E2271" w:rsidRPr="00121DDC" w14:paraId="74BDCFF0" w14:textId="77777777" w:rsidTr="003E2271">
      <w:tc>
        <w:tcPr>
          <w:tcW w:w="2574" w:type="dxa"/>
          <w:shd w:val="clear" w:color="auto" w:fill="auto"/>
        </w:tcPr>
        <w:p w14:paraId="1F90AD82" w14:textId="77777777" w:rsidR="003E2271" w:rsidRPr="00121DDC" w:rsidRDefault="003E2271" w:rsidP="003E2271">
          <w:pPr>
            <w:pStyle w:val="Footer"/>
            <w:spacing w:before="60" w:after="60"/>
            <w:rPr>
              <w:rFonts w:ascii="Arial" w:hAnsi="Arial" w:cs="Arial"/>
              <w:sz w:val="20"/>
              <w:szCs w:val="20"/>
            </w:rPr>
          </w:pPr>
          <w:r>
            <w:rPr>
              <w:rFonts w:ascii="Arial" w:hAnsi="Arial" w:cs="Arial"/>
              <w:sz w:val="20"/>
              <w:szCs w:val="20"/>
            </w:rPr>
            <w:t xml:space="preserve">Protocol </w:t>
          </w:r>
          <w:r w:rsidRPr="00121DDC">
            <w:rPr>
              <w:rFonts w:ascii="Arial" w:hAnsi="Arial" w:cs="Arial"/>
              <w:sz w:val="20"/>
              <w:szCs w:val="20"/>
            </w:rPr>
            <w:t>Version Number</w:t>
          </w:r>
        </w:p>
      </w:tc>
      <w:tc>
        <w:tcPr>
          <w:tcW w:w="2574" w:type="dxa"/>
          <w:shd w:val="clear" w:color="auto" w:fill="auto"/>
        </w:tcPr>
        <w:p w14:paraId="0C5D18A4" w14:textId="5DE1C5A2" w:rsidR="003E2271" w:rsidRPr="00121DDC" w:rsidRDefault="00DD5C03" w:rsidP="003E2271">
          <w:pPr>
            <w:pStyle w:val="Footer"/>
            <w:spacing w:before="60" w:after="60"/>
            <w:rPr>
              <w:rFonts w:ascii="Arial" w:hAnsi="Arial" w:cs="Arial"/>
              <w:sz w:val="20"/>
              <w:szCs w:val="20"/>
            </w:rPr>
          </w:pPr>
          <w:r>
            <w:rPr>
              <w:rFonts w:ascii="Arial" w:hAnsi="Arial" w:cs="Arial"/>
              <w:sz w:val="20"/>
              <w:szCs w:val="20"/>
            </w:rPr>
            <w:t>5</w:t>
          </w:r>
        </w:p>
      </w:tc>
      <w:tc>
        <w:tcPr>
          <w:tcW w:w="2574" w:type="dxa"/>
          <w:shd w:val="clear" w:color="auto" w:fill="auto"/>
        </w:tcPr>
        <w:p w14:paraId="6A86F8D5" w14:textId="77777777" w:rsidR="003E2271" w:rsidRPr="00121DDC" w:rsidRDefault="003E2271" w:rsidP="003E2271">
          <w:pPr>
            <w:pStyle w:val="Footer"/>
            <w:spacing w:before="60" w:after="60"/>
            <w:rPr>
              <w:rFonts w:ascii="Arial" w:hAnsi="Arial" w:cs="Arial"/>
              <w:sz w:val="20"/>
              <w:szCs w:val="20"/>
            </w:rPr>
          </w:pPr>
          <w:r w:rsidRPr="00121DDC">
            <w:rPr>
              <w:rFonts w:ascii="Arial" w:hAnsi="Arial" w:cs="Arial"/>
              <w:sz w:val="20"/>
              <w:szCs w:val="20"/>
            </w:rPr>
            <w:t>Date</w:t>
          </w:r>
        </w:p>
      </w:tc>
      <w:tc>
        <w:tcPr>
          <w:tcW w:w="2574" w:type="dxa"/>
          <w:shd w:val="clear" w:color="auto" w:fill="auto"/>
        </w:tcPr>
        <w:p w14:paraId="5704F87E" w14:textId="495C0F09" w:rsidR="003E2271" w:rsidRPr="00121DDC" w:rsidRDefault="00C07AAF" w:rsidP="008A60CA">
          <w:pPr>
            <w:pStyle w:val="Footer"/>
            <w:spacing w:before="60" w:after="60"/>
            <w:rPr>
              <w:rFonts w:ascii="Arial" w:hAnsi="Arial" w:cs="Arial"/>
              <w:sz w:val="20"/>
              <w:szCs w:val="20"/>
            </w:rPr>
          </w:pPr>
          <w:r>
            <w:rPr>
              <w:rFonts w:ascii="Arial" w:hAnsi="Arial" w:cs="Arial"/>
              <w:sz w:val="20"/>
              <w:szCs w:val="20"/>
            </w:rPr>
            <w:t>1</w:t>
          </w:r>
          <w:r w:rsidR="00292F61">
            <w:rPr>
              <w:rFonts w:ascii="Arial" w:hAnsi="Arial" w:cs="Arial"/>
              <w:sz w:val="20"/>
              <w:szCs w:val="20"/>
            </w:rPr>
            <w:t>3</w:t>
          </w:r>
          <w:r w:rsidR="00734597">
            <w:rPr>
              <w:rFonts w:ascii="Arial" w:hAnsi="Arial" w:cs="Arial"/>
              <w:sz w:val="20"/>
              <w:szCs w:val="20"/>
            </w:rPr>
            <w:t>/</w:t>
          </w:r>
          <w:r w:rsidR="00292F61">
            <w:rPr>
              <w:rFonts w:ascii="Arial" w:hAnsi="Arial" w:cs="Arial"/>
              <w:sz w:val="20"/>
              <w:szCs w:val="20"/>
            </w:rPr>
            <w:t>0</w:t>
          </w:r>
          <w:r w:rsidR="00734597">
            <w:rPr>
              <w:rFonts w:ascii="Arial" w:hAnsi="Arial" w:cs="Arial"/>
              <w:sz w:val="20"/>
              <w:szCs w:val="20"/>
            </w:rPr>
            <w:t>1/201</w:t>
          </w:r>
          <w:r w:rsidR="00292F61">
            <w:rPr>
              <w:rFonts w:ascii="Arial" w:hAnsi="Arial" w:cs="Arial"/>
              <w:sz w:val="20"/>
              <w:szCs w:val="20"/>
            </w:rPr>
            <w:t>9</w:t>
          </w:r>
        </w:p>
      </w:tc>
    </w:tr>
  </w:tbl>
  <w:p w14:paraId="30DF260C" w14:textId="77777777" w:rsidR="003E2271" w:rsidRPr="007227D9" w:rsidRDefault="003E2271" w:rsidP="007227D9">
    <w:pPr>
      <w:pStyle w:val="Footer"/>
      <w:pBdr>
        <w:bottom w:val="single" w:sz="6" w:space="2" w:color="auto"/>
      </w:pBdr>
      <w:rPr>
        <w:rFonts w:ascii="Arial" w:hAnsi="Arial" w:cs="Arial"/>
        <w:sz w:val="16"/>
        <w:szCs w:val="20"/>
      </w:rPr>
    </w:pPr>
  </w:p>
  <w:p w14:paraId="7BC35793" w14:textId="0578B33B" w:rsidR="003E2271" w:rsidRPr="0028642A" w:rsidRDefault="003E2271" w:rsidP="0028642A">
    <w:pPr>
      <w:pStyle w:val="Footer"/>
      <w:tabs>
        <w:tab w:val="clear" w:pos="8306"/>
        <w:tab w:val="right" w:pos="9900"/>
      </w:tabs>
      <w:rPr>
        <w:rFonts w:ascii="Arial" w:hAnsi="Arial" w:cs="Arial"/>
        <w:b/>
        <w:color w:val="333333"/>
        <w:sz w:val="16"/>
        <w:szCs w:val="16"/>
      </w:rPr>
    </w:pPr>
    <w:r>
      <w:rPr>
        <w:rFonts w:ascii="Arial" w:hAnsi="Arial" w:cs="Arial"/>
        <w:b/>
        <w:color w:val="333333"/>
        <w:sz w:val="16"/>
        <w:szCs w:val="16"/>
      </w:rPr>
      <w:t>Office for Research</w:t>
    </w:r>
    <w:r w:rsidRPr="0028642A">
      <w:rPr>
        <w:rFonts w:ascii="Arial" w:hAnsi="Arial" w:cs="Arial"/>
        <w:b/>
        <w:color w:val="333333"/>
        <w:sz w:val="16"/>
        <w:szCs w:val="16"/>
      </w:rPr>
      <w:tab/>
    </w:r>
    <w:r w:rsidRPr="0028642A">
      <w:rPr>
        <w:rFonts w:ascii="Arial" w:hAnsi="Arial" w:cs="Arial"/>
        <w:b/>
        <w:color w:val="333333"/>
        <w:sz w:val="16"/>
        <w:szCs w:val="16"/>
      </w:rPr>
      <w:tab/>
      <w:t xml:space="preserve">   Page </w:t>
    </w:r>
    <w:r w:rsidRPr="0028642A">
      <w:rPr>
        <w:rFonts w:ascii="Arial" w:hAnsi="Arial" w:cs="Arial"/>
        <w:b/>
        <w:color w:val="333333"/>
        <w:sz w:val="16"/>
        <w:szCs w:val="16"/>
      </w:rPr>
      <w:fldChar w:fldCharType="begin"/>
    </w:r>
    <w:r w:rsidRPr="0028642A">
      <w:rPr>
        <w:rFonts w:ascii="Arial" w:hAnsi="Arial" w:cs="Arial"/>
        <w:b/>
        <w:color w:val="333333"/>
        <w:sz w:val="16"/>
        <w:szCs w:val="16"/>
      </w:rPr>
      <w:instrText xml:space="preserve"> PAGE </w:instrText>
    </w:r>
    <w:r w:rsidRPr="0028642A">
      <w:rPr>
        <w:rFonts w:ascii="Arial" w:hAnsi="Arial" w:cs="Arial"/>
        <w:b/>
        <w:color w:val="333333"/>
        <w:sz w:val="16"/>
        <w:szCs w:val="16"/>
      </w:rPr>
      <w:fldChar w:fldCharType="separate"/>
    </w:r>
    <w:r w:rsidR="00401D5F">
      <w:rPr>
        <w:rFonts w:ascii="Arial" w:hAnsi="Arial" w:cs="Arial"/>
        <w:b/>
        <w:noProof/>
        <w:color w:val="333333"/>
        <w:sz w:val="16"/>
        <w:szCs w:val="16"/>
      </w:rPr>
      <w:t>7</w:t>
    </w:r>
    <w:r w:rsidRPr="0028642A">
      <w:rPr>
        <w:rFonts w:ascii="Arial" w:hAnsi="Arial" w:cs="Arial"/>
        <w:b/>
        <w:color w:val="333333"/>
        <w:sz w:val="16"/>
        <w:szCs w:val="16"/>
      </w:rPr>
      <w:fldChar w:fldCharType="end"/>
    </w:r>
    <w:r w:rsidRPr="0028642A">
      <w:rPr>
        <w:rFonts w:ascii="Arial" w:hAnsi="Arial" w:cs="Arial"/>
        <w:b/>
        <w:color w:val="333333"/>
        <w:sz w:val="16"/>
        <w:szCs w:val="16"/>
      </w:rPr>
      <w:t xml:space="preserve"> of </w:t>
    </w:r>
    <w:r w:rsidRPr="0028642A">
      <w:rPr>
        <w:rFonts w:ascii="Arial" w:hAnsi="Arial" w:cs="Arial"/>
        <w:b/>
        <w:color w:val="333333"/>
        <w:sz w:val="16"/>
        <w:szCs w:val="16"/>
      </w:rPr>
      <w:fldChar w:fldCharType="begin"/>
    </w:r>
    <w:r w:rsidRPr="0028642A">
      <w:rPr>
        <w:rFonts w:ascii="Arial" w:hAnsi="Arial" w:cs="Arial"/>
        <w:b/>
        <w:color w:val="333333"/>
        <w:sz w:val="16"/>
        <w:szCs w:val="16"/>
      </w:rPr>
      <w:instrText xml:space="preserve"> NUMPAGES </w:instrText>
    </w:r>
    <w:r w:rsidRPr="0028642A">
      <w:rPr>
        <w:rFonts w:ascii="Arial" w:hAnsi="Arial" w:cs="Arial"/>
        <w:b/>
        <w:color w:val="333333"/>
        <w:sz w:val="16"/>
        <w:szCs w:val="16"/>
      </w:rPr>
      <w:fldChar w:fldCharType="separate"/>
    </w:r>
    <w:r w:rsidR="00401D5F">
      <w:rPr>
        <w:rFonts w:ascii="Arial" w:hAnsi="Arial" w:cs="Arial"/>
        <w:b/>
        <w:noProof/>
        <w:color w:val="333333"/>
        <w:sz w:val="16"/>
        <w:szCs w:val="16"/>
      </w:rPr>
      <w:t>8</w:t>
    </w:r>
    <w:r w:rsidRPr="0028642A">
      <w:rPr>
        <w:rFonts w:ascii="Arial" w:hAnsi="Arial" w:cs="Arial"/>
        <w:b/>
        <w:color w:val="333333"/>
        <w:sz w:val="16"/>
        <w:szCs w:val="16"/>
      </w:rPr>
      <w:fldChar w:fldCharType="end"/>
    </w:r>
  </w:p>
  <w:p w14:paraId="10038B9B" w14:textId="77777777" w:rsidR="003E2271" w:rsidRPr="004811CE" w:rsidRDefault="003E2271" w:rsidP="0028642A">
    <w:pPr>
      <w:pStyle w:val="Footer"/>
      <w:tabs>
        <w:tab w:val="clear" w:pos="8306"/>
        <w:tab w:val="right" w:pos="9900"/>
      </w:tabs>
      <w:rPr>
        <w:rFonts w:ascii="Arial" w:hAnsi="Arial" w:cs="Arial"/>
        <w:color w:val="333333"/>
        <w:sz w:val="16"/>
        <w:szCs w:val="16"/>
      </w:rPr>
    </w:pPr>
    <w:r w:rsidRPr="004811CE">
      <w:rPr>
        <w:rFonts w:ascii="Arial" w:hAnsi="Arial" w:cs="Arial"/>
        <w:color w:val="333333"/>
        <w:sz w:val="16"/>
        <w:szCs w:val="16"/>
      </w:rPr>
      <w:t xml:space="preserve">Protocol </w:t>
    </w:r>
    <w:r>
      <w:rPr>
        <w:rFonts w:ascii="Arial" w:hAnsi="Arial" w:cs="Arial"/>
        <w:color w:val="333333"/>
        <w:sz w:val="16"/>
        <w:szCs w:val="16"/>
      </w:rPr>
      <w:t xml:space="preserve">Template </w:t>
    </w:r>
    <w:r w:rsidRPr="004811CE">
      <w:rPr>
        <w:rFonts w:ascii="Arial" w:hAnsi="Arial" w:cs="Arial"/>
        <w:color w:val="333333"/>
        <w:sz w:val="16"/>
        <w:szCs w:val="16"/>
      </w:rPr>
      <w:tab/>
    </w:r>
    <w:r w:rsidRPr="004811CE">
      <w:rPr>
        <w:rFonts w:ascii="Arial" w:hAnsi="Arial" w:cs="Arial"/>
        <w:color w:val="333333"/>
        <w:sz w:val="16"/>
        <w:szCs w:val="16"/>
      </w:rPr>
      <w:tab/>
    </w:r>
    <w:proofErr w:type="spellStart"/>
    <w:r>
      <w:rPr>
        <w:rFonts w:ascii="Arial" w:hAnsi="Arial" w:cs="Arial"/>
        <w:color w:val="333333"/>
        <w:sz w:val="16"/>
        <w:szCs w:val="16"/>
      </w:rPr>
      <w:t>Template</w:t>
    </w:r>
    <w:proofErr w:type="spellEnd"/>
    <w:r>
      <w:rPr>
        <w:rFonts w:ascii="Arial" w:hAnsi="Arial" w:cs="Arial"/>
        <w:color w:val="333333"/>
        <w:sz w:val="16"/>
        <w:szCs w:val="16"/>
      </w:rPr>
      <w:t xml:space="preserve"> Version: 1 July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2276B" w14:textId="77777777" w:rsidR="003E2271" w:rsidRDefault="003E2271">
      <w:r>
        <w:separator/>
      </w:r>
    </w:p>
  </w:footnote>
  <w:footnote w:type="continuationSeparator" w:id="0">
    <w:p w14:paraId="6AC345CF" w14:textId="77777777" w:rsidR="003E2271" w:rsidRDefault="003E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insideH w:val="none" w:sz="0" w:space="0" w:color="auto"/>
        <w:insideV w:val="none" w:sz="0" w:space="0" w:color="auto"/>
      </w:tblBorders>
      <w:tblLook w:val="01E0" w:firstRow="1" w:lastRow="1" w:firstColumn="1" w:lastColumn="1" w:noHBand="0" w:noVBand="0"/>
    </w:tblPr>
    <w:tblGrid>
      <w:gridCol w:w="1260"/>
      <w:gridCol w:w="8522"/>
    </w:tblGrid>
    <w:tr w:rsidR="003E2271" w14:paraId="785972FE" w14:textId="77777777" w:rsidTr="007227D9">
      <w:trPr>
        <w:trHeight w:val="540"/>
      </w:trPr>
      <w:tc>
        <w:tcPr>
          <w:tcW w:w="1260" w:type="dxa"/>
          <w:vMerge w:val="restart"/>
          <w:tcBorders>
            <w:top w:val="single" w:sz="4" w:space="0" w:color="auto"/>
            <w:bottom w:val="single" w:sz="4" w:space="0" w:color="auto"/>
            <w:right w:val="single" w:sz="4" w:space="0" w:color="auto"/>
          </w:tcBorders>
          <w:shd w:val="clear" w:color="auto" w:fill="auto"/>
        </w:tcPr>
        <w:p w14:paraId="0EE2EEC2" w14:textId="77777777" w:rsidR="003E2271" w:rsidRDefault="003E2271" w:rsidP="00584E20">
          <w:pPr>
            <w:tabs>
              <w:tab w:val="left" w:pos="2310"/>
            </w:tabs>
            <w:jc w:val="center"/>
            <w:rPr>
              <w:rFonts w:ascii="Arial" w:hAnsi="Arial" w:cs="Arial"/>
              <w:sz w:val="16"/>
              <w:szCs w:val="16"/>
            </w:rPr>
          </w:pPr>
          <w:r>
            <w:rPr>
              <w:noProof/>
            </w:rPr>
            <w:drawing>
              <wp:inline distT="0" distB="0" distL="0" distR="0" wp14:anchorId="52855287" wp14:editId="5FBBE5B3">
                <wp:extent cx="647700" cy="733425"/>
                <wp:effectExtent l="0" t="0" r="0" b="9525"/>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tc>
      <w:tc>
        <w:tcPr>
          <w:tcW w:w="8640" w:type="dxa"/>
          <w:tcBorders>
            <w:left w:val="single" w:sz="4" w:space="0" w:color="auto"/>
            <w:bottom w:val="nil"/>
          </w:tcBorders>
          <w:shd w:val="clear" w:color="auto" w:fill="auto"/>
          <w:vAlign w:val="center"/>
        </w:tcPr>
        <w:p w14:paraId="32EE3AFB" w14:textId="77777777" w:rsidR="003E2271" w:rsidRPr="004811CE" w:rsidRDefault="003E2271" w:rsidP="00520F31">
          <w:pPr>
            <w:pStyle w:val="Footer"/>
            <w:tabs>
              <w:tab w:val="clear" w:pos="8306"/>
              <w:tab w:val="right" w:pos="9900"/>
            </w:tabs>
            <w:rPr>
              <w:rFonts w:ascii="Arial" w:hAnsi="Arial" w:cs="Arial"/>
              <w:sz w:val="16"/>
              <w:szCs w:val="16"/>
            </w:rPr>
          </w:pPr>
          <w:r>
            <w:rPr>
              <w:rFonts w:ascii="Arial" w:hAnsi="Arial" w:cs="Arial"/>
              <w:sz w:val="16"/>
              <w:szCs w:val="16"/>
            </w:rPr>
            <w:t>Confidential</w:t>
          </w:r>
        </w:p>
      </w:tc>
    </w:tr>
    <w:tr w:rsidR="003E2271" w14:paraId="11477D1B" w14:textId="77777777">
      <w:trPr>
        <w:trHeight w:val="540"/>
      </w:trPr>
      <w:tc>
        <w:tcPr>
          <w:tcW w:w="1260" w:type="dxa"/>
          <w:vMerge/>
          <w:tcBorders>
            <w:top w:val="nil"/>
            <w:bottom w:val="single" w:sz="4" w:space="0" w:color="auto"/>
            <w:right w:val="single" w:sz="4" w:space="0" w:color="auto"/>
          </w:tcBorders>
          <w:shd w:val="clear" w:color="auto" w:fill="auto"/>
        </w:tcPr>
        <w:p w14:paraId="1A9D62E0" w14:textId="77777777" w:rsidR="003E2271" w:rsidRPr="00AD4960" w:rsidRDefault="003E2271" w:rsidP="00584E20">
          <w:pPr>
            <w:tabs>
              <w:tab w:val="left" w:pos="2310"/>
            </w:tabs>
            <w:rPr>
              <w:rFonts w:ascii="Arial" w:hAnsi="Arial" w:cs="Arial"/>
              <w:sz w:val="16"/>
              <w:szCs w:val="16"/>
            </w:rPr>
          </w:pPr>
        </w:p>
      </w:tc>
      <w:tc>
        <w:tcPr>
          <w:tcW w:w="8640" w:type="dxa"/>
          <w:tcBorders>
            <w:top w:val="nil"/>
            <w:left w:val="single" w:sz="4" w:space="0" w:color="auto"/>
            <w:bottom w:val="single" w:sz="4" w:space="0" w:color="auto"/>
          </w:tcBorders>
          <w:shd w:val="clear" w:color="auto" w:fill="F3F3F3"/>
          <w:vAlign w:val="center"/>
        </w:tcPr>
        <w:p w14:paraId="22E6F4BB" w14:textId="3EC8BC95" w:rsidR="003E2271" w:rsidRPr="0039029A" w:rsidRDefault="003E2271" w:rsidP="00393E58">
          <w:pPr>
            <w:tabs>
              <w:tab w:val="left" w:pos="2310"/>
            </w:tabs>
            <w:rPr>
              <w:rFonts w:ascii="Verdana" w:hAnsi="Verdana"/>
              <w:b/>
              <w:sz w:val="20"/>
              <w:szCs w:val="20"/>
            </w:rPr>
          </w:pPr>
          <w:r>
            <w:rPr>
              <w:rFonts w:ascii="Verdana" w:hAnsi="Verdana"/>
              <w:b/>
              <w:sz w:val="20"/>
              <w:szCs w:val="20"/>
            </w:rPr>
            <w:t xml:space="preserve">Protocol </w:t>
          </w:r>
        </w:p>
      </w:tc>
    </w:tr>
  </w:tbl>
  <w:p w14:paraId="7E97401C" w14:textId="77777777" w:rsidR="003E2271" w:rsidRPr="0028642A" w:rsidRDefault="003E2271" w:rsidP="00D758ED">
    <w:pPr>
      <w:pBdr>
        <w:bottom w:val="single" w:sz="6" w:space="1" w:color="auto"/>
      </w:pBdr>
      <w:tabs>
        <w:tab w:val="left" w:pos="1410"/>
      </w:tabs>
      <w:rPr>
        <w:rFonts w:ascii="Calisto MT" w:hAnsi="Calisto MT"/>
        <w:sz w:val="16"/>
        <w:szCs w:val="16"/>
      </w:rPr>
    </w:pPr>
    <w:r>
      <w:rPr>
        <w:rFonts w:ascii="Calisto MT" w:hAnsi="Calisto MT"/>
        <w:sz w:val="16"/>
        <w:szCs w:val="16"/>
      </w:rPr>
      <w:tab/>
    </w:r>
  </w:p>
  <w:p w14:paraId="0B836112" w14:textId="77777777" w:rsidR="003E2271" w:rsidRPr="0028642A" w:rsidRDefault="003E2271" w:rsidP="0028642A">
    <w:pPr>
      <w:jc w:val="center"/>
      <w:rPr>
        <w:rFonts w:ascii="Calisto MT" w:hAnsi="Calisto M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A6E"/>
    <w:multiLevelType w:val="hybridMultilevel"/>
    <w:tmpl w:val="A0B85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917398"/>
    <w:multiLevelType w:val="hybridMultilevel"/>
    <w:tmpl w:val="BF4690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0082A2B"/>
    <w:multiLevelType w:val="hybridMultilevel"/>
    <w:tmpl w:val="EFD0C80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8104544"/>
    <w:multiLevelType w:val="hybridMultilevel"/>
    <w:tmpl w:val="69BCC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DE3664"/>
    <w:multiLevelType w:val="hybridMultilevel"/>
    <w:tmpl w:val="0AC80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74EEE"/>
    <w:multiLevelType w:val="hybridMultilevel"/>
    <w:tmpl w:val="97E4A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1A428D"/>
    <w:multiLevelType w:val="hybridMultilevel"/>
    <w:tmpl w:val="D1123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7DA5C9A"/>
    <w:multiLevelType w:val="hybridMultilevel"/>
    <w:tmpl w:val="B46C4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052D35"/>
    <w:multiLevelType w:val="hybridMultilevel"/>
    <w:tmpl w:val="27E620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9809CE"/>
    <w:multiLevelType w:val="hybridMultilevel"/>
    <w:tmpl w:val="C06CA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792321"/>
    <w:multiLevelType w:val="hybridMultilevel"/>
    <w:tmpl w:val="B082E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144DFE"/>
    <w:multiLevelType w:val="hybridMultilevel"/>
    <w:tmpl w:val="C35A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25084E"/>
    <w:multiLevelType w:val="hybridMultilevel"/>
    <w:tmpl w:val="BC5A3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FE7748"/>
    <w:multiLevelType w:val="hybridMultilevel"/>
    <w:tmpl w:val="1D78E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513D25"/>
    <w:multiLevelType w:val="hybridMultilevel"/>
    <w:tmpl w:val="4FF60E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8C213D"/>
    <w:multiLevelType w:val="hybridMultilevel"/>
    <w:tmpl w:val="0AC80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5402E5"/>
    <w:multiLevelType w:val="hybridMultilevel"/>
    <w:tmpl w:val="08284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154D9F"/>
    <w:multiLevelType w:val="hybridMultilevel"/>
    <w:tmpl w:val="012C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523646"/>
    <w:multiLevelType w:val="hybridMultilevel"/>
    <w:tmpl w:val="8F4E3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897EB0"/>
    <w:multiLevelType w:val="hybridMultilevel"/>
    <w:tmpl w:val="2DE4F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1"/>
  </w:num>
  <w:num w:numId="4">
    <w:abstractNumId w:val="13"/>
  </w:num>
  <w:num w:numId="5">
    <w:abstractNumId w:val="10"/>
  </w:num>
  <w:num w:numId="6">
    <w:abstractNumId w:val="5"/>
  </w:num>
  <w:num w:numId="7">
    <w:abstractNumId w:val="3"/>
  </w:num>
  <w:num w:numId="8">
    <w:abstractNumId w:val="19"/>
  </w:num>
  <w:num w:numId="9">
    <w:abstractNumId w:val="14"/>
  </w:num>
  <w:num w:numId="10">
    <w:abstractNumId w:val="8"/>
  </w:num>
  <w:num w:numId="11">
    <w:abstractNumId w:val="0"/>
  </w:num>
  <w:num w:numId="12">
    <w:abstractNumId w:val="16"/>
  </w:num>
  <w:num w:numId="13">
    <w:abstractNumId w:val="9"/>
  </w:num>
  <w:num w:numId="14">
    <w:abstractNumId w:val="7"/>
  </w:num>
  <w:num w:numId="15">
    <w:abstractNumId w:val="18"/>
  </w:num>
  <w:num w:numId="16">
    <w:abstractNumId w:val="6"/>
  </w:num>
  <w:num w:numId="17">
    <w:abstractNumId w:val="15"/>
  </w:num>
  <w:num w:numId="18">
    <w:abstractNumId w:val="1"/>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8C"/>
    <w:rsid w:val="00003A96"/>
    <w:rsid w:val="000126A4"/>
    <w:rsid w:val="000127B7"/>
    <w:rsid w:val="000206DE"/>
    <w:rsid w:val="000279F2"/>
    <w:rsid w:val="00031B5C"/>
    <w:rsid w:val="000354B4"/>
    <w:rsid w:val="0004317C"/>
    <w:rsid w:val="00050B89"/>
    <w:rsid w:val="000653A5"/>
    <w:rsid w:val="000665A0"/>
    <w:rsid w:val="00074421"/>
    <w:rsid w:val="0007754A"/>
    <w:rsid w:val="00087460"/>
    <w:rsid w:val="00096594"/>
    <w:rsid w:val="000A0713"/>
    <w:rsid w:val="000A13D8"/>
    <w:rsid w:val="000A3877"/>
    <w:rsid w:val="000A62E9"/>
    <w:rsid w:val="000A6973"/>
    <w:rsid w:val="000B57BE"/>
    <w:rsid w:val="000C248D"/>
    <w:rsid w:val="000C3307"/>
    <w:rsid w:val="000C3F56"/>
    <w:rsid w:val="000C62C9"/>
    <w:rsid w:val="000D2718"/>
    <w:rsid w:val="000D31D4"/>
    <w:rsid w:val="000D6874"/>
    <w:rsid w:val="000E2CE7"/>
    <w:rsid w:val="000F13AF"/>
    <w:rsid w:val="000F351B"/>
    <w:rsid w:val="000F4660"/>
    <w:rsid w:val="000F4CE8"/>
    <w:rsid w:val="000F7729"/>
    <w:rsid w:val="00100953"/>
    <w:rsid w:val="001121FA"/>
    <w:rsid w:val="001143DE"/>
    <w:rsid w:val="001176F0"/>
    <w:rsid w:val="00140896"/>
    <w:rsid w:val="00144BD3"/>
    <w:rsid w:val="00153067"/>
    <w:rsid w:val="00155962"/>
    <w:rsid w:val="0015659D"/>
    <w:rsid w:val="00164E53"/>
    <w:rsid w:val="0017526C"/>
    <w:rsid w:val="00180549"/>
    <w:rsid w:val="001A75AB"/>
    <w:rsid w:val="001C1D3F"/>
    <w:rsid w:val="001C3A62"/>
    <w:rsid w:val="001D487E"/>
    <w:rsid w:val="001D4B2D"/>
    <w:rsid w:val="001E561F"/>
    <w:rsid w:val="0020303B"/>
    <w:rsid w:val="00203B01"/>
    <w:rsid w:val="00203FCC"/>
    <w:rsid w:val="00205695"/>
    <w:rsid w:val="00205ACD"/>
    <w:rsid w:val="002064F4"/>
    <w:rsid w:val="00206B2B"/>
    <w:rsid w:val="0022479D"/>
    <w:rsid w:val="00225CB9"/>
    <w:rsid w:val="0023176A"/>
    <w:rsid w:val="002360EB"/>
    <w:rsid w:val="002430B0"/>
    <w:rsid w:val="002470D1"/>
    <w:rsid w:val="00251796"/>
    <w:rsid w:val="00272DD3"/>
    <w:rsid w:val="0028073B"/>
    <w:rsid w:val="0028642A"/>
    <w:rsid w:val="002871CA"/>
    <w:rsid w:val="00292F61"/>
    <w:rsid w:val="002A0F0A"/>
    <w:rsid w:val="002C20AD"/>
    <w:rsid w:val="002C2745"/>
    <w:rsid w:val="002C4017"/>
    <w:rsid w:val="002C7325"/>
    <w:rsid w:val="002D1731"/>
    <w:rsid w:val="002D5E80"/>
    <w:rsid w:val="00330679"/>
    <w:rsid w:val="003345E7"/>
    <w:rsid w:val="00334973"/>
    <w:rsid w:val="00336E7B"/>
    <w:rsid w:val="003422AA"/>
    <w:rsid w:val="00342A10"/>
    <w:rsid w:val="003441C8"/>
    <w:rsid w:val="003508AB"/>
    <w:rsid w:val="003523B6"/>
    <w:rsid w:val="00352DD2"/>
    <w:rsid w:val="00362EAC"/>
    <w:rsid w:val="0036516B"/>
    <w:rsid w:val="00386758"/>
    <w:rsid w:val="0039236D"/>
    <w:rsid w:val="00393E58"/>
    <w:rsid w:val="0039658B"/>
    <w:rsid w:val="003A7736"/>
    <w:rsid w:val="003C0A51"/>
    <w:rsid w:val="003E2271"/>
    <w:rsid w:val="003E3018"/>
    <w:rsid w:val="003E3CAE"/>
    <w:rsid w:val="00401D5F"/>
    <w:rsid w:val="00412805"/>
    <w:rsid w:val="00415AA5"/>
    <w:rsid w:val="00416D50"/>
    <w:rsid w:val="0042102B"/>
    <w:rsid w:val="0042328E"/>
    <w:rsid w:val="004351E8"/>
    <w:rsid w:val="004358F3"/>
    <w:rsid w:val="004368F0"/>
    <w:rsid w:val="004811CE"/>
    <w:rsid w:val="00483BF3"/>
    <w:rsid w:val="00484B41"/>
    <w:rsid w:val="00493DDF"/>
    <w:rsid w:val="004A1142"/>
    <w:rsid w:val="004B1226"/>
    <w:rsid w:val="004B5C1A"/>
    <w:rsid w:val="004C3B40"/>
    <w:rsid w:val="004D5537"/>
    <w:rsid w:val="004E0552"/>
    <w:rsid w:val="004E1AF4"/>
    <w:rsid w:val="004E2987"/>
    <w:rsid w:val="004E6586"/>
    <w:rsid w:val="004F2E57"/>
    <w:rsid w:val="004F38A7"/>
    <w:rsid w:val="004F519F"/>
    <w:rsid w:val="004F5B91"/>
    <w:rsid w:val="00520F31"/>
    <w:rsid w:val="005210CF"/>
    <w:rsid w:val="00524360"/>
    <w:rsid w:val="00530973"/>
    <w:rsid w:val="00552140"/>
    <w:rsid w:val="00562688"/>
    <w:rsid w:val="005716B8"/>
    <w:rsid w:val="0057490E"/>
    <w:rsid w:val="00584E20"/>
    <w:rsid w:val="00585465"/>
    <w:rsid w:val="0058658D"/>
    <w:rsid w:val="005865A0"/>
    <w:rsid w:val="00586662"/>
    <w:rsid w:val="00586D97"/>
    <w:rsid w:val="00592210"/>
    <w:rsid w:val="00593A53"/>
    <w:rsid w:val="0059644D"/>
    <w:rsid w:val="0059760D"/>
    <w:rsid w:val="00597C52"/>
    <w:rsid w:val="005A525A"/>
    <w:rsid w:val="005B2F04"/>
    <w:rsid w:val="005B3A6F"/>
    <w:rsid w:val="005B5FDB"/>
    <w:rsid w:val="005C1123"/>
    <w:rsid w:val="005C161D"/>
    <w:rsid w:val="005D7D59"/>
    <w:rsid w:val="005D7F4C"/>
    <w:rsid w:val="005E5D19"/>
    <w:rsid w:val="00603FEB"/>
    <w:rsid w:val="006045DC"/>
    <w:rsid w:val="00624ECD"/>
    <w:rsid w:val="006334C2"/>
    <w:rsid w:val="006557D2"/>
    <w:rsid w:val="00674653"/>
    <w:rsid w:val="00686ED4"/>
    <w:rsid w:val="00692256"/>
    <w:rsid w:val="006A3F0D"/>
    <w:rsid w:val="006B1954"/>
    <w:rsid w:val="006C5BEB"/>
    <w:rsid w:val="006C6C76"/>
    <w:rsid w:val="006D2BD1"/>
    <w:rsid w:val="006D428D"/>
    <w:rsid w:val="006E6445"/>
    <w:rsid w:val="006E7E01"/>
    <w:rsid w:val="006F3624"/>
    <w:rsid w:val="006F6439"/>
    <w:rsid w:val="00700CB7"/>
    <w:rsid w:val="00721AFA"/>
    <w:rsid w:val="00722309"/>
    <w:rsid w:val="007227D9"/>
    <w:rsid w:val="00726F3D"/>
    <w:rsid w:val="00733E3C"/>
    <w:rsid w:val="00734597"/>
    <w:rsid w:val="00743271"/>
    <w:rsid w:val="007447AB"/>
    <w:rsid w:val="0074695D"/>
    <w:rsid w:val="00755799"/>
    <w:rsid w:val="00775ED4"/>
    <w:rsid w:val="007868FE"/>
    <w:rsid w:val="007A300E"/>
    <w:rsid w:val="007A327C"/>
    <w:rsid w:val="007A5030"/>
    <w:rsid w:val="007C0EC9"/>
    <w:rsid w:val="007C22C3"/>
    <w:rsid w:val="007C257C"/>
    <w:rsid w:val="007C370B"/>
    <w:rsid w:val="007D18C7"/>
    <w:rsid w:val="007E31C6"/>
    <w:rsid w:val="007E414C"/>
    <w:rsid w:val="007F4F27"/>
    <w:rsid w:val="00802128"/>
    <w:rsid w:val="00811B8C"/>
    <w:rsid w:val="00823286"/>
    <w:rsid w:val="008235F2"/>
    <w:rsid w:val="0083069A"/>
    <w:rsid w:val="0083549F"/>
    <w:rsid w:val="0083749D"/>
    <w:rsid w:val="00840F4C"/>
    <w:rsid w:val="008426F6"/>
    <w:rsid w:val="00864FF9"/>
    <w:rsid w:val="00867D0C"/>
    <w:rsid w:val="008751A9"/>
    <w:rsid w:val="00883B63"/>
    <w:rsid w:val="0089312D"/>
    <w:rsid w:val="008A2E54"/>
    <w:rsid w:val="008A60CA"/>
    <w:rsid w:val="008A723F"/>
    <w:rsid w:val="008B574D"/>
    <w:rsid w:val="008C2A75"/>
    <w:rsid w:val="008C6237"/>
    <w:rsid w:val="008D2AD2"/>
    <w:rsid w:val="008F20A1"/>
    <w:rsid w:val="00903549"/>
    <w:rsid w:val="00925F9A"/>
    <w:rsid w:val="00927514"/>
    <w:rsid w:val="00930676"/>
    <w:rsid w:val="00930E7F"/>
    <w:rsid w:val="009356C0"/>
    <w:rsid w:val="0094645B"/>
    <w:rsid w:val="00962DF0"/>
    <w:rsid w:val="009648FC"/>
    <w:rsid w:val="00964F85"/>
    <w:rsid w:val="0097596E"/>
    <w:rsid w:val="00990C8A"/>
    <w:rsid w:val="009955AE"/>
    <w:rsid w:val="00995BF1"/>
    <w:rsid w:val="00997A5B"/>
    <w:rsid w:val="009A0131"/>
    <w:rsid w:val="009A7191"/>
    <w:rsid w:val="009D00B2"/>
    <w:rsid w:val="009D4187"/>
    <w:rsid w:val="009E4433"/>
    <w:rsid w:val="009F4DD9"/>
    <w:rsid w:val="009F6C3F"/>
    <w:rsid w:val="00A1090D"/>
    <w:rsid w:val="00A134E6"/>
    <w:rsid w:val="00A2228D"/>
    <w:rsid w:val="00A46165"/>
    <w:rsid w:val="00A50C91"/>
    <w:rsid w:val="00A57429"/>
    <w:rsid w:val="00A611CC"/>
    <w:rsid w:val="00A6411F"/>
    <w:rsid w:val="00A75FEC"/>
    <w:rsid w:val="00A80F0A"/>
    <w:rsid w:val="00A83E2A"/>
    <w:rsid w:val="00AA026B"/>
    <w:rsid w:val="00AA7782"/>
    <w:rsid w:val="00AB487F"/>
    <w:rsid w:val="00AB5141"/>
    <w:rsid w:val="00AD65C7"/>
    <w:rsid w:val="00AE6F84"/>
    <w:rsid w:val="00AF6E39"/>
    <w:rsid w:val="00B067FC"/>
    <w:rsid w:val="00B2509F"/>
    <w:rsid w:val="00B35067"/>
    <w:rsid w:val="00B36923"/>
    <w:rsid w:val="00B36FE3"/>
    <w:rsid w:val="00B37E0F"/>
    <w:rsid w:val="00B4042A"/>
    <w:rsid w:val="00B441BE"/>
    <w:rsid w:val="00B5166B"/>
    <w:rsid w:val="00B5328C"/>
    <w:rsid w:val="00B6475B"/>
    <w:rsid w:val="00B7291C"/>
    <w:rsid w:val="00B75406"/>
    <w:rsid w:val="00B85A4F"/>
    <w:rsid w:val="00B907AB"/>
    <w:rsid w:val="00B96F5B"/>
    <w:rsid w:val="00BA1C97"/>
    <w:rsid w:val="00BA48F3"/>
    <w:rsid w:val="00BB337D"/>
    <w:rsid w:val="00BB572D"/>
    <w:rsid w:val="00BB73C0"/>
    <w:rsid w:val="00BC5631"/>
    <w:rsid w:val="00BC7560"/>
    <w:rsid w:val="00BC773C"/>
    <w:rsid w:val="00BE09AC"/>
    <w:rsid w:val="00BE6954"/>
    <w:rsid w:val="00BF5AB9"/>
    <w:rsid w:val="00BF71F3"/>
    <w:rsid w:val="00C0605A"/>
    <w:rsid w:val="00C07AAF"/>
    <w:rsid w:val="00C20B30"/>
    <w:rsid w:val="00C340CA"/>
    <w:rsid w:val="00C34349"/>
    <w:rsid w:val="00C34433"/>
    <w:rsid w:val="00C348B8"/>
    <w:rsid w:val="00C3669E"/>
    <w:rsid w:val="00C43964"/>
    <w:rsid w:val="00C43A7F"/>
    <w:rsid w:val="00C67621"/>
    <w:rsid w:val="00C71216"/>
    <w:rsid w:val="00C765BD"/>
    <w:rsid w:val="00CA3476"/>
    <w:rsid w:val="00CC1FEE"/>
    <w:rsid w:val="00CC5D3A"/>
    <w:rsid w:val="00CE2C2E"/>
    <w:rsid w:val="00CE65E4"/>
    <w:rsid w:val="00CE65ED"/>
    <w:rsid w:val="00CF42BE"/>
    <w:rsid w:val="00CF6A33"/>
    <w:rsid w:val="00D14548"/>
    <w:rsid w:val="00D16313"/>
    <w:rsid w:val="00D52B74"/>
    <w:rsid w:val="00D579D6"/>
    <w:rsid w:val="00D64B85"/>
    <w:rsid w:val="00D65EF1"/>
    <w:rsid w:val="00D701A2"/>
    <w:rsid w:val="00D758ED"/>
    <w:rsid w:val="00D76FB1"/>
    <w:rsid w:val="00D81A2F"/>
    <w:rsid w:val="00D91B00"/>
    <w:rsid w:val="00D939BB"/>
    <w:rsid w:val="00D9640F"/>
    <w:rsid w:val="00DB1EC8"/>
    <w:rsid w:val="00DB6A62"/>
    <w:rsid w:val="00DC3D9C"/>
    <w:rsid w:val="00DD01C7"/>
    <w:rsid w:val="00DD2E0A"/>
    <w:rsid w:val="00DD3CCD"/>
    <w:rsid w:val="00DD5C03"/>
    <w:rsid w:val="00DE6458"/>
    <w:rsid w:val="00DE770C"/>
    <w:rsid w:val="00E015AB"/>
    <w:rsid w:val="00E30F37"/>
    <w:rsid w:val="00E4338D"/>
    <w:rsid w:val="00E5590C"/>
    <w:rsid w:val="00E621DD"/>
    <w:rsid w:val="00E74483"/>
    <w:rsid w:val="00E9042C"/>
    <w:rsid w:val="00EA5C82"/>
    <w:rsid w:val="00EB23B3"/>
    <w:rsid w:val="00EB3FEB"/>
    <w:rsid w:val="00EB7492"/>
    <w:rsid w:val="00EC4E12"/>
    <w:rsid w:val="00EC7A1E"/>
    <w:rsid w:val="00EF550D"/>
    <w:rsid w:val="00F35A42"/>
    <w:rsid w:val="00F54A7A"/>
    <w:rsid w:val="00F60178"/>
    <w:rsid w:val="00F64B42"/>
    <w:rsid w:val="00FB5302"/>
    <w:rsid w:val="00FB7C02"/>
    <w:rsid w:val="00FC1A48"/>
    <w:rsid w:val="00FC46EB"/>
    <w:rsid w:val="00FC7AC8"/>
    <w:rsid w:val="00FE1BC4"/>
    <w:rsid w:val="00FF2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B890A5F"/>
  <w15:docId w15:val="{D7CEBFE0-6F55-4F36-BFB1-A36700BD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75B"/>
    <w:rPr>
      <w:sz w:val="24"/>
      <w:szCs w:val="24"/>
    </w:rPr>
  </w:style>
  <w:style w:type="paragraph" w:styleId="Heading1">
    <w:name w:val="heading 1"/>
    <w:basedOn w:val="Normal"/>
    <w:next w:val="Normal"/>
    <w:link w:val="Heading1Char"/>
    <w:qFormat/>
    <w:rsid w:val="004811CE"/>
    <w:pPr>
      <w:keepNext/>
      <w:keepLines/>
      <w:spacing w:before="480" w:line="276" w:lineRule="auto"/>
      <w:outlineLvl w:val="0"/>
    </w:pPr>
    <w:rPr>
      <w:rFonts w:ascii="Calibri" w:hAnsi="Calibri"/>
      <w:b/>
      <w:bCs/>
      <w:caps/>
      <w:color w:val="00000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5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A0131"/>
    <w:pPr>
      <w:tabs>
        <w:tab w:val="center" w:pos="4153"/>
        <w:tab w:val="right" w:pos="8306"/>
      </w:tabs>
    </w:pPr>
  </w:style>
  <w:style w:type="paragraph" w:styleId="Footer">
    <w:name w:val="footer"/>
    <w:basedOn w:val="Normal"/>
    <w:rsid w:val="009A0131"/>
    <w:pPr>
      <w:tabs>
        <w:tab w:val="center" w:pos="4153"/>
        <w:tab w:val="right" w:pos="8306"/>
      </w:tabs>
    </w:pPr>
  </w:style>
  <w:style w:type="character" w:customStyle="1" w:styleId="Heading1Char">
    <w:name w:val="Heading 1 Char"/>
    <w:basedOn w:val="DefaultParagraphFont"/>
    <w:link w:val="Heading1"/>
    <w:locked/>
    <w:rsid w:val="004811CE"/>
    <w:rPr>
      <w:rFonts w:ascii="Calibri" w:hAnsi="Calibri"/>
      <w:b/>
      <w:bCs/>
      <w:caps/>
      <w:color w:val="000000"/>
      <w:sz w:val="28"/>
      <w:szCs w:val="28"/>
      <w:lang w:val="en-AU" w:eastAsia="en-US" w:bidi="ar-SA"/>
    </w:rPr>
  </w:style>
  <w:style w:type="paragraph" w:customStyle="1" w:styleId="CharCharChar1">
    <w:name w:val="Char Char Char1"/>
    <w:basedOn w:val="Normal"/>
    <w:rsid w:val="00D9640F"/>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B7291C"/>
    <w:rPr>
      <w:rFonts w:ascii="Tahoma" w:hAnsi="Tahoma" w:cs="Tahoma"/>
      <w:sz w:val="16"/>
      <w:szCs w:val="16"/>
    </w:rPr>
  </w:style>
  <w:style w:type="character" w:customStyle="1" w:styleId="BalloonTextChar">
    <w:name w:val="Balloon Text Char"/>
    <w:basedOn w:val="DefaultParagraphFont"/>
    <w:link w:val="BalloonText"/>
    <w:uiPriority w:val="99"/>
    <w:semiHidden/>
    <w:rsid w:val="00B7291C"/>
    <w:rPr>
      <w:rFonts w:ascii="Tahoma" w:hAnsi="Tahoma" w:cs="Tahoma"/>
      <w:sz w:val="16"/>
      <w:szCs w:val="16"/>
    </w:rPr>
  </w:style>
  <w:style w:type="paragraph" w:customStyle="1" w:styleId="Default">
    <w:name w:val="Default"/>
    <w:rsid w:val="00B7291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73C0"/>
    <w:pPr>
      <w:ind w:left="720"/>
      <w:contextualSpacing/>
    </w:pPr>
  </w:style>
  <w:style w:type="character" w:styleId="Hyperlink">
    <w:name w:val="Hyperlink"/>
    <w:basedOn w:val="DefaultParagraphFont"/>
    <w:uiPriority w:val="99"/>
    <w:unhideWhenUsed/>
    <w:rsid w:val="00164E53"/>
    <w:rPr>
      <w:color w:val="0000FF" w:themeColor="hyperlink"/>
      <w:u w:val="single"/>
    </w:rPr>
  </w:style>
  <w:style w:type="character" w:styleId="CommentReference">
    <w:name w:val="annotation reference"/>
    <w:basedOn w:val="DefaultParagraphFont"/>
    <w:uiPriority w:val="99"/>
    <w:semiHidden/>
    <w:unhideWhenUsed/>
    <w:rsid w:val="004368F0"/>
    <w:rPr>
      <w:sz w:val="16"/>
      <w:szCs w:val="16"/>
    </w:rPr>
  </w:style>
  <w:style w:type="paragraph" w:styleId="CommentText">
    <w:name w:val="annotation text"/>
    <w:basedOn w:val="Normal"/>
    <w:link w:val="CommentTextChar"/>
    <w:uiPriority w:val="99"/>
    <w:unhideWhenUsed/>
    <w:rsid w:val="004368F0"/>
    <w:rPr>
      <w:sz w:val="20"/>
      <w:szCs w:val="20"/>
    </w:rPr>
  </w:style>
  <w:style w:type="character" w:customStyle="1" w:styleId="CommentTextChar">
    <w:name w:val="Comment Text Char"/>
    <w:basedOn w:val="DefaultParagraphFont"/>
    <w:link w:val="CommentText"/>
    <w:uiPriority w:val="99"/>
    <w:rsid w:val="004368F0"/>
  </w:style>
  <w:style w:type="paragraph" w:styleId="CommentSubject">
    <w:name w:val="annotation subject"/>
    <w:basedOn w:val="CommentText"/>
    <w:next w:val="CommentText"/>
    <w:link w:val="CommentSubjectChar"/>
    <w:uiPriority w:val="99"/>
    <w:semiHidden/>
    <w:unhideWhenUsed/>
    <w:rsid w:val="004368F0"/>
    <w:rPr>
      <w:b/>
      <w:bCs/>
    </w:rPr>
  </w:style>
  <w:style w:type="character" w:customStyle="1" w:styleId="CommentSubjectChar">
    <w:name w:val="Comment Subject Char"/>
    <w:basedOn w:val="CommentTextChar"/>
    <w:link w:val="CommentSubject"/>
    <w:uiPriority w:val="99"/>
    <w:semiHidden/>
    <w:rsid w:val="004368F0"/>
    <w:rPr>
      <w:b/>
      <w:bCs/>
    </w:rPr>
  </w:style>
  <w:style w:type="paragraph" w:customStyle="1" w:styleId="CharCharChar10">
    <w:name w:val="Char Char Char1"/>
    <w:basedOn w:val="Normal"/>
    <w:rsid w:val="00AD65C7"/>
    <w:pPr>
      <w:spacing w:after="160" w:line="240" w:lineRule="exact"/>
    </w:pPr>
    <w:rPr>
      <w:rFonts w:ascii="Verdana" w:hAnsi="Verdana"/>
      <w:sz w:val="20"/>
      <w:szCs w:val="20"/>
      <w:lang w:val="en-US" w:eastAsia="en-US"/>
    </w:rPr>
  </w:style>
  <w:style w:type="paragraph" w:styleId="Revision">
    <w:name w:val="Revision"/>
    <w:hidden/>
    <w:uiPriority w:val="99"/>
    <w:semiHidden/>
    <w:rsid w:val="000F4660"/>
    <w:rPr>
      <w:sz w:val="24"/>
      <w:szCs w:val="24"/>
    </w:rPr>
  </w:style>
  <w:style w:type="character" w:styleId="FollowedHyperlink">
    <w:name w:val="FollowedHyperlink"/>
    <w:basedOn w:val="DefaultParagraphFont"/>
    <w:uiPriority w:val="99"/>
    <w:semiHidden/>
    <w:unhideWhenUsed/>
    <w:rsid w:val="00330679"/>
    <w:rPr>
      <w:color w:val="800080" w:themeColor="followedHyperlink"/>
      <w:u w:val="single"/>
    </w:rPr>
  </w:style>
  <w:style w:type="paragraph" w:customStyle="1" w:styleId="CharCharChar11">
    <w:name w:val="Char Char Char1"/>
    <w:basedOn w:val="Normal"/>
    <w:rsid w:val="00330679"/>
    <w:pPr>
      <w:spacing w:after="160" w:line="240" w:lineRule="exact"/>
    </w:pPr>
    <w:rPr>
      <w:rFonts w:ascii="Verdana" w:hAnsi="Verdana"/>
      <w:sz w:val="20"/>
      <w:szCs w:val="20"/>
      <w:lang w:val="en-US" w:eastAsia="en-US"/>
    </w:rPr>
  </w:style>
  <w:style w:type="paragraph" w:customStyle="1" w:styleId="CharCharChar12">
    <w:name w:val="Char Char Char1"/>
    <w:basedOn w:val="Normal"/>
    <w:rsid w:val="002D5E8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2058">
      <w:bodyDiv w:val="1"/>
      <w:marLeft w:val="0"/>
      <w:marRight w:val="0"/>
      <w:marTop w:val="0"/>
      <w:marBottom w:val="0"/>
      <w:divBdr>
        <w:top w:val="none" w:sz="0" w:space="0" w:color="auto"/>
        <w:left w:val="none" w:sz="0" w:space="0" w:color="auto"/>
        <w:bottom w:val="none" w:sz="0" w:space="0" w:color="auto"/>
        <w:right w:val="none" w:sz="0" w:space="0" w:color="auto"/>
      </w:divBdr>
      <w:divsChild>
        <w:div w:id="369889664">
          <w:marLeft w:val="907"/>
          <w:marRight w:val="0"/>
          <w:marTop w:val="115"/>
          <w:marBottom w:val="0"/>
          <w:divBdr>
            <w:top w:val="none" w:sz="0" w:space="0" w:color="auto"/>
            <w:left w:val="none" w:sz="0" w:space="0" w:color="auto"/>
            <w:bottom w:val="none" w:sz="0" w:space="0" w:color="auto"/>
            <w:right w:val="none" w:sz="0" w:space="0" w:color="auto"/>
          </w:divBdr>
        </w:div>
        <w:div w:id="1664120690">
          <w:marLeft w:val="907"/>
          <w:marRight w:val="0"/>
          <w:marTop w:val="115"/>
          <w:marBottom w:val="0"/>
          <w:divBdr>
            <w:top w:val="none" w:sz="0" w:space="0" w:color="auto"/>
            <w:left w:val="none" w:sz="0" w:space="0" w:color="auto"/>
            <w:bottom w:val="none" w:sz="0" w:space="0" w:color="auto"/>
            <w:right w:val="none" w:sz="0" w:space="0" w:color="auto"/>
          </w:divBdr>
        </w:div>
        <w:div w:id="1152677650">
          <w:marLeft w:val="907"/>
          <w:marRight w:val="0"/>
          <w:marTop w:val="115"/>
          <w:marBottom w:val="0"/>
          <w:divBdr>
            <w:top w:val="none" w:sz="0" w:space="0" w:color="auto"/>
            <w:left w:val="none" w:sz="0" w:space="0" w:color="auto"/>
            <w:bottom w:val="none" w:sz="0" w:space="0" w:color="auto"/>
            <w:right w:val="none" w:sz="0" w:space="0" w:color="auto"/>
          </w:divBdr>
        </w:div>
      </w:divsChild>
    </w:div>
    <w:div w:id="1227490742">
      <w:bodyDiv w:val="1"/>
      <w:marLeft w:val="0"/>
      <w:marRight w:val="0"/>
      <w:marTop w:val="0"/>
      <w:marBottom w:val="0"/>
      <w:divBdr>
        <w:top w:val="none" w:sz="0" w:space="0" w:color="auto"/>
        <w:left w:val="none" w:sz="0" w:space="0" w:color="auto"/>
        <w:bottom w:val="none" w:sz="0" w:space="0" w:color="auto"/>
        <w:right w:val="none" w:sz="0" w:space="0" w:color="auto"/>
      </w:divBdr>
      <w:divsChild>
        <w:div w:id="2053455234">
          <w:marLeft w:val="0"/>
          <w:marRight w:val="0"/>
          <w:marTop w:val="0"/>
          <w:marBottom w:val="0"/>
          <w:divBdr>
            <w:top w:val="none" w:sz="0" w:space="0" w:color="auto"/>
            <w:left w:val="none" w:sz="0" w:space="0" w:color="auto"/>
            <w:bottom w:val="none" w:sz="0" w:space="0" w:color="auto"/>
            <w:right w:val="none" w:sz="0" w:space="0" w:color="auto"/>
          </w:divBdr>
          <w:divsChild>
            <w:div w:id="264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guidelines-publications/e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au/sites/default/files/ich13595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A60B-A4D1-4B30-B953-3268FD97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3197</Words>
  <Characters>18757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Peninsula Health</vt:lpstr>
    </vt:vector>
  </TitlesOfParts>
  <Company>Peninsula Health</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Health</dc:title>
  <dc:creator>Marta</dc:creator>
  <cp:lastModifiedBy>Banakh, Iouri</cp:lastModifiedBy>
  <cp:revision>9</cp:revision>
  <cp:lastPrinted>2017-10-22T20:40:00Z</cp:lastPrinted>
  <dcterms:created xsi:type="dcterms:W3CDTF">2019-02-08T05:47:00Z</dcterms:created>
  <dcterms:modified xsi:type="dcterms:W3CDTF">2019-02-11T02:32:00Z</dcterms:modified>
</cp:coreProperties>
</file>