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BE5CD0" w14:textId="77777777" w:rsidR="008D6F37" w:rsidRDefault="00712CC9" w:rsidP="00712CC9">
      <w:pPr>
        <w:pStyle w:val="Title"/>
        <w:jc w:val="center"/>
        <w:rPr>
          <w:sz w:val="36"/>
          <w:szCs w:val="36"/>
          <w:lang w:val="en-AU"/>
        </w:rPr>
      </w:pPr>
      <w:r w:rsidRPr="008D6F37">
        <w:rPr>
          <w:sz w:val="36"/>
          <w:szCs w:val="36"/>
          <w:lang w:val="en-AU"/>
        </w:rPr>
        <w:t>Protocol</w:t>
      </w:r>
      <w:r w:rsidR="00E6400B" w:rsidRPr="008D6F37">
        <w:rPr>
          <w:sz w:val="36"/>
          <w:szCs w:val="36"/>
          <w:lang w:val="en-AU"/>
        </w:rPr>
        <w:t>:</w:t>
      </w:r>
      <w:r w:rsidRPr="008D6F37">
        <w:rPr>
          <w:sz w:val="36"/>
          <w:szCs w:val="36"/>
          <w:lang w:val="en-AU"/>
        </w:rPr>
        <w:t xml:space="preserve"> </w:t>
      </w:r>
    </w:p>
    <w:p w14:paraId="18EFDB08" w14:textId="31A3ECC4" w:rsidR="00EC1497" w:rsidRPr="008D6F37" w:rsidRDefault="00F11E17" w:rsidP="00712CC9">
      <w:pPr>
        <w:pStyle w:val="Title"/>
        <w:jc w:val="center"/>
        <w:rPr>
          <w:sz w:val="36"/>
          <w:szCs w:val="36"/>
          <w:lang w:val="en-AU"/>
        </w:rPr>
      </w:pPr>
      <w:r w:rsidRPr="008D6F37">
        <w:rPr>
          <w:sz w:val="36"/>
          <w:szCs w:val="36"/>
          <w:lang w:val="en-AU"/>
        </w:rPr>
        <w:t>A</w:t>
      </w:r>
      <w:r w:rsidR="00A1363D">
        <w:rPr>
          <w:sz w:val="36"/>
          <w:szCs w:val="36"/>
          <w:lang w:val="en-AU"/>
        </w:rPr>
        <w:t xml:space="preserve"> multicentre</w:t>
      </w:r>
      <w:r w:rsidR="00610EC6" w:rsidRPr="008D6F37">
        <w:rPr>
          <w:sz w:val="36"/>
          <w:szCs w:val="36"/>
          <w:lang w:val="en-AU"/>
        </w:rPr>
        <w:t>,</w:t>
      </w:r>
      <w:r w:rsidR="00BC33F1" w:rsidRPr="008D6F37">
        <w:rPr>
          <w:sz w:val="36"/>
          <w:szCs w:val="36"/>
          <w:lang w:val="en-AU"/>
        </w:rPr>
        <w:t xml:space="preserve"> </w:t>
      </w:r>
      <w:proofErr w:type="spellStart"/>
      <w:r w:rsidR="00CA5FB1" w:rsidRPr="00CA5FB1">
        <w:rPr>
          <w:color w:val="FF0000"/>
          <w:sz w:val="36"/>
          <w:szCs w:val="36"/>
          <w:lang w:val="en-AU"/>
        </w:rPr>
        <w:t>OBSERV</w:t>
      </w:r>
      <w:r w:rsidR="00BC33F1" w:rsidRPr="008D6F37">
        <w:rPr>
          <w:sz w:val="36"/>
          <w:szCs w:val="36"/>
          <w:lang w:val="en-AU"/>
        </w:rPr>
        <w:t>ational</w:t>
      </w:r>
      <w:proofErr w:type="spellEnd"/>
      <w:r w:rsidR="00AF67F9">
        <w:rPr>
          <w:sz w:val="36"/>
          <w:szCs w:val="36"/>
          <w:lang w:val="en-AU"/>
        </w:rPr>
        <w:t>,</w:t>
      </w:r>
      <w:r w:rsidR="00712CC9" w:rsidRPr="008D6F37">
        <w:rPr>
          <w:sz w:val="36"/>
          <w:szCs w:val="36"/>
          <w:lang w:val="en-AU"/>
        </w:rPr>
        <w:t xml:space="preserve"> case control study to determine the efficacy and safety of </w:t>
      </w:r>
      <w:proofErr w:type="spellStart"/>
      <w:r w:rsidR="00712CC9" w:rsidRPr="008D6F37">
        <w:rPr>
          <w:sz w:val="36"/>
          <w:szCs w:val="36"/>
          <w:lang w:val="en-AU"/>
        </w:rPr>
        <w:t>Lumacaftor</w:t>
      </w:r>
      <w:proofErr w:type="spellEnd"/>
      <w:r w:rsidR="00712CC9" w:rsidRPr="008D6F37">
        <w:rPr>
          <w:sz w:val="36"/>
          <w:szCs w:val="36"/>
          <w:lang w:val="en-AU"/>
        </w:rPr>
        <w:t>/</w:t>
      </w:r>
      <w:proofErr w:type="spellStart"/>
      <w:r w:rsidR="00712CC9" w:rsidRPr="008D6F37">
        <w:rPr>
          <w:sz w:val="36"/>
          <w:szCs w:val="36"/>
          <w:lang w:val="en-AU"/>
        </w:rPr>
        <w:t>Ivacaftor</w:t>
      </w:r>
      <w:proofErr w:type="spellEnd"/>
      <w:r w:rsidR="00712CC9" w:rsidRPr="008D6F37">
        <w:rPr>
          <w:sz w:val="36"/>
          <w:szCs w:val="36"/>
          <w:lang w:val="en-AU"/>
        </w:rPr>
        <w:t xml:space="preserve"> in patients with </w:t>
      </w:r>
      <w:r w:rsidR="00CA5FB1" w:rsidRPr="00CA5FB1">
        <w:rPr>
          <w:sz w:val="36"/>
          <w:szCs w:val="36"/>
          <w:lang w:val="en-AU"/>
        </w:rPr>
        <w:t>sev</w:t>
      </w:r>
      <w:r w:rsidR="00712CC9" w:rsidRPr="008D6F37">
        <w:rPr>
          <w:sz w:val="36"/>
          <w:szCs w:val="36"/>
          <w:lang w:val="en-AU"/>
        </w:rPr>
        <w:t xml:space="preserve">ere lung disease and </w:t>
      </w:r>
      <w:r w:rsidR="00CA5FB1" w:rsidRPr="00CA5FB1">
        <w:rPr>
          <w:color w:val="FF0000"/>
          <w:sz w:val="36"/>
          <w:szCs w:val="36"/>
          <w:lang w:val="en-AU"/>
        </w:rPr>
        <w:t>C</w:t>
      </w:r>
      <w:r w:rsidR="00712CC9" w:rsidRPr="008D6F37">
        <w:rPr>
          <w:sz w:val="36"/>
          <w:szCs w:val="36"/>
          <w:lang w:val="en-AU"/>
        </w:rPr>
        <w:t xml:space="preserve">ystic </w:t>
      </w:r>
      <w:r w:rsidR="00CA5FB1" w:rsidRPr="00CA5FB1">
        <w:rPr>
          <w:color w:val="FF0000"/>
          <w:sz w:val="36"/>
          <w:szCs w:val="36"/>
          <w:lang w:val="en-AU"/>
        </w:rPr>
        <w:t>F</w:t>
      </w:r>
      <w:r w:rsidR="00712CC9" w:rsidRPr="008D6F37">
        <w:rPr>
          <w:sz w:val="36"/>
          <w:szCs w:val="36"/>
          <w:lang w:val="en-AU"/>
        </w:rPr>
        <w:t>ibrosis</w:t>
      </w:r>
    </w:p>
    <w:p w14:paraId="44B2936E" w14:textId="77777777" w:rsidR="00712CC9" w:rsidRDefault="00712CC9" w:rsidP="00712CC9">
      <w:pPr>
        <w:rPr>
          <w:lang w:val="en-AU"/>
        </w:rPr>
      </w:pPr>
    </w:p>
    <w:p w14:paraId="2587A64B" w14:textId="593A4E93" w:rsidR="00F9149C" w:rsidRPr="00F9149C" w:rsidRDefault="00F9149C" w:rsidP="00F9149C">
      <w:pPr>
        <w:jc w:val="center"/>
        <w:rPr>
          <w:color w:val="2F5496" w:themeColor="accent1" w:themeShade="BF"/>
          <w:sz w:val="36"/>
          <w:szCs w:val="36"/>
          <w:lang w:val="en-AU"/>
        </w:rPr>
      </w:pPr>
      <w:r w:rsidRPr="00F9149C">
        <w:rPr>
          <w:color w:val="2F5496" w:themeColor="accent1" w:themeShade="BF"/>
          <w:sz w:val="36"/>
          <w:szCs w:val="36"/>
          <w:lang w:val="en-AU"/>
        </w:rPr>
        <w:t>The OBSERVE CF Study</w:t>
      </w:r>
    </w:p>
    <w:p w14:paraId="11CEAE6B" w14:textId="77777777" w:rsidR="00712CC9" w:rsidRDefault="00712CC9" w:rsidP="00712CC9">
      <w:pPr>
        <w:pStyle w:val="Heading1"/>
        <w:rPr>
          <w:lang w:val="en-AU"/>
        </w:rPr>
      </w:pPr>
      <w:r>
        <w:rPr>
          <w:lang w:val="en-AU"/>
        </w:rPr>
        <w:t>Introduction</w:t>
      </w:r>
    </w:p>
    <w:p w14:paraId="4105EEFA" w14:textId="77777777" w:rsidR="00712CC9" w:rsidRPr="00712CC9" w:rsidRDefault="00712CC9" w:rsidP="00712CC9">
      <w:pPr>
        <w:rPr>
          <w:lang w:val="en-AU"/>
        </w:rPr>
      </w:pPr>
    </w:p>
    <w:p w14:paraId="1BADB7D3" w14:textId="11C3D26F" w:rsidR="00285155" w:rsidRDefault="005B4489" w:rsidP="00712CC9">
      <w:pPr>
        <w:rPr>
          <w:lang w:val="en-AU"/>
        </w:rPr>
      </w:pPr>
      <w:r>
        <w:rPr>
          <w:lang w:val="en-AU"/>
        </w:rPr>
        <w:t xml:space="preserve">Treatment with </w:t>
      </w:r>
      <w:proofErr w:type="spellStart"/>
      <w:r w:rsidR="00712CC9">
        <w:rPr>
          <w:lang w:val="en-AU"/>
        </w:rPr>
        <w:t>Lumacaftor</w:t>
      </w:r>
      <w:proofErr w:type="spellEnd"/>
      <w:r w:rsidR="00712CC9">
        <w:rPr>
          <w:lang w:val="en-AU"/>
        </w:rPr>
        <w:t>/</w:t>
      </w:r>
      <w:proofErr w:type="spellStart"/>
      <w:r w:rsidR="00712CC9">
        <w:rPr>
          <w:lang w:val="en-AU"/>
        </w:rPr>
        <w:t>Ivacaftor</w:t>
      </w:r>
      <w:proofErr w:type="spellEnd"/>
      <w:r w:rsidR="00712CC9">
        <w:rPr>
          <w:lang w:val="en-AU"/>
        </w:rPr>
        <w:t xml:space="preserve"> (LUM/IVA) </w:t>
      </w:r>
      <w:r>
        <w:rPr>
          <w:lang w:val="en-AU"/>
        </w:rPr>
        <w:t xml:space="preserve">for 24 weeks </w:t>
      </w:r>
      <w:r w:rsidR="00712CC9">
        <w:rPr>
          <w:lang w:val="en-AU"/>
        </w:rPr>
        <w:t xml:space="preserve">has been </w:t>
      </w:r>
      <w:r>
        <w:rPr>
          <w:lang w:val="en-AU"/>
        </w:rPr>
        <w:t>shown</w:t>
      </w:r>
      <w:r w:rsidR="00712CC9">
        <w:rPr>
          <w:lang w:val="en-AU"/>
        </w:rPr>
        <w:t xml:space="preserve"> to improve FEV1 and reduce exacerbation frequency in subjects with CF</w:t>
      </w:r>
      <w:r w:rsidR="00E6400B">
        <w:rPr>
          <w:lang w:val="en-AU"/>
        </w:rPr>
        <w:t xml:space="preserve"> who </w:t>
      </w:r>
      <w:r w:rsidR="00BE32C0">
        <w:rPr>
          <w:lang w:val="en-AU"/>
        </w:rPr>
        <w:t>are</w:t>
      </w:r>
      <w:r w:rsidR="00712CC9">
        <w:rPr>
          <w:lang w:val="en-AU"/>
        </w:rPr>
        <w:t xml:space="preserve"> homozygous for </w:t>
      </w:r>
      <w:r w:rsidR="00E6400B">
        <w:rPr>
          <w:lang w:val="en-AU"/>
        </w:rPr>
        <w:t xml:space="preserve">the </w:t>
      </w:r>
      <w:r w:rsidR="00712CC9">
        <w:rPr>
          <w:lang w:val="en-AU"/>
        </w:rPr>
        <w:t xml:space="preserve">F508del mutation of CFTR </w:t>
      </w:r>
      <w:r w:rsidR="00285155">
        <w:rPr>
          <w:lang w:val="en-AU"/>
        </w:rPr>
        <w:t xml:space="preserve">and </w:t>
      </w:r>
      <w:r w:rsidR="00E6400B">
        <w:rPr>
          <w:lang w:val="en-AU"/>
        </w:rPr>
        <w:t xml:space="preserve">have </w:t>
      </w:r>
      <w:r w:rsidR="00285155">
        <w:rPr>
          <w:lang w:val="en-AU"/>
        </w:rPr>
        <w:t>an FEV1 40-</w:t>
      </w:r>
      <w:r w:rsidR="00A45445">
        <w:rPr>
          <w:lang w:val="en-AU"/>
        </w:rPr>
        <w:t>9</w:t>
      </w:r>
      <w:r w:rsidR="00285155">
        <w:rPr>
          <w:lang w:val="en-AU"/>
        </w:rPr>
        <w:t xml:space="preserve">0% of predicted </w:t>
      </w:r>
      <w:r w:rsidR="00675C80">
        <w:rPr>
          <w:lang w:val="en-AU"/>
        </w:rPr>
        <w:t xml:space="preserve">normal values </w:t>
      </w:r>
      <w:r w:rsidR="00285155">
        <w:rPr>
          <w:lang w:val="en-AU"/>
        </w:rPr>
        <w:fldChar w:fldCharType="begin"/>
      </w:r>
      <w:r w:rsidR="00285155">
        <w:rPr>
          <w:lang w:val="en-AU"/>
        </w:rPr>
        <w:instrText xml:space="preserve"> ADDIN EN.CITE &lt;EndNote&gt;&lt;Cite&gt;&lt;Author&gt;Wainwright&lt;/Author&gt;&lt;Year&gt;2015&lt;/Year&gt;&lt;RecNum&gt;121&lt;/RecNum&gt;&lt;DisplayText&gt;&lt;style face="superscript"&gt;1&lt;/style&gt;&lt;/DisplayText&gt;&lt;record&gt;&lt;rec-number&gt;121&lt;/rec-number&gt;&lt;foreign-keys&gt;&lt;key app="EN" db-id="easfvvepmrvdvfe9027vs0wpe5ta5rea5rsx" timestamp="1499325329"&gt;121&lt;/key&gt;&lt;/foreign-keys&gt;&lt;ref-type name="Journal Article"&gt;17&lt;/ref-type&gt;&lt;contributors&gt;&lt;authors&gt;&lt;author&gt;Wainwright, C. E.&lt;/author&gt;&lt;author&gt;Elborn, J. S.&lt;/author&gt;&lt;author&gt;Ramsey, B. W.&lt;/author&gt;&lt;/authors&gt;&lt;/contributors&gt;&lt;titles&gt;&lt;title&gt;Lumacaftor-Ivacaftor in Patients with Cystic Fibrosis Homozygous for Phe508del CFTR&lt;/title&gt;&lt;secondary-title&gt;N Engl J Med&lt;/secondary-title&gt;&lt;/titles&gt;&lt;periodical&gt;&lt;full-title&gt;N Engl J Med&lt;/full-title&gt;&lt;/periodical&gt;&lt;pages&gt;1783-4&lt;/pages&gt;&lt;volume&gt;373&lt;/volume&gt;&lt;number&gt;18&lt;/number&gt;&lt;edition&gt;2015/10/29&lt;/edition&gt;&lt;keywords&gt;&lt;keyword&gt;Aminophenols/*administration &amp;amp; dosage&lt;/keyword&gt;&lt;keyword&gt;Aminopyridines/*administration &amp;amp; dosage&lt;/keyword&gt;&lt;keyword&gt;Benzodioxoles/*administration &amp;amp; dosage&lt;/keyword&gt;&lt;keyword&gt;Cystic Fibrosis/*drug therapy&lt;/keyword&gt;&lt;keyword&gt;Cystic Fibrosis Transmembrane Conductance Regulator/*genetics&lt;/keyword&gt;&lt;keyword&gt;Female&lt;/keyword&gt;&lt;keyword&gt;Humans&lt;/keyword&gt;&lt;keyword&gt;Male&lt;/keyword&gt;&lt;keyword&gt;Quinolones/*administration &amp;amp; dosage&lt;/keyword&gt;&lt;/keywords&gt;&lt;dates&gt;&lt;year&gt;2015&lt;/year&gt;&lt;pub-dates&gt;&lt;date&gt;Oct 29&lt;/date&gt;&lt;/pub-dates&gt;&lt;/dates&gt;&lt;isbn&gt;1533-4406 (Electronic)&amp;#xD;0028-4793 (Linking)&lt;/isbn&gt;&lt;accession-num&gt;26510034&lt;/accession-num&gt;&lt;urls&gt;&lt;related-urls&gt;&lt;url&gt;https://www.ncbi.nlm.nih.gov/pubmed/26510034&lt;/url&gt;&lt;/related-urls&gt;&lt;/urls&gt;&lt;electronic-resource-num&gt;10.1056/NEJMc1510466&lt;/electronic-resource-num&gt;&lt;/record&gt;&lt;/Cite&gt;&lt;/EndNote&gt;</w:instrText>
      </w:r>
      <w:r w:rsidR="00285155">
        <w:rPr>
          <w:lang w:val="en-AU"/>
        </w:rPr>
        <w:fldChar w:fldCharType="separate"/>
      </w:r>
      <w:r w:rsidR="00285155" w:rsidRPr="00285155">
        <w:rPr>
          <w:noProof/>
          <w:vertAlign w:val="superscript"/>
          <w:lang w:val="en-AU"/>
        </w:rPr>
        <w:t>1</w:t>
      </w:r>
      <w:r w:rsidR="00285155">
        <w:rPr>
          <w:lang w:val="en-AU"/>
        </w:rPr>
        <w:fldChar w:fldCharType="end"/>
      </w:r>
      <w:r w:rsidR="00BE32C0">
        <w:rPr>
          <w:lang w:val="en-AU"/>
        </w:rPr>
        <w:t>. In this</w:t>
      </w:r>
      <w:r w:rsidR="00A45445">
        <w:rPr>
          <w:lang w:val="en-AU"/>
        </w:rPr>
        <w:t xml:space="preserve"> </w:t>
      </w:r>
      <w:r w:rsidR="00BE32C0">
        <w:rPr>
          <w:lang w:val="en-AU"/>
        </w:rPr>
        <w:t>study cohort</w:t>
      </w:r>
      <w:r>
        <w:rPr>
          <w:lang w:val="en-AU"/>
        </w:rPr>
        <w:t xml:space="preserve"> continuation of LUM/IVA treatment</w:t>
      </w:r>
      <w:r w:rsidR="00285155">
        <w:rPr>
          <w:lang w:val="en-AU"/>
        </w:rPr>
        <w:t xml:space="preserve"> </w:t>
      </w:r>
      <w:r>
        <w:rPr>
          <w:lang w:val="en-AU"/>
        </w:rPr>
        <w:t xml:space="preserve">for 96 weeks </w:t>
      </w:r>
      <w:r w:rsidR="009D3672">
        <w:rPr>
          <w:lang w:val="en-AU"/>
        </w:rPr>
        <w:t xml:space="preserve">further </w:t>
      </w:r>
      <w:r>
        <w:rPr>
          <w:lang w:val="en-AU"/>
        </w:rPr>
        <w:t>demonstrated</w:t>
      </w:r>
      <w:r w:rsidR="00BE32C0">
        <w:rPr>
          <w:lang w:val="en-AU"/>
        </w:rPr>
        <w:t xml:space="preserve"> </w:t>
      </w:r>
      <w:r w:rsidR="00A45445">
        <w:rPr>
          <w:lang w:val="en-AU"/>
        </w:rPr>
        <w:t>that LUM/IVA reduced the annual rate of decline in FEV1</w:t>
      </w:r>
      <w:r w:rsidR="00A45445">
        <w:rPr>
          <w:lang w:val="en-AU"/>
        </w:rPr>
        <w:fldChar w:fldCharType="begin">
          <w:fldData xml:space="preserve">PEVuZE5vdGU+PENpdGU+PEF1dGhvcj5Lb25zdGFuPC9BdXRob3I+PFllYXI+MjAxNzwvWWVhcj48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</w:fldData>
        </w:fldChar>
      </w:r>
      <w:r w:rsidR="00A45445">
        <w:rPr>
          <w:lang w:val="en-AU"/>
        </w:rPr>
        <w:instrText xml:space="preserve"> ADDIN EN.CITE </w:instrText>
      </w:r>
      <w:r w:rsidR="00A45445">
        <w:rPr>
          <w:lang w:val="en-AU"/>
        </w:rPr>
        <w:fldChar w:fldCharType="begin">
          <w:fldData xml:space="preserve">PEVuZE5vdGU+PENpdGU+PEF1dGhvcj5Lb25zdGFuPC9BdXRob3I+PFllYXI+MjAxNzwvWWVhcj48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</w:fldData>
        </w:fldChar>
      </w:r>
      <w:r w:rsidR="00A45445">
        <w:rPr>
          <w:lang w:val="en-AU"/>
        </w:rPr>
        <w:instrText xml:space="preserve"> ADDIN EN.CITE.DATA </w:instrText>
      </w:r>
      <w:r w:rsidR="00A45445">
        <w:rPr>
          <w:lang w:val="en-AU"/>
        </w:rPr>
      </w:r>
      <w:r w:rsidR="00A45445">
        <w:rPr>
          <w:lang w:val="en-AU"/>
        </w:rPr>
        <w:fldChar w:fldCharType="end"/>
      </w:r>
      <w:r w:rsidR="00A45445">
        <w:rPr>
          <w:lang w:val="en-AU"/>
        </w:rPr>
      </w:r>
      <w:r w:rsidR="00A45445">
        <w:rPr>
          <w:lang w:val="en-AU"/>
        </w:rPr>
        <w:fldChar w:fldCharType="separate"/>
      </w:r>
      <w:r w:rsidR="00A45445" w:rsidRPr="00A45445">
        <w:rPr>
          <w:noProof/>
          <w:vertAlign w:val="superscript"/>
          <w:lang w:val="en-AU"/>
        </w:rPr>
        <w:t>2</w:t>
      </w:r>
      <w:r w:rsidR="00A45445">
        <w:rPr>
          <w:lang w:val="en-AU"/>
        </w:rPr>
        <w:fldChar w:fldCharType="end"/>
      </w:r>
      <w:r w:rsidR="00675C80">
        <w:rPr>
          <w:lang w:val="en-AU"/>
        </w:rPr>
        <w:t xml:space="preserve">. </w:t>
      </w:r>
    </w:p>
    <w:p w14:paraId="660B5BF6" w14:textId="77777777" w:rsidR="00E6400B" w:rsidRDefault="00E6400B" w:rsidP="00712CC9">
      <w:pPr>
        <w:rPr>
          <w:lang w:val="en-AU"/>
        </w:rPr>
      </w:pPr>
    </w:p>
    <w:p w14:paraId="110650CB" w14:textId="1A1D021B" w:rsidR="00BB7DD6" w:rsidRDefault="00B6131E" w:rsidP="00712CC9">
      <w:pPr>
        <w:rPr>
          <w:lang w:val="en-AU"/>
        </w:rPr>
      </w:pPr>
      <w:r>
        <w:rPr>
          <w:lang w:val="en-AU"/>
        </w:rPr>
        <w:t xml:space="preserve">In these </w:t>
      </w:r>
      <w:r w:rsidR="005B4489">
        <w:rPr>
          <w:lang w:val="en-AU"/>
        </w:rPr>
        <w:t xml:space="preserve">clinical </w:t>
      </w:r>
      <w:r>
        <w:rPr>
          <w:lang w:val="en-AU"/>
        </w:rPr>
        <w:t xml:space="preserve">trials dyspnoea and chest tightness </w:t>
      </w:r>
      <w:r w:rsidR="00213FB9">
        <w:rPr>
          <w:lang w:val="en-AU"/>
        </w:rPr>
        <w:t xml:space="preserve">were commonly reported side effects and </w:t>
      </w:r>
      <w:r w:rsidR="00E6400B">
        <w:rPr>
          <w:lang w:val="en-AU"/>
        </w:rPr>
        <w:t xml:space="preserve">the symptoms </w:t>
      </w:r>
      <w:r w:rsidR="005B4489">
        <w:rPr>
          <w:lang w:val="en-AU"/>
        </w:rPr>
        <w:t xml:space="preserve">in most cases </w:t>
      </w:r>
      <w:r w:rsidR="00E6400B">
        <w:rPr>
          <w:lang w:val="en-AU"/>
        </w:rPr>
        <w:t>were</w:t>
      </w:r>
      <w:r w:rsidR="00213FB9">
        <w:rPr>
          <w:lang w:val="en-AU"/>
        </w:rPr>
        <w:t xml:space="preserve"> </w:t>
      </w:r>
      <w:r w:rsidR="00BE32C0">
        <w:rPr>
          <w:lang w:val="en-AU"/>
        </w:rPr>
        <w:t xml:space="preserve">described as </w:t>
      </w:r>
      <w:r w:rsidR="00213FB9">
        <w:rPr>
          <w:lang w:val="en-AU"/>
        </w:rPr>
        <w:t>mild and transient</w:t>
      </w:r>
      <w:r w:rsidR="00552745" w:rsidRPr="001E65DE">
        <w:rPr>
          <w:vertAlign w:val="superscript"/>
          <w:lang w:val="en-AU"/>
        </w:rPr>
        <w:t>1</w:t>
      </w:r>
      <w:r w:rsidR="00E6400B">
        <w:rPr>
          <w:lang w:val="en-AU"/>
        </w:rPr>
        <w:t>. It is not known if people with CF who have</w:t>
      </w:r>
      <w:r w:rsidR="00213FB9">
        <w:rPr>
          <w:lang w:val="en-AU"/>
        </w:rPr>
        <w:t xml:space="preserve"> more severe lung disease</w:t>
      </w:r>
      <w:r w:rsidR="00E6400B">
        <w:rPr>
          <w:lang w:val="en-AU"/>
        </w:rPr>
        <w:t xml:space="preserve"> </w:t>
      </w:r>
      <w:r w:rsidR="00552745">
        <w:rPr>
          <w:lang w:val="en-AU"/>
        </w:rPr>
        <w:t xml:space="preserve">(i.e. FEV1 &lt;40% predicted) </w:t>
      </w:r>
      <w:r w:rsidR="005B4489">
        <w:rPr>
          <w:lang w:val="en-AU"/>
        </w:rPr>
        <w:t xml:space="preserve">and who were ineligible for the clinical trials referred to above, </w:t>
      </w:r>
      <w:r w:rsidR="00E6400B">
        <w:rPr>
          <w:lang w:val="en-AU"/>
        </w:rPr>
        <w:t>experience</w:t>
      </w:r>
      <w:r w:rsidR="00552745">
        <w:rPr>
          <w:lang w:val="en-AU"/>
        </w:rPr>
        <w:t xml:space="preserve"> </w:t>
      </w:r>
      <w:r w:rsidR="005B4489">
        <w:rPr>
          <w:lang w:val="en-AU"/>
        </w:rPr>
        <w:t xml:space="preserve">either </w:t>
      </w:r>
      <w:r w:rsidR="00552745">
        <w:rPr>
          <w:lang w:val="en-AU"/>
        </w:rPr>
        <w:t xml:space="preserve">similar benefits or </w:t>
      </w:r>
      <w:r w:rsidR="00BB7DD6">
        <w:rPr>
          <w:lang w:val="en-AU"/>
        </w:rPr>
        <w:t xml:space="preserve">adverse </w:t>
      </w:r>
      <w:r w:rsidR="00552745">
        <w:rPr>
          <w:lang w:val="en-AU"/>
        </w:rPr>
        <w:t>symptoms</w:t>
      </w:r>
      <w:r w:rsidR="00BE32C0">
        <w:rPr>
          <w:lang w:val="en-AU"/>
        </w:rPr>
        <w:t xml:space="preserve"> when treated with LUM/IVA</w:t>
      </w:r>
      <w:r w:rsidR="00213FB9">
        <w:rPr>
          <w:lang w:val="en-AU"/>
        </w:rPr>
        <w:t xml:space="preserve">. </w:t>
      </w:r>
    </w:p>
    <w:p w14:paraId="15EBA011" w14:textId="60ED35C8" w:rsidR="00BB7DD6" w:rsidRDefault="005B4489" w:rsidP="00712CC9">
      <w:pPr>
        <w:rPr>
          <w:lang w:val="en-AU"/>
        </w:rPr>
      </w:pPr>
      <w:r>
        <w:rPr>
          <w:lang w:val="en-AU"/>
        </w:rPr>
        <w:t xml:space="preserve"> </w:t>
      </w:r>
    </w:p>
    <w:p w14:paraId="76E0C08D" w14:textId="4557E357" w:rsidR="00A1363D" w:rsidRDefault="00BE32C0" w:rsidP="00712CC9">
      <w:pPr>
        <w:rPr>
          <w:lang w:val="en-AU"/>
        </w:rPr>
      </w:pPr>
      <w:r>
        <w:rPr>
          <w:lang w:val="en-AU"/>
        </w:rPr>
        <w:t>A</w:t>
      </w:r>
      <w:r w:rsidR="000675D7">
        <w:rPr>
          <w:lang w:val="en-AU"/>
        </w:rPr>
        <w:t xml:space="preserve">ccess to LUM/IVA </w:t>
      </w:r>
      <w:r>
        <w:rPr>
          <w:lang w:val="en-AU"/>
        </w:rPr>
        <w:t>for people with CF (</w:t>
      </w:r>
      <w:r w:rsidR="00BB7DD6">
        <w:rPr>
          <w:lang w:val="en-AU"/>
        </w:rPr>
        <w:t xml:space="preserve">and who are </w:t>
      </w:r>
      <w:r>
        <w:rPr>
          <w:lang w:val="en-AU"/>
        </w:rPr>
        <w:t xml:space="preserve">homozygous for the F508del mutation) </w:t>
      </w:r>
      <w:r w:rsidR="00BB7DD6">
        <w:rPr>
          <w:lang w:val="en-AU"/>
        </w:rPr>
        <w:t>with</w:t>
      </w:r>
      <w:r>
        <w:rPr>
          <w:lang w:val="en-AU"/>
        </w:rPr>
        <w:t xml:space="preserve"> severe lung disease</w:t>
      </w:r>
      <w:r w:rsidR="00BB7DD6">
        <w:rPr>
          <w:lang w:val="en-AU"/>
        </w:rPr>
        <w:t xml:space="preserve"> (i.e. FEV1 &lt;40% predicted)</w:t>
      </w:r>
      <w:r>
        <w:rPr>
          <w:lang w:val="en-AU"/>
        </w:rPr>
        <w:t xml:space="preserve"> is</w:t>
      </w:r>
      <w:r w:rsidR="00FA7735">
        <w:rPr>
          <w:lang w:val="en-AU"/>
        </w:rPr>
        <w:t xml:space="preserve"> </w:t>
      </w:r>
      <w:r w:rsidR="005B4489">
        <w:rPr>
          <w:lang w:val="en-AU"/>
        </w:rPr>
        <w:t xml:space="preserve">now </w:t>
      </w:r>
      <w:r w:rsidR="00FA7735">
        <w:rPr>
          <w:lang w:val="en-AU"/>
        </w:rPr>
        <w:t xml:space="preserve">available </w:t>
      </w:r>
      <w:r w:rsidR="005F4C33">
        <w:rPr>
          <w:lang w:val="en-AU"/>
        </w:rPr>
        <w:t xml:space="preserve">in Australia </w:t>
      </w:r>
      <w:r w:rsidR="00552745">
        <w:rPr>
          <w:lang w:val="en-AU"/>
        </w:rPr>
        <w:t xml:space="preserve">via a </w:t>
      </w:r>
      <w:r w:rsidR="00FA7735">
        <w:rPr>
          <w:lang w:val="en-AU"/>
        </w:rPr>
        <w:t xml:space="preserve">compassionate </w:t>
      </w:r>
      <w:r w:rsidR="00552745">
        <w:rPr>
          <w:lang w:val="en-AU"/>
        </w:rPr>
        <w:t>program</w:t>
      </w:r>
      <w:r w:rsidR="009D3672">
        <w:rPr>
          <w:lang w:val="en-AU"/>
        </w:rPr>
        <w:t xml:space="preserve"> (CAP)</w:t>
      </w:r>
      <w:r w:rsidR="00634826">
        <w:rPr>
          <w:lang w:val="en-AU"/>
        </w:rPr>
        <w:t xml:space="preserve">, though </w:t>
      </w:r>
      <w:r w:rsidR="005F4C33">
        <w:rPr>
          <w:lang w:val="en-AU"/>
        </w:rPr>
        <w:t xml:space="preserve">the </w:t>
      </w:r>
      <w:r w:rsidR="00634826">
        <w:rPr>
          <w:lang w:val="en-AU"/>
        </w:rPr>
        <w:t>efficacy</w:t>
      </w:r>
      <w:r w:rsidR="005B4489">
        <w:rPr>
          <w:lang w:val="en-AU"/>
        </w:rPr>
        <w:t xml:space="preserve"> and safety</w:t>
      </w:r>
      <w:r w:rsidR="00634826">
        <w:rPr>
          <w:lang w:val="en-AU"/>
        </w:rPr>
        <w:t xml:space="preserve"> </w:t>
      </w:r>
      <w:r w:rsidR="00552745">
        <w:rPr>
          <w:lang w:val="en-AU"/>
        </w:rPr>
        <w:t xml:space="preserve">of the treatment </w:t>
      </w:r>
      <w:r w:rsidR="00634826">
        <w:rPr>
          <w:lang w:val="en-AU"/>
        </w:rPr>
        <w:t xml:space="preserve">in this group </w:t>
      </w:r>
      <w:r>
        <w:rPr>
          <w:lang w:val="en-AU"/>
        </w:rPr>
        <w:t xml:space="preserve">of patients </w:t>
      </w:r>
      <w:r w:rsidR="00634826">
        <w:rPr>
          <w:lang w:val="en-AU"/>
        </w:rPr>
        <w:t xml:space="preserve">remains unclear. </w:t>
      </w:r>
      <w:r>
        <w:rPr>
          <w:lang w:val="en-AU"/>
        </w:rPr>
        <w:t xml:space="preserve"> </w:t>
      </w:r>
      <w:r w:rsidR="00BB7DD6">
        <w:rPr>
          <w:lang w:val="en-AU"/>
        </w:rPr>
        <w:t>R</w:t>
      </w:r>
      <w:r w:rsidR="00213FB9">
        <w:rPr>
          <w:lang w:val="en-AU"/>
        </w:rPr>
        <w:t xml:space="preserve">ecent reports have raised concerns </w:t>
      </w:r>
      <w:r w:rsidR="00092398">
        <w:rPr>
          <w:lang w:val="en-AU"/>
        </w:rPr>
        <w:t xml:space="preserve">that LUM/IVA </w:t>
      </w:r>
      <w:r w:rsidR="00BB7DD6">
        <w:rPr>
          <w:lang w:val="en-AU"/>
        </w:rPr>
        <w:t xml:space="preserve">treatment in CF patients with severe lung disease </w:t>
      </w:r>
      <w:r w:rsidR="00092398">
        <w:rPr>
          <w:lang w:val="en-AU"/>
        </w:rPr>
        <w:t>leads</w:t>
      </w:r>
      <w:r w:rsidR="009D3672">
        <w:rPr>
          <w:lang w:val="en-AU"/>
        </w:rPr>
        <w:t xml:space="preserve"> to</w:t>
      </w:r>
      <w:r w:rsidR="00552745">
        <w:rPr>
          <w:lang w:val="en-AU"/>
        </w:rPr>
        <w:t>,</w:t>
      </w:r>
      <w:r w:rsidR="00092398">
        <w:rPr>
          <w:lang w:val="en-AU"/>
        </w:rPr>
        <w:t xml:space="preserve"> at least transiently</w:t>
      </w:r>
      <w:r w:rsidR="00552745">
        <w:rPr>
          <w:lang w:val="en-AU"/>
        </w:rPr>
        <w:t>,</w:t>
      </w:r>
      <w:r w:rsidR="00092398">
        <w:rPr>
          <w:lang w:val="en-AU"/>
        </w:rPr>
        <w:t xml:space="preserve"> a fall in lung function</w:t>
      </w:r>
      <w:r w:rsidR="00BB7DD6">
        <w:rPr>
          <w:lang w:val="en-AU"/>
        </w:rPr>
        <w:t xml:space="preserve"> and</w:t>
      </w:r>
      <w:r w:rsidR="00634826">
        <w:rPr>
          <w:lang w:val="en-AU"/>
        </w:rPr>
        <w:t xml:space="preserve"> </w:t>
      </w:r>
      <w:r w:rsidR="00BB7DD6">
        <w:rPr>
          <w:lang w:val="en-AU"/>
        </w:rPr>
        <w:t xml:space="preserve">a </w:t>
      </w:r>
      <w:r w:rsidR="00634826">
        <w:rPr>
          <w:lang w:val="en-AU"/>
        </w:rPr>
        <w:t xml:space="preserve">higher </w:t>
      </w:r>
      <w:r w:rsidR="00BB7DD6">
        <w:rPr>
          <w:lang w:val="en-AU"/>
        </w:rPr>
        <w:t>incidence</w:t>
      </w:r>
      <w:r w:rsidR="00634826">
        <w:rPr>
          <w:lang w:val="en-AU"/>
        </w:rPr>
        <w:t xml:space="preserve"> of chest tightness</w:t>
      </w:r>
      <w:r w:rsidR="00BB7DD6">
        <w:rPr>
          <w:lang w:val="en-AU"/>
        </w:rPr>
        <w:t xml:space="preserve">. </w:t>
      </w:r>
      <w:r w:rsidR="00A1363D">
        <w:rPr>
          <w:lang w:val="en-AU"/>
        </w:rPr>
        <w:t xml:space="preserve">Clearly, in this group of patients any fall in lung function </w:t>
      </w:r>
      <w:r w:rsidR="009D3672">
        <w:rPr>
          <w:lang w:val="en-AU"/>
        </w:rPr>
        <w:t>may be</w:t>
      </w:r>
      <w:r w:rsidR="00A1363D">
        <w:rPr>
          <w:lang w:val="en-AU"/>
        </w:rPr>
        <w:t xml:space="preserve"> </w:t>
      </w:r>
      <w:r w:rsidR="009D3672">
        <w:rPr>
          <w:lang w:val="en-AU"/>
        </w:rPr>
        <w:t>clinically serious</w:t>
      </w:r>
      <w:r w:rsidR="00A1363D">
        <w:rPr>
          <w:lang w:val="en-AU"/>
        </w:rPr>
        <w:t xml:space="preserve">. </w:t>
      </w:r>
      <w:r w:rsidR="00BB7DD6">
        <w:rPr>
          <w:lang w:val="en-AU"/>
        </w:rPr>
        <w:t xml:space="preserve">Further, </w:t>
      </w:r>
      <w:r w:rsidR="00634826">
        <w:rPr>
          <w:lang w:val="en-AU"/>
        </w:rPr>
        <w:t xml:space="preserve">up to 30% </w:t>
      </w:r>
      <w:r w:rsidR="005F4C33">
        <w:rPr>
          <w:lang w:val="en-AU"/>
        </w:rPr>
        <w:t xml:space="preserve">of patients </w:t>
      </w:r>
      <w:r w:rsidR="00A1363D">
        <w:rPr>
          <w:lang w:val="en-AU"/>
        </w:rPr>
        <w:t>receiving LUM/IVA</w:t>
      </w:r>
      <w:r w:rsidR="00BB7DD6">
        <w:rPr>
          <w:lang w:val="en-AU"/>
        </w:rPr>
        <w:t xml:space="preserve"> discontinue</w:t>
      </w:r>
      <w:r w:rsidR="005F4C33">
        <w:rPr>
          <w:lang w:val="en-AU"/>
        </w:rPr>
        <w:t xml:space="preserve"> </w:t>
      </w:r>
      <w:r>
        <w:rPr>
          <w:lang w:val="en-AU"/>
        </w:rPr>
        <w:t>treatment because</w:t>
      </w:r>
      <w:r w:rsidR="005F4C33">
        <w:rPr>
          <w:lang w:val="en-AU"/>
        </w:rPr>
        <w:t xml:space="preserve"> of </w:t>
      </w:r>
      <w:r w:rsidR="00A1363D">
        <w:rPr>
          <w:lang w:val="en-AU"/>
        </w:rPr>
        <w:t xml:space="preserve">the persistence of </w:t>
      </w:r>
      <w:r w:rsidR="00BB7DD6">
        <w:rPr>
          <w:lang w:val="en-AU"/>
        </w:rPr>
        <w:t xml:space="preserve">respiratory </w:t>
      </w:r>
      <w:r w:rsidR="005F4C33">
        <w:rPr>
          <w:lang w:val="en-AU"/>
        </w:rPr>
        <w:t>adverse events associated with the treatment</w:t>
      </w:r>
      <w:r>
        <w:rPr>
          <w:lang w:val="en-AU"/>
        </w:rPr>
        <w:t xml:space="preserve"> </w:t>
      </w:r>
      <w:r w:rsidRPr="00BE32C0">
        <w:rPr>
          <w:vertAlign w:val="superscript"/>
          <w:lang w:val="en-AU"/>
        </w:rPr>
        <w:t>3,4</w:t>
      </w:r>
      <w:r w:rsidR="00634826">
        <w:rPr>
          <w:lang w:val="en-AU"/>
        </w:rPr>
        <w:t>.</w:t>
      </w:r>
      <w:r w:rsidR="00BB7DD6">
        <w:rPr>
          <w:lang w:val="en-AU"/>
        </w:rPr>
        <w:t xml:space="preserve"> </w:t>
      </w:r>
    </w:p>
    <w:p w14:paraId="09587574" w14:textId="77777777" w:rsidR="00A1363D" w:rsidRDefault="00A1363D" w:rsidP="00712CC9">
      <w:pPr>
        <w:rPr>
          <w:lang w:val="en-AU"/>
        </w:rPr>
      </w:pPr>
    </w:p>
    <w:p w14:paraId="7271ECAC" w14:textId="3C1C4F09" w:rsidR="00B6131E" w:rsidRDefault="00A1363D" w:rsidP="00712CC9">
      <w:pPr>
        <w:rPr>
          <w:lang w:val="en-AU"/>
        </w:rPr>
      </w:pPr>
      <w:r>
        <w:rPr>
          <w:lang w:val="en-AU"/>
        </w:rPr>
        <w:t xml:space="preserve">This study aims </w:t>
      </w:r>
      <w:r w:rsidR="00317364">
        <w:rPr>
          <w:lang w:val="en-AU"/>
        </w:rPr>
        <w:t xml:space="preserve">to add to </w:t>
      </w:r>
      <w:r w:rsidR="00465315">
        <w:rPr>
          <w:lang w:val="en-AU"/>
        </w:rPr>
        <w:t xml:space="preserve">emerging </w:t>
      </w:r>
      <w:r w:rsidR="00317364">
        <w:rPr>
          <w:lang w:val="en-AU"/>
        </w:rPr>
        <w:t>data on the safety and efficacy of LUM/IVA in people with CF who have severe lung disease.</w:t>
      </w:r>
    </w:p>
    <w:p w14:paraId="5DAF20E7" w14:textId="77777777" w:rsidR="00A1363D" w:rsidRDefault="00A1363D" w:rsidP="00712CC9">
      <w:pPr>
        <w:rPr>
          <w:lang w:val="en-AU"/>
        </w:rPr>
      </w:pPr>
    </w:p>
    <w:p w14:paraId="228E27A5" w14:textId="77777777" w:rsidR="00A1363D" w:rsidRDefault="00A1363D" w:rsidP="00712CC9">
      <w:pPr>
        <w:rPr>
          <w:lang w:val="en-AU"/>
        </w:rPr>
      </w:pPr>
    </w:p>
    <w:p w14:paraId="6C3A60E6" w14:textId="2E14C0F9" w:rsidR="00634826" w:rsidRDefault="008258C3" w:rsidP="00634826">
      <w:pPr>
        <w:pStyle w:val="Heading1"/>
        <w:rPr>
          <w:lang w:val="en-AU"/>
        </w:rPr>
      </w:pPr>
      <w:r>
        <w:rPr>
          <w:lang w:val="en-AU"/>
        </w:rPr>
        <w:t>Aim</w:t>
      </w:r>
    </w:p>
    <w:p w14:paraId="25992EAE" w14:textId="0948ECE0" w:rsidR="00634826" w:rsidRDefault="00634826" w:rsidP="00634826">
      <w:pPr>
        <w:rPr>
          <w:lang w:val="en-AU"/>
        </w:rPr>
      </w:pPr>
      <w:r>
        <w:rPr>
          <w:lang w:val="en-AU"/>
        </w:rPr>
        <w:t xml:space="preserve">To determine the safety and efficacy of </w:t>
      </w:r>
      <w:r w:rsidR="008258C3">
        <w:rPr>
          <w:lang w:val="en-AU"/>
        </w:rPr>
        <w:t xml:space="preserve">LUM/IVA </w:t>
      </w:r>
      <w:r>
        <w:rPr>
          <w:lang w:val="en-AU"/>
        </w:rPr>
        <w:t>in subjects &gt;12 years</w:t>
      </w:r>
      <w:r w:rsidR="005F4C33">
        <w:rPr>
          <w:lang w:val="en-AU"/>
        </w:rPr>
        <w:t xml:space="preserve"> of age</w:t>
      </w:r>
      <w:r>
        <w:rPr>
          <w:lang w:val="en-AU"/>
        </w:rPr>
        <w:t xml:space="preserve"> with CF, homozygous for F508del mutation of CFTR and an FEV1&lt;40% of predicted normal, </w:t>
      </w:r>
      <w:r w:rsidR="00BC33F1">
        <w:rPr>
          <w:lang w:val="en-AU"/>
        </w:rPr>
        <w:t xml:space="preserve">by </w:t>
      </w:r>
      <w:r>
        <w:rPr>
          <w:lang w:val="en-AU"/>
        </w:rPr>
        <w:t>compar</w:t>
      </w:r>
      <w:r w:rsidR="007F273F">
        <w:rPr>
          <w:lang w:val="en-AU"/>
        </w:rPr>
        <w:t>ing tho</w:t>
      </w:r>
      <w:r w:rsidR="00BC33F1">
        <w:rPr>
          <w:lang w:val="en-AU"/>
        </w:rPr>
        <w:t xml:space="preserve">se patients treated with </w:t>
      </w:r>
      <w:r w:rsidR="008258C3">
        <w:rPr>
          <w:lang w:val="en-AU"/>
        </w:rPr>
        <w:t xml:space="preserve">LUM/IVA </w:t>
      </w:r>
      <w:r w:rsidR="00BE32C0">
        <w:rPr>
          <w:lang w:val="en-AU"/>
        </w:rPr>
        <w:t>with</w:t>
      </w:r>
      <w:r>
        <w:rPr>
          <w:lang w:val="en-AU"/>
        </w:rPr>
        <w:t xml:space="preserve"> a cohort of age and sex matched </w:t>
      </w:r>
      <w:r w:rsidR="005F4C33">
        <w:rPr>
          <w:lang w:val="en-AU"/>
        </w:rPr>
        <w:t xml:space="preserve">CF </w:t>
      </w:r>
      <w:r>
        <w:rPr>
          <w:lang w:val="en-AU"/>
        </w:rPr>
        <w:t>controls with another set of mutations that lead to severe CFTR dysfunction (belonging to Class I, II or III), with an FEV1&lt;40%</w:t>
      </w:r>
      <w:r w:rsidR="008D6F37" w:rsidRPr="008D6F37">
        <w:rPr>
          <w:vertAlign w:val="superscript"/>
          <w:lang w:val="en-AU"/>
        </w:rPr>
        <w:t>5</w:t>
      </w:r>
      <w:r w:rsidR="00DB31ED">
        <w:rPr>
          <w:lang w:val="en-AU"/>
        </w:rPr>
        <w:t>.</w:t>
      </w:r>
    </w:p>
    <w:p w14:paraId="128224C8" w14:textId="77777777" w:rsidR="00DB31ED" w:rsidRDefault="00DB31ED" w:rsidP="00634826">
      <w:pPr>
        <w:rPr>
          <w:lang w:val="en-AU"/>
        </w:rPr>
      </w:pPr>
    </w:p>
    <w:p w14:paraId="794A5298" w14:textId="77777777" w:rsidR="00DB31ED" w:rsidRDefault="00DB31ED" w:rsidP="00DB31ED">
      <w:pPr>
        <w:pStyle w:val="Heading1"/>
        <w:rPr>
          <w:lang w:val="en-AU"/>
        </w:rPr>
      </w:pPr>
      <w:r>
        <w:rPr>
          <w:lang w:val="en-AU"/>
        </w:rPr>
        <w:lastRenderedPageBreak/>
        <w:t>Outcomes</w:t>
      </w:r>
    </w:p>
    <w:p w14:paraId="45085E2F" w14:textId="3CA78A84" w:rsidR="008A1422" w:rsidRDefault="00DB31ED" w:rsidP="00DB31ED">
      <w:pPr>
        <w:rPr>
          <w:lang w:val="en-AU"/>
        </w:rPr>
      </w:pPr>
      <w:r w:rsidRPr="00AD23B8">
        <w:rPr>
          <w:b/>
          <w:lang w:val="en-AU"/>
        </w:rPr>
        <w:t>Primary outcome</w:t>
      </w:r>
      <w:r w:rsidR="008A1422">
        <w:rPr>
          <w:lang w:val="en-AU"/>
        </w:rPr>
        <w:t>:</w:t>
      </w:r>
    </w:p>
    <w:p w14:paraId="7DF1105C" w14:textId="11081D71" w:rsidR="00DB31ED" w:rsidRDefault="005F4C33" w:rsidP="00DB31ED">
      <w:pPr>
        <w:rPr>
          <w:lang w:val="en-AU"/>
        </w:rPr>
      </w:pPr>
      <w:r>
        <w:rPr>
          <w:lang w:val="en-AU"/>
        </w:rPr>
        <w:t xml:space="preserve">Number of </w:t>
      </w:r>
      <w:r w:rsidR="00DB31ED">
        <w:rPr>
          <w:lang w:val="en-AU"/>
        </w:rPr>
        <w:t>exacerbations of CF lung disease requiring the use of intravenous antibiotics</w:t>
      </w:r>
      <w:r>
        <w:rPr>
          <w:lang w:val="en-AU"/>
        </w:rPr>
        <w:t xml:space="preserve"> </w:t>
      </w:r>
      <w:r w:rsidR="00BC33F1">
        <w:rPr>
          <w:lang w:val="en-AU"/>
        </w:rPr>
        <w:t>during</w:t>
      </w:r>
      <w:r>
        <w:rPr>
          <w:lang w:val="en-AU"/>
        </w:rPr>
        <w:t xml:space="preserve"> a 12 month </w:t>
      </w:r>
      <w:r w:rsidR="00BC33F1">
        <w:rPr>
          <w:lang w:val="en-AU"/>
        </w:rPr>
        <w:t xml:space="preserve">observation </w:t>
      </w:r>
      <w:r>
        <w:rPr>
          <w:lang w:val="en-AU"/>
        </w:rPr>
        <w:t>period</w:t>
      </w:r>
      <w:r w:rsidR="00DB31ED">
        <w:rPr>
          <w:lang w:val="en-AU"/>
        </w:rPr>
        <w:t>.</w:t>
      </w:r>
      <w:r w:rsidR="00AD23B8">
        <w:rPr>
          <w:lang w:val="en-AU"/>
        </w:rPr>
        <w:t xml:space="preserve"> This will include all exacerbations treated with IV antibiotics, including hospitalisation and hospital in the home treatment.</w:t>
      </w:r>
    </w:p>
    <w:p w14:paraId="69DA51ED" w14:textId="77777777" w:rsidR="008A1422" w:rsidRDefault="008A1422" w:rsidP="00DB31ED">
      <w:pPr>
        <w:rPr>
          <w:lang w:val="en-AU"/>
        </w:rPr>
      </w:pPr>
    </w:p>
    <w:p w14:paraId="3686BAFF" w14:textId="77777777" w:rsidR="00DB31ED" w:rsidRDefault="00DB31ED" w:rsidP="00DB31ED">
      <w:pPr>
        <w:rPr>
          <w:lang w:val="en-AU"/>
        </w:rPr>
      </w:pPr>
      <w:r w:rsidRPr="00AD23B8">
        <w:rPr>
          <w:b/>
          <w:lang w:val="en-AU"/>
        </w:rPr>
        <w:t>Secondary outcomes</w:t>
      </w:r>
      <w:r>
        <w:rPr>
          <w:lang w:val="en-AU"/>
        </w:rPr>
        <w:t>:</w:t>
      </w:r>
    </w:p>
    <w:p w14:paraId="48892243" w14:textId="43E62540" w:rsidR="00DB31ED" w:rsidRDefault="00DB31ED" w:rsidP="00DB31ED">
      <w:pPr>
        <w:pStyle w:val="ListParagraph"/>
        <w:numPr>
          <w:ilvl w:val="0"/>
          <w:numId w:val="1"/>
        </w:numPr>
        <w:rPr>
          <w:lang w:val="en-AU"/>
        </w:rPr>
      </w:pPr>
      <w:r>
        <w:rPr>
          <w:lang w:val="en-AU"/>
        </w:rPr>
        <w:t>Mean rate of change in FEV1 percent predicted</w:t>
      </w:r>
    </w:p>
    <w:p w14:paraId="4DB8C18D" w14:textId="1250CBD4" w:rsidR="00DB31ED" w:rsidRDefault="00DB31ED" w:rsidP="00DB31ED">
      <w:pPr>
        <w:pStyle w:val="ListParagraph"/>
        <w:numPr>
          <w:ilvl w:val="0"/>
          <w:numId w:val="1"/>
        </w:numPr>
        <w:rPr>
          <w:lang w:val="en-AU"/>
        </w:rPr>
      </w:pPr>
      <w:r>
        <w:rPr>
          <w:lang w:val="en-AU"/>
        </w:rPr>
        <w:t>Mean rate of change in BMI</w:t>
      </w:r>
      <w:r w:rsidR="00F11E17">
        <w:rPr>
          <w:lang w:val="en-AU"/>
        </w:rPr>
        <w:t xml:space="preserve"> and</w:t>
      </w:r>
      <w:r w:rsidR="005F4C33">
        <w:rPr>
          <w:lang w:val="en-AU"/>
        </w:rPr>
        <w:t>/</w:t>
      </w:r>
      <w:r w:rsidR="00F11E17">
        <w:rPr>
          <w:lang w:val="en-AU"/>
        </w:rPr>
        <w:t>or Z score</w:t>
      </w:r>
    </w:p>
    <w:p w14:paraId="6E2896AD" w14:textId="51D4C2AC" w:rsidR="0092675B" w:rsidRDefault="0092675B" w:rsidP="00DB31ED">
      <w:pPr>
        <w:pStyle w:val="ListParagraph"/>
        <w:numPr>
          <w:ilvl w:val="0"/>
          <w:numId w:val="1"/>
        </w:numPr>
        <w:rPr>
          <w:lang w:val="en-AU"/>
        </w:rPr>
      </w:pPr>
      <w:r>
        <w:rPr>
          <w:lang w:val="en-AU"/>
        </w:rPr>
        <w:t xml:space="preserve">Time to </w:t>
      </w:r>
      <w:r w:rsidR="008A1422">
        <w:rPr>
          <w:lang w:val="en-AU"/>
        </w:rPr>
        <w:t xml:space="preserve">first </w:t>
      </w:r>
      <w:r>
        <w:rPr>
          <w:lang w:val="en-AU"/>
        </w:rPr>
        <w:t>exacerbation</w:t>
      </w:r>
      <w:r w:rsidR="008A1422">
        <w:rPr>
          <w:lang w:val="en-AU"/>
        </w:rPr>
        <w:t xml:space="preserve"> </w:t>
      </w:r>
      <w:r w:rsidR="00BC33F1">
        <w:rPr>
          <w:lang w:val="en-AU"/>
        </w:rPr>
        <w:t>relative to treatment initiation</w:t>
      </w:r>
    </w:p>
    <w:p w14:paraId="3D910694" w14:textId="279EF3F4" w:rsidR="00AD23B8" w:rsidRDefault="001D72AC" w:rsidP="00DB31ED">
      <w:pPr>
        <w:pStyle w:val="ListParagraph"/>
        <w:numPr>
          <w:ilvl w:val="0"/>
          <w:numId w:val="1"/>
        </w:numPr>
        <w:rPr>
          <w:lang w:val="en-AU"/>
        </w:rPr>
      </w:pPr>
      <w:r>
        <w:rPr>
          <w:lang w:val="en-AU"/>
        </w:rPr>
        <w:t>Number of h</w:t>
      </w:r>
      <w:r w:rsidR="00AD23B8">
        <w:rPr>
          <w:lang w:val="en-AU"/>
        </w:rPr>
        <w:t>ospitalisation with a pulmonary exacerbation</w:t>
      </w:r>
    </w:p>
    <w:p w14:paraId="4804AACD" w14:textId="18019D40" w:rsidR="00E52366" w:rsidRDefault="001D72AC" w:rsidP="00DB31ED">
      <w:pPr>
        <w:pStyle w:val="ListParagraph"/>
        <w:numPr>
          <w:ilvl w:val="0"/>
          <w:numId w:val="1"/>
        </w:numPr>
        <w:rPr>
          <w:lang w:val="en-AU"/>
        </w:rPr>
      </w:pPr>
      <w:r>
        <w:rPr>
          <w:lang w:val="en-AU"/>
        </w:rPr>
        <w:t xml:space="preserve">Number of </w:t>
      </w:r>
      <w:r w:rsidR="00E52366">
        <w:rPr>
          <w:lang w:val="en-AU"/>
        </w:rPr>
        <w:t>IV antibiotic episodes delivered by hospital in the home service</w:t>
      </w:r>
    </w:p>
    <w:p w14:paraId="10FA7047" w14:textId="7079BAF9" w:rsidR="001D72AC" w:rsidRDefault="001D72AC" w:rsidP="00DB31ED">
      <w:pPr>
        <w:pStyle w:val="ListParagraph"/>
        <w:numPr>
          <w:ilvl w:val="0"/>
          <w:numId w:val="1"/>
        </w:numPr>
        <w:rPr>
          <w:lang w:val="en-AU"/>
        </w:rPr>
      </w:pPr>
      <w:r>
        <w:rPr>
          <w:lang w:val="en-AU"/>
        </w:rPr>
        <w:t xml:space="preserve">In addition we will compare the number of pulmonary exacerbations each group (intervention and control) have had, compared to the number of exacerbations they have had in the </w:t>
      </w:r>
      <w:bookmarkStart w:id="0" w:name="_GoBack"/>
      <w:bookmarkEnd w:id="0"/>
      <w:r>
        <w:rPr>
          <w:lang w:val="en-AU"/>
        </w:rPr>
        <w:t xml:space="preserve">prior 12 months. </w:t>
      </w:r>
    </w:p>
    <w:p w14:paraId="3B735493" w14:textId="25D027BB" w:rsidR="00DB31ED" w:rsidRDefault="00DB31ED" w:rsidP="00DB31ED">
      <w:pPr>
        <w:pStyle w:val="ListParagraph"/>
        <w:numPr>
          <w:ilvl w:val="0"/>
          <w:numId w:val="1"/>
        </w:numPr>
        <w:rPr>
          <w:lang w:val="en-AU"/>
        </w:rPr>
      </w:pPr>
      <w:r>
        <w:rPr>
          <w:lang w:val="en-AU"/>
        </w:rPr>
        <w:t>Hospitalisation</w:t>
      </w:r>
      <w:r w:rsidR="005F4C33">
        <w:rPr>
          <w:lang w:val="en-AU"/>
        </w:rPr>
        <w:t>s</w:t>
      </w:r>
      <w:r>
        <w:rPr>
          <w:lang w:val="en-AU"/>
        </w:rPr>
        <w:t xml:space="preserve"> with </w:t>
      </w:r>
      <w:r w:rsidR="00AD23B8">
        <w:rPr>
          <w:lang w:val="en-AU"/>
        </w:rPr>
        <w:t xml:space="preserve">any </w:t>
      </w:r>
      <w:r>
        <w:rPr>
          <w:lang w:val="en-AU"/>
        </w:rPr>
        <w:t>CF</w:t>
      </w:r>
      <w:r w:rsidR="005F4C33">
        <w:rPr>
          <w:lang w:val="en-AU"/>
        </w:rPr>
        <w:t>-</w:t>
      </w:r>
      <w:r>
        <w:rPr>
          <w:lang w:val="en-AU"/>
        </w:rPr>
        <w:t>related problems</w:t>
      </w:r>
    </w:p>
    <w:p w14:paraId="22B8CD33" w14:textId="3AA2E851" w:rsidR="00DB31ED" w:rsidRDefault="00DB31ED" w:rsidP="00DB31ED">
      <w:pPr>
        <w:pStyle w:val="ListParagraph"/>
        <w:numPr>
          <w:ilvl w:val="0"/>
          <w:numId w:val="1"/>
        </w:numPr>
        <w:rPr>
          <w:lang w:val="en-AU"/>
        </w:rPr>
      </w:pPr>
      <w:r>
        <w:rPr>
          <w:lang w:val="en-AU"/>
        </w:rPr>
        <w:t>Death</w:t>
      </w:r>
    </w:p>
    <w:p w14:paraId="1BE1A5D0" w14:textId="0DD54B4E" w:rsidR="00DB31ED" w:rsidRDefault="00DB31ED" w:rsidP="00DB31ED">
      <w:pPr>
        <w:pStyle w:val="ListParagraph"/>
        <w:numPr>
          <w:ilvl w:val="0"/>
          <w:numId w:val="1"/>
        </w:numPr>
        <w:rPr>
          <w:lang w:val="en-AU"/>
        </w:rPr>
      </w:pPr>
      <w:r>
        <w:rPr>
          <w:lang w:val="en-AU"/>
        </w:rPr>
        <w:t>Lung transplantation</w:t>
      </w:r>
    </w:p>
    <w:p w14:paraId="16B73768" w14:textId="06552F51" w:rsidR="00DB31ED" w:rsidRDefault="00DB31ED" w:rsidP="00DB31ED">
      <w:pPr>
        <w:pStyle w:val="ListParagraph"/>
        <w:numPr>
          <w:ilvl w:val="0"/>
          <w:numId w:val="1"/>
        </w:numPr>
        <w:rPr>
          <w:lang w:val="en-AU"/>
        </w:rPr>
      </w:pPr>
      <w:r>
        <w:rPr>
          <w:lang w:val="en-AU"/>
        </w:rPr>
        <w:t>Chest tightness or dyspnoea</w:t>
      </w:r>
    </w:p>
    <w:p w14:paraId="0236AB45" w14:textId="6BD00D97" w:rsidR="00DB31ED" w:rsidRDefault="00DB31ED" w:rsidP="00DB31ED">
      <w:pPr>
        <w:pStyle w:val="ListParagraph"/>
        <w:numPr>
          <w:ilvl w:val="0"/>
          <w:numId w:val="1"/>
        </w:numPr>
        <w:rPr>
          <w:lang w:val="en-AU"/>
        </w:rPr>
      </w:pPr>
      <w:r>
        <w:rPr>
          <w:lang w:val="en-AU"/>
        </w:rPr>
        <w:t>Discontinuation</w:t>
      </w:r>
      <w:r w:rsidR="005F4C33">
        <w:rPr>
          <w:lang w:val="en-AU"/>
        </w:rPr>
        <w:t xml:space="preserve"> of treatment i.e. </w:t>
      </w:r>
      <w:r w:rsidR="008258C3">
        <w:rPr>
          <w:lang w:val="en-AU"/>
        </w:rPr>
        <w:t>LUM/IVA</w:t>
      </w:r>
    </w:p>
    <w:p w14:paraId="0D04E137" w14:textId="3194BE9F" w:rsidR="00DB31ED" w:rsidRDefault="00AF67F9" w:rsidP="00DB31ED">
      <w:pPr>
        <w:pStyle w:val="ListParagraph"/>
        <w:numPr>
          <w:ilvl w:val="0"/>
          <w:numId w:val="1"/>
        </w:numPr>
        <w:rPr>
          <w:lang w:val="en-AU"/>
        </w:rPr>
      </w:pPr>
      <w:r>
        <w:rPr>
          <w:lang w:val="en-AU"/>
        </w:rPr>
        <w:t>Treatment emergent</w:t>
      </w:r>
      <w:r w:rsidR="00DB31ED">
        <w:rPr>
          <w:lang w:val="en-AU"/>
        </w:rPr>
        <w:t xml:space="preserve"> adverse events</w:t>
      </w:r>
    </w:p>
    <w:p w14:paraId="55B769C9" w14:textId="77777777" w:rsidR="006D7A79" w:rsidRDefault="006D7A79" w:rsidP="006D7A79">
      <w:pPr>
        <w:pStyle w:val="ListParagraph"/>
        <w:ind w:left="771"/>
        <w:rPr>
          <w:lang w:val="en-AU"/>
        </w:rPr>
      </w:pPr>
    </w:p>
    <w:p w14:paraId="2546A338" w14:textId="21F0580A" w:rsidR="00756E26" w:rsidRDefault="00756E26" w:rsidP="00756E26">
      <w:pPr>
        <w:pStyle w:val="ListParagraph"/>
        <w:ind w:left="0"/>
        <w:rPr>
          <w:color w:val="2F5496" w:themeColor="accent1" w:themeShade="BF"/>
          <w:sz w:val="32"/>
          <w:szCs w:val="32"/>
          <w:lang w:val="en-AU"/>
        </w:rPr>
      </w:pPr>
      <w:r w:rsidRPr="00756E26">
        <w:rPr>
          <w:color w:val="2F5496" w:themeColor="accent1" w:themeShade="BF"/>
          <w:sz w:val="32"/>
          <w:szCs w:val="32"/>
          <w:lang w:val="en-AU"/>
        </w:rPr>
        <w:t>Data Source</w:t>
      </w:r>
    </w:p>
    <w:p w14:paraId="70954AE9" w14:textId="77777777" w:rsidR="00756E26" w:rsidRPr="00756E26" w:rsidRDefault="00756E26" w:rsidP="00756E26">
      <w:pPr>
        <w:pStyle w:val="ListParagraph"/>
        <w:ind w:left="0"/>
        <w:rPr>
          <w:color w:val="2F5496" w:themeColor="accent1" w:themeShade="BF"/>
          <w:lang w:val="en-AU"/>
        </w:rPr>
      </w:pPr>
    </w:p>
    <w:p w14:paraId="2A67ADC1" w14:textId="34F442DA" w:rsidR="00756E26" w:rsidRDefault="00756E26" w:rsidP="00756E26">
      <w:pPr>
        <w:pStyle w:val="ListParagraph"/>
        <w:ind w:left="0"/>
        <w:rPr>
          <w:lang w:val="en-AU"/>
        </w:rPr>
      </w:pPr>
      <w:r w:rsidRPr="00756E26">
        <w:rPr>
          <w:lang w:val="en-AU"/>
        </w:rPr>
        <w:t xml:space="preserve">Patient data will be provided by </w:t>
      </w:r>
      <w:r w:rsidR="00D044A8" w:rsidRPr="00D044A8">
        <w:rPr>
          <w:lang w:val="en-AU"/>
        </w:rPr>
        <w:t>12</w:t>
      </w:r>
      <w:r w:rsidRPr="00756E26">
        <w:rPr>
          <w:lang w:val="en-AU"/>
        </w:rPr>
        <w:t xml:space="preserve"> CF centres throughout Australia who have patients receiving LUM/IVA via </w:t>
      </w:r>
      <w:r w:rsidR="00465315">
        <w:rPr>
          <w:lang w:val="en-AU"/>
        </w:rPr>
        <w:t>CAP</w:t>
      </w:r>
      <w:r w:rsidRPr="00756E26">
        <w:rPr>
          <w:lang w:val="en-AU"/>
        </w:rPr>
        <w:t>.</w:t>
      </w:r>
      <w:r>
        <w:rPr>
          <w:lang w:val="en-AU"/>
        </w:rPr>
        <w:t xml:space="preserve"> At each site a pair i.e. LUM/IVA and a </w:t>
      </w:r>
      <w:r w:rsidR="00317364">
        <w:rPr>
          <w:lang w:val="en-AU"/>
        </w:rPr>
        <w:t xml:space="preserve">case </w:t>
      </w:r>
      <w:r>
        <w:rPr>
          <w:lang w:val="en-AU"/>
        </w:rPr>
        <w:t xml:space="preserve">matched control, of patients will constitute a data pair. </w:t>
      </w:r>
      <w:r w:rsidR="00465315">
        <w:rPr>
          <w:lang w:val="en-AU"/>
        </w:rPr>
        <w:t xml:space="preserve">Clinical data collected at sites in medical records as part of routine outpatient clinic attendances and in-patient hospitalisations over a 12 month period will constitute the source material. </w:t>
      </w:r>
      <w:r>
        <w:rPr>
          <w:lang w:val="en-AU"/>
        </w:rPr>
        <w:t>The number of data pairs per site will be determined by the number of patients receiving LUM/IVA via CAP</w:t>
      </w:r>
      <w:r w:rsidR="00465315">
        <w:rPr>
          <w:lang w:val="en-AU"/>
        </w:rPr>
        <w:t xml:space="preserve"> at </w:t>
      </w:r>
      <w:r w:rsidR="00CA5FB1">
        <w:rPr>
          <w:lang w:val="en-AU"/>
        </w:rPr>
        <w:t>each specified</w:t>
      </w:r>
      <w:r w:rsidR="00465315">
        <w:rPr>
          <w:lang w:val="en-AU"/>
        </w:rPr>
        <w:t xml:space="preserve"> site</w:t>
      </w:r>
      <w:r>
        <w:rPr>
          <w:lang w:val="en-AU"/>
        </w:rPr>
        <w:t>.</w:t>
      </w:r>
    </w:p>
    <w:p w14:paraId="5EC1CD38" w14:textId="127FA2EB" w:rsidR="00A73BBB" w:rsidRDefault="00A73BBB" w:rsidP="00756E26">
      <w:pPr>
        <w:pStyle w:val="ListParagraph"/>
        <w:ind w:left="0"/>
        <w:rPr>
          <w:lang w:val="en-AU"/>
        </w:rPr>
      </w:pPr>
      <w:r>
        <w:rPr>
          <w:lang w:val="en-AU"/>
        </w:rPr>
        <w:t>In reference to participants, the following criteria will apply:</w:t>
      </w:r>
    </w:p>
    <w:p w14:paraId="05FB3DD4" w14:textId="38803ABA" w:rsidR="00A73BBB" w:rsidRDefault="00A73BBB" w:rsidP="00756E26">
      <w:pPr>
        <w:pStyle w:val="ListParagraph"/>
        <w:ind w:left="0"/>
        <w:rPr>
          <w:b/>
          <w:lang w:val="en-AU"/>
        </w:rPr>
      </w:pPr>
      <w:r>
        <w:rPr>
          <w:b/>
          <w:lang w:val="en-AU"/>
        </w:rPr>
        <w:t>Inclusion criteria:</w:t>
      </w:r>
    </w:p>
    <w:p w14:paraId="4599CDFD" w14:textId="60C27C4F" w:rsidR="00A73BBB" w:rsidRDefault="00A73BBB" w:rsidP="00A73BBB">
      <w:pPr>
        <w:pStyle w:val="ListParagraph"/>
        <w:numPr>
          <w:ilvl w:val="0"/>
          <w:numId w:val="5"/>
        </w:numPr>
        <w:rPr>
          <w:lang w:val="en-AU"/>
        </w:rPr>
      </w:pPr>
      <w:r w:rsidRPr="00A73BBB">
        <w:rPr>
          <w:lang w:val="en-AU"/>
        </w:rPr>
        <w:t>Cystic Fibrosis</w:t>
      </w:r>
      <w:r>
        <w:rPr>
          <w:lang w:val="en-AU"/>
        </w:rPr>
        <w:t>; defined by the presence of two mutations known to cause dysfunction in CFTR</w:t>
      </w:r>
      <w:r w:rsidRPr="00A73BBB">
        <w:rPr>
          <w:lang w:val="en-AU"/>
        </w:rPr>
        <w:t>, aged  greater than or equal to 12 years</w:t>
      </w:r>
      <w:r>
        <w:rPr>
          <w:lang w:val="en-AU"/>
        </w:rPr>
        <w:t>.</w:t>
      </w:r>
    </w:p>
    <w:p w14:paraId="0CE24D77" w14:textId="29371C83" w:rsidR="00A73BBB" w:rsidRDefault="00A73BBB" w:rsidP="00A73BBB">
      <w:pPr>
        <w:pStyle w:val="ListParagraph"/>
        <w:numPr>
          <w:ilvl w:val="0"/>
          <w:numId w:val="5"/>
        </w:numPr>
        <w:rPr>
          <w:lang w:val="en-AU"/>
        </w:rPr>
      </w:pPr>
      <w:r>
        <w:rPr>
          <w:lang w:val="en-AU"/>
        </w:rPr>
        <w:t>LUM/IVA intervention arm, with be homozygous for Phe508del and have commenced treatment with LUM/IVA on the compassionate access programme</w:t>
      </w:r>
      <w:r w:rsidR="00AD23B8">
        <w:rPr>
          <w:lang w:val="en-AU"/>
        </w:rPr>
        <w:t>. Participants will need to have commenced treatment prior to March 2017 to potentially have at least 12 months of data available.</w:t>
      </w:r>
    </w:p>
    <w:p w14:paraId="062DE1AB" w14:textId="437C2E47" w:rsidR="00AD23B8" w:rsidRDefault="00AD23B8" w:rsidP="00A73BBB">
      <w:pPr>
        <w:pStyle w:val="ListParagraph"/>
        <w:numPr>
          <w:ilvl w:val="0"/>
          <w:numId w:val="5"/>
        </w:numPr>
        <w:rPr>
          <w:lang w:val="en-AU"/>
        </w:rPr>
      </w:pPr>
      <w:r>
        <w:rPr>
          <w:lang w:val="en-AU"/>
        </w:rPr>
        <w:t xml:space="preserve">Control arm will be age and sex matched by the sites. Subjects will only be eligible if they have never received LUM/IVA or </w:t>
      </w:r>
      <w:proofErr w:type="spellStart"/>
      <w:r>
        <w:rPr>
          <w:lang w:val="en-AU"/>
        </w:rPr>
        <w:t>Ivacaftor</w:t>
      </w:r>
      <w:proofErr w:type="spellEnd"/>
      <w:r>
        <w:rPr>
          <w:lang w:val="en-AU"/>
        </w:rPr>
        <w:t xml:space="preserve"> alone or </w:t>
      </w:r>
      <w:proofErr w:type="spellStart"/>
      <w:r>
        <w:rPr>
          <w:lang w:val="en-AU"/>
        </w:rPr>
        <w:t>Tezecaftor</w:t>
      </w:r>
      <w:proofErr w:type="spellEnd"/>
      <w:r>
        <w:rPr>
          <w:lang w:val="en-AU"/>
        </w:rPr>
        <w:t>/</w:t>
      </w:r>
      <w:proofErr w:type="spellStart"/>
      <w:r>
        <w:rPr>
          <w:lang w:val="en-AU"/>
        </w:rPr>
        <w:t>Ivacaftor</w:t>
      </w:r>
      <w:proofErr w:type="spellEnd"/>
      <w:r>
        <w:rPr>
          <w:lang w:val="en-AU"/>
        </w:rPr>
        <w:t>. Subjects must have mutations in CFTR that will result in Class I or Class II dysfunction.</w:t>
      </w:r>
    </w:p>
    <w:p w14:paraId="0E083CC7" w14:textId="372E99E7" w:rsidR="00AD23B8" w:rsidRPr="00A73BBB" w:rsidRDefault="00AD23B8" w:rsidP="00A73BBB">
      <w:pPr>
        <w:pStyle w:val="ListParagraph"/>
        <w:numPr>
          <w:ilvl w:val="0"/>
          <w:numId w:val="5"/>
        </w:numPr>
        <w:rPr>
          <w:lang w:val="en-AU"/>
        </w:rPr>
      </w:pPr>
      <w:r>
        <w:rPr>
          <w:lang w:val="en-AU"/>
        </w:rPr>
        <w:t xml:space="preserve">Sufficient data to assess the frequency of exacerbations </w:t>
      </w:r>
      <w:r w:rsidR="001D6F6B">
        <w:rPr>
          <w:lang w:val="en-AU"/>
        </w:rPr>
        <w:t xml:space="preserve">requiring the use of IV antibiotics </w:t>
      </w:r>
      <w:r>
        <w:rPr>
          <w:lang w:val="en-AU"/>
        </w:rPr>
        <w:t>over a period of at least 12 months treatment with LUM/IVA.</w:t>
      </w:r>
    </w:p>
    <w:p w14:paraId="509B7FBA" w14:textId="77777777" w:rsidR="00756E26" w:rsidRPr="00756E26" w:rsidRDefault="00756E26" w:rsidP="00756E26">
      <w:pPr>
        <w:pStyle w:val="ListParagraph"/>
        <w:ind w:left="0"/>
        <w:rPr>
          <w:color w:val="2F5496" w:themeColor="accent1" w:themeShade="BF"/>
          <w:sz w:val="32"/>
          <w:szCs w:val="32"/>
          <w:lang w:val="en-AU"/>
        </w:rPr>
      </w:pPr>
    </w:p>
    <w:p w14:paraId="3033E704" w14:textId="77777777" w:rsidR="001E65DE" w:rsidRPr="001E65DE" w:rsidRDefault="001E65DE" w:rsidP="00495C69">
      <w:pPr>
        <w:rPr>
          <w:color w:val="2F5496" w:themeColor="accent1" w:themeShade="BF"/>
          <w:sz w:val="32"/>
          <w:szCs w:val="32"/>
          <w:lang w:val="en-AU"/>
        </w:rPr>
      </w:pPr>
      <w:r w:rsidRPr="001E65DE">
        <w:rPr>
          <w:color w:val="2F5496" w:themeColor="accent1" w:themeShade="BF"/>
          <w:sz w:val="32"/>
          <w:szCs w:val="32"/>
          <w:lang w:val="en-AU"/>
        </w:rPr>
        <w:t>Sample size</w:t>
      </w:r>
    </w:p>
    <w:p w14:paraId="70C59B83" w14:textId="77777777" w:rsidR="001E65DE" w:rsidRDefault="001E65DE" w:rsidP="00495C69">
      <w:pPr>
        <w:rPr>
          <w:lang w:val="en-AU"/>
        </w:rPr>
      </w:pPr>
    </w:p>
    <w:p w14:paraId="65EED183" w14:textId="14B02839" w:rsidR="00756E26" w:rsidRDefault="007F1825" w:rsidP="00495C69">
      <w:pPr>
        <w:rPr>
          <w:lang w:val="en-AU"/>
        </w:rPr>
      </w:pPr>
      <w:r>
        <w:rPr>
          <w:lang w:val="en-AU"/>
        </w:rPr>
        <w:t>Wain</w:t>
      </w:r>
      <w:r w:rsidR="008A1422">
        <w:rPr>
          <w:lang w:val="en-AU"/>
        </w:rPr>
        <w:t>w</w:t>
      </w:r>
      <w:r>
        <w:rPr>
          <w:lang w:val="en-AU"/>
        </w:rPr>
        <w:t xml:space="preserve">right et al </w:t>
      </w:r>
      <w:r>
        <w:rPr>
          <w:lang w:val="en-AU"/>
        </w:rPr>
        <w:fldChar w:fldCharType="begin"/>
      </w:r>
      <w:r>
        <w:rPr>
          <w:lang w:val="en-AU"/>
        </w:rPr>
        <w:instrText xml:space="preserve"> ADDIN EN.CITE &lt;EndNote&gt;&lt;Cite&gt;&lt;Author&gt;Wainwright&lt;/Author&gt;&lt;Year&gt;2015&lt;/Year&gt;&lt;RecNum&gt;121&lt;/RecNum&gt;&lt;DisplayText&gt;&lt;style face="superscript"&gt;1&lt;/style&gt;&lt;/DisplayText&gt;&lt;record&gt;&lt;rec-number&gt;121&lt;/rec-number&gt;&lt;foreign-keys&gt;&lt;key app="EN" db-id="easfvvepmrvdvfe9027vs0wpe5ta5rea5rsx" timestamp="1499325329"&gt;121&lt;/key&gt;&lt;/foreign-keys&gt;&lt;ref-type name="Journal Article"&gt;17&lt;/ref-type&gt;&lt;contributors&gt;&lt;authors&gt;&lt;author&gt;Wainwright, C. E.&lt;/author&gt;&lt;author&gt;Elborn, J. S.&lt;/author&gt;&lt;author&gt;Ramsey, B. W.&lt;/author&gt;&lt;/authors&gt;&lt;/contributors&gt;&lt;titles&gt;&lt;title&gt;Lumacaftor-Ivacaftor in Patients with Cystic Fibrosis Homozygous for Phe508del CFTR&lt;/title&gt;&lt;secondary-title&gt;N Engl J Med&lt;/secondary-title&gt;&lt;/titles&gt;&lt;periodical&gt;&lt;full-title&gt;N Engl J Med&lt;/full-title&gt;&lt;/periodical&gt;&lt;pages&gt;1783-4&lt;/pages&gt;&lt;volume&gt;373&lt;/volume&gt;&lt;number&gt;18&lt;/number&gt;&lt;edition&gt;2015/10/29&lt;/edition&gt;&lt;keywords&gt;&lt;keyword&gt;Aminophenols/*administration &amp;amp; dosage&lt;/keyword&gt;&lt;keyword&gt;Aminopyridines/*administration &amp;amp; dosage&lt;/keyword&gt;&lt;keyword&gt;Benzodioxoles/*administration &amp;amp; dosage&lt;/keyword&gt;&lt;keyword&gt;Cystic Fibrosis/*drug therapy&lt;/keyword&gt;&lt;keyword&gt;Cystic Fibrosis Transmembrane Conductance Regulator/*genetics&lt;/keyword&gt;&lt;keyword&gt;Female&lt;/keyword&gt;&lt;keyword&gt;Humans&lt;/keyword&gt;&lt;keyword&gt;Male&lt;/keyword&gt;&lt;keyword&gt;Quinolones/*administration &amp;amp; dosage&lt;/keyword&gt;&lt;/keywords&gt;&lt;dates&gt;&lt;year&gt;2015&lt;/year&gt;&lt;pub-dates&gt;&lt;date&gt;Oct 29&lt;/date&gt;&lt;/pub-dates&gt;&lt;/dates&gt;&lt;isbn&gt;1533-4406 (Electronic)&amp;#xD;0028-4793 (Linking)&lt;/isbn&gt;&lt;accession-num&gt;26510034&lt;/accession-num&gt;&lt;urls&gt;&lt;related-urls&gt;&lt;url&gt;https://www.ncbi.nlm.nih.gov/pubmed/26510034&lt;/url&gt;&lt;/related-urls&gt;&lt;/urls&gt;&lt;electronic-resource-num&gt;10.1056/NEJMc1510466&lt;/electronic-resource-num&gt;&lt;/record&gt;&lt;/Cite&gt;&lt;/EndNote&gt;</w:instrText>
      </w:r>
      <w:r>
        <w:rPr>
          <w:lang w:val="en-AU"/>
        </w:rPr>
        <w:fldChar w:fldCharType="separate"/>
      </w:r>
      <w:r w:rsidRPr="007F1825">
        <w:rPr>
          <w:noProof/>
          <w:vertAlign w:val="superscript"/>
          <w:lang w:val="en-AU"/>
        </w:rPr>
        <w:t>1</w:t>
      </w:r>
      <w:r>
        <w:rPr>
          <w:lang w:val="en-AU"/>
        </w:rPr>
        <w:fldChar w:fldCharType="end"/>
      </w:r>
      <w:r w:rsidR="008A1422">
        <w:rPr>
          <w:lang w:val="en-AU"/>
        </w:rPr>
        <w:t>,</w:t>
      </w:r>
      <w:r>
        <w:rPr>
          <w:lang w:val="en-AU"/>
        </w:rPr>
        <w:t xml:space="preserve"> found </w:t>
      </w:r>
      <w:r w:rsidR="008A1422">
        <w:rPr>
          <w:lang w:val="en-AU"/>
        </w:rPr>
        <w:t xml:space="preserve">that </w:t>
      </w:r>
      <w:r>
        <w:rPr>
          <w:lang w:val="en-AU"/>
        </w:rPr>
        <w:t>251</w:t>
      </w:r>
      <w:r w:rsidR="008A1422">
        <w:rPr>
          <w:lang w:val="en-AU"/>
        </w:rPr>
        <w:t xml:space="preserve"> of </w:t>
      </w:r>
      <w:r>
        <w:rPr>
          <w:lang w:val="en-AU"/>
        </w:rPr>
        <w:t>371</w:t>
      </w:r>
      <w:r w:rsidR="008A1422">
        <w:rPr>
          <w:lang w:val="en-AU"/>
        </w:rPr>
        <w:t xml:space="preserve"> participants</w:t>
      </w:r>
      <w:r>
        <w:rPr>
          <w:lang w:val="en-AU"/>
        </w:rPr>
        <w:t xml:space="preserve"> who received </w:t>
      </w:r>
      <w:r w:rsidR="001E65DE">
        <w:rPr>
          <w:lang w:val="en-AU"/>
        </w:rPr>
        <w:t xml:space="preserve">a </w:t>
      </w:r>
      <w:r>
        <w:rPr>
          <w:lang w:val="en-AU"/>
        </w:rPr>
        <w:t xml:space="preserve">placebo </w:t>
      </w:r>
      <w:r w:rsidR="001E65DE">
        <w:rPr>
          <w:lang w:val="en-AU"/>
        </w:rPr>
        <w:t xml:space="preserve">treatment </w:t>
      </w:r>
      <w:r>
        <w:rPr>
          <w:lang w:val="en-AU"/>
        </w:rPr>
        <w:t xml:space="preserve">exacerbated, </w:t>
      </w:r>
      <w:r w:rsidR="008A1422">
        <w:rPr>
          <w:lang w:val="en-AU"/>
        </w:rPr>
        <w:t xml:space="preserve">compared </w:t>
      </w:r>
      <w:r w:rsidR="005F4C33">
        <w:rPr>
          <w:lang w:val="en-AU"/>
        </w:rPr>
        <w:t>to</w:t>
      </w:r>
      <w:r>
        <w:rPr>
          <w:lang w:val="en-AU"/>
        </w:rPr>
        <w:t xml:space="preserve"> </w:t>
      </w:r>
      <w:r w:rsidR="00434335">
        <w:rPr>
          <w:lang w:val="en-AU"/>
        </w:rPr>
        <w:t>152</w:t>
      </w:r>
      <w:r w:rsidR="008A1422">
        <w:rPr>
          <w:lang w:val="en-AU"/>
        </w:rPr>
        <w:t xml:space="preserve"> of</w:t>
      </w:r>
      <w:r w:rsidR="001E65DE">
        <w:rPr>
          <w:lang w:val="en-AU"/>
        </w:rPr>
        <w:t xml:space="preserve"> </w:t>
      </w:r>
      <w:r>
        <w:rPr>
          <w:lang w:val="en-AU"/>
        </w:rPr>
        <w:t>36</w:t>
      </w:r>
      <w:r w:rsidR="00434335">
        <w:rPr>
          <w:lang w:val="en-AU"/>
        </w:rPr>
        <w:t>9</w:t>
      </w:r>
      <w:r w:rsidR="008A1422">
        <w:rPr>
          <w:lang w:val="en-AU"/>
        </w:rPr>
        <w:t xml:space="preserve"> participants</w:t>
      </w:r>
      <w:r>
        <w:rPr>
          <w:lang w:val="en-AU"/>
        </w:rPr>
        <w:t xml:space="preserve"> who received LUM/IVA</w:t>
      </w:r>
      <w:r w:rsidR="008A1422">
        <w:rPr>
          <w:lang w:val="en-AU"/>
        </w:rPr>
        <w:t xml:space="preserve"> during the treatment period</w:t>
      </w:r>
      <w:r w:rsidR="00465315">
        <w:rPr>
          <w:lang w:val="en-AU"/>
        </w:rPr>
        <w:t xml:space="preserve"> during a phase III placebo-controlled clinical study</w:t>
      </w:r>
      <w:r>
        <w:rPr>
          <w:lang w:val="en-AU"/>
        </w:rPr>
        <w:t xml:space="preserve">. </w:t>
      </w:r>
    </w:p>
    <w:p w14:paraId="131471F1" w14:textId="77777777" w:rsidR="00756E26" w:rsidRDefault="00756E26" w:rsidP="00495C69">
      <w:pPr>
        <w:rPr>
          <w:lang w:val="en-AU"/>
        </w:rPr>
      </w:pPr>
    </w:p>
    <w:p w14:paraId="6B25AF1B" w14:textId="6EA5A78B" w:rsidR="00495C69" w:rsidRDefault="00465315" w:rsidP="00495C69">
      <w:pPr>
        <w:rPr>
          <w:lang w:eastAsia="en-GB"/>
        </w:rPr>
      </w:pPr>
      <w:r>
        <w:rPr>
          <w:lang w:val="en-AU"/>
        </w:rPr>
        <w:t>These data suggest that</w:t>
      </w:r>
      <w:r w:rsidR="001E65DE">
        <w:rPr>
          <w:lang w:val="en-AU"/>
        </w:rPr>
        <w:t xml:space="preserve"> to</w:t>
      </w:r>
      <w:r w:rsidR="007F1825">
        <w:rPr>
          <w:lang w:val="en-AU"/>
        </w:rPr>
        <w:t xml:space="preserve"> assess for superiority with </w:t>
      </w:r>
      <w:r w:rsidR="008A1422">
        <w:rPr>
          <w:lang w:val="en-AU"/>
        </w:rPr>
        <w:t xml:space="preserve">a </w:t>
      </w:r>
      <w:r w:rsidR="007F1825">
        <w:rPr>
          <w:lang w:val="en-AU"/>
        </w:rPr>
        <w:t xml:space="preserve">binary outcome of exacerbation versus no exacerbation, </w:t>
      </w:r>
      <w:r w:rsidR="00495C69" w:rsidRPr="00495C69">
        <w:rPr>
          <w:lang w:eastAsia="en-GB"/>
        </w:rPr>
        <w:t xml:space="preserve">144 patients </w:t>
      </w:r>
      <w:r w:rsidR="00B776D5">
        <w:rPr>
          <w:lang w:eastAsia="en-GB"/>
        </w:rPr>
        <w:t>(</w:t>
      </w:r>
      <w:r w:rsidR="00756E26">
        <w:rPr>
          <w:lang w:eastAsia="en-GB"/>
        </w:rPr>
        <w:t xml:space="preserve">i.e. </w:t>
      </w:r>
      <w:r w:rsidR="00B776D5">
        <w:rPr>
          <w:lang w:eastAsia="en-GB"/>
        </w:rPr>
        <w:t xml:space="preserve">72 </w:t>
      </w:r>
      <w:r w:rsidR="008258C3">
        <w:rPr>
          <w:lang w:val="en-AU"/>
        </w:rPr>
        <w:t xml:space="preserve">LUM/IVA </w:t>
      </w:r>
      <w:r w:rsidR="00756E26">
        <w:rPr>
          <w:lang w:eastAsia="en-GB"/>
        </w:rPr>
        <w:t xml:space="preserve">recipients </w:t>
      </w:r>
      <w:r w:rsidR="00610EC6">
        <w:rPr>
          <w:lang w:eastAsia="en-GB"/>
        </w:rPr>
        <w:t>and 72 case-matched control</w:t>
      </w:r>
      <w:r w:rsidR="001E65DE">
        <w:rPr>
          <w:lang w:eastAsia="en-GB"/>
        </w:rPr>
        <w:t>s</w:t>
      </w:r>
      <w:r w:rsidR="00610EC6">
        <w:rPr>
          <w:lang w:eastAsia="en-GB"/>
        </w:rPr>
        <w:t>)</w:t>
      </w:r>
      <w:r w:rsidR="00B776D5">
        <w:rPr>
          <w:lang w:eastAsia="en-GB"/>
        </w:rPr>
        <w:t xml:space="preserve"> </w:t>
      </w:r>
      <w:r w:rsidR="008A1422">
        <w:rPr>
          <w:lang w:eastAsia="en-GB"/>
        </w:rPr>
        <w:t>will be</w:t>
      </w:r>
      <w:r w:rsidR="008A1422" w:rsidRPr="00495C69">
        <w:rPr>
          <w:lang w:eastAsia="en-GB"/>
        </w:rPr>
        <w:t xml:space="preserve"> </w:t>
      </w:r>
      <w:r w:rsidR="00495C69" w:rsidRPr="00495C69">
        <w:rPr>
          <w:lang w:eastAsia="en-GB"/>
        </w:rPr>
        <w:t xml:space="preserve">required to </w:t>
      </w:r>
      <w:r>
        <w:rPr>
          <w:lang w:eastAsia="en-GB"/>
        </w:rPr>
        <w:t>provide</w:t>
      </w:r>
      <w:r w:rsidR="00495C69" w:rsidRPr="00495C69">
        <w:rPr>
          <w:lang w:eastAsia="en-GB"/>
        </w:rPr>
        <w:t xml:space="preserve"> a 90% chance of detecting, </w:t>
      </w:r>
      <w:r w:rsidR="008A1422">
        <w:rPr>
          <w:lang w:eastAsia="en-GB"/>
        </w:rPr>
        <w:t>with</w:t>
      </w:r>
      <w:r w:rsidR="008A1422" w:rsidRPr="00495C69">
        <w:rPr>
          <w:lang w:eastAsia="en-GB"/>
        </w:rPr>
        <w:t xml:space="preserve"> </w:t>
      </w:r>
      <w:r w:rsidR="00495C69" w:rsidRPr="00495C69">
        <w:rPr>
          <w:lang w:eastAsia="en-GB"/>
        </w:rPr>
        <w:t>significan</w:t>
      </w:r>
      <w:r w:rsidR="008A1422">
        <w:rPr>
          <w:lang w:eastAsia="en-GB"/>
        </w:rPr>
        <w:t>ce</w:t>
      </w:r>
      <w:r w:rsidR="00495C69" w:rsidRPr="00495C69">
        <w:rPr>
          <w:lang w:eastAsia="en-GB"/>
        </w:rPr>
        <w:t xml:space="preserve"> at the 5% level, an increase in the primary outcome measure from 33% in the </w:t>
      </w:r>
      <w:r w:rsidR="00B87C4B">
        <w:rPr>
          <w:lang w:eastAsia="en-GB"/>
        </w:rPr>
        <w:t xml:space="preserve">matched </w:t>
      </w:r>
      <w:r w:rsidR="00495C69" w:rsidRPr="00495C69">
        <w:rPr>
          <w:lang w:eastAsia="en-GB"/>
        </w:rPr>
        <w:t>control group</w:t>
      </w:r>
      <w:r w:rsidR="001E65DE">
        <w:rPr>
          <w:lang w:eastAsia="en-GB"/>
        </w:rPr>
        <w:t xml:space="preserve"> </w:t>
      </w:r>
      <w:r w:rsidR="00495C69" w:rsidRPr="00495C69">
        <w:rPr>
          <w:lang w:eastAsia="en-GB"/>
        </w:rPr>
        <w:t xml:space="preserve">to 59% in the </w:t>
      </w:r>
      <w:r w:rsidR="008258C3">
        <w:rPr>
          <w:lang w:val="en-AU"/>
        </w:rPr>
        <w:t xml:space="preserve">LUM/IVA </w:t>
      </w:r>
      <w:r w:rsidR="00495C69" w:rsidRPr="00495C69">
        <w:rPr>
          <w:lang w:eastAsia="en-GB"/>
        </w:rPr>
        <w:t>group</w:t>
      </w:r>
      <w:r w:rsidR="00495C69">
        <w:rPr>
          <w:lang w:eastAsia="en-GB"/>
        </w:rPr>
        <w:t xml:space="preserve"> (no exacerbation)</w:t>
      </w:r>
      <w:r w:rsidR="00495C69" w:rsidRPr="00495C69">
        <w:rPr>
          <w:lang w:eastAsia="en-GB"/>
        </w:rPr>
        <w:t>.</w:t>
      </w:r>
      <w:r w:rsidR="00317364">
        <w:rPr>
          <w:lang w:eastAsia="en-GB"/>
        </w:rPr>
        <w:t xml:space="preserve"> </w:t>
      </w:r>
    </w:p>
    <w:p w14:paraId="786228A5" w14:textId="77777777" w:rsidR="006D7A79" w:rsidRDefault="006D7A79" w:rsidP="00495C69">
      <w:pPr>
        <w:rPr>
          <w:lang w:eastAsia="en-GB"/>
        </w:rPr>
      </w:pPr>
    </w:p>
    <w:p w14:paraId="64008ACF" w14:textId="7E0EEED8" w:rsidR="008B2707" w:rsidRDefault="00CA5FB1" w:rsidP="00495C69">
      <w:pPr>
        <w:rPr>
          <w:lang w:eastAsia="en-GB"/>
        </w:rPr>
      </w:pPr>
      <w:r>
        <w:rPr>
          <w:lang w:eastAsia="en-GB"/>
        </w:rPr>
        <w:t>Control cases</w:t>
      </w:r>
      <w:r w:rsidR="008A1422">
        <w:rPr>
          <w:lang w:eastAsia="en-GB"/>
        </w:rPr>
        <w:t>:</w:t>
      </w:r>
      <w:r w:rsidR="006D7A79">
        <w:rPr>
          <w:lang w:eastAsia="en-GB"/>
        </w:rPr>
        <w:t xml:space="preserve"> </w:t>
      </w:r>
      <w:r w:rsidR="001838BE">
        <w:rPr>
          <w:lang w:eastAsia="en-GB"/>
        </w:rPr>
        <w:t>These will be p</w:t>
      </w:r>
      <w:r w:rsidR="00610EC6">
        <w:rPr>
          <w:lang w:eastAsia="en-GB"/>
        </w:rPr>
        <w:t xml:space="preserve">eople </w:t>
      </w:r>
      <w:r w:rsidR="001E65DE">
        <w:rPr>
          <w:lang w:eastAsia="en-GB"/>
        </w:rPr>
        <w:t xml:space="preserve">with a CFTR mutation that </w:t>
      </w:r>
      <w:r w:rsidR="001838BE">
        <w:rPr>
          <w:lang w:eastAsia="en-GB"/>
        </w:rPr>
        <w:t>precipitates severe</w:t>
      </w:r>
      <w:r w:rsidR="001E65DE">
        <w:rPr>
          <w:lang w:eastAsia="en-GB"/>
        </w:rPr>
        <w:t xml:space="preserve"> disease and who </w:t>
      </w:r>
      <w:r w:rsidR="001838BE">
        <w:rPr>
          <w:lang w:eastAsia="en-GB"/>
        </w:rPr>
        <w:t>have not</w:t>
      </w:r>
      <w:r w:rsidR="006D7A79">
        <w:rPr>
          <w:lang w:eastAsia="en-GB"/>
        </w:rPr>
        <w:t xml:space="preserve"> receive</w:t>
      </w:r>
      <w:r w:rsidR="001838BE">
        <w:rPr>
          <w:lang w:eastAsia="en-GB"/>
        </w:rPr>
        <w:t>d</w:t>
      </w:r>
      <w:r w:rsidR="006D7A79">
        <w:rPr>
          <w:lang w:eastAsia="en-GB"/>
        </w:rPr>
        <w:t xml:space="preserve"> LUM/IVA</w:t>
      </w:r>
      <w:r w:rsidR="001838BE">
        <w:rPr>
          <w:lang w:eastAsia="en-GB"/>
        </w:rPr>
        <w:t>. Each control</w:t>
      </w:r>
      <w:r w:rsidR="00610EC6">
        <w:rPr>
          <w:lang w:eastAsia="en-GB"/>
        </w:rPr>
        <w:t xml:space="preserve"> will be</w:t>
      </w:r>
      <w:r w:rsidR="006D7A79">
        <w:rPr>
          <w:lang w:eastAsia="en-GB"/>
        </w:rPr>
        <w:t xml:space="preserve"> matched </w:t>
      </w:r>
      <w:r w:rsidR="001E65DE">
        <w:rPr>
          <w:lang w:eastAsia="en-GB"/>
        </w:rPr>
        <w:t xml:space="preserve">for </w:t>
      </w:r>
      <w:r w:rsidR="00D40FCA">
        <w:rPr>
          <w:lang w:eastAsia="en-GB"/>
        </w:rPr>
        <w:t xml:space="preserve">sex, </w:t>
      </w:r>
      <w:r w:rsidR="001E65DE">
        <w:rPr>
          <w:lang w:eastAsia="en-GB"/>
        </w:rPr>
        <w:t>FEV1</w:t>
      </w:r>
      <w:r w:rsidR="005D117A">
        <w:rPr>
          <w:lang w:eastAsia="en-GB"/>
        </w:rPr>
        <w:t xml:space="preserve"> </w:t>
      </w:r>
      <w:r w:rsidR="00610EC6">
        <w:rPr>
          <w:lang w:eastAsia="en-GB"/>
        </w:rPr>
        <w:t>(</w:t>
      </w:r>
      <w:r w:rsidR="006D7A79">
        <w:rPr>
          <w:lang w:eastAsia="en-GB"/>
        </w:rPr>
        <w:t>+/- 5%</w:t>
      </w:r>
      <w:r w:rsidR="00610EC6">
        <w:rPr>
          <w:lang w:eastAsia="en-GB"/>
        </w:rPr>
        <w:t>)</w:t>
      </w:r>
      <w:r w:rsidR="006D7A79">
        <w:rPr>
          <w:lang w:eastAsia="en-GB"/>
        </w:rPr>
        <w:t xml:space="preserve"> and age (+/- 5 years </w:t>
      </w:r>
      <w:r w:rsidR="005D117A">
        <w:rPr>
          <w:lang w:eastAsia="en-GB"/>
        </w:rPr>
        <w:t xml:space="preserve">for </w:t>
      </w:r>
      <w:r w:rsidR="006D7A79">
        <w:rPr>
          <w:lang w:eastAsia="en-GB"/>
        </w:rPr>
        <w:t xml:space="preserve">those aged &gt;18 years or +/- 1 year those </w:t>
      </w:r>
      <w:r w:rsidR="001E65DE">
        <w:rPr>
          <w:lang w:eastAsia="en-GB"/>
        </w:rPr>
        <w:t xml:space="preserve">aged </w:t>
      </w:r>
      <w:r w:rsidR="005D117A">
        <w:rPr>
          <w:lang w:eastAsia="en-GB"/>
        </w:rPr>
        <w:t xml:space="preserve">12 to </w:t>
      </w:r>
      <w:r w:rsidR="006D7A79">
        <w:rPr>
          <w:lang w:eastAsia="en-GB"/>
        </w:rPr>
        <w:t>&lt;18 years</w:t>
      </w:r>
      <w:r w:rsidR="00610EC6">
        <w:rPr>
          <w:lang w:eastAsia="en-GB"/>
        </w:rPr>
        <w:t xml:space="preserve">) </w:t>
      </w:r>
      <w:r w:rsidR="00756E26">
        <w:rPr>
          <w:lang w:eastAsia="en-GB"/>
        </w:rPr>
        <w:t>to</w:t>
      </w:r>
      <w:r w:rsidR="00610EC6">
        <w:rPr>
          <w:lang w:eastAsia="en-GB"/>
        </w:rPr>
        <w:t xml:space="preserve"> each </w:t>
      </w:r>
      <w:r w:rsidR="001E65DE">
        <w:rPr>
          <w:lang w:eastAsia="en-GB"/>
        </w:rPr>
        <w:t>LUM/IVA</w:t>
      </w:r>
      <w:r w:rsidR="00610EC6">
        <w:rPr>
          <w:lang w:eastAsia="en-GB"/>
        </w:rPr>
        <w:t xml:space="preserve"> recipient</w:t>
      </w:r>
      <w:r w:rsidR="006D7A79">
        <w:rPr>
          <w:lang w:eastAsia="en-GB"/>
        </w:rPr>
        <w:t xml:space="preserve">. </w:t>
      </w:r>
      <w:r w:rsidR="001838BE">
        <w:rPr>
          <w:lang w:eastAsia="en-GB"/>
        </w:rPr>
        <w:t>T</w:t>
      </w:r>
      <w:r w:rsidR="00610EC6">
        <w:rPr>
          <w:lang w:eastAsia="en-GB"/>
        </w:rPr>
        <w:t xml:space="preserve">he period of review </w:t>
      </w:r>
      <w:r w:rsidR="001838BE">
        <w:rPr>
          <w:lang w:eastAsia="en-GB"/>
        </w:rPr>
        <w:t xml:space="preserve">for controls </w:t>
      </w:r>
      <w:r w:rsidR="00610EC6">
        <w:rPr>
          <w:lang w:eastAsia="en-GB"/>
        </w:rPr>
        <w:t>will be</w:t>
      </w:r>
      <w:r w:rsidR="001E65DE">
        <w:rPr>
          <w:lang w:eastAsia="en-GB"/>
        </w:rPr>
        <w:t xml:space="preserve"> </w:t>
      </w:r>
      <w:r w:rsidR="00610EC6">
        <w:rPr>
          <w:lang w:eastAsia="en-GB"/>
        </w:rPr>
        <w:t>that</w:t>
      </w:r>
      <w:r w:rsidR="001E65DE">
        <w:rPr>
          <w:lang w:eastAsia="en-GB"/>
        </w:rPr>
        <w:t xml:space="preserve"> period</w:t>
      </w:r>
      <w:r w:rsidR="00610EC6">
        <w:rPr>
          <w:lang w:eastAsia="en-GB"/>
        </w:rPr>
        <w:t xml:space="preserve"> from one</w:t>
      </w:r>
      <w:r w:rsidR="006D7A79">
        <w:rPr>
          <w:lang w:eastAsia="en-GB"/>
        </w:rPr>
        <w:t xml:space="preserve"> annual review </w:t>
      </w:r>
      <w:r w:rsidR="00610EC6">
        <w:rPr>
          <w:lang w:eastAsia="en-GB"/>
        </w:rPr>
        <w:t xml:space="preserve">to the </w:t>
      </w:r>
      <w:r w:rsidR="001E65DE">
        <w:rPr>
          <w:lang w:eastAsia="en-GB"/>
        </w:rPr>
        <w:t xml:space="preserve">subsequent </w:t>
      </w:r>
      <w:r w:rsidR="00610EC6">
        <w:rPr>
          <w:lang w:eastAsia="en-GB"/>
        </w:rPr>
        <w:t>annual review assessment</w:t>
      </w:r>
      <w:r w:rsidR="001E65DE">
        <w:rPr>
          <w:lang w:eastAsia="en-GB"/>
        </w:rPr>
        <w:t xml:space="preserve"> 12 months distant</w:t>
      </w:r>
      <w:r w:rsidR="00610EC6">
        <w:rPr>
          <w:lang w:eastAsia="en-GB"/>
        </w:rPr>
        <w:t>. I</w:t>
      </w:r>
      <w:r w:rsidR="006D7A79">
        <w:rPr>
          <w:lang w:eastAsia="en-GB"/>
        </w:rPr>
        <w:t xml:space="preserve">f </w:t>
      </w:r>
      <w:r w:rsidR="001E65DE">
        <w:rPr>
          <w:lang w:eastAsia="en-GB"/>
        </w:rPr>
        <w:t xml:space="preserve">the latter </w:t>
      </w:r>
      <w:r w:rsidR="00610EC6">
        <w:rPr>
          <w:lang w:eastAsia="en-GB"/>
        </w:rPr>
        <w:t>annual review visit is missed</w:t>
      </w:r>
      <w:r w:rsidR="00756E26">
        <w:rPr>
          <w:lang w:eastAsia="en-GB"/>
        </w:rPr>
        <w:t>,</w:t>
      </w:r>
      <w:r w:rsidR="00610EC6">
        <w:rPr>
          <w:lang w:eastAsia="en-GB"/>
        </w:rPr>
        <w:t xml:space="preserve"> </w:t>
      </w:r>
      <w:r w:rsidR="00756E26">
        <w:rPr>
          <w:lang w:eastAsia="en-GB"/>
        </w:rPr>
        <w:t>a</w:t>
      </w:r>
      <w:r w:rsidR="006D7A79">
        <w:rPr>
          <w:lang w:eastAsia="en-GB"/>
        </w:rPr>
        <w:t xml:space="preserve"> </w:t>
      </w:r>
      <w:r w:rsidR="00610EC6">
        <w:rPr>
          <w:lang w:eastAsia="en-GB"/>
        </w:rPr>
        <w:t xml:space="preserve">clinical assessment nearest </w:t>
      </w:r>
      <w:r w:rsidR="006D7A79">
        <w:rPr>
          <w:lang w:eastAsia="en-GB"/>
        </w:rPr>
        <w:t>to their birthdate</w:t>
      </w:r>
      <w:r w:rsidR="00756E26">
        <w:rPr>
          <w:lang w:eastAsia="en-GB"/>
        </w:rPr>
        <w:t xml:space="preserve"> (the date on which annual reviews are routinely scheduled)</w:t>
      </w:r>
      <w:r w:rsidR="006D7A79">
        <w:rPr>
          <w:lang w:eastAsia="en-GB"/>
        </w:rPr>
        <w:t xml:space="preserve"> </w:t>
      </w:r>
      <w:r w:rsidR="00610EC6">
        <w:rPr>
          <w:lang w:eastAsia="en-GB"/>
        </w:rPr>
        <w:t>will be utilised</w:t>
      </w:r>
      <w:r w:rsidR="006D7A79">
        <w:rPr>
          <w:lang w:eastAsia="en-GB"/>
        </w:rPr>
        <w:t>.</w:t>
      </w:r>
    </w:p>
    <w:p w14:paraId="7A3F939A" w14:textId="77777777" w:rsidR="00B87C4B" w:rsidRDefault="00B87C4B" w:rsidP="00495C69">
      <w:pPr>
        <w:rPr>
          <w:lang w:eastAsia="en-GB"/>
        </w:rPr>
      </w:pPr>
    </w:p>
    <w:p w14:paraId="2D1A6D49" w14:textId="39BFD46C" w:rsidR="001E65DE" w:rsidRPr="001E65DE" w:rsidRDefault="001E65DE" w:rsidP="00495C69">
      <w:pPr>
        <w:rPr>
          <w:color w:val="2F5496" w:themeColor="accent1" w:themeShade="BF"/>
          <w:sz w:val="32"/>
          <w:szCs w:val="32"/>
          <w:lang w:eastAsia="en-GB"/>
        </w:rPr>
      </w:pPr>
      <w:r w:rsidRPr="001E65DE">
        <w:rPr>
          <w:color w:val="2F5496" w:themeColor="accent1" w:themeShade="BF"/>
          <w:sz w:val="32"/>
          <w:szCs w:val="32"/>
          <w:lang w:eastAsia="en-GB"/>
        </w:rPr>
        <w:t>Data Capture</w:t>
      </w:r>
    </w:p>
    <w:p w14:paraId="69DF6202" w14:textId="77777777" w:rsidR="001E65DE" w:rsidRDefault="001E65DE" w:rsidP="00495C69">
      <w:pPr>
        <w:rPr>
          <w:lang w:eastAsia="en-GB"/>
        </w:rPr>
      </w:pPr>
    </w:p>
    <w:p w14:paraId="514E679F" w14:textId="77777777" w:rsidR="00317364" w:rsidRDefault="00610EC6" w:rsidP="00495C69">
      <w:pPr>
        <w:rPr>
          <w:lang w:eastAsia="en-GB"/>
        </w:rPr>
      </w:pPr>
      <w:r>
        <w:rPr>
          <w:lang w:eastAsia="en-GB"/>
        </w:rPr>
        <w:t>Retrospective clinical data</w:t>
      </w:r>
      <w:r w:rsidR="008B2707">
        <w:rPr>
          <w:lang w:eastAsia="en-GB"/>
        </w:rPr>
        <w:t xml:space="preserve"> </w:t>
      </w:r>
      <w:r>
        <w:rPr>
          <w:lang w:eastAsia="en-GB"/>
        </w:rPr>
        <w:t xml:space="preserve">will be </w:t>
      </w:r>
      <w:r w:rsidR="00BE32C0">
        <w:rPr>
          <w:lang w:eastAsia="en-GB"/>
        </w:rPr>
        <w:t xml:space="preserve">sourced from patient medical records and </w:t>
      </w:r>
      <w:r w:rsidR="0063266E">
        <w:rPr>
          <w:lang w:eastAsia="en-GB"/>
        </w:rPr>
        <w:t>entered</w:t>
      </w:r>
      <w:r>
        <w:rPr>
          <w:lang w:eastAsia="en-GB"/>
        </w:rPr>
        <w:t xml:space="preserve"> into </w:t>
      </w:r>
      <w:r w:rsidR="008B2707">
        <w:rPr>
          <w:lang w:eastAsia="en-GB"/>
        </w:rPr>
        <w:t xml:space="preserve">an excel data </w:t>
      </w:r>
      <w:r w:rsidR="0063266E">
        <w:rPr>
          <w:lang w:eastAsia="en-GB"/>
        </w:rPr>
        <w:t xml:space="preserve">file </w:t>
      </w:r>
      <w:r>
        <w:rPr>
          <w:lang w:eastAsia="en-GB"/>
        </w:rPr>
        <w:t xml:space="preserve">at </w:t>
      </w:r>
      <w:r w:rsidR="00B87C4B">
        <w:rPr>
          <w:lang w:eastAsia="en-GB"/>
        </w:rPr>
        <w:t>each participating site</w:t>
      </w:r>
      <w:r>
        <w:rPr>
          <w:lang w:eastAsia="en-GB"/>
        </w:rPr>
        <w:t>.</w:t>
      </w:r>
      <w:r w:rsidR="00B87C4B">
        <w:rPr>
          <w:lang w:eastAsia="en-GB"/>
        </w:rPr>
        <w:t xml:space="preserve"> </w:t>
      </w:r>
      <w:r w:rsidR="00317364">
        <w:rPr>
          <w:lang w:eastAsia="en-GB"/>
        </w:rPr>
        <w:t>Data will include:</w:t>
      </w:r>
    </w:p>
    <w:p w14:paraId="61135BDD" w14:textId="77777777" w:rsidR="00317364" w:rsidRDefault="00317364" w:rsidP="00495C69">
      <w:pPr>
        <w:rPr>
          <w:lang w:eastAsia="en-GB"/>
        </w:rPr>
      </w:pPr>
    </w:p>
    <w:p w14:paraId="77B7B74C" w14:textId="77777777" w:rsidR="0062022F" w:rsidRDefault="0062022F" w:rsidP="009D3672">
      <w:pPr>
        <w:pStyle w:val="ListParagraph"/>
        <w:numPr>
          <w:ilvl w:val="0"/>
          <w:numId w:val="3"/>
        </w:numPr>
        <w:rPr>
          <w:lang w:eastAsia="en-GB"/>
        </w:rPr>
      </w:pPr>
      <w:r>
        <w:rPr>
          <w:lang w:eastAsia="en-GB"/>
        </w:rPr>
        <w:t>Date consent provided</w:t>
      </w:r>
    </w:p>
    <w:p w14:paraId="3AA3B3DD" w14:textId="3537FC0E" w:rsidR="0062022F" w:rsidRDefault="0062022F" w:rsidP="009D3672">
      <w:pPr>
        <w:pStyle w:val="ListParagraph"/>
        <w:numPr>
          <w:ilvl w:val="0"/>
          <w:numId w:val="3"/>
        </w:numPr>
        <w:rPr>
          <w:lang w:eastAsia="en-GB"/>
        </w:rPr>
      </w:pPr>
      <w:r>
        <w:rPr>
          <w:lang w:eastAsia="en-GB"/>
        </w:rPr>
        <w:t>Site of origin</w:t>
      </w:r>
    </w:p>
    <w:p w14:paraId="10D642D7" w14:textId="5DFFD538" w:rsidR="009D3672" w:rsidRDefault="007F273F" w:rsidP="009D3672">
      <w:pPr>
        <w:pStyle w:val="ListParagraph"/>
        <w:numPr>
          <w:ilvl w:val="0"/>
          <w:numId w:val="3"/>
        </w:numPr>
        <w:rPr>
          <w:lang w:eastAsia="en-GB"/>
        </w:rPr>
      </w:pPr>
      <w:r>
        <w:rPr>
          <w:lang w:eastAsia="en-GB"/>
        </w:rPr>
        <w:t>A</w:t>
      </w:r>
      <w:r w:rsidR="009D3672">
        <w:rPr>
          <w:lang w:eastAsia="en-GB"/>
        </w:rPr>
        <w:t>CFDR identifier</w:t>
      </w:r>
    </w:p>
    <w:p w14:paraId="7B4E5726" w14:textId="06CEE237" w:rsidR="00317364" w:rsidRDefault="00317364" w:rsidP="009D3672">
      <w:pPr>
        <w:pStyle w:val="ListParagraph"/>
        <w:numPr>
          <w:ilvl w:val="0"/>
          <w:numId w:val="3"/>
        </w:numPr>
        <w:rPr>
          <w:lang w:eastAsia="en-GB"/>
        </w:rPr>
      </w:pPr>
      <w:r>
        <w:rPr>
          <w:lang w:eastAsia="en-GB"/>
        </w:rPr>
        <w:t>CFTR genotype</w:t>
      </w:r>
    </w:p>
    <w:p w14:paraId="07723E53" w14:textId="40114ECA" w:rsidR="00317364" w:rsidRDefault="00317364" w:rsidP="009D3672">
      <w:pPr>
        <w:pStyle w:val="ListParagraph"/>
        <w:numPr>
          <w:ilvl w:val="0"/>
          <w:numId w:val="3"/>
        </w:numPr>
        <w:rPr>
          <w:lang w:eastAsia="en-GB"/>
        </w:rPr>
      </w:pPr>
      <w:r>
        <w:rPr>
          <w:lang w:eastAsia="en-GB"/>
        </w:rPr>
        <w:t>Date of birth</w:t>
      </w:r>
    </w:p>
    <w:p w14:paraId="22054ABF" w14:textId="246C5591" w:rsidR="00317364" w:rsidRDefault="00317364" w:rsidP="009D3672">
      <w:pPr>
        <w:pStyle w:val="ListParagraph"/>
        <w:numPr>
          <w:ilvl w:val="0"/>
          <w:numId w:val="3"/>
        </w:numPr>
        <w:rPr>
          <w:lang w:eastAsia="en-GB"/>
        </w:rPr>
      </w:pPr>
      <w:r>
        <w:rPr>
          <w:lang w:eastAsia="en-GB"/>
        </w:rPr>
        <w:t>Gender</w:t>
      </w:r>
    </w:p>
    <w:p w14:paraId="73086735" w14:textId="37D776C4" w:rsidR="00317364" w:rsidRDefault="00317364" w:rsidP="009D3672">
      <w:pPr>
        <w:pStyle w:val="ListParagraph"/>
        <w:numPr>
          <w:ilvl w:val="0"/>
          <w:numId w:val="3"/>
        </w:numPr>
        <w:rPr>
          <w:lang w:eastAsia="en-GB"/>
        </w:rPr>
      </w:pPr>
      <w:r>
        <w:rPr>
          <w:lang w:eastAsia="en-GB"/>
        </w:rPr>
        <w:t>Date LUM/IVA start</w:t>
      </w:r>
    </w:p>
    <w:p w14:paraId="6AAABFD1" w14:textId="47267196" w:rsidR="009D3672" w:rsidRDefault="009D3672" w:rsidP="009D3672">
      <w:pPr>
        <w:pStyle w:val="ListParagraph"/>
        <w:numPr>
          <w:ilvl w:val="0"/>
          <w:numId w:val="3"/>
        </w:numPr>
        <w:rPr>
          <w:lang w:eastAsia="en-GB"/>
        </w:rPr>
      </w:pPr>
      <w:r>
        <w:rPr>
          <w:lang w:eastAsia="en-GB"/>
        </w:rPr>
        <w:t>Date LUM/IVA</w:t>
      </w:r>
      <w:r w:rsidRPr="009D3672">
        <w:rPr>
          <w:lang w:eastAsia="en-GB"/>
        </w:rPr>
        <w:t xml:space="preserve"> </w:t>
      </w:r>
      <w:r>
        <w:rPr>
          <w:lang w:eastAsia="en-GB"/>
        </w:rPr>
        <w:t>discontinuation</w:t>
      </w:r>
    </w:p>
    <w:p w14:paraId="21542C9C" w14:textId="48F9178F" w:rsidR="009D3672" w:rsidRDefault="009D3672" w:rsidP="009D3672">
      <w:pPr>
        <w:pStyle w:val="ListParagraph"/>
        <w:numPr>
          <w:ilvl w:val="0"/>
          <w:numId w:val="3"/>
        </w:numPr>
        <w:rPr>
          <w:lang w:eastAsia="en-GB"/>
        </w:rPr>
      </w:pPr>
      <w:r>
        <w:rPr>
          <w:lang w:eastAsia="en-GB"/>
        </w:rPr>
        <w:t>Report</w:t>
      </w:r>
      <w:r w:rsidR="00317364">
        <w:rPr>
          <w:lang w:eastAsia="en-GB"/>
        </w:rPr>
        <w:t xml:space="preserve"> of chest tightness</w:t>
      </w:r>
      <w:r w:rsidRPr="009D3672">
        <w:rPr>
          <w:lang w:eastAsia="en-GB"/>
        </w:rPr>
        <w:t xml:space="preserve"> </w:t>
      </w:r>
      <w:r>
        <w:rPr>
          <w:lang w:eastAsia="en-GB"/>
        </w:rPr>
        <w:t>or dyspnoea</w:t>
      </w:r>
      <w:r w:rsidR="00CA5FB1">
        <w:rPr>
          <w:lang w:eastAsia="en-GB"/>
        </w:rPr>
        <w:t xml:space="preserve"> (date, FEV1, duration, treatment)</w:t>
      </w:r>
    </w:p>
    <w:p w14:paraId="58ECF4C0" w14:textId="7258B2BE" w:rsidR="00317364" w:rsidRDefault="009D3672" w:rsidP="009D3672">
      <w:pPr>
        <w:pStyle w:val="ListParagraph"/>
        <w:numPr>
          <w:ilvl w:val="0"/>
          <w:numId w:val="3"/>
        </w:numPr>
        <w:rPr>
          <w:lang w:eastAsia="en-GB"/>
        </w:rPr>
      </w:pPr>
      <w:r>
        <w:rPr>
          <w:lang w:eastAsia="en-GB"/>
        </w:rPr>
        <w:t>T</w:t>
      </w:r>
      <w:r w:rsidR="00317364">
        <w:rPr>
          <w:lang w:eastAsia="en-GB"/>
        </w:rPr>
        <w:t>reatment emergent adverse events</w:t>
      </w:r>
    </w:p>
    <w:p w14:paraId="6B1B5225" w14:textId="4F991776" w:rsidR="00317364" w:rsidRDefault="00317364" w:rsidP="009D3672">
      <w:pPr>
        <w:pStyle w:val="ListParagraph"/>
        <w:numPr>
          <w:ilvl w:val="0"/>
          <w:numId w:val="3"/>
        </w:numPr>
        <w:rPr>
          <w:lang w:eastAsia="en-GB"/>
        </w:rPr>
      </w:pPr>
      <w:r>
        <w:rPr>
          <w:lang w:eastAsia="en-GB"/>
        </w:rPr>
        <w:t xml:space="preserve">Exacerbations </w:t>
      </w:r>
      <w:r w:rsidR="009D3672">
        <w:rPr>
          <w:lang w:eastAsia="en-GB"/>
        </w:rPr>
        <w:t>during the</w:t>
      </w:r>
      <w:r>
        <w:rPr>
          <w:lang w:eastAsia="en-GB"/>
        </w:rPr>
        <w:t xml:space="preserve"> 12 month observation period (requiring intravenous antibiotics</w:t>
      </w:r>
      <w:r w:rsidR="00CA5FB1">
        <w:rPr>
          <w:lang w:eastAsia="en-GB"/>
        </w:rPr>
        <w:t>, duration, FEV1 at start of exacerbation and end</w:t>
      </w:r>
      <w:r>
        <w:rPr>
          <w:lang w:eastAsia="en-GB"/>
        </w:rPr>
        <w:t>)</w:t>
      </w:r>
    </w:p>
    <w:p w14:paraId="138730E0" w14:textId="48CA5E09" w:rsidR="00317364" w:rsidRDefault="009D3672" w:rsidP="009D3672">
      <w:pPr>
        <w:pStyle w:val="ListParagraph"/>
        <w:numPr>
          <w:ilvl w:val="0"/>
          <w:numId w:val="3"/>
        </w:numPr>
        <w:rPr>
          <w:lang w:eastAsia="en-GB"/>
        </w:rPr>
      </w:pPr>
      <w:r>
        <w:rPr>
          <w:lang w:eastAsia="en-GB"/>
        </w:rPr>
        <w:t>Dates of h</w:t>
      </w:r>
      <w:r w:rsidR="00317364">
        <w:rPr>
          <w:lang w:eastAsia="en-GB"/>
        </w:rPr>
        <w:t xml:space="preserve">ospitalisation for CF </w:t>
      </w:r>
      <w:r>
        <w:rPr>
          <w:lang w:eastAsia="en-GB"/>
        </w:rPr>
        <w:t>(</w:t>
      </w:r>
      <w:r w:rsidR="00317364">
        <w:rPr>
          <w:lang w:eastAsia="en-GB"/>
        </w:rPr>
        <w:t xml:space="preserve">requiring IV </w:t>
      </w:r>
      <w:r>
        <w:rPr>
          <w:lang w:eastAsia="en-GB"/>
        </w:rPr>
        <w:t>antibiotics</w:t>
      </w:r>
      <w:r w:rsidR="00317364">
        <w:rPr>
          <w:lang w:eastAsia="en-GB"/>
        </w:rPr>
        <w:t>)</w:t>
      </w:r>
    </w:p>
    <w:p w14:paraId="4604187D" w14:textId="789C713F" w:rsidR="00317364" w:rsidRDefault="00317364" w:rsidP="009D3672">
      <w:pPr>
        <w:pStyle w:val="ListParagraph"/>
        <w:numPr>
          <w:ilvl w:val="0"/>
          <w:numId w:val="3"/>
        </w:numPr>
        <w:rPr>
          <w:lang w:eastAsia="en-GB"/>
        </w:rPr>
      </w:pPr>
      <w:r>
        <w:rPr>
          <w:lang w:eastAsia="en-GB"/>
        </w:rPr>
        <w:t xml:space="preserve">FEV1 </w:t>
      </w:r>
      <w:r w:rsidR="009D3672">
        <w:rPr>
          <w:lang w:eastAsia="en-GB"/>
        </w:rPr>
        <w:t xml:space="preserve">% predicted </w:t>
      </w:r>
      <w:r>
        <w:rPr>
          <w:lang w:eastAsia="en-GB"/>
        </w:rPr>
        <w:t>(at baseline, 3, 6, and 12 months)</w:t>
      </w:r>
    </w:p>
    <w:p w14:paraId="1741545F" w14:textId="0F6C2735" w:rsidR="00317364" w:rsidRDefault="00317364" w:rsidP="009D3672">
      <w:pPr>
        <w:pStyle w:val="ListParagraph"/>
        <w:numPr>
          <w:ilvl w:val="0"/>
          <w:numId w:val="3"/>
        </w:numPr>
        <w:rPr>
          <w:lang w:eastAsia="en-GB"/>
        </w:rPr>
      </w:pPr>
      <w:r>
        <w:rPr>
          <w:lang w:eastAsia="en-GB"/>
        </w:rPr>
        <w:t>Height (at baseline, 3, 6, and 12 months)</w:t>
      </w:r>
    </w:p>
    <w:p w14:paraId="081A900B" w14:textId="38579E48" w:rsidR="00317364" w:rsidRDefault="00317364" w:rsidP="009D3672">
      <w:pPr>
        <w:pStyle w:val="ListParagraph"/>
        <w:numPr>
          <w:ilvl w:val="0"/>
          <w:numId w:val="3"/>
        </w:numPr>
        <w:rPr>
          <w:lang w:eastAsia="en-GB"/>
        </w:rPr>
      </w:pPr>
      <w:r>
        <w:rPr>
          <w:lang w:eastAsia="en-GB"/>
        </w:rPr>
        <w:t>Weight (at baseline, 3, 6, and 12 months)</w:t>
      </w:r>
    </w:p>
    <w:p w14:paraId="4B3B11E8" w14:textId="265F73E2" w:rsidR="009D3672" w:rsidRDefault="009D3672" w:rsidP="009D3672">
      <w:pPr>
        <w:pStyle w:val="ListParagraph"/>
        <w:numPr>
          <w:ilvl w:val="0"/>
          <w:numId w:val="3"/>
        </w:numPr>
        <w:rPr>
          <w:lang w:eastAsia="en-GB"/>
        </w:rPr>
      </w:pPr>
      <w:r>
        <w:rPr>
          <w:lang w:eastAsia="en-GB"/>
        </w:rPr>
        <w:t>Lung transplantation date</w:t>
      </w:r>
      <w:r w:rsidR="00D40FCA">
        <w:rPr>
          <w:lang w:eastAsia="en-GB"/>
        </w:rPr>
        <w:t xml:space="preserve"> if applicable</w:t>
      </w:r>
    </w:p>
    <w:p w14:paraId="28E06E38" w14:textId="753F181B" w:rsidR="009D3672" w:rsidRDefault="009D3672" w:rsidP="009D3672">
      <w:pPr>
        <w:pStyle w:val="ListParagraph"/>
        <w:numPr>
          <w:ilvl w:val="0"/>
          <w:numId w:val="3"/>
        </w:numPr>
        <w:rPr>
          <w:lang w:eastAsia="en-GB"/>
        </w:rPr>
      </w:pPr>
      <w:r>
        <w:rPr>
          <w:lang w:eastAsia="en-GB"/>
        </w:rPr>
        <w:t xml:space="preserve">Baseline CF treatments: </w:t>
      </w:r>
      <w:proofErr w:type="spellStart"/>
      <w:r>
        <w:rPr>
          <w:lang w:eastAsia="en-GB"/>
        </w:rPr>
        <w:t>DNAse</w:t>
      </w:r>
      <w:proofErr w:type="spellEnd"/>
      <w:r>
        <w:rPr>
          <w:lang w:eastAsia="en-GB"/>
        </w:rPr>
        <w:t xml:space="preserve">, hypertonic saline, Tobramycin, </w:t>
      </w:r>
      <w:proofErr w:type="spellStart"/>
      <w:r>
        <w:rPr>
          <w:lang w:eastAsia="en-GB"/>
        </w:rPr>
        <w:t>colistin</w:t>
      </w:r>
      <w:proofErr w:type="spellEnd"/>
      <w:r>
        <w:rPr>
          <w:lang w:eastAsia="en-GB"/>
        </w:rPr>
        <w:t>, azithromycin</w:t>
      </w:r>
    </w:p>
    <w:p w14:paraId="28699327" w14:textId="134C7E78" w:rsidR="009D3672" w:rsidRDefault="009D3672" w:rsidP="009D3672">
      <w:pPr>
        <w:pStyle w:val="ListParagraph"/>
        <w:numPr>
          <w:ilvl w:val="0"/>
          <w:numId w:val="3"/>
        </w:numPr>
        <w:rPr>
          <w:lang w:eastAsia="en-GB"/>
        </w:rPr>
      </w:pPr>
      <w:r>
        <w:rPr>
          <w:lang w:eastAsia="en-GB"/>
        </w:rPr>
        <w:t>CF-associated comorbidities: CF-related diabetes, liver cirrhosis, osteoporosis, symptomatic sinusitis, current ABPA</w:t>
      </w:r>
    </w:p>
    <w:p w14:paraId="07DDAB90" w14:textId="77777777" w:rsidR="009D3672" w:rsidRDefault="009D3672" w:rsidP="00495C69">
      <w:pPr>
        <w:rPr>
          <w:lang w:eastAsia="en-GB"/>
        </w:rPr>
      </w:pPr>
    </w:p>
    <w:p w14:paraId="4F384361" w14:textId="128110B3" w:rsidR="00317364" w:rsidRPr="007D42EA" w:rsidRDefault="007D42EA" w:rsidP="00495C69">
      <w:pPr>
        <w:rPr>
          <w:color w:val="2F5496" w:themeColor="accent1" w:themeShade="BF"/>
          <w:sz w:val="32"/>
          <w:szCs w:val="32"/>
          <w:lang w:eastAsia="en-GB"/>
        </w:rPr>
      </w:pPr>
      <w:r w:rsidRPr="007D42EA">
        <w:rPr>
          <w:color w:val="2F5496" w:themeColor="accent1" w:themeShade="BF"/>
          <w:sz w:val="32"/>
          <w:szCs w:val="32"/>
          <w:lang w:eastAsia="en-GB"/>
        </w:rPr>
        <w:t>Participant Privacy</w:t>
      </w:r>
    </w:p>
    <w:p w14:paraId="10C28BFD" w14:textId="77777777" w:rsidR="007D42EA" w:rsidRDefault="007D42EA" w:rsidP="00495C69">
      <w:pPr>
        <w:rPr>
          <w:lang w:eastAsia="en-GB"/>
        </w:rPr>
      </w:pPr>
    </w:p>
    <w:p w14:paraId="68BE3FF8" w14:textId="02CE5D90" w:rsidR="006D7A79" w:rsidRDefault="00443D3F" w:rsidP="007D42EA">
      <w:pPr>
        <w:rPr>
          <w:lang w:eastAsia="en-GB"/>
        </w:rPr>
      </w:pPr>
      <w:r>
        <w:rPr>
          <w:lang w:eastAsia="en-GB"/>
        </w:rPr>
        <w:t>To preserve patient privacy s</w:t>
      </w:r>
      <w:r w:rsidR="0063266E">
        <w:rPr>
          <w:lang w:eastAsia="en-GB"/>
        </w:rPr>
        <w:t xml:space="preserve">tudy participants will be </w:t>
      </w:r>
      <w:r w:rsidR="007D42EA">
        <w:rPr>
          <w:lang w:eastAsia="en-GB"/>
        </w:rPr>
        <w:t>identified</w:t>
      </w:r>
      <w:r w:rsidR="0063266E">
        <w:rPr>
          <w:lang w:eastAsia="en-GB"/>
        </w:rPr>
        <w:t xml:space="preserve"> in the </w:t>
      </w:r>
      <w:r>
        <w:rPr>
          <w:lang w:eastAsia="en-GB"/>
        </w:rPr>
        <w:t xml:space="preserve">study </w:t>
      </w:r>
      <w:r w:rsidR="009D3672">
        <w:rPr>
          <w:lang w:eastAsia="en-GB"/>
        </w:rPr>
        <w:t>data</w:t>
      </w:r>
      <w:r w:rsidR="0063266E">
        <w:rPr>
          <w:lang w:eastAsia="en-GB"/>
        </w:rPr>
        <w:t xml:space="preserve"> </w:t>
      </w:r>
      <w:r w:rsidR="001E65DE">
        <w:rPr>
          <w:lang w:eastAsia="en-GB"/>
        </w:rPr>
        <w:t xml:space="preserve">file </w:t>
      </w:r>
      <w:r w:rsidR="007D42EA">
        <w:rPr>
          <w:lang w:eastAsia="en-GB"/>
        </w:rPr>
        <w:t>by</w:t>
      </w:r>
      <w:r w:rsidR="001E65DE">
        <w:rPr>
          <w:lang w:eastAsia="en-GB"/>
        </w:rPr>
        <w:t xml:space="preserve"> </w:t>
      </w:r>
      <w:r w:rsidR="0063266E">
        <w:rPr>
          <w:lang w:eastAsia="en-GB"/>
        </w:rPr>
        <w:t xml:space="preserve">their Australian Cystic Fibrosis Data Registry (ACFDR) code. </w:t>
      </w:r>
      <w:r>
        <w:rPr>
          <w:lang w:eastAsia="en-GB"/>
        </w:rPr>
        <w:t>This ACFDR collates data derived from participating clinical sites and publishes an annual report to provide researchers with an overview of the health and demographics of the CF population in Australia. Participating c</w:t>
      </w:r>
      <w:r w:rsidR="007D42EA">
        <w:rPr>
          <w:lang w:eastAsia="en-GB"/>
        </w:rPr>
        <w:t xml:space="preserve">linical sites </w:t>
      </w:r>
      <w:r>
        <w:rPr>
          <w:lang w:eastAsia="en-GB"/>
        </w:rPr>
        <w:t>contribute data to the</w:t>
      </w:r>
      <w:r w:rsidR="007D42EA">
        <w:rPr>
          <w:lang w:eastAsia="en-GB"/>
        </w:rPr>
        <w:t xml:space="preserve"> </w:t>
      </w:r>
      <w:r>
        <w:rPr>
          <w:lang w:eastAsia="en-GB"/>
        </w:rPr>
        <w:t>ACFDR</w:t>
      </w:r>
      <w:r w:rsidR="007D42EA">
        <w:rPr>
          <w:lang w:eastAsia="en-GB"/>
        </w:rPr>
        <w:t xml:space="preserve"> </w:t>
      </w:r>
      <w:r>
        <w:t>and o</w:t>
      </w:r>
      <w:r w:rsidR="007D42EA">
        <w:t xml:space="preserve">nly the clinical site that enters clinical data into the register </w:t>
      </w:r>
      <w:r>
        <w:t>is</w:t>
      </w:r>
      <w:r w:rsidR="007D42EA">
        <w:t xml:space="preserve"> able to</w:t>
      </w:r>
      <w:r w:rsidR="0063266E">
        <w:t xml:space="preserve"> identify </w:t>
      </w:r>
      <w:r w:rsidR="007D42EA">
        <w:t>a specific</w:t>
      </w:r>
      <w:r w:rsidR="0063266E">
        <w:t xml:space="preserve"> </w:t>
      </w:r>
      <w:r w:rsidR="009D3672">
        <w:t>person</w:t>
      </w:r>
      <w:r w:rsidR="0063266E">
        <w:t xml:space="preserve"> by </w:t>
      </w:r>
      <w:r w:rsidR="007D42EA">
        <w:t>r</w:t>
      </w:r>
      <w:r>
        <w:t>eference to a specific ACFDR</w:t>
      </w:r>
      <w:r w:rsidR="007D42EA">
        <w:t xml:space="preserve"> code</w:t>
      </w:r>
      <w:r w:rsidR="0063266E">
        <w:t>.</w:t>
      </w:r>
      <w:r w:rsidR="001E65DE">
        <w:t xml:space="preserve"> </w:t>
      </w:r>
      <w:r>
        <w:t>It is not the intention of the investigators of this study (i.e. The OBSERVE CF study)to seek to</w:t>
      </w:r>
      <w:r w:rsidR="00BE32C0">
        <w:t xml:space="preserve"> identify </w:t>
      </w:r>
      <w:r w:rsidR="007D42EA">
        <w:t xml:space="preserve">any individual patient described by the data captured </w:t>
      </w:r>
      <w:r>
        <w:t>for the purposes of</w:t>
      </w:r>
      <w:r w:rsidR="007D42EA">
        <w:t xml:space="preserve"> this study</w:t>
      </w:r>
      <w:r>
        <w:t xml:space="preserve">. </w:t>
      </w:r>
    </w:p>
    <w:p w14:paraId="1B781A6D" w14:textId="77777777" w:rsidR="006D7A79" w:rsidRPr="00495C69" w:rsidRDefault="006D7A79" w:rsidP="00495C69">
      <w:pPr>
        <w:rPr>
          <w:lang w:eastAsia="en-GB"/>
        </w:rPr>
      </w:pPr>
    </w:p>
    <w:p w14:paraId="653EB85E" w14:textId="77777777" w:rsidR="008D6F37" w:rsidRPr="008D6F37" w:rsidRDefault="008D6F37" w:rsidP="008D6F37">
      <w:pPr>
        <w:rPr>
          <w:noProof/>
          <w:color w:val="2F5496" w:themeColor="accent1" w:themeShade="BF"/>
          <w:sz w:val="32"/>
          <w:szCs w:val="32"/>
        </w:rPr>
      </w:pPr>
      <w:r w:rsidRPr="008D6F37">
        <w:rPr>
          <w:noProof/>
          <w:color w:val="2F5496" w:themeColor="accent1" w:themeShade="BF"/>
          <w:sz w:val="32"/>
          <w:szCs w:val="32"/>
        </w:rPr>
        <w:t>References</w:t>
      </w:r>
    </w:p>
    <w:p w14:paraId="09078C85" w14:textId="77777777" w:rsidR="008D6F37" w:rsidRDefault="008D6F37" w:rsidP="008D6F37">
      <w:pPr>
        <w:rPr>
          <w:noProof/>
        </w:rPr>
      </w:pPr>
    </w:p>
    <w:p w14:paraId="3823D21B" w14:textId="3233D1E2" w:rsidR="00634826" w:rsidRPr="008D6F37" w:rsidRDefault="008D6F37" w:rsidP="008D6F37">
      <w:pPr>
        <w:pStyle w:val="ListParagraph"/>
        <w:numPr>
          <w:ilvl w:val="0"/>
          <w:numId w:val="2"/>
        </w:numPr>
        <w:rPr>
          <w:lang w:val="en-AU"/>
        </w:rPr>
      </w:pPr>
      <w:r>
        <w:rPr>
          <w:noProof/>
        </w:rPr>
        <w:t>Wainwright CE, Elborn JS, Ramsey BW. Lumacaftor-Ivacaftor in Patients with Cystic Fibrosis Homozygous for Phe508del CFTR. N Engl J Med 2015;</w:t>
      </w:r>
      <w:r w:rsidRPr="008D6F37">
        <w:rPr>
          <w:b/>
          <w:noProof/>
        </w:rPr>
        <w:t>373</w:t>
      </w:r>
      <w:r>
        <w:rPr>
          <w:noProof/>
        </w:rPr>
        <w:t>(18):1783-4</w:t>
      </w:r>
    </w:p>
    <w:p w14:paraId="17916637" w14:textId="77777777" w:rsidR="00285155" w:rsidRDefault="00285155" w:rsidP="00712CC9">
      <w:pPr>
        <w:rPr>
          <w:lang w:val="en-AU"/>
        </w:rPr>
      </w:pPr>
    </w:p>
    <w:p w14:paraId="3E783A88" w14:textId="1F6EE280" w:rsidR="008D6F37" w:rsidRPr="008D6F37" w:rsidRDefault="008D6F37" w:rsidP="008D6F37">
      <w:pPr>
        <w:pStyle w:val="ListParagraph"/>
        <w:numPr>
          <w:ilvl w:val="0"/>
          <w:numId w:val="2"/>
        </w:numPr>
        <w:rPr>
          <w:lang w:val="en-AU"/>
        </w:rPr>
      </w:pPr>
      <w:r>
        <w:rPr>
          <w:noProof/>
        </w:rPr>
        <w:t>Konstan MW, McKone EF, Moss RB, et al. Assessment of safety and efficacy of long-term treatment with combination lumacaftor and ivacaftor therapy in patients with cystic fibrosis homozygous for the F508del-CFTR mutation (PROGRESS): a phase 3, extension study. Lancet Respir Med 2017;</w:t>
      </w:r>
      <w:r w:rsidRPr="008D6F37">
        <w:rPr>
          <w:b/>
          <w:noProof/>
        </w:rPr>
        <w:t>5</w:t>
      </w:r>
      <w:r>
        <w:rPr>
          <w:noProof/>
        </w:rPr>
        <w:t>(2):107-18.</w:t>
      </w:r>
    </w:p>
    <w:p w14:paraId="7BF413F3" w14:textId="77777777" w:rsidR="008D6F37" w:rsidRDefault="008D6F37" w:rsidP="008D6F37">
      <w:pPr>
        <w:pStyle w:val="EndNoteBibliography"/>
        <w:ind w:left="720" w:hanging="720"/>
        <w:rPr>
          <w:noProof/>
        </w:rPr>
      </w:pPr>
    </w:p>
    <w:p w14:paraId="56F4AA03" w14:textId="1ED8AC63" w:rsidR="008D6F37" w:rsidRDefault="008D6F37" w:rsidP="008D6F37">
      <w:pPr>
        <w:pStyle w:val="EndNoteBibliography"/>
        <w:numPr>
          <w:ilvl w:val="0"/>
          <w:numId w:val="2"/>
        </w:numPr>
        <w:rPr>
          <w:noProof/>
        </w:rPr>
      </w:pPr>
      <w:r>
        <w:rPr>
          <w:noProof/>
        </w:rPr>
        <w:t>Popowicz N, Wood J, Tai A, et al. Immediate effects of lumacaftor/ivacaftor administration on lung function in patients with severe cystic fibrosis lung disease. Journal of cystic fibrosis : official journal of the European Cystic Fibrosis Society 2017;</w:t>
      </w:r>
      <w:r>
        <w:rPr>
          <w:b/>
          <w:noProof/>
        </w:rPr>
        <w:t>16</w:t>
      </w:r>
      <w:r>
        <w:rPr>
          <w:noProof/>
        </w:rPr>
        <w:t>(3):392-94.</w:t>
      </w:r>
    </w:p>
    <w:p w14:paraId="5DAE4E1B" w14:textId="77777777" w:rsidR="008D6F37" w:rsidRDefault="008D6F37" w:rsidP="00712CC9">
      <w:pPr>
        <w:rPr>
          <w:noProof/>
        </w:rPr>
      </w:pPr>
    </w:p>
    <w:p w14:paraId="7A2DA5E0" w14:textId="78D4F2D0" w:rsidR="00712CC9" w:rsidRDefault="008D6F37" w:rsidP="008D6F37">
      <w:pPr>
        <w:pStyle w:val="ListParagraph"/>
        <w:numPr>
          <w:ilvl w:val="0"/>
          <w:numId w:val="2"/>
        </w:numPr>
        <w:rPr>
          <w:noProof/>
        </w:rPr>
      </w:pPr>
      <w:r>
        <w:rPr>
          <w:noProof/>
        </w:rPr>
        <w:t>Hubert D, Chiron R, Camara B, et al. Real-life initiation of lumacaftor/ivacaftor combination in adults with cystic fibrosis homozygous for the Phe508del CFTR mutation and severe lung disease. Journal of cystic fibrosis : official journal of the European Cystic Fibrosis Society 2017;</w:t>
      </w:r>
      <w:r w:rsidRPr="008D6F37">
        <w:rPr>
          <w:b/>
          <w:noProof/>
        </w:rPr>
        <w:t>16</w:t>
      </w:r>
      <w:r>
        <w:rPr>
          <w:noProof/>
        </w:rPr>
        <w:t>(3):388-91</w:t>
      </w:r>
    </w:p>
    <w:p w14:paraId="02F7532E" w14:textId="77777777" w:rsidR="008D6F37" w:rsidRDefault="008D6F37" w:rsidP="008D6F37">
      <w:pPr>
        <w:pStyle w:val="EndNoteBibliography"/>
        <w:ind w:left="720" w:hanging="720"/>
        <w:rPr>
          <w:noProof/>
        </w:rPr>
      </w:pPr>
    </w:p>
    <w:p w14:paraId="39471CF1" w14:textId="77777777" w:rsidR="008D6F37" w:rsidRDefault="008D6F37" w:rsidP="008D6F37">
      <w:pPr>
        <w:pStyle w:val="EndNoteBibliography"/>
        <w:numPr>
          <w:ilvl w:val="0"/>
          <w:numId w:val="2"/>
        </w:numPr>
        <w:rPr>
          <w:noProof/>
        </w:rPr>
      </w:pPr>
      <w:r>
        <w:rPr>
          <w:noProof/>
        </w:rPr>
        <w:t>Hull J. Cystic fibrosis transmembrane conductance regulator dysfunction and its treatment. J R Soc Med 2012;</w:t>
      </w:r>
      <w:r>
        <w:rPr>
          <w:b/>
          <w:noProof/>
        </w:rPr>
        <w:t>105 Suppl 2</w:t>
      </w:r>
      <w:r>
        <w:rPr>
          <w:noProof/>
        </w:rPr>
        <w:t>:S2-8.</w:t>
      </w:r>
    </w:p>
    <w:p w14:paraId="1C7404C2" w14:textId="18EA2F8E" w:rsidR="00E95E87" w:rsidRDefault="00E95E87">
      <w:pPr>
        <w:rPr>
          <w:lang w:val="en-AU"/>
        </w:rPr>
      </w:pPr>
      <w:r>
        <w:rPr>
          <w:lang w:val="en-AU"/>
        </w:rPr>
        <w:br w:type="page"/>
      </w:r>
    </w:p>
    <w:p w14:paraId="172D908C" w14:textId="77777777" w:rsidR="00E95E87" w:rsidRPr="00542BD8" w:rsidRDefault="00E95E87" w:rsidP="00E95E87">
      <w:pPr>
        <w:pStyle w:val="Heading2"/>
        <w:ind w:right="91"/>
        <w:jc w:val="both"/>
        <w:rPr>
          <w:rFonts w:ascii="Arial" w:hAnsi="Arial" w:cs="Arial"/>
          <w:sz w:val="22"/>
          <w:szCs w:val="22"/>
        </w:rPr>
      </w:pPr>
    </w:p>
    <w:p w14:paraId="4A0F0A8C" w14:textId="77777777" w:rsidR="00E95E87" w:rsidRPr="00542BD8" w:rsidRDefault="00E95E87" w:rsidP="00E95E87">
      <w:pPr>
        <w:pStyle w:val="Closing"/>
        <w:spacing w:line="240" w:lineRule="auto"/>
        <w:ind w:right="91"/>
        <w:jc w:val="both"/>
        <w:rPr>
          <w:rFonts w:cs="Arial"/>
          <w:i/>
          <w:sz w:val="22"/>
          <w:szCs w:val="22"/>
        </w:rPr>
      </w:pPr>
    </w:p>
    <w:p w14:paraId="3E1485D6" w14:textId="02DFCCE4" w:rsidR="00E95E87" w:rsidRPr="00DB4B03" w:rsidRDefault="00E95E87" w:rsidP="00E95E87">
      <w:pPr>
        <w:pStyle w:val="Closing"/>
        <w:spacing w:line="240" w:lineRule="auto"/>
        <w:ind w:right="91"/>
        <w:jc w:val="both"/>
        <w:rPr>
          <w:rFonts w:cs="Arial"/>
          <w:i/>
          <w:sz w:val="22"/>
          <w:szCs w:val="22"/>
        </w:rPr>
      </w:pPr>
      <w:r>
        <w:rPr>
          <w:noProof/>
          <w:lang w:eastAsia="en-AU"/>
        </w:rPr>
        <w:drawing>
          <wp:anchor distT="0" distB="0" distL="114300" distR="114300" simplePos="0" relativeHeight="251660288" behindDoc="1" locked="0" layoutInCell="1" allowOverlap="1" wp14:anchorId="0A7C18B3" wp14:editId="3F5033CB">
            <wp:simplePos x="0" y="0"/>
            <wp:positionH relativeFrom="column">
              <wp:posOffset>3099435</wp:posOffset>
            </wp:positionH>
            <wp:positionV relativeFrom="paragraph">
              <wp:posOffset>15875</wp:posOffset>
            </wp:positionV>
            <wp:extent cx="2743200" cy="763270"/>
            <wp:effectExtent l="0" t="0" r="0" b="0"/>
            <wp:wrapTight wrapText="bothSides">
              <wp:wrapPolygon edited="0">
                <wp:start x="0" y="0"/>
                <wp:lineTo x="0" y="21025"/>
                <wp:lineTo x="21450" y="21025"/>
                <wp:lineTo x="2145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0" cy="7632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9264" behindDoc="1" locked="0" layoutInCell="1" allowOverlap="1" wp14:anchorId="55CC3C2E" wp14:editId="7CD1489A">
            <wp:simplePos x="0" y="0"/>
            <wp:positionH relativeFrom="column">
              <wp:posOffset>127635</wp:posOffset>
            </wp:positionH>
            <wp:positionV relativeFrom="paragraph">
              <wp:posOffset>15875</wp:posOffset>
            </wp:positionV>
            <wp:extent cx="1198880" cy="764540"/>
            <wp:effectExtent l="0" t="0" r="1270" b="0"/>
            <wp:wrapTight wrapText="bothSides">
              <wp:wrapPolygon edited="0">
                <wp:start x="0" y="0"/>
                <wp:lineTo x="0" y="20990"/>
                <wp:lineTo x="21280" y="20990"/>
                <wp:lineTo x="21280" y="0"/>
                <wp:lineTo x="0" y="0"/>
              </wp:wrapPolygon>
            </wp:wrapTight>
            <wp:docPr id="1" name="Picture 1" descr="HMRI Logo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MRI Logo_c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8880" cy="764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5F2894" w14:textId="77777777" w:rsidR="00E95E87" w:rsidRPr="00DB4B03" w:rsidRDefault="00E95E87" w:rsidP="00E95E87">
      <w:pPr>
        <w:pStyle w:val="Closing"/>
        <w:spacing w:line="240" w:lineRule="auto"/>
        <w:ind w:right="91"/>
        <w:jc w:val="both"/>
        <w:rPr>
          <w:rFonts w:cs="Arial"/>
          <w:i/>
          <w:sz w:val="22"/>
          <w:szCs w:val="22"/>
        </w:rPr>
      </w:pPr>
    </w:p>
    <w:p w14:paraId="41A47455" w14:textId="77777777" w:rsidR="00E95E87" w:rsidRPr="00DB4B03" w:rsidRDefault="00E95E87" w:rsidP="00E95E87">
      <w:pPr>
        <w:pStyle w:val="Closing"/>
        <w:spacing w:line="240" w:lineRule="auto"/>
        <w:ind w:right="91"/>
        <w:jc w:val="both"/>
        <w:rPr>
          <w:rFonts w:cs="Arial"/>
          <w:i/>
          <w:sz w:val="22"/>
          <w:szCs w:val="22"/>
        </w:rPr>
      </w:pPr>
    </w:p>
    <w:p w14:paraId="5D0FAE0E" w14:textId="77777777" w:rsidR="00E95E87" w:rsidRPr="00DB4B03" w:rsidRDefault="00E95E87" w:rsidP="00E95E87">
      <w:pPr>
        <w:pStyle w:val="Closing"/>
        <w:spacing w:line="240" w:lineRule="auto"/>
        <w:ind w:right="91"/>
        <w:jc w:val="both"/>
        <w:rPr>
          <w:rFonts w:cs="Arial"/>
          <w:i/>
          <w:sz w:val="22"/>
          <w:szCs w:val="22"/>
        </w:rPr>
      </w:pPr>
    </w:p>
    <w:p w14:paraId="3D952C5F" w14:textId="77777777" w:rsidR="00E95E87" w:rsidRPr="00DB4B03" w:rsidRDefault="00E95E87" w:rsidP="00E95E87">
      <w:pPr>
        <w:pStyle w:val="Closing"/>
        <w:spacing w:line="240" w:lineRule="auto"/>
        <w:ind w:right="91"/>
        <w:jc w:val="both"/>
        <w:rPr>
          <w:rFonts w:cs="Arial"/>
          <w:i/>
          <w:sz w:val="22"/>
          <w:szCs w:val="22"/>
        </w:rPr>
      </w:pPr>
    </w:p>
    <w:p w14:paraId="1ED417D3" w14:textId="77777777" w:rsidR="00E95E87" w:rsidRPr="00DB4B03" w:rsidRDefault="00E95E87" w:rsidP="00E95E87">
      <w:pPr>
        <w:pStyle w:val="Closing"/>
        <w:spacing w:line="240" w:lineRule="auto"/>
        <w:ind w:right="91"/>
        <w:jc w:val="both"/>
        <w:rPr>
          <w:rFonts w:cs="Arial"/>
          <w:i/>
          <w:sz w:val="22"/>
          <w:szCs w:val="22"/>
        </w:rPr>
      </w:pPr>
    </w:p>
    <w:p w14:paraId="49A2AEED" w14:textId="77777777" w:rsidR="00E95E87" w:rsidRPr="00DB4B03" w:rsidRDefault="00E95E87" w:rsidP="00E95E87">
      <w:pPr>
        <w:pStyle w:val="Closing"/>
        <w:spacing w:line="240" w:lineRule="auto"/>
        <w:ind w:right="91"/>
        <w:jc w:val="both"/>
        <w:rPr>
          <w:rFonts w:cs="Arial"/>
          <w:i/>
          <w:sz w:val="22"/>
          <w:szCs w:val="22"/>
        </w:rPr>
      </w:pPr>
    </w:p>
    <w:p w14:paraId="011D998F" w14:textId="77777777" w:rsidR="00E95E87" w:rsidRPr="00DB4B03" w:rsidRDefault="00E95E87" w:rsidP="00E95E87">
      <w:pPr>
        <w:pStyle w:val="Closing"/>
        <w:spacing w:line="240" w:lineRule="auto"/>
        <w:ind w:right="91"/>
        <w:jc w:val="both"/>
        <w:rPr>
          <w:rFonts w:cs="Arial"/>
          <w:i/>
          <w:sz w:val="22"/>
          <w:szCs w:val="22"/>
        </w:rPr>
      </w:pPr>
    </w:p>
    <w:p w14:paraId="6798C628" w14:textId="77777777" w:rsidR="00E95E87" w:rsidRPr="008E450D" w:rsidRDefault="00E95E87" w:rsidP="00E95E87">
      <w:pPr>
        <w:ind w:right="91"/>
        <w:jc w:val="right"/>
        <w:rPr>
          <w:rFonts w:ascii="Arial" w:eastAsia="Calibri" w:hAnsi="Arial" w:cs="Arial"/>
          <w:sz w:val="22"/>
          <w:szCs w:val="22"/>
          <w:lang w:val="en-AU" w:eastAsia="en-AU"/>
        </w:rPr>
      </w:pPr>
      <w:r w:rsidRPr="008E450D">
        <w:rPr>
          <w:rFonts w:ascii="Arial" w:eastAsia="Calibri" w:hAnsi="Arial" w:cs="Arial"/>
          <w:sz w:val="22"/>
          <w:szCs w:val="22"/>
          <w:lang w:val="en-AU" w:eastAsia="en-AU"/>
        </w:rPr>
        <w:t>Priority Research Centre for Healthy Lungs</w:t>
      </w:r>
    </w:p>
    <w:p w14:paraId="6AF6EA1C" w14:textId="77777777" w:rsidR="00E95E87" w:rsidRPr="008E450D" w:rsidRDefault="00E95E87" w:rsidP="00E95E87">
      <w:pPr>
        <w:ind w:right="91"/>
        <w:jc w:val="right"/>
        <w:rPr>
          <w:rFonts w:ascii="Arial" w:eastAsia="Calibri" w:hAnsi="Arial" w:cs="Arial"/>
          <w:sz w:val="22"/>
          <w:szCs w:val="22"/>
          <w:lang w:val="en-AU" w:eastAsia="en-AU"/>
        </w:rPr>
      </w:pPr>
      <w:r w:rsidRPr="008E450D">
        <w:rPr>
          <w:rFonts w:ascii="Arial" w:eastAsia="Calibri" w:hAnsi="Arial" w:cs="Arial"/>
          <w:sz w:val="22"/>
          <w:szCs w:val="22"/>
          <w:lang w:val="en-AU" w:eastAsia="en-AU"/>
        </w:rPr>
        <w:t>Respiratory Level 2 West HMRI Building</w:t>
      </w:r>
    </w:p>
    <w:p w14:paraId="1D8029F6" w14:textId="77777777" w:rsidR="00E95E87" w:rsidRPr="008E450D" w:rsidRDefault="00E95E87" w:rsidP="00E95E87">
      <w:pPr>
        <w:ind w:right="91"/>
        <w:jc w:val="right"/>
        <w:rPr>
          <w:rFonts w:ascii="Arial" w:eastAsia="Calibri" w:hAnsi="Arial" w:cs="Arial"/>
          <w:sz w:val="22"/>
          <w:szCs w:val="22"/>
          <w:lang w:val="en-AU" w:eastAsia="en-AU"/>
        </w:rPr>
      </w:pPr>
      <w:r w:rsidRPr="008E450D">
        <w:rPr>
          <w:rFonts w:ascii="Arial" w:eastAsia="Calibri" w:hAnsi="Arial" w:cs="Arial"/>
          <w:sz w:val="22"/>
          <w:szCs w:val="22"/>
          <w:lang w:val="en-AU" w:eastAsia="en-AU"/>
        </w:rPr>
        <w:t>Lot 1 Kookaburra Circuit New Lambton NSW 2305</w:t>
      </w:r>
    </w:p>
    <w:p w14:paraId="58D68A86" w14:textId="77777777" w:rsidR="00E95E87" w:rsidRPr="008E450D" w:rsidRDefault="00E95E87" w:rsidP="00E95E87">
      <w:pPr>
        <w:ind w:right="91"/>
        <w:jc w:val="right"/>
        <w:rPr>
          <w:rFonts w:ascii="Arial" w:eastAsia="Calibri" w:hAnsi="Arial" w:cs="Arial"/>
          <w:sz w:val="22"/>
          <w:szCs w:val="22"/>
          <w:lang w:val="en-AU"/>
        </w:rPr>
      </w:pPr>
      <w:proofErr w:type="spellStart"/>
      <w:r w:rsidRPr="008E450D">
        <w:rPr>
          <w:rFonts w:ascii="Arial" w:eastAsia="Calibri" w:hAnsi="Arial" w:cs="Arial"/>
          <w:sz w:val="22"/>
          <w:szCs w:val="22"/>
          <w:lang w:val="en-AU" w:eastAsia="en-AU"/>
        </w:rPr>
        <w:t>Ph</w:t>
      </w:r>
      <w:proofErr w:type="spellEnd"/>
      <w:r w:rsidRPr="008E450D">
        <w:rPr>
          <w:rFonts w:ascii="Arial" w:eastAsia="Calibri" w:hAnsi="Arial" w:cs="Arial"/>
          <w:sz w:val="22"/>
          <w:szCs w:val="22"/>
          <w:lang w:val="en-AU" w:eastAsia="en-AU"/>
        </w:rPr>
        <w:t>: 4042 0</w:t>
      </w:r>
      <w:r>
        <w:rPr>
          <w:rFonts w:ascii="Arial" w:eastAsia="Calibri" w:hAnsi="Arial" w:cs="Arial"/>
          <w:sz w:val="22"/>
          <w:szCs w:val="22"/>
          <w:lang w:val="en-AU" w:eastAsia="en-AU"/>
        </w:rPr>
        <w:t>4</w:t>
      </w:r>
      <w:r w:rsidRPr="008E450D">
        <w:rPr>
          <w:rFonts w:ascii="Arial" w:eastAsia="Calibri" w:hAnsi="Arial" w:cs="Arial"/>
          <w:sz w:val="22"/>
          <w:szCs w:val="22"/>
          <w:lang w:val="en-AU" w:eastAsia="en-AU"/>
        </w:rPr>
        <w:t>14 Fax: 4042 0046</w:t>
      </w:r>
    </w:p>
    <w:p w14:paraId="398D0D73" w14:textId="77777777" w:rsidR="00E95E87" w:rsidRPr="00DB4B03" w:rsidRDefault="00E95E87" w:rsidP="00E95E87">
      <w:pPr>
        <w:ind w:right="91"/>
        <w:jc w:val="right"/>
        <w:rPr>
          <w:rFonts w:ascii="Arial" w:hAnsi="Arial" w:cs="Arial"/>
          <w:sz w:val="22"/>
          <w:szCs w:val="22"/>
          <w:lang w:val="en-AU"/>
        </w:rPr>
      </w:pPr>
    </w:p>
    <w:p w14:paraId="6DBCC0C8" w14:textId="77777777" w:rsidR="00E95E87" w:rsidRPr="00C07029" w:rsidRDefault="00E95E87" w:rsidP="0097344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rPr>
          <w:rFonts w:ascii="Arial" w:hAnsi="Arial" w:cs="Arial"/>
          <w:lang w:val="en-AU"/>
        </w:rPr>
      </w:pPr>
    </w:p>
    <w:p w14:paraId="101084EF" w14:textId="77777777" w:rsidR="00E95E87" w:rsidRPr="0097344F" w:rsidRDefault="00E95E87" w:rsidP="00E95E87">
      <w:pPr>
        <w:pStyle w:val="Title"/>
        <w:jc w:val="center"/>
        <w:rPr>
          <w:rFonts w:ascii="Arial" w:hAnsi="Arial" w:cs="Arial"/>
          <w:sz w:val="22"/>
          <w:szCs w:val="22"/>
          <w:lang w:val="en-AU"/>
        </w:rPr>
      </w:pPr>
      <w:r w:rsidRPr="0097344F">
        <w:rPr>
          <w:rFonts w:ascii="Arial" w:hAnsi="Arial" w:cs="Arial"/>
          <w:sz w:val="22"/>
          <w:szCs w:val="22"/>
          <w:lang w:val="en-AU"/>
        </w:rPr>
        <w:t xml:space="preserve">A multicentre, </w:t>
      </w:r>
      <w:proofErr w:type="spellStart"/>
      <w:r w:rsidRPr="0097344F">
        <w:rPr>
          <w:rFonts w:ascii="Arial" w:hAnsi="Arial" w:cs="Arial"/>
          <w:color w:val="FF0000"/>
          <w:sz w:val="22"/>
          <w:szCs w:val="22"/>
          <w:lang w:val="en-AU"/>
        </w:rPr>
        <w:t>OBSERV</w:t>
      </w:r>
      <w:r w:rsidRPr="0097344F">
        <w:rPr>
          <w:rFonts w:ascii="Arial" w:hAnsi="Arial" w:cs="Arial"/>
          <w:sz w:val="22"/>
          <w:szCs w:val="22"/>
          <w:lang w:val="en-AU"/>
        </w:rPr>
        <w:t>ational</w:t>
      </w:r>
      <w:proofErr w:type="spellEnd"/>
      <w:r w:rsidRPr="0097344F">
        <w:rPr>
          <w:rFonts w:ascii="Arial" w:hAnsi="Arial" w:cs="Arial"/>
          <w:sz w:val="22"/>
          <w:szCs w:val="22"/>
          <w:lang w:val="en-AU"/>
        </w:rPr>
        <w:t xml:space="preserve">, case control study to determine the efficacy and safety of </w:t>
      </w:r>
      <w:proofErr w:type="spellStart"/>
      <w:r w:rsidRPr="0097344F">
        <w:rPr>
          <w:rFonts w:ascii="Arial" w:hAnsi="Arial" w:cs="Arial"/>
          <w:sz w:val="22"/>
          <w:szCs w:val="22"/>
          <w:lang w:val="en-AU"/>
        </w:rPr>
        <w:t>Lumacaftor</w:t>
      </w:r>
      <w:proofErr w:type="spellEnd"/>
      <w:r w:rsidRPr="0097344F">
        <w:rPr>
          <w:rFonts w:ascii="Arial" w:hAnsi="Arial" w:cs="Arial"/>
          <w:sz w:val="22"/>
          <w:szCs w:val="22"/>
          <w:lang w:val="en-AU"/>
        </w:rPr>
        <w:t>/</w:t>
      </w:r>
      <w:proofErr w:type="spellStart"/>
      <w:r w:rsidRPr="0097344F">
        <w:rPr>
          <w:rFonts w:ascii="Arial" w:hAnsi="Arial" w:cs="Arial"/>
          <w:sz w:val="22"/>
          <w:szCs w:val="22"/>
          <w:lang w:val="en-AU"/>
        </w:rPr>
        <w:t>Ivacaftor</w:t>
      </w:r>
      <w:proofErr w:type="spellEnd"/>
      <w:r w:rsidRPr="0097344F">
        <w:rPr>
          <w:rFonts w:ascii="Arial" w:hAnsi="Arial" w:cs="Arial"/>
          <w:sz w:val="22"/>
          <w:szCs w:val="22"/>
          <w:lang w:val="en-AU"/>
        </w:rPr>
        <w:t xml:space="preserve"> in patients with severe lung disease and </w:t>
      </w:r>
      <w:r w:rsidRPr="0097344F">
        <w:rPr>
          <w:rFonts w:ascii="Arial" w:hAnsi="Arial" w:cs="Arial"/>
          <w:color w:val="FF0000"/>
          <w:sz w:val="22"/>
          <w:szCs w:val="22"/>
          <w:lang w:val="en-AU"/>
        </w:rPr>
        <w:t>C</w:t>
      </w:r>
      <w:r w:rsidRPr="0097344F">
        <w:rPr>
          <w:rFonts w:ascii="Arial" w:hAnsi="Arial" w:cs="Arial"/>
          <w:sz w:val="22"/>
          <w:szCs w:val="22"/>
          <w:lang w:val="en-AU"/>
        </w:rPr>
        <w:t xml:space="preserve">ystic </w:t>
      </w:r>
      <w:r w:rsidRPr="0097344F">
        <w:rPr>
          <w:rFonts w:ascii="Arial" w:hAnsi="Arial" w:cs="Arial"/>
          <w:color w:val="FF0000"/>
          <w:sz w:val="22"/>
          <w:szCs w:val="22"/>
          <w:lang w:val="en-AU"/>
        </w:rPr>
        <w:t>F</w:t>
      </w:r>
      <w:r w:rsidRPr="0097344F">
        <w:rPr>
          <w:rFonts w:ascii="Arial" w:hAnsi="Arial" w:cs="Arial"/>
          <w:sz w:val="22"/>
          <w:szCs w:val="22"/>
          <w:lang w:val="en-AU"/>
        </w:rPr>
        <w:t>ibrosis</w:t>
      </w:r>
    </w:p>
    <w:p w14:paraId="64C88BEE" w14:textId="77777777" w:rsidR="00E95E87" w:rsidRPr="0097344F" w:rsidRDefault="00E95E87" w:rsidP="00E95E87">
      <w:pPr>
        <w:rPr>
          <w:rFonts w:ascii="Arial" w:hAnsi="Arial" w:cs="Arial"/>
          <w:sz w:val="22"/>
          <w:szCs w:val="22"/>
          <w:lang w:val="en-AU"/>
        </w:rPr>
      </w:pPr>
    </w:p>
    <w:p w14:paraId="7CAD11C2" w14:textId="77777777" w:rsidR="00E95E87" w:rsidRDefault="00E95E87" w:rsidP="00E95E87">
      <w:pPr>
        <w:jc w:val="center"/>
        <w:rPr>
          <w:rFonts w:ascii="Arial" w:hAnsi="Arial" w:cs="Arial"/>
          <w:color w:val="2F5496" w:themeColor="accent1" w:themeShade="BF"/>
          <w:sz w:val="22"/>
          <w:szCs w:val="22"/>
          <w:lang w:val="en-AU"/>
        </w:rPr>
      </w:pPr>
      <w:r w:rsidRPr="0097344F">
        <w:rPr>
          <w:rFonts w:ascii="Arial" w:hAnsi="Arial" w:cs="Arial"/>
          <w:color w:val="2F5496" w:themeColor="accent1" w:themeShade="BF"/>
          <w:sz w:val="22"/>
          <w:szCs w:val="22"/>
          <w:lang w:val="en-AU"/>
        </w:rPr>
        <w:t>The OBSERVE CF Study</w:t>
      </w:r>
    </w:p>
    <w:p w14:paraId="59E8E23D" w14:textId="77777777" w:rsidR="0072777F" w:rsidRDefault="0072777F" w:rsidP="00E95E87">
      <w:pPr>
        <w:jc w:val="center"/>
        <w:rPr>
          <w:rFonts w:ascii="Arial" w:hAnsi="Arial" w:cs="Arial"/>
          <w:color w:val="2F5496" w:themeColor="accent1" w:themeShade="BF"/>
          <w:sz w:val="22"/>
          <w:szCs w:val="22"/>
          <w:lang w:val="en-AU"/>
        </w:rPr>
      </w:pPr>
    </w:p>
    <w:p w14:paraId="563C14A0" w14:textId="42F43135" w:rsidR="0072777F" w:rsidRPr="0097344F" w:rsidRDefault="0072777F" w:rsidP="00E95E87">
      <w:pPr>
        <w:jc w:val="center"/>
        <w:rPr>
          <w:rFonts w:ascii="Arial" w:hAnsi="Arial" w:cs="Arial"/>
          <w:color w:val="2F5496" w:themeColor="accent1" w:themeShade="BF"/>
          <w:sz w:val="22"/>
          <w:szCs w:val="22"/>
          <w:lang w:val="en-AU"/>
        </w:rPr>
      </w:pPr>
      <w:r>
        <w:rPr>
          <w:rFonts w:ascii="Arial" w:hAnsi="Arial" w:cs="Arial"/>
          <w:color w:val="2F5496" w:themeColor="accent1" w:themeShade="BF"/>
          <w:sz w:val="22"/>
          <w:szCs w:val="22"/>
          <w:lang w:val="en-AU"/>
        </w:rPr>
        <w:t>This information form describes a</w:t>
      </w:r>
      <w:r w:rsidR="00A013C9">
        <w:rPr>
          <w:rFonts w:ascii="Arial" w:hAnsi="Arial" w:cs="Arial"/>
          <w:color w:val="2F5496" w:themeColor="accent1" w:themeShade="BF"/>
          <w:sz w:val="22"/>
          <w:szCs w:val="22"/>
          <w:lang w:val="en-AU"/>
        </w:rPr>
        <w:t>n observational</w:t>
      </w:r>
      <w:r>
        <w:rPr>
          <w:rFonts w:ascii="Arial" w:hAnsi="Arial" w:cs="Arial"/>
          <w:color w:val="2F5496" w:themeColor="accent1" w:themeShade="BF"/>
          <w:sz w:val="22"/>
          <w:szCs w:val="22"/>
          <w:lang w:val="en-AU"/>
        </w:rPr>
        <w:t xml:space="preserve"> clinical study that requests</w:t>
      </w:r>
      <w:r w:rsidR="00CA5CC6">
        <w:rPr>
          <w:rFonts w:ascii="Arial" w:hAnsi="Arial" w:cs="Arial"/>
          <w:color w:val="2F5496" w:themeColor="accent1" w:themeShade="BF"/>
          <w:sz w:val="22"/>
          <w:szCs w:val="22"/>
          <w:lang w:val="en-AU"/>
        </w:rPr>
        <w:t xml:space="preserve"> </w:t>
      </w:r>
      <w:r w:rsidR="0041230E">
        <w:rPr>
          <w:rFonts w:ascii="Arial" w:hAnsi="Arial" w:cs="Arial"/>
          <w:color w:val="2F5496" w:themeColor="accent1" w:themeShade="BF"/>
          <w:sz w:val="22"/>
          <w:szCs w:val="22"/>
          <w:lang w:val="en-AU"/>
        </w:rPr>
        <w:t>information from</w:t>
      </w:r>
      <w:r w:rsidR="00CA5CC6">
        <w:rPr>
          <w:rFonts w:ascii="Arial" w:hAnsi="Arial" w:cs="Arial"/>
          <w:color w:val="2F5496" w:themeColor="accent1" w:themeShade="BF"/>
          <w:sz w:val="22"/>
          <w:szCs w:val="22"/>
          <w:lang w:val="en-AU"/>
        </w:rPr>
        <w:t xml:space="preserve"> you</w:t>
      </w:r>
      <w:r w:rsidR="00A013C9">
        <w:rPr>
          <w:rFonts w:ascii="Arial" w:hAnsi="Arial" w:cs="Arial"/>
          <w:color w:val="2F5496" w:themeColor="accent1" w:themeShade="BF"/>
          <w:sz w:val="22"/>
          <w:szCs w:val="22"/>
          <w:lang w:val="en-AU"/>
        </w:rPr>
        <w:t>r medical record</w:t>
      </w:r>
      <w:r>
        <w:rPr>
          <w:rFonts w:ascii="Arial" w:hAnsi="Arial" w:cs="Arial"/>
          <w:color w:val="2F5496" w:themeColor="accent1" w:themeShade="BF"/>
          <w:sz w:val="22"/>
          <w:szCs w:val="22"/>
          <w:lang w:val="en-AU"/>
        </w:rPr>
        <w:t xml:space="preserve"> or</w:t>
      </w:r>
      <w:r w:rsidR="00CA5CC6">
        <w:rPr>
          <w:rFonts w:ascii="Arial" w:hAnsi="Arial" w:cs="Arial"/>
          <w:color w:val="2F5496" w:themeColor="accent1" w:themeShade="BF"/>
          <w:sz w:val="22"/>
          <w:szCs w:val="22"/>
          <w:lang w:val="en-AU"/>
        </w:rPr>
        <w:t>,</w:t>
      </w:r>
      <w:r>
        <w:rPr>
          <w:rFonts w:ascii="Arial" w:hAnsi="Arial" w:cs="Arial"/>
          <w:color w:val="2F5496" w:themeColor="accent1" w:themeShade="BF"/>
          <w:sz w:val="22"/>
          <w:szCs w:val="22"/>
          <w:lang w:val="en-AU"/>
        </w:rPr>
        <w:t xml:space="preserve"> </w:t>
      </w:r>
      <w:r w:rsidR="00CA5CC6">
        <w:rPr>
          <w:rFonts w:ascii="Arial" w:hAnsi="Arial" w:cs="Arial"/>
          <w:color w:val="2F5496" w:themeColor="accent1" w:themeShade="BF"/>
          <w:sz w:val="22"/>
          <w:szCs w:val="22"/>
          <w:lang w:val="en-AU"/>
        </w:rPr>
        <w:t xml:space="preserve">if you are the carer of a child aged 12 to less than 18 years, </w:t>
      </w:r>
      <w:r>
        <w:rPr>
          <w:rFonts w:ascii="Arial" w:hAnsi="Arial" w:cs="Arial"/>
          <w:color w:val="2F5496" w:themeColor="accent1" w:themeShade="BF"/>
          <w:sz w:val="22"/>
          <w:szCs w:val="22"/>
          <w:lang w:val="en-AU"/>
        </w:rPr>
        <w:t xml:space="preserve">your child’s medical record. If you are the carer of </w:t>
      </w:r>
      <w:r w:rsidR="00CA5CC6">
        <w:rPr>
          <w:rFonts w:ascii="Arial" w:hAnsi="Arial" w:cs="Arial"/>
          <w:color w:val="2F5496" w:themeColor="accent1" w:themeShade="BF"/>
          <w:sz w:val="22"/>
          <w:szCs w:val="22"/>
          <w:lang w:val="en-AU"/>
        </w:rPr>
        <w:t>a</w:t>
      </w:r>
      <w:r>
        <w:rPr>
          <w:rFonts w:ascii="Arial" w:hAnsi="Arial" w:cs="Arial"/>
          <w:color w:val="2F5496" w:themeColor="accent1" w:themeShade="BF"/>
          <w:sz w:val="22"/>
          <w:szCs w:val="22"/>
          <w:lang w:val="en-AU"/>
        </w:rPr>
        <w:t xml:space="preserve"> </w:t>
      </w:r>
      <w:r w:rsidR="00CA5CC6">
        <w:rPr>
          <w:rFonts w:ascii="Arial" w:hAnsi="Arial" w:cs="Arial"/>
          <w:color w:val="2F5496" w:themeColor="accent1" w:themeShade="BF"/>
          <w:sz w:val="22"/>
          <w:szCs w:val="22"/>
          <w:lang w:val="en-AU"/>
        </w:rPr>
        <w:t>child</w:t>
      </w:r>
      <w:r>
        <w:rPr>
          <w:rFonts w:ascii="Arial" w:hAnsi="Arial" w:cs="Arial"/>
          <w:color w:val="2F5496" w:themeColor="accent1" w:themeShade="BF"/>
          <w:sz w:val="22"/>
          <w:szCs w:val="22"/>
          <w:lang w:val="en-AU"/>
        </w:rPr>
        <w:t xml:space="preserve"> who has CF and whose medical record is </w:t>
      </w:r>
      <w:r w:rsidR="00CA5CC6">
        <w:rPr>
          <w:rFonts w:ascii="Arial" w:hAnsi="Arial" w:cs="Arial"/>
          <w:color w:val="2F5496" w:themeColor="accent1" w:themeShade="BF"/>
          <w:sz w:val="22"/>
          <w:szCs w:val="22"/>
          <w:lang w:val="en-AU"/>
        </w:rPr>
        <w:t xml:space="preserve">the subject of this request </w:t>
      </w:r>
      <w:r w:rsidR="00A013C9">
        <w:rPr>
          <w:rFonts w:ascii="Arial" w:hAnsi="Arial" w:cs="Arial"/>
          <w:color w:val="2F5496" w:themeColor="accent1" w:themeShade="BF"/>
          <w:sz w:val="22"/>
          <w:szCs w:val="22"/>
          <w:lang w:val="en-AU"/>
        </w:rPr>
        <w:t xml:space="preserve">for consent </w:t>
      </w:r>
      <w:r w:rsidR="00CA5CC6">
        <w:rPr>
          <w:rFonts w:ascii="Arial" w:hAnsi="Arial" w:cs="Arial"/>
          <w:color w:val="2F5496" w:themeColor="accent1" w:themeShade="BF"/>
          <w:sz w:val="22"/>
          <w:szCs w:val="22"/>
          <w:lang w:val="en-AU"/>
        </w:rPr>
        <w:t xml:space="preserve">please read either “your child”, “your child’s”, “their” or “they” as is appropriate where “you” or “your” is written below. </w:t>
      </w:r>
    </w:p>
    <w:p w14:paraId="1981D03B" w14:textId="77777777" w:rsidR="00E95E87" w:rsidRPr="0097344F" w:rsidRDefault="00E95E87" w:rsidP="00E95E8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rPr>
          <w:rFonts w:ascii="Arial" w:hAnsi="Arial" w:cs="Arial"/>
          <w:b/>
          <w:bCs/>
          <w:sz w:val="22"/>
          <w:szCs w:val="22"/>
          <w:lang w:val="en-AU"/>
        </w:rPr>
      </w:pPr>
    </w:p>
    <w:p w14:paraId="241E14EB" w14:textId="77777777" w:rsidR="00E95E87" w:rsidRPr="0097344F" w:rsidRDefault="00E95E87" w:rsidP="00E95E8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jc w:val="center"/>
        <w:rPr>
          <w:rFonts w:ascii="Arial" w:hAnsi="Arial" w:cs="Arial"/>
          <w:sz w:val="22"/>
          <w:szCs w:val="22"/>
          <w:lang w:val="en-AU"/>
        </w:rPr>
      </w:pPr>
      <w:r w:rsidRPr="0097344F">
        <w:rPr>
          <w:rFonts w:ascii="Arial" w:hAnsi="Arial" w:cs="Arial"/>
          <w:b/>
          <w:bCs/>
          <w:sz w:val="22"/>
          <w:szCs w:val="22"/>
          <w:lang w:val="en-AU"/>
        </w:rPr>
        <w:t>INFORMATION FOR PARTICIPANTS</w:t>
      </w:r>
    </w:p>
    <w:p w14:paraId="1121BDB5" w14:textId="77777777" w:rsidR="0097344F" w:rsidRPr="0097344F" w:rsidRDefault="0097344F" w:rsidP="0097344F">
      <w:pPr>
        <w:rPr>
          <w:rFonts w:ascii="Arial" w:hAnsi="Arial" w:cs="Arial"/>
          <w:sz w:val="22"/>
          <w:szCs w:val="22"/>
          <w:lang w:val="en-AU"/>
        </w:rPr>
      </w:pPr>
    </w:p>
    <w:p w14:paraId="61B252DC" w14:textId="7FD9DEAD" w:rsidR="0097344F" w:rsidRPr="0097344F" w:rsidRDefault="0072777F" w:rsidP="0097344F">
      <w:pPr>
        <w:rPr>
          <w:rFonts w:ascii="Arial" w:hAnsi="Arial" w:cs="Arial"/>
          <w:sz w:val="22"/>
          <w:szCs w:val="22"/>
          <w:lang w:val="en-AU"/>
        </w:rPr>
      </w:pPr>
      <w:r w:rsidRPr="0097344F">
        <w:rPr>
          <w:rFonts w:ascii="Arial" w:hAnsi="Arial" w:cs="Arial"/>
          <w:sz w:val="22"/>
          <w:szCs w:val="22"/>
          <w:lang w:val="en-AU"/>
        </w:rPr>
        <w:t xml:space="preserve">This study aims to </w:t>
      </w:r>
      <w:r>
        <w:rPr>
          <w:rFonts w:ascii="Arial" w:hAnsi="Arial" w:cs="Arial"/>
          <w:sz w:val="22"/>
          <w:szCs w:val="22"/>
          <w:lang w:val="en-AU"/>
        </w:rPr>
        <w:t>collect</w:t>
      </w:r>
      <w:r w:rsidRPr="0097344F">
        <w:rPr>
          <w:rFonts w:ascii="Arial" w:hAnsi="Arial" w:cs="Arial"/>
          <w:sz w:val="22"/>
          <w:szCs w:val="22"/>
          <w:lang w:val="en-AU"/>
        </w:rPr>
        <w:t xml:space="preserve"> data </w:t>
      </w:r>
      <w:r>
        <w:rPr>
          <w:rFonts w:ascii="Arial" w:hAnsi="Arial" w:cs="Arial"/>
          <w:sz w:val="22"/>
          <w:szCs w:val="22"/>
          <w:lang w:val="en-AU"/>
        </w:rPr>
        <w:t>to determine</w:t>
      </w:r>
      <w:r w:rsidRPr="0097344F">
        <w:rPr>
          <w:rFonts w:ascii="Arial" w:hAnsi="Arial" w:cs="Arial"/>
          <w:sz w:val="22"/>
          <w:szCs w:val="22"/>
          <w:lang w:val="en-AU"/>
        </w:rPr>
        <w:t xml:space="preserve"> the safety and efficacy of </w:t>
      </w:r>
      <w:proofErr w:type="spellStart"/>
      <w:r w:rsidRPr="0097344F">
        <w:rPr>
          <w:rFonts w:ascii="Arial" w:hAnsi="Arial" w:cs="Arial"/>
          <w:sz w:val="22"/>
          <w:szCs w:val="22"/>
          <w:lang w:val="en-AU"/>
        </w:rPr>
        <w:t>Orkambi</w:t>
      </w:r>
      <w:proofErr w:type="spellEnd"/>
      <w:r w:rsidRPr="0097344F">
        <w:rPr>
          <w:rFonts w:ascii="Arial" w:hAnsi="Arial" w:cs="Arial"/>
          <w:sz w:val="22"/>
          <w:szCs w:val="22"/>
          <w:lang w:val="en-AU"/>
        </w:rPr>
        <w:t xml:space="preserve"> in people with CF who have severe lung disease.</w:t>
      </w:r>
      <w:r>
        <w:rPr>
          <w:rFonts w:ascii="Arial" w:hAnsi="Arial" w:cs="Arial"/>
          <w:sz w:val="22"/>
          <w:szCs w:val="22"/>
          <w:lang w:val="en-AU"/>
        </w:rPr>
        <w:t xml:space="preserve"> </w:t>
      </w:r>
      <w:r w:rsidR="0097344F" w:rsidRPr="0097344F">
        <w:rPr>
          <w:rFonts w:ascii="Arial" w:hAnsi="Arial" w:cs="Arial"/>
          <w:sz w:val="22"/>
          <w:szCs w:val="22"/>
          <w:lang w:val="en-AU"/>
        </w:rPr>
        <w:t xml:space="preserve">Anyone with CF </w:t>
      </w:r>
      <w:r>
        <w:rPr>
          <w:rFonts w:ascii="Arial" w:hAnsi="Arial" w:cs="Arial"/>
          <w:sz w:val="22"/>
          <w:szCs w:val="22"/>
          <w:lang w:val="en-AU"/>
        </w:rPr>
        <w:t>with</w:t>
      </w:r>
      <w:r w:rsidR="0097344F" w:rsidRPr="0097344F">
        <w:rPr>
          <w:rFonts w:ascii="Arial" w:hAnsi="Arial" w:cs="Arial"/>
          <w:sz w:val="22"/>
          <w:szCs w:val="22"/>
          <w:lang w:val="en-AU"/>
        </w:rPr>
        <w:t xml:space="preserve"> an FEV1 of less than 40% was not included in the world-wide clinical trials </w:t>
      </w:r>
      <w:r>
        <w:rPr>
          <w:rFonts w:ascii="Arial" w:hAnsi="Arial" w:cs="Arial"/>
          <w:sz w:val="22"/>
          <w:szCs w:val="22"/>
          <w:lang w:val="en-AU"/>
        </w:rPr>
        <w:t>used to test the safety and efficacy of</w:t>
      </w:r>
      <w:r w:rsidR="0097344F" w:rsidRPr="0097344F">
        <w:rPr>
          <w:rFonts w:ascii="Arial" w:hAnsi="Arial" w:cs="Arial"/>
          <w:sz w:val="22"/>
          <w:szCs w:val="22"/>
          <w:lang w:val="en-AU"/>
        </w:rPr>
        <w:t xml:space="preserve"> </w:t>
      </w:r>
      <w:proofErr w:type="spellStart"/>
      <w:r w:rsidR="0097344F" w:rsidRPr="0097344F">
        <w:rPr>
          <w:rFonts w:ascii="Arial" w:hAnsi="Arial" w:cs="Arial"/>
          <w:sz w:val="22"/>
          <w:szCs w:val="22"/>
          <w:lang w:val="en-AU"/>
        </w:rPr>
        <w:t>Orkambi</w:t>
      </w:r>
      <w:proofErr w:type="spellEnd"/>
      <w:r w:rsidR="0097344F" w:rsidRPr="0097344F">
        <w:rPr>
          <w:rFonts w:ascii="Arial" w:hAnsi="Arial" w:cs="Arial"/>
          <w:sz w:val="22"/>
          <w:szCs w:val="22"/>
          <w:lang w:val="en-AU"/>
        </w:rPr>
        <w:t xml:space="preserve">. As a result we do not have much information on the impact of </w:t>
      </w:r>
      <w:proofErr w:type="spellStart"/>
      <w:r w:rsidR="0097344F" w:rsidRPr="0097344F">
        <w:rPr>
          <w:rFonts w:ascii="Arial" w:hAnsi="Arial" w:cs="Arial"/>
          <w:sz w:val="22"/>
          <w:szCs w:val="22"/>
          <w:lang w:val="en-AU"/>
        </w:rPr>
        <w:t>Orkambi</w:t>
      </w:r>
      <w:proofErr w:type="spellEnd"/>
      <w:r w:rsidR="0097344F" w:rsidRPr="0097344F">
        <w:rPr>
          <w:rFonts w:ascii="Arial" w:hAnsi="Arial" w:cs="Arial"/>
          <w:sz w:val="22"/>
          <w:szCs w:val="22"/>
          <w:lang w:val="en-AU"/>
        </w:rPr>
        <w:t xml:space="preserve"> in people with CF </w:t>
      </w:r>
      <w:r w:rsidR="0097344F">
        <w:rPr>
          <w:rFonts w:ascii="Arial" w:hAnsi="Arial" w:cs="Arial"/>
          <w:sz w:val="22"/>
          <w:szCs w:val="22"/>
          <w:lang w:val="en-AU"/>
        </w:rPr>
        <w:t>who have</w:t>
      </w:r>
      <w:r w:rsidR="0097344F" w:rsidRPr="0097344F">
        <w:rPr>
          <w:rFonts w:ascii="Arial" w:hAnsi="Arial" w:cs="Arial"/>
          <w:sz w:val="22"/>
          <w:szCs w:val="22"/>
          <w:lang w:val="en-AU"/>
        </w:rPr>
        <w:t xml:space="preserve"> severe lung disease.</w:t>
      </w:r>
      <w:r>
        <w:rPr>
          <w:rFonts w:ascii="Arial" w:hAnsi="Arial" w:cs="Arial"/>
          <w:sz w:val="22"/>
          <w:szCs w:val="22"/>
          <w:lang w:val="en-AU"/>
        </w:rPr>
        <w:t xml:space="preserve"> That is, an FEV1 less than 40% predicted.</w:t>
      </w:r>
      <w:r w:rsidR="0097344F" w:rsidRPr="0097344F">
        <w:rPr>
          <w:rFonts w:ascii="Arial" w:hAnsi="Arial" w:cs="Arial"/>
          <w:sz w:val="22"/>
          <w:szCs w:val="22"/>
          <w:lang w:val="en-AU"/>
        </w:rPr>
        <w:t xml:space="preserve"> </w:t>
      </w:r>
    </w:p>
    <w:p w14:paraId="311538AA" w14:textId="77777777" w:rsidR="00E95E87" w:rsidRPr="0097344F" w:rsidRDefault="00E95E87" w:rsidP="00E95E8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rPr>
          <w:rFonts w:ascii="Arial" w:hAnsi="Arial" w:cs="Arial"/>
          <w:sz w:val="22"/>
          <w:szCs w:val="22"/>
          <w:lang w:val="en-AU"/>
        </w:rPr>
      </w:pPr>
    </w:p>
    <w:p w14:paraId="159DB094" w14:textId="475B4FFD" w:rsidR="002C0C46" w:rsidRPr="0097344F" w:rsidRDefault="00E95E87" w:rsidP="00E95E8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rPr>
          <w:rFonts w:ascii="Arial" w:hAnsi="Arial" w:cs="Arial"/>
          <w:sz w:val="22"/>
          <w:szCs w:val="22"/>
          <w:lang w:val="en-AU"/>
        </w:rPr>
      </w:pPr>
      <w:r w:rsidRPr="0097344F">
        <w:rPr>
          <w:rFonts w:ascii="Arial" w:hAnsi="Arial" w:cs="Arial"/>
          <w:sz w:val="22"/>
          <w:szCs w:val="22"/>
          <w:lang w:val="en-AU"/>
        </w:rPr>
        <w:t xml:space="preserve">We would like to ask </w:t>
      </w:r>
      <w:r w:rsidRPr="00CA5CC6">
        <w:rPr>
          <w:rFonts w:ascii="Arial" w:hAnsi="Arial" w:cs="Arial"/>
          <w:i/>
          <w:sz w:val="22"/>
          <w:szCs w:val="22"/>
          <w:lang w:val="en-AU"/>
        </w:rPr>
        <w:t>your</w:t>
      </w:r>
      <w:r w:rsidRPr="0097344F">
        <w:rPr>
          <w:rFonts w:ascii="Arial" w:hAnsi="Arial" w:cs="Arial"/>
          <w:sz w:val="22"/>
          <w:szCs w:val="22"/>
          <w:lang w:val="en-AU"/>
        </w:rPr>
        <w:t xml:space="preserve"> permission to </w:t>
      </w:r>
      <w:r w:rsidR="0041230E">
        <w:rPr>
          <w:rFonts w:ascii="Arial" w:hAnsi="Arial" w:cs="Arial"/>
          <w:sz w:val="22"/>
          <w:szCs w:val="22"/>
          <w:lang w:val="en-AU"/>
        </w:rPr>
        <w:t>access</w:t>
      </w:r>
      <w:r w:rsidRPr="0097344F">
        <w:rPr>
          <w:rFonts w:ascii="Arial" w:hAnsi="Arial" w:cs="Arial"/>
          <w:sz w:val="22"/>
          <w:szCs w:val="22"/>
          <w:lang w:val="en-AU"/>
        </w:rPr>
        <w:t xml:space="preserve"> data from your medical record that has been </w:t>
      </w:r>
      <w:r w:rsidR="0072777F">
        <w:rPr>
          <w:rFonts w:ascii="Arial" w:hAnsi="Arial" w:cs="Arial"/>
          <w:sz w:val="22"/>
          <w:szCs w:val="22"/>
          <w:lang w:val="en-AU"/>
        </w:rPr>
        <w:t>entered</w:t>
      </w:r>
      <w:r w:rsidR="0097344F" w:rsidRPr="0097344F">
        <w:rPr>
          <w:rFonts w:ascii="Arial" w:hAnsi="Arial" w:cs="Arial"/>
          <w:sz w:val="22"/>
          <w:szCs w:val="22"/>
          <w:lang w:val="en-AU"/>
        </w:rPr>
        <w:t xml:space="preserve"> as part of your routine </w:t>
      </w:r>
      <w:r w:rsidR="0072777F">
        <w:rPr>
          <w:rFonts w:ascii="Arial" w:hAnsi="Arial" w:cs="Arial"/>
          <w:sz w:val="22"/>
          <w:szCs w:val="22"/>
          <w:lang w:val="en-AU"/>
        </w:rPr>
        <w:t xml:space="preserve">CF </w:t>
      </w:r>
      <w:r w:rsidR="0097344F" w:rsidRPr="0097344F">
        <w:rPr>
          <w:rFonts w:ascii="Arial" w:hAnsi="Arial" w:cs="Arial"/>
          <w:sz w:val="22"/>
          <w:szCs w:val="22"/>
          <w:lang w:val="en-AU"/>
        </w:rPr>
        <w:t>care</w:t>
      </w:r>
      <w:r w:rsidRPr="0097344F">
        <w:rPr>
          <w:rFonts w:ascii="Arial" w:hAnsi="Arial" w:cs="Arial"/>
          <w:sz w:val="22"/>
          <w:szCs w:val="22"/>
          <w:lang w:val="en-AU"/>
        </w:rPr>
        <w:t xml:space="preserve"> over a 12 month period</w:t>
      </w:r>
      <w:r w:rsidR="0097344F" w:rsidRPr="0097344F">
        <w:rPr>
          <w:rFonts w:ascii="Arial" w:hAnsi="Arial" w:cs="Arial"/>
          <w:sz w:val="22"/>
          <w:szCs w:val="22"/>
          <w:lang w:val="en-AU"/>
        </w:rPr>
        <w:t xml:space="preserve"> because yo</w:t>
      </w:r>
      <w:r w:rsidR="0097344F">
        <w:rPr>
          <w:rFonts w:ascii="Arial" w:hAnsi="Arial" w:cs="Arial"/>
          <w:sz w:val="22"/>
          <w:szCs w:val="22"/>
          <w:lang w:val="en-AU"/>
        </w:rPr>
        <w:t>u have an FEV1 of less than 40%</w:t>
      </w:r>
      <w:r w:rsidR="002B4D0D" w:rsidRPr="0097344F">
        <w:rPr>
          <w:rFonts w:ascii="Arial" w:hAnsi="Arial" w:cs="Arial"/>
          <w:sz w:val="22"/>
          <w:szCs w:val="22"/>
          <w:lang w:val="en-AU"/>
        </w:rPr>
        <w:t>.</w:t>
      </w:r>
      <w:r w:rsidRPr="0097344F">
        <w:rPr>
          <w:rFonts w:ascii="Arial" w:hAnsi="Arial" w:cs="Arial"/>
          <w:sz w:val="22"/>
          <w:szCs w:val="22"/>
          <w:lang w:val="en-AU"/>
        </w:rPr>
        <w:t xml:space="preserve"> </w:t>
      </w:r>
      <w:r w:rsidR="002B4D0D" w:rsidRPr="0097344F">
        <w:rPr>
          <w:rFonts w:ascii="Arial" w:hAnsi="Arial" w:cs="Arial"/>
          <w:sz w:val="22"/>
          <w:szCs w:val="22"/>
          <w:lang w:val="en-AU"/>
        </w:rPr>
        <w:t xml:space="preserve">The information we are </w:t>
      </w:r>
      <w:r w:rsidR="0097344F" w:rsidRPr="0097344F">
        <w:rPr>
          <w:rFonts w:ascii="Arial" w:hAnsi="Arial" w:cs="Arial"/>
          <w:sz w:val="22"/>
          <w:szCs w:val="22"/>
          <w:lang w:val="en-AU"/>
        </w:rPr>
        <w:t>seeking</w:t>
      </w:r>
      <w:r w:rsidR="002B4D0D" w:rsidRPr="0097344F">
        <w:rPr>
          <w:rFonts w:ascii="Arial" w:hAnsi="Arial" w:cs="Arial"/>
          <w:sz w:val="22"/>
          <w:szCs w:val="22"/>
          <w:lang w:val="en-AU"/>
        </w:rPr>
        <w:t xml:space="preserve"> will be that which describes your lung function (FEV1), </w:t>
      </w:r>
      <w:r w:rsidR="0097344F">
        <w:rPr>
          <w:rFonts w:ascii="Arial" w:hAnsi="Arial" w:cs="Arial"/>
          <w:sz w:val="22"/>
          <w:szCs w:val="22"/>
          <w:lang w:val="en-AU"/>
        </w:rPr>
        <w:t>the</w:t>
      </w:r>
      <w:r w:rsidR="002B4D0D" w:rsidRPr="0097344F">
        <w:rPr>
          <w:rFonts w:ascii="Arial" w:hAnsi="Arial" w:cs="Arial"/>
          <w:sz w:val="22"/>
          <w:szCs w:val="22"/>
          <w:lang w:val="en-AU"/>
        </w:rPr>
        <w:t xml:space="preserve"> medications you </w:t>
      </w:r>
      <w:r w:rsidR="0097344F">
        <w:rPr>
          <w:rFonts w:ascii="Arial" w:hAnsi="Arial" w:cs="Arial"/>
          <w:sz w:val="22"/>
          <w:szCs w:val="22"/>
          <w:lang w:val="en-AU"/>
        </w:rPr>
        <w:t>used</w:t>
      </w:r>
      <w:r w:rsidR="002B4D0D" w:rsidRPr="0097344F">
        <w:rPr>
          <w:rFonts w:ascii="Arial" w:hAnsi="Arial" w:cs="Arial"/>
          <w:sz w:val="22"/>
          <w:szCs w:val="22"/>
          <w:lang w:val="en-AU"/>
        </w:rPr>
        <w:t xml:space="preserve">, what CF-related conditions you </w:t>
      </w:r>
      <w:r w:rsidR="0097344F">
        <w:rPr>
          <w:rFonts w:ascii="Arial" w:hAnsi="Arial" w:cs="Arial"/>
          <w:sz w:val="22"/>
          <w:szCs w:val="22"/>
          <w:lang w:val="en-AU"/>
        </w:rPr>
        <w:t>had</w:t>
      </w:r>
      <w:r w:rsidR="002B4D0D" w:rsidRPr="0097344F">
        <w:rPr>
          <w:rFonts w:ascii="Arial" w:hAnsi="Arial" w:cs="Arial"/>
          <w:sz w:val="22"/>
          <w:szCs w:val="22"/>
          <w:lang w:val="en-AU"/>
        </w:rPr>
        <w:t xml:space="preserve"> (e.g.  CF-related diabetes, sinusitis), </w:t>
      </w:r>
      <w:r w:rsidR="0097344F" w:rsidRPr="0097344F">
        <w:rPr>
          <w:rFonts w:ascii="Arial" w:hAnsi="Arial" w:cs="Arial"/>
          <w:sz w:val="22"/>
          <w:szCs w:val="22"/>
          <w:lang w:val="en-AU"/>
        </w:rPr>
        <w:t xml:space="preserve">the details of </w:t>
      </w:r>
      <w:r w:rsidR="002B4D0D" w:rsidRPr="0097344F">
        <w:rPr>
          <w:rFonts w:ascii="Arial" w:hAnsi="Arial" w:cs="Arial"/>
          <w:sz w:val="22"/>
          <w:szCs w:val="22"/>
          <w:lang w:val="en-AU"/>
        </w:rPr>
        <w:t>exacerbations</w:t>
      </w:r>
      <w:r w:rsidR="0097344F" w:rsidRPr="0097344F">
        <w:rPr>
          <w:rFonts w:ascii="Arial" w:hAnsi="Arial" w:cs="Arial"/>
          <w:sz w:val="22"/>
          <w:szCs w:val="22"/>
          <w:lang w:val="en-AU"/>
        </w:rPr>
        <w:t xml:space="preserve"> you were hospitalised for</w:t>
      </w:r>
      <w:r w:rsidR="002B4D0D" w:rsidRPr="0097344F">
        <w:rPr>
          <w:rFonts w:ascii="Arial" w:hAnsi="Arial" w:cs="Arial"/>
          <w:sz w:val="22"/>
          <w:szCs w:val="22"/>
          <w:lang w:val="en-AU"/>
        </w:rPr>
        <w:t xml:space="preserve"> and treatment </w:t>
      </w:r>
      <w:r w:rsidR="0072777F">
        <w:rPr>
          <w:rFonts w:ascii="Arial" w:hAnsi="Arial" w:cs="Arial"/>
          <w:sz w:val="22"/>
          <w:szCs w:val="22"/>
          <w:lang w:val="en-AU"/>
        </w:rPr>
        <w:t>of</w:t>
      </w:r>
      <w:r w:rsidR="002B4D0D" w:rsidRPr="0097344F">
        <w:rPr>
          <w:rFonts w:ascii="Arial" w:hAnsi="Arial" w:cs="Arial"/>
          <w:sz w:val="22"/>
          <w:szCs w:val="22"/>
          <w:lang w:val="en-AU"/>
        </w:rPr>
        <w:t xml:space="preserve"> these episodes</w:t>
      </w:r>
      <w:r w:rsidR="0041230E">
        <w:rPr>
          <w:rFonts w:ascii="Arial" w:hAnsi="Arial" w:cs="Arial"/>
          <w:sz w:val="22"/>
          <w:szCs w:val="22"/>
          <w:lang w:val="en-AU"/>
        </w:rPr>
        <w:t xml:space="preserve"> during the 12 month</w:t>
      </w:r>
      <w:r w:rsidR="0097344F">
        <w:rPr>
          <w:rFonts w:ascii="Arial" w:hAnsi="Arial" w:cs="Arial"/>
          <w:sz w:val="22"/>
          <w:szCs w:val="22"/>
          <w:lang w:val="en-AU"/>
        </w:rPr>
        <w:t xml:space="preserve"> period. We will also </w:t>
      </w:r>
      <w:r w:rsidR="0041230E">
        <w:rPr>
          <w:rFonts w:ascii="Arial" w:hAnsi="Arial" w:cs="Arial"/>
          <w:sz w:val="22"/>
          <w:szCs w:val="22"/>
          <w:lang w:val="en-AU"/>
        </w:rPr>
        <w:t>retrieve</w:t>
      </w:r>
      <w:r w:rsidR="0072777F">
        <w:rPr>
          <w:rFonts w:ascii="Arial" w:hAnsi="Arial" w:cs="Arial"/>
          <w:sz w:val="22"/>
          <w:szCs w:val="22"/>
          <w:lang w:val="en-AU"/>
        </w:rPr>
        <w:t xml:space="preserve"> from your medical </w:t>
      </w:r>
      <w:r w:rsidR="0097344F">
        <w:rPr>
          <w:rFonts w:ascii="Arial" w:hAnsi="Arial" w:cs="Arial"/>
          <w:sz w:val="22"/>
          <w:szCs w:val="22"/>
          <w:lang w:val="en-AU"/>
        </w:rPr>
        <w:t>record your</w:t>
      </w:r>
      <w:r w:rsidR="002B4D0D" w:rsidRPr="0097344F">
        <w:rPr>
          <w:rFonts w:ascii="Arial" w:hAnsi="Arial" w:cs="Arial"/>
          <w:sz w:val="22"/>
          <w:szCs w:val="22"/>
          <w:lang w:val="en-AU"/>
        </w:rPr>
        <w:t xml:space="preserve"> height, weight, age and gender.</w:t>
      </w:r>
    </w:p>
    <w:p w14:paraId="5C1738F5" w14:textId="77777777" w:rsidR="002C0C46" w:rsidRPr="0097344F" w:rsidRDefault="002C0C46" w:rsidP="00E95E8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rPr>
          <w:rFonts w:ascii="Arial" w:hAnsi="Arial" w:cs="Arial"/>
          <w:sz w:val="22"/>
          <w:szCs w:val="22"/>
          <w:lang w:val="en-AU"/>
        </w:rPr>
      </w:pPr>
    </w:p>
    <w:p w14:paraId="3C671232" w14:textId="15187B06" w:rsidR="00E95E87" w:rsidRPr="0097344F" w:rsidRDefault="002C0C46" w:rsidP="00E95E8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rPr>
          <w:rFonts w:ascii="Arial" w:hAnsi="Arial" w:cs="Arial"/>
          <w:sz w:val="22"/>
          <w:szCs w:val="22"/>
          <w:lang w:val="en-AU"/>
        </w:rPr>
      </w:pPr>
      <w:r w:rsidRPr="0097344F">
        <w:rPr>
          <w:rFonts w:ascii="Arial" w:hAnsi="Arial" w:cs="Arial"/>
          <w:sz w:val="22"/>
          <w:szCs w:val="22"/>
          <w:lang w:val="en-AU"/>
        </w:rPr>
        <w:t xml:space="preserve">We are </w:t>
      </w:r>
      <w:r w:rsidR="0097344F" w:rsidRPr="0097344F">
        <w:rPr>
          <w:rFonts w:ascii="Arial" w:hAnsi="Arial" w:cs="Arial"/>
          <w:sz w:val="22"/>
          <w:szCs w:val="22"/>
          <w:lang w:val="en-AU"/>
        </w:rPr>
        <w:t>going to compare</w:t>
      </w:r>
      <w:r w:rsidRPr="0097344F">
        <w:rPr>
          <w:rFonts w:ascii="Arial" w:hAnsi="Arial" w:cs="Arial"/>
          <w:sz w:val="22"/>
          <w:szCs w:val="22"/>
          <w:lang w:val="en-AU"/>
        </w:rPr>
        <w:t xml:space="preserve"> </w:t>
      </w:r>
      <w:r w:rsidR="0052093B" w:rsidRPr="0097344F">
        <w:rPr>
          <w:rFonts w:ascii="Arial" w:hAnsi="Arial" w:cs="Arial"/>
          <w:sz w:val="22"/>
          <w:szCs w:val="22"/>
          <w:lang w:val="en-AU"/>
        </w:rPr>
        <w:t xml:space="preserve">two groups of </w:t>
      </w:r>
      <w:r w:rsidRPr="0097344F">
        <w:rPr>
          <w:rFonts w:ascii="Arial" w:hAnsi="Arial" w:cs="Arial"/>
          <w:sz w:val="22"/>
          <w:szCs w:val="22"/>
          <w:lang w:val="en-AU"/>
        </w:rPr>
        <w:t xml:space="preserve">people </w:t>
      </w:r>
      <w:r w:rsidR="0052093B" w:rsidRPr="0097344F">
        <w:rPr>
          <w:rFonts w:ascii="Arial" w:hAnsi="Arial" w:cs="Arial"/>
          <w:sz w:val="22"/>
          <w:szCs w:val="22"/>
          <w:lang w:val="en-AU"/>
        </w:rPr>
        <w:t xml:space="preserve">with CF: those </w:t>
      </w:r>
      <w:r w:rsidRPr="0097344F">
        <w:rPr>
          <w:rFonts w:ascii="Arial" w:hAnsi="Arial" w:cs="Arial"/>
          <w:sz w:val="22"/>
          <w:szCs w:val="22"/>
          <w:lang w:val="en-AU"/>
        </w:rPr>
        <w:t xml:space="preserve">who have used </w:t>
      </w:r>
      <w:proofErr w:type="spellStart"/>
      <w:r w:rsidRPr="0097344F">
        <w:rPr>
          <w:rFonts w:ascii="Arial" w:hAnsi="Arial" w:cs="Arial"/>
          <w:sz w:val="22"/>
          <w:szCs w:val="22"/>
          <w:lang w:val="en-AU"/>
        </w:rPr>
        <w:t>Orkambi</w:t>
      </w:r>
      <w:proofErr w:type="spellEnd"/>
      <w:r w:rsidRPr="0097344F">
        <w:rPr>
          <w:rFonts w:ascii="Arial" w:hAnsi="Arial" w:cs="Arial"/>
          <w:sz w:val="22"/>
          <w:szCs w:val="22"/>
          <w:lang w:val="en-AU"/>
        </w:rPr>
        <w:t xml:space="preserve"> for 12 months via a compassionate access program </w:t>
      </w:r>
      <w:r w:rsidR="00CE33A3" w:rsidRPr="0097344F">
        <w:rPr>
          <w:rFonts w:ascii="Arial" w:hAnsi="Arial" w:cs="Arial"/>
          <w:sz w:val="22"/>
          <w:szCs w:val="22"/>
          <w:lang w:val="en-AU"/>
        </w:rPr>
        <w:t>and</w:t>
      </w:r>
      <w:r w:rsidRPr="0097344F">
        <w:rPr>
          <w:rFonts w:ascii="Arial" w:hAnsi="Arial" w:cs="Arial"/>
          <w:sz w:val="22"/>
          <w:szCs w:val="22"/>
          <w:lang w:val="en-AU"/>
        </w:rPr>
        <w:t xml:space="preserve"> </w:t>
      </w:r>
      <w:r w:rsidR="0052093B" w:rsidRPr="0097344F">
        <w:rPr>
          <w:rFonts w:ascii="Arial" w:hAnsi="Arial" w:cs="Arial"/>
          <w:sz w:val="22"/>
          <w:szCs w:val="22"/>
          <w:lang w:val="en-AU"/>
        </w:rPr>
        <w:t xml:space="preserve">those </w:t>
      </w:r>
      <w:r w:rsidRPr="0097344F">
        <w:rPr>
          <w:rFonts w:ascii="Arial" w:hAnsi="Arial" w:cs="Arial"/>
          <w:sz w:val="22"/>
          <w:szCs w:val="22"/>
          <w:lang w:val="en-AU"/>
        </w:rPr>
        <w:t xml:space="preserve">who also have an FEV1 </w:t>
      </w:r>
      <w:r w:rsidR="0052093B" w:rsidRPr="0097344F">
        <w:rPr>
          <w:rFonts w:ascii="Arial" w:hAnsi="Arial" w:cs="Arial"/>
          <w:sz w:val="22"/>
          <w:szCs w:val="22"/>
          <w:lang w:val="en-AU"/>
        </w:rPr>
        <w:t xml:space="preserve">of </w:t>
      </w:r>
      <w:r w:rsidRPr="0097344F">
        <w:rPr>
          <w:rFonts w:ascii="Arial" w:hAnsi="Arial" w:cs="Arial"/>
          <w:sz w:val="22"/>
          <w:szCs w:val="22"/>
          <w:lang w:val="en-AU"/>
        </w:rPr>
        <w:t xml:space="preserve">less than 40% but who are not homozygous for deltaF508 and therefore not suitable to use </w:t>
      </w:r>
      <w:proofErr w:type="spellStart"/>
      <w:r w:rsidRPr="0097344F">
        <w:rPr>
          <w:rFonts w:ascii="Arial" w:hAnsi="Arial" w:cs="Arial"/>
          <w:sz w:val="22"/>
          <w:szCs w:val="22"/>
          <w:lang w:val="en-AU"/>
        </w:rPr>
        <w:t>Orkambi</w:t>
      </w:r>
      <w:proofErr w:type="spellEnd"/>
      <w:r w:rsidRPr="0097344F">
        <w:rPr>
          <w:rFonts w:ascii="Arial" w:hAnsi="Arial" w:cs="Arial"/>
          <w:sz w:val="22"/>
          <w:szCs w:val="22"/>
          <w:lang w:val="en-AU"/>
        </w:rPr>
        <w:t xml:space="preserve">. </w:t>
      </w:r>
      <w:r w:rsidR="0072777F">
        <w:rPr>
          <w:rFonts w:ascii="Arial" w:hAnsi="Arial" w:cs="Arial"/>
          <w:sz w:val="22"/>
          <w:szCs w:val="22"/>
          <w:lang w:val="en-AU"/>
        </w:rPr>
        <w:t xml:space="preserve">You </w:t>
      </w:r>
      <w:r w:rsidR="0041230E">
        <w:rPr>
          <w:rFonts w:ascii="Arial" w:hAnsi="Arial" w:cs="Arial"/>
          <w:sz w:val="22"/>
          <w:szCs w:val="22"/>
          <w:lang w:val="en-AU"/>
        </w:rPr>
        <w:t xml:space="preserve">are being approached because you </w:t>
      </w:r>
      <w:r w:rsidR="0072777F">
        <w:rPr>
          <w:rFonts w:ascii="Arial" w:hAnsi="Arial" w:cs="Arial"/>
          <w:sz w:val="22"/>
          <w:szCs w:val="22"/>
          <w:lang w:val="en-AU"/>
        </w:rPr>
        <w:t>belong to one of these two groups of people.</w:t>
      </w:r>
    </w:p>
    <w:p w14:paraId="6822507E" w14:textId="77777777" w:rsidR="002C0C46" w:rsidRPr="0097344F" w:rsidRDefault="002C0C46" w:rsidP="00E95E8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rPr>
          <w:rFonts w:ascii="Arial" w:hAnsi="Arial" w:cs="Arial"/>
          <w:sz w:val="22"/>
          <w:szCs w:val="22"/>
          <w:lang w:val="en-AU"/>
        </w:rPr>
      </w:pPr>
    </w:p>
    <w:p w14:paraId="0A9DA2AF" w14:textId="244E0F6B" w:rsidR="002C0C46" w:rsidRPr="0097344F" w:rsidRDefault="002C0C46" w:rsidP="00E95E8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rPr>
          <w:rFonts w:ascii="Arial" w:hAnsi="Arial" w:cs="Arial"/>
          <w:sz w:val="22"/>
          <w:szCs w:val="22"/>
          <w:lang w:val="en-AU"/>
        </w:rPr>
      </w:pPr>
    </w:p>
    <w:p w14:paraId="01D14729" w14:textId="6E1D43E5" w:rsidR="00E95E87" w:rsidRPr="0097344F" w:rsidRDefault="002C0C46" w:rsidP="00E95E8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rPr>
          <w:rFonts w:ascii="Arial" w:hAnsi="Arial" w:cs="Arial"/>
          <w:b/>
          <w:sz w:val="22"/>
          <w:szCs w:val="22"/>
          <w:lang w:val="en-AU"/>
        </w:rPr>
      </w:pPr>
      <w:r w:rsidRPr="0097344F">
        <w:rPr>
          <w:rFonts w:ascii="Arial" w:hAnsi="Arial" w:cs="Arial"/>
          <w:b/>
          <w:sz w:val="22"/>
          <w:szCs w:val="22"/>
          <w:lang w:val="en-AU"/>
        </w:rPr>
        <w:t xml:space="preserve">Who is doing this </w:t>
      </w:r>
      <w:r w:rsidR="00E95E87" w:rsidRPr="0097344F">
        <w:rPr>
          <w:rFonts w:ascii="Arial" w:hAnsi="Arial" w:cs="Arial"/>
          <w:b/>
          <w:sz w:val="22"/>
          <w:szCs w:val="22"/>
          <w:lang w:val="en-AU"/>
        </w:rPr>
        <w:t>research?</w:t>
      </w:r>
    </w:p>
    <w:p w14:paraId="54A3906A" w14:textId="77777777" w:rsidR="00E95E87" w:rsidRPr="0097344F" w:rsidRDefault="00E95E87" w:rsidP="00E95E8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rPr>
          <w:rFonts w:ascii="Arial" w:hAnsi="Arial" w:cs="Arial"/>
          <w:sz w:val="22"/>
          <w:szCs w:val="22"/>
          <w:lang w:val="en-AU"/>
        </w:rPr>
      </w:pPr>
    </w:p>
    <w:p w14:paraId="45840C56" w14:textId="12A5FBF1" w:rsidR="00E95E87" w:rsidRPr="0097344F" w:rsidRDefault="00E95E87" w:rsidP="002C0C4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rPr>
          <w:rFonts w:ascii="Arial" w:hAnsi="Arial" w:cs="Arial"/>
          <w:sz w:val="22"/>
          <w:szCs w:val="22"/>
          <w:lang w:val="en-AU"/>
        </w:rPr>
      </w:pPr>
      <w:r w:rsidRPr="0097344F">
        <w:rPr>
          <w:rFonts w:ascii="Arial" w:hAnsi="Arial" w:cs="Arial"/>
          <w:sz w:val="22"/>
          <w:szCs w:val="22"/>
          <w:lang w:val="en-AU"/>
        </w:rPr>
        <w:t xml:space="preserve">The study is being </w:t>
      </w:r>
      <w:r w:rsidR="002C0C46" w:rsidRPr="0097344F">
        <w:rPr>
          <w:rFonts w:ascii="Arial" w:hAnsi="Arial" w:cs="Arial"/>
          <w:sz w:val="22"/>
          <w:szCs w:val="22"/>
          <w:lang w:val="en-AU"/>
        </w:rPr>
        <w:t>organised</w:t>
      </w:r>
      <w:r w:rsidRPr="0097344F">
        <w:rPr>
          <w:rFonts w:ascii="Arial" w:hAnsi="Arial" w:cs="Arial"/>
          <w:sz w:val="22"/>
          <w:szCs w:val="22"/>
          <w:lang w:val="en-AU"/>
        </w:rPr>
        <w:t xml:space="preserve"> at the John Hunter Hospital/Hunter Medical Research </w:t>
      </w:r>
      <w:r w:rsidR="0052093B" w:rsidRPr="0097344F">
        <w:rPr>
          <w:rFonts w:ascii="Arial" w:hAnsi="Arial" w:cs="Arial"/>
          <w:sz w:val="22"/>
          <w:szCs w:val="22"/>
          <w:lang w:val="en-AU"/>
        </w:rPr>
        <w:t>Institute in</w:t>
      </w:r>
      <w:r w:rsidR="002C0C46" w:rsidRPr="0097344F">
        <w:rPr>
          <w:rFonts w:ascii="Arial" w:hAnsi="Arial" w:cs="Arial"/>
          <w:sz w:val="22"/>
          <w:szCs w:val="22"/>
          <w:lang w:val="en-AU"/>
        </w:rPr>
        <w:t xml:space="preserve"> Newcastle, NSW by</w:t>
      </w:r>
      <w:r w:rsidR="002C0C46" w:rsidRPr="0097344F">
        <w:rPr>
          <w:rFonts w:ascii="Arial" w:hAnsi="Arial" w:cs="Arial"/>
          <w:sz w:val="22"/>
          <w:szCs w:val="22"/>
        </w:rPr>
        <w:t xml:space="preserve"> </w:t>
      </w:r>
      <w:proofErr w:type="spellStart"/>
      <w:r w:rsidRPr="0097344F">
        <w:rPr>
          <w:rFonts w:ascii="Arial" w:hAnsi="Arial" w:cs="Arial"/>
          <w:sz w:val="22"/>
          <w:szCs w:val="22"/>
        </w:rPr>
        <w:t>Prof.</w:t>
      </w:r>
      <w:proofErr w:type="spellEnd"/>
      <w:r w:rsidRPr="0097344F">
        <w:rPr>
          <w:rFonts w:ascii="Arial" w:hAnsi="Arial" w:cs="Arial"/>
          <w:sz w:val="22"/>
          <w:szCs w:val="22"/>
        </w:rPr>
        <w:t xml:space="preserve"> Peter Wark (Respiratory Medicine John Hunter Hospital)</w:t>
      </w:r>
      <w:r w:rsidR="0052093B" w:rsidRPr="0097344F">
        <w:rPr>
          <w:rFonts w:ascii="Arial" w:hAnsi="Arial" w:cs="Arial"/>
          <w:sz w:val="22"/>
          <w:szCs w:val="22"/>
        </w:rPr>
        <w:t>.</w:t>
      </w:r>
    </w:p>
    <w:p w14:paraId="0DE9DF9D" w14:textId="77777777" w:rsidR="00E95E87" w:rsidRPr="0097344F" w:rsidRDefault="00E95E87" w:rsidP="00E95E8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rPr>
          <w:rFonts w:ascii="Arial" w:hAnsi="Arial" w:cs="Arial"/>
          <w:sz w:val="22"/>
          <w:szCs w:val="22"/>
          <w:lang w:val="en-AU"/>
        </w:rPr>
      </w:pPr>
    </w:p>
    <w:p w14:paraId="0A94A155" w14:textId="77777777" w:rsidR="00E95E87" w:rsidRPr="0097344F" w:rsidRDefault="00E95E87" w:rsidP="00E95E8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rPr>
          <w:rFonts w:ascii="Arial" w:hAnsi="Arial" w:cs="Arial"/>
          <w:color w:val="7030A0"/>
          <w:sz w:val="22"/>
          <w:szCs w:val="22"/>
          <w:lang w:val="en-AU"/>
        </w:rPr>
      </w:pPr>
    </w:p>
    <w:p w14:paraId="02FDECC2" w14:textId="1E770FAA" w:rsidR="00E95E87" w:rsidRPr="0097344F" w:rsidRDefault="0052093B" w:rsidP="00E95E8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rPr>
          <w:rFonts w:ascii="Arial" w:hAnsi="Arial" w:cs="Arial"/>
          <w:b/>
          <w:sz w:val="22"/>
          <w:szCs w:val="22"/>
          <w:lang w:val="en-AU"/>
        </w:rPr>
      </w:pPr>
      <w:r w:rsidRPr="0097344F">
        <w:rPr>
          <w:rFonts w:ascii="Arial" w:hAnsi="Arial" w:cs="Arial"/>
          <w:b/>
          <w:sz w:val="22"/>
          <w:szCs w:val="22"/>
          <w:lang w:val="en-AU"/>
        </w:rPr>
        <w:t>Do you have to agree to be volunteer your medical information for this study</w:t>
      </w:r>
      <w:r w:rsidR="00E95E87" w:rsidRPr="0097344F">
        <w:rPr>
          <w:rFonts w:ascii="Arial" w:hAnsi="Arial" w:cs="Arial"/>
          <w:b/>
          <w:sz w:val="22"/>
          <w:szCs w:val="22"/>
          <w:lang w:val="en-AU"/>
        </w:rPr>
        <w:t>?</w:t>
      </w:r>
    </w:p>
    <w:p w14:paraId="62708EC3" w14:textId="77777777" w:rsidR="00E95E87" w:rsidRPr="0097344F" w:rsidRDefault="00E95E87" w:rsidP="00E95E8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rPr>
          <w:rFonts w:ascii="Arial" w:hAnsi="Arial" w:cs="Arial"/>
          <w:sz w:val="22"/>
          <w:szCs w:val="22"/>
          <w:lang w:val="en-AU"/>
        </w:rPr>
      </w:pPr>
    </w:p>
    <w:p w14:paraId="30AB50DF" w14:textId="600EDCFE" w:rsidR="0041230E" w:rsidRPr="0097344F" w:rsidRDefault="0052093B" w:rsidP="0041230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rPr>
          <w:rFonts w:ascii="Arial" w:hAnsi="Arial" w:cs="Arial"/>
          <w:bCs/>
          <w:color w:val="000000"/>
          <w:sz w:val="22"/>
          <w:szCs w:val="22"/>
        </w:rPr>
      </w:pPr>
      <w:r w:rsidRPr="0097344F">
        <w:rPr>
          <w:rFonts w:ascii="Arial" w:hAnsi="Arial" w:cs="Arial"/>
          <w:sz w:val="22"/>
          <w:szCs w:val="22"/>
          <w:lang w:val="en-AU"/>
        </w:rPr>
        <w:t xml:space="preserve">No. </w:t>
      </w:r>
      <w:r w:rsidR="00E95E87" w:rsidRPr="0097344F">
        <w:rPr>
          <w:rFonts w:ascii="Arial" w:hAnsi="Arial" w:cs="Arial"/>
          <w:sz w:val="22"/>
          <w:szCs w:val="22"/>
          <w:lang w:val="en-AU"/>
        </w:rPr>
        <w:t>Participation in this study is entirely voluntary.  You do not have to take part in it.  If you do take part, you can withdraw at any time without having to give a reason</w:t>
      </w:r>
      <w:r w:rsidR="00E95E87" w:rsidRPr="0097344F">
        <w:rPr>
          <w:rFonts w:ascii="Arial" w:hAnsi="Arial" w:cs="Arial"/>
          <w:color w:val="000000"/>
          <w:sz w:val="22"/>
          <w:szCs w:val="22"/>
          <w:lang w:val="en-AU"/>
        </w:rPr>
        <w:t>.</w:t>
      </w:r>
      <w:r w:rsidR="00E95E87" w:rsidRPr="0097344F">
        <w:rPr>
          <w:rFonts w:ascii="Arial" w:hAnsi="Arial" w:cs="Arial"/>
          <w:color w:val="000000"/>
          <w:sz w:val="22"/>
          <w:szCs w:val="22"/>
        </w:rPr>
        <w:t xml:space="preserve"> You can also </w:t>
      </w:r>
      <w:r w:rsidR="00E95E87" w:rsidRPr="0097344F">
        <w:rPr>
          <w:rFonts w:ascii="Arial" w:hAnsi="Arial" w:cs="Arial"/>
          <w:bCs/>
          <w:color w:val="000000"/>
          <w:sz w:val="22"/>
          <w:szCs w:val="22"/>
        </w:rPr>
        <w:t>ask that any data collected concerning you be withdrawn from the study.</w:t>
      </w:r>
      <w:r w:rsidR="00E95E87" w:rsidRPr="0097344F">
        <w:rPr>
          <w:rFonts w:ascii="Arial" w:hAnsi="Arial" w:cs="Arial"/>
          <w:color w:val="7030A0"/>
          <w:sz w:val="22"/>
          <w:szCs w:val="22"/>
          <w:lang w:val="en-AU"/>
        </w:rPr>
        <w:t xml:space="preserve"> </w:t>
      </w:r>
      <w:r w:rsidR="0041230E">
        <w:rPr>
          <w:rFonts w:ascii="Arial" w:hAnsi="Arial" w:cs="Arial"/>
          <w:bCs/>
          <w:color w:val="000000"/>
          <w:sz w:val="22"/>
          <w:szCs w:val="22"/>
        </w:rPr>
        <w:t>Note however, that if you choose to withdraw your consent and the researchers have included your data in a presentation made before the date of your request to withdraw your data will not be able to be retracted.</w:t>
      </w:r>
    </w:p>
    <w:p w14:paraId="12308BC3" w14:textId="1636D38B" w:rsidR="00E95E87" w:rsidRPr="0097344F" w:rsidRDefault="00E95E87" w:rsidP="00E95E8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rPr>
          <w:rFonts w:ascii="Arial" w:hAnsi="Arial" w:cs="Arial"/>
          <w:b/>
          <w:sz w:val="22"/>
          <w:szCs w:val="22"/>
          <w:lang w:val="en-AU"/>
        </w:rPr>
      </w:pPr>
    </w:p>
    <w:p w14:paraId="62BBA2AC" w14:textId="77777777" w:rsidR="0097344F" w:rsidRPr="0097344F" w:rsidRDefault="0097344F" w:rsidP="00E95E8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rPr>
          <w:rFonts w:ascii="Arial" w:hAnsi="Arial" w:cs="Arial"/>
          <w:b/>
          <w:sz w:val="22"/>
          <w:szCs w:val="22"/>
        </w:rPr>
      </w:pPr>
    </w:p>
    <w:p w14:paraId="6B6E7055" w14:textId="162EBB85" w:rsidR="00E95E87" w:rsidRPr="0097344F" w:rsidRDefault="00E95E87" w:rsidP="00E95E8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rPr>
          <w:rFonts w:ascii="Arial" w:hAnsi="Arial" w:cs="Arial"/>
          <w:b/>
          <w:sz w:val="22"/>
          <w:szCs w:val="22"/>
          <w:lang w:val="en-AU"/>
        </w:rPr>
      </w:pPr>
      <w:r w:rsidRPr="0097344F">
        <w:rPr>
          <w:rFonts w:ascii="Arial" w:hAnsi="Arial" w:cs="Arial"/>
          <w:b/>
          <w:sz w:val="22"/>
          <w:szCs w:val="22"/>
        </w:rPr>
        <w:t>What would you be asked to do if you agree to participate</w:t>
      </w:r>
      <w:r w:rsidR="0052093B" w:rsidRPr="0097344F">
        <w:rPr>
          <w:rFonts w:ascii="Arial" w:hAnsi="Arial" w:cs="Arial"/>
          <w:b/>
          <w:sz w:val="22"/>
          <w:szCs w:val="22"/>
        </w:rPr>
        <w:t xml:space="preserve"> and are there any risks</w:t>
      </w:r>
      <w:r w:rsidRPr="0097344F">
        <w:rPr>
          <w:rFonts w:ascii="Arial" w:hAnsi="Arial" w:cs="Arial"/>
          <w:b/>
          <w:sz w:val="22"/>
          <w:szCs w:val="22"/>
        </w:rPr>
        <w:t>?</w:t>
      </w:r>
    </w:p>
    <w:p w14:paraId="06D86B70" w14:textId="77777777" w:rsidR="00E95E87" w:rsidRPr="0097344F" w:rsidRDefault="00E95E87" w:rsidP="00E95E8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rPr>
          <w:rFonts w:ascii="Arial" w:hAnsi="Arial" w:cs="Arial"/>
          <w:sz w:val="22"/>
          <w:szCs w:val="22"/>
          <w:lang w:val="en-AU"/>
        </w:rPr>
      </w:pPr>
    </w:p>
    <w:p w14:paraId="379E5339" w14:textId="535C870F" w:rsidR="00E95E87" w:rsidRPr="0097344F" w:rsidRDefault="0052093B" w:rsidP="00E95E8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rPr>
          <w:rFonts w:ascii="Arial" w:hAnsi="Arial" w:cs="Arial"/>
          <w:sz w:val="22"/>
          <w:szCs w:val="22"/>
          <w:lang w:val="en-AU"/>
        </w:rPr>
      </w:pPr>
      <w:r w:rsidRPr="0097344F">
        <w:rPr>
          <w:rFonts w:ascii="Arial" w:hAnsi="Arial" w:cs="Arial"/>
          <w:sz w:val="22"/>
          <w:szCs w:val="22"/>
          <w:lang w:val="en-AU"/>
        </w:rPr>
        <w:t xml:space="preserve">You will not have to do anything and there are no risks. We are only collecting information that has been recorded during your routine </w:t>
      </w:r>
      <w:r w:rsidR="0097344F" w:rsidRPr="0097344F">
        <w:rPr>
          <w:rFonts w:ascii="Arial" w:hAnsi="Arial" w:cs="Arial"/>
          <w:sz w:val="22"/>
          <w:szCs w:val="22"/>
          <w:lang w:val="en-AU"/>
        </w:rPr>
        <w:t xml:space="preserve">CF </w:t>
      </w:r>
      <w:r w:rsidRPr="0097344F">
        <w:rPr>
          <w:rFonts w:ascii="Arial" w:hAnsi="Arial" w:cs="Arial"/>
          <w:sz w:val="22"/>
          <w:szCs w:val="22"/>
          <w:lang w:val="en-AU"/>
        </w:rPr>
        <w:t xml:space="preserve">treatment and outpatient clinic visits. </w:t>
      </w:r>
    </w:p>
    <w:p w14:paraId="4FEB79A3" w14:textId="77777777" w:rsidR="00E95E87" w:rsidRPr="0097344F" w:rsidRDefault="00E95E87" w:rsidP="00E95E8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rPr>
          <w:rFonts w:ascii="Arial" w:hAnsi="Arial" w:cs="Arial"/>
          <w:sz w:val="22"/>
          <w:szCs w:val="22"/>
          <w:u w:val="single"/>
          <w:lang w:val="en-AU"/>
        </w:rPr>
      </w:pPr>
    </w:p>
    <w:p w14:paraId="1996424F" w14:textId="77777777" w:rsidR="00E95E87" w:rsidRPr="0097344F" w:rsidRDefault="00E95E87" w:rsidP="00E95E87">
      <w:pPr>
        <w:rPr>
          <w:rFonts w:ascii="Arial" w:hAnsi="Arial" w:cs="Arial"/>
          <w:sz w:val="22"/>
          <w:szCs w:val="22"/>
        </w:rPr>
      </w:pPr>
    </w:p>
    <w:p w14:paraId="347A890C" w14:textId="77777777" w:rsidR="00E95E87" w:rsidRPr="0097344F" w:rsidRDefault="00E95E87" w:rsidP="00E95E8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rPr>
          <w:rFonts w:ascii="Arial" w:hAnsi="Arial" w:cs="Arial"/>
          <w:b/>
          <w:sz w:val="22"/>
          <w:szCs w:val="22"/>
          <w:lang w:val="en-AU"/>
        </w:rPr>
      </w:pPr>
      <w:r w:rsidRPr="0097344F">
        <w:rPr>
          <w:rFonts w:ascii="Arial" w:hAnsi="Arial" w:cs="Arial"/>
          <w:b/>
          <w:sz w:val="22"/>
          <w:szCs w:val="22"/>
          <w:lang w:val="en-AU"/>
        </w:rPr>
        <w:t>How will your privacy be protected?</w:t>
      </w:r>
    </w:p>
    <w:p w14:paraId="5BE85B9D" w14:textId="77777777" w:rsidR="00E95E87" w:rsidRPr="0097344F" w:rsidRDefault="00E95E87" w:rsidP="00E95E8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rPr>
          <w:rFonts w:ascii="Arial" w:hAnsi="Arial" w:cs="Arial"/>
          <w:sz w:val="22"/>
          <w:szCs w:val="22"/>
          <w:lang w:val="en-AU"/>
        </w:rPr>
      </w:pPr>
    </w:p>
    <w:p w14:paraId="437D52BF" w14:textId="2BB284DD" w:rsidR="0052093B" w:rsidRPr="0097344F" w:rsidRDefault="001223FC" w:rsidP="00E95E8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rPr>
          <w:rFonts w:ascii="Arial" w:hAnsi="Arial" w:cs="Arial"/>
          <w:sz w:val="22"/>
          <w:szCs w:val="22"/>
          <w:lang w:val="en-AU"/>
        </w:rPr>
      </w:pPr>
      <w:r w:rsidRPr="0097344F">
        <w:rPr>
          <w:rFonts w:ascii="Arial" w:hAnsi="Arial" w:cs="Arial"/>
          <w:sz w:val="22"/>
          <w:szCs w:val="22"/>
          <w:lang w:val="en-AU"/>
        </w:rPr>
        <w:t>Your</w:t>
      </w:r>
      <w:r w:rsidR="009610E6" w:rsidRPr="0097344F">
        <w:rPr>
          <w:rFonts w:ascii="Arial" w:hAnsi="Arial" w:cs="Arial"/>
          <w:sz w:val="22"/>
          <w:szCs w:val="22"/>
          <w:lang w:val="en-AU"/>
        </w:rPr>
        <w:t xml:space="preserve"> Australian Cystic Fibrosis Data Registry (ACFDR) code will be used to </w:t>
      </w:r>
      <w:r w:rsidRPr="0097344F">
        <w:rPr>
          <w:rFonts w:ascii="Arial" w:hAnsi="Arial" w:cs="Arial"/>
          <w:sz w:val="22"/>
          <w:szCs w:val="22"/>
          <w:lang w:val="en-AU"/>
        </w:rPr>
        <w:t xml:space="preserve">label </w:t>
      </w:r>
      <w:r w:rsidR="00CE33A3" w:rsidRPr="0097344F">
        <w:rPr>
          <w:rFonts w:ascii="Arial" w:hAnsi="Arial" w:cs="Arial"/>
          <w:sz w:val="22"/>
          <w:szCs w:val="22"/>
          <w:lang w:val="en-AU"/>
        </w:rPr>
        <w:t xml:space="preserve">medical </w:t>
      </w:r>
      <w:r w:rsidRPr="0097344F">
        <w:rPr>
          <w:rFonts w:ascii="Arial" w:hAnsi="Arial" w:cs="Arial"/>
          <w:sz w:val="22"/>
          <w:szCs w:val="22"/>
          <w:lang w:val="en-AU"/>
        </w:rPr>
        <w:t xml:space="preserve">data </w:t>
      </w:r>
      <w:r w:rsidR="00CE33A3" w:rsidRPr="0097344F">
        <w:rPr>
          <w:rFonts w:ascii="Arial" w:hAnsi="Arial" w:cs="Arial"/>
          <w:sz w:val="22"/>
          <w:szCs w:val="22"/>
          <w:lang w:val="en-AU"/>
        </w:rPr>
        <w:t xml:space="preserve">that will be </w:t>
      </w:r>
      <w:r w:rsidRPr="0097344F">
        <w:rPr>
          <w:rFonts w:ascii="Arial" w:hAnsi="Arial" w:cs="Arial"/>
          <w:sz w:val="22"/>
          <w:szCs w:val="22"/>
          <w:lang w:val="en-AU"/>
        </w:rPr>
        <w:t xml:space="preserve">entered into an electronic data capture tool </w:t>
      </w:r>
      <w:r w:rsidR="000E0F96">
        <w:rPr>
          <w:rFonts w:ascii="Arial" w:hAnsi="Arial" w:cs="Arial"/>
          <w:sz w:val="22"/>
          <w:szCs w:val="22"/>
          <w:lang w:val="en-AU"/>
        </w:rPr>
        <w:t xml:space="preserve">specific </w:t>
      </w:r>
      <w:r w:rsidRPr="0097344F">
        <w:rPr>
          <w:rFonts w:ascii="Arial" w:hAnsi="Arial" w:cs="Arial"/>
          <w:sz w:val="22"/>
          <w:szCs w:val="22"/>
          <w:lang w:val="en-AU"/>
        </w:rPr>
        <w:t xml:space="preserve">for this study. Only your </w:t>
      </w:r>
      <w:r w:rsidR="00CE33A3" w:rsidRPr="0097344F">
        <w:rPr>
          <w:rFonts w:ascii="Arial" w:hAnsi="Arial" w:cs="Arial"/>
          <w:sz w:val="22"/>
          <w:szCs w:val="22"/>
          <w:lang w:val="en-AU"/>
        </w:rPr>
        <w:t>doctor or clinic nurse who already know</w:t>
      </w:r>
      <w:r w:rsidRPr="0097344F">
        <w:rPr>
          <w:rFonts w:ascii="Arial" w:hAnsi="Arial" w:cs="Arial"/>
          <w:sz w:val="22"/>
          <w:szCs w:val="22"/>
          <w:lang w:val="en-AU"/>
        </w:rPr>
        <w:t xml:space="preserve"> you and </w:t>
      </w:r>
      <w:r w:rsidR="00CE33A3" w:rsidRPr="0097344F">
        <w:rPr>
          <w:rFonts w:ascii="Arial" w:hAnsi="Arial" w:cs="Arial"/>
          <w:sz w:val="22"/>
          <w:szCs w:val="22"/>
          <w:lang w:val="en-AU"/>
        </w:rPr>
        <w:t xml:space="preserve">are aware of your clinical records will be able to link you with any data entered into the study </w:t>
      </w:r>
      <w:r w:rsidR="0072777F" w:rsidRPr="0097344F">
        <w:rPr>
          <w:rFonts w:ascii="Arial" w:hAnsi="Arial" w:cs="Arial"/>
          <w:sz w:val="22"/>
          <w:szCs w:val="22"/>
          <w:lang w:val="en-AU"/>
        </w:rPr>
        <w:t>data capture</w:t>
      </w:r>
      <w:r w:rsidR="0097344F" w:rsidRPr="0097344F">
        <w:rPr>
          <w:rFonts w:ascii="Arial" w:hAnsi="Arial" w:cs="Arial"/>
          <w:sz w:val="22"/>
          <w:szCs w:val="22"/>
          <w:lang w:val="en-AU"/>
        </w:rPr>
        <w:t xml:space="preserve"> tool </w:t>
      </w:r>
      <w:r w:rsidR="00CE33A3" w:rsidRPr="0097344F">
        <w:rPr>
          <w:rFonts w:ascii="Arial" w:hAnsi="Arial" w:cs="Arial"/>
          <w:sz w:val="22"/>
          <w:szCs w:val="22"/>
          <w:lang w:val="en-AU"/>
        </w:rPr>
        <w:t xml:space="preserve">under this code. To anyone else who analyses or sees a presentation or publication of this data </w:t>
      </w:r>
      <w:r w:rsidR="0097344F" w:rsidRPr="0097344F">
        <w:rPr>
          <w:rFonts w:ascii="Arial" w:hAnsi="Arial" w:cs="Arial"/>
          <w:sz w:val="22"/>
          <w:szCs w:val="22"/>
          <w:lang w:val="en-AU"/>
        </w:rPr>
        <w:t xml:space="preserve">you will be </w:t>
      </w:r>
      <w:r w:rsidR="00CE33A3" w:rsidRPr="0097344F">
        <w:rPr>
          <w:rFonts w:ascii="Arial" w:hAnsi="Arial" w:cs="Arial"/>
          <w:sz w:val="22"/>
          <w:szCs w:val="22"/>
          <w:lang w:val="en-AU"/>
        </w:rPr>
        <w:t>unidentifiable</w:t>
      </w:r>
      <w:r w:rsidR="0097344F" w:rsidRPr="0097344F">
        <w:rPr>
          <w:rFonts w:ascii="Arial" w:hAnsi="Arial" w:cs="Arial"/>
          <w:sz w:val="22"/>
          <w:szCs w:val="22"/>
          <w:lang w:val="en-AU"/>
        </w:rPr>
        <w:t xml:space="preserve"> and completely anonymous</w:t>
      </w:r>
      <w:r w:rsidR="00CE33A3" w:rsidRPr="0097344F">
        <w:rPr>
          <w:rFonts w:ascii="Arial" w:hAnsi="Arial" w:cs="Arial"/>
          <w:sz w:val="22"/>
          <w:szCs w:val="22"/>
          <w:lang w:val="en-AU"/>
        </w:rPr>
        <w:t>.</w:t>
      </w:r>
    </w:p>
    <w:p w14:paraId="774C55A8" w14:textId="77777777" w:rsidR="00E95E87" w:rsidRPr="0097344F" w:rsidRDefault="00E95E87" w:rsidP="00E95E8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rPr>
          <w:rFonts w:ascii="Arial" w:hAnsi="Arial" w:cs="Arial"/>
          <w:color w:val="000000"/>
          <w:sz w:val="22"/>
          <w:szCs w:val="22"/>
          <w:lang w:val="en-AU"/>
        </w:rPr>
      </w:pPr>
    </w:p>
    <w:p w14:paraId="467F017F" w14:textId="072EA825" w:rsidR="00E95E87" w:rsidRPr="0097344F" w:rsidRDefault="00CE33A3" w:rsidP="00E95E8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rPr>
          <w:rFonts w:ascii="Arial" w:hAnsi="Arial" w:cs="Arial"/>
          <w:color w:val="000000"/>
          <w:sz w:val="22"/>
          <w:szCs w:val="22"/>
          <w:lang w:val="en-AU"/>
        </w:rPr>
      </w:pPr>
      <w:r w:rsidRPr="0097344F">
        <w:rPr>
          <w:rFonts w:ascii="Arial" w:hAnsi="Arial" w:cs="Arial"/>
          <w:color w:val="000000"/>
          <w:sz w:val="22"/>
          <w:szCs w:val="22"/>
          <w:lang w:val="en-AU"/>
        </w:rPr>
        <w:t>Further, a</w:t>
      </w:r>
      <w:r w:rsidR="00E95E87" w:rsidRPr="0097344F">
        <w:rPr>
          <w:rFonts w:ascii="Arial" w:hAnsi="Arial" w:cs="Arial"/>
          <w:color w:val="000000"/>
          <w:sz w:val="22"/>
          <w:szCs w:val="22"/>
          <w:lang w:val="en-AU"/>
        </w:rPr>
        <w:t xml:space="preserve">ny personal information </w:t>
      </w:r>
      <w:r w:rsidRPr="0097344F">
        <w:rPr>
          <w:rFonts w:ascii="Arial" w:hAnsi="Arial" w:cs="Arial"/>
          <w:color w:val="000000"/>
          <w:sz w:val="22"/>
          <w:szCs w:val="22"/>
          <w:lang w:val="en-AU"/>
        </w:rPr>
        <w:t>that is</w:t>
      </w:r>
      <w:r w:rsidR="00E95E87" w:rsidRPr="0097344F">
        <w:rPr>
          <w:rFonts w:ascii="Arial" w:hAnsi="Arial" w:cs="Arial"/>
          <w:color w:val="000000"/>
          <w:sz w:val="22"/>
          <w:szCs w:val="22"/>
          <w:lang w:val="en-AU"/>
        </w:rPr>
        <w:t xml:space="preserve"> </w:t>
      </w:r>
      <w:r w:rsidR="0097344F" w:rsidRPr="0097344F">
        <w:rPr>
          <w:rFonts w:ascii="Arial" w:hAnsi="Arial" w:cs="Arial"/>
          <w:color w:val="000000"/>
          <w:sz w:val="22"/>
          <w:szCs w:val="22"/>
          <w:lang w:val="en-AU"/>
        </w:rPr>
        <w:t>accessed</w:t>
      </w:r>
      <w:r w:rsidR="00E95E87" w:rsidRPr="0097344F">
        <w:rPr>
          <w:rFonts w:ascii="Arial" w:hAnsi="Arial" w:cs="Arial"/>
          <w:color w:val="000000"/>
          <w:sz w:val="22"/>
          <w:szCs w:val="22"/>
          <w:lang w:val="en-AU"/>
        </w:rPr>
        <w:t xml:space="preserve"> </w:t>
      </w:r>
      <w:r w:rsidRPr="0097344F">
        <w:rPr>
          <w:rFonts w:ascii="Arial" w:hAnsi="Arial" w:cs="Arial"/>
          <w:color w:val="000000"/>
          <w:sz w:val="22"/>
          <w:szCs w:val="22"/>
          <w:lang w:val="en-AU"/>
        </w:rPr>
        <w:t xml:space="preserve">will be </w:t>
      </w:r>
      <w:r w:rsidR="00E95E87" w:rsidRPr="0097344F">
        <w:rPr>
          <w:rFonts w:ascii="Arial" w:hAnsi="Arial" w:cs="Arial"/>
          <w:color w:val="000000"/>
          <w:sz w:val="22"/>
          <w:szCs w:val="22"/>
          <w:lang w:val="en-AU"/>
        </w:rPr>
        <w:t xml:space="preserve">used and stored in accordance with Commonwealth Privacy Laws and </w:t>
      </w:r>
      <w:r w:rsidRPr="0097344F">
        <w:rPr>
          <w:rFonts w:ascii="Arial" w:hAnsi="Arial" w:cs="Arial"/>
          <w:color w:val="000000"/>
          <w:sz w:val="22"/>
          <w:szCs w:val="22"/>
          <w:lang w:val="en-AU"/>
        </w:rPr>
        <w:t>any</w:t>
      </w:r>
      <w:r w:rsidR="00E95E87" w:rsidRPr="0097344F">
        <w:rPr>
          <w:rFonts w:ascii="Arial" w:hAnsi="Arial" w:cs="Arial"/>
          <w:color w:val="000000"/>
          <w:sz w:val="22"/>
          <w:szCs w:val="22"/>
          <w:lang w:val="en-AU"/>
        </w:rPr>
        <w:t xml:space="preserve"> Privacy Act </w:t>
      </w:r>
      <w:r w:rsidRPr="0097344F">
        <w:rPr>
          <w:rFonts w:ascii="Arial" w:hAnsi="Arial" w:cs="Arial"/>
          <w:color w:val="000000"/>
          <w:sz w:val="22"/>
          <w:szCs w:val="22"/>
          <w:lang w:val="en-AU"/>
        </w:rPr>
        <w:t>that applies in the state/territory in which you reside</w:t>
      </w:r>
      <w:r w:rsidR="00E95E87" w:rsidRPr="0097344F">
        <w:rPr>
          <w:rFonts w:ascii="Arial" w:hAnsi="Arial" w:cs="Arial"/>
          <w:color w:val="000000"/>
          <w:sz w:val="22"/>
          <w:szCs w:val="22"/>
          <w:lang w:val="en-AU"/>
        </w:rPr>
        <w:t>.</w:t>
      </w:r>
    </w:p>
    <w:p w14:paraId="11693B88" w14:textId="77777777" w:rsidR="00E95E87" w:rsidRPr="0097344F" w:rsidRDefault="00E95E87" w:rsidP="00E95E8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rPr>
          <w:rFonts w:ascii="Arial" w:hAnsi="Arial" w:cs="Arial"/>
          <w:color w:val="000000"/>
          <w:sz w:val="22"/>
          <w:szCs w:val="22"/>
          <w:lang w:val="en-AU"/>
        </w:rPr>
      </w:pPr>
    </w:p>
    <w:p w14:paraId="7BE35526" w14:textId="77777777" w:rsidR="00E95E87" w:rsidRPr="0097344F" w:rsidRDefault="00E95E87" w:rsidP="00E95E8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rPr>
          <w:rFonts w:ascii="Arial" w:hAnsi="Arial" w:cs="Arial"/>
          <w:sz w:val="22"/>
          <w:szCs w:val="22"/>
          <w:lang w:val="en-AU"/>
        </w:rPr>
      </w:pPr>
      <w:r w:rsidRPr="0097344F">
        <w:rPr>
          <w:rFonts w:ascii="Arial" w:hAnsi="Arial" w:cs="Arial"/>
          <w:sz w:val="22"/>
          <w:szCs w:val="22"/>
          <w:lang w:val="en-AU"/>
        </w:rPr>
        <w:t>This information statement is for you to keep.</w:t>
      </w:r>
    </w:p>
    <w:p w14:paraId="5B469E3F" w14:textId="77777777" w:rsidR="00E95E87" w:rsidRPr="0097344F" w:rsidRDefault="00E95E87" w:rsidP="00E95E8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rPr>
          <w:rFonts w:ascii="Arial" w:hAnsi="Arial" w:cs="Arial"/>
          <w:sz w:val="22"/>
          <w:szCs w:val="22"/>
          <w:lang w:val="en-AU"/>
        </w:rPr>
      </w:pPr>
    </w:p>
    <w:p w14:paraId="70895EE9" w14:textId="77777777" w:rsidR="00E95E87" w:rsidRPr="0097344F" w:rsidRDefault="00E95E87" w:rsidP="00CA5CC6">
      <w:pPr>
        <w:tabs>
          <w:tab w:val="left" w:pos="0"/>
          <w:tab w:val="left" w:pos="402"/>
          <w:tab w:val="left" w:pos="5852"/>
          <w:tab w:val="left" w:pos="6727"/>
          <w:tab w:val="left" w:pos="7926"/>
          <w:tab w:val="left" w:pos="9064"/>
        </w:tabs>
        <w:jc w:val="both"/>
        <w:rPr>
          <w:rFonts w:ascii="Arial" w:hAnsi="Arial" w:cs="Arial"/>
          <w:sz w:val="22"/>
          <w:szCs w:val="22"/>
          <w:lang w:val="en-AU"/>
        </w:rPr>
      </w:pPr>
      <w:r w:rsidRPr="0097344F">
        <w:rPr>
          <w:rFonts w:ascii="Arial" w:hAnsi="Arial" w:cs="Arial"/>
          <w:sz w:val="22"/>
          <w:szCs w:val="22"/>
          <w:lang w:val="en-AU"/>
        </w:rPr>
        <w:t>Thank you for considering this invitation.</w:t>
      </w:r>
    </w:p>
    <w:p w14:paraId="610B12F1" w14:textId="77777777" w:rsidR="00E95E87" w:rsidRPr="0097344F" w:rsidRDefault="00E95E87" w:rsidP="00E95E87">
      <w:pPr>
        <w:tabs>
          <w:tab w:val="left" w:pos="0"/>
          <w:tab w:val="left" w:pos="402"/>
          <w:tab w:val="left" w:pos="5852"/>
          <w:tab w:val="left" w:pos="6727"/>
          <w:tab w:val="left" w:pos="7926"/>
          <w:tab w:val="left" w:pos="9064"/>
        </w:tabs>
        <w:ind w:left="402" w:hanging="402"/>
        <w:jc w:val="both"/>
        <w:rPr>
          <w:rFonts w:ascii="Arial" w:hAnsi="Arial" w:cs="Arial"/>
          <w:i/>
          <w:sz w:val="22"/>
          <w:szCs w:val="22"/>
          <w:lang w:val="en-AU"/>
        </w:rPr>
      </w:pPr>
    </w:p>
    <w:p w14:paraId="00E2A2F6" w14:textId="77777777" w:rsidR="00E95E87" w:rsidRPr="0097344F" w:rsidRDefault="00E95E87" w:rsidP="00E95E87">
      <w:pPr>
        <w:tabs>
          <w:tab w:val="left" w:pos="0"/>
          <w:tab w:val="left" w:pos="402"/>
          <w:tab w:val="left" w:pos="5852"/>
          <w:tab w:val="left" w:pos="6727"/>
          <w:tab w:val="left" w:pos="7926"/>
          <w:tab w:val="left" w:pos="9064"/>
        </w:tabs>
        <w:jc w:val="both"/>
        <w:rPr>
          <w:rFonts w:ascii="Arial" w:hAnsi="Arial" w:cs="Arial"/>
          <w:color w:val="FF0000"/>
          <w:sz w:val="22"/>
          <w:szCs w:val="22"/>
          <w:lang w:val="en-AU"/>
        </w:rPr>
      </w:pPr>
    </w:p>
    <w:p w14:paraId="6AA848E4" w14:textId="005A5D15" w:rsidR="00E95E87" w:rsidRPr="0097344F" w:rsidRDefault="00E95E87" w:rsidP="00CE33A3">
      <w:pPr>
        <w:tabs>
          <w:tab w:val="left" w:pos="0"/>
          <w:tab w:val="left" w:pos="402"/>
          <w:tab w:val="left" w:pos="5852"/>
          <w:tab w:val="left" w:pos="6727"/>
          <w:tab w:val="left" w:pos="7926"/>
          <w:tab w:val="left" w:pos="9064"/>
        </w:tabs>
        <w:jc w:val="both"/>
        <w:rPr>
          <w:rFonts w:ascii="Arial" w:hAnsi="Arial" w:cs="Arial"/>
          <w:color w:val="000000"/>
          <w:sz w:val="22"/>
          <w:szCs w:val="22"/>
          <w:lang w:val="en-AU"/>
        </w:rPr>
      </w:pPr>
      <w:proofErr w:type="spellStart"/>
      <w:r w:rsidRPr="0097344F">
        <w:rPr>
          <w:rFonts w:ascii="Arial" w:hAnsi="Arial" w:cs="Arial"/>
          <w:color w:val="000000"/>
          <w:sz w:val="22"/>
          <w:szCs w:val="22"/>
          <w:lang w:val="en-AU"/>
        </w:rPr>
        <w:t>Prof.</w:t>
      </w:r>
      <w:proofErr w:type="spellEnd"/>
      <w:r w:rsidRPr="0097344F">
        <w:rPr>
          <w:rFonts w:ascii="Arial" w:hAnsi="Arial" w:cs="Arial"/>
          <w:color w:val="000000"/>
          <w:sz w:val="22"/>
          <w:szCs w:val="22"/>
          <w:lang w:val="en-AU"/>
        </w:rPr>
        <w:t xml:space="preserve"> Peter Wark</w:t>
      </w:r>
    </w:p>
    <w:p w14:paraId="55014ED5" w14:textId="25B18E1A" w:rsidR="00E95E87" w:rsidRPr="0097344F" w:rsidRDefault="00E95E87" w:rsidP="00E95E87">
      <w:pPr>
        <w:tabs>
          <w:tab w:val="left" w:pos="0"/>
          <w:tab w:val="left" w:pos="402"/>
          <w:tab w:val="left" w:pos="5852"/>
          <w:tab w:val="left" w:pos="6727"/>
          <w:tab w:val="left" w:pos="7926"/>
          <w:tab w:val="left" w:pos="9064"/>
        </w:tabs>
        <w:ind w:left="402" w:hanging="402"/>
        <w:jc w:val="both"/>
        <w:rPr>
          <w:rFonts w:ascii="Arial" w:hAnsi="Arial" w:cs="Arial"/>
          <w:color w:val="000000"/>
          <w:sz w:val="22"/>
          <w:szCs w:val="22"/>
          <w:lang w:val="en-AU"/>
        </w:rPr>
      </w:pPr>
      <w:r w:rsidRPr="0097344F">
        <w:rPr>
          <w:rFonts w:ascii="Arial" w:hAnsi="Arial" w:cs="Arial"/>
          <w:color w:val="000000"/>
          <w:sz w:val="22"/>
          <w:szCs w:val="22"/>
          <w:lang w:val="en-AU"/>
        </w:rPr>
        <w:t>Senior Staff Specialist</w:t>
      </w:r>
    </w:p>
    <w:p w14:paraId="2E3A32D2" w14:textId="03E5EA7F" w:rsidR="00E95E87" w:rsidRPr="0097344F" w:rsidRDefault="00E95E87" w:rsidP="00CE33A3">
      <w:pPr>
        <w:tabs>
          <w:tab w:val="left" w:pos="0"/>
          <w:tab w:val="left" w:pos="402"/>
          <w:tab w:val="left" w:pos="5852"/>
          <w:tab w:val="left" w:pos="6727"/>
          <w:tab w:val="left" w:pos="7926"/>
          <w:tab w:val="left" w:pos="9064"/>
        </w:tabs>
        <w:jc w:val="both"/>
        <w:rPr>
          <w:rFonts w:ascii="Arial" w:hAnsi="Arial" w:cs="Arial"/>
          <w:color w:val="000000"/>
          <w:sz w:val="22"/>
          <w:szCs w:val="22"/>
          <w:lang w:val="en-AU"/>
        </w:rPr>
      </w:pPr>
      <w:r w:rsidRPr="0097344F">
        <w:rPr>
          <w:rFonts w:ascii="Arial" w:hAnsi="Arial" w:cs="Arial"/>
          <w:color w:val="000000"/>
          <w:sz w:val="22"/>
          <w:szCs w:val="22"/>
          <w:lang w:val="en-AU"/>
        </w:rPr>
        <w:t>Investigator</w:t>
      </w:r>
    </w:p>
    <w:p w14:paraId="09BC7C48" w14:textId="77777777" w:rsidR="00E95E87" w:rsidRPr="0097344F" w:rsidRDefault="00E95E87" w:rsidP="00E95E87">
      <w:pPr>
        <w:tabs>
          <w:tab w:val="left" w:pos="0"/>
          <w:tab w:val="left" w:pos="402"/>
          <w:tab w:val="left" w:pos="5852"/>
          <w:tab w:val="left" w:pos="6727"/>
          <w:tab w:val="left" w:pos="7926"/>
          <w:tab w:val="left" w:pos="9064"/>
        </w:tabs>
        <w:ind w:left="402" w:hanging="402"/>
        <w:jc w:val="both"/>
        <w:rPr>
          <w:rFonts w:ascii="Arial" w:hAnsi="Arial" w:cs="Arial"/>
          <w:color w:val="000000"/>
          <w:sz w:val="22"/>
          <w:szCs w:val="22"/>
          <w:lang w:val="en-AU"/>
        </w:rPr>
      </w:pPr>
    </w:p>
    <w:p w14:paraId="1EF88F67" w14:textId="77777777" w:rsidR="00E95E87" w:rsidRPr="0097344F" w:rsidRDefault="00E95E87" w:rsidP="00E95E87">
      <w:pPr>
        <w:tabs>
          <w:tab w:val="left" w:pos="0"/>
          <w:tab w:val="left" w:pos="402"/>
          <w:tab w:val="left" w:pos="5852"/>
          <w:tab w:val="left" w:pos="6727"/>
          <w:tab w:val="left" w:pos="7926"/>
          <w:tab w:val="left" w:pos="9064"/>
        </w:tabs>
        <w:ind w:left="402" w:hanging="402"/>
        <w:jc w:val="both"/>
        <w:rPr>
          <w:rFonts w:ascii="Arial" w:hAnsi="Arial" w:cs="Arial"/>
          <w:color w:val="000000"/>
          <w:sz w:val="22"/>
          <w:szCs w:val="22"/>
          <w:lang w:val="en-AU"/>
        </w:rPr>
      </w:pPr>
    </w:p>
    <w:p w14:paraId="6D8378C5" w14:textId="77777777" w:rsidR="00E95E87" w:rsidRPr="0097344F" w:rsidRDefault="00E95E87" w:rsidP="00E95E8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rPr>
          <w:rFonts w:ascii="Arial" w:hAnsi="Arial" w:cs="Arial"/>
          <w:b/>
          <w:sz w:val="22"/>
          <w:szCs w:val="22"/>
        </w:rPr>
      </w:pPr>
      <w:r w:rsidRPr="0097344F">
        <w:rPr>
          <w:rFonts w:ascii="Arial" w:hAnsi="Arial" w:cs="Arial"/>
          <w:b/>
          <w:sz w:val="22"/>
          <w:szCs w:val="22"/>
        </w:rPr>
        <w:t>Complaints about this research</w:t>
      </w:r>
    </w:p>
    <w:p w14:paraId="67BD21BD" w14:textId="77777777" w:rsidR="00E95E87" w:rsidRPr="0097344F" w:rsidRDefault="00E95E87" w:rsidP="00E95E8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rPr>
          <w:rFonts w:ascii="Arial" w:hAnsi="Arial" w:cs="Arial"/>
          <w:sz w:val="22"/>
          <w:szCs w:val="22"/>
        </w:rPr>
      </w:pPr>
    </w:p>
    <w:p w14:paraId="5DC43962" w14:textId="77777777" w:rsidR="00E95E87" w:rsidRPr="0097344F" w:rsidRDefault="00E95E87" w:rsidP="00E95E8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rPr>
          <w:rFonts w:ascii="Arial" w:hAnsi="Arial" w:cs="Arial"/>
          <w:color w:val="FF0000"/>
          <w:sz w:val="22"/>
          <w:szCs w:val="22"/>
        </w:rPr>
      </w:pPr>
      <w:r w:rsidRPr="0097344F">
        <w:rPr>
          <w:rFonts w:ascii="Arial" w:hAnsi="Arial" w:cs="Arial"/>
          <w:sz w:val="22"/>
          <w:szCs w:val="22"/>
        </w:rPr>
        <w:t xml:space="preserve">This research has been approved by the Hunter New England Human Research Ethics Committee of Hunter New England Local Health District, Reference </w:t>
      </w:r>
      <w:r w:rsidRPr="0097344F">
        <w:rPr>
          <w:rFonts w:ascii="Arial" w:hAnsi="Arial" w:cs="Arial"/>
          <w:color w:val="FF0000"/>
          <w:sz w:val="22"/>
          <w:szCs w:val="22"/>
        </w:rPr>
        <w:t>[insert reference number when known].</w:t>
      </w:r>
    </w:p>
    <w:p w14:paraId="4BDA49C1" w14:textId="77777777" w:rsidR="00E95E87" w:rsidRPr="0097344F" w:rsidRDefault="00E95E87" w:rsidP="00E95E8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rPr>
          <w:rFonts w:ascii="Arial" w:hAnsi="Arial" w:cs="Arial"/>
          <w:sz w:val="22"/>
          <w:szCs w:val="22"/>
        </w:rPr>
      </w:pPr>
    </w:p>
    <w:p w14:paraId="104C5333" w14:textId="77777777" w:rsidR="00E95E87" w:rsidRPr="0097344F" w:rsidRDefault="00E95E87" w:rsidP="00E95E8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rPr>
          <w:rFonts w:ascii="Arial" w:hAnsi="Arial" w:cs="Arial"/>
          <w:sz w:val="22"/>
          <w:szCs w:val="22"/>
        </w:rPr>
      </w:pPr>
      <w:r w:rsidRPr="0097344F">
        <w:rPr>
          <w:rFonts w:ascii="Arial" w:hAnsi="Arial" w:cs="Arial"/>
          <w:sz w:val="22"/>
          <w:szCs w:val="22"/>
        </w:rPr>
        <w:t xml:space="preserve">Should you have concerns about your rights as a participant in this research, or you have a complaint about the manner in which the research is conducted, it may be given to the researcher, or, if an independent person is preferred, to Dr Nicole Gerrand, Manager, Research Ethics and Governance Unit, Hunter New England Human Research Ethics Committee, Hunter New England Local Health District, Locked Bag 1, New Lambton NSW 2305, telephone (02) 49214950, email </w:t>
      </w:r>
      <w:hyperlink r:id="rId9" w:history="1">
        <w:r w:rsidRPr="0097344F">
          <w:rPr>
            <w:rStyle w:val="Hyperlink"/>
            <w:rFonts w:ascii="Arial" w:hAnsi="Arial" w:cs="Arial"/>
            <w:sz w:val="22"/>
            <w:szCs w:val="22"/>
          </w:rPr>
          <w:t>Hnehrec@hnehealth.nsw.gov.au</w:t>
        </w:r>
      </w:hyperlink>
    </w:p>
    <w:p w14:paraId="5B207616" w14:textId="77777777" w:rsidR="00E95E87" w:rsidRPr="0097344F" w:rsidRDefault="00E95E87" w:rsidP="00E95E8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rPr>
          <w:rFonts w:ascii="Arial" w:hAnsi="Arial" w:cs="Arial"/>
          <w:sz w:val="22"/>
          <w:szCs w:val="22"/>
        </w:rPr>
      </w:pPr>
    </w:p>
    <w:p w14:paraId="6B2F2763" w14:textId="24C8B2D9" w:rsidR="00A013C9" w:rsidRDefault="00A013C9">
      <w:pPr>
        <w:rPr>
          <w:rFonts w:ascii="Arial" w:hAnsi="Arial" w:cs="Arial"/>
          <w:sz w:val="22"/>
          <w:szCs w:val="22"/>
          <w:lang w:val="en-AU"/>
        </w:rPr>
      </w:pPr>
      <w:r>
        <w:rPr>
          <w:rFonts w:ascii="Arial" w:hAnsi="Arial" w:cs="Arial"/>
          <w:sz w:val="22"/>
          <w:szCs w:val="22"/>
          <w:lang w:val="en-AU"/>
        </w:rPr>
        <w:br w:type="page"/>
      </w:r>
    </w:p>
    <w:p w14:paraId="0DA28D8E" w14:textId="42033D97" w:rsidR="00A013C9" w:rsidRPr="0041230E" w:rsidRDefault="00A013C9" w:rsidP="00A013C9">
      <w:pPr>
        <w:jc w:val="center"/>
        <w:rPr>
          <w:rFonts w:ascii="Arial" w:hAnsi="Arial" w:cs="Arial"/>
          <w:b/>
          <w:sz w:val="22"/>
          <w:szCs w:val="22"/>
        </w:rPr>
      </w:pPr>
      <w:r w:rsidRPr="0041230E">
        <w:rPr>
          <w:rFonts w:ascii="Arial" w:hAnsi="Arial" w:cs="Arial"/>
          <w:b/>
          <w:sz w:val="22"/>
          <w:szCs w:val="22"/>
        </w:rPr>
        <w:lastRenderedPageBreak/>
        <w:t xml:space="preserve">Consent Form </w:t>
      </w:r>
    </w:p>
    <w:tbl>
      <w:tblPr>
        <w:tblStyle w:val="TableGrid"/>
        <w:tblW w:w="9673"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7121"/>
      </w:tblGrid>
      <w:tr w:rsidR="00A013C9" w:rsidRPr="0041230E" w14:paraId="32F34C9A" w14:textId="77777777" w:rsidTr="0006220F">
        <w:tc>
          <w:tcPr>
            <w:tcW w:w="2552" w:type="dxa"/>
          </w:tcPr>
          <w:p w14:paraId="301D284D" w14:textId="77777777" w:rsidR="00A013C9" w:rsidRPr="0041230E" w:rsidRDefault="00A013C9" w:rsidP="0006220F">
            <w:pPr>
              <w:rPr>
                <w:rFonts w:ascii="Arial" w:hAnsi="Arial" w:cs="Arial"/>
                <w:sz w:val="22"/>
                <w:szCs w:val="22"/>
              </w:rPr>
            </w:pPr>
            <w:r w:rsidRPr="0041230E">
              <w:rPr>
                <w:rFonts w:ascii="Arial" w:hAnsi="Arial" w:cs="Arial"/>
                <w:sz w:val="22"/>
                <w:szCs w:val="22"/>
              </w:rPr>
              <w:t>Short Title</w:t>
            </w:r>
          </w:p>
        </w:tc>
        <w:tc>
          <w:tcPr>
            <w:tcW w:w="7121" w:type="dxa"/>
          </w:tcPr>
          <w:p w14:paraId="699FCFC9" w14:textId="44D798F0" w:rsidR="00A013C9" w:rsidRPr="0041230E" w:rsidRDefault="00A013C9" w:rsidP="00A013C9">
            <w:pPr>
              <w:jc w:val="center"/>
              <w:rPr>
                <w:rFonts w:ascii="Arial" w:hAnsi="Arial" w:cs="Arial"/>
                <w:sz w:val="22"/>
                <w:szCs w:val="22"/>
              </w:rPr>
            </w:pPr>
            <w:r w:rsidRPr="0041230E">
              <w:rPr>
                <w:rFonts w:ascii="Arial" w:hAnsi="Arial" w:cs="Arial"/>
                <w:sz w:val="22"/>
                <w:szCs w:val="22"/>
              </w:rPr>
              <w:t>The OBSERVE CF study.</w:t>
            </w:r>
          </w:p>
        </w:tc>
      </w:tr>
      <w:tr w:rsidR="00A013C9" w:rsidRPr="0041230E" w14:paraId="66C9DF81" w14:textId="77777777" w:rsidTr="00A013C9">
        <w:trPr>
          <w:trHeight w:val="859"/>
        </w:trPr>
        <w:tc>
          <w:tcPr>
            <w:tcW w:w="2552" w:type="dxa"/>
          </w:tcPr>
          <w:p w14:paraId="3ACE9014" w14:textId="77777777" w:rsidR="00A013C9" w:rsidRPr="0041230E" w:rsidRDefault="00A013C9" w:rsidP="0006220F">
            <w:pPr>
              <w:rPr>
                <w:rFonts w:ascii="Arial" w:hAnsi="Arial" w:cs="Arial"/>
                <w:sz w:val="22"/>
                <w:szCs w:val="22"/>
              </w:rPr>
            </w:pPr>
            <w:r w:rsidRPr="0041230E">
              <w:rPr>
                <w:rFonts w:ascii="Arial" w:hAnsi="Arial" w:cs="Arial"/>
                <w:sz w:val="22"/>
                <w:szCs w:val="22"/>
              </w:rPr>
              <w:t>Protocol Title</w:t>
            </w:r>
          </w:p>
        </w:tc>
        <w:tc>
          <w:tcPr>
            <w:tcW w:w="7121" w:type="dxa"/>
          </w:tcPr>
          <w:p w14:paraId="217A2AD5" w14:textId="7F283800" w:rsidR="00A013C9" w:rsidRPr="0041230E" w:rsidRDefault="00A013C9" w:rsidP="00A013C9">
            <w:pPr>
              <w:pStyle w:val="Title"/>
              <w:rPr>
                <w:rFonts w:ascii="Arial" w:hAnsi="Arial" w:cs="Arial"/>
                <w:sz w:val="22"/>
                <w:szCs w:val="22"/>
              </w:rPr>
            </w:pPr>
            <w:r w:rsidRPr="0041230E">
              <w:rPr>
                <w:rFonts w:ascii="Arial" w:hAnsi="Arial" w:cs="Arial"/>
                <w:sz w:val="22"/>
                <w:szCs w:val="22"/>
              </w:rPr>
              <w:t xml:space="preserve">A multicentre, </w:t>
            </w:r>
            <w:proofErr w:type="spellStart"/>
            <w:r w:rsidRPr="0041230E">
              <w:rPr>
                <w:rFonts w:ascii="Arial" w:hAnsi="Arial" w:cs="Arial"/>
                <w:color w:val="FF0000"/>
                <w:sz w:val="22"/>
                <w:szCs w:val="22"/>
              </w:rPr>
              <w:t>OBSERV</w:t>
            </w:r>
            <w:r w:rsidRPr="0041230E">
              <w:rPr>
                <w:rFonts w:ascii="Arial" w:hAnsi="Arial" w:cs="Arial"/>
                <w:sz w:val="22"/>
                <w:szCs w:val="22"/>
              </w:rPr>
              <w:t>ational</w:t>
            </w:r>
            <w:proofErr w:type="spellEnd"/>
            <w:r w:rsidRPr="0041230E">
              <w:rPr>
                <w:rFonts w:ascii="Arial" w:hAnsi="Arial" w:cs="Arial"/>
                <w:sz w:val="22"/>
                <w:szCs w:val="22"/>
              </w:rPr>
              <w:t xml:space="preserve">, case control study to determine the efficacy and safety of </w:t>
            </w:r>
            <w:proofErr w:type="spellStart"/>
            <w:r w:rsidRPr="0041230E">
              <w:rPr>
                <w:rFonts w:ascii="Arial" w:hAnsi="Arial" w:cs="Arial"/>
                <w:sz w:val="22"/>
                <w:szCs w:val="22"/>
              </w:rPr>
              <w:t>Lumacaftor</w:t>
            </w:r>
            <w:proofErr w:type="spellEnd"/>
            <w:r w:rsidRPr="0041230E">
              <w:rPr>
                <w:rFonts w:ascii="Arial" w:hAnsi="Arial" w:cs="Arial"/>
                <w:sz w:val="22"/>
                <w:szCs w:val="22"/>
              </w:rPr>
              <w:t>/</w:t>
            </w:r>
            <w:proofErr w:type="spellStart"/>
            <w:r w:rsidRPr="0041230E">
              <w:rPr>
                <w:rFonts w:ascii="Arial" w:hAnsi="Arial" w:cs="Arial"/>
                <w:sz w:val="22"/>
                <w:szCs w:val="22"/>
              </w:rPr>
              <w:t>Ivacaftor</w:t>
            </w:r>
            <w:proofErr w:type="spellEnd"/>
            <w:r w:rsidRPr="0041230E">
              <w:rPr>
                <w:rFonts w:ascii="Arial" w:hAnsi="Arial" w:cs="Arial"/>
                <w:sz w:val="22"/>
                <w:szCs w:val="22"/>
              </w:rPr>
              <w:t xml:space="preserve"> in patients with severe lung disease and </w:t>
            </w:r>
            <w:r w:rsidRPr="0041230E">
              <w:rPr>
                <w:rFonts w:ascii="Arial" w:hAnsi="Arial" w:cs="Arial"/>
                <w:color w:val="FF0000"/>
                <w:sz w:val="22"/>
                <w:szCs w:val="22"/>
              </w:rPr>
              <w:t>C</w:t>
            </w:r>
            <w:r w:rsidRPr="0041230E">
              <w:rPr>
                <w:rFonts w:ascii="Arial" w:hAnsi="Arial" w:cs="Arial"/>
                <w:sz w:val="22"/>
                <w:szCs w:val="22"/>
              </w:rPr>
              <w:t xml:space="preserve">ystic </w:t>
            </w:r>
            <w:r w:rsidRPr="0041230E">
              <w:rPr>
                <w:rFonts w:ascii="Arial" w:hAnsi="Arial" w:cs="Arial"/>
                <w:color w:val="FF0000"/>
                <w:sz w:val="22"/>
                <w:szCs w:val="22"/>
              </w:rPr>
              <w:t>F</w:t>
            </w:r>
            <w:r w:rsidRPr="0041230E">
              <w:rPr>
                <w:rFonts w:ascii="Arial" w:hAnsi="Arial" w:cs="Arial"/>
                <w:sz w:val="22"/>
                <w:szCs w:val="22"/>
              </w:rPr>
              <w:t>ibrosis</w:t>
            </w:r>
          </w:p>
        </w:tc>
      </w:tr>
      <w:tr w:rsidR="00A013C9" w:rsidRPr="0041230E" w14:paraId="6CED143A" w14:textId="77777777" w:rsidTr="0006220F">
        <w:tc>
          <w:tcPr>
            <w:tcW w:w="2552" w:type="dxa"/>
          </w:tcPr>
          <w:p w14:paraId="6990458E" w14:textId="5470EA32" w:rsidR="00A013C9" w:rsidRPr="0041230E" w:rsidRDefault="0041230E" w:rsidP="0006220F">
            <w:pPr>
              <w:rPr>
                <w:rFonts w:ascii="Arial" w:hAnsi="Arial" w:cs="Arial"/>
                <w:sz w:val="22"/>
                <w:szCs w:val="22"/>
              </w:rPr>
            </w:pPr>
            <w:r w:rsidRPr="0041230E">
              <w:rPr>
                <w:rFonts w:ascii="Arial" w:hAnsi="Arial" w:cs="Arial"/>
                <w:bCs/>
                <w:color w:val="000000"/>
                <w:sz w:val="22"/>
                <w:szCs w:val="22"/>
              </w:rPr>
              <w:t>HREC Reference</w:t>
            </w:r>
          </w:p>
        </w:tc>
        <w:tc>
          <w:tcPr>
            <w:tcW w:w="7121" w:type="dxa"/>
          </w:tcPr>
          <w:p w14:paraId="5EC955CA" w14:textId="1E130B6D" w:rsidR="00A013C9" w:rsidRPr="0041230E" w:rsidRDefault="00A013C9" w:rsidP="0006220F">
            <w:pPr>
              <w:rPr>
                <w:rFonts w:ascii="Arial" w:hAnsi="Arial" w:cs="Arial"/>
                <w:sz w:val="22"/>
                <w:szCs w:val="22"/>
              </w:rPr>
            </w:pPr>
          </w:p>
        </w:tc>
      </w:tr>
      <w:tr w:rsidR="00A013C9" w:rsidRPr="0041230E" w14:paraId="7FDA6C9F" w14:textId="77777777" w:rsidTr="0006220F">
        <w:tc>
          <w:tcPr>
            <w:tcW w:w="2552" w:type="dxa"/>
            <w:vAlign w:val="center"/>
          </w:tcPr>
          <w:p w14:paraId="090BFF58" w14:textId="79E8E739" w:rsidR="00A013C9" w:rsidRPr="0041230E" w:rsidRDefault="00A013C9" w:rsidP="0006220F">
            <w:pPr>
              <w:rPr>
                <w:rFonts w:ascii="Arial" w:hAnsi="Arial" w:cs="Arial"/>
                <w:sz w:val="22"/>
                <w:szCs w:val="22"/>
              </w:rPr>
            </w:pPr>
            <w:r w:rsidRPr="0041230E">
              <w:rPr>
                <w:rFonts w:ascii="Arial" w:hAnsi="Arial" w:cs="Arial"/>
                <w:sz w:val="22"/>
                <w:szCs w:val="22"/>
              </w:rPr>
              <w:t>Coordinating Investigator</w:t>
            </w:r>
          </w:p>
        </w:tc>
        <w:tc>
          <w:tcPr>
            <w:tcW w:w="7121" w:type="dxa"/>
            <w:vAlign w:val="center"/>
          </w:tcPr>
          <w:p w14:paraId="2C4F78CF" w14:textId="77777777" w:rsidR="00A013C9" w:rsidRPr="0041230E" w:rsidRDefault="00A013C9" w:rsidP="0006220F">
            <w:pPr>
              <w:rPr>
                <w:rFonts w:ascii="Arial" w:hAnsi="Arial" w:cs="Arial"/>
                <w:sz w:val="22"/>
                <w:szCs w:val="22"/>
              </w:rPr>
            </w:pPr>
            <w:r w:rsidRPr="0041230E">
              <w:rPr>
                <w:rFonts w:ascii="Arial" w:hAnsi="Arial" w:cs="Arial"/>
                <w:sz w:val="22"/>
                <w:szCs w:val="22"/>
              </w:rPr>
              <w:t>Professor Peter Wark</w:t>
            </w:r>
          </w:p>
        </w:tc>
      </w:tr>
      <w:tr w:rsidR="00A013C9" w:rsidRPr="0041230E" w14:paraId="4D42B28E" w14:textId="77777777" w:rsidTr="0006220F">
        <w:tc>
          <w:tcPr>
            <w:tcW w:w="2552" w:type="dxa"/>
            <w:vAlign w:val="center"/>
          </w:tcPr>
          <w:p w14:paraId="7985FE47" w14:textId="77777777" w:rsidR="00A013C9" w:rsidRPr="0041230E" w:rsidRDefault="00A013C9" w:rsidP="0006220F">
            <w:pPr>
              <w:rPr>
                <w:rFonts w:ascii="Arial" w:hAnsi="Arial" w:cs="Arial"/>
                <w:sz w:val="22"/>
                <w:szCs w:val="22"/>
              </w:rPr>
            </w:pPr>
            <w:r w:rsidRPr="0041230E">
              <w:rPr>
                <w:rFonts w:ascii="Arial" w:hAnsi="Arial" w:cs="Arial"/>
                <w:sz w:val="22"/>
                <w:szCs w:val="22"/>
              </w:rPr>
              <w:t xml:space="preserve">Location </w:t>
            </w:r>
          </w:p>
        </w:tc>
        <w:tc>
          <w:tcPr>
            <w:tcW w:w="7121" w:type="dxa"/>
            <w:vAlign w:val="center"/>
          </w:tcPr>
          <w:p w14:paraId="2478E700" w14:textId="76FB6A38" w:rsidR="00A013C9" w:rsidRPr="0041230E" w:rsidRDefault="00A013C9" w:rsidP="0006220F">
            <w:pPr>
              <w:rPr>
                <w:rFonts w:ascii="Arial" w:hAnsi="Arial" w:cs="Arial"/>
                <w:sz w:val="22"/>
                <w:szCs w:val="22"/>
              </w:rPr>
            </w:pPr>
          </w:p>
        </w:tc>
      </w:tr>
    </w:tbl>
    <w:p w14:paraId="12C8DD56" w14:textId="77777777" w:rsidR="00A013C9" w:rsidRDefault="00A013C9" w:rsidP="00A013C9">
      <w:pPr>
        <w:rPr>
          <w:rFonts w:cs="Arial"/>
          <w:b/>
          <w:u w:val="single"/>
        </w:rPr>
      </w:pPr>
    </w:p>
    <w:p w14:paraId="3EDFE75C" w14:textId="44F95338" w:rsidR="00A013C9" w:rsidRPr="0041230E" w:rsidRDefault="00A013C9" w:rsidP="00A013C9">
      <w:pPr>
        <w:rPr>
          <w:rFonts w:ascii="Arial" w:hAnsi="Arial" w:cs="Arial"/>
          <w:b/>
          <w:sz w:val="22"/>
          <w:szCs w:val="22"/>
          <w:u w:val="single"/>
        </w:rPr>
      </w:pPr>
      <w:r w:rsidRPr="0041230E">
        <w:rPr>
          <w:rFonts w:ascii="Arial" w:hAnsi="Arial" w:cs="Arial"/>
          <w:b/>
          <w:sz w:val="22"/>
          <w:szCs w:val="22"/>
          <w:u w:val="single"/>
        </w:rPr>
        <w:t>Declaration by Participant or Parent/Guardian</w:t>
      </w:r>
    </w:p>
    <w:p w14:paraId="2EBB9A53" w14:textId="77777777" w:rsidR="00A013C9" w:rsidRDefault="00A013C9" w:rsidP="00970810">
      <w:pPr>
        <w:pStyle w:val="ListParagraph"/>
        <w:numPr>
          <w:ilvl w:val="0"/>
          <w:numId w:val="4"/>
        </w:numPr>
        <w:ind w:left="714" w:hanging="357"/>
        <w:rPr>
          <w:rFonts w:ascii="Arial" w:hAnsi="Arial" w:cs="Arial"/>
          <w:sz w:val="22"/>
          <w:szCs w:val="22"/>
        </w:rPr>
      </w:pPr>
      <w:r w:rsidRPr="0041230E">
        <w:rPr>
          <w:rFonts w:ascii="Arial" w:hAnsi="Arial" w:cs="Arial"/>
          <w:sz w:val="22"/>
          <w:szCs w:val="22"/>
        </w:rPr>
        <w:t>I have read the Participant Information Sheet or someone has read it to me in a language that I understand.</w:t>
      </w:r>
    </w:p>
    <w:p w14:paraId="1CA8B8D7" w14:textId="77777777" w:rsidR="0041230E" w:rsidRPr="0041230E" w:rsidRDefault="0041230E" w:rsidP="0041230E">
      <w:pPr>
        <w:pStyle w:val="ListParagraph"/>
        <w:ind w:left="714"/>
        <w:rPr>
          <w:rFonts w:ascii="Arial" w:hAnsi="Arial" w:cs="Arial"/>
          <w:sz w:val="22"/>
          <w:szCs w:val="22"/>
        </w:rPr>
      </w:pPr>
    </w:p>
    <w:p w14:paraId="6E1C3D30" w14:textId="645501F7" w:rsidR="00A013C9" w:rsidRDefault="00970810" w:rsidP="00970810">
      <w:pPr>
        <w:pStyle w:val="ListParagraph"/>
        <w:numPr>
          <w:ilvl w:val="0"/>
          <w:numId w:val="4"/>
        </w:numPr>
        <w:ind w:left="714" w:hanging="357"/>
        <w:rPr>
          <w:rFonts w:ascii="Arial" w:hAnsi="Arial" w:cs="Arial"/>
          <w:sz w:val="22"/>
          <w:szCs w:val="22"/>
        </w:rPr>
      </w:pPr>
      <w:r w:rsidRPr="0041230E">
        <w:rPr>
          <w:rFonts w:ascii="Arial" w:hAnsi="Arial" w:cs="Arial"/>
          <w:sz w:val="22"/>
          <w:szCs w:val="22"/>
        </w:rPr>
        <w:t xml:space="preserve">I understand the purposes </w:t>
      </w:r>
      <w:r w:rsidR="0041230E">
        <w:rPr>
          <w:rFonts w:ascii="Arial" w:hAnsi="Arial" w:cs="Arial"/>
          <w:sz w:val="22"/>
          <w:szCs w:val="22"/>
        </w:rPr>
        <w:t xml:space="preserve">of the study </w:t>
      </w:r>
      <w:r w:rsidRPr="0041230E">
        <w:rPr>
          <w:rFonts w:ascii="Arial" w:hAnsi="Arial" w:cs="Arial"/>
          <w:sz w:val="22"/>
          <w:szCs w:val="22"/>
        </w:rPr>
        <w:t xml:space="preserve">and </w:t>
      </w:r>
      <w:r w:rsidR="0041230E">
        <w:rPr>
          <w:rFonts w:ascii="Arial" w:hAnsi="Arial" w:cs="Arial"/>
          <w:sz w:val="22"/>
          <w:szCs w:val="22"/>
        </w:rPr>
        <w:t xml:space="preserve">why </w:t>
      </w:r>
      <w:r w:rsidRPr="0041230E">
        <w:rPr>
          <w:rFonts w:ascii="Arial" w:hAnsi="Arial" w:cs="Arial"/>
          <w:sz w:val="22"/>
          <w:szCs w:val="22"/>
        </w:rPr>
        <w:t xml:space="preserve">the clinical data </w:t>
      </w:r>
      <w:r w:rsidR="0041230E">
        <w:rPr>
          <w:rFonts w:ascii="Arial" w:hAnsi="Arial" w:cs="Arial"/>
          <w:sz w:val="22"/>
          <w:szCs w:val="22"/>
        </w:rPr>
        <w:t xml:space="preserve">is </w:t>
      </w:r>
      <w:r w:rsidRPr="0041230E">
        <w:rPr>
          <w:rFonts w:ascii="Arial" w:hAnsi="Arial" w:cs="Arial"/>
          <w:sz w:val="22"/>
          <w:szCs w:val="22"/>
        </w:rPr>
        <w:t>being sought</w:t>
      </w:r>
      <w:r w:rsidR="00A013C9" w:rsidRPr="0041230E">
        <w:rPr>
          <w:rFonts w:ascii="Arial" w:hAnsi="Arial" w:cs="Arial"/>
          <w:sz w:val="22"/>
          <w:szCs w:val="22"/>
        </w:rPr>
        <w:t xml:space="preserve"> </w:t>
      </w:r>
      <w:r w:rsidRPr="0041230E">
        <w:rPr>
          <w:rFonts w:ascii="Arial" w:hAnsi="Arial" w:cs="Arial"/>
          <w:sz w:val="22"/>
          <w:szCs w:val="22"/>
        </w:rPr>
        <w:t>by</w:t>
      </w:r>
      <w:r w:rsidR="00A013C9" w:rsidRPr="0041230E">
        <w:rPr>
          <w:rFonts w:ascii="Arial" w:hAnsi="Arial" w:cs="Arial"/>
          <w:sz w:val="22"/>
          <w:szCs w:val="22"/>
        </w:rPr>
        <w:t xml:space="preserve"> the research</w:t>
      </w:r>
      <w:r w:rsidRPr="0041230E">
        <w:rPr>
          <w:rFonts w:ascii="Arial" w:hAnsi="Arial" w:cs="Arial"/>
          <w:sz w:val="22"/>
          <w:szCs w:val="22"/>
        </w:rPr>
        <w:t>ers</w:t>
      </w:r>
      <w:r w:rsidR="0041230E">
        <w:rPr>
          <w:rFonts w:ascii="Arial" w:hAnsi="Arial" w:cs="Arial"/>
          <w:sz w:val="22"/>
          <w:szCs w:val="22"/>
        </w:rPr>
        <w:t>.</w:t>
      </w:r>
    </w:p>
    <w:p w14:paraId="7E6D53E0" w14:textId="77777777" w:rsidR="0041230E" w:rsidRPr="0041230E" w:rsidRDefault="0041230E" w:rsidP="0041230E">
      <w:pPr>
        <w:rPr>
          <w:rFonts w:ascii="Arial" w:hAnsi="Arial" w:cs="Arial"/>
          <w:sz w:val="22"/>
          <w:szCs w:val="22"/>
        </w:rPr>
      </w:pPr>
    </w:p>
    <w:p w14:paraId="4C644EE0" w14:textId="2E9C9E5F" w:rsidR="00A013C9" w:rsidRDefault="00A013C9" w:rsidP="00970810">
      <w:pPr>
        <w:pStyle w:val="ListParagraph"/>
        <w:numPr>
          <w:ilvl w:val="0"/>
          <w:numId w:val="4"/>
        </w:numPr>
        <w:rPr>
          <w:rFonts w:ascii="Arial" w:hAnsi="Arial" w:cs="Arial"/>
          <w:sz w:val="22"/>
          <w:szCs w:val="22"/>
        </w:rPr>
      </w:pPr>
      <w:r w:rsidRPr="0041230E">
        <w:rPr>
          <w:rFonts w:ascii="Arial" w:hAnsi="Arial" w:cs="Arial"/>
          <w:sz w:val="22"/>
          <w:szCs w:val="22"/>
        </w:rPr>
        <w:t xml:space="preserve">I give permission for my doctor to provide my clinical </w:t>
      </w:r>
      <w:r w:rsidR="00970810" w:rsidRPr="0041230E">
        <w:rPr>
          <w:rFonts w:ascii="Arial" w:hAnsi="Arial" w:cs="Arial"/>
          <w:sz w:val="22"/>
          <w:szCs w:val="22"/>
        </w:rPr>
        <w:t>information to</w:t>
      </w:r>
      <w:r w:rsidRPr="0041230E">
        <w:rPr>
          <w:rFonts w:ascii="Arial" w:hAnsi="Arial" w:cs="Arial"/>
          <w:sz w:val="22"/>
          <w:szCs w:val="22"/>
        </w:rPr>
        <w:t xml:space="preserve"> the investigators for the purposes of this </w:t>
      </w:r>
      <w:r w:rsidR="00970810" w:rsidRPr="0041230E">
        <w:rPr>
          <w:rFonts w:ascii="Arial" w:hAnsi="Arial" w:cs="Arial"/>
          <w:sz w:val="22"/>
          <w:szCs w:val="22"/>
        </w:rPr>
        <w:t>study</w:t>
      </w:r>
      <w:r w:rsidRPr="0041230E">
        <w:rPr>
          <w:rFonts w:ascii="Arial" w:hAnsi="Arial" w:cs="Arial"/>
          <w:sz w:val="22"/>
          <w:szCs w:val="22"/>
        </w:rPr>
        <w:t>. I understand that such information will remain confidential.</w:t>
      </w:r>
    </w:p>
    <w:p w14:paraId="77E23182" w14:textId="77777777" w:rsidR="0041230E" w:rsidRPr="0041230E" w:rsidRDefault="0041230E" w:rsidP="0041230E">
      <w:pPr>
        <w:rPr>
          <w:rFonts w:ascii="Arial" w:hAnsi="Arial" w:cs="Arial"/>
          <w:sz w:val="22"/>
          <w:szCs w:val="22"/>
        </w:rPr>
      </w:pPr>
    </w:p>
    <w:p w14:paraId="3F32CB8E" w14:textId="77777777" w:rsidR="00A013C9" w:rsidRDefault="00A013C9" w:rsidP="00970810">
      <w:pPr>
        <w:pStyle w:val="ListParagraph"/>
        <w:numPr>
          <w:ilvl w:val="0"/>
          <w:numId w:val="4"/>
        </w:numPr>
        <w:rPr>
          <w:rFonts w:ascii="Arial" w:hAnsi="Arial" w:cs="Arial"/>
          <w:sz w:val="22"/>
          <w:szCs w:val="22"/>
        </w:rPr>
      </w:pPr>
      <w:r w:rsidRPr="0041230E">
        <w:rPr>
          <w:rFonts w:ascii="Arial" w:hAnsi="Arial" w:cs="Arial"/>
          <w:sz w:val="22"/>
          <w:szCs w:val="22"/>
        </w:rPr>
        <w:t>I have had an opportunity to ask questions and I am satisfied with the answers I have received.</w:t>
      </w:r>
    </w:p>
    <w:p w14:paraId="539EBDF3" w14:textId="77777777" w:rsidR="0041230E" w:rsidRPr="0041230E" w:rsidRDefault="0041230E" w:rsidP="0041230E">
      <w:pPr>
        <w:rPr>
          <w:rFonts w:ascii="Arial" w:hAnsi="Arial" w:cs="Arial"/>
          <w:sz w:val="22"/>
          <w:szCs w:val="22"/>
        </w:rPr>
      </w:pPr>
    </w:p>
    <w:p w14:paraId="1AB7DACF" w14:textId="37BC5516" w:rsidR="00A013C9" w:rsidRDefault="00A013C9" w:rsidP="00970810">
      <w:pPr>
        <w:pStyle w:val="ListParagraph"/>
        <w:numPr>
          <w:ilvl w:val="0"/>
          <w:numId w:val="4"/>
        </w:numPr>
        <w:rPr>
          <w:rFonts w:ascii="Arial" w:hAnsi="Arial" w:cs="Arial"/>
          <w:sz w:val="22"/>
          <w:szCs w:val="22"/>
        </w:rPr>
      </w:pPr>
      <w:r w:rsidRPr="0041230E">
        <w:rPr>
          <w:rFonts w:ascii="Arial" w:hAnsi="Arial" w:cs="Arial"/>
          <w:sz w:val="22"/>
          <w:szCs w:val="22"/>
        </w:rPr>
        <w:t xml:space="preserve">I freely agree to my participating in this research </w:t>
      </w:r>
      <w:r w:rsidR="00970810" w:rsidRPr="0041230E">
        <w:rPr>
          <w:rFonts w:ascii="Arial" w:hAnsi="Arial" w:cs="Arial"/>
          <w:sz w:val="22"/>
          <w:szCs w:val="22"/>
        </w:rPr>
        <w:t>study</w:t>
      </w:r>
      <w:r w:rsidRPr="0041230E">
        <w:rPr>
          <w:rFonts w:ascii="Arial" w:hAnsi="Arial" w:cs="Arial"/>
          <w:sz w:val="22"/>
          <w:szCs w:val="22"/>
        </w:rPr>
        <w:t xml:space="preserve"> as described and understand that I am free to withdraw at any time during the research </w:t>
      </w:r>
      <w:r w:rsidR="00970810" w:rsidRPr="0041230E">
        <w:rPr>
          <w:rFonts w:ascii="Arial" w:hAnsi="Arial" w:cs="Arial"/>
          <w:sz w:val="22"/>
          <w:szCs w:val="22"/>
        </w:rPr>
        <w:t>study</w:t>
      </w:r>
      <w:r w:rsidRPr="0041230E">
        <w:rPr>
          <w:rFonts w:ascii="Arial" w:hAnsi="Arial" w:cs="Arial"/>
          <w:sz w:val="22"/>
          <w:szCs w:val="22"/>
        </w:rPr>
        <w:t xml:space="preserve"> without affecting </w:t>
      </w:r>
      <w:r w:rsidR="00970810" w:rsidRPr="0041230E">
        <w:rPr>
          <w:rFonts w:ascii="Arial" w:hAnsi="Arial" w:cs="Arial"/>
          <w:sz w:val="22"/>
          <w:szCs w:val="22"/>
        </w:rPr>
        <w:t xml:space="preserve">my future health care but also understand that my information may be unable to be withdrawn if it has been used in </w:t>
      </w:r>
      <w:r w:rsidR="0041230E" w:rsidRPr="0041230E">
        <w:rPr>
          <w:rFonts w:ascii="Arial" w:hAnsi="Arial" w:cs="Arial"/>
          <w:sz w:val="22"/>
          <w:szCs w:val="22"/>
        </w:rPr>
        <w:t xml:space="preserve">the </w:t>
      </w:r>
      <w:r w:rsidR="00970810" w:rsidRPr="0041230E">
        <w:rPr>
          <w:rFonts w:ascii="Arial" w:hAnsi="Arial" w:cs="Arial"/>
          <w:sz w:val="22"/>
          <w:szCs w:val="22"/>
        </w:rPr>
        <w:t xml:space="preserve">presentation of </w:t>
      </w:r>
      <w:r w:rsidR="0041230E" w:rsidRPr="0041230E">
        <w:rPr>
          <w:rFonts w:ascii="Arial" w:hAnsi="Arial" w:cs="Arial"/>
          <w:sz w:val="22"/>
          <w:szCs w:val="22"/>
        </w:rPr>
        <w:t>study</w:t>
      </w:r>
      <w:r w:rsidR="00970810" w:rsidRPr="0041230E">
        <w:rPr>
          <w:rFonts w:ascii="Arial" w:hAnsi="Arial" w:cs="Arial"/>
          <w:sz w:val="22"/>
          <w:szCs w:val="22"/>
        </w:rPr>
        <w:t xml:space="preserve"> data in medical journals or at meetings</w:t>
      </w:r>
      <w:r w:rsidR="0041230E">
        <w:rPr>
          <w:rFonts w:ascii="Arial" w:hAnsi="Arial" w:cs="Arial"/>
          <w:sz w:val="22"/>
          <w:szCs w:val="22"/>
        </w:rPr>
        <w:t xml:space="preserve"> before I notify the study doctor of my request to withdraw</w:t>
      </w:r>
      <w:r w:rsidR="00970810" w:rsidRPr="0041230E">
        <w:rPr>
          <w:rFonts w:ascii="Arial" w:hAnsi="Arial" w:cs="Arial"/>
          <w:sz w:val="22"/>
          <w:szCs w:val="22"/>
        </w:rPr>
        <w:t>.</w:t>
      </w:r>
    </w:p>
    <w:p w14:paraId="6ECBC908" w14:textId="77777777" w:rsidR="0041230E" w:rsidRPr="0041230E" w:rsidRDefault="0041230E" w:rsidP="0041230E">
      <w:pPr>
        <w:rPr>
          <w:rFonts w:ascii="Arial" w:hAnsi="Arial" w:cs="Arial"/>
          <w:sz w:val="22"/>
          <w:szCs w:val="22"/>
        </w:rPr>
      </w:pPr>
    </w:p>
    <w:p w14:paraId="1A51F0F9" w14:textId="39731F19" w:rsidR="00A013C9" w:rsidRPr="0041230E" w:rsidRDefault="00A013C9" w:rsidP="00970810">
      <w:pPr>
        <w:pStyle w:val="ListParagraph"/>
        <w:numPr>
          <w:ilvl w:val="0"/>
          <w:numId w:val="4"/>
        </w:numPr>
        <w:rPr>
          <w:rFonts w:ascii="Arial" w:hAnsi="Arial" w:cs="Arial"/>
          <w:sz w:val="22"/>
          <w:szCs w:val="22"/>
        </w:rPr>
      </w:pPr>
      <w:r w:rsidRPr="0041230E">
        <w:rPr>
          <w:rFonts w:ascii="Arial" w:hAnsi="Arial" w:cs="Arial"/>
          <w:sz w:val="22"/>
          <w:szCs w:val="22"/>
        </w:rPr>
        <w:t xml:space="preserve">I understand that I will be given a signed copy of this </w:t>
      </w:r>
      <w:r w:rsidR="0041230E">
        <w:rPr>
          <w:rFonts w:ascii="Arial" w:hAnsi="Arial" w:cs="Arial"/>
          <w:sz w:val="22"/>
          <w:szCs w:val="22"/>
        </w:rPr>
        <w:t>consent form</w:t>
      </w:r>
      <w:r w:rsidRPr="0041230E">
        <w:rPr>
          <w:rFonts w:ascii="Arial" w:hAnsi="Arial" w:cs="Arial"/>
          <w:sz w:val="22"/>
          <w:szCs w:val="22"/>
        </w:rPr>
        <w:t xml:space="preserve"> to keep.</w:t>
      </w:r>
    </w:p>
    <w:p w14:paraId="549635A8" w14:textId="77777777" w:rsidR="00A013C9" w:rsidRPr="0041230E" w:rsidRDefault="00A013C9" w:rsidP="00A013C9">
      <w:pPr>
        <w:rPr>
          <w:rFonts w:ascii="Arial" w:hAnsi="Arial" w:cs="Arial"/>
          <w:b/>
          <w:i/>
          <w:sz w:val="22"/>
          <w:szCs w:val="22"/>
          <w:u w:val="single"/>
        </w:rPr>
      </w:pPr>
    </w:p>
    <w:p w14:paraId="21954686" w14:textId="746500CF" w:rsidR="00A013C9" w:rsidRPr="0041230E" w:rsidRDefault="00A013C9" w:rsidP="00A013C9">
      <w:pPr>
        <w:rPr>
          <w:rFonts w:ascii="Arial" w:hAnsi="Arial" w:cs="Arial"/>
          <w:b/>
          <w:i/>
          <w:sz w:val="22"/>
          <w:szCs w:val="22"/>
          <w:u w:val="single"/>
        </w:rPr>
      </w:pPr>
      <w:r w:rsidRPr="0041230E">
        <w:rPr>
          <w:rFonts w:ascii="Arial" w:hAnsi="Arial" w:cs="Arial"/>
          <w:b/>
          <w:i/>
          <w:sz w:val="22"/>
          <w:szCs w:val="22"/>
          <w:u w:val="single"/>
        </w:rPr>
        <w:t xml:space="preserve">Please </w:t>
      </w:r>
      <w:r w:rsidR="00970810" w:rsidRPr="0041230E">
        <w:rPr>
          <w:rFonts w:ascii="Arial" w:hAnsi="Arial" w:cs="Arial"/>
          <w:b/>
          <w:i/>
          <w:sz w:val="22"/>
          <w:szCs w:val="22"/>
          <w:u w:val="single"/>
        </w:rPr>
        <w:t>print unless a signature is requested</w:t>
      </w:r>
    </w:p>
    <w:p w14:paraId="12667253" w14:textId="77777777" w:rsidR="00A013C9" w:rsidRPr="0041230E" w:rsidRDefault="00A013C9" w:rsidP="00A013C9">
      <w:pPr>
        <w:rPr>
          <w:rFonts w:ascii="Arial" w:hAnsi="Arial" w:cs="Arial"/>
          <w:sz w:val="22"/>
          <w:szCs w:val="22"/>
        </w:rPr>
      </w:pPr>
    </w:p>
    <w:tbl>
      <w:tblPr>
        <w:tblW w:w="963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6"/>
        <w:gridCol w:w="3098"/>
        <w:gridCol w:w="501"/>
        <w:gridCol w:w="3059"/>
        <w:gridCol w:w="540"/>
        <w:gridCol w:w="1646"/>
        <w:gridCol w:w="504"/>
      </w:tblGrid>
      <w:tr w:rsidR="00A013C9" w:rsidRPr="0041230E" w14:paraId="3EDC18D7" w14:textId="77777777" w:rsidTr="0006220F">
        <w:trPr>
          <w:trHeight w:hRule="exact" w:val="255"/>
        </w:trPr>
        <w:tc>
          <w:tcPr>
            <w:tcW w:w="286" w:type="dxa"/>
            <w:tcBorders>
              <w:top w:val="single" w:sz="4" w:space="0" w:color="auto"/>
            </w:tcBorders>
          </w:tcPr>
          <w:p w14:paraId="7F3CA41A" w14:textId="77777777" w:rsidR="00A013C9" w:rsidRPr="0041230E" w:rsidRDefault="00A013C9" w:rsidP="0006220F">
            <w:pPr>
              <w:tabs>
                <w:tab w:val="left" w:pos="5400"/>
              </w:tabs>
              <w:ind w:left="-113" w:right="-113"/>
              <w:rPr>
                <w:rFonts w:ascii="Arial" w:hAnsi="Arial" w:cs="Arial"/>
                <w:sz w:val="22"/>
                <w:szCs w:val="22"/>
              </w:rPr>
            </w:pPr>
          </w:p>
        </w:tc>
        <w:tc>
          <w:tcPr>
            <w:tcW w:w="3098" w:type="dxa"/>
            <w:tcBorders>
              <w:top w:val="single" w:sz="4" w:space="0" w:color="auto"/>
            </w:tcBorders>
          </w:tcPr>
          <w:p w14:paraId="5470845D" w14:textId="77777777" w:rsidR="00A013C9" w:rsidRPr="0041230E" w:rsidRDefault="00A013C9" w:rsidP="0006220F">
            <w:pPr>
              <w:tabs>
                <w:tab w:val="left" w:pos="5400"/>
              </w:tabs>
              <w:ind w:left="-113" w:right="-113"/>
              <w:rPr>
                <w:rFonts w:ascii="Arial" w:hAnsi="Arial" w:cs="Arial"/>
                <w:sz w:val="22"/>
                <w:szCs w:val="22"/>
              </w:rPr>
            </w:pPr>
          </w:p>
        </w:tc>
        <w:tc>
          <w:tcPr>
            <w:tcW w:w="5746" w:type="dxa"/>
            <w:gridSpan w:val="4"/>
            <w:tcBorders>
              <w:top w:val="single" w:sz="4" w:space="0" w:color="auto"/>
            </w:tcBorders>
          </w:tcPr>
          <w:p w14:paraId="7B92B47B" w14:textId="77777777" w:rsidR="00A013C9" w:rsidRPr="0041230E" w:rsidRDefault="00A013C9" w:rsidP="0006220F">
            <w:pPr>
              <w:tabs>
                <w:tab w:val="left" w:pos="5400"/>
              </w:tabs>
              <w:ind w:left="-113" w:right="-113"/>
              <w:rPr>
                <w:rFonts w:ascii="Arial" w:hAnsi="Arial" w:cs="Arial"/>
                <w:sz w:val="22"/>
                <w:szCs w:val="22"/>
              </w:rPr>
            </w:pPr>
          </w:p>
        </w:tc>
        <w:tc>
          <w:tcPr>
            <w:tcW w:w="504" w:type="dxa"/>
            <w:tcBorders>
              <w:top w:val="single" w:sz="4" w:space="0" w:color="auto"/>
            </w:tcBorders>
          </w:tcPr>
          <w:p w14:paraId="4622C493" w14:textId="77777777" w:rsidR="00A013C9" w:rsidRPr="0041230E" w:rsidRDefault="00A013C9" w:rsidP="0006220F">
            <w:pPr>
              <w:tabs>
                <w:tab w:val="left" w:pos="5400"/>
              </w:tabs>
              <w:ind w:left="-113" w:right="-113"/>
              <w:rPr>
                <w:rFonts w:ascii="Arial" w:hAnsi="Arial" w:cs="Arial"/>
                <w:sz w:val="22"/>
                <w:szCs w:val="22"/>
              </w:rPr>
            </w:pPr>
          </w:p>
        </w:tc>
      </w:tr>
      <w:tr w:rsidR="00A013C9" w:rsidRPr="0041230E" w14:paraId="2FE97562" w14:textId="77777777" w:rsidTr="00970810">
        <w:trPr>
          <w:trHeight w:hRule="exact" w:val="629"/>
        </w:trPr>
        <w:tc>
          <w:tcPr>
            <w:tcW w:w="286" w:type="dxa"/>
            <w:vAlign w:val="bottom"/>
          </w:tcPr>
          <w:p w14:paraId="12D1B5EA" w14:textId="77777777" w:rsidR="00A013C9" w:rsidRPr="0041230E" w:rsidRDefault="00A013C9" w:rsidP="0006220F">
            <w:pPr>
              <w:tabs>
                <w:tab w:val="left" w:pos="5400"/>
              </w:tabs>
              <w:ind w:left="-113" w:right="-113"/>
              <w:rPr>
                <w:rFonts w:ascii="Arial" w:hAnsi="Arial" w:cs="Arial"/>
                <w:sz w:val="22"/>
                <w:szCs w:val="22"/>
              </w:rPr>
            </w:pPr>
          </w:p>
        </w:tc>
        <w:tc>
          <w:tcPr>
            <w:tcW w:w="3599" w:type="dxa"/>
            <w:gridSpan w:val="2"/>
            <w:vAlign w:val="bottom"/>
          </w:tcPr>
          <w:p w14:paraId="123C7EF8" w14:textId="4F18F6F2" w:rsidR="00A013C9" w:rsidRPr="0041230E" w:rsidRDefault="00970810" w:rsidP="0006220F">
            <w:pPr>
              <w:tabs>
                <w:tab w:val="left" w:pos="5400"/>
              </w:tabs>
              <w:ind w:left="-113" w:right="-113"/>
              <w:rPr>
                <w:rFonts w:ascii="Arial" w:hAnsi="Arial" w:cs="Arial"/>
                <w:sz w:val="22"/>
                <w:szCs w:val="22"/>
              </w:rPr>
            </w:pPr>
            <w:r w:rsidRPr="0041230E">
              <w:rPr>
                <w:rFonts w:ascii="Arial" w:hAnsi="Arial" w:cs="Arial"/>
                <w:sz w:val="22"/>
                <w:szCs w:val="22"/>
              </w:rPr>
              <w:t xml:space="preserve">Name of Participant </w:t>
            </w:r>
            <w:r w:rsidR="0041230E">
              <w:rPr>
                <w:rFonts w:ascii="Arial" w:hAnsi="Arial" w:cs="Arial"/>
                <w:sz w:val="22"/>
                <w:szCs w:val="22"/>
              </w:rPr>
              <w:t>and/</w:t>
            </w:r>
            <w:r w:rsidRPr="0041230E">
              <w:rPr>
                <w:rFonts w:ascii="Arial" w:hAnsi="Arial" w:cs="Arial"/>
                <w:sz w:val="22"/>
                <w:szCs w:val="22"/>
              </w:rPr>
              <w:t xml:space="preserve">or Parent/Guardian  </w:t>
            </w:r>
          </w:p>
        </w:tc>
        <w:tc>
          <w:tcPr>
            <w:tcW w:w="5245" w:type="dxa"/>
            <w:gridSpan w:val="3"/>
            <w:tcBorders>
              <w:bottom w:val="single" w:sz="4" w:space="0" w:color="auto"/>
            </w:tcBorders>
            <w:vAlign w:val="bottom"/>
          </w:tcPr>
          <w:p w14:paraId="35DFA2F9" w14:textId="77777777" w:rsidR="00A013C9" w:rsidRPr="0041230E" w:rsidRDefault="00A013C9" w:rsidP="0006220F">
            <w:pPr>
              <w:tabs>
                <w:tab w:val="left" w:pos="5400"/>
              </w:tabs>
              <w:ind w:left="-113" w:right="-113"/>
              <w:rPr>
                <w:rFonts w:ascii="Arial" w:hAnsi="Arial" w:cs="Arial"/>
                <w:sz w:val="22"/>
                <w:szCs w:val="22"/>
              </w:rPr>
            </w:pPr>
          </w:p>
        </w:tc>
        <w:tc>
          <w:tcPr>
            <w:tcW w:w="504" w:type="dxa"/>
            <w:vAlign w:val="bottom"/>
          </w:tcPr>
          <w:p w14:paraId="5F7BEABE" w14:textId="77777777" w:rsidR="00A013C9" w:rsidRPr="0041230E" w:rsidRDefault="00A013C9" w:rsidP="0006220F">
            <w:pPr>
              <w:tabs>
                <w:tab w:val="left" w:pos="5400"/>
              </w:tabs>
              <w:ind w:left="-113" w:right="-113"/>
              <w:rPr>
                <w:rFonts w:ascii="Arial" w:hAnsi="Arial" w:cs="Arial"/>
                <w:sz w:val="22"/>
                <w:szCs w:val="22"/>
              </w:rPr>
            </w:pPr>
          </w:p>
        </w:tc>
      </w:tr>
      <w:tr w:rsidR="00A013C9" w:rsidRPr="0041230E" w14:paraId="1B453F13" w14:textId="77777777" w:rsidTr="0006220F">
        <w:trPr>
          <w:trHeight w:hRule="exact" w:val="255"/>
        </w:trPr>
        <w:tc>
          <w:tcPr>
            <w:tcW w:w="286" w:type="dxa"/>
            <w:vAlign w:val="bottom"/>
          </w:tcPr>
          <w:p w14:paraId="2A48FBD5" w14:textId="77777777" w:rsidR="00A013C9" w:rsidRPr="0041230E" w:rsidRDefault="00A013C9" w:rsidP="0006220F">
            <w:pPr>
              <w:tabs>
                <w:tab w:val="left" w:pos="5400"/>
              </w:tabs>
              <w:ind w:left="-113" w:right="-113"/>
              <w:rPr>
                <w:rFonts w:ascii="Arial" w:hAnsi="Arial" w:cs="Arial"/>
                <w:sz w:val="22"/>
                <w:szCs w:val="22"/>
              </w:rPr>
            </w:pPr>
          </w:p>
        </w:tc>
        <w:tc>
          <w:tcPr>
            <w:tcW w:w="3599" w:type="dxa"/>
            <w:gridSpan w:val="2"/>
            <w:vAlign w:val="bottom"/>
          </w:tcPr>
          <w:p w14:paraId="4CF1DBF1" w14:textId="77777777" w:rsidR="00A013C9" w:rsidRPr="0041230E" w:rsidRDefault="00A013C9" w:rsidP="0006220F">
            <w:pPr>
              <w:tabs>
                <w:tab w:val="left" w:pos="5400"/>
              </w:tabs>
              <w:ind w:left="-113" w:right="-113"/>
              <w:rPr>
                <w:rFonts w:ascii="Arial" w:hAnsi="Arial" w:cs="Arial"/>
                <w:sz w:val="22"/>
                <w:szCs w:val="22"/>
              </w:rPr>
            </w:pPr>
          </w:p>
        </w:tc>
        <w:tc>
          <w:tcPr>
            <w:tcW w:w="5245" w:type="dxa"/>
            <w:gridSpan w:val="3"/>
            <w:tcBorders>
              <w:top w:val="single" w:sz="4" w:space="0" w:color="auto"/>
              <w:bottom w:val="nil"/>
            </w:tcBorders>
            <w:vAlign w:val="bottom"/>
          </w:tcPr>
          <w:p w14:paraId="758F83EA" w14:textId="77777777" w:rsidR="00A013C9" w:rsidRPr="0041230E" w:rsidRDefault="00A013C9" w:rsidP="0006220F">
            <w:pPr>
              <w:tabs>
                <w:tab w:val="left" w:pos="5400"/>
              </w:tabs>
              <w:ind w:left="-113" w:right="-113"/>
              <w:rPr>
                <w:rFonts w:ascii="Arial" w:hAnsi="Arial" w:cs="Arial"/>
                <w:sz w:val="22"/>
                <w:szCs w:val="22"/>
              </w:rPr>
            </w:pPr>
          </w:p>
        </w:tc>
        <w:tc>
          <w:tcPr>
            <w:tcW w:w="504" w:type="dxa"/>
            <w:vAlign w:val="bottom"/>
          </w:tcPr>
          <w:p w14:paraId="1DC4A045" w14:textId="77777777" w:rsidR="00A013C9" w:rsidRPr="0041230E" w:rsidRDefault="00A013C9" w:rsidP="0006220F">
            <w:pPr>
              <w:tabs>
                <w:tab w:val="left" w:pos="5400"/>
              </w:tabs>
              <w:ind w:left="-113" w:right="-113"/>
              <w:rPr>
                <w:rFonts w:ascii="Arial" w:hAnsi="Arial" w:cs="Arial"/>
                <w:sz w:val="22"/>
                <w:szCs w:val="22"/>
              </w:rPr>
            </w:pPr>
          </w:p>
        </w:tc>
      </w:tr>
      <w:tr w:rsidR="00A013C9" w:rsidRPr="0041230E" w14:paraId="4E04A4BD" w14:textId="77777777" w:rsidTr="00970810">
        <w:trPr>
          <w:trHeight w:hRule="exact" w:val="584"/>
        </w:trPr>
        <w:tc>
          <w:tcPr>
            <w:tcW w:w="286" w:type="dxa"/>
          </w:tcPr>
          <w:p w14:paraId="4A9184BB" w14:textId="77777777" w:rsidR="00A013C9" w:rsidRPr="0041230E" w:rsidRDefault="00A013C9" w:rsidP="0006220F">
            <w:pPr>
              <w:tabs>
                <w:tab w:val="left" w:pos="5400"/>
              </w:tabs>
              <w:ind w:left="-113" w:right="-113"/>
              <w:rPr>
                <w:rFonts w:ascii="Arial" w:hAnsi="Arial" w:cs="Arial"/>
                <w:sz w:val="22"/>
                <w:szCs w:val="22"/>
              </w:rPr>
            </w:pPr>
          </w:p>
        </w:tc>
        <w:tc>
          <w:tcPr>
            <w:tcW w:w="3098" w:type="dxa"/>
          </w:tcPr>
          <w:p w14:paraId="4B9DE90D" w14:textId="29473E14" w:rsidR="00A013C9" w:rsidRPr="0041230E" w:rsidRDefault="00A013C9" w:rsidP="0006220F">
            <w:pPr>
              <w:tabs>
                <w:tab w:val="left" w:pos="5400"/>
              </w:tabs>
              <w:ind w:left="-113" w:right="-113"/>
              <w:rPr>
                <w:rFonts w:ascii="Arial" w:hAnsi="Arial" w:cs="Arial"/>
                <w:sz w:val="22"/>
                <w:szCs w:val="22"/>
              </w:rPr>
            </w:pPr>
            <w:r w:rsidRPr="0041230E">
              <w:rPr>
                <w:rFonts w:ascii="Arial" w:hAnsi="Arial" w:cs="Arial"/>
                <w:sz w:val="22"/>
                <w:szCs w:val="22"/>
              </w:rPr>
              <w:t xml:space="preserve">Signature of </w:t>
            </w:r>
            <w:r w:rsidR="00970810" w:rsidRPr="0041230E">
              <w:rPr>
                <w:rFonts w:ascii="Arial" w:hAnsi="Arial" w:cs="Arial"/>
                <w:sz w:val="22"/>
                <w:szCs w:val="22"/>
              </w:rPr>
              <w:t xml:space="preserve">Participant or </w:t>
            </w:r>
            <w:r w:rsidRPr="0041230E">
              <w:rPr>
                <w:rFonts w:ascii="Arial" w:hAnsi="Arial" w:cs="Arial"/>
                <w:sz w:val="22"/>
                <w:szCs w:val="22"/>
              </w:rPr>
              <w:t>Parent/Guardian</w:t>
            </w:r>
          </w:p>
        </w:tc>
        <w:tc>
          <w:tcPr>
            <w:tcW w:w="3560" w:type="dxa"/>
            <w:gridSpan w:val="2"/>
            <w:tcBorders>
              <w:top w:val="nil"/>
              <w:bottom w:val="single" w:sz="4" w:space="0" w:color="auto"/>
            </w:tcBorders>
          </w:tcPr>
          <w:p w14:paraId="04027FE1" w14:textId="77777777" w:rsidR="00A013C9" w:rsidRPr="0041230E" w:rsidRDefault="00A013C9" w:rsidP="0006220F">
            <w:pPr>
              <w:tabs>
                <w:tab w:val="left" w:pos="5400"/>
              </w:tabs>
              <w:ind w:left="-113" w:right="-113"/>
              <w:rPr>
                <w:rFonts w:ascii="Arial" w:hAnsi="Arial" w:cs="Arial"/>
                <w:sz w:val="22"/>
                <w:szCs w:val="22"/>
              </w:rPr>
            </w:pPr>
          </w:p>
        </w:tc>
        <w:tc>
          <w:tcPr>
            <w:tcW w:w="540" w:type="dxa"/>
          </w:tcPr>
          <w:p w14:paraId="6EF07A48" w14:textId="77777777" w:rsidR="00A013C9" w:rsidRPr="0041230E" w:rsidRDefault="00A013C9" w:rsidP="0006220F">
            <w:pPr>
              <w:tabs>
                <w:tab w:val="left" w:pos="5400"/>
              </w:tabs>
              <w:ind w:left="-113" w:right="-113"/>
              <w:jc w:val="right"/>
              <w:rPr>
                <w:rFonts w:ascii="Arial" w:hAnsi="Arial" w:cs="Arial"/>
                <w:sz w:val="22"/>
                <w:szCs w:val="22"/>
              </w:rPr>
            </w:pPr>
            <w:r w:rsidRPr="0041230E">
              <w:rPr>
                <w:rFonts w:ascii="Arial" w:hAnsi="Arial" w:cs="Arial"/>
                <w:sz w:val="22"/>
                <w:szCs w:val="22"/>
              </w:rPr>
              <w:t>Date</w:t>
            </w:r>
          </w:p>
        </w:tc>
        <w:tc>
          <w:tcPr>
            <w:tcW w:w="1646" w:type="dxa"/>
            <w:tcBorders>
              <w:top w:val="nil"/>
              <w:bottom w:val="single" w:sz="4" w:space="0" w:color="auto"/>
            </w:tcBorders>
          </w:tcPr>
          <w:p w14:paraId="1A90080E" w14:textId="77777777" w:rsidR="00A013C9" w:rsidRPr="0041230E" w:rsidRDefault="00A013C9" w:rsidP="0006220F">
            <w:pPr>
              <w:tabs>
                <w:tab w:val="left" w:pos="5400"/>
              </w:tabs>
              <w:ind w:left="-113" w:right="-113"/>
              <w:rPr>
                <w:rFonts w:ascii="Arial" w:hAnsi="Arial" w:cs="Arial"/>
                <w:sz w:val="22"/>
                <w:szCs w:val="22"/>
              </w:rPr>
            </w:pPr>
          </w:p>
        </w:tc>
        <w:tc>
          <w:tcPr>
            <w:tcW w:w="504" w:type="dxa"/>
          </w:tcPr>
          <w:p w14:paraId="2291CA25" w14:textId="77777777" w:rsidR="00A013C9" w:rsidRPr="0041230E" w:rsidRDefault="00A013C9" w:rsidP="0006220F">
            <w:pPr>
              <w:tabs>
                <w:tab w:val="left" w:pos="5400"/>
              </w:tabs>
              <w:ind w:left="-113" w:right="-113"/>
              <w:rPr>
                <w:rFonts w:ascii="Arial" w:hAnsi="Arial" w:cs="Arial"/>
                <w:sz w:val="22"/>
                <w:szCs w:val="22"/>
              </w:rPr>
            </w:pPr>
          </w:p>
        </w:tc>
      </w:tr>
      <w:tr w:rsidR="00A013C9" w:rsidRPr="0041230E" w14:paraId="20A07CD0" w14:textId="77777777" w:rsidTr="00970810">
        <w:trPr>
          <w:trHeight w:hRule="exact" w:val="73"/>
        </w:trPr>
        <w:tc>
          <w:tcPr>
            <w:tcW w:w="9634" w:type="dxa"/>
            <w:gridSpan w:val="7"/>
            <w:tcBorders>
              <w:bottom w:val="single" w:sz="4" w:space="0" w:color="auto"/>
            </w:tcBorders>
          </w:tcPr>
          <w:p w14:paraId="2330C273" w14:textId="77777777" w:rsidR="00A013C9" w:rsidRPr="0041230E" w:rsidRDefault="00A013C9" w:rsidP="0006220F">
            <w:pPr>
              <w:tabs>
                <w:tab w:val="left" w:pos="5400"/>
              </w:tabs>
              <w:ind w:left="-113" w:right="-113"/>
              <w:rPr>
                <w:rFonts w:ascii="Arial" w:hAnsi="Arial" w:cs="Arial"/>
                <w:sz w:val="22"/>
                <w:szCs w:val="22"/>
              </w:rPr>
            </w:pPr>
          </w:p>
        </w:tc>
      </w:tr>
    </w:tbl>
    <w:p w14:paraId="47E0F288" w14:textId="77777777" w:rsidR="00A013C9" w:rsidRPr="0041230E" w:rsidRDefault="00A013C9" w:rsidP="00A013C9">
      <w:pPr>
        <w:rPr>
          <w:rFonts w:ascii="Arial" w:hAnsi="Arial" w:cs="Arial"/>
          <w:sz w:val="22"/>
          <w:szCs w:val="22"/>
        </w:rPr>
      </w:pPr>
    </w:p>
    <w:p w14:paraId="5D5508DC" w14:textId="7AEF725C" w:rsidR="00A013C9" w:rsidRPr="0041230E" w:rsidRDefault="00A013C9" w:rsidP="00A013C9">
      <w:pPr>
        <w:rPr>
          <w:rFonts w:ascii="Arial" w:hAnsi="Arial" w:cs="Arial"/>
          <w:b/>
          <w:sz w:val="22"/>
          <w:szCs w:val="22"/>
          <w:u w:val="single"/>
          <w:vertAlign w:val="superscript"/>
        </w:rPr>
      </w:pPr>
      <w:r w:rsidRPr="0041230E">
        <w:rPr>
          <w:rFonts w:ascii="Arial" w:hAnsi="Arial" w:cs="Arial"/>
          <w:b/>
          <w:sz w:val="22"/>
          <w:szCs w:val="22"/>
          <w:u w:val="single"/>
        </w:rPr>
        <w:t>Dec</w:t>
      </w:r>
      <w:r w:rsidR="00970810" w:rsidRPr="0041230E">
        <w:rPr>
          <w:rFonts w:ascii="Arial" w:hAnsi="Arial" w:cs="Arial"/>
          <w:b/>
          <w:sz w:val="22"/>
          <w:szCs w:val="22"/>
          <w:u w:val="single"/>
        </w:rPr>
        <w:t>laration by Study Doctor</w:t>
      </w:r>
    </w:p>
    <w:p w14:paraId="2241D99C" w14:textId="0BC68679" w:rsidR="00A013C9" w:rsidRPr="0041230E" w:rsidRDefault="00A013C9" w:rsidP="00A013C9">
      <w:pPr>
        <w:rPr>
          <w:rFonts w:ascii="Arial" w:hAnsi="Arial" w:cs="Arial"/>
          <w:sz w:val="22"/>
          <w:szCs w:val="22"/>
        </w:rPr>
      </w:pPr>
      <w:r w:rsidRPr="0041230E">
        <w:rPr>
          <w:rFonts w:ascii="Arial" w:hAnsi="Arial" w:cs="Arial"/>
          <w:sz w:val="22"/>
          <w:szCs w:val="22"/>
        </w:rPr>
        <w:t xml:space="preserve">I have given a verbal explanation of the research </w:t>
      </w:r>
      <w:r w:rsidR="00970810" w:rsidRPr="0041230E">
        <w:rPr>
          <w:rFonts w:ascii="Arial" w:hAnsi="Arial" w:cs="Arial"/>
          <w:sz w:val="22"/>
          <w:szCs w:val="22"/>
        </w:rPr>
        <w:t>study</w:t>
      </w:r>
      <w:r w:rsidRPr="0041230E">
        <w:rPr>
          <w:rFonts w:ascii="Arial" w:hAnsi="Arial" w:cs="Arial"/>
          <w:sz w:val="22"/>
          <w:szCs w:val="22"/>
        </w:rPr>
        <w:t xml:space="preserve">, its </w:t>
      </w:r>
      <w:r w:rsidR="00970810" w:rsidRPr="0041230E">
        <w:rPr>
          <w:rFonts w:ascii="Arial" w:hAnsi="Arial" w:cs="Arial"/>
          <w:sz w:val="22"/>
          <w:szCs w:val="22"/>
        </w:rPr>
        <w:t>purposes, data sought and how privacy will be maintained</w:t>
      </w:r>
      <w:r w:rsidRPr="0041230E">
        <w:rPr>
          <w:rFonts w:ascii="Arial" w:hAnsi="Arial" w:cs="Arial"/>
          <w:sz w:val="22"/>
          <w:szCs w:val="22"/>
        </w:rPr>
        <w:t xml:space="preserve"> and I believe that the </w:t>
      </w:r>
      <w:r w:rsidR="00970810" w:rsidRPr="0041230E">
        <w:rPr>
          <w:rFonts w:ascii="Arial" w:hAnsi="Arial" w:cs="Arial"/>
          <w:sz w:val="22"/>
          <w:szCs w:val="22"/>
        </w:rPr>
        <w:t xml:space="preserve">participant or </w:t>
      </w:r>
      <w:r w:rsidRPr="0041230E">
        <w:rPr>
          <w:rFonts w:ascii="Arial" w:hAnsi="Arial" w:cs="Arial"/>
          <w:sz w:val="22"/>
          <w:szCs w:val="22"/>
        </w:rPr>
        <w:t>parent/guardian</w:t>
      </w:r>
      <w:r w:rsidR="0041230E">
        <w:rPr>
          <w:rFonts w:ascii="Arial" w:hAnsi="Arial" w:cs="Arial"/>
          <w:sz w:val="22"/>
          <w:szCs w:val="22"/>
        </w:rPr>
        <w:t xml:space="preserve"> and child</w:t>
      </w:r>
      <w:r w:rsidRPr="0041230E">
        <w:rPr>
          <w:rFonts w:ascii="Arial" w:hAnsi="Arial" w:cs="Arial"/>
          <w:sz w:val="22"/>
          <w:szCs w:val="22"/>
        </w:rPr>
        <w:t xml:space="preserve"> has understood that explanation.</w:t>
      </w:r>
    </w:p>
    <w:p w14:paraId="56AD4E51" w14:textId="77777777" w:rsidR="00970810" w:rsidRPr="0041230E" w:rsidRDefault="00970810" w:rsidP="00A013C9">
      <w:pPr>
        <w:rPr>
          <w:rFonts w:ascii="Arial" w:hAnsi="Arial" w:cs="Arial"/>
          <w:sz w:val="22"/>
          <w:szCs w:val="22"/>
        </w:rPr>
      </w:pPr>
    </w:p>
    <w:tbl>
      <w:tblPr>
        <w:tblW w:w="9634" w:type="dxa"/>
        <w:tblLook w:val="01E0" w:firstRow="1" w:lastRow="1" w:firstColumn="1" w:lastColumn="1" w:noHBand="0" w:noVBand="0"/>
      </w:tblPr>
      <w:tblGrid>
        <w:gridCol w:w="288"/>
        <w:gridCol w:w="1080"/>
        <w:gridCol w:w="1973"/>
        <w:gridCol w:w="1627"/>
        <w:gridCol w:w="568"/>
        <w:gridCol w:w="3572"/>
        <w:gridCol w:w="14"/>
        <w:gridCol w:w="512"/>
      </w:tblGrid>
      <w:tr w:rsidR="00A013C9" w:rsidRPr="0041230E" w14:paraId="3BF72983" w14:textId="77777777" w:rsidTr="0006220F">
        <w:trPr>
          <w:trHeight w:hRule="exact" w:val="170"/>
        </w:trPr>
        <w:tc>
          <w:tcPr>
            <w:tcW w:w="9634" w:type="dxa"/>
            <w:gridSpan w:val="8"/>
            <w:tcBorders>
              <w:top w:val="single" w:sz="4" w:space="0" w:color="auto"/>
              <w:left w:val="single" w:sz="4" w:space="0" w:color="auto"/>
              <w:right w:val="single" w:sz="4" w:space="0" w:color="auto"/>
            </w:tcBorders>
          </w:tcPr>
          <w:p w14:paraId="5345E88C" w14:textId="77777777" w:rsidR="00A013C9" w:rsidRPr="0041230E" w:rsidRDefault="00A013C9" w:rsidP="0006220F">
            <w:pPr>
              <w:ind w:left="-113" w:right="-113"/>
              <w:rPr>
                <w:rFonts w:ascii="Arial" w:hAnsi="Arial" w:cs="Arial"/>
                <w:sz w:val="22"/>
                <w:szCs w:val="22"/>
              </w:rPr>
            </w:pPr>
          </w:p>
        </w:tc>
      </w:tr>
      <w:tr w:rsidR="00A013C9" w:rsidRPr="0041230E" w14:paraId="00680A08" w14:textId="77777777" w:rsidTr="0006220F">
        <w:tc>
          <w:tcPr>
            <w:tcW w:w="288" w:type="dxa"/>
            <w:tcBorders>
              <w:left w:val="single" w:sz="4" w:space="0" w:color="auto"/>
            </w:tcBorders>
          </w:tcPr>
          <w:p w14:paraId="14005A96" w14:textId="77777777" w:rsidR="00A013C9" w:rsidRPr="0041230E" w:rsidRDefault="00A013C9" w:rsidP="0006220F">
            <w:pPr>
              <w:ind w:left="-113" w:right="-113"/>
              <w:rPr>
                <w:rFonts w:ascii="Arial" w:hAnsi="Arial" w:cs="Arial"/>
                <w:sz w:val="22"/>
                <w:szCs w:val="22"/>
              </w:rPr>
            </w:pPr>
          </w:p>
        </w:tc>
        <w:tc>
          <w:tcPr>
            <w:tcW w:w="3053" w:type="dxa"/>
            <w:gridSpan w:val="2"/>
          </w:tcPr>
          <w:p w14:paraId="6C9FF7B8" w14:textId="4C7042A4" w:rsidR="00A013C9" w:rsidRPr="0041230E" w:rsidRDefault="00970810" w:rsidP="0006220F">
            <w:pPr>
              <w:ind w:left="-113" w:right="-113"/>
              <w:rPr>
                <w:rFonts w:ascii="Arial" w:hAnsi="Arial" w:cs="Arial"/>
                <w:sz w:val="22"/>
                <w:szCs w:val="22"/>
              </w:rPr>
            </w:pPr>
            <w:r w:rsidRPr="0041230E">
              <w:rPr>
                <w:rFonts w:ascii="Arial" w:hAnsi="Arial" w:cs="Arial"/>
                <w:sz w:val="22"/>
                <w:szCs w:val="22"/>
              </w:rPr>
              <w:t>Name of Study Doctor</w:t>
            </w:r>
          </w:p>
          <w:p w14:paraId="4FEF35C5" w14:textId="08F3D7C9" w:rsidR="00A013C9" w:rsidRPr="0041230E" w:rsidRDefault="00A013C9" w:rsidP="00970810">
            <w:pPr>
              <w:ind w:left="-113" w:right="-113"/>
              <w:rPr>
                <w:rFonts w:ascii="Arial" w:hAnsi="Arial" w:cs="Arial"/>
                <w:sz w:val="22"/>
                <w:szCs w:val="22"/>
              </w:rPr>
            </w:pPr>
          </w:p>
        </w:tc>
        <w:tc>
          <w:tcPr>
            <w:tcW w:w="5767" w:type="dxa"/>
            <w:gridSpan w:val="3"/>
            <w:tcBorders>
              <w:bottom w:val="single" w:sz="4" w:space="0" w:color="auto"/>
            </w:tcBorders>
          </w:tcPr>
          <w:p w14:paraId="26EE9E02" w14:textId="77777777" w:rsidR="00A013C9" w:rsidRPr="0041230E" w:rsidRDefault="00A013C9" w:rsidP="0006220F">
            <w:pPr>
              <w:ind w:left="-113" w:right="-113"/>
              <w:rPr>
                <w:rFonts w:ascii="Arial" w:hAnsi="Arial" w:cs="Arial"/>
                <w:sz w:val="22"/>
                <w:szCs w:val="22"/>
              </w:rPr>
            </w:pPr>
          </w:p>
        </w:tc>
        <w:tc>
          <w:tcPr>
            <w:tcW w:w="526" w:type="dxa"/>
            <w:gridSpan w:val="2"/>
            <w:tcBorders>
              <w:right w:val="single" w:sz="4" w:space="0" w:color="auto"/>
            </w:tcBorders>
          </w:tcPr>
          <w:p w14:paraId="2B308B98" w14:textId="77777777" w:rsidR="00A013C9" w:rsidRPr="0041230E" w:rsidRDefault="00A013C9" w:rsidP="0006220F">
            <w:pPr>
              <w:ind w:left="-113" w:right="-113"/>
              <w:rPr>
                <w:rFonts w:ascii="Arial" w:hAnsi="Arial" w:cs="Arial"/>
                <w:sz w:val="22"/>
                <w:szCs w:val="22"/>
              </w:rPr>
            </w:pPr>
          </w:p>
        </w:tc>
      </w:tr>
      <w:tr w:rsidR="00A013C9" w:rsidRPr="0041230E" w14:paraId="07FA86AB" w14:textId="77777777" w:rsidTr="0006220F">
        <w:trPr>
          <w:trHeight w:hRule="exact" w:val="57"/>
        </w:trPr>
        <w:tc>
          <w:tcPr>
            <w:tcW w:w="9108" w:type="dxa"/>
            <w:gridSpan w:val="6"/>
            <w:tcBorders>
              <w:left w:val="single" w:sz="4" w:space="0" w:color="auto"/>
            </w:tcBorders>
          </w:tcPr>
          <w:p w14:paraId="32559725" w14:textId="77777777" w:rsidR="00A013C9" w:rsidRPr="0041230E" w:rsidRDefault="00A013C9" w:rsidP="0006220F">
            <w:pPr>
              <w:ind w:left="-113" w:right="-113"/>
              <w:rPr>
                <w:rFonts w:ascii="Arial" w:hAnsi="Arial" w:cs="Arial"/>
                <w:sz w:val="22"/>
                <w:szCs w:val="22"/>
              </w:rPr>
            </w:pPr>
          </w:p>
        </w:tc>
        <w:tc>
          <w:tcPr>
            <w:tcW w:w="526" w:type="dxa"/>
            <w:gridSpan w:val="2"/>
            <w:tcBorders>
              <w:right w:val="single" w:sz="4" w:space="0" w:color="auto"/>
            </w:tcBorders>
          </w:tcPr>
          <w:p w14:paraId="18942FCD" w14:textId="77777777" w:rsidR="00A013C9" w:rsidRPr="0041230E" w:rsidRDefault="00A013C9" w:rsidP="0006220F">
            <w:pPr>
              <w:ind w:left="-113" w:right="-113"/>
              <w:rPr>
                <w:rFonts w:ascii="Arial" w:hAnsi="Arial" w:cs="Arial"/>
                <w:sz w:val="22"/>
                <w:szCs w:val="22"/>
              </w:rPr>
            </w:pPr>
          </w:p>
        </w:tc>
      </w:tr>
      <w:tr w:rsidR="00A013C9" w:rsidRPr="0041230E" w14:paraId="6678276B" w14:textId="77777777" w:rsidTr="0006220F">
        <w:trPr>
          <w:trHeight w:hRule="exact" w:val="454"/>
        </w:trPr>
        <w:tc>
          <w:tcPr>
            <w:tcW w:w="288" w:type="dxa"/>
            <w:tcBorders>
              <w:left w:val="single" w:sz="4" w:space="0" w:color="auto"/>
            </w:tcBorders>
            <w:vAlign w:val="bottom"/>
          </w:tcPr>
          <w:p w14:paraId="310D14A1" w14:textId="77777777" w:rsidR="00A013C9" w:rsidRPr="0041230E" w:rsidRDefault="00A013C9" w:rsidP="0006220F">
            <w:pPr>
              <w:ind w:left="-113" w:right="-113"/>
              <w:rPr>
                <w:rFonts w:ascii="Arial" w:hAnsi="Arial" w:cs="Arial"/>
                <w:sz w:val="22"/>
                <w:szCs w:val="22"/>
              </w:rPr>
            </w:pPr>
          </w:p>
        </w:tc>
        <w:tc>
          <w:tcPr>
            <w:tcW w:w="1080" w:type="dxa"/>
            <w:vAlign w:val="bottom"/>
          </w:tcPr>
          <w:p w14:paraId="5DDD3B67" w14:textId="77777777" w:rsidR="00A013C9" w:rsidRPr="0041230E" w:rsidRDefault="00A013C9" w:rsidP="0006220F">
            <w:pPr>
              <w:ind w:left="-113" w:right="-113"/>
              <w:rPr>
                <w:rFonts w:ascii="Arial" w:hAnsi="Arial" w:cs="Arial"/>
                <w:sz w:val="22"/>
                <w:szCs w:val="22"/>
              </w:rPr>
            </w:pPr>
            <w:r w:rsidRPr="0041230E">
              <w:rPr>
                <w:rFonts w:ascii="Arial" w:hAnsi="Arial" w:cs="Arial"/>
                <w:sz w:val="22"/>
                <w:szCs w:val="22"/>
              </w:rPr>
              <w:t>Signature</w:t>
            </w:r>
          </w:p>
        </w:tc>
        <w:tc>
          <w:tcPr>
            <w:tcW w:w="3600" w:type="dxa"/>
            <w:gridSpan w:val="2"/>
            <w:tcBorders>
              <w:bottom w:val="single" w:sz="4" w:space="0" w:color="auto"/>
            </w:tcBorders>
            <w:vAlign w:val="bottom"/>
          </w:tcPr>
          <w:p w14:paraId="0B3CD33C" w14:textId="77777777" w:rsidR="00A013C9" w:rsidRPr="0041230E" w:rsidRDefault="00A013C9" w:rsidP="0006220F">
            <w:pPr>
              <w:ind w:left="-113" w:right="-113"/>
              <w:rPr>
                <w:rFonts w:ascii="Arial" w:hAnsi="Arial" w:cs="Arial"/>
                <w:sz w:val="22"/>
                <w:szCs w:val="22"/>
              </w:rPr>
            </w:pPr>
          </w:p>
        </w:tc>
        <w:tc>
          <w:tcPr>
            <w:tcW w:w="568" w:type="dxa"/>
            <w:vAlign w:val="bottom"/>
          </w:tcPr>
          <w:p w14:paraId="37805F18" w14:textId="77777777" w:rsidR="00A013C9" w:rsidRPr="0041230E" w:rsidRDefault="00A013C9" w:rsidP="0006220F">
            <w:pPr>
              <w:ind w:left="-113" w:right="-113"/>
              <w:rPr>
                <w:rFonts w:ascii="Arial" w:hAnsi="Arial" w:cs="Arial"/>
                <w:sz w:val="22"/>
                <w:szCs w:val="22"/>
              </w:rPr>
            </w:pPr>
            <w:r w:rsidRPr="0041230E">
              <w:rPr>
                <w:rFonts w:ascii="Arial" w:hAnsi="Arial" w:cs="Arial"/>
                <w:sz w:val="22"/>
                <w:szCs w:val="22"/>
              </w:rPr>
              <w:t xml:space="preserve"> Date</w:t>
            </w:r>
          </w:p>
        </w:tc>
        <w:tc>
          <w:tcPr>
            <w:tcW w:w="3586" w:type="dxa"/>
            <w:gridSpan w:val="2"/>
            <w:tcBorders>
              <w:bottom w:val="single" w:sz="4" w:space="0" w:color="auto"/>
            </w:tcBorders>
            <w:vAlign w:val="bottom"/>
          </w:tcPr>
          <w:p w14:paraId="52CCDB55" w14:textId="77777777" w:rsidR="00A013C9" w:rsidRPr="0041230E" w:rsidRDefault="00A013C9" w:rsidP="0006220F">
            <w:pPr>
              <w:ind w:left="-113" w:right="-113"/>
              <w:rPr>
                <w:rFonts w:ascii="Arial" w:hAnsi="Arial" w:cs="Arial"/>
                <w:sz w:val="22"/>
                <w:szCs w:val="22"/>
              </w:rPr>
            </w:pPr>
          </w:p>
        </w:tc>
        <w:tc>
          <w:tcPr>
            <w:tcW w:w="512" w:type="dxa"/>
            <w:tcBorders>
              <w:right w:val="single" w:sz="4" w:space="0" w:color="auto"/>
            </w:tcBorders>
            <w:vAlign w:val="bottom"/>
          </w:tcPr>
          <w:p w14:paraId="18072DE3" w14:textId="77777777" w:rsidR="00A013C9" w:rsidRPr="0041230E" w:rsidRDefault="00A013C9" w:rsidP="0006220F">
            <w:pPr>
              <w:ind w:left="-113" w:right="-113"/>
              <w:rPr>
                <w:rFonts w:ascii="Arial" w:hAnsi="Arial" w:cs="Arial"/>
                <w:sz w:val="22"/>
                <w:szCs w:val="22"/>
              </w:rPr>
            </w:pPr>
          </w:p>
        </w:tc>
      </w:tr>
      <w:tr w:rsidR="00A013C9" w14:paraId="01EEDE4D" w14:textId="77777777" w:rsidTr="0006220F">
        <w:trPr>
          <w:trHeight w:hRule="exact" w:val="170"/>
        </w:trPr>
        <w:tc>
          <w:tcPr>
            <w:tcW w:w="9634" w:type="dxa"/>
            <w:gridSpan w:val="8"/>
            <w:tcBorders>
              <w:left w:val="single" w:sz="4" w:space="0" w:color="auto"/>
              <w:bottom w:val="single" w:sz="4" w:space="0" w:color="auto"/>
              <w:right w:val="single" w:sz="4" w:space="0" w:color="auto"/>
            </w:tcBorders>
          </w:tcPr>
          <w:p w14:paraId="2A8D186D" w14:textId="77777777" w:rsidR="00A013C9" w:rsidRDefault="00A013C9" w:rsidP="0006220F">
            <w:pPr>
              <w:ind w:left="-113" w:right="-113"/>
              <w:rPr>
                <w:rFonts w:cs="Arial"/>
              </w:rPr>
            </w:pPr>
          </w:p>
        </w:tc>
      </w:tr>
    </w:tbl>
    <w:p w14:paraId="4281EE5F" w14:textId="4D6CFD0A" w:rsidR="008D6F37" w:rsidRPr="0097344F" w:rsidRDefault="008D6F37" w:rsidP="00712CC9">
      <w:pPr>
        <w:rPr>
          <w:rFonts w:ascii="Arial" w:hAnsi="Arial" w:cs="Arial"/>
          <w:sz w:val="22"/>
          <w:szCs w:val="22"/>
          <w:lang w:val="en-AU"/>
        </w:rPr>
      </w:pPr>
    </w:p>
    <w:sectPr w:rsidR="008D6F37" w:rsidRPr="0097344F" w:rsidSect="00E850E4">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221DFE" w14:textId="77777777" w:rsidR="00443779" w:rsidRDefault="00443779" w:rsidP="00F9149C">
      <w:r>
        <w:separator/>
      </w:r>
    </w:p>
  </w:endnote>
  <w:endnote w:type="continuationSeparator" w:id="0">
    <w:p w14:paraId="16D25285" w14:textId="77777777" w:rsidR="00443779" w:rsidRDefault="00443779" w:rsidP="00F91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6738232"/>
      <w:docPartObj>
        <w:docPartGallery w:val="Page Numbers (Bottom of Page)"/>
        <w:docPartUnique/>
      </w:docPartObj>
    </w:sdtPr>
    <w:sdtEndPr/>
    <w:sdtContent>
      <w:sdt>
        <w:sdtPr>
          <w:id w:val="860082579"/>
          <w:docPartObj>
            <w:docPartGallery w:val="Page Numbers (Top of Page)"/>
            <w:docPartUnique/>
          </w:docPartObj>
        </w:sdtPr>
        <w:sdtEndPr/>
        <w:sdtContent>
          <w:p w14:paraId="5ADC4627" w14:textId="54A48CEA" w:rsidR="00EA1C82" w:rsidRDefault="00EA1C82" w:rsidP="00EA1C82">
            <w:pPr>
              <w:pStyle w:val="Footer"/>
              <w:tabs>
                <w:tab w:val="clear" w:pos="4513"/>
                <w:tab w:val="clear" w:pos="9026"/>
                <w:tab w:val="left" w:pos="7655"/>
              </w:tabs>
            </w:pPr>
            <w:r>
              <w:t xml:space="preserve">The OBSERVE </w:t>
            </w:r>
            <w:r w:rsidR="00CA5FB1">
              <w:t xml:space="preserve">CF </w:t>
            </w:r>
            <w:r>
              <w:t xml:space="preserve">Study Protocol Version </w:t>
            </w:r>
            <w:r w:rsidR="001D6F6B">
              <w:t>2</w:t>
            </w:r>
            <w:r>
              <w:t xml:space="preserve">.0 Dated </w:t>
            </w:r>
            <w:r w:rsidR="001D6F6B">
              <w:t>22/3/2018</w:t>
            </w:r>
            <w:r>
              <w:tab/>
              <w:t xml:space="preserve">Page </w:t>
            </w:r>
            <w:r>
              <w:rPr>
                <w:b/>
                <w:bCs/>
              </w:rPr>
              <w:fldChar w:fldCharType="begin"/>
            </w:r>
            <w:r>
              <w:rPr>
                <w:b/>
                <w:bCs/>
              </w:rPr>
              <w:instrText xml:space="preserve"> PAGE </w:instrText>
            </w:r>
            <w:r>
              <w:rPr>
                <w:b/>
                <w:bCs/>
              </w:rPr>
              <w:fldChar w:fldCharType="separate"/>
            </w:r>
            <w:r w:rsidR="002E5FCF">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2E5FCF">
              <w:rPr>
                <w:b/>
                <w:bCs/>
                <w:noProof/>
              </w:rPr>
              <w:t>7</w:t>
            </w:r>
            <w:r>
              <w:rPr>
                <w:b/>
                <w:bCs/>
              </w:rPr>
              <w:fldChar w:fldCharType="end"/>
            </w:r>
          </w:p>
        </w:sdtContent>
      </w:sdt>
    </w:sdtContent>
  </w:sdt>
  <w:p w14:paraId="7957C641" w14:textId="77777777" w:rsidR="00F9149C" w:rsidRDefault="00F914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4C34BA" w14:textId="77777777" w:rsidR="00443779" w:rsidRDefault="00443779" w:rsidP="00F9149C">
      <w:r>
        <w:separator/>
      </w:r>
    </w:p>
  </w:footnote>
  <w:footnote w:type="continuationSeparator" w:id="0">
    <w:p w14:paraId="7837E697" w14:textId="77777777" w:rsidR="00443779" w:rsidRDefault="00443779" w:rsidP="00F914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03788"/>
    <w:multiLevelType w:val="hybridMultilevel"/>
    <w:tmpl w:val="5C2C9AD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6B6552"/>
    <w:multiLevelType w:val="hybridMultilevel"/>
    <w:tmpl w:val="8F4AAEF6"/>
    <w:lvl w:ilvl="0" w:tplc="2B689AD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DB0182"/>
    <w:multiLevelType w:val="hybridMultilevel"/>
    <w:tmpl w:val="2D2EA16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65549F"/>
    <w:multiLevelType w:val="hybridMultilevel"/>
    <w:tmpl w:val="56E8703E"/>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4" w15:restartNumberingAfterBreak="0">
    <w:nsid w:val="2A595130"/>
    <w:multiLevelType w:val="hybridMultilevel"/>
    <w:tmpl w:val="B2AE3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3"/>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MJ&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712CC9"/>
    <w:rsid w:val="00060A47"/>
    <w:rsid w:val="000675D7"/>
    <w:rsid w:val="00092398"/>
    <w:rsid w:val="000A6A68"/>
    <w:rsid w:val="000E0F96"/>
    <w:rsid w:val="000E32CC"/>
    <w:rsid w:val="001223FC"/>
    <w:rsid w:val="00173072"/>
    <w:rsid w:val="001838BE"/>
    <w:rsid w:val="001A1521"/>
    <w:rsid w:val="001D6F6B"/>
    <w:rsid w:val="001D72AC"/>
    <w:rsid w:val="001E65DE"/>
    <w:rsid w:val="00213FB9"/>
    <w:rsid w:val="00285155"/>
    <w:rsid w:val="002B4D0D"/>
    <w:rsid w:val="002C0C46"/>
    <w:rsid w:val="002E5FCF"/>
    <w:rsid w:val="00317364"/>
    <w:rsid w:val="00347AD4"/>
    <w:rsid w:val="003D0089"/>
    <w:rsid w:val="003F684A"/>
    <w:rsid w:val="0041230E"/>
    <w:rsid w:val="00427D5A"/>
    <w:rsid w:val="004307E0"/>
    <w:rsid w:val="00434335"/>
    <w:rsid w:val="00443779"/>
    <w:rsid w:val="00443D3F"/>
    <w:rsid w:val="00465315"/>
    <w:rsid w:val="00495C69"/>
    <w:rsid w:val="004B4F23"/>
    <w:rsid w:val="004C6417"/>
    <w:rsid w:val="005032C8"/>
    <w:rsid w:val="005109DD"/>
    <w:rsid w:val="0052093B"/>
    <w:rsid w:val="00552745"/>
    <w:rsid w:val="00583AF4"/>
    <w:rsid w:val="00590F80"/>
    <w:rsid w:val="005B4489"/>
    <w:rsid w:val="005D117A"/>
    <w:rsid w:val="005F3141"/>
    <w:rsid w:val="005F4C33"/>
    <w:rsid w:val="00610EC6"/>
    <w:rsid w:val="0062022F"/>
    <w:rsid w:val="00631A15"/>
    <w:rsid w:val="0063266E"/>
    <w:rsid w:val="00634826"/>
    <w:rsid w:val="00667A87"/>
    <w:rsid w:val="00675C80"/>
    <w:rsid w:val="006C1DBB"/>
    <w:rsid w:val="006D016B"/>
    <w:rsid w:val="006D7A79"/>
    <w:rsid w:val="00712CC9"/>
    <w:rsid w:val="0072777F"/>
    <w:rsid w:val="0073484F"/>
    <w:rsid w:val="007458EE"/>
    <w:rsid w:val="007478BB"/>
    <w:rsid w:val="00756E26"/>
    <w:rsid w:val="00790B3E"/>
    <w:rsid w:val="007D42EA"/>
    <w:rsid w:val="007F1825"/>
    <w:rsid w:val="007F273F"/>
    <w:rsid w:val="008258C3"/>
    <w:rsid w:val="00831E52"/>
    <w:rsid w:val="008404FA"/>
    <w:rsid w:val="00890F95"/>
    <w:rsid w:val="008A1422"/>
    <w:rsid w:val="008B2707"/>
    <w:rsid w:val="008D6F37"/>
    <w:rsid w:val="0092675B"/>
    <w:rsid w:val="00927D4B"/>
    <w:rsid w:val="00951988"/>
    <w:rsid w:val="009610E6"/>
    <w:rsid w:val="00963FBA"/>
    <w:rsid w:val="00970810"/>
    <w:rsid w:val="0097344F"/>
    <w:rsid w:val="009D3672"/>
    <w:rsid w:val="009E384C"/>
    <w:rsid w:val="00A013C9"/>
    <w:rsid w:val="00A1363D"/>
    <w:rsid w:val="00A45445"/>
    <w:rsid w:val="00A73BBB"/>
    <w:rsid w:val="00A93E97"/>
    <w:rsid w:val="00AD23B8"/>
    <w:rsid w:val="00AF67F9"/>
    <w:rsid w:val="00B0610E"/>
    <w:rsid w:val="00B27DE0"/>
    <w:rsid w:val="00B40398"/>
    <w:rsid w:val="00B560D3"/>
    <w:rsid w:val="00B6131E"/>
    <w:rsid w:val="00B776D5"/>
    <w:rsid w:val="00B87C4B"/>
    <w:rsid w:val="00BB581A"/>
    <w:rsid w:val="00BB7DD6"/>
    <w:rsid w:val="00BC33F1"/>
    <w:rsid w:val="00BE32C0"/>
    <w:rsid w:val="00CA5CC6"/>
    <w:rsid w:val="00CA5FB1"/>
    <w:rsid w:val="00CA7645"/>
    <w:rsid w:val="00CE33A3"/>
    <w:rsid w:val="00D044A8"/>
    <w:rsid w:val="00D40FCA"/>
    <w:rsid w:val="00DB31ED"/>
    <w:rsid w:val="00DB428A"/>
    <w:rsid w:val="00DC6C5D"/>
    <w:rsid w:val="00DD6A55"/>
    <w:rsid w:val="00E0765A"/>
    <w:rsid w:val="00E52366"/>
    <w:rsid w:val="00E6400B"/>
    <w:rsid w:val="00E850E4"/>
    <w:rsid w:val="00E92920"/>
    <w:rsid w:val="00E95E87"/>
    <w:rsid w:val="00EA1C82"/>
    <w:rsid w:val="00EB5CB5"/>
    <w:rsid w:val="00EC1497"/>
    <w:rsid w:val="00F11E17"/>
    <w:rsid w:val="00F9149C"/>
    <w:rsid w:val="00FA7735"/>
    <w:rsid w:val="00FB74A1"/>
    <w:rsid w:val="00FC266D"/>
    <w:rsid w:val="00FF6C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E6C09A"/>
  <w14:defaultImageDpi w14:val="32767"/>
  <w15:docId w15:val="{95B04F4F-72D4-214A-87B7-99A9C7AB3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2CC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95E87"/>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12CC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2CC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12CC9"/>
    <w:rPr>
      <w:rFonts w:asciiTheme="majorHAnsi" w:eastAsiaTheme="majorEastAsia" w:hAnsiTheme="majorHAnsi" w:cstheme="majorBidi"/>
      <w:color w:val="2F5496" w:themeColor="accent1" w:themeShade="BF"/>
      <w:sz w:val="32"/>
      <w:szCs w:val="32"/>
    </w:rPr>
  </w:style>
  <w:style w:type="paragraph" w:customStyle="1" w:styleId="EndNoteBibliographyTitle">
    <w:name w:val="EndNote Bibliography Title"/>
    <w:basedOn w:val="Normal"/>
    <w:rsid w:val="00285155"/>
    <w:pPr>
      <w:jc w:val="center"/>
    </w:pPr>
    <w:rPr>
      <w:rFonts w:ascii="Calibri" w:hAnsi="Calibri"/>
      <w:lang w:val="en-US"/>
    </w:rPr>
  </w:style>
  <w:style w:type="paragraph" w:customStyle="1" w:styleId="EndNoteBibliography">
    <w:name w:val="EndNote Bibliography"/>
    <w:basedOn w:val="Normal"/>
    <w:rsid w:val="00285155"/>
    <w:rPr>
      <w:rFonts w:ascii="Calibri" w:hAnsi="Calibri"/>
      <w:lang w:val="en-US"/>
    </w:rPr>
  </w:style>
  <w:style w:type="paragraph" w:styleId="ListParagraph">
    <w:name w:val="List Paragraph"/>
    <w:basedOn w:val="Normal"/>
    <w:uiPriority w:val="99"/>
    <w:qFormat/>
    <w:rsid w:val="00DB31ED"/>
    <w:pPr>
      <w:ind w:left="720"/>
      <w:contextualSpacing/>
    </w:pPr>
  </w:style>
  <w:style w:type="paragraph" w:styleId="BalloonText">
    <w:name w:val="Balloon Text"/>
    <w:basedOn w:val="Normal"/>
    <w:link w:val="BalloonTextChar"/>
    <w:uiPriority w:val="99"/>
    <w:semiHidden/>
    <w:unhideWhenUsed/>
    <w:rsid w:val="00552745"/>
    <w:rPr>
      <w:rFonts w:ascii="Tahoma" w:hAnsi="Tahoma" w:cs="Tahoma"/>
      <w:sz w:val="16"/>
      <w:szCs w:val="16"/>
    </w:rPr>
  </w:style>
  <w:style w:type="character" w:customStyle="1" w:styleId="BalloonTextChar">
    <w:name w:val="Balloon Text Char"/>
    <w:basedOn w:val="DefaultParagraphFont"/>
    <w:link w:val="BalloonText"/>
    <w:uiPriority w:val="99"/>
    <w:semiHidden/>
    <w:rsid w:val="00552745"/>
    <w:rPr>
      <w:rFonts w:ascii="Tahoma" w:hAnsi="Tahoma" w:cs="Tahoma"/>
      <w:sz w:val="16"/>
      <w:szCs w:val="16"/>
    </w:rPr>
  </w:style>
  <w:style w:type="character" w:styleId="CommentReference">
    <w:name w:val="annotation reference"/>
    <w:basedOn w:val="DefaultParagraphFont"/>
    <w:uiPriority w:val="99"/>
    <w:semiHidden/>
    <w:unhideWhenUsed/>
    <w:rsid w:val="008A1422"/>
    <w:rPr>
      <w:sz w:val="16"/>
      <w:szCs w:val="16"/>
    </w:rPr>
  </w:style>
  <w:style w:type="paragraph" w:styleId="CommentText">
    <w:name w:val="annotation text"/>
    <w:basedOn w:val="Normal"/>
    <w:link w:val="CommentTextChar"/>
    <w:uiPriority w:val="99"/>
    <w:semiHidden/>
    <w:unhideWhenUsed/>
    <w:rsid w:val="008A1422"/>
    <w:rPr>
      <w:sz w:val="20"/>
      <w:szCs w:val="20"/>
    </w:rPr>
  </w:style>
  <w:style w:type="character" w:customStyle="1" w:styleId="CommentTextChar">
    <w:name w:val="Comment Text Char"/>
    <w:basedOn w:val="DefaultParagraphFont"/>
    <w:link w:val="CommentText"/>
    <w:uiPriority w:val="99"/>
    <w:semiHidden/>
    <w:rsid w:val="008A1422"/>
    <w:rPr>
      <w:sz w:val="20"/>
      <w:szCs w:val="20"/>
    </w:rPr>
  </w:style>
  <w:style w:type="paragraph" w:styleId="CommentSubject">
    <w:name w:val="annotation subject"/>
    <w:basedOn w:val="CommentText"/>
    <w:next w:val="CommentText"/>
    <w:link w:val="CommentSubjectChar"/>
    <w:uiPriority w:val="99"/>
    <w:semiHidden/>
    <w:unhideWhenUsed/>
    <w:rsid w:val="008A1422"/>
    <w:rPr>
      <w:b/>
      <w:bCs/>
    </w:rPr>
  </w:style>
  <w:style w:type="character" w:customStyle="1" w:styleId="CommentSubjectChar">
    <w:name w:val="Comment Subject Char"/>
    <w:basedOn w:val="CommentTextChar"/>
    <w:link w:val="CommentSubject"/>
    <w:uiPriority w:val="99"/>
    <w:semiHidden/>
    <w:rsid w:val="008A1422"/>
    <w:rPr>
      <w:b/>
      <w:bCs/>
      <w:sz w:val="20"/>
      <w:szCs w:val="20"/>
    </w:rPr>
  </w:style>
  <w:style w:type="paragraph" w:styleId="Header">
    <w:name w:val="header"/>
    <w:basedOn w:val="Normal"/>
    <w:link w:val="HeaderChar"/>
    <w:uiPriority w:val="99"/>
    <w:unhideWhenUsed/>
    <w:rsid w:val="00F9149C"/>
    <w:pPr>
      <w:tabs>
        <w:tab w:val="center" w:pos="4513"/>
        <w:tab w:val="right" w:pos="9026"/>
      </w:tabs>
    </w:pPr>
  </w:style>
  <w:style w:type="character" w:customStyle="1" w:styleId="HeaderChar">
    <w:name w:val="Header Char"/>
    <w:basedOn w:val="DefaultParagraphFont"/>
    <w:link w:val="Header"/>
    <w:uiPriority w:val="99"/>
    <w:rsid w:val="00F9149C"/>
  </w:style>
  <w:style w:type="paragraph" w:styleId="Footer">
    <w:name w:val="footer"/>
    <w:basedOn w:val="Normal"/>
    <w:link w:val="FooterChar"/>
    <w:uiPriority w:val="99"/>
    <w:unhideWhenUsed/>
    <w:rsid w:val="00F9149C"/>
    <w:pPr>
      <w:tabs>
        <w:tab w:val="center" w:pos="4513"/>
        <w:tab w:val="right" w:pos="9026"/>
      </w:tabs>
    </w:pPr>
  </w:style>
  <w:style w:type="character" w:customStyle="1" w:styleId="FooterChar">
    <w:name w:val="Footer Char"/>
    <w:basedOn w:val="DefaultParagraphFont"/>
    <w:link w:val="Footer"/>
    <w:uiPriority w:val="99"/>
    <w:rsid w:val="00F9149C"/>
  </w:style>
  <w:style w:type="character" w:customStyle="1" w:styleId="Heading2Char">
    <w:name w:val="Heading 2 Char"/>
    <w:basedOn w:val="DefaultParagraphFont"/>
    <w:link w:val="Heading2"/>
    <w:uiPriority w:val="9"/>
    <w:semiHidden/>
    <w:rsid w:val="00E95E87"/>
    <w:rPr>
      <w:rFonts w:asciiTheme="majorHAnsi" w:eastAsiaTheme="majorEastAsia" w:hAnsiTheme="majorHAnsi" w:cstheme="majorBidi"/>
      <w:b/>
      <w:bCs/>
      <w:color w:val="4472C4" w:themeColor="accent1"/>
      <w:sz w:val="26"/>
      <w:szCs w:val="26"/>
    </w:rPr>
  </w:style>
  <w:style w:type="character" w:styleId="Hyperlink">
    <w:name w:val="Hyperlink"/>
    <w:rsid w:val="00E95E87"/>
    <w:rPr>
      <w:color w:val="0000FF"/>
      <w:u w:val="single"/>
    </w:rPr>
  </w:style>
  <w:style w:type="paragraph" w:styleId="Closing">
    <w:name w:val="Closing"/>
    <w:basedOn w:val="Normal"/>
    <w:link w:val="ClosingChar"/>
    <w:rsid w:val="00E95E87"/>
    <w:pPr>
      <w:keepNext/>
      <w:spacing w:line="220" w:lineRule="atLeast"/>
    </w:pPr>
    <w:rPr>
      <w:rFonts w:ascii="Arial" w:eastAsia="Times New Roman" w:hAnsi="Arial" w:cs="Times New Roman"/>
      <w:spacing w:val="-5"/>
      <w:sz w:val="20"/>
      <w:szCs w:val="20"/>
      <w:lang w:val="en-AU"/>
    </w:rPr>
  </w:style>
  <w:style w:type="character" w:customStyle="1" w:styleId="ClosingChar">
    <w:name w:val="Closing Char"/>
    <w:basedOn w:val="DefaultParagraphFont"/>
    <w:link w:val="Closing"/>
    <w:rsid w:val="00E95E87"/>
    <w:rPr>
      <w:rFonts w:ascii="Arial" w:eastAsia="Times New Roman" w:hAnsi="Arial" w:cs="Times New Roman"/>
      <w:spacing w:val="-5"/>
      <w:sz w:val="20"/>
      <w:szCs w:val="20"/>
      <w:lang w:val="en-AU"/>
    </w:rPr>
  </w:style>
  <w:style w:type="table" w:styleId="TableGrid">
    <w:name w:val="Table Grid"/>
    <w:basedOn w:val="TableNormal"/>
    <w:uiPriority w:val="59"/>
    <w:rsid w:val="00A013C9"/>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89666">
      <w:bodyDiv w:val="1"/>
      <w:marLeft w:val="0"/>
      <w:marRight w:val="0"/>
      <w:marTop w:val="0"/>
      <w:marBottom w:val="0"/>
      <w:divBdr>
        <w:top w:val="none" w:sz="0" w:space="0" w:color="auto"/>
        <w:left w:val="none" w:sz="0" w:space="0" w:color="auto"/>
        <w:bottom w:val="none" w:sz="0" w:space="0" w:color="auto"/>
        <w:right w:val="none" w:sz="0" w:space="0" w:color="auto"/>
      </w:divBdr>
    </w:div>
    <w:div w:id="1230186941">
      <w:bodyDiv w:val="1"/>
      <w:marLeft w:val="0"/>
      <w:marRight w:val="0"/>
      <w:marTop w:val="0"/>
      <w:marBottom w:val="0"/>
      <w:divBdr>
        <w:top w:val="none" w:sz="0" w:space="0" w:color="auto"/>
        <w:left w:val="none" w:sz="0" w:space="0" w:color="auto"/>
        <w:bottom w:val="none" w:sz="0" w:space="0" w:color="auto"/>
        <w:right w:val="none" w:sz="0" w:space="0" w:color="auto"/>
      </w:divBdr>
    </w:div>
    <w:div w:id="1682315999">
      <w:bodyDiv w:val="1"/>
      <w:marLeft w:val="0"/>
      <w:marRight w:val="0"/>
      <w:marTop w:val="0"/>
      <w:marBottom w:val="0"/>
      <w:divBdr>
        <w:top w:val="none" w:sz="0" w:space="0" w:color="auto"/>
        <w:left w:val="none" w:sz="0" w:space="0" w:color="auto"/>
        <w:bottom w:val="none" w:sz="0" w:space="0" w:color="auto"/>
        <w:right w:val="none" w:sz="0" w:space="0" w:color="auto"/>
      </w:divBdr>
    </w:div>
    <w:div w:id="1885292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Hnehrec@hnehealth.ns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576</TotalTime>
  <Pages>7</Pages>
  <Words>2817</Words>
  <Characters>16058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The University of Newcastle, Australia</Company>
  <LinksUpToDate>false</LinksUpToDate>
  <CharactersWithSpaces>18838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Peter Wark</cp:lastModifiedBy>
  <cp:revision>35</cp:revision>
  <dcterms:created xsi:type="dcterms:W3CDTF">2017-07-06T07:01:00Z</dcterms:created>
  <dcterms:modified xsi:type="dcterms:W3CDTF">2018-03-22T06:36:00Z</dcterms:modified>
</cp:coreProperties>
</file>