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194" w:rsidRDefault="006615DD">
      <w:pPr>
        <w:spacing w:before="480" w:line="360" w:lineRule="auto"/>
        <w:contextualSpacing w:val="0"/>
        <w:jc w:val="center"/>
        <w:rPr>
          <w:b/>
          <w:sz w:val="24"/>
          <w:szCs w:val="24"/>
          <w:u w:val="single"/>
        </w:rPr>
      </w:pPr>
      <w:r>
        <w:rPr>
          <w:b/>
          <w:sz w:val="24"/>
          <w:szCs w:val="24"/>
          <w:u w:val="single"/>
        </w:rPr>
        <w:t>TAVI Thrombosis</w:t>
      </w:r>
    </w:p>
    <w:p w:rsidR="00B74194" w:rsidRDefault="006615DD">
      <w:pPr>
        <w:spacing w:before="480" w:line="360" w:lineRule="auto"/>
        <w:contextualSpacing w:val="0"/>
        <w:jc w:val="center"/>
        <w:rPr>
          <w:b/>
          <w:sz w:val="24"/>
          <w:szCs w:val="24"/>
        </w:rPr>
      </w:pPr>
      <w:r>
        <w:rPr>
          <w:b/>
          <w:sz w:val="24"/>
          <w:szCs w:val="24"/>
        </w:rPr>
        <w:t>Prothrombotic changes associated with aortic valve management</w:t>
      </w:r>
    </w:p>
    <w:p w:rsidR="00B74194" w:rsidRDefault="006615DD">
      <w:pPr>
        <w:spacing w:before="480" w:line="360" w:lineRule="auto"/>
        <w:contextualSpacing w:val="0"/>
        <w:jc w:val="center"/>
        <w:rPr>
          <w:sz w:val="24"/>
          <w:szCs w:val="24"/>
        </w:rPr>
      </w:pPr>
      <w:r>
        <w:rPr>
          <w:sz w:val="24"/>
          <w:szCs w:val="24"/>
        </w:rPr>
        <w:t xml:space="preserve">Clinical Investigation Protocol </w:t>
      </w:r>
    </w:p>
    <w:p w:rsidR="00B74194" w:rsidRDefault="006615DD">
      <w:pPr>
        <w:spacing w:before="480" w:line="360" w:lineRule="auto"/>
        <w:contextualSpacing w:val="0"/>
        <w:jc w:val="center"/>
        <w:rPr>
          <w:sz w:val="24"/>
          <w:szCs w:val="24"/>
        </w:rPr>
      </w:pPr>
      <w:r>
        <w:rPr>
          <w:sz w:val="24"/>
          <w:szCs w:val="24"/>
        </w:rPr>
        <w:t>Version: 3.0 (</w:t>
      </w:r>
      <w:r w:rsidR="00DA3A10">
        <w:rPr>
          <w:sz w:val="24"/>
          <w:szCs w:val="24"/>
        </w:rPr>
        <w:t>23rd</w:t>
      </w:r>
      <w:r>
        <w:rPr>
          <w:sz w:val="24"/>
          <w:szCs w:val="24"/>
        </w:rPr>
        <w:t xml:space="preserve"> </w:t>
      </w:r>
      <w:r w:rsidR="00DA3A10">
        <w:rPr>
          <w:sz w:val="24"/>
          <w:szCs w:val="24"/>
        </w:rPr>
        <w:t>November</w:t>
      </w:r>
      <w:r>
        <w:rPr>
          <w:sz w:val="24"/>
          <w:szCs w:val="24"/>
        </w:rPr>
        <w:t xml:space="preserve"> 2018)</w:t>
      </w:r>
    </w:p>
    <w:p w:rsidR="00B74194" w:rsidRDefault="00B74194">
      <w:pPr>
        <w:spacing w:before="480" w:line="240" w:lineRule="auto"/>
        <w:contextualSpacing w:val="0"/>
        <w:rPr>
          <w:b/>
          <w:sz w:val="24"/>
          <w:szCs w:val="24"/>
        </w:rPr>
      </w:pPr>
    </w:p>
    <w:p w:rsidR="00B74194" w:rsidRDefault="006615DD">
      <w:pPr>
        <w:spacing w:before="480" w:line="240" w:lineRule="auto"/>
        <w:contextualSpacing w:val="0"/>
        <w:rPr>
          <w:sz w:val="20"/>
          <w:szCs w:val="20"/>
        </w:rPr>
      </w:pPr>
      <w:r>
        <w:rPr>
          <w:b/>
          <w:sz w:val="20"/>
          <w:szCs w:val="20"/>
        </w:rPr>
        <w:t>HREC Approval:</w:t>
      </w:r>
      <w:r>
        <w:rPr>
          <w:sz w:val="20"/>
          <w:szCs w:val="20"/>
        </w:rPr>
        <w:t xml:space="preserve"> UnitingCare Health (EC00374) Reference: 2016.33.213</w:t>
      </w:r>
    </w:p>
    <w:p w:rsidR="00B74194" w:rsidRDefault="006615DD">
      <w:pPr>
        <w:spacing w:before="480" w:line="240" w:lineRule="auto"/>
        <w:contextualSpacing w:val="0"/>
        <w:rPr>
          <w:sz w:val="20"/>
          <w:szCs w:val="20"/>
        </w:rPr>
      </w:pPr>
      <w:r>
        <w:rPr>
          <w:b/>
          <w:sz w:val="20"/>
          <w:szCs w:val="20"/>
        </w:rPr>
        <w:t xml:space="preserve">UTN: </w:t>
      </w:r>
      <w:r>
        <w:rPr>
          <w:sz w:val="20"/>
          <w:szCs w:val="20"/>
        </w:rPr>
        <w:t>U1111-1215-9691</w:t>
      </w:r>
    </w:p>
    <w:p w:rsidR="00B74194" w:rsidRDefault="00B74194">
      <w:pPr>
        <w:spacing w:before="480" w:line="360" w:lineRule="auto"/>
        <w:contextualSpacing w:val="0"/>
        <w:rPr>
          <w:b/>
          <w:sz w:val="20"/>
          <w:szCs w:val="20"/>
        </w:rPr>
      </w:pPr>
    </w:p>
    <w:p w:rsidR="00B74194" w:rsidRDefault="00B74194">
      <w:pPr>
        <w:spacing w:before="480" w:line="360" w:lineRule="auto"/>
        <w:contextualSpacing w:val="0"/>
        <w:rPr>
          <w:sz w:val="20"/>
          <w:szCs w:val="20"/>
        </w:rPr>
      </w:pPr>
    </w:p>
    <w:p w:rsidR="00B74194" w:rsidRDefault="00B74194">
      <w:pPr>
        <w:spacing w:before="480" w:line="360" w:lineRule="auto"/>
        <w:contextualSpacing w:val="0"/>
        <w:rPr>
          <w:sz w:val="20"/>
          <w:szCs w:val="20"/>
        </w:rPr>
      </w:pPr>
    </w:p>
    <w:p w:rsidR="00B74194" w:rsidRDefault="00B74194">
      <w:pPr>
        <w:spacing w:before="480" w:line="360" w:lineRule="auto"/>
        <w:contextualSpacing w:val="0"/>
        <w:rPr>
          <w:sz w:val="20"/>
          <w:szCs w:val="20"/>
        </w:rPr>
      </w:pPr>
    </w:p>
    <w:p w:rsidR="00B74194" w:rsidRDefault="00B74194">
      <w:pPr>
        <w:spacing w:before="480" w:line="360" w:lineRule="auto"/>
        <w:contextualSpacing w:val="0"/>
        <w:rPr>
          <w:sz w:val="20"/>
          <w:szCs w:val="20"/>
        </w:rPr>
      </w:pPr>
    </w:p>
    <w:p w:rsidR="00B74194" w:rsidRDefault="00B74194">
      <w:pPr>
        <w:spacing w:before="480" w:line="360" w:lineRule="auto"/>
        <w:contextualSpacing w:val="0"/>
        <w:rPr>
          <w:sz w:val="20"/>
          <w:szCs w:val="20"/>
        </w:rPr>
      </w:pPr>
    </w:p>
    <w:p w:rsidR="00321316" w:rsidRDefault="00321316">
      <w:pPr>
        <w:spacing w:before="480" w:line="360" w:lineRule="auto"/>
        <w:contextualSpacing w:val="0"/>
        <w:rPr>
          <w:sz w:val="20"/>
          <w:szCs w:val="20"/>
        </w:rPr>
      </w:pPr>
    </w:p>
    <w:p w:rsidR="00B74194" w:rsidRDefault="006615DD">
      <w:pPr>
        <w:spacing w:before="480" w:line="360" w:lineRule="auto"/>
        <w:contextualSpacing w:val="0"/>
        <w:rPr>
          <w:sz w:val="20"/>
          <w:szCs w:val="20"/>
        </w:rPr>
      </w:pPr>
      <w:r>
        <w:rPr>
          <w:b/>
          <w:sz w:val="20"/>
          <w:szCs w:val="20"/>
          <w:u w:val="single"/>
        </w:rPr>
        <w:t>Keywords:</w:t>
      </w:r>
      <w:r>
        <w:rPr>
          <w:sz w:val="20"/>
          <w:szCs w:val="20"/>
        </w:rPr>
        <w:t xml:space="preserve"> Aortic Stenosis, Aortic Valve Stenosis, Valvular Heart Disease, Aortic Valve Replacement, Transcatheter Aortic Valve Implantation, TAVI, TAVR, thrombosis, anticoagulation, antiplatelet, </w:t>
      </w:r>
      <w:proofErr w:type="spellStart"/>
      <w:r>
        <w:rPr>
          <w:sz w:val="20"/>
          <w:szCs w:val="20"/>
        </w:rPr>
        <w:t>thromboelastography</w:t>
      </w:r>
      <w:proofErr w:type="spellEnd"/>
      <w:r>
        <w:rPr>
          <w:sz w:val="20"/>
          <w:szCs w:val="20"/>
        </w:rPr>
        <w:t xml:space="preserve">, </w:t>
      </w:r>
      <w:proofErr w:type="spellStart"/>
      <w:r>
        <w:rPr>
          <w:sz w:val="20"/>
          <w:szCs w:val="20"/>
        </w:rPr>
        <w:t>thromboelastometry</w:t>
      </w:r>
      <w:proofErr w:type="spellEnd"/>
      <w:r>
        <w:rPr>
          <w:sz w:val="20"/>
          <w:szCs w:val="20"/>
        </w:rPr>
        <w:t xml:space="preserve">, platelet aggregometry, TEG, ROTEM, </w:t>
      </w:r>
      <w:proofErr w:type="spellStart"/>
      <w:r>
        <w:rPr>
          <w:sz w:val="20"/>
          <w:szCs w:val="20"/>
        </w:rPr>
        <w:t>MultiPlate</w:t>
      </w:r>
      <w:proofErr w:type="spellEnd"/>
    </w:p>
    <w:p w:rsidR="00B74194" w:rsidRDefault="00B74194">
      <w:pPr>
        <w:spacing w:before="480" w:line="360" w:lineRule="auto"/>
        <w:contextualSpacing w:val="0"/>
        <w:rPr>
          <w:sz w:val="20"/>
          <w:szCs w:val="20"/>
        </w:rPr>
      </w:pPr>
    </w:p>
    <w:p w:rsidR="00B74194" w:rsidRDefault="006615DD">
      <w:pPr>
        <w:shd w:val="clear" w:color="auto" w:fill="D9D9D9"/>
        <w:spacing w:line="360" w:lineRule="auto"/>
        <w:contextualSpacing w:val="0"/>
        <w:jc w:val="both"/>
        <w:rPr>
          <w:b/>
          <w:sz w:val="24"/>
          <w:szCs w:val="24"/>
        </w:rPr>
      </w:pPr>
      <w:r>
        <w:rPr>
          <w:b/>
          <w:sz w:val="24"/>
          <w:szCs w:val="24"/>
        </w:rPr>
        <w:t>INTRODUCTION</w:t>
      </w:r>
    </w:p>
    <w:p w:rsidR="00B74194" w:rsidRDefault="00B74194">
      <w:pPr>
        <w:spacing w:line="360" w:lineRule="auto"/>
        <w:contextualSpacing w:val="0"/>
        <w:jc w:val="both"/>
        <w:rPr>
          <w:sz w:val="24"/>
          <w:szCs w:val="24"/>
        </w:rPr>
      </w:pPr>
    </w:p>
    <w:p w:rsidR="00B74194" w:rsidRDefault="006615DD">
      <w:pPr>
        <w:spacing w:line="360" w:lineRule="auto"/>
        <w:contextualSpacing w:val="0"/>
        <w:jc w:val="both"/>
        <w:rPr>
          <w:sz w:val="24"/>
          <w:szCs w:val="24"/>
        </w:rPr>
      </w:pPr>
      <w:r>
        <w:rPr>
          <w:sz w:val="24"/>
          <w:szCs w:val="24"/>
        </w:rPr>
        <w:t>Aortic stenosis (AS) is the most common heart valve disease in the Western World. Transcatheter aortic valve implan</w:t>
      </w:r>
      <w:r w:rsidR="006426D6">
        <w:rPr>
          <w:sz w:val="24"/>
          <w:szCs w:val="24"/>
        </w:rPr>
        <w:t>tation (TAVI) has expanded</w:t>
      </w:r>
      <w:r>
        <w:rPr>
          <w:sz w:val="24"/>
          <w:szCs w:val="24"/>
        </w:rPr>
        <w:t xml:space="preserve"> the therapeutic options available to patients suffering from severe AS. However, despite the rapidly expanding clinical use of TAVI, patients remain at high risk for both thrombotic (e.g., stroke and valve thrombosis) and bleeding complications. Optimal perioperative antithrombotic therapy is essential to minimise thrombosis without incurring excessive bleeding risk. Current antithrombotic recommendations for TAVI are extrapolated from percutaneous coronary intervention (PCI) data despite significant patient and procedural differences that </w:t>
      </w:r>
      <w:r w:rsidR="006426D6">
        <w:rPr>
          <w:sz w:val="24"/>
          <w:szCs w:val="24"/>
        </w:rPr>
        <w:t>result</w:t>
      </w:r>
      <w:r>
        <w:rPr>
          <w:sz w:val="24"/>
          <w:szCs w:val="24"/>
        </w:rPr>
        <w:t xml:space="preserve"> in different thrombotic risk profiles. Until this is addressed, clinicians are left to advise and treat their patients without essential information. This study has been explicitly designed to provide robust data to characterise the thrombotic risk associated with TAVI and compare these with PCI and aortic valve replacement (AVR). Such comparison forms a crucial platform for further investigation of TAVI-specific antithrombotic management regimes.</w:t>
      </w:r>
    </w:p>
    <w:p w:rsidR="00B74194" w:rsidRDefault="00B74194">
      <w:pPr>
        <w:spacing w:line="360" w:lineRule="auto"/>
        <w:contextualSpacing w:val="0"/>
        <w:jc w:val="both"/>
        <w:rPr>
          <w:sz w:val="24"/>
          <w:szCs w:val="24"/>
        </w:rPr>
      </w:pPr>
    </w:p>
    <w:p w:rsidR="00B74194" w:rsidRDefault="006615DD" w:rsidP="006426D6">
      <w:pPr>
        <w:shd w:val="clear" w:color="auto" w:fill="D9D9D9"/>
        <w:spacing w:line="360" w:lineRule="auto"/>
        <w:contextualSpacing w:val="0"/>
        <w:jc w:val="both"/>
        <w:rPr>
          <w:b/>
          <w:sz w:val="24"/>
          <w:szCs w:val="24"/>
        </w:rPr>
      </w:pPr>
      <w:r>
        <w:rPr>
          <w:b/>
          <w:sz w:val="24"/>
          <w:szCs w:val="24"/>
        </w:rPr>
        <w:t>BACKGROUND</w:t>
      </w:r>
    </w:p>
    <w:p w:rsidR="00B74194" w:rsidRPr="006426D6" w:rsidRDefault="00B74194" w:rsidP="006426D6">
      <w:pPr>
        <w:spacing w:line="360" w:lineRule="auto"/>
        <w:contextualSpacing w:val="0"/>
        <w:jc w:val="both"/>
        <w:rPr>
          <w:b/>
          <w:sz w:val="24"/>
          <w:szCs w:val="24"/>
          <w:u w:val="single"/>
        </w:rPr>
      </w:pPr>
    </w:p>
    <w:p w:rsidR="006426D6" w:rsidRPr="006426D6" w:rsidRDefault="006426D6" w:rsidP="006426D6">
      <w:pPr>
        <w:spacing w:line="360" w:lineRule="auto"/>
        <w:jc w:val="both"/>
        <w:rPr>
          <w:sz w:val="24"/>
          <w:szCs w:val="24"/>
        </w:rPr>
      </w:pPr>
      <w:r w:rsidRPr="006426D6">
        <w:rPr>
          <w:sz w:val="24"/>
          <w:szCs w:val="24"/>
        </w:rPr>
        <w:t>The use of TAVI for the management of severe aortic stenosis has exponentially increased over the last 10 years. Despite significant evolution in both the technology and our clinical experience there remains a high rate of thrombotic and bleeding complications associated with the procedure. Stroke is the most frequent and devastating adverse events attributable to thrombosis, with our data</w:t>
      </w:r>
      <w:r w:rsidRPr="006426D6">
        <w:rPr>
          <w:color w:val="000000"/>
          <w:sz w:val="24"/>
          <w:szCs w:val="24"/>
        </w:rPr>
        <w:t xml:space="preserve"> indicating an overt stroke rate of 4.1% with TAVI, compared to 1.5% for isolated AVR and 0.2% for elective PCI and subclinical strokes occurring on average in 75% of patients. Though thrombosis is minimized by anti-thrombotic prophylaxis, this requirement is moderated by the equally devastating consequences of bleeding, with major bleeding reported as high as 15-32% for TAVI. </w:t>
      </w:r>
    </w:p>
    <w:p w:rsidR="006426D6" w:rsidRPr="006426D6" w:rsidRDefault="006426D6" w:rsidP="006426D6">
      <w:pPr>
        <w:spacing w:line="360" w:lineRule="auto"/>
        <w:jc w:val="both"/>
        <w:rPr>
          <w:color w:val="000000"/>
          <w:sz w:val="24"/>
          <w:szCs w:val="24"/>
        </w:rPr>
      </w:pPr>
    </w:p>
    <w:p w:rsidR="006426D6" w:rsidRPr="006426D6" w:rsidRDefault="006426D6" w:rsidP="006426D6">
      <w:pPr>
        <w:spacing w:line="360" w:lineRule="auto"/>
        <w:jc w:val="both"/>
        <w:rPr>
          <w:color w:val="000000"/>
          <w:sz w:val="24"/>
          <w:szCs w:val="24"/>
        </w:rPr>
      </w:pPr>
      <w:r w:rsidRPr="006426D6">
        <w:rPr>
          <w:color w:val="000000"/>
          <w:sz w:val="24"/>
          <w:szCs w:val="24"/>
        </w:rPr>
        <w:t xml:space="preserve">Current international recommendations guiding perioperative antithrombotic prophylaxis are empirically derived from the PCI setting. However, there are clear </w:t>
      </w:r>
      <w:r w:rsidRPr="006426D6">
        <w:rPr>
          <w:color w:val="000000"/>
          <w:sz w:val="24"/>
          <w:szCs w:val="24"/>
        </w:rPr>
        <w:lastRenderedPageBreak/>
        <w:t>differences between PCI and TAVI that suggest such extrapolation may not be appropriate.</w:t>
      </w:r>
    </w:p>
    <w:p w:rsidR="006426D6" w:rsidRPr="006426D6" w:rsidRDefault="006426D6" w:rsidP="006426D6">
      <w:pPr>
        <w:spacing w:line="360" w:lineRule="auto"/>
        <w:jc w:val="both"/>
        <w:rPr>
          <w:color w:val="000000"/>
          <w:sz w:val="24"/>
          <w:szCs w:val="24"/>
        </w:rPr>
      </w:pPr>
    </w:p>
    <w:p w:rsidR="006426D6" w:rsidRPr="006426D6" w:rsidRDefault="006426D6" w:rsidP="006426D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60" w:lineRule="auto"/>
        <w:jc w:val="both"/>
        <w:rPr>
          <w:sz w:val="24"/>
          <w:szCs w:val="24"/>
          <w:lang w:val="en-AU"/>
        </w:rPr>
      </w:pPr>
      <w:r w:rsidRPr="006426D6">
        <w:rPr>
          <w:color w:val="000000"/>
          <w:sz w:val="24"/>
          <w:szCs w:val="24"/>
        </w:rPr>
        <w:t>Viscoelastic point-of-care coagulation testing</w:t>
      </w:r>
      <w:r>
        <w:rPr>
          <w:color w:val="000000"/>
          <w:sz w:val="24"/>
          <w:szCs w:val="24"/>
        </w:rPr>
        <w:t xml:space="preserve"> (POCCT)</w:t>
      </w:r>
      <w:r w:rsidRPr="006426D6">
        <w:rPr>
          <w:color w:val="000000"/>
          <w:sz w:val="24"/>
          <w:szCs w:val="24"/>
        </w:rPr>
        <w:t xml:space="preserve"> using ROTEM</w:t>
      </w:r>
      <w:r w:rsidRPr="006426D6">
        <w:rPr>
          <w:color w:val="000000"/>
          <w:sz w:val="24"/>
          <w:szCs w:val="24"/>
          <w:vertAlign w:val="superscript"/>
        </w:rPr>
        <w:t>®</w:t>
      </w:r>
      <w:r>
        <w:rPr>
          <w:color w:val="000000"/>
          <w:sz w:val="24"/>
          <w:szCs w:val="24"/>
        </w:rPr>
        <w:t xml:space="preserve"> and</w:t>
      </w:r>
      <w:r w:rsidRPr="006426D6">
        <w:rPr>
          <w:color w:val="000000"/>
          <w:sz w:val="24"/>
          <w:szCs w:val="24"/>
        </w:rPr>
        <w:t xml:space="preserve"> TEG6s is available in the SAWMH theatres. Specific reagents allow for neutralisation of anti-thrombotic medication in the blood so as to characterise both the underlying thrombotic state and the temporal changes that occur during the procedures and thus allow for identification of optimal antithrombotic regimes.  </w:t>
      </w:r>
    </w:p>
    <w:p w:rsidR="00B74194" w:rsidRPr="006426D6" w:rsidRDefault="00B74194" w:rsidP="006426D6">
      <w:pPr>
        <w:spacing w:line="360" w:lineRule="auto"/>
        <w:ind w:right="-180"/>
        <w:contextualSpacing w:val="0"/>
        <w:jc w:val="both"/>
        <w:rPr>
          <w:sz w:val="24"/>
          <w:szCs w:val="24"/>
        </w:rPr>
      </w:pPr>
    </w:p>
    <w:p w:rsidR="00B74194" w:rsidRPr="006426D6" w:rsidRDefault="006615DD" w:rsidP="006426D6">
      <w:pPr>
        <w:spacing w:line="360" w:lineRule="auto"/>
        <w:contextualSpacing w:val="0"/>
        <w:jc w:val="both"/>
        <w:rPr>
          <w:b/>
          <w:i/>
          <w:sz w:val="24"/>
          <w:szCs w:val="24"/>
        </w:rPr>
      </w:pPr>
      <w:r w:rsidRPr="006426D6">
        <w:rPr>
          <w:b/>
          <w:i/>
          <w:sz w:val="24"/>
          <w:szCs w:val="24"/>
        </w:rPr>
        <w:t>Area of need:</w:t>
      </w:r>
    </w:p>
    <w:p w:rsidR="00B74194" w:rsidRDefault="006615DD" w:rsidP="006426D6">
      <w:pPr>
        <w:spacing w:line="360" w:lineRule="auto"/>
        <w:contextualSpacing w:val="0"/>
        <w:jc w:val="both"/>
        <w:rPr>
          <w:sz w:val="24"/>
          <w:szCs w:val="24"/>
        </w:rPr>
      </w:pPr>
      <w:r w:rsidRPr="006426D6">
        <w:rPr>
          <w:sz w:val="24"/>
          <w:szCs w:val="24"/>
        </w:rPr>
        <w:t xml:space="preserve">Identifying antithrombotic regimes that can optimise the balance between thrombotic and bleeding complications, while </w:t>
      </w:r>
      <w:r>
        <w:rPr>
          <w:sz w:val="24"/>
          <w:szCs w:val="24"/>
        </w:rPr>
        <w:t>minimising both, requires a thorough understanding of the pathophysiology, timing, and mechanisms of the pro-thrombotic changes that occur</w:t>
      </w:r>
      <w:r w:rsidR="006426D6">
        <w:rPr>
          <w:sz w:val="24"/>
          <w:szCs w:val="24"/>
        </w:rPr>
        <w:t>. POCCT</w:t>
      </w:r>
      <w:r>
        <w:rPr>
          <w:sz w:val="24"/>
          <w:szCs w:val="24"/>
        </w:rPr>
        <w:t xml:space="preserve"> will provide key insights as researchers seek to improve this understanding.</w:t>
      </w:r>
    </w:p>
    <w:p w:rsidR="00B74194" w:rsidRDefault="006615DD">
      <w:pPr>
        <w:spacing w:line="360" w:lineRule="auto"/>
        <w:contextualSpacing w:val="0"/>
        <w:jc w:val="both"/>
        <w:rPr>
          <w:sz w:val="24"/>
          <w:szCs w:val="24"/>
        </w:rPr>
      </w:pPr>
      <w:r>
        <w:rPr>
          <w:sz w:val="24"/>
          <w:szCs w:val="24"/>
        </w:rPr>
        <w:t xml:space="preserve"> </w:t>
      </w:r>
    </w:p>
    <w:p w:rsidR="00B74194" w:rsidRDefault="006615DD">
      <w:pPr>
        <w:shd w:val="clear" w:color="auto" w:fill="D9D9D9"/>
        <w:spacing w:line="360" w:lineRule="auto"/>
        <w:contextualSpacing w:val="0"/>
        <w:jc w:val="both"/>
        <w:rPr>
          <w:b/>
          <w:sz w:val="24"/>
          <w:szCs w:val="24"/>
        </w:rPr>
      </w:pPr>
      <w:r>
        <w:rPr>
          <w:b/>
          <w:sz w:val="24"/>
          <w:szCs w:val="24"/>
        </w:rPr>
        <w:t>AIMS AND HYPOTHESIS</w:t>
      </w:r>
    </w:p>
    <w:p w:rsidR="00B74194" w:rsidRDefault="00B74194">
      <w:pPr>
        <w:spacing w:line="360" w:lineRule="auto"/>
        <w:contextualSpacing w:val="0"/>
        <w:jc w:val="both"/>
        <w:rPr>
          <w:sz w:val="24"/>
          <w:szCs w:val="24"/>
        </w:rPr>
      </w:pPr>
    </w:p>
    <w:p w:rsidR="005A6A7F" w:rsidRDefault="005A6A7F">
      <w:pPr>
        <w:spacing w:line="360" w:lineRule="auto"/>
        <w:contextualSpacing w:val="0"/>
        <w:rPr>
          <w:sz w:val="24"/>
          <w:szCs w:val="24"/>
        </w:rPr>
      </w:pPr>
      <w:r>
        <w:rPr>
          <w:b/>
          <w:sz w:val="24"/>
          <w:szCs w:val="24"/>
        </w:rPr>
        <w:t xml:space="preserve">Aim: </w:t>
      </w:r>
      <w:r>
        <w:rPr>
          <w:sz w:val="24"/>
          <w:szCs w:val="24"/>
        </w:rPr>
        <w:t>To provide a clearer mechanistic understanding of the pathobiology of thromboembolic events during and after TAVI that will provide a translatable foundation for optimal therapies.</w:t>
      </w:r>
    </w:p>
    <w:p w:rsidR="005A6A7F" w:rsidRDefault="005A6A7F">
      <w:pPr>
        <w:spacing w:line="360" w:lineRule="auto"/>
        <w:contextualSpacing w:val="0"/>
        <w:rPr>
          <w:b/>
          <w:sz w:val="24"/>
          <w:szCs w:val="24"/>
        </w:rPr>
      </w:pPr>
    </w:p>
    <w:p w:rsidR="00B74194" w:rsidRDefault="006615DD">
      <w:pPr>
        <w:spacing w:line="360" w:lineRule="auto"/>
        <w:contextualSpacing w:val="0"/>
        <w:rPr>
          <w:sz w:val="24"/>
          <w:szCs w:val="24"/>
        </w:rPr>
      </w:pPr>
      <w:r>
        <w:rPr>
          <w:b/>
          <w:sz w:val="24"/>
          <w:szCs w:val="24"/>
        </w:rPr>
        <w:t>Hypothesis:</w:t>
      </w:r>
      <w:r>
        <w:rPr>
          <w:sz w:val="24"/>
          <w:szCs w:val="24"/>
        </w:rPr>
        <w:t xml:space="preserve"> TAVI results in a more pronounced hypercoagulable state than PCI, similar to that of a bioprosthetic AVR. Consequently, the current extrapolation of PCI-derived antithrombotic regimes to the TAVI setting may provide inadequate protection against thrombus and thromboembolism. Optimal balance of adverse events demands TAVI-specific antithrombotic prophylaxis.</w:t>
      </w:r>
    </w:p>
    <w:p w:rsidR="00B74194" w:rsidRDefault="006615DD">
      <w:pPr>
        <w:spacing w:line="360" w:lineRule="auto"/>
        <w:contextualSpacing w:val="0"/>
        <w:rPr>
          <w:sz w:val="24"/>
          <w:szCs w:val="24"/>
        </w:rPr>
      </w:pPr>
      <w:r>
        <w:rPr>
          <w:sz w:val="24"/>
          <w:szCs w:val="24"/>
        </w:rPr>
        <w:t xml:space="preserve"> </w:t>
      </w:r>
    </w:p>
    <w:p w:rsidR="00B74194" w:rsidRDefault="006615DD">
      <w:pPr>
        <w:shd w:val="clear" w:color="auto" w:fill="D9D9D9"/>
        <w:spacing w:line="360" w:lineRule="auto"/>
        <w:contextualSpacing w:val="0"/>
        <w:jc w:val="both"/>
        <w:rPr>
          <w:b/>
          <w:sz w:val="24"/>
          <w:szCs w:val="24"/>
        </w:rPr>
      </w:pPr>
      <w:r>
        <w:rPr>
          <w:b/>
          <w:sz w:val="24"/>
          <w:szCs w:val="24"/>
        </w:rPr>
        <w:t>RESEARCH PLAN</w:t>
      </w:r>
    </w:p>
    <w:p w:rsidR="00B74194" w:rsidRDefault="00B74194">
      <w:pPr>
        <w:spacing w:line="360" w:lineRule="auto"/>
        <w:contextualSpacing w:val="0"/>
        <w:jc w:val="both"/>
        <w:rPr>
          <w:b/>
          <w:sz w:val="24"/>
          <w:szCs w:val="24"/>
        </w:rPr>
      </w:pPr>
    </w:p>
    <w:p w:rsidR="00B74194" w:rsidRDefault="006615DD">
      <w:pPr>
        <w:spacing w:line="360" w:lineRule="auto"/>
        <w:contextualSpacing w:val="0"/>
        <w:jc w:val="both"/>
        <w:rPr>
          <w:sz w:val="24"/>
          <w:szCs w:val="24"/>
        </w:rPr>
      </w:pPr>
      <w:r>
        <w:rPr>
          <w:b/>
          <w:sz w:val="24"/>
          <w:szCs w:val="24"/>
        </w:rPr>
        <w:t xml:space="preserve">Design: </w:t>
      </w:r>
      <w:r>
        <w:rPr>
          <w:sz w:val="24"/>
          <w:szCs w:val="24"/>
        </w:rPr>
        <w:t xml:space="preserve">This is a prospective, observational study across three cohorts at St. Andrew’s </w:t>
      </w:r>
      <w:r w:rsidR="00367469">
        <w:rPr>
          <w:sz w:val="24"/>
          <w:szCs w:val="24"/>
        </w:rPr>
        <w:t>War Memorial Hospital and The Princess Alexandra Hospital, Brisbane, Australia</w:t>
      </w:r>
      <w:r>
        <w:rPr>
          <w:sz w:val="24"/>
          <w:szCs w:val="24"/>
        </w:rPr>
        <w:t>. Consecutive eligible patients will be considered for each of the following cohorts:</w:t>
      </w:r>
    </w:p>
    <w:p w:rsidR="00B74194" w:rsidRDefault="006615DD">
      <w:pPr>
        <w:numPr>
          <w:ilvl w:val="0"/>
          <w:numId w:val="1"/>
        </w:numPr>
        <w:spacing w:line="360" w:lineRule="auto"/>
        <w:jc w:val="both"/>
        <w:rPr>
          <w:sz w:val="24"/>
          <w:szCs w:val="24"/>
        </w:rPr>
      </w:pPr>
      <w:r>
        <w:rPr>
          <w:i/>
          <w:sz w:val="24"/>
          <w:szCs w:val="24"/>
        </w:rPr>
        <w:lastRenderedPageBreak/>
        <w:t xml:space="preserve">Transfemoral (TF)-TAVI cohort: </w:t>
      </w:r>
      <w:r>
        <w:rPr>
          <w:sz w:val="24"/>
          <w:szCs w:val="24"/>
        </w:rPr>
        <w:t>Patients undergoing TAVI with the Edwards SAPIEN-XT</w:t>
      </w:r>
      <w:r>
        <w:rPr>
          <w:sz w:val="24"/>
          <w:szCs w:val="24"/>
          <w:vertAlign w:val="superscript"/>
        </w:rPr>
        <w:t>TM</w:t>
      </w:r>
      <w:r>
        <w:rPr>
          <w:sz w:val="24"/>
          <w:szCs w:val="24"/>
        </w:rPr>
        <w:t xml:space="preserve"> prosthesis via the transfemoral access route. </w:t>
      </w:r>
    </w:p>
    <w:p w:rsidR="00B74194" w:rsidRDefault="006615DD">
      <w:pPr>
        <w:numPr>
          <w:ilvl w:val="0"/>
          <w:numId w:val="1"/>
        </w:numPr>
        <w:spacing w:line="360" w:lineRule="auto"/>
        <w:jc w:val="both"/>
        <w:rPr>
          <w:sz w:val="24"/>
          <w:szCs w:val="24"/>
        </w:rPr>
      </w:pPr>
      <w:r>
        <w:rPr>
          <w:i/>
          <w:sz w:val="24"/>
          <w:szCs w:val="24"/>
        </w:rPr>
        <w:t xml:space="preserve">PCI cohort: </w:t>
      </w:r>
      <w:r>
        <w:rPr>
          <w:sz w:val="24"/>
          <w:szCs w:val="24"/>
        </w:rPr>
        <w:t>Patients undergoing ‘elective’ PCI for non-ST-segment myocardial infarction.</w:t>
      </w:r>
    </w:p>
    <w:p w:rsidR="00B74194" w:rsidRDefault="006615DD">
      <w:pPr>
        <w:numPr>
          <w:ilvl w:val="0"/>
          <w:numId w:val="1"/>
        </w:numPr>
        <w:spacing w:line="360" w:lineRule="auto"/>
        <w:jc w:val="both"/>
        <w:rPr>
          <w:sz w:val="24"/>
          <w:szCs w:val="24"/>
        </w:rPr>
      </w:pPr>
      <w:r>
        <w:rPr>
          <w:i/>
          <w:sz w:val="24"/>
          <w:szCs w:val="24"/>
        </w:rPr>
        <w:t xml:space="preserve">AVR cohort: </w:t>
      </w:r>
      <w:r>
        <w:rPr>
          <w:sz w:val="24"/>
          <w:szCs w:val="24"/>
        </w:rPr>
        <w:t xml:space="preserve">Patients undergoing ‘elective’ isolated bioprosthetic AVR. </w:t>
      </w:r>
    </w:p>
    <w:p w:rsidR="00B74194" w:rsidRDefault="006615DD">
      <w:pPr>
        <w:spacing w:line="360" w:lineRule="auto"/>
        <w:contextualSpacing w:val="0"/>
        <w:jc w:val="both"/>
        <w:rPr>
          <w:sz w:val="24"/>
          <w:szCs w:val="24"/>
        </w:rPr>
      </w:pPr>
      <w:r>
        <w:rPr>
          <w:sz w:val="24"/>
          <w:szCs w:val="24"/>
        </w:rPr>
        <w:t xml:space="preserve"> </w:t>
      </w:r>
    </w:p>
    <w:p w:rsidR="00B74194" w:rsidRDefault="006615DD">
      <w:pPr>
        <w:spacing w:line="360" w:lineRule="auto"/>
        <w:contextualSpacing w:val="0"/>
        <w:jc w:val="both"/>
        <w:rPr>
          <w:sz w:val="24"/>
          <w:szCs w:val="24"/>
        </w:rPr>
      </w:pPr>
      <w:r>
        <w:rPr>
          <w:b/>
          <w:sz w:val="24"/>
          <w:szCs w:val="24"/>
        </w:rPr>
        <w:t xml:space="preserve">Patient selection: </w:t>
      </w:r>
      <w:r>
        <w:rPr>
          <w:sz w:val="24"/>
          <w:szCs w:val="24"/>
        </w:rPr>
        <w:t xml:space="preserve">Potential candidates will be identified by the treating clinicians. To determine subject eligibility, the study investigators will conduct a standardised interview applying the eligibility criteria in Table 2. </w:t>
      </w:r>
    </w:p>
    <w:tbl>
      <w:tblPr>
        <w:tblStyle w:val="a2"/>
        <w:tblpPr w:leftFromText="180" w:rightFromText="180" w:vertAnchor="text" w:horzAnchor="margin" w:tblpXSpec="center" w:tblpY="35"/>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455"/>
        <w:gridCol w:w="4425"/>
      </w:tblGrid>
      <w:tr w:rsidR="006426D6" w:rsidTr="00DD2334">
        <w:trPr>
          <w:trHeight w:val="480"/>
        </w:trPr>
        <w:tc>
          <w:tcPr>
            <w:tcW w:w="4455" w:type="dxa"/>
            <w:tcBorders>
              <w:top w:val="single" w:sz="8" w:space="0" w:color="000000"/>
              <w:left w:val="single" w:sz="8" w:space="0" w:color="000000"/>
              <w:bottom w:val="single" w:sz="8" w:space="0" w:color="000000"/>
              <w:right w:val="single" w:sz="8" w:space="0" w:color="000000"/>
            </w:tcBorders>
            <w:shd w:val="clear" w:color="auto" w:fill="A6A6A6"/>
            <w:tcMar>
              <w:top w:w="100" w:type="dxa"/>
              <w:left w:w="100" w:type="dxa"/>
              <w:bottom w:w="100" w:type="dxa"/>
              <w:right w:w="100" w:type="dxa"/>
            </w:tcMar>
          </w:tcPr>
          <w:p w:rsidR="006426D6" w:rsidRDefault="006426D6" w:rsidP="006426D6">
            <w:pPr>
              <w:spacing w:line="240" w:lineRule="auto"/>
              <w:contextualSpacing w:val="0"/>
              <w:jc w:val="both"/>
              <w:rPr>
                <w:b/>
                <w:sz w:val="20"/>
                <w:szCs w:val="20"/>
              </w:rPr>
            </w:pPr>
            <w:r>
              <w:rPr>
                <w:b/>
                <w:sz w:val="20"/>
                <w:szCs w:val="20"/>
              </w:rPr>
              <w:t>Inclusion Criteria</w:t>
            </w:r>
          </w:p>
        </w:tc>
        <w:tc>
          <w:tcPr>
            <w:tcW w:w="4425" w:type="dxa"/>
            <w:tcBorders>
              <w:top w:val="single" w:sz="8" w:space="0" w:color="000000"/>
              <w:bottom w:val="single" w:sz="8" w:space="0" w:color="000000"/>
              <w:right w:val="single" w:sz="8" w:space="0" w:color="000000"/>
            </w:tcBorders>
            <w:shd w:val="clear" w:color="auto" w:fill="A6A6A6"/>
            <w:tcMar>
              <w:top w:w="100" w:type="dxa"/>
              <w:left w:w="100" w:type="dxa"/>
              <w:bottom w:w="100" w:type="dxa"/>
              <w:right w:w="100" w:type="dxa"/>
            </w:tcMar>
          </w:tcPr>
          <w:p w:rsidR="006426D6" w:rsidRDefault="006426D6" w:rsidP="006426D6">
            <w:pPr>
              <w:spacing w:line="240" w:lineRule="auto"/>
              <w:contextualSpacing w:val="0"/>
              <w:jc w:val="both"/>
              <w:rPr>
                <w:b/>
                <w:sz w:val="20"/>
                <w:szCs w:val="20"/>
              </w:rPr>
            </w:pPr>
            <w:r>
              <w:rPr>
                <w:b/>
                <w:sz w:val="20"/>
                <w:szCs w:val="20"/>
              </w:rPr>
              <w:t>Exclusion Criteria</w:t>
            </w:r>
          </w:p>
        </w:tc>
      </w:tr>
      <w:tr w:rsidR="006426D6" w:rsidTr="00DD2334">
        <w:trPr>
          <w:trHeight w:val="440"/>
        </w:trPr>
        <w:tc>
          <w:tcPr>
            <w:tcW w:w="44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26D6" w:rsidRDefault="006426D6" w:rsidP="006426D6">
            <w:pPr>
              <w:spacing w:line="240" w:lineRule="auto"/>
              <w:contextualSpacing w:val="0"/>
              <w:jc w:val="both"/>
              <w:rPr>
                <w:sz w:val="20"/>
                <w:szCs w:val="20"/>
              </w:rPr>
            </w:pPr>
            <w:r>
              <w:rPr>
                <w:sz w:val="20"/>
                <w:szCs w:val="20"/>
              </w:rPr>
              <w:t>Age &gt; 18 years</w:t>
            </w:r>
          </w:p>
        </w:tc>
        <w:tc>
          <w:tcPr>
            <w:tcW w:w="4425" w:type="dxa"/>
            <w:tcBorders>
              <w:bottom w:val="single" w:sz="8" w:space="0" w:color="000000"/>
              <w:right w:val="single" w:sz="8" w:space="0" w:color="000000"/>
            </w:tcBorders>
            <w:shd w:val="clear" w:color="auto" w:fill="auto"/>
            <w:tcMar>
              <w:top w:w="100" w:type="dxa"/>
              <w:left w:w="100" w:type="dxa"/>
              <w:bottom w:w="100" w:type="dxa"/>
              <w:right w:w="100" w:type="dxa"/>
            </w:tcMar>
          </w:tcPr>
          <w:p w:rsidR="006426D6" w:rsidRDefault="00870DDF" w:rsidP="006426D6">
            <w:pPr>
              <w:spacing w:line="240" w:lineRule="auto"/>
              <w:contextualSpacing w:val="0"/>
              <w:jc w:val="both"/>
              <w:rPr>
                <w:sz w:val="20"/>
                <w:szCs w:val="20"/>
              </w:rPr>
            </w:pPr>
            <w:r>
              <w:rPr>
                <w:sz w:val="20"/>
                <w:szCs w:val="20"/>
              </w:rPr>
              <w:t>Emergency or non-elective surgery / intervention</w:t>
            </w:r>
          </w:p>
        </w:tc>
      </w:tr>
      <w:tr w:rsidR="006426D6" w:rsidTr="00DD2334">
        <w:trPr>
          <w:trHeight w:val="440"/>
        </w:trPr>
        <w:tc>
          <w:tcPr>
            <w:tcW w:w="44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26D6" w:rsidRDefault="006426D6" w:rsidP="006426D6">
            <w:pPr>
              <w:spacing w:line="240" w:lineRule="auto"/>
              <w:contextualSpacing w:val="0"/>
              <w:jc w:val="both"/>
              <w:rPr>
                <w:sz w:val="20"/>
                <w:szCs w:val="20"/>
              </w:rPr>
            </w:pPr>
            <w:r>
              <w:rPr>
                <w:sz w:val="20"/>
                <w:szCs w:val="20"/>
              </w:rPr>
              <w:t>Informed consent for participation</w:t>
            </w:r>
          </w:p>
        </w:tc>
        <w:tc>
          <w:tcPr>
            <w:tcW w:w="4425" w:type="dxa"/>
            <w:tcBorders>
              <w:bottom w:val="single" w:sz="8" w:space="0" w:color="000000"/>
              <w:right w:val="single" w:sz="8" w:space="0" w:color="000000"/>
            </w:tcBorders>
            <w:shd w:val="clear" w:color="auto" w:fill="auto"/>
            <w:tcMar>
              <w:top w:w="100" w:type="dxa"/>
              <w:left w:w="100" w:type="dxa"/>
              <w:bottom w:w="100" w:type="dxa"/>
              <w:right w:w="100" w:type="dxa"/>
            </w:tcMar>
          </w:tcPr>
          <w:p w:rsidR="006426D6" w:rsidRDefault="006426D6" w:rsidP="006426D6">
            <w:pPr>
              <w:spacing w:line="240" w:lineRule="auto"/>
              <w:contextualSpacing w:val="0"/>
              <w:jc w:val="both"/>
              <w:rPr>
                <w:sz w:val="20"/>
                <w:szCs w:val="20"/>
              </w:rPr>
            </w:pPr>
            <w:r>
              <w:rPr>
                <w:sz w:val="20"/>
                <w:szCs w:val="20"/>
              </w:rPr>
              <w:t>Lacks capacity to consent for him or herself</w:t>
            </w:r>
          </w:p>
        </w:tc>
      </w:tr>
      <w:tr w:rsidR="006426D6" w:rsidTr="00DD2334">
        <w:trPr>
          <w:trHeight w:val="2940"/>
        </w:trPr>
        <w:tc>
          <w:tcPr>
            <w:tcW w:w="44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26D6" w:rsidRDefault="006426D6" w:rsidP="006426D6">
            <w:pPr>
              <w:spacing w:line="240" w:lineRule="auto"/>
              <w:contextualSpacing w:val="0"/>
              <w:jc w:val="both"/>
              <w:rPr>
                <w:sz w:val="20"/>
                <w:szCs w:val="20"/>
                <w:u w:val="single"/>
              </w:rPr>
            </w:pPr>
            <w:r>
              <w:rPr>
                <w:sz w:val="20"/>
                <w:szCs w:val="20"/>
              </w:rPr>
              <w:t>Severe aortic stenosis (aortic valve area &lt; 0.8cm</w:t>
            </w:r>
            <w:r>
              <w:rPr>
                <w:sz w:val="20"/>
                <w:szCs w:val="20"/>
                <w:vertAlign w:val="superscript"/>
              </w:rPr>
              <w:t>2</w:t>
            </w:r>
            <w:r>
              <w:rPr>
                <w:sz w:val="20"/>
                <w:szCs w:val="20"/>
              </w:rPr>
              <w:t xml:space="preserve">, mean aortic valve gradient &gt; 40mmHg or peak jet velocity &gt; 4m/s); </w:t>
            </w:r>
            <w:r>
              <w:rPr>
                <w:sz w:val="20"/>
                <w:szCs w:val="20"/>
                <w:u w:val="single"/>
              </w:rPr>
              <w:t>AND,</w:t>
            </w:r>
          </w:p>
          <w:p w:rsidR="006426D6" w:rsidRDefault="006426D6" w:rsidP="006426D6">
            <w:pPr>
              <w:spacing w:line="240" w:lineRule="auto"/>
              <w:contextualSpacing w:val="0"/>
              <w:jc w:val="both"/>
              <w:rPr>
                <w:sz w:val="20"/>
                <w:szCs w:val="20"/>
              </w:rPr>
            </w:pPr>
            <w:r>
              <w:rPr>
                <w:sz w:val="20"/>
                <w:szCs w:val="20"/>
              </w:rPr>
              <w:t>Planned management with either TF-/</w:t>
            </w:r>
            <w:proofErr w:type="spellStart"/>
            <w:r>
              <w:rPr>
                <w:sz w:val="20"/>
                <w:szCs w:val="20"/>
              </w:rPr>
              <w:t>TAo</w:t>
            </w:r>
            <w:proofErr w:type="spellEnd"/>
            <w:r>
              <w:rPr>
                <w:sz w:val="20"/>
                <w:szCs w:val="20"/>
              </w:rPr>
              <w:t xml:space="preserve">-TAVI or isolated AVR; </w:t>
            </w:r>
          </w:p>
          <w:p w:rsidR="006426D6" w:rsidRDefault="006426D6" w:rsidP="006426D6">
            <w:pPr>
              <w:spacing w:line="240" w:lineRule="auto"/>
              <w:contextualSpacing w:val="0"/>
              <w:jc w:val="both"/>
              <w:rPr>
                <w:sz w:val="20"/>
                <w:szCs w:val="20"/>
                <w:u w:val="single"/>
              </w:rPr>
            </w:pPr>
          </w:p>
          <w:p w:rsidR="006426D6" w:rsidRDefault="006426D6" w:rsidP="006426D6">
            <w:pPr>
              <w:spacing w:line="240" w:lineRule="auto"/>
              <w:contextualSpacing w:val="0"/>
              <w:jc w:val="both"/>
              <w:rPr>
                <w:sz w:val="20"/>
                <w:szCs w:val="20"/>
                <w:u w:val="single"/>
              </w:rPr>
            </w:pPr>
            <w:r>
              <w:rPr>
                <w:sz w:val="20"/>
                <w:szCs w:val="20"/>
                <w:u w:val="single"/>
              </w:rPr>
              <w:t>OR,</w:t>
            </w:r>
          </w:p>
          <w:p w:rsidR="006426D6" w:rsidRDefault="006426D6" w:rsidP="006426D6">
            <w:pPr>
              <w:spacing w:line="240" w:lineRule="auto"/>
              <w:ind w:left="720"/>
              <w:contextualSpacing w:val="0"/>
              <w:jc w:val="both"/>
              <w:rPr>
                <w:sz w:val="20"/>
                <w:szCs w:val="20"/>
                <w:u w:val="single"/>
              </w:rPr>
            </w:pPr>
          </w:p>
          <w:p w:rsidR="006426D6" w:rsidRDefault="006426D6" w:rsidP="006426D6">
            <w:pPr>
              <w:spacing w:line="240" w:lineRule="auto"/>
              <w:contextualSpacing w:val="0"/>
              <w:jc w:val="both"/>
              <w:rPr>
                <w:sz w:val="20"/>
                <w:szCs w:val="20"/>
              </w:rPr>
            </w:pPr>
            <w:r>
              <w:rPr>
                <w:sz w:val="20"/>
                <w:szCs w:val="20"/>
              </w:rPr>
              <w:t xml:space="preserve">Coronary artery disease (excluding life-threatening coronary artery occlusion, recent STEMI, or NSTEMI on heparin infusions, IV vasoactive agents such as GTN, dobutamine or dopamine); </w:t>
            </w:r>
          </w:p>
        </w:tc>
        <w:tc>
          <w:tcPr>
            <w:tcW w:w="4425" w:type="dxa"/>
            <w:tcBorders>
              <w:bottom w:val="single" w:sz="8" w:space="0" w:color="000000"/>
              <w:right w:val="single" w:sz="8" w:space="0" w:color="000000"/>
            </w:tcBorders>
            <w:shd w:val="clear" w:color="auto" w:fill="auto"/>
            <w:tcMar>
              <w:top w:w="100" w:type="dxa"/>
              <w:left w:w="100" w:type="dxa"/>
              <w:bottom w:w="100" w:type="dxa"/>
              <w:right w:w="100" w:type="dxa"/>
            </w:tcMar>
          </w:tcPr>
          <w:p w:rsidR="006426D6" w:rsidRDefault="006426D6" w:rsidP="006426D6">
            <w:pPr>
              <w:spacing w:line="240" w:lineRule="auto"/>
              <w:contextualSpacing w:val="0"/>
              <w:jc w:val="both"/>
              <w:rPr>
                <w:sz w:val="20"/>
                <w:szCs w:val="20"/>
              </w:rPr>
            </w:pPr>
            <w:r>
              <w:rPr>
                <w:sz w:val="20"/>
                <w:szCs w:val="20"/>
              </w:rPr>
              <w:t>Medications known to: a) interact with coagulation assays; or b) have a known or suspected prothrombotic or coagulopathic action that cannot be corrected for by POCCT.</w:t>
            </w:r>
          </w:p>
        </w:tc>
      </w:tr>
      <w:tr w:rsidR="006426D6" w:rsidTr="00DD2334">
        <w:trPr>
          <w:trHeight w:val="740"/>
        </w:trPr>
        <w:tc>
          <w:tcPr>
            <w:tcW w:w="44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26D6" w:rsidRDefault="006426D6" w:rsidP="006426D6">
            <w:pPr>
              <w:spacing w:line="240" w:lineRule="auto"/>
              <w:contextualSpacing w:val="0"/>
              <w:jc w:val="both"/>
              <w:rPr>
                <w:sz w:val="20"/>
                <w:szCs w:val="20"/>
              </w:rPr>
            </w:pPr>
            <w:r>
              <w:rPr>
                <w:sz w:val="20"/>
                <w:szCs w:val="20"/>
              </w:rPr>
              <w:t>Stable haemoglobin &gt; 100g/L</w:t>
            </w:r>
          </w:p>
        </w:tc>
        <w:tc>
          <w:tcPr>
            <w:tcW w:w="4425" w:type="dxa"/>
            <w:tcBorders>
              <w:bottom w:val="single" w:sz="8" w:space="0" w:color="000000"/>
              <w:right w:val="single" w:sz="8" w:space="0" w:color="000000"/>
            </w:tcBorders>
            <w:shd w:val="clear" w:color="auto" w:fill="auto"/>
            <w:tcMar>
              <w:top w:w="100" w:type="dxa"/>
              <w:left w:w="100" w:type="dxa"/>
              <w:bottom w:w="100" w:type="dxa"/>
              <w:right w:w="100" w:type="dxa"/>
            </w:tcMar>
          </w:tcPr>
          <w:p w:rsidR="006426D6" w:rsidRDefault="006426D6" w:rsidP="006426D6">
            <w:pPr>
              <w:spacing w:line="240" w:lineRule="auto"/>
              <w:contextualSpacing w:val="0"/>
              <w:jc w:val="both"/>
              <w:rPr>
                <w:sz w:val="20"/>
                <w:szCs w:val="20"/>
              </w:rPr>
            </w:pPr>
            <w:r>
              <w:rPr>
                <w:sz w:val="20"/>
                <w:szCs w:val="20"/>
              </w:rPr>
              <w:t>Known or suspected bleeding or clotting disorders</w:t>
            </w:r>
          </w:p>
        </w:tc>
      </w:tr>
      <w:tr w:rsidR="006426D6" w:rsidTr="00DD2334">
        <w:trPr>
          <w:trHeight w:val="980"/>
        </w:trPr>
        <w:tc>
          <w:tcPr>
            <w:tcW w:w="44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26D6" w:rsidRDefault="00870DDF" w:rsidP="006426D6">
            <w:pPr>
              <w:spacing w:line="240" w:lineRule="auto"/>
              <w:contextualSpacing w:val="0"/>
              <w:jc w:val="both"/>
              <w:rPr>
                <w:sz w:val="20"/>
                <w:szCs w:val="20"/>
              </w:rPr>
            </w:pPr>
            <w:r>
              <w:rPr>
                <w:sz w:val="20"/>
                <w:szCs w:val="20"/>
              </w:rPr>
              <w:t>Preserved ejection fraction (&gt;50%)</w:t>
            </w:r>
          </w:p>
        </w:tc>
        <w:tc>
          <w:tcPr>
            <w:tcW w:w="4425" w:type="dxa"/>
            <w:tcBorders>
              <w:bottom w:val="single" w:sz="8" w:space="0" w:color="000000"/>
              <w:right w:val="single" w:sz="8" w:space="0" w:color="000000"/>
            </w:tcBorders>
            <w:shd w:val="clear" w:color="auto" w:fill="auto"/>
            <w:tcMar>
              <w:top w:w="100" w:type="dxa"/>
              <w:left w:w="100" w:type="dxa"/>
              <w:bottom w:w="100" w:type="dxa"/>
              <w:right w:w="100" w:type="dxa"/>
            </w:tcMar>
          </w:tcPr>
          <w:p w:rsidR="006426D6" w:rsidRDefault="006426D6" w:rsidP="006426D6">
            <w:pPr>
              <w:spacing w:line="240" w:lineRule="auto"/>
              <w:contextualSpacing w:val="0"/>
              <w:jc w:val="both"/>
              <w:rPr>
                <w:sz w:val="20"/>
                <w:szCs w:val="20"/>
              </w:rPr>
            </w:pPr>
            <w:r>
              <w:rPr>
                <w:sz w:val="20"/>
                <w:szCs w:val="20"/>
              </w:rPr>
              <w:t>Severe liver, renal, respiratory or psychiatric disease (including substance abuse)</w:t>
            </w:r>
          </w:p>
        </w:tc>
      </w:tr>
      <w:tr w:rsidR="006426D6" w:rsidTr="00DD2334">
        <w:trPr>
          <w:trHeight w:val="740"/>
        </w:trPr>
        <w:tc>
          <w:tcPr>
            <w:tcW w:w="44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26D6" w:rsidRDefault="006426D6" w:rsidP="006426D6">
            <w:pPr>
              <w:spacing w:line="240" w:lineRule="auto"/>
              <w:contextualSpacing w:val="0"/>
              <w:jc w:val="both"/>
              <w:rPr>
                <w:sz w:val="20"/>
                <w:szCs w:val="20"/>
              </w:rPr>
            </w:pPr>
          </w:p>
        </w:tc>
        <w:tc>
          <w:tcPr>
            <w:tcW w:w="4425" w:type="dxa"/>
            <w:tcBorders>
              <w:bottom w:val="single" w:sz="8" w:space="0" w:color="000000"/>
              <w:right w:val="single" w:sz="8" w:space="0" w:color="000000"/>
            </w:tcBorders>
            <w:shd w:val="clear" w:color="auto" w:fill="auto"/>
            <w:tcMar>
              <w:top w:w="100" w:type="dxa"/>
              <w:left w:w="100" w:type="dxa"/>
              <w:bottom w:w="100" w:type="dxa"/>
              <w:right w:w="100" w:type="dxa"/>
            </w:tcMar>
          </w:tcPr>
          <w:p w:rsidR="006426D6" w:rsidRDefault="006426D6" w:rsidP="006426D6">
            <w:pPr>
              <w:spacing w:line="240" w:lineRule="auto"/>
              <w:contextualSpacing w:val="0"/>
              <w:jc w:val="both"/>
              <w:rPr>
                <w:sz w:val="20"/>
                <w:szCs w:val="20"/>
              </w:rPr>
            </w:pPr>
            <w:r>
              <w:rPr>
                <w:sz w:val="20"/>
                <w:szCs w:val="20"/>
              </w:rPr>
              <w:t>Enrolled in another study with a non-standard treatment intervention</w:t>
            </w:r>
          </w:p>
        </w:tc>
      </w:tr>
    </w:tbl>
    <w:p w:rsidR="00870DDF" w:rsidRDefault="006615DD" w:rsidP="00870DDF">
      <w:pPr>
        <w:spacing w:line="240" w:lineRule="auto"/>
        <w:contextualSpacing w:val="0"/>
        <w:jc w:val="center"/>
        <w:rPr>
          <w:i/>
          <w:sz w:val="20"/>
          <w:szCs w:val="20"/>
        </w:rPr>
      </w:pPr>
      <w:r>
        <w:rPr>
          <w:b/>
          <w:sz w:val="24"/>
          <w:szCs w:val="24"/>
        </w:rPr>
        <w:t xml:space="preserve"> </w:t>
      </w:r>
      <w:r w:rsidR="00DD2334">
        <w:rPr>
          <w:b/>
          <w:i/>
          <w:sz w:val="20"/>
          <w:szCs w:val="20"/>
        </w:rPr>
        <w:t>Table 1</w:t>
      </w:r>
      <w:r w:rsidR="00870DDF">
        <w:rPr>
          <w:b/>
          <w:i/>
          <w:sz w:val="20"/>
          <w:szCs w:val="20"/>
        </w:rPr>
        <w:t>:</w:t>
      </w:r>
      <w:r w:rsidR="00DD2334">
        <w:rPr>
          <w:b/>
          <w:i/>
          <w:sz w:val="20"/>
          <w:szCs w:val="20"/>
        </w:rPr>
        <w:t xml:space="preserve"> </w:t>
      </w:r>
      <w:r w:rsidR="00870DDF">
        <w:rPr>
          <w:i/>
          <w:sz w:val="20"/>
          <w:szCs w:val="20"/>
        </w:rPr>
        <w:t>Eligibility Criteria</w:t>
      </w:r>
    </w:p>
    <w:p w:rsidR="00B74194" w:rsidRDefault="00B74194">
      <w:pPr>
        <w:spacing w:line="360" w:lineRule="auto"/>
        <w:contextualSpacing w:val="0"/>
        <w:jc w:val="both"/>
        <w:rPr>
          <w:b/>
          <w:sz w:val="24"/>
          <w:szCs w:val="24"/>
        </w:rPr>
      </w:pPr>
    </w:p>
    <w:p w:rsidR="00B74194" w:rsidRDefault="006615DD">
      <w:pPr>
        <w:spacing w:line="360" w:lineRule="auto"/>
        <w:contextualSpacing w:val="0"/>
        <w:jc w:val="both"/>
        <w:rPr>
          <w:sz w:val="24"/>
          <w:szCs w:val="24"/>
        </w:rPr>
      </w:pPr>
      <w:r>
        <w:rPr>
          <w:b/>
          <w:sz w:val="24"/>
          <w:szCs w:val="24"/>
        </w:rPr>
        <w:t xml:space="preserve">Data collection: </w:t>
      </w:r>
      <w:r>
        <w:rPr>
          <w:sz w:val="24"/>
          <w:szCs w:val="24"/>
        </w:rPr>
        <w:t>A multidisciplinary approach has been adopted to ensure relevant experts address each of the assessment domains.</w:t>
      </w:r>
    </w:p>
    <w:p w:rsidR="00B74194" w:rsidRDefault="006615DD">
      <w:pPr>
        <w:spacing w:line="360" w:lineRule="auto"/>
        <w:contextualSpacing w:val="0"/>
        <w:jc w:val="both"/>
        <w:rPr>
          <w:b/>
          <w:sz w:val="24"/>
          <w:szCs w:val="24"/>
        </w:rPr>
      </w:pPr>
      <w:r>
        <w:rPr>
          <w:b/>
          <w:sz w:val="24"/>
          <w:szCs w:val="24"/>
        </w:rPr>
        <w:t xml:space="preserve"> </w:t>
      </w:r>
    </w:p>
    <w:p w:rsidR="00B74194" w:rsidRDefault="006615DD">
      <w:pPr>
        <w:spacing w:line="360" w:lineRule="auto"/>
        <w:contextualSpacing w:val="0"/>
        <w:jc w:val="both"/>
        <w:rPr>
          <w:sz w:val="24"/>
          <w:szCs w:val="24"/>
        </w:rPr>
      </w:pPr>
      <w:r>
        <w:rPr>
          <w:i/>
          <w:sz w:val="24"/>
          <w:szCs w:val="24"/>
        </w:rPr>
        <w:lastRenderedPageBreak/>
        <w:t>Clinical history:</w:t>
      </w:r>
      <w:r>
        <w:rPr>
          <w:sz w:val="24"/>
          <w:szCs w:val="24"/>
        </w:rPr>
        <w:t xml:space="preserve"> standardised </w:t>
      </w:r>
      <w:r w:rsidR="006561BF">
        <w:rPr>
          <w:sz w:val="24"/>
          <w:szCs w:val="24"/>
        </w:rPr>
        <w:t>data collection forms</w:t>
      </w:r>
      <w:r>
        <w:rPr>
          <w:sz w:val="24"/>
          <w:szCs w:val="24"/>
        </w:rPr>
        <w:t xml:space="preserve"> </w:t>
      </w:r>
      <w:r w:rsidR="006561BF">
        <w:rPr>
          <w:sz w:val="24"/>
          <w:szCs w:val="24"/>
        </w:rPr>
        <w:t xml:space="preserve">(attached) </w:t>
      </w:r>
      <w:r>
        <w:rPr>
          <w:sz w:val="24"/>
          <w:szCs w:val="24"/>
        </w:rPr>
        <w:t>will be</w:t>
      </w:r>
      <w:r w:rsidR="006561BF">
        <w:rPr>
          <w:sz w:val="24"/>
          <w:szCs w:val="24"/>
        </w:rPr>
        <w:t xml:space="preserve"> completed by researchers using medical records</w:t>
      </w:r>
      <w:r>
        <w:rPr>
          <w:sz w:val="24"/>
          <w:szCs w:val="24"/>
        </w:rPr>
        <w:t xml:space="preserve"> </w:t>
      </w:r>
      <w:r w:rsidR="006561BF">
        <w:rPr>
          <w:sz w:val="24"/>
          <w:szCs w:val="24"/>
        </w:rPr>
        <w:t xml:space="preserve">for </w:t>
      </w:r>
      <w:r>
        <w:rPr>
          <w:sz w:val="24"/>
          <w:szCs w:val="24"/>
        </w:rPr>
        <w:t xml:space="preserve">all </w:t>
      </w:r>
      <w:r w:rsidR="006561BF">
        <w:rPr>
          <w:sz w:val="24"/>
          <w:szCs w:val="24"/>
        </w:rPr>
        <w:t>participants</w:t>
      </w:r>
      <w:r>
        <w:rPr>
          <w:sz w:val="24"/>
          <w:szCs w:val="24"/>
        </w:rPr>
        <w:t xml:space="preserve"> to identify pre-existing risk factors for thrombosis, bleeding or vascular disease, and to assign surgical-risk scores (STS and </w:t>
      </w:r>
      <w:proofErr w:type="spellStart"/>
      <w:r>
        <w:rPr>
          <w:sz w:val="24"/>
          <w:szCs w:val="24"/>
        </w:rPr>
        <w:t>EuroSCORE</w:t>
      </w:r>
      <w:proofErr w:type="spellEnd"/>
      <w:r>
        <w:rPr>
          <w:sz w:val="24"/>
          <w:szCs w:val="24"/>
        </w:rPr>
        <w:t xml:space="preserve"> II).</w:t>
      </w:r>
    </w:p>
    <w:p w:rsidR="00B74194" w:rsidRDefault="006615DD">
      <w:pPr>
        <w:spacing w:line="360" w:lineRule="auto"/>
        <w:contextualSpacing w:val="0"/>
        <w:jc w:val="both"/>
        <w:rPr>
          <w:i/>
          <w:sz w:val="24"/>
          <w:szCs w:val="24"/>
        </w:rPr>
      </w:pPr>
      <w:r>
        <w:rPr>
          <w:i/>
          <w:sz w:val="24"/>
          <w:szCs w:val="24"/>
        </w:rPr>
        <w:t xml:space="preserve"> </w:t>
      </w:r>
    </w:p>
    <w:p w:rsidR="00B74194" w:rsidRDefault="006615DD">
      <w:pPr>
        <w:spacing w:line="360" w:lineRule="auto"/>
        <w:contextualSpacing w:val="0"/>
        <w:jc w:val="both"/>
        <w:rPr>
          <w:sz w:val="24"/>
          <w:szCs w:val="24"/>
        </w:rPr>
      </w:pPr>
      <w:r>
        <w:rPr>
          <w:i/>
          <w:sz w:val="24"/>
          <w:szCs w:val="24"/>
        </w:rPr>
        <w:t xml:space="preserve">Procedural record: </w:t>
      </w:r>
      <w:r>
        <w:rPr>
          <w:sz w:val="24"/>
          <w:szCs w:val="24"/>
        </w:rPr>
        <w:t>a standardised procedural record will be completed at the time of the procedure. This will consider all aspects of the procedure with implications for coagulation including, but not limited to: pre-procedural antithrombotic medication and timing, procedural duration, heparin dosing and timing, protamine administration and timing, duration of dysrhythmia (including rapid ventricular pacing and arrest) and patient temperature.</w:t>
      </w:r>
    </w:p>
    <w:p w:rsidR="00B74194" w:rsidRPr="00870DDF" w:rsidRDefault="006615DD">
      <w:pPr>
        <w:spacing w:line="360" w:lineRule="auto"/>
        <w:contextualSpacing w:val="0"/>
        <w:jc w:val="both"/>
        <w:rPr>
          <w:b/>
          <w:sz w:val="24"/>
          <w:szCs w:val="24"/>
        </w:rPr>
      </w:pPr>
      <w:r>
        <w:rPr>
          <w:b/>
          <w:sz w:val="24"/>
          <w:szCs w:val="24"/>
        </w:rPr>
        <w:t xml:space="preserve"> </w:t>
      </w:r>
    </w:p>
    <w:p w:rsidR="00B74194" w:rsidRDefault="006615DD">
      <w:pPr>
        <w:spacing w:line="360" w:lineRule="auto"/>
        <w:contextualSpacing w:val="0"/>
        <w:jc w:val="both"/>
        <w:rPr>
          <w:sz w:val="24"/>
          <w:szCs w:val="24"/>
        </w:rPr>
      </w:pPr>
      <w:r>
        <w:rPr>
          <w:i/>
          <w:sz w:val="24"/>
          <w:szCs w:val="24"/>
        </w:rPr>
        <w:t xml:space="preserve">Echocardiography: </w:t>
      </w:r>
      <w:r>
        <w:rPr>
          <w:sz w:val="24"/>
          <w:szCs w:val="24"/>
        </w:rPr>
        <w:t>will be performed pre-procedure to grade aortic stenosis and valve function, measure calcification, and identify intracardiac thrombi and spontaneous echo contrast.</w:t>
      </w:r>
      <w:r w:rsidR="006561BF">
        <w:rPr>
          <w:sz w:val="24"/>
          <w:szCs w:val="24"/>
        </w:rPr>
        <w:t xml:space="preserve"> This is part of routine clinical care. </w:t>
      </w:r>
    </w:p>
    <w:p w:rsidR="00B74194" w:rsidRDefault="006615DD">
      <w:pPr>
        <w:spacing w:line="360" w:lineRule="auto"/>
        <w:contextualSpacing w:val="0"/>
        <w:jc w:val="both"/>
        <w:rPr>
          <w:b/>
          <w:i/>
          <w:sz w:val="24"/>
          <w:szCs w:val="24"/>
        </w:rPr>
      </w:pPr>
      <w:r>
        <w:rPr>
          <w:b/>
          <w:i/>
          <w:sz w:val="24"/>
          <w:szCs w:val="24"/>
        </w:rPr>
        <w:t xml:space="preserve"> </w:t>
      </w:r>
    </w:p>
    <w:p w:rsidR="00B74194" w:rsidRDefault="006615DD">
      <w:pPr>
        <w:spacing w:line="360" w:lineRule="auto"/>
        <w:contextualSpacing w:val="0"/>
        <w:jc w:val="both"/>
        <w:rPr>
          <w:sz w:val="24"/>
          <w:szCs w:val="24"/>
        </w:rPr>
      </w:pPr>
      <w:r>
        <w:rPr>
          <w:i/>
          <w:sz w:val="24"/>
          <w:szCs w:val="24"/>
        </w:rPr>
        <w:t>Physiological Monitoring:</w:t>
      </w:r>
      <w:r>
        <w:rPr>
          <w:sz w:val="24"/>
          <w:szCs w:val="24"/>
        </w:rPr>
        <w:t xml:space="preserve"> continuous haemodynamic monitoring and peri-operative telemetry will be employed to measure the duration of rapid ventricular </w:t>
      </w:r>
      <w:proofErr w:type="gramStart"/>
      <w:r>
        <w:rPr>
          <w:sz w:val="24"/>
          <w:szCs w:val="24"/>
        </w:rPr>
        <w:t>pacing, and</w:t>
      </w:r>
      <w:proofErr w:type="gramEnd"/>
      <w:r>
        <w:rPr>
          <w:sz w:val="24"/>
          <w:szCs w:val="24"/>
        </w:rPr>
        <w:t xml:space="preserve"> detect the burden of thrombogenic dysrhythmias. </w:t>
      </w:r>
    </w:p>
    <w:p w:rsidR="00B74194" w:rsidRDefault="006615DD">
      <w:pPr>
        <w:spacing w:line="360" w:lineRule="auto"/>
        <w:contextualSpacing w:val="0"/>
        <w:jc w:val="both"/>
        <w:rPr>
          <w:sz w:val="24"/>
          <w:szCs w:val="24"/>
        </w:rPr>
      </w:pPr>
      <w:r>
        <w:rPr>
          <w:sz w:val="24"/>
          <w:szCs w:val="24"/>
        </w:rPr>
        <w:t xml:space="preserve"> </w:t>
      </w:r>
    </w:p>
    <w:p w:rsidR="00B74194" w:rsidRPr="00367469" w:rsidRDefault="006615DD">
      <w:pPr>
        <w:spacing w:line="360" w:lineRule="auto"/>
        <w:contextualSpacing w:val="0"/>
        <w:jc w:val="both"/>
        <w:rPr>
          <w:b/>
          <w:i/>
          <w:sz w:val="24"/>
          <w:szCs w:val="24"/>
        </w:rPr>
      </w:pPr>
      <w:r w:rsidRPr="00367469">
        <w:rPr>
          <w:b/>
          <w:i/>
          <w:sz w:val="24"/>
          <w:szCs w:val="24"/>
        </w:rPr>
        <w:t xml:space="preserve">Blood samples: </w:t>
      </w:r>
    </w:p>
    <w:p w:rsidR="00B74194" w:rsidRPr="00367469" w:rsidRDefault="00B74194" w:rsidP="00367469">
      <w:pPr>
        <w:spacing w:line="360" w:lineRule="auto"/>
        <w:contextualSpacing w:val="0"/>
        <w:jc w:val="both"/>
        <w:rPr>
          <w:sz w:val="24"/>
          <w:szCs w:val="24"/>
        </w:rPr>
      </w:pPr>
    </w:p>
    <w:p w:rsidR="00F1203A" w:rsidRPr="00367469" w:rsidRDefault="00F1203A" w:rsidP="00367469">
      <w:pPr>
        <w:spacing w:line="360" w:lineRule="auto"/>
        <w:rPr>
          <w:rFonts w:ascii="Times New Roman" w:eastAsia="Times New Roman" w:hAnsi="Times New Roman" w:cs="Times New Roman"/>
          <w:sz w:val="24"/>
          <w:szCs w:val="24"/>
          <w:lang w:val="en-AU"/>
        </w:rPr>
      </w:pPr>
      <w:r w:rsidRPr="00367469">
        <w:rPr>
          <w:i/>
          <w:sz w:val="24"/>
          <w:szCs w:val="24"/>
        </w:rPr>
        <w:t>Collection:</w:t>
      </w:r>
      <w:r w:rsidRPr="00367469">
        <w:rPr>
          <w:sz w:val="24"/>
          <w:szCs w:val="24"/>
        </w:rPr>
        <w:t xml:space="preserve"> </w:t>
      </w:r>
      <w:r w:rsidRPr="00367469">
        <w:rPr>
          <w:rFonts w:eastAsia="Times New Roman"/>
          <w:color w:val="000000"/>
          <w:sz w:val="24"/>
          <w:szCs w:val="24"/>
          <w:lang w:val="en-AU"/>
        </w:rPr>
        <w:t xml:space="preserve">Sample collection will follow standard procedure using the </w:t>
      </w:r>
      <w:r w:rsidR="00177541">
        <w:rPr>
          <w:rFonts w:eastAsia="Times New Roman"/>
          <w:color w:val="000000"/>
          <w:sz w:val="24"/>
          <w:szCs w:val="24"/>
          <w:lang w:val="en-AU"/>
        </w:rPr>
        <w:t xml:space="preserve">arterial </w:t>
      </w:r>
      <w:r w:rsidRPr="00367469">
        <w:rPr>
          <w:rFonts w:eastAsia="Times New Roman"/>
          <w:color w:val="000000"/>
          <w:sz w:val="24"/>
          <w:szCs w:val="24"/>
          <w:lang w:val="en-AU"/>
        </w:rPr>
        <w:t xml:space="preserve">line (or similar) according to manufacturer recommendations. A </w:t>
      </w:r>
      <w:r w:rsidR="001A386F" w:rsidRPr="00367469">
        <w:rPr>
          <w:rFonts w:eastAsia="Times New Roman"/>
          <w:color w:val="000000"/>
          <w:sz w:val="24"/>
          <w:szCs w:val="24"/>
          <w:lang w:val="en-AU"/>
        </w:rPr>
        <w:t>two-syringe</w:t>
      </w:r>
      <w:r w:rsidRPr="00367469">
        <w:rPr>
          <w:rFonts w:eastAsia="Times New Roman"/>
          <w:color w:val="000000"/>
          <w:sz w:val="24"/>
          <w:szCs w:val="24"/>
          <w:lang w:val="en-AU"/>
        </w:rPr>
        <w:t xml:space="preserve"> draw</w:t>
      </w:r>
      <w:r w:rsidR="001A386F">
        <w:rPr>
          <w:rFonts w:eastAsia="Times New Roman"/>
          <w:color w:val="000000"/>
          <w:sz w:val="24"/>
          <w:szCs w:val="24"/>
          <w:lang w:val="en-AU"/>
        </w:rPr>
        <w:t xml:space="preserve"> technique will be use with 10 mL</w:t>
      </w:r>
      <w:r w:rsidR="00367469" w:rsidRPr="00367469">
        <w:rPr>
          <w:rFonts w:eastAsia="Times New Roman"/>
          <w:color w:val="000000"/>
          <w:sz w:val="24"/>
          <w:szCs w:val="24"/>
          <w:lang w:val="en-AU"/>
        </w:rPr>
        <w:t xml:space="preserve"> aspirated</w:t>
      </w:r>
      <w:r w:rsidR="001A386F">
        <w:rPr>
          <w:rFonts w:eastAsia="Times New Roman"/>
          <w:color w:val="000000"/>
          <w:sz w:val="24"/>
          <w:szCs w:val="24"/>
          <w:lang w:val="en-AU"/>
        </w:rPr>
        <w:t xml:space="preserve"> from the access line</w:t>
      </w:r>
      <w:r w:rsidR="00367469" w:rsidRPr="00367469">
        <w:rPr>
          <w:rFonts w:eastAsia="Times New Roman"/>
          <w:color w:val="000000"/>
          <w:sz w:val="24"/>
          <w:szCs w:val="24"/>
          <w:lang w:val="en-AU"/>
        </w:rPr>
        <w:t xml:space="preserve"> prior to collection of </w:t>
      </w:r>
      <w:r w:rsidRPr="00367469">
        <w:rPr>
          <w:rFonts w:eastAsia="Times New Roman"/>
          <w:color w:val="000000"/>
          <w:sz w:val="24"/>
          <w:szCs w:val="24"/>
          <w:lang w:val="en-AU"/>
        </w:rPr>
        <w:t xml:space="preserve">the </w:t>
      </w:r>
      <w:r w:rsidR="00367469" w:rsidRPr="00367469">
        <w:rPr>
          <w:rFonts w:eastAsia="Times New Roman"/>
          <w:color w:val="000000"/>
          <w:sz w:val="24"/>
          <w:szCs w:val="24"/>
          <w:lang w:val="en-AU"/>
        </w:rPr>
        <w:t>study bloods. Tubes will be filled completely by vacuum. Tubes will be inverted 3 to 7 times depending on tube type and manufacturer recommendation.</w:t>
      </w:r>
    </w:p>
    <w:p w:rsidR="00F1203A" w:rsidRPr="00367469" w:rsidRDefault="00F1203A" w:rsidP="00367469">
      <w:pPr>
        <w:spacing w:line="360" w:lineRule="auto"/>
        <w:contextualSpacing w:val="0"/>
        <w:jc w:val="both"/>
        <w:rPr>
          <w:sz w:val="24"/>
          <w:szCs w:val="24"/>
        </w:rPr>
      </w:pPr>
    </w:p>
    <w:p w:rsidR="00B74194" w:rsidRDefault="006615DD" w:rsidP="00367469">
      <w:pPr>
        <w:spacing w:line="360" w:lineRule="auto"/>
        <w:contextualSpacing w:val="0"/>
        <w:jc w:val="both"/>
        <w:rPr>
          <w:sz w:val="24"/>
          <w:szCs w:val="24"/>
        </w:rPr>
      </w:pPr>
      <w:r w:rsidRPr="00367469">
        <w:rPr>
          <w:i/>
          <w:sz w:val="24"/>
          <w:szCs w:val="24"/>
        </w:rPr>
        <w:t xml:space="preserve">Standard Laboratory testing: </w:t>
      </w:r>
      <w:r w:rsidRPr="00367469">
        <w:rPr>
          <w:sz w:val="24"/>
          <w:szCs w:val="24"/>
        </w:rPr>
        <w:t xml:space="preserve">3 - 6 mL of blood will be collected </w:t>
      </w:r>
      <w:r w:rsidR="00367469" w:rsidRPr="00367469">
        <w:rPr>
          <w:sz w:val="24"/>
          <w:szCs w:val="24"/>
        </w:rPr>
        <w:t>prior to</w:t>
      </w:r>
      <w:r w:rsidRPr="00367469">
        <w:rPr>
          <w:sz w:val="24"/>
          <w:szCs w:val="24"/>
        </w:rPr>
        <w:t>,</w:t>
      </w:r>
      <w:r w:rsidR="00367469" w:rsidRPr="00367469">
        <w:rPr>
          <w:sz w:val="24"/>
          <w:szCs w:val="24"/>
        </w:rPr>
        <w:t xml:space="preserve"> during and</w:t>
      </w:r>
      <w:r w:rsidRPr="00367469">
        <w:rPr>
          <w:sz w:val="24"/>
          <w:szCs w:val="24"/>
        </w:rPr>
        <w:t xml:space="preserve"> post-procedure</w:t>
      </w:r>
      <w:r>
        <w:rPr>
          <w:sz w:val="24"/>
          <w:szCs w:val="24"/>
        </w:rPr>
        <w:t xml:space="preserve"> </w:t>
      </w:r>
      <w:r w:rsidR="00DA7577">
        <w:rPr>
          <w:sz w:val="24"/>
          <w:szCs w:val="24"/>
        </w:rPr>
        <w:t xml:space="preserve">(Table 3) </w:t>
      </w:r>
      <w:r>
        <w:rPr>
          <w:sz w:val="24"/>
          <w:szCs w:val="24"/>
        </w:rPr>
        <w:t>for standard laboratory full blood count, coagulation testing (prothrombin time/international normalized ratio, activated partial thromboplastin time and direct fibrinogen), and anti-</w:t>
      </w:r>
      <w:proofErr w:type="spellStart"/>
      <w:r>
        <w:rPr>
          <w:sz w:val="24"/>
          <w:szCs w:val="24"/>
        </w:rPr>
        <w:t>Xa</w:t>
      </w:r>
      <w:proofErr w:type="spellEnd"/>
      <w:r>
        <w:rPr>
          <w:sz w:val="24"/>
          <w:szCs w:val="24"/>
        </w:rPr>
        <w:t xml:space="preserve"> assay levels (the ‘gold standard’ for heparin measurement). </w:t>
      </w:r>
      <w:r w:rsidR="00367469">
        <w:rPr>
          <w:sz w:val="24"/>
          <w:szCs w:val="24"/>
        </w:rPr>
        <w:t xml:space="preserve">A sample of citrated </w:t>
      </w:r>
      <w:r w:rsidR="001A386F">
        <w:rPr>
          <w:sz w:val="24"/>
          <w:szCs w:val="24"/>
        </w:rPr>
        <w:t>blood will be centrifuged</w:t>
      </w:r>
      <w:r w:rsidR="00367469">
        <w:rPr>
          <w:sz w:val="24"/>
          <w:szCs w:val="24"/>
        </w:rPr>
        <w:t xml:space="preserve"> to obtain platelet poor plasma</w:t>
      </w:r>
      <w:r w:rsidR="001A386F">
        <w:rPr>
          <w:sz w:val="24"/>
          <w:szCs w:val="24"/>
        </w:rPr>
        <w:t xml:space="preserve"> and </w:t>
      </w:r>
      <w:r w:rsidR="00367469">
        <w:rPr>
          <w:sz w:val="24"/>
          <w:szCs w:val="24"/>
        </w:rPr>
        <w:t>stored at -80°C until processing at the end of the study. S</w:t>
      </w:r>
      <w:r>
        <w:rPr>
          <w:sz w:val="24"/>
          <w:szCs w:val="24"/>
        </w:rPr>
        <w:t xml:space="preserve">amples will be </w:t>
      </w:r>
      <w:r w:rsidR="00367469">
        <w:rPr>
          <w:sz w:val="24"/>
          <w:szCs w:val="24"/>
        </w:rPr>
        <w:lastRenderedPageBreak/>
        <w:t>analysed and</w:t>
      </w:r>
      <w:r>
        <w:rPr>
          <w:sz w:val="24"/>
          <w:szCs w:val="24"/>
        </w:rPr>
        <w:t xml:space="preserve"> prepared by Queensland Medical Laboratories (QML) Pathology</w:t>
      </w:r>
      <w:r w:rsidR="00367469">
        <w:rPr>
          <w:sz w:val="24"/>
          <w:szCs w:val="24"/>
        </w:rPr>
        <w:t xml:space="preserve"> at St. Andrew’s Hospital and Queensland Pathology at the Princess Alexandra Hospital</w:t>
      </w:r>
      <w:r>
        <w:rPr>
          <w:sz w:val="24"/>
          <w:szCs w:val="24"/>
        </w:rPr>
        <w:t xml:space="preserve">. </w:t>
      </w:r>
      <w:r w:rsidR="0045508C">
        <w:rPr>
          <w:sz w:val="24"/>
          <w:szCs w:val="24"/>
        </w:rPr>
        <w:t xml:space="preserve">Platelet poor plasma samples will be transferred to the Critical Care Research Group Labs based at the Prince Charles Hospital for specialised coagulation and platelet function markers. </w:t>
      </w:r>
    </w:p>
    <w:p w:rsidR="00B74194" w:rsidRDefault="006615DD">
      <w:pPr>
        <w:spacing w:line="360" w:lineRule="auto"/>
        <w:contextualSpacing w:val="0"/>
        <w:jc w:val="both"/>
        <w:rPr>
          <w:sz w:val="24"/>
          <w:szCs w:val="24"/>
        </w:rPr>
      </w:pPr>
      <w:r>
        <w:rPr>
          <w:sz w:val="24"/>
          <w:szCs w:val="24"/>
        </w:rPr>
        <w:t xml:space="preserve"> </w:t>
      </w:r>
    </w:p>
    <w:p w:rsidR="00B74194" w:rsidRDefault="006615DD">
      <w:pPr>
        <w:spacing w:line="360" w:lineRule="auto"/>
        <w:contextualSpacing w:val="0"/>
        <w:jc w:val="both"/>
        <w:rPr>
          <w:sz w:val="24"/>
          <w:szCs w:val="24"/>
        </w:rPr>
      </w:pPr>
      <w:r>
        <w:rPr>
          <w:i/>
          <w:sz w:val="24"/>
          <w:szCs w:val="24"/>
        </w:rPr>
        <w:t xml:space="preserve">Point-of-care coagulation testing: </w:t>
      </w:r>
      <w:r w:rsidR="00A87A6D">
        <w:rPr>
          <w:sz w:val="24"/>
          <w:szCs w:val="24"/>
        </w:rPr>
        <w:t xml:space="preserve">A further 3 - </w:t>
      </w:r>
      <w:r>
        <w:rPr>
          <w:sz w:val="24"/>
          <w:szCs w:val="24"/>
        </w:rPr>
        <w:t>6 mL of blood will be collected at pre-specified procedure-dependent times (Table 3) for POCCT with the TEG®6s</w:t>
      </w:r>
      <w:r w:rsidR="00886B96">
        <w:rPr>
          <w:sz w:val="24"/>
          <w:szCs w:val="24"/>
        </w:rPr>
        <w:t>,</w:t>
      </w:r>
      <w:r>
        <w:rPr>
          <w:sz w:val="24"/>
          <w:szCs w:val="24"/>
        </w:rPr>
        <w:t xml:space="preserve"> </w:t>
      </w:r>
      <w:proofErr w:type="spellStart"/>
      <w:r>
        <w:rPr>
          <w:sz w:val="24"/>
          <w:szCs w:val="24"/>
        </w:rPr>
        <w:t>ROTEM®</w:t>
      </w:r>
      <w:r>
        <w:rPr>
          <w:i/>
          <w:sz w:val="24"/>
          <w:szCs w:val="24"/>
        </w:rPr>
        <w:t>Sigma</w:t>
      </w:r>
      <w:proofErr w:type="spellEnd"/>
      <w:r>
        <w:rPr>
          <w:sz w:val="24"/>
          <w:szCs w:val="24"/>
        </w:rPr>
        <w:t xml:space="preserve"> </w:t>
      </w:r>
      <w:r w:rsidR="00886B96">
        <w:rPr>
          <w:sz w:val="24"/>
          <w:szCs w:val="24"/>
        </w:rPr>
        <w:t xml:space="preserve">and activated clotting time </w:t>
      </w:r>
      <w:bookmarkStart w:id="0" w:name="_GoBack"/>
      <w:bookmarkEnd w:id="0"/>
      <w:r>
        <w:rPr>
          <w:sz w:val="24"/>
          <w:szCs w:val="24"/>
        </w:rPr>
        <w:t xml:space="preserve">as previously discussed. Similarly, </w:t>
      </w:r>
      <w:proofErr w:type="spellStart"/>
      <w:r>
        <w:rPr>
          <w:sz w:val="24"/>
          <w:szCs w:val="24"/>
        </w:rPr>
        <w:t>Multiplate</w:t>
      </w:r>
      <w:proofErr w:type="spellEnd"/>
      <w:r>
        <w:rPr>
          <w:sz w:val="24"/>
          <w:szCs w:val="24"/>
        </w:rPr>
        <w:t xml:space="preserve">® analysis will measure platelet aggregation as determined by impedance aggregometry, with </w:t>
      </w:r>
      <w:proofErr w:type="spellStart"/>
      <w:r>
        <w:rPr>
          <w:sz w:val="24"/>
          <w:szCs w:val="24"/>
        </w:rPr>
        <w:t>Hirudin</w:t>
      </w:r>
      <w:proofErr w:type="spellEnd"/>
      <w:r>
        <w:rPr>
          <w:sz w:val="24"/>
          <w:szCs w:val="24"/>
        </w:rPr>
        <w:t xml:space="preserve"> anticoagulated whole blood added to cells variably containing platelet agonists. </w:t>
      </w:r>
    </w:p>
    <w:p w:rsidR="00B74194" w:rsidRPr="00DD2334" w:rsidRDefault="00B74194" w:rsidP="00DD2334">
      <w:pPr>
        <w:spacing w:line="360" w:lineRule="auto"/>
        <w:contextualSpacing w:val="0"/>
        <w:jc w:val="both"/>
        <w:rPr>
          <w:b/>
          <w:i/>
          <w:sz w:val="24"/>
          <w:szCs w:val="24"/>
        </w:rPr>
      </w:pPr>
    </w:p>
    <w:tbl>
      <w:tblPr>
        <w:tblStyle w:val="a3"/>
        <w:tblW w:w="705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00"/>
        <w:gridCol w:w="1830"/>
        <w:gridCol w:w="1800"/>
        <w:gridCol w:w="1920"/>
      </w:tblGrid>
      <w:tr w:rsidR="00B74194" w:rsidTr="00DD2334">
        <w:trPr>
          <w:trHeight w:val="500"/>
          <w:jc w:val="center"/>
        </w:trPr>
        <w:tc>
          <w:tcPr>
            <w:tcW w:w="150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B74194" w:rsidRDefault="006615DD">
            <w:pPr>
              <w:spacing w:line="240" w:lineRule="auto"/>
              <w:contextualSpacing w:val="0"/>
              <w:jc w:val="center"/>
              <w:rPr>
                <w:b/>
                <w:sz w:val="20"/>
                <w:szCs w:val="20"/>
              </w:rPr>
            </w:pPr>
            <w:r>
              <w:rPr>
                <w:b/>
                <w:sz w:val="20"/>
                <w:szCs w:val="20"/>
              </w:rPr>
              <w:t>Time Point</w:t>
            </w:r>
          </w:p>
        </w:tc>
        <w:tc>
          <w:tcPr>
            <w:tcW w:w="183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B74194" w:rsidRDefault="006615DD">
            <w:pPr>
              <w:spacing w:line="240" w:lineRule="auto"/>
              <w:contextualSpacing w:val="0"/>
              <w:jc w:val="center"/>
              <w:rPr>
                <w:b/>
                <w:sz w:val="20"/>
                <w:szCs w:val="20"/>
              </w:rPr>
            </w:pPr>
            <w:r>
              <w:rPr>
                <w:b/>
                <w:sz w:val="20"/>
                <w:szCs w:val="20"/>
              </w:rPr>
              <w:t>TF-TAVI</w:t>
            </w:r>
          </w:p>
        </w:tc>
        <w:tc>
          <w:tcPr>
            <w:tcW w:w="180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B74194" w:rsidRDefault="006615DD">
            <w:pPr>
              <w:spacing w:line="240" w:lineRule="auto"/>
              <w:contextualSpacing w:val="0"/>
              <w:jc w:val="center"/>
              <w:rPr>
                <w:b/>
                <w:sz w:val="20"/>
                <w:szCs w:val="20"/>
              </w:rPr>
            </w:pPr>
            <w:r>
              <w:rPr>
                <w:b/>
                <w:sz w:val="20"/>
                <w:szCs w:val="20"/>
              </w:rPr>
              <w:t>PCI</w:t>
            </w:r>
          </w:p>
        </w:tc>
        <w:tc>
          <w:tcPr>
            <w:tcW w:w="192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B74194" w:rsidRDefault="006615DD">
            <w:pPr>
              <w:spacing w:line="240" w:lineRule="auto"/>
              <w:contextualSpacing w:val="0"/>
              <w:jc w:val="center"/>
              <w:rPr>
                <w:b/>
                <w:sz w:val="20"/>
                <w:szCs w:val="20"/>
              </w:rPr>
            </w:pPr>
            <w:r>
              <w:rPr>
                <w:b/>
                <w:sz w:val="20"/>
                <w:szCs w:val="20"/>
              </w:rPr>
              <w:t>AVR</w:t>
            </w:r>
          </w:p>
        </w:tc>
      </w:tr>
      <w:tr w:rsidR="00B74194" w:rsidTr="00DD2334">
        <w:trPr>
          <w:trHeight w:val="980"/>
          <w:jc w:val="center"/>
        </w:trPr>
        <w:tc>
          <w:tcPr>
            <w:tcW w:w="15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74194" w:rsidRDefault="006615DD">
            <w:pPr>
              <w:spacing w:line="240" w:lineRule="auto"/>
              <w:contextualSpacing w:val="0"/>
              <w:jc w:val="center"/>
              <w:rPr>
                <w:sz w:val="20"/>
                <w:szCs w:val="20"/>
              </w:rPr>
            </w:pPr>
            <w:r>
              <w:rPr>
                <w:sz w:val="20"/>
                <w:szCs w:val="20"/>
              </w:rPr>
              <w:t>1</w:t>
            </w:r>
          </w:p>
        </w:tc>
        <w:tc>
          <w:tcPr>
            <w:tcW w:w="1830" w:type="dxa"/>
            <w:tcBorders>
              <w:bottom w:val="single" w:sz="8" w:space="0" w:color="000000"/>
              <w:right w:val="single" w:sz="8" w:space="0" w:color="000000"/>
            </w:tcBorders>
            <w:shd w:val="clear" w:color="auto" w:fill="auto"/>
            <w:tcMar>
              <w:top w:w="100" w:type="dxa"/>
              <w:left w:w="100" w:type="dxa"/>
              <w:bottom w:w="100" w:type="dxa"/>
              <w:right w:w="100" w:type="dxa"/>
            </w:tcMar>
          </w:tcPr>
          <w:p w:rsidR="00B74194" w:rsidRDefault="006615DD">
            <w:pPr>
              <w:spacing w:line="240" w:lineRule="auto"/>
              <w:contextualSpacing w:val="0"/>
              <w:jc w:val="center"/>
              <w:rPr>
                <w:sz w:val="20"/>
                <w:szCs w:val="20"/>
              </w:rPr>
            </w:pPr>
            <w:r>
              <w:rPr>
                <w:sz w:val="20"/>
                <w:szCs w:val="20"/>
              </w:rPr>
              <w:t>Post-anaesthetic/ pre-cannulation</w:t>
            </w:r>
          </w:p>
        </w:tc>
        <w:tc>
          <w:tcPr>
            <w:tcW w:w="1800" w:type="dxa"/>
            <w:tcBorders>
              <w:bottom w:val="single" w:sz="8" w:space="0" w:color="000000"/>
              <w:right w:val="single" w:sz="8" w:space="0" w:color="000000"/>
            </w:tcBorders>
            <w:shd w:val="clear" w:color="auto" w:fill="auto"/>
            <w:tcMar>
              <w:top w:w="100" w:type="dxa"/>
              <w:left w:w="100" w:type="dxa"/>
              <w:bottom w:w="100" w:type="dxa"/>
              <w:right w:w="100" w:type="dxa"/>
            </w:tcMar>
          </w:tcPr>
          <w:p w:rsidR="00B74194" w:rsidRDefault="006615DD">
            <w:pPr>
              <w:spacing w:line="240" w:lineRule="auto"/>
              <w:contextualSpacing w:val="0"/>
              <w:jc w:val="center"/>
              <w:rPr>
                <w:sz w:val="20"/>
                <w:szCs w:val="20"/>
              </w:rPr>
            </w:pPr>
            <w:r>
              <w:rPr>
                <w:sz w:val="20"/>
                <w:szCs w:val="20"/>
              </w:rPr>
              <w:t>P</w:t>
            </w:r>
            <w:r w:rsidR="003E6FB9">
              <w:rPr>
                <w:sz w:val="20"/>
                <w:szCs w:val="20"/>
              </w:rPr>
              <w:t>ost-cannulation, pre-wire insertion</w:t>
            </w:r>
          </w:p>
        </w:tc>
        <w:tc>
          <w:tcPr>
            <w:tcW w:w="1920" w:type="dxa"/>
            <w:tcBorders>
              <w:bottom w:val="single" w:sz="8" w:space="0" w:color="000000"/>
              <w:right w:val="single" w:sz="8" w:space="0" w:color="000000"/>
            </w:tcBorders>
            <w:shd w:val="clear" w:color="auto" w:fill="auto"/>
            <w:tcMar>
              <w:top w:w="100" w:type="dxa"/>
              <w:left w:w="100" w:type="dxa"/>
              <w:bottom w:w="100" w:type="dxa"/>
              <w:right w:w="100" w:type="dxa"/>
            </w:tcMar>
          </w:tcPr>
          <w:p w:rsidR="00B74194" w:rsidRDefault="006615DD">
            <w:pPr>
              <w:spacing w:line="240" w:lineRule="auto"/>
              <w:contextualSpacing w:val="0"/>
              <w:jc w:val="center"/>
              <w:rPr>
                <w:sz w:val="20"/>
                <w:szCs w:val="20"/>
              </w:rPr>
            </w:pPr>
            <w:r>
              <w:rPr>
                <w:sz w:val="20"/>
                <w:szCs w:val="20"/>
              </w:rPr>
              <w:t xml:space="preserve">Post-anaesthetic </w:t>
            </w:r>
            <w:r w:rsidR="003E6FB9">
              <w:rPr>
                <w:sz w:val="20"/>
                <w:szCs w:val="20"/>
              </w:rPr>
              <w:t xml:space="preserve">induction/ </w:t>
            </w:r>
            <w:r>
              <w:rPr>
                <w:sz w:val="20"/>
                <w:szCs w:val="20"/>
              </w:rPr>
              <w:t>pre-incision</w:t>
            </w:r>
          </w:p>
        </w:tc>
      </w:tr>
      <w:tr w:rsidR="00B74194" w:rsidTr="00DD2334">
        <w:trPr>
          <w:trHeight w:val="980"/>
          <w:jc w:val="center"/>
        </w:trPr>
        <w:tc>
          <w:tcPr>
            <w:tcW w:w="15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74194" w:rsidRDefault="006615DD">
            <w:pPr>
              <w:spacing w:line="240" w:lineRule="auto"/>
              <w:contextualSpacing w:val="0"/>
              <w:jc w:val="center"/>
              <w:rPr>
                <w:sz w:val="20"/>
                <w:szCs w:val="20"/>
              </w:rPr>
            </w:pPr>
            <w:r>
              <w:rPr>
                <w:sz w:val="20"/>
                <w:szCs w:val="20"/>
              </w:rPr>
              <w:t>2</w:t>
            </w:r>
          </w:p>
        </w:tc>
        <w:tc>
          <w:tcPr>
            <w:tcW w:w="1830" w:type="dxa"/>
            <w:tcBorders>
              <w:bottom w:val="single" w:sz="8" w:space="0" w:color="000000"/>
              <w:right w:val="single" w:sz="8" w:space="0" w:color="000000"/>
            </w:tcBorders>
            <w:shd w:val="clear" w:color="auto" w:fill="auto"/>
            <w:tcMar>
              <w:top w:w="100" w:type="dxa"/>
              <w:left w:w="100" w:type="dxa"/>
              <w:bottom w:w="100" w:type="dxa"/>
              <w:right w:w="100" w:type="dxa"/>
            </w:tcMar>
          </w:tcPr>
          <w:p w:rsidR="00B74194" w:rsidRDefault="003E6FB9">
            <w:pPr>
              <w:spacing w:line="240" w:lineRule="auto"/>
              <w:contextualSpacing w:val="0"/>
              <w:jc w:val="center"/>
              <w:rPr>
                <w:sz w:val="20"/>
                <w:szCs w:val="20"/>
              </w:rPr>
            </w:pPr>
            <w:r>
              <w:rPr>
                <w:sz w:val="20"/>
                <w:szCs w:val="20"/>
              </w:rPr>
              <w:t>10 min p</w:t>
            </w:r>
            <w:r w:rsidR="006615DD">
              <w:rPr>
                <w:sz w:val="20"/>
                <w:szCs w:val="20"/>
              </w:rPr>
              <w:t>ost</w:t>
            </w:r>
            <w:r>
              <w:rPr>
                <w:sz w:val="20"/>
                <w:szCs w:val="20"/>
              </w:rPr>
              <w:t>-heparin/ pre-BAV/TAVI</w:t>
            </w:r>
          </w:p>
        </w:tc>
        <w:tc>
          <w:tcPr>
            <w:tcW w:w="1800" w:type="dxa"/>
            <w:tcBorders>
              <w:bottom w:val="single" w:sz="8" w:space="0" w:color="000000"/>
              <w:right w:val="single" w:sz="8" w:space="0" w:color="000000"/>
            </w:tcBorders>
            <w:shd w:val="clear" w:color="auto" w:fill="auto"/>
            <w:tcMar>
              <w:top w:w="100" w:type="dxa"/>
              <w:left w:w="100" w:type="dxa"/>
              <w:bottom w:w="100" w:type="dxa"/>
              <w:right w:w="100" w:type="dxa"/>
            </w:tcMar>
          </w:tcPr>
          <w:p w:rsidR="00B74194" w:rsidRDefault="003E6FB9">
            <w:pPr>
              <w:spacing w:line="240" w:lineRule="auto"/>
              <w:contextualSpacing w:val="0"/>
              <w:jc w:val="center"/>
              <w:rPr>
                <w:sz w:val="20"/>
                <w:szCs w:val="20"/>
              </w:rPr>
            </w:pPr>
            <w:r>
              <w:rPr>
                <w:sz w:val="20"/>
                <w:szCs w:val="20"/>
              </w:rPr>
              <w:t>10 min p</w:t>
            </w:r>
            <w:r w:rsidR="006615DD">
              <w:rPr>
                <w:sz w:val="20"/>
                <w:szCs w:val="20"/>
              </w:rPr>
              <w:t>ost-</w:t>
            </w:r>
            <w:r>
              <w:rPr>
                <w:sz w:val="20"/>
                <w:szCs w:val="20"/>
              </w:rPr>
              <w:t>heparin</w:t>
            </w:r>
          </w:p>
        </w:tc>
        <w:tc>
          <w:tcPr>
            <w:tcW w:w="1920" w:type="dxa"/>
            <w:tcBorders>
              <w:bottom w:val="single" w:sz="8" w:space="0" w:color="000000"/>
              <w:right w:val="single" w:sz="8" w:space="0" w:color="000000"/>
            </w:tcBorders>
            <w:shd w:val="clear" w:color="auto" w:fill="auto"/>
            <w:tcMar>
              <w:top w:w="100" w:type="dxa"/>
              <w:left w:w="100" w:type="dxa"/>
              <w:bottom w:w="100" w:type="dxa"/>
              <w:right w:w="100" w:type="dxa"/>
            </w:tcMar>
          </w:tcPr>
          <w:p w:rsidR="00B74194" w:rsidRDefault="00A87A6D">
            <w:pPr>
              <w:spacing w:line="240" w:lineRule="auto"/>
              <w:contextualSpacing w:val="0"/>
              <w:jc w:val="center"/>
              <w:rPr>
                <w:sz w:val="20"/>
                <w:szCs w:val="20"/>
              </w:rPr>
            </w:pPr>
            <w:r>
              <w:rPr>
                <w:sz w:val="20"/>
                <w:szCs w:val="20"/>
              </w:rPr>
              <w:t>10 min post-heparin</w:t>
            </w:r>
          </w:p>
        </w:tc>
      </w:tr>
      <w:tr w:rsidR="00B74194" w:rsidTr="00DD2334">
        <w:trPr>
          <w:trHeight w:val="1520"/>
          <w:jc w:val="center"/>
        </w:trPr>
        <w:tc>
          <w:tcPr>
            <w:tcW w:w="15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74194" w:rsidRDefault="006615DD">
            <w:pPr>
              <w:spacing w:line="240" w:lineRule="auto"/>
              <w:contextualSpacing w:val="0"/>
              <w:jc w:val="center"/>
              <w:rPr>
                <w:sz w:val="20"/>
                <w:szCs w:val="20"/>
              </w:rPr>
            </w:pPr>
            <w:r>
              <w:rPr>
                <w:sz w:val="20"/>
                <w:szCs w:val="20"/>
              </w:rPr>
              <w:t>3</w:t>
            </w:r>
          </w:p>
        </w:tc>
        <w:tc>
          <w:tcPr>
            <w:tcW w:w="1830" w:type="dxa"/>
            <w:tcBorders>
              <w:bottom w:val="single" w:sz="8" w:space="0" w:color="000000"/>
              <w:right w:val="single" w:sz="8" w:space="0" w:color="000000"/>
            </w:tcBorders>
            <w:shd w:val="clear" w:color="auto" w:fill="auto"/>
            <w:tcMar>
              <w:top w:w="100" w:type="dxa"/>
              <w:left w:w="100" w:type="dxa"/>
              <w:bottom w:w="100" w:type="dxa"/>
              <w:right w:w="100" w:type="dxa"/>
            </w:tcMar>
          </w:tcPr>
          <w:p w:rsidR="00B74194" w:rsidRDefault="006615DD">
            <w:pPr>
              <w:spacing w:line="240" w:lineRule="auto"/>
              <w:contextualSpacing w:val="0"/>
              <w:jc w:val="center"/>
              <w:rPr>
                <w:sz w:val="20"/>
                <w:szCs w:val="20"/>
              </w:rPr>
            </w:pPr>
            <w:r>
              <w:rPr>
                <w:sz w:val="20"/>
                <w:szCs w:val="20"/>
              </w:rPr>
              <w:t>Post-TAVI deployment</w:t>
            </w:r>
          </w:p>
        </w:tc>
        <w:tc>
          <w:tcPr>
            <w:tcW w:w="1800" w:type="dxa"/>
            <w:tcBorders>
              <w:bottom w:val="single" w:sz="8" w:space="0" w:color="000000"/>
              <w:right w:val="single" w:sz="8" w:space="0" w:color="000000"/>
            </w:tcBorders>
            <w:shd w:val="clear" w:color="auto" w:fill="auto"/>
            <w:tcMar>
              <w:top w:w="100" w:type="dxa"/>
              <w:left w:w="100" w:type="dxa"/>
              <w:bottom w:w="100" w:type="dxa"/>
              <w:right w:w="100" w:type="dxa"/>
            </w:tcMar>
          </w:tcPr>
          <w:p w:rsidR="00B74194" w:rsidRDefault="006615DD">
            <w:pPr>
              <w:spacing w:line="240" w:lineRule="auto"/>
              <w:contextualSpacing w:val="0"/>
              <w:jc w:val="center"/>
              <w:rPr>
                <w:sz w:val="20"/>
                <w:szCs w:val="20"/>
              </w:rPr>
            </w:pPr>
            <w:r>
              <w:rPr>
                <w:sz w:val="20"/>
                <w:szCs w:val="20"/>
              </w:rPr>
              <w:t>Post-stent deployment</w:t>
            </w:r>
          </w:p>
        </w:tc>
        <w:tc>
          <w:tcPr>
            <w:tcW w:w="1920" w:type="dxa"/>
            <w:tcBorders>
              <w:bottom w:val="single" w:sz="8" w:space="0" w:color="000000"/>
              <w:right w:val="single" w:sz="8" w:space="0" w:color="000000"/>
            </w:tcBorders>
            <w:shd w:val="clear" w:color="auto" w:fill="auto"/>
            <w:tcMar>
              <w:top w:w="100" w:type="dxa"/>
              <w:left w:w="100" w:type="dxa"/>
              <w:bottom w:w="100" w:type="dxa"/>
              <w:right w:w="100" w:type="dxa"/>
            </w:tcMar>
          </w:tcPr>
          <w:p w:rsidR="00B74194" w:rsidRDefault="00A87A6D">
            <w:pPr>
              <w:spacing w:line="240" w:lineRule="auto"/>
              <w:contextualSpacing w:val="0"/>
              <w:jc w:val="center"/>
              <w:rPr>
                <w:sz w:val="20"/>
                <w:szCs w:val="20"/>
              </w:rPr>
            </w:pPr>
            <w:r>
              <w:rPr>
                <w:sz w:val="20"/>
                <w:szCs w:val="20"/>
              </w:rPr>
              <w:t>20 min post-aortic cannulation</w:t>
            </w:r>
          </w:p>
        </w:tc>
      </w:tr>
      <w:tr w:rsidR="00B74194" w:rsidTr="00DD2334">
        <w:trPr>
          <w:trHeight w:val="740"/>
          <w:jc w:val="center"/>
        </w:trPr>
        <w:tc>
          <w:tcPr>
            <w:tcW w:w="15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74194" w:rsidRDefault="006615DD">
            <w:pPr>
              <w:spacing w:line="240" w:lineRule="auto"/>
              <w:contextualSpacing w:val="0"/>
              <w:jc w:val="center"/>
              <w:rPr>
                <w:sz w:val="20"/>
                <w:szCs w:val="20"/>
              </w:rPr>
            </w:pPr>
            <w:r>
              <w:rPr>
                <w:sz w:val="20"/>
                <w:szCs w:val="20"/>
              </w:rPr>
              <w:t>4</w:t>
            </w:r>
          </w:p>
        </w:tc>
        <w:tc>
          <w:tcPr>
            <w:tcW w:w="1830" w:type="dxa"/>
            <w:tcBorders>
              <w:bottom w:val="single" w:sz="8" w:space="0" w:color="000000"/>
              <w:right w:val="single" w:sz="8" w:space="0" w:color="000000"/>
            </w:tcBorders>
            <w:shd w:val="clear" w:color="auto" w:fill="auto"/>
            <w:tcMar>
              <w:top w:w="100" w:type="dxa"/>
              <w:left w:w="100" w:type="dxa"/>
              <w:bottom w:w="100" w:type="dxa"/>
              <w:right w:w="100" w:type="dxa"/>
            </w:tcMar>
          </w:tcPr>
          <w:p w:rsidR="00B74194" w:rsidRDefault="006615DD">
            <w:pPr>
              <w:spacing w:line="240" w:lineRule="auto"/>
              <w:contextualSpacing w:val="0"/>
              <w:jc w:val="center"/>
              <w:rPr>
                <w:sz w:val="20"/>
                <w:szCs w:val="20"/>
              </w:rPr>
            </w:pPr>
            <w:r>
              <w:rPr>
                <w:sz w:val="20"/>
                <w:szCs w:val="20"/>
              </w:rPr>
              <w:t>10-20 min post-protamine</w:t>
            </w:r>
          </w:p>
        </w:tc>
        <w:tc>
          <w:tcPr>
            <w:tcW w:w="1800" w:type="dxa"/>
            <w:tcBorders>
              <w:bottom w:val="single" w:sz="8" w:space="0" w:color="000000"/>
              <w:right w:val="single" w:sz="8" w:space="0" w:color="000000"/>
            </w:tcBorders>
            <w:shd w:val="clear" w:color="auto" w:fill="auto"/>
            <w:tcMar>
              <w:top w:w="100" w:type="dxa"/>
              <w:left w:w="100" w:type="dxa"/>
              <w:bottom w:w="100" w:type="dxa"/>
              <w:right w:w="100" w:type="dxa"/>
            </w:tcMar>
          </w:tcPr>
          <w:p w:rsidR="00B74194" w:rsidRDefault="006615DD">
            <w:pPr>
              <w:spacing w:line="240" w:lineRule="auto"/>
              <w:contextualSpacing w:val="0"/>
              <w:jc w:val="center"/>
              <w:rPr>
                <w:sz w:val="20"/>
                <w:szCs w:val="20"/>
              </w:rPr>
            </w:pPr>
            <w:r>
              <w:rPr>
                <w:sz w:val="20"/>
                <w:szCs w:val="20"/>
              </w:rPr>
              <w:t>10-20 min Post-protamine</w:t>
            </w:r>
          </w:p>
        </w:tc>
        <w:tc>
          <w:tcPr>
            <w:tcW w:w="1920" w:type="dxa"/>
            <w:tcBorders>
              <w:bottom w:val="single" w:sz="8" w:space="0" w:color="000000"/>
              <w:right w:val="single" w:sz="8" w:space="0" w:color="000000"/>
            </w:tcBorders>
            <w:shd w:val="clear" w:color="auto" w:fill="auto"/>
            <w:tcMar>
              <w:top w:w="100" w:type="dxa"/>
              <w:left w:w="100" w:type="dxa"/>
              <w:bottom w:w="100" w:type="dxa"/>
              <w:right w:w="100" w:type="dxa"/>
            </w:tcMar>
          </w:tcPr>
          <w:p w:rsidR="00B74194" w:rsidRDefault="006615DD">
            <w:pPr>
              <w:spacing w:line="240" w:lineRule="auto"/>
              <w:contextualSpacing w:val="0"/>
              <w:jc w:val="center"/>
              <w:rPr>
                <w:sz w:val="20"/>
                <w:szCs w:val="20"/>
              </w:rPr>
            </w:pPr>
            <w:r>
              <w:rPr>
                <w:sz w:val="20"/>
                <w:szCs w:val="20"/>
              </w:rPr>
              <w:t>10-20 min post-protamine</w:t>
            </w:r>
          </w:p>
        </w:tc>
      </w:tr>
      <w:tr w:rsidR="00B74194" w:rsidTr="00DD2334">
        <w:trPr>
          <w:trHeight w:val="800"/>
          <w:jc w:val="center"/>
        </w:trPr>
        <w:tc>
          <w:tcPr>
            <w:tcW w:w="15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74194" w:rsidRDefault="006615DD">
            <w:pPr>
              <w:spacing w:line="240" w:lineRule="auto"/>
              <w:contextualSpacing w:val="0"/>
              <w:jc w:val="center"/>
              <w:rPr>
                <w:sz w:val="20"/>
                <w:szCs w:val="20"/>
              </w:rPr>
            </w:pPr>
            <w:r>
              <w:rPr>
                <w:sz w:val="20"/>
                <w:szCs w:val="20"/>
              </w:rPr>
              <w:t>5</w:t>
            </w:r>
          </w:p>
        </w:tc>
        <w:tc>
          <w:tcPr>
            <w:tcW w:w="1830" w:type="dxa"/>
            <w:tcBorders>
              <w:bottom w:val="single" w:sz="8" w:space="0" w:color="000000"/>
              <w:right w:val="single" w:sz="8" w:space="0" w:color="000000"/>
            </w:tcBorders>
            <w:shd w:val="clear" w:color="auto" w:fill="auto"/>
            <w:tcMar>
              <w:top w:w="100" w:type="dxa"/>
              <w:left w:w="100" w:type="dxa"/>
              <w:bottom w:w="100" w:type="dxa"/>
              <w:right w:w="100" w:type="dxa"/>
            </w:tcMar>
          </w:tcPr>
          <w:p w:rsidR="00B74194" w:rsidRDefault="006615DD">
            <w:pPr>
              <w:spacing w:line="240" w:lineRule="auto"/>
              <w:contextualSpacing w:val="0"/>
              <w:jc w:val="center"/>
              <w:rPr>
                <w:sz w:val="20"/>
                <w:szCs w:val="20"/>
              </w:rPr>
            </w:pPr>
            <w:r>
              <w:rPr>
                <w:sz w:val="20"/>
                <w:szCs w:val="20"/>
              </w:rPr>
              <w:t>6 hr post-procedure</w:t>
            </w:r>
          </w:p>
        </w:tc>
        <w:tc>
          <w:tcPr>
            <w:tcW w:w="1800" w:type="dxa"/>
            <w:tcBorders>
              <w:bottom w:val="single" w:sz="8" w:space="0" w:color="000000"/>
              <w:right w:val="single" w:sz="8" w:space="0" w:color="000000"/>
            </w:tcBorders>
            <w:shd w:val="clear" w:color="auto" w:fill="auto"/>
            <w:tcMar>
              <w:top w:w="100" w:type="dxa"/>
              <w:left w:w="100" w:type="dxa"/>
              <w:bottom w:w="100" w:type="dxa"/>
              <w:right w:w="100" w:type="dxa"/>
            </w:tcMar>
          </w:tcPr>
          <w:p w:rsidR="00B74194" w:rsidRDefault="006615DD">
            <w:pPr>
              <w:spacing w:line="240" w:lineRule="auto"/>
              <w:contextualSpacing w:val="0"/>
              <w:jc w:val="center"/>
              <w:rPr>
                <w:sz w:val="20"/>
                <w:szCs w:val="20"/>
              </w:rPr>
            </w:pPr>
            <w:r>
              <w:rPr>
                <w:sz w:val="20"/>
                <w:szCs w:val="20"/>
              </w:rPr>
              <w:t>6 hr post-procedure</w:t>
            </w:r>
          </w:p>
        </w:tc>
        <w:tc>
          <w:tcPr>
            <w:tcW w:w="1920" w:type="dxa"/>
            <w:tcBorders>
              <w:bottom w:val="single" w:sz="8" w:space="0" w:color="000000"/>
              <w:right w:val="single" w:sz="8" w:space="0" w:color="000000"/>
            </w:tcBorders>
            <w:shd w:val="clear" w:color="auto" w:fill="auto"/>
            <w:tcMar>
              <w:top w:w="100" w:type="dxa"/>
              <w:left w:w="100" w:type="dxa"/>
              <w:bottom w:w="100" w:type="dxa"/>
              <w:right w:w="100" w:type="dxa"/>
            </w:tcMar>
          </w:tcPr>
          <w:p w:rsidR="00B74194" w:rsidRDefault="006615DD">
            <w:pPr>
              <w:spacing w:line="240" w:lineRule="auto"/>
              <w:contextualSpacing w:val="0"/>
              <w:jc w:val="center"/>
              <w:rPr>
                <w:sz w:val="20"/>
                <w:szCs w:val="20"/>
              </w:rPr>
            </w:pPr>
            <w:r>
              <w:rPr>
                <w:sz w:val="20"/>
                <w:szCs w:val="20"/>
              </w:rPr>
              <w:t>6 hr post-procedure</w:t>
            </w:r>
          </w:p>
        </w:tc>
      </w:tr>
    </w:tbl>
    <w:p w:rsidR="00F1203A" w:rsidRPr="00F1203A" w:rsidRDefault="006615DD" w:rsidP="00F1203A">
      <w:pPr>
        <w:spacing w:line="240" w:lineRule="auto"/>
        <w:contextualSpacing w:val="0"/>
        <w:jc w:val="center"/>
        <w:rPr>
          <w:i/>
          <w:sz w:val="20"/>
          <w:szCs w:val="20"/>
        </w:rPr>
      </w:pPr>
      <w:r>
        <w:rPr>
          <w:b/>
          <w:i/>
          <w:sz w:val="20"/>
          <w:szCs w:val="20"/>
        </w:rPr>
        <w:t>Table 3:</w:t>
      </w:r>
      <w:r w:rsidR="00DD2334">
        <w:rPr>
          <w:b/>
          <w:i/>
          <w:sz w:val="20"/>
          <w:szCs w:val="20"/>
        </w:rPr>
        <w:t xml:space="preserve"> </w:t>
      </w:r>
      <w:r>
        <w:rPr>
          <w:i/>
          <w:sz w:val="20"/>
          <w:szCs w:val="20"/>
        </w:rPr>
        <w:t>Procedure-specific time points for POCCT</w:t>
      </w:r>
    </w:p>
    <w:p w:rsidR="00F1203A" w:rsidRDefault="00F1203A">
      <w:pPr>
        <w:spacing w:line="360" w:lineRule="auto"/>
        <w:contextualSpacing w:val="0"/>
        <w:jc w:val="both"/>
        <w:rPr>
          <w:b/>
          <w:sz w:val="24"/>
          <w:szCs w:val="24"/>
        </w:rPr>
      </w:pPr>
    </w:p>
    <w:p w:rsidR="00B74194" w:rsidRPr="00084BBE" w:rsidRDefault="006615DD" w:rsidP="00084BBE">
      <w:pPr>
        <w:spacing w:line="360" w:lineRule="auto"/>
        <w:contextualSpacing w:val="0"/>
        <w:jc w:val="both"/>
        <w:rPr>
          <w:sz w:val="24"/>
          <w:szCs w:val="24"/>
        </w:rPr>
      </w:pPr>
      <w:r>
        <w:rPr>
          <w:b/>
          <w:sz w:val="24"/>
          <w:szCs w:val="24"/>
        </w:rPr>
        <w:t xml:space="preserve">Statistical Analyses: </w:t>
      </w:r>
      <w:r>
        <w:rPr>
          <w:sz w:val="24"/>
          <w:szCs w:val="24"/>
        </w:rPr>
        <w:t xml:space="preserve">It is expected that completion of this proposal will require the </w:t>
      </w:r>
      <w:r w:rsidR="00216CCD">
        <w:rPr>
          <w:sz w:val="24"/>
          <w:szCs w:val="24"/>
        </w:rPr>
        <w:t>enrolment</w:t>
      </w:r>
      <w:r>
        <w:rPr>
          <w:sz w:val="24"/>
          <w:szCs w:val="24"/>
        </w:rPr>
        <w:t xml:space="preserve"> of </w:t>
      </w:r>
      <w:r w:rsidR="00216CCD">
        <w:rPr>
          <w:sz w:val="24"/>
          <w:szCs w:val="24"/>
        </w:rPr>
        <w:t>5</w:t>
      </w:r>
      <w:r>
        <w:rPr>
          <w:sz w:val="24"/>
          <w:szCs w:val="24"/>
        </w:rPr>
        <w:t>0 patients: 1</w:t>
      </w:r>
      <w:r w:rsidR="00216CCD">
        <w:rPr>
          <w:sz w:val="24"/>
          <w:szCs w:val="24"/>
        </w:rPr>
        <w:t xml:space="preserve">0 - </w:t>
      </w:r>
      <w:r>
        <w:rPr>
          <w:sz w:val="24"/>
          <w:szCs w:val="24"/>
        </w:rPr>
        <w:t xml:space="preserve">15 patients per group (TF-TAVI, PCI and AVR). The </w:t>
      </w:r>
      <w:r>
        <w:rPr>
          <w:sz w:val="24"/>
          <w:szCs w:val="24"/>
        </w:rPr>
        <w:lastRenderedPageBreak/>
        <w:t>primary outcome measure</w:t>
      </w:r>
      <w:r w:rsidR="0045508C">
        <w:rPr>
          <w:sz w:val="24"/>
          <w:szCs w:val="24"/>
        </w:rPr>
        <w:t>s</w:t>
      </w:r>
      <w:r>
        <w:rPr>
          <w:sz w:val="24"/>
          <w:szCs w:val="24"/>
        </w:rPr>
        <w:t xml:space="preserve"> for the study is maximum clot firmness provided by the ROTEM and maximum amplitude measured by TEG. Other ROTEM, TEG and </w:t>
      </w:r>
      <w:proofErr w:type="spellStart"/>
      <w:r>
        <w:rPr>
          <w:sz w:val="24"/>
          <w:szCs w:val="24"/>
        </w:rPr>
        <w:t>Multiplate</w:t>
      </w:r>
      <w:proofErr w:type="spellEnd"/>
      <w:r>
        <w:rPr>
          <w:sz w:val="24"/>
          <w:szCs w:val="24"/>
        </w:rPr>
        <w:t xml:space="preserve"> analyser parameters, and clinical incidence of bleeding/clotting complications form the secondary outcome measures. Parametric continuous variables will be reported as means ± standard deviations or, where non-normally distributed as median ± interquartile range. Differences between measures of central tendency will be assessed by analysis of variance (ANOVA) or Kruskal-Wallis test for parametric and nonparametric data, respectively.</w:t>
      </w:r>
      <w:r w:rsidR="00A87A6D">
        <w:rPr>
          <w:sz w:val="24"/>
          <w:szCs w:val="24"/>
        </w:rPr>
        <w:t xml:space="preserve"> </w:t>
      </w:r>
      <w:r>
        <w:rPr>
          <w:sz w:val="24"/>
          <w:szCs w:val="24"/>
        </w:rPr>
        <w:t xml:space="preserve">All other variables will be </w:t>
      </w:r>
      <w:proofErr w:type="spellStart"/>
      <w:r>
        <w:rPr>
          <w:sz w:val="24"/>
          <w:szCs w:val="24"/>
        </w:rPr>
        <w:t>analyzed</w:t>
      </w:r>
      <w:proofErr w:type="spellEnd"/>
      <w:r>
        <w:rPr>
          <w:sz w:val="24"/>
          <w:szCs w:val="24"/>
        </w:rPr>
        <w:t xml:space="preserve"> as categorical and reported as proportions with differences assessed by Pearson χ2 analysis or Fisher’s exact test, where appropriate. Pearson correlation coefficients will be calculated comparing continuous variables.</w:t>
      </w:r>
      <w:r w:rsidR="00321316">
        <w:rPr>
          <w:sz w:val="24"/>
          <w:szCs w:val="24"/>
        </w:rPr>
        <w:t xml:space="preserve"> </w:t>
      </w:r>
      <w:r w:rsidR="00321316" w:rsidRPr="00321316">
        <w:rPr>
          <w:sz w:val="24"/>
          <w:szCs w:val="24"/>
        </w:rPr>
        <w:t xml:space="preserve">Univariate cross-sectional time-based random effects models will be developed for each viscoelastic measure using the laboratory clotting indices in turn as the dependent variable. Both: </w:t>
      </w:r>
      <w:proofErr w:type="spellStart"/>
      <w:r w:rsidR="00321316" w:rsidRPr="00321316">
        <w:rPr>
          <w:sz w:val="24"/>
          <w:szCs w:val="24"/>
        </w:rPr>
        <w:t>i</w:t>
      </w:r>
      <w:proofErr w:type="spellEnd"/>
      <w:r w:rsidR="00321316" w:rsidRPr="00321316">
        <w:rPr>
          <w:sz w:val="24"/>
          <w:szCs w:val="24"/>
        </w:rPr>
        <w:t>) paired comparisons between timepoints; and, ii) univariate time-series regression will also analysed for each variable.</w:t>
      </w:r>
      <w:r>
        <w:rPr>
          <w:sz w:val="24"/>
          <w:szCs w:val="24"/>
        </w:rPr>
        <w:t xml:space="preserve"> All statistical planning and </w:t>
      </w:r>
      <w:r w:rsidRPr="00084BBE">
        <w:rPr>
          <w:sz w:val="24"/>
          <w:szCs w:val="24"/>
        </w:rPr>
        <w:t xml:space="preserve">analysis </w:t>
      </w:r>
      <w:proofErr w:type="gramStart"/>
      <w:r w:rsidRPr="00084BBE">
        <w:rPr>
          <w:sz w:val="24"/>
          <w:szCs w:val="24"/>
        </w:rPr>
        <w:t>has</w:t>
      </w:r>
      <w:proofErr w:type="gramEnd"/>
      <w:r w:rsidRPr="00084BBE">
        <w:rPr>
          <w:sz w:val="24"/>
          <w:szCs w:val="24"/>
        </w:rPr>
        <w:t xml:space="preserve">/will be performed by Associate Professor Chris Anstey from the Sunshine Coast University Hospital, Department of Intensive Care. </w:t>
      </w:r>
    </w:p>
    <w:p w:rsidR="00A87A6D" w:rsidRPr="00084BBE" w:rsidRDefault="00A87A6D" w:rsidP="00084BBE">
      <w:pPr>
        <w:spacing w:line="360" w:lineRule="auto"/>
        <w:contextualSpacing w:val="0"/>
        <w:jc w:val="both"/>
        <w:rPr>
          <w:sz w:val="24"/>
          <w:szCs w:val="24"/>
        </w:rPr>
      </w:pPr>
    </w:p>
    <w:p w:rsidR="00084BBE" w:rsidRPr="00084BBE" w:rsidRDefault="00084BBE" w:rsidP="00084BBE">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60" w:lineRule="auto"/>
        <w:rPr>
          <w:b/>
          <w:sz w:val="24"/>
          <w:szCs w:val="24"/>
          <w:lang w:val="en-AU"/>
        </w:rPr>
      </w:pPr>
      <w:r w:rsidRPr="00084BBE">
        <w:rPr>
          <w:b/>
          <w:sz w:val="24"/>
          <w:szCs w:val="24"/>
          <w:lang w:val="en-AU"/>
        </w:rPr>
        <w:t>Outcomes</w:t>
      </w:r>
    </w:p>
    <w:p w:rsidR="00B74194" w:rsidRPr="00193845" w:rsidRDefault="00084BBE" w:rsidP="00193845">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60" w:lineRule="auto"/>
        <w:rPr>
          <w:sz w:val="24"/>
          <w:szCs w:val="24"/>
          <w:lang w:val="en-AU"/>
        </w:rPr>
      </w:pPr>
      <w:r w:rsidRPr="00084BBE">
        <w:rPr>
          <w:sz w:val="24"/>
          <w:szCs w:val="24"/>
          <w:lang w:val="en-AU"/>
        </w:rPr>
        <w:t>This study will provide data to rationally determine the most suitable perioperative antithrombotic regime and form the platform for a large randomised clinical trial.</w:t>
      </w:r>
    </w:p>
    <w:sectPr w:rsidR="00B74194" w:rsidRPr="0019384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08053C"/>
    <w:multiLevelType w:val="multilevel"/>
    <w:tmpl w:val="EEBC442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194"/>
    <w:rsid w:val="00084BBE"/>
    <w:rsid w:val="00177541"/>
    <w:rsid w:val="00193845"/>
    <w:rsid w:val="001A386F"/>
    <w:rsid w:val="00216CCD"/>
    <w:rsid w:val="00321316"/>
    <w:rsid w:val="00367469"/>
    <w:rsid w:val="003E6FB9"/>
    <w:rsid w:val="0045508C"/>
    <w:rsid w:val="0055748A"/>
    <w:rsid w:val="005A4413"/>
    <w:rsid w:val="005A6A7F"/>
    <w:rsid w:val="006426D6"/>
    <w:rsid w:val="006561BF"/>
    <w:rsid w:val="006615DD"/>
    <w:rsid w:val="00870DDF"/>
    <w:rsid w:val="00886B96"/>
    <w:rsid w:val="00A87A6D"/>
    <w:rsid w:val="00B74194"/>
    <w:rsid w:val="00C64713"/>
    <w:rsid w:val="00DA3A10"/>
    <w:rsid w:val="00DA7577"/>
    <w:rsid w:val="00DD2334"/>
    <w:rsid w:val="00F120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9B5EA"/>
  <w15:docId w15:val="{55BA0236-5151-064C-9E4B-D1691DA0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620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1650</Words>
  <Characters>9406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Jonathon Fanning</cp:lastModifiedBy>
  <cp:revision>4</cp:revision>
  <dcterms:created xsi:type="dcterms:W3CDTF">2019-01-01T10:25:00Z</dcterms:created>
  <dcterms:modified xsi:type="dcterms:W3CDTF">2019-01-10T00:19:00Z</dcterms:modified>
</cp:coreProperties>
</file>