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96062" w14:textId="77777777" w:rsidR="00E91530" w:rsidRDefault="00E91530" w:rsidP="00E9153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7CAE">
        <w:rPr>
          <w:b/>
          <w:sz w:val="28"/>
          <w:szCs w:val="28"/>
        </w:rPr>
        <w:t>EQUIP-GP incentive structure</w:t>
      </w:r>
    </w:p>
    <w:p w14:paraId="4E136791" w14:textId="74A73151" w:rsidR="00E91530" w:rsidRDefault="00E91530" w:rsidP="00E91530">
      <w:pPr>
        <w:jc w:val="center"/>
      </w:pPr>
      <w:r>
        <w:t xml:space="preserve">All incentives are </w:t>
      </w:r>
      <w:r w:rsidR="00D003BF">
        <w:t>calculated over the</w:t>
      </w:r>
      <w:r w:rsidRPr="00DE29E3">
        <w:t xml:space="preserve"> twelve months of the trial</w:t>
      </w:r>
      <w:r>
        <w:t xml:space="preserve"> and compared with the twelve-month period immediately previous to the trial.</w:t>
      </w:r>
    </w:p>
    <w:p w14:paraId="184A938F" w14:textId="6C3C9195" w:rsidR="00CB3930" w:rsidRDefault="00CB3930" w:rsidP="00E91530">
      <w:pPr>
        <w:jc w:val="center"/>
      </w:pPr>
      <w:r>
        <w:t xml:space="preserve">Incentives do not replace existing payment </w:t>
      </w:r>
      <w:r w:rsidR="004F5864">
        <w:t>arrangements;</w:t>
      </w:r>
      <w:r>
        <w:t xml:space="preserve"> they are made </w:t>
      </w:r>
      <w:r w:rsidRPr="004F5864">
        <w:rPr>
          <w:b/>
        </w:rPr>
        <w:t>in addition</w:t>
      </w:r>
      <w:r>
        <w:t xml:space="preserve"> to them. </w:t>
      </w:r>
      <w:r w:rsidR="004F5864">
        <w:t xml:space="preserve"> </w:t>
      </w:r>
    </w:p>
    <w:p w14:paraId="597908F4" w14:textId="77777777" w:rsidR="00E91530" w:rsidRDefault="00E91530" w:rsidP="00E91530">
      <w:pPr>
        <w:jc w:val="center"/>
      </w:pPr>
      <w:r>
        <w:t xml:space="preserve">Incentive targets apply to the percentage of change achieved </w:t>
      </w:r>
      <w:r w:rsidRPr="00EA3D52">
        <w:rPr>
          <w:b/>
        </w:rPr>
        <w:t>across the group</w:t>
      </w:r>
      <w:r>
        <w:t xml:space="preserve"> of enrolled patients, </w:t>
      </w:r>
      <w:r w:rsidRPr="00EA3D52">
        <w:rPr>
          <w:b/>
        </w:rPr>
        <w:t xml:space="preserve">not </w:t>
      </w:r>
      <w:r>
        <w:t>measured as change for each individual patient.</w:t>
      </w:r>
    </w:p>
    <w:p w14:paraId="13596C55" w14:textId="77777777" w:rsidR="00E91530" w:rsidRPr="00087CAE" w:rsidRDefault="00E91530" w:rsidP="00E91530">
      <w:pPr>
        <w:jc w:val="center"/>
        <w:rPr>
          <w:b/>
          <w:sz w:val="28"/>
          <w:szCs w:val="28"/>
        </w:rPr>
      </w:pPr>
      <w:r>
        <w:t>All incentives are calculated and paid after the conclusion of the twelve-month trial.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085"/>
        <w:gridCol w:w="5387"/>
      </w:tblGrid>
      <w:tr w:rsidR="00942318" w14:paraId="5F6DFB8B" w14:textId="77777777" w:rsidTr="0010567F">
        <w:tc>
          <w:tcPr>
            <w:tcW w:w="3085" w:type="dxa"/>
            <w:tcBorders>
              <w:bottom w:val="single" w:sz="4" w:space="0" w:color="auto"/>
            </w:tcBorders>
            <w:shd w:val="clear" w:color="auto" w:fill="33CCCC"/>
          </w:tcPr>
          <w:p w14:paraId="309505F5" w14:textId="77777777" w:rsidR="00942318" w:rsidRPr="00E27B98" w:rsidRDefault="00942318" w:rsidP="00D40267">
            <w:pPr>
              <w:rPr>
                <w:b/>
              </w:rPr>
            </w:pPr>
            <w:r w:rsidRPr="00E27B98">
              <w:rPr>
                <w:b/>
              </w:rPr>
              <w:t>If you can…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99"/>
          </w:tcPr>
          <w:p w14:paraId="3C09CF99" w14:textId="2D2B957C" w:rsidR="00942318" w:rsidRPr="00E27B98" w:rsidRDefault="00942318" w:rsidP="00D40267">
            <w:pPr>
              <w:rPr>
                <w:b/>
              </w:rPr>
            </w:pPr>
            <w:r>
              <w:rPr>
                <w:b/>
              </w:rPr>
              <w:t>Then we will…</w:t>
            </w:r>
          </w:p>
        </w:tc>
      </w:tr>
      <w:tr w:rsidR="00942318" w14:paraId="4FCBD367" w14:textId="77777777" w:rsidTr="0010567F">
        <w:tc>
          <w:tcPr>
            <w:tcW w:w="3085" w:type="dxa"/>
            <w:shd w:val="clear" w:color="auto" w:fill="FFE3FB"/>
          </w:tcPr>
          <w:p w14:paraId="1957F0F8" w14:textId="77777777" w:rsidR="00942318" w:rsidRDefault="00942318" w:rsidP="00D40267">
            <w:r>
              <w:t>Enrol patients into the study.</w:t>
            </w:r>
          </w:p>
        </w:tc>
        <w:tc>
          <w:tcPr>
            <w:tcW w:w="5387" w:type="dxa"/>
            <w:shd w:val="clear" w:color="auto" w:fill="FFE3FB"/>
          </w:tcPr>
          <w:p w14:paraId="3CD3BC56" w14:textId="77777777" w:rsidR="00942318" w:rsidRDefault="00942318" w:rsidP="00942318">
            <w:r>
              <w:t xml:space="preserve">Pay $20 per enrolled patient. </w:t>
            </w:r>
          </w:p>
          <w:p w14:paraId="477432C0" w14:textId="21ED07F6" w:rsidR="00942318" w:rsidRDefault="00942318" w:rsidP="00942318">
            <w:r>
              <w:t xml:space="preserve">Maximum $1000 for 50 patients.  </w:t>
            </w:r>
          </w:p>
        </w:tc>
      </w:tr>
      <w:tr w:rsidR="00942318" w14:paraId="4E7DD950" w14:textId="77777777" w:rsidTr="0010567F">
        <w:tc>
          <w:tcPr>
            <w:tcW w:w="3085" w:type="dxa"/>
            <w:shd w:val="clear" w:color="auto" w:fill="FFE3FB"/>
          </w:tcPr>
          <w:p w14:paraId="597A0696" w14:textId="77777777" w:rsidR="00942318" w:rsidRDefault="00942318" w:rsidP="00D40267">
            <w:r>
              <w:t xml:space="preserve">Allow researchers to collect baseline data. </w:t>
            </w:r>
          </w:p>
        </w:tc>
        <w:tc>
          <w:tcPr>
            <w:tcW w:w="5387" w:type="dxa"/>
            <w:shd w:val="clear" w:color="auto" w:fill="FFE3FB"/>
          </w:tcPr>
          <w:p w14:paraId="1D571E3E" w14:textId="77777777" w:rsidR="00942318" w:rsidRDefault="00942318" w:rsidP="00D40267">
            <w:r>
              <w:t xml:space="preserve">Pay $20 per enrolled patient. </w:t>
            </w:r>
          </w:p>
          <w:p w14:paraId="06282E1E" w14:textId="322FFB01" w:rsidR="00942318" w:rsidRDefault="00942318" w:rsidP="00D40267">
            <w:r>
              <w:t xml:space="preserve">Maximum $1000 for 50 patients.  </w:t>
            </w:r>
          </w:p>
        </w:tc>
      </w:tr>
      <w:tr w:rsidR="00942318" w14:paraId="77880DAF" w14:textId="77777777" w:rsidTr="0010567F">
        <w:tc>
          <w:tcPr>
            <w:tcW w:w="3085" w:type="dxa"/>
            <w:shd w:val="clear" w:color="auto" w:fill="FFE3FB"/>
          </w:tcPr>
          <w:p w14:paraId="4D06B68A" w14:textId="77777777" w:rsidR="00942318" w:rsidRDefault="00942318" w:rsidP="00D40267">
            <w:r>
              <w:t>Collect quarterly data from enrolled patient medical records.</w:t>
            </w:r>
          </w:p>
        </w:tc>
        <w:tc>
          <w:tcPr>
            <w:tcW w:w="5387" w:type="dxa"/>
            <w:shd w:val="clear" w:color="auto" w:fill="FFE3FB"/>
          </w:tcPr>
          <w:p w14:paraId="75BD1DF7" w14:textId="77777777" w:rsidR="00942318" w:rsidRDefault="00942318" w:rsidP="00D40267">
            <w:r>
              <w:t xml:space="preserve">Pay $160 per patient. </w:t>
            </w:r>
          </w:p>
          <w:p w14:paraId="2C62CCB8" w14:textId="73338D4E" w:rsidR="00942318" w:rsidRDefault="00942318" w:rsidP="00D40267">
            <w:r>
              <w:t>Maximum $8000 for 50 patients.</w:t>
            </w:r>
          </w:p>
          <w:p w14:paraId="65548BE7" w14:textId="77777777" w:rsidR="00942318" w:rsidRDefault="00942318" w:rsidP="00D40267">
            <w:r>
              <w:rPr>
                <w:noProof/>
                <w:lang w:eastAsia="en-US"/>
              </w:rPr>
              <w:t xml:space="preserve"> </w:t>
            </w:r>
          </w:p>
        </w:tc>
      </w:tr>
    </w:tbl>
    <w:p w14:paraId="3981DA93" w14:textId="77777777" w:rsidR="0030047E" w:rsidRDefault="003004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876"/>
        <w:gridCol w:w="1520"/>
        <w:gridCol w:w="1520"/>
        <w:gridCol w:w="1521"/>
      </w:tblGrid>
      <w:tr w:rsidR="00942318" w14:paraId="023C94B6" w14:textId="77777777" w:rsidTr="00942318">
        <w:tc>
          <w:tcPr>
            <w:tcW w:w="8522" w:type="dxa"/>
            <w:gridSpan w:val="5"/>
            <w:tcBorders>
              <w:bottom w:val="single" w:sz="4" w:space="0" w:color="auto"/>
            </w:tcBorders>
            <w:shd w:val="clear" w:color="auto" w:fill="FF99CC"/>
          </w:tcPr>
          <w:p w14:paraId="713AE97B" w14:textId="77777777" w:rsidR="00942318" w:rsidRPr="00A7258E" w:rsidRDefault="0010567F" w:rsidP="00D40267">
            <w:pPr>
              <w:rPr>
                <w:b/>
                <w:sz w:val="28"/>
                <w:szCs w:val="28"/>
              </w:rPr>
            </w:pPr>
            <w:r w:rsidRPr="00A7258E">
              <w:rPr>
                <w:b/>
                <w:sz w:val="28"/>
                <w:szCs w:val="28"/>
              </w:rPr>
              <w:t>Incentives for patients &lt;</w:t>
            </w:r>
            <w:r w:rsidR="00942318" w:rsidRPr="00A7258E">
              <w:rPr>
                <w:b/>
                <w:sz w:val="28"/>
                <w:szCs w:val="28"/>
              </w:rPr>
              <w:t>16 years (n=20)</w:t>
            </w:r>
          </w:p>
          <w:p w14:paraId="43B4981E" w14:textId="5A1377F7" w:rsidR="00A7258E" w:rsidRDefault="00A7258E" w:rsidP="00D40267">
            <w:pPr>
              <w:rPr>
                <w:b/>
              </w:rPr>
            </w:pPr>
          </w:p>
        </w:tc>
      </w:tr>
      <w:tr w:rsidR="00942318" w14:paraId="48F9FBCA" w14:textId="77777777" w:rsidTr="0010567F">
        <w:tc>
          <w:tcPr>
            <w:tcW w:w="3085" w:type="dxa"/>
            <w:tcBorders>
              <w:bottom w:val="single" w:sz="4" w:space="0" w:color="auto"/>
            </w:tcBorders>
            <w:shd w:val="clear" w:color="auto" w:fill="33CCCC"/>
          </w:tcPr>
          <w:p w14:paraId="401E3FFE" w14:textId="77777777" w:rsidR="00942318" w:rsidRPr="005E1FE4" w:rsidRDefault="00942318" w:rsidP="00D40267">
            <w:pPr>
              <w:rPr>
                <w:b/>
              </w:rPr>
            </w:pPr>
            <w:r w:rsidRPr="005E1FE4">
              <w:rPr>
                <w:b/>
              </w:rPr>
              <w:t>If you can…</w:t>
            </w:r>
          </w:p>
        </w:tc>
        <w:tc>
          <w:tcPr>
            <w:tcW w:w="5437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14:paraId="3A2F7075" w14:textId="65745256" w:rsidR="00942318" w:rsidRPr="005E1FE4" w:rsidRDefault="00942318" w:rsidP="00D40267">
            <w:pPr>
              <w:rPr>
                <w:b/>
              </w:rPr>
            </w:pPr>
            <w:r>
              <w:rPr>
                <w:b/>
              </w:rPr>
              <w:t>Then we will…</w:t>
            </w:r>
          </w:p>
        </w:tc>
      </w:tr>
      <w:tr w:rsidR="00942318" w14:paraId="41EAF12D" w14:textId="77777777" w:rsidTr="0010567F">
        <w:trPr>
          <w:trHeight w:val="335"/>
        </w:trPr>
        <w:tc>
          <w:tcPr>
            <w:tcW w:w="3085" w:type="dxa"/>
            <w:vMerge w:val="restart"/>
            <w:shd w:val="clear" w:color="auto" w:fill="FFE0F7"/>
          </w:tcPr>
          <w:p w14:paraId="393D5292" w14:textId="77777777" w:rsidR="00942318" w:rsidRDefault="00942318" w:rsidP="00D40267">
            <w:r>
              <w:t xml:space="preserve"> See minimum 70% of enrolled patients on same day appointment requested.</w:t>
            </w:r>
          </w:p>
        </w:tc>
        <w:tc>
          <w:tcPr>
            <w:tcW w:w="5437" w:type="dxa"/>
            <w:gridSpan w:val="4"/>
            <w:tcBorders>
              <w:bottom w:val="single" w:sz="4" w:space="0" w:color="auto"/>
            </w:tcBorders>
            <w:shd w:val="clear" w:color="auto" w:fill="FFE0F7"/>
          </w:tcPr>
          <w:p w14:paraId="7F320A48" w14:textId="77E9258D" w:rsidR="00942318" w:rsidRDefault="00942318" w:rsidP="00D40267">
            <w:pPr>
              <w:jc w:val="center"/>
            </w:pPr>
            <w:r>
              <w:t>Pay on sliding scale according to rate of patients seen same day.</w:t>
            </w:r>
          </w:p>
          <w:p w14:paraId="46529100" w14:textId="77777777" w:rsidR="00942318" w:rsidRDefault="00942318" w:rsidP="00D40267">
            <w:pPr>
              <w:jc w:val="center"/>
            </w:pPr>
          </w:p>
          <w:p w14:paraId="3DC1767A" w14:textId="77777777" w:rsidR="00942318" w:rsidRDefault="00942318" w:rsidP="00D40267">
            <w:pPr>
              <w:jc w:val="center"/>
            </w:pPr>
            <w:r>
              <w:t xml:space="preserve">Rate seen same day </w:t>
            </w:r>
          </w:p>
        </w:tc>
      </w:tr>
      <w:tr w:rsidR="00942318" w14:paraId="4F259684" w14:textId="77777777" w:rsidTr="0010567F">
        <w:trPr>
          <w:trHeight w:val="333"/>
        </w:trPr>
        <w:tc>
          <w:tcPr>
            <w:tcW w:w="3085" w:type="dxa"/>
            <w:vMerge/>
            <w:shd w:val="clear" w:color="auto" w:fill="FFE0F7"/>
          </w:tcPr>
          <w:p w14:paraId="6D33106E" w14:textId="77777777" w:rsidR="00942318" w:rsidRDefault="00942318" w:rsidP="00D40267"/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E0F7"/>
          </w:tcPr>
          <w:p w14:paraId="32109BEC" w14:textId="77777777" w:rsidR="00942318" w:rsidRDefault="00942318" w:rsidP="00D40267">
            <w:pPr>
              <w:jc w:val="center"/>
            </w:pPr>
            <w:r>
              <w:t>70%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E0F7"/>
          </w:tcPr>
          <w:p w14:paraId="423A8D3E" w14:textId="77777777" w:rsidR="00942318" w:rsidRDefault="00942318" w:rsidP="00D40267">
            <w:pPr>
              <w:jc w:val="center"/>
            </w:pPr>
            <w:r>
              <w:t>80%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E0F7"/>
          </w:tcPr>
          <w:p w14:paraId="5B495B90" w14:textId="77777777" w:rsidR="00942318" w:rsidRDefault="00942318" w:rsidP="00D40267">
            <w:pPr>
              <w:jc w:val="center"/>
            </w:pPr>
            <w:r>
              <w:t>90%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FFE0F7"/>
          </w:tcPr>
          <w:p w14:paraId="284A8D90" w14:textId="77777777" w:rsidR="00942318" w:rsidRDefault="00942318" w:rsidP="00D40267">
            <w:pPr>
              <w:jc w:val="center"/>
            </w:pPr>
            <w:r>
              <w:t>100%</w:t>
            </w:r>
          </w:p>
        </w:tc>
      </w:tr>
      <w:tr w:rsidR="00942318" w14:paraId="3824CF0C" w14:textId="77777777" w:rsidTr="0010567F">
        <w:trPr>
          <w:trHeight w:val="333"/>
        </w:trPr>
        <w:tc>
          <w:tcPr>
            <w:tcW w:w="3085" w:type="dxa"/>
            <w:vMerge/>
            <w:shd w:val="clear" w:color="auto" w:fill="FFE0F7"/>
          </w:tcPr>
          <w:p w14:paraId="700C318C" w14:textId="77777777" w:rsidR="00942318" w:rsidRDefault="00942318" w:rsidP="00D40267"/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E0F7"/>
          </w:tcPr>
          <w:p w14:paraId="09776A6D" w14:textId="77777777" w:rsidR="00942318" w:rsidRDefault="00942318" w:rsidP="00D40267">
            <w:pPr>
              <w:jc w:val="center"/>
            </w:pPr>
            <w:r>
              <w:t>$7.50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E0F7"/>
          </w:tcPr>
          <w:p w14:paraId="453A927E" w14:textId="77777777" w:rsidR="00942318" w:rsidRDefault="00942318" w:rsidP="00D40267">
            <w:pPr>
              <w:jc w:val="center"/>
            </w:pPr>
            <w:r>
              <w:t>$15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FE0F7"/>
          </w:tcPr>
          <w:p w14:paraId="7312BCC5" w14:textId="77777777" w:rsidR="00942318" w:rsidRDefault="00942318" w:rsidP="00D40267">
            <w:pPr>
              <w:jc w:val="center"/>
            </w:pPr>
            <w:r>
              <w:t>$22.50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FFE0F7"/>
          </w:tcPr>
          <w:p w14:paraId="30E0B8F8" w14:textId="77777777" w:rsidR="00942318" w:rsidRDefault="00942318" w:rsidP="00D40267">
            <w:pPr>
              <w:jc w:val="center"/>
            </w:pPr>
            <w:r>
              <w:t>$30</w:t>
            </w:r>
          </w:p>
        </w:tc>
      </w:tr>
      <w:tr w:rsidR="00942318" w14:paraId="2B6DA19C" w14:textId="77777777" w:rsidTr="0010567F">
        <w:trPr>
          <w:trHeight w:val="333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E0F7"/>
          </w:tcPr>
          <w:p w14:paraId="7727C7BD" w14:textId="77777777" w:rsidR="00942318" w:rsidRDefault="00942318" w:rsidP="00D40267"/>
        </w:tc>
        <w:tc>
          <w:tcPr>
            <w:tcW w:w="5437" w:type="dxa"/>
            <w:gridSpan w:val="4"/>
            <w:tcBorders>
              <w:bottom w:val="single" w:sz="4" w:space="0" w:color="auto"/>
            </w:tcBorders>
            <w:shd w:val="clear" w:color="auto" w:fill="FFE0F7"/>
          </w:tcPr>
          <w:p w14:paraId="7D6F5C77" w14:textId="77777777" w:rsidR="00942318" w:rsidRDefault="00942318" w:rsidP="00D40267">
            <w:pPr>
              <w:jc w:val="center"/>
            </w:pPr>
            <w:r>
              <w:t>Payment per patient</w:t>
            </w:r>
          </w:p>
          <w:p w14:paraId="343B3239" w14:textId="77777777" w:rsidR="00942318" w:rsidRDefault="00942318" w:rsidP="00D40267">
            <w:pPr>
              <w:jc w:val="center"/>
            </w:pPr>
          </w:p>
          <w:p w14:paraId="5E028B3F" w14:textId="77777777" w:rsidR="00942318" w:rsidRDefault="00942318" w:rsidP="00D40267">
            <w:pPr>
              <w:jc w:val="center"/>
            </w:pPr>
            <w:r>
              <w:t>Maximum $600 for 20 patients</w:t>
            </w:r>
          </w:p>
          <w:p w14:paraId="22A4E839" w14:textId="77777777" w:rsidR="00942318" w:rsidRDefault="00942318" w:rsidP="00D40267">
            <w:pPr>
              <w:jc w:val="center"/>
            </w:pPr>
          </w:p>
        </w:tc>
      </w:tr>
      <w:tr w:rsidR="00942318" w14:paraId="25771A04" w14:textId="77777777" w:rsidTr="0010567F">
        <w:trPr>
          <w:trHeight w:val="444"/>
        </w:trPr>
        <w:tc>
          <w:tcPr>
            <w:tcW w:w="3085" w:type="dxa"/>
            <w:vMerge w:val="restart"/>
            <w:shd w:val="clear" w:color="auto" w:fill="FFE0F7"/>
          </w:tcPr>
          <w:p w14:paraId="27DD9B6A" w14:textId="77777777" w:rsidR="00942318" w:rsidRDefault="00942318" w:rsidP="00D40267">
            <w:r>
              <w:t xml:space="preserve">Reduce potentially avoidable hospitalisations (PAHs) by up to 40% for enrolled patients. </w:t>
            </w:r>
          </w:p>
        </w:tc>
        <w:tc>
          <w:tcPr>
            <w:tcW w:w="5437" w:type="dxa"/>
            <w:gridSpan w:val="4"/>
            <w:shd w:val="clear" w:color="auto" w:fill="FFE0F7"/>
          </w:tcPr>
          <w:p w14:paraId="43FD3CBB" w14:textId="2DA9D3F6" w:rsidR="00942318" w:rsidRDefault="002A15E8" w:rsidP="00D40267">
            <w:pPr>
              <w:jc w:val="center"/>
            </w:pPr>
            <w:r>
              <w:t>Pay on</w:t>
            </w:r>
            <w:r w:rsidR="00942318">
              <w:t xml:space="preserve"> sliding scale according to reduction in PAH rates achieved.</w:t>
            </w:r>
          </w:p>
          <w:p w14:paraId="7295DE8A" w14:textId="77777777" w:rsidR="00942318" w:rsidRDefault="00942318" w:rsidP="00D40267">
            <w:pPr>
              <w:jc w:val="center"/>
            </w:pPr>
          </w:p>
          <w:p w14:paraId="650FAD45" w14:textId="77777777" w:rsidR="00942318" w:rsidRDefault="00942318" w:rsidP="00D40267">
            <w:pPr>
              <w:jc w:val="center"/>
            </w:pPr>
            <w:r>
              <w:t xml:space="preserve">Reduction in PAH rates </w:t>
            </w:r>
          </w:p>
        </w:tc>
      </w:tr>
      <w:tr w:rsidR="00942318" w14:paraId="4EECCFE7" w14:textId="77777777" w:rsidTr="0010567F">
        <w:trPr>
          <w:trHeight w:val="443"/>
        </w:trPr>
        <w:tc>
          <w:tcPr>
            <w:tcW w:w="3085" w:type="dxa"/>
            <w:vMerge/>
            <w:shd w:val="clear" w:color="auto" w:fill="FFE0F7"/>
          </w:tcPr>
          <w:p w14:paraId="652DDF25" w14:textId="77777777" w:rsidR="00942318" w:rsidRDefault="00942318" w:rsidP="00D40267"/>
        </w:tc>
        <w:tc>
          <w:tcPr>
            <w:tcW w:w="876" w:type="dxa"/>
            <w:shd w:val="clear" w:color="auto" w:fill="FFE0F7"/>
          </w:tcPr>
          <w:p w14:paraId="608D08B9" w14:textId="77777777" w:rsidR="00942318" w:rsidRDefault="00942318" w:rsidP="00D40267">
            <w:pPr>
              <w:jc w:val="center"/>
            </w:pPr>
            <w:r>
              <w:t>10%</w:t>
            </w:r>
          </w:p>
        </w:tc>
        <w:tc>
          <w:tcPr>
            <w:tcW w:w="1520" w:type="dxa"/>
            <w:shd w:val="clear" w:color="auto" w:fill="FFE0F7"/>
          </w:tcPr>
          <w:p w14:paraId="1D949D71" w14:textId="77777777" w:rsidR="00942318" w:rsidRDefault="00942318" w:rsidP="00D40267">
            <w:pPr>
              <w:jc w:val="center"/>
            </w:pPr>
            <w:r>
              <w:t>20%</w:t>
            </w:r>
          </w:p>
        </w:tc>
        <w:tc>
          <w:tcPr>
            <w:tcW w:w="1520" w:type="dxa"/>
            <w:shd w:val="clear" w:color="auto" w:fill="FFE0F7"/>
          </w:tcPr>
          <w:p w14:paraId="6968B1AB" w14:textId="77777777" w:rsidR="00942318" w:rsidRDefault="00942318" w:rsidP="00D40267">
            <w:pPr>
              <w:jc w:val="center"/>
            </w:pPr>
            <w:r>
              <w:t>30%</w:t>
            </w:r>
          </w:p>
        </w:tc>
        <w:tc>
          <w:tcPr>
            <w:tcW w:w="1521" w:type="dxa"/>
            <w:shd w:val="clear" w:color="auto" w:fill="FFE0F7"/>
          </w:tcPr>
          <w:p w14:paraId="7074E11C" w14:textId="77777777" w:rsidR="00942318" w:rsidRDefault="00942318" w:rsidP="00D40267">
            <w:pPr>
              <w:jc w:val="center"/>
            </w:pPr>
            <w:r>
              <w:t>40%</w:t>
            </w:r>
          </w:p>
        </w:tc>
      </w:tr>
      <w:tr w:rsidR="00942318" w14:paraId="63DD2B78" w14:textId="77777777" w:rsidTr="0010567F">
        <w:trPr>
          <w:trHeight w:val="443"/>
        </w:trPr>
        <w:tc>
          <w:tcPr>
            <w:tcW w:w="3085" w:type="dxa"/>
            <w:vMerge/>
            <w:shd w:val="clear" w:color="auto" w:fill="FFE0F7"/>
          </w:tcPr>
          <w:p w14:paraId="6DF0BDF0" w14:textId="77777777" w:rsidR="00942318" w:rsidRDefault="00942318" w:rsidP="00D40267"/>
        </w:tc>
        <w:tc>
          <w:tcPr>
            <w:tcW w:w="876" w:type="dxa"/>
            <w:shd w:val="clear" w:color="auto" w:fill="FFE0F7"/>
          </w:tcPr>
          <w:p w14:paraId="4D03BD5A" w14:textId="77777777" w:rsidR="00942318" w:rsidRDefault="00942318" w:rsidP="00D40267">
            <w:pPr>
              <w:jc w:val="center"/>
            </w:pPr>
            <w:r>
              <w:t>$15</w:t>
            </w:r>
          </w:p>
        </w:tc>
        <w:tc>
          <w:tcPr>
            <w:tcW w:w="1520" w:type="dxa"/>
            <w:shd w:val="clear" w:color="auto" w:fill="FFE0F7"/>
          </w:tcPr>
          <w:p w14:paraId="2384150A" w14:textId="77777777" w:rsidR="00942318" w:rsidRDefault="00942318" w:rsidP="00D40267">
            <w:pPr>
              <w:jc w:val="center"/>
            </w:pPr>
            <w:r>
              <w:t>$30</w:t>
            </w:r>
          </w:p>
        </w:tc>
        <w:tc>
          <w:tcPr>
            <w:tcW w:w="1520" w:type="dxa"/>
            <w:shd w:val="clear" w:color="auto" w:fill="FFE0F7"/>
          </w:tcPr>
          <w:p w14:paraId="1D27F754" w14:textId="77777777" w:rsidR="00942318" w:rsidRDefault="00942318" w:rsidP="00D40267">
            <w:pPr>
              <w:jc w:val="center"/>
            </w:pPr>
            <w:r>
              <w:t>$45</w:t>
            </w:r>
          </w:p>
        </w:tc>
        <w:tc>
          <w:tcPr>
            <w:tcW w:w="1521" w:type="dxa"/>
            <w:shd w:val="clear" w:color="auto" w:fill="FFE0F7"/>
          </w:tcPr>
          <w:p w14:paraId="21480B10" w14:textId="77777777" w:rsidR="00942318" w:rsidRDefault="00942318" w:rsidP="00D40267">
            <w:pPr>
              <w:jc w:val="center"/>
            </w:pPr>
            <w:r>
              <w:t>$60</w:t>
            </w:r>
          </w:p>
        </w:tc>
      </w:tr>
      <w:tr w:rsidR="00942318" w14:paraId="3B58AF04" w14:textId="77777777" w:rsidTr="0010567F">
        <w:trPr>
          <w:trHeight w:val="443"/>
        </w:trPr>
        <w:tc>
          <w:tcPr>
            <w:tcW w:w="3085" w:type="dxa"/>
            <w:vMerge/>
            <w:shd w:val="clear" w:color="auto" w:fill="FFE0F7"/>
          </w:tcPr>
          <w:p w14:paraId="36D97F73" w14:textId="77777777" w:rsidR="00942318" w:rsidRDefault="00942318" w:rsidP="00D40267"/>
        </w:tc>
        <w:tc>
          <w:tcPr>
            <w:tcW w:w="5437" w:type="dxa"/>
            <w:gridSpan w:val="4"/>
            <w:shd w:val="clear" w:color="auto" w:fill="FFE0F7"/>
          </w:tcPr>
          <w:p w14:paraId="4DC6B8F4" w14:textId="77777777" w:rsidR="00942318" w:rsidRDefault="00942318" w:rsidP="00D40267">
            <w:pPr>
              <w:jc w:val="center"/>
            </w:pPr>
            <w:r>
              <w:t>Payment per patient</w:t>
            </w:r>
          </w:p>
          <w:p w14:paraId="5BB24793" w14:textId="77777777" w:rsidR="00942318" w:rsidRDefault="00942318" w:rsidP="00D40267">
            <w:pPr>
              <w:jc w:val="center"/>
            </w:pPr>
          </w:p>
          <w:p w14:paraId="6170B18F" w14:textId="77777777" w:rsidR="00942318" w:rsidRDefault="00942318" w:rsidP="00D40267">
            <w:pPr>
              <w:jc w:val="center"/>
            </w:pPr>
            <w:r>
              <w:t>Maximum $1200 for 20 patients</w:t>
            </w:r>
          </w:p>
        </w:tc>
      </w:tr>
    </w:tbl>
    <w:p w14:paraId="35A980C3" w14:textId="0ACE9EC3" w:rsidR="00E91530" w:rsidRDefault="00CB3930">
      <w:r>
        <w:t xml:space="preserve"> </w:t>
      </w:r>
    </w:p>
    <w:tbl>
      <w:tblPr>
        <w:tblStyle w:val="TableGrid"/>
        <w:tblW w:w="8615" w:type="dxa"/>
        <w:tblLook w:val="04A0" w:firstRow="1" w:lastRow="0" w:firstColumn="1" w:lastColumn="0" w:noHBand="0" w:noVBand="1"/>
      </w:tblPr>
      <w:tblGrid>
        <w:gridCol w:w="3074"/>
        <w:gridCol w:w="583"/>
        <w:gridCol w:w="311"/>
        <w:gridCol w:w="929"/>
        <w:gridCol w:w="621"/>
        <w:gridCol w:w="619"/>
        <w:gridCol w:w="930"/>
        <w:gridCol w:w="309"/>
        <w:gridCol w:w="1239"/>
      </w:tblGrid>
      <w:tr w:rsidR="006D43AA" w14:paraId="581430DD" w14:textId="77777777" w:rsidTr="006D43AA">
        <w:tc>
          <w:tcPr>
            <w:tcW w:w="8615" w:type="dxa"/>
            <w:gridSpan w:val="9"/>
            <w:tcBorders>
              <w:bottom w:val="single" w:sz="4" w:space="0" w:color="auto"/>
            </w:tcBorders>
            <w:shd w:val="clear" w:color="auto" w:fill="FF99CC"/>
          </w:tcPr>
          <w:p w14:paraId="7C1BFFCD" w14:textId="77777777" w:rsidR="006D43AA" w:rsidRPr="00A7258E" w:rsidRDefault="006D43AA" w:rsidP="00D40267">
            <w:pPr>
              <w:rPr>
                <w:b/>
                <w:sz w:val="28"/>
                <w:szCs w:val="28"/>
              </w:rPr>
            </w:pPr>
            <w:r w:rsidRPr="00A7258E">
              <w:rPr>
                <w:b/>
                <w:sz w:val="28"/>
                <w:szCs w:val="28"/>
              </w:rPr>
              <w:lastRenderedPageBreak/>
              <w:t>Incentives for 18-65</w:t>
            </w:r>
            <w:r w:rsidR="00522858" w:rsidRPr="00A7258E">
              <w:rPr>
                <w:b/>
                <w:sz w:val="28"/>
                <w:szCs w:val="28"/>
              </w:rPr>
              <w:t xml:space="preserve"> years</w:t>
            </w:r>
            <w:r w:rsidRPr="00A7258E">
              <w:rPr>
                <w:b/>
                <w:sz w:val="28"/>
                <w:szCs w:val="28"/>
              </w:rPr>
              <w:t xml:space="preserve"> w chronic disease &amp; &gt;65 years (n=30)</w:t>
            </w:r>
          </w:p>
          <w:p w14:paraId="378A84C4" w14:textId="7CCC84F7" w:rsidR="00A7258E" w:rsidRDefault="00A7258E" w:rsidP="00D40267">
            <w:pPr>
              <w:rPr>
                <w:b/>
              </w:rPr>
            </w:pPr>
          </w:p>
        </w:tc>
      </w:tr>
      <w:tr w:rsidR="006D43AA" w14:paraId="7BE77390" w14:textId="77777777" w:rsidTr="0010567F">
        <w:tc>
          <w:tcPr>
            <w:tcW w:w="3074" w:type="dxa"/>
            <w:tcBorders>
              <w:bottom w:val="single" w:sz="4" w:space="0" w:color="auto"/>
            </w:tcBorders>
            <w:shd w:val="clear" w:color="auto" w:fill="33CCCC"/>
          </w:tcPr>
          <w:p w14:paraId="6C8D230F" w14:textId="77777777" w:rsidR="002258AA" w:rsidRPr="005E1FE4" w:rsidRDefault="002258AA" w:rsidP="00D40267">
            <w:pPr>
              <w:rPr>
                <w:b/>
              </w:rPr>
            </w:pPr>
            <w:r w:rsidRPr="005E1FE4">
              <w:rPr>
                <w:b/>
              </w:rPr>
              <w:t>If you can…</w:t>
            </w:r>
          </w:p>
        </w:tc>
        <w:tc>
          <w:tcPr>
            <w:tcW w:w="5541" w:type="dxa"/>
            <w:gridSpan w:val="8"/>
            <w:tcBorders>
              <w:bottom w:val="single" w:sz="4" w:space="0" w:color="auto"/>
            </w:tcBorders>
            <w:shd w:val="clear" w:color="auto" w:fill="FFFF99"/>
          </w:tcPr>
          <w:p w14:paraId="3D6C3985" w14:textId="522641AD" w:rsidR="002258AA" w:rsidRPr="005E1FE4" w:rsidRDefault="006D43AA" w:rsidP="00D40267">
            <w:pPr>
              <w:rPr>
                <w:b/>
              </w:rPr>
            </w:pPr>
            <w:r>
              <w:rPr>
                <w:b/>
              </w:rPr>
              <w:t>Then we will</w:t>
            </w:r>
            <w:r w:rsidR="002258AA" w:rsidRPr="005E1FE4">
              <w:rPr>
                <w:b/>
              </w:rPr>
              <w:t>…</w:t>
            </w:r>
          </w:p>
        </w:tc>
      </w:tr>
      <w:tr w:rsidR="002258AA" w14:paraId="0D81C976" w14:textId="77777777" w:rsidTr="0010567F">
        <w:trPr>
          <w:trHeight w:val="444"/>
        </w:trPr>
        <w:tc>
          <w:tcPr>
            <w:tcW w:w="3074" w:type="dxa"/>
            <w:vMerge w:val="restart"/>
            <w:shd w:val="clear" w:color="auto" w:fill="FFDFF6"/>
          </w:tcPr>
          <w:p w14:paraId="2887E1D7" w14:textId="33AD5EC1" w:rsidR="002258AA" w:rsidRDefault="002258AA" w:rsidP="00A84727">
            <w:r>
              <w:t xml:space="preserve">Provide </w:t>
            </w:r>
            <w:r w:rsidR="00A84727">
              <w:t xml:space="preserve">three </w:t>
            </w:r>
            <w:r>
              <w:t xml:space="preserve">longer consults </w:t>
            </w:r>
            <w:r w:rsidR="00004B7D">
              <w:t xml:space="preserve">(over 15 minutes) </w:t>
            </w:r>
            <w:r>
              <w:t>per enroll</w:t>
            </w:r>
            <w:r w:rsidR="0010567F">
              <w:t>ed patient &amp; reduce unnecessary</w:t>
            </w:r>
            <w:r w:rsidR="00004B7D">
              <w:t xml:space="preserve"> prescriptions, pathology &amp; imaging. </w:t>
            </w:r>
          </w:p>
          <w:p w14:paraId="7FEFC7F9" w14:textId="77777777" w:rsidR="00CB3930" w:rsidRDefault="00CB3930" w:rsidP="00A84727"/>
          <w:p w14:paraId="794949C1" w14:textId="067E599B" w:rsidR="00CB3930" w:rsidRDefault="00CB3930" w:rsidP="00CB3930">
            <w:r>
              <w:t xml:space="preserve">Reductions are measured across all prescriptions. Plus across specific pathology &amp; imaging tests flagged for reduction in current evidence regarding best practice. A list of these will be provided. </w:t>
            </w:r>
          </w:p>
        </w:tc>
        <w:tc>
          <w:tcPr>
            <w:tcW w:w="5541" w:type="dxa"/>
            <w:gridSpan w:val="8"/>
            <w:tcBorders>
              <w:bottom w:val="single" w:sz="4" w:space="0" w:color="auto"/>
            </w:tcBorders>
            <w:shd w:val="clear" w:color="auto" w:fill="FFDFF6"/>
          </w:tcPr>
          <w:p w14:paraId="3468C42F" w14:textId="2DE8A80E" w:rsidR="00AE5EC4" w:rsidRDefault="00CB3930" w:rsidP="00120F5B">
            <w:pPr>
              <w:jc w:val="center"/>
            </w:pPr>
            <w:r>
              <w:t xml:space="preserve">Pay for every extra minute above 15 mins calculated on the mean consultation time across your cohort of enrolled patients. The rate of pay per minute is adjusted according to </w:t>
            </w:r>
            <w:r w:rsidR="00AE5EC4">
              <w:t xml:space="preserve">the overall proportion of reduction </w:t>
            </w:r>
            <w:r>
              <w:t xml:space="preserve">in </w:t>
            </w:r>
            <w:r w:rsidR="00AE5EC4">
              <w:t>scripts, pathology &amp; imaging</w:t>
            </w:r>
            <w:r>
              <w:t>.</w:t>
            </w:r>
          </w:p>
          <w:p w14:paraId="1E1E12DE" w14:textId="77777777" w:rsidR="00AE5EC4" w:rsidRDefault="00AE5EC4" w:rsidP="00D40267">
            <w:pPr>
              <w:jc w:val="center"/>
            </w:pPr>
          </w:p>
          <w:p w14:paraId="7D4F933D" w14:textId="1035F137" w:rsidR="002258AA" w:rsidRDefault="002258AA" w:rsidP="00D40267">
            <w:pPr>
              <w:jc w:val="center"/>
            </w:pPr>
            <w:r>
              <w:t xml:space="preserve">Capped at $250 per patient.   </w:t>
            </w:r>
          </w:p>
          <w:p w14:paraId="45344F8F" w14:textId="77777777" w:rsidR="002258AA" w:rsidRDefault="002258AA" w:rsidP="00D40267">
            <w:pPr>
              <w:jc w:val="center"/>
            </w:pPr>
          </w:p>
          <w:p w14:paraId="70D098C6" w14:textId="77777777" w:rsidR="002258AA" w:rsidRDefault="002258AA" w:rsidP="00D40267">
            <w:pPr>
              <w:jc w:val="center"/>
            </w:pPr>
            <w:r>
              <w:t xml:space="preserve">Rate of service use reduction </w:t>
            </w:r>
          </w:p>
        </w:tc>
      </w:tr>
      <w:tr w:rsidR="006D43AA" w14:paraId="4B307498" w14:textId="77777777" w:rsidTr="0010567F">
        <w:trPr>
          <w:trHeight w:val="443"/>
        </w:trPr>
        <w:tc>
          <w:tcPr>
            <w:tcW w:w="3074" w:type="dxa"/>
            <w:vMerge/>
            <w:shd w:val="clear" w:color="auto" w:fill="FFDFF6"/>
          </w:tcPr>
          <w:p w14:paraId="471A6C23" w14:textId="77777777" w:rsidR="002258AA" w:rsidRDefault="002258AA" w:rsidP="00D40267"/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FFDFF6"/>
          </w:tcPr>
          <w:p w14:paraId="0C1E21F9" w14:textId="77777777" w:rsidR="002258AA" w:rsidRDefault="002258AA" w:rsidP="00D40267">
            <w:pPr>
              <w:jc w:val="center"/>
            </w:pPr>
            <w:r>
              <w:t>5%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7B0A0D4B" w14:textId="77777777" w:rsidR="002258AA" w:rsidRDefault="002258AA" w:rsidP="00D40267">
            <w:pPr>
              <w:jc w:val="center"/>
            </w:pPr>
            <w:r>
              <w:t>10%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4BACED28" w14:textId="77777777" w:rsidR="002258AA" w:rsidRDefault="002258AA" w:rsidP="00D40267">
            <w:pPr>
              <w:jc w:val="center"/>
            </w:pPr>
            <w:r>
              <w:t>15%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4412FB90" w14:textId="77777777" w:rsidR="002258AA" w:rsidRDefault="002258AA" w:rsidP="004F5864">
            <w:pPr>
              <w:jc w:val="center"/>
            </w:pPr>
            <w:r>
              <w:t>20%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DFF6"/>
          </w:tcPr>
          <w:p w14:paraId="27498999" w14:textId="77777777" w:rsidR="002258AA" w:rsidRDefault="002258AA" w:rsidP="00D40267">
            <w:pPr>
              <w:jc w:val="center"/>
            </w:pPr>
            <w:r>
              <w:t>25%</w:t>
            </w:r>
          </w:p>
        </w:tc>
      </w:tr>
      <w:tr w:rsidR="006D43AA" w14:paraId="538110D7" w14:textId="77777777" w:rsidTr="0010567F">
        <w:trPr>
          <w:trHeight w:val="443"/>
        </w:trPr>
        <w:tc>
          <w:tcPr>
            <w:tcW w:w="3074" w:type="dxa"/>
            <w:vMerge/>
            <w:shd w:val="clear" w:color="auto" w:fill="FFDFF6"/>
          </w:tcPr>
          <w:p w14:paraId="1CF5C609" w14:textId="77777777" w:rsidR="002258AA" w:rsidRDefault="002258AA" w:rsidP="00D40267"/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FFDFF6"/>
          </w:tcPr>
          <w:p w14:paraId="700CB93A" w14:textId="77777777" w:rsidR="002258AA" w:rsidRDefault="002258AA" w:rsidP="00D40267">
            <w:pPr>
              <w:jc w:val="center"/>
            </w:pPr>
            <w:r>
              <w:t>60c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332ADF88" w14:textId="77777777" w:rsidR="002258AA" w:rsidRDefault="002258AA" w:rsidP="00D40267">
            <w:pPr>
              <w:jc w:val="center"/>
            </w:pPr>
            <w:r>
              <w:t>$1.20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0ECE28D2" w14:textId="77777777" w:rsidR="002258AA" w:rsidRDefault="002258AA" w:rsidP="00D40267">
            <w:pPr>
              <w:jc w:val="center"/>
            </w:pPr>
            <w:r>
              <w:t>$1.80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1600AD8C" w14:textId="77777777" w:rsidR="002258AA" w:rsidRDefault="002258AA" w:rsidP="00D40267">
            <w:pPr>
              <w:jc w:val="center"/>
            </w:pPr>
            <w:r>
              <w:t>$2.40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FDFF6"/>
          </w:tcPr>
          <w:p w14:paraId="330EA29C" w14:textId="77777777" w:rsidR="002258AA" w:rsidRDefault="002258AA" w:rsidP="00D40267">
            <w:pPr>
              <w:jc w:val="center"/>
            </w:pPr>
            <w:r>
              <w:t>$3</w:t>
            </w:r>
          </w:p>
        </w:tc>
      </w:tr>
      <w:tr w:rsidR="006D43AA" w14:paraId="1F751B5D" w14:textId="77777777" w:rsidTr="0010567F">
        <w:trPr>
          <w:trHeight w:val="443"/>
        </w:trPr>
        <w:tc>
          <w:tcPr>
            <w:tcW w:w="3074" w:type="dxa"/>
            <w:vMerge/>
            <w:tcBorders>
              <w:bottom w:val="single" w:sz="4" w:space="0" w:color="auto"/>
            </w:tcBorders>
            <w:shd w:val="clear" w:color="auto" w:fill="FFDFF6"/>
          </w:tcPr>
          <w:p w14:paraId="196FDD9A" w14:textId="77777777" w:rsidR="002258AA" w:rsidRDefault="002258AA" w:rsidP="00D40267"/>
        </w:tc>
        <w:tc>
          <w:tcPr>
            <w:tcW w:w="5541" w:type="dxa"/>
            <w:gridSpan w:val="8"/>
            <w:tcBorders>
              <w:bottom w:val="single" w:sz="4" w:space="0" w:color="auto"/>
            </w:tcBorders>
            <w:shd w:val="clear" w:color="auto" w:fill="FFDFF6"/>
          </w:tcPr>
          <w:p w14:paraId="3A16A039" w14:textId="77777777" w:rsidR="002258AA" w:rsidRDefault="002258AA" w:rsidP="00D40267">
            <w:pPr>
              <w:jc w:val="center"/>
            </w:pPr>
            <w:r>
              <w:t xml:space="preserve">Payment per extra minute </w:t>
            </w:r>
          </w:p>
          <w:p w14:paraId="110D89A5" w14:textId="77777777" w:rsidR="002258AA" w:rsidRDefault="002258AA" w:rsidP="00D40267">
            <w:pPr>
              <w:jc w:val="center"/>
            </w:pPr>
          </w:p>
          <w:p w14:paraId="481E2ECD" w14:textId="77777777" w:rsidR="002258AA" w:rsidRDefault="002258AA" w:rsidP="00D40267">
            <w:pPr>
              <w:jc w:val="center"/>
            </w:pPr>
            <w:r>
              <w:t>Maximum $7500 for 30 patients.</w:t>
            </w:r>
          </w:p>
          <w:p w14:paraId="4F6637BD" w14:textId="77777777" w:rsidR="00C07651" w:rsidRDefault="00C07651" w:rsidP="00D40267">
            <w:pPr>
              <w:jc w:val="center"/>
            </w:pPr>
          </w:p>
        </w:tc>
      </w:tr>
      <w:tr w:rsidR="006D43AA" w14:paraId="0E1D2FBD" w14:textId="77777777" w:rsidTr="0010567F">
        <w:trPr>
          <w:trHeight w:val="391"/>
        </w:trPr>
        <w:tc>
          <w:tcPr>
            <w:tcW w:w="3074" w:type="dxa"/>
            <w:vMerge w:val="restart"/>
            <w:shd w:val="clear" w:color="auto" w:fill="FFDFF6"/>
          </w:tcPr>
          <w:p w14:paraId="6AA7801F" w14:textId="77777777" w:rsidR="002258AA" w:rsidRDefault="002258AA" w:rsidP="00D40267">
            <w:r>
              <w:t>See minimum of 70% enrolled patients within one week of hospital discharge.</w:t>
            </w:r>
          </w:p>
        </w:tc>
        <w:tc>
          <w:tcPr>
            <w:tcW w:w="5541" w:type="dxa"/>
            <w:gridSpan w:val="8"/>
            <w:tcBorders>
              <w:bottom w:val="single" w:sz="4" w:space="0" w:color="auto"/>
            </w:tcBorders>
            <w:shd w:val="clear" w:color="auto" w:fill="FFDFF6"/>
          </w:tcPr>
          <w:p w14:paraId="72884040" w14:textId="0E771A6B" w:rsidR="002258AA" w:rsidRDefault="002A15E8" w:rsidP="00D40267">
            <w:pPr>
              <w:jc w:val="center"/>
            </w:pPr>
            <w:r>
              <w:t xml:space="preserve">Pay on </w:t>
            </w:r>
            <w:r w:rsidR="002258AA">
              <w:t xml:space="preserve">sliding scale according to percentage of patients seen within </w:t>
            </w:r>
            <w:r w:rsidR="00AE5EC4">
              <w:t xml:space="preserve">one </w:t>
            </w:r>
            <w:r w:rsidR="002258AA">
              <w:t>week of discharge.</w:t>
            </w:r>
          </w:p>
          <w:p w14:paraId="035F18FA" w14:textId="77777777" w:rsidR="002258AA" w:rsidRDefault="002258AA" w:rsidP="00D40267">
            <w:pPr>
              <w:jc w:val="center"/>
            </w:pPr>
          </w:p>
          <w:p w14:paraId="7015C46B" w14:textId="77777777" w:rsidR="002258AA" w:rsidRDefault="002258AA" w:rsidP="00D40267">
            <w:pPr>
              <w:jc w:val="center"/>
            </w:pPr>
            <w:r>
              <w:t xml:space="preserve">Seen within one week </w:t>
            </w:r>
          </w:p>
        </w:tc>
      </w:tr>
      <w:tr w:rsidR="006D43AA" w14:paraId="66DD90CE" w14:textId="77777777" w:rsidTr="0010567F">
        <w:trPr>
          <w:trHeight w:val="390"/>
        </w:trPr>
        <w:tc>
          <w:tcPr>
            <w:tcW w:w="3074" w:type="dxa"/>
            <w:vMerge/>
            <w:shd w:val="clear" w:color="auto" w:fill="FFDFF6"/>
          </w:tcPr>
          <w:p w14:paraId="10BD2AAC" w14:textId="77777777" w:rsidR="002258AA" w:rsidRDefault="002258AA" w:rsidP="00D40267"/>
        </w:tc>
        <w:tc>
          <w:tcPr>
            <w:tcW w:w="894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5255EAC5" w14:textId="77777777" w:rsidR="002258AA" w:rsidRDefault="002258AA" w:rsidP="00D40267">
            <w:pPr>
              <w:jc w:val="center"/>
            </w:pPr>
            <w:r>
              <w:t>70%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451C60BB" w14:textId="77777777" w:rsidR="002258AA" w:rsidRDefault="002258AA" w:rsidP="00D40267">
            <w:pPr>
              <w:jc w:val="center"/>
            </w:pPr>
            <w:r>
              <w:t>80%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6CB7C59D" w14:textId="77777777" w:rsidR="002258AA" w:rsidRDefault="002258AA" w:rsidP="00D40267">
            <w:pPr>
              <w:jc w:val="center"/>
            </w:pPr>
            <w:r>
              <w:t>90%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61251683" w14:textId="77777777" w:rsidR="002258AA" w:rsidRDefault="002258AA" w:rsidP="00D40267">
            <w:pPr>
              <w:jc w:val="center"/>
            </w:pPr>
            <w:r>
              <w:t>100%</w:t>
            </w:r>
          </w:p>
        </w:tc>
      </w:tr>
      <w:tr w:rsidR="006D43AA" w14:paraId="72B49540" w14:textId="77777777" w:rsidTr="0010567F">
        <w:trPr>
          <w:trHeight w:val="390"/>
        </w:trPr>
        <w:tc>
          <w:tcPr>
            <w:tcW w:w="3074" w:type="dxa"/>
            <w:vMerge/>
            <w:shd w:val="clear" w:color="auto" w:fill="FFDFF6"/>
          </w:tcPr>
          <w:p w14:paraId="5D091A48" w14:textId="77777777" w:rsidR="002258AA" w:rsidRDefault="002258AA" w:rsidP="00D40267"/>
        </w:tc>
        <w:tc>
          <w:tcPr>
            <w:tcW w:w="894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220A4A04" w14:textId="77777777" w:rsidR="002258AA" w:rsidRDefault="002258AA" w:rsidP="00D40267">
            <w:pPr>
              <w:jc w:val="center"/>
            </w:pPr>
            <w:r w:rsidRPr="008043D4">
              <w:t>$22.50</w:t>
            </w:r>
          </w:p>
        </w:tc>
        <w:tc>
          <w:tcPr>
            <w:tcW w:w="1550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7FC62EA0" w14:textId="77777777" w:rsidR="002258AA" w:rsidRDefault="002258AA" w:rsidP="00D40267">
            <w:pPr>
              <w:jc w:val="center"/>
            </w:pPr>
            <w:r w:rsidRPr="008043D4">
              <w:t>$45</w:t>
            </w: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70F7B2A6" w14:textId="77777777" w:rsidR="002258AA" w:rsidRDefault="002258AA" w:rsidP="00D40267">
            <w:pPr>
              <w:jc w:val="center"/>
            </w:pPr>
            <w:r w:rsidRPr="008043D4">
              <w:t>$67.50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  <w:shd w:val="clear" w:color="auto" w:fill="FFDFF6"/>
          </w:tcPr>
          <w:p w14:paraId="698D7453" w14:textId="77777777" w:rsidR="002258AA" w:rsidRDefault="002258AA" w:rsidP="00D40267">
            <w:pPr>
              <w:jc w:val="center"/>
            </w:pPr>
            <w:r w:rsidRPr="008043D4">
              <w:t>$90</w:t>
            </w:r>
          </w:p>
        </w:tc>
      </w:tr>
      <w:tr w:rsidR="006D43AA" w14:paraId="018125BA" w14:textId="77777777" w:rsidTr="0010567F">
        <w:trPr>
          <w:trHeight w:val="390"/>
        </w:trPr>
        <w:tc>
          <w:tcPr>
            <w:tcW w:w="3074" w:type="dxa"/>
            <w:vMerge/>
            <w:tcBorders>
              <w:bottom w:val="single" w:sz="4" w:space="0" w:color="auto"/>
            </w:tcBorders>
            <w:shd w:val="clear" w:color="auto" w:fill="FFDFF6"/>
          </w:tcPr>
          <w:p w14:paraId="14CEB72E" w14:textId="77777777" w:rsidR="002258AA" w:rsidRDefault="002258AA" w:rsidP="00D40267"/>
        </w:tc>
        <w:tc>
          <w:tcPr>
            <w:tcW w:w="5541" w:type="dxa"/>
            <w:gridSpan w:val="8"/>
            <w:tcBorders>
              <w:bottom w:val="single" w:sz="4" w:space="0" w:color="auto"/>
            </w:tcBorders>
            <w:shd w:val="clear" w:color="auto" w:fill="FFDFF6"/>
          </w:tcPr>
          <w:p w14:paraId="5A35BB8D" w14:textId="77777777" w:rsidR="002258AA" w:rsidRDefault="002258AA" w:rsidP="00D40267">
            <w:pPr>
              <w:jc w:val="center"/>
            </w:pPr>
            <w:r>
              <w:t>Payment per patient</w:t>
            </w:r>
          </w:p>
          <w:p w14:paraId="5A68F633" w14:textId="77777777" w:rsidR="002258AA" w:rsidRDefault="002258AA" w:rsidP="00D40267">
            <w:pPr>
              <w:jc w:val="center"/>
            </w:pPr>
          </w:p>
          <w:p w14:paraId="48F65A4B" w14:textId="77777777" w:rsidR="002258AA" w:rsidRDefault="002258AA" w:rsidP="00D40267">
            <w:pPr>
              <w:jc w:val="center"/>
            </w:pPr>
            <w:r>
              <w:t>Maximum$2700 for 30 patients.</w:t>
            </w:r>
          </w:p>
          <w:p w14:paraId="07B9E48A" w14:textId="77777777" w:rsidR="00C07651" w:rsidRDefault="00C07651" w:rsidP="00D40267">
            <w:pPr>
              <w:jc w:val="center"/>
            </w:pPr>
          </w:p>
        </w:tc>
      </w:tr>
      <w:tr w:rsidR="006D43AA" w14:paraId="24C70789" w14:textId="77777777" w:rsidTr="0010567F">
        <w:trPr>
          <w:trHeight w:val="444"/>
        </w:trPr>
        <w:tc>
          <w:tcPr>
            <w:tcW w:w="3074" w:type="dxa"/>
            <w:vMerge w:val="restart"/>
            <w:shd w:val="clear" w:color="auto" w:fill="FFDFF6"/>
          </w:tcPr>
          <w:p w14:paraId="52910EC3" w14:textId="77777777" w:rsidR="002258AA" w:rsidRDefault="002258AA" w:rsidP="00D40267">
            <w:r>
              <w:t xml:space="preserve">Reduce potentially avoidable hospitalisations (PAHs) by up to 40% for enrolled patients. </w:t>
            </w:r>
          </w:p>
        </w:tc>
        <w:tc>
          <w:tcPr>
            <w:tcW w:w="5541" w:type="dxa"/>
            <w:gridSpan w:val="8"/>
            <w:shd w:val="clear" w:color="auto" w:fill="FFDFF6"/>
          </w:tcPr>
          <w:p w14:paraId="13F6C821" w14:textId="0320AE2C" w:rsidR="002258AA" w:rsidRDefault="002A15E8" w:rsidP="00D40267">
            <w:pPr>
              <w:jc w:val="center"/>
            </w:pPr>
            <w:r>
              <w:t xml:space="preserve">Pay on </w:t>
            </w:r>
            <w:r w:rsidR="002258AA">
              <w:t xml:space="preserve">sliding scale according to reduction in PAH rates achieved.  </w:t>
            </w:r>
          </w:p>
          <w:p w14:paraId="1838BFDC" w14:textId="77777777" w:rsidR="002258AA" w:rsidRDefault="002258AA" w:rsidP="00D40267">
            <w:pPr>
              <w:jc w:val="center"/>
            </w:pPr>
          </w:p>
          <w:p w14:paraId="7D68490A" w14:textId="77777777" w:rsidR="002258AA" w:rsidRDefault="002258AA" w:rsidP="00D40267">
            <w:pPr>
              <w:jc w:val="center"/>
            </w:pPr>
            <w:r>
              <w:t xml:space="preserve">Rate of PAH reduction </w:t>
            </w:r>
          </w:p>
        </w:tc>
      </w:tr>
      <w:tr w:rsidR="006D43AA" w14:paraId="65D5467C" w14:textId="77777777" w:rsidTr="0010567F">
        <w:trPr>
          <w:trHeight w:val="443"/>
        </w:trPr>
        <w:tc>
          <w:tcPr>
            <w:tcW w:w="3074" w:type="dxa"/>
            <w:vMerge/>
            <w:shd w:val="clear" w:color="auto" w:fill="FFDFF6"/>
          </w:tcPr>
          <w:p w14:paraId="0278D2D6" w14:textId="77777777" w:rsidR="002258AA" w:rsidRDefault="002258AA" w:rsidP="00D40267"/>
        </w:tc>
        <w:tc>
          <w:tcPr>
            <w:tcW w:w="894" w:type="dxa"/>
            <w:gridSpan w:val="2"/>
            <w:shd w:val="clear" w:color="auto" w:fill="FFDFF6"/>
          </w:tcPr>
          <w:p w14:paraId="733B34F8" w14:textId="77777777" w:rsidR="002258AA" w:rsidRDefault="002258AA" w:rsidP="00D40267">
            <w:pPr>
              <w:jc w:val="center"/>
            </w:pPr>
            <w:r>
              <w:t>10%</w:t>
            </w:r>
          </w:p>
        </w:tc>
        <w:tc>
          <w:tcPr>
            <w:tcW w:w="1550" w:type="dxa"/>
            <w:gridSpan w:val="2"/>
            <w:shd w:val="clear" w:color="auto" w:fill="FFDFF6"/>
          </w:tcPr>
          <w:p w14:paraId="416C0BE6" w14:textId="77777777" w:rsidR="002258AA" w:rsidRDefault="002258AA" w:rsidP="00D40267">
            <w:pPr>
              <w:jc w:val="center"/>
            </w:pPr>
            <w:r>
              <w:t>20%</w:t>
            </w:r>
          </w:p>
        </w:tc>
        <w:tc>
          <w:tcPr>
            <w:tcW w:w="1549" w:type="dxa"/>
            <w:gridSpan w:val="2"/>
            <w:shd w:val="clear" w:color="auto" w:fill="FFDFF6"/>
          </w:tcPr>
          <w:p w14:paraId="69114F7E" w14:textId="77777777" w:rsidR="002258AA" w:rsidRDefault="002258AA" w:rsidP="00D40267">
            <w:pPr>
              <w:jc w:val="center"/>
            </w:pPr>
            <w:r>
              <w:t>30%</w:t>
            </w:r>
          </w:p>
        </w:tc>
        <w:tc>
          <w:tcPr>
            <w:tcW w:w="1548" w:type="dxa"/>
            <w:gridSpan w:val="2"/>
            <w:shd w:val="clear" w:color="auto" w:fill="FFDFF6"/>
          </w:tcPr>
          <w:p w14:paraId="582385EA" w14:textId="77777777" w:rsidR="002258AA" w:rsidRDefault="002258AA" w:rsidP="00D40267">
            <w:pPr>
              <w:jc w:val="center"/>
            </w:pPr>
            <w:r>
              <w:t>40%</w:t>
            </w:r>
          </w:p>
        </w:tc>
      </w:tr>
      <w:tr w:rsidR="006D43AA" w14:paraId="5217F849" w14:textId="77777777" w:rsidTr="0010567F">
        <w:trPr>
          <w:trHeight w:val="443"/>
        </w:trPr>
        <w:tc>
          <w:tcPr>
            <w:tcW w:w="3074" w:type="dxa"/>
            <w:vMerge/>
            <w:shd w:val="clear" w:color="auto" w:fill="FFDFF6"/>
          </w:tcPr>
          <w:p w14:paraId="41FDF324" w14:textId="77777777" w:rsidR="002258AA" w:rsidRDefault="002258AA" w:rsidP="00D40267"/>
        </w:tc>
        <w:tc>
          <w:tcPr>
            <w:tcW w:w="894" w:type="dxa"/>
            <w:gridSpan w:val="2"/>
            <w:shd w:val="clear" w:color="auto" w:fill="FFDFF6"/>
          </w:tcPr>
          <w:p w14:paraId="3E486BA2" w14:textId="77777777" w:rsidR="002258AA" w:rsidRDefault="002258AA" w:rsidP="00D40267">
            <w:pPr>
              <w:jc w:val="center"/>
            </w:pPr>
            <w:r>
              <w:t>$50</w:t>
            </w:r>
          </w:p>
        </w:tc>
        <w:tc>
          <w:tcPr>
            <w:tcW w:w="1550" w:type="dxa"/>
            <w:gridSpan w:val="2"/>
            <w:shd w:val="clear" w:color="auto" w:fill="FFDFF6"/>
          </w:tcPr>
          <w:p w14:paraId="7B55F041" w14:textId="77777777" w:rsidR="002258AA" w:rsidRDefault="002258AA" w:rsidP="00D40267">
            <w:pPr>
              <w:jc w:val="center"/>
            </w:pPr>
            <w:r>
              <w:t>$100</w:t>
            </w:r>
          </w:p>
        </w:tc>
        <w:tc>
          <w:tcPr>
            <w:tcW w:w="1549" w:type="dxa"/>
            <w:gridSpan w:val="2"/>
            <w:shd w:val="clear" w:color="auto" w:fill="FFDFF6"/>
          </w:tcPr>
          <w:p w14:paraId="2AEED59E" w14:textId="77777777" w:rsidR="002258AA" w:rsidRDefault="002258AA" w:rsidP="00D40267">
            <w:pPr>
              <w:jc w:val="center"/>
            </w:pPr>
            <w:r>
              <w:t>$150</w:t>
            </w:r>
          </w:p>
        </w:tc>
        <w:tc>
          <w:tcPr>
            <w:tcW w:w="1548" w:type="dxa"/>
            <w:gridSpan w:val="2"/>
            <w:shd w:val="clear" w:color="auto" w:fill="FFDFF6"/>
          </w:tcPr>
          <w:p w14:paraId="2785C65F" w14:textId="77777777" w:rsidR="002258AA" w:rsidRDefault="002258AA" w:rsidP="00D40267">
            <w:pPr>
              <w:jc w:val="center"/>
            </w:pPr>
            <w:r>
              <w:t>$200</w:t>
            </w:r>
          </w:p>
        </w:tc>
      </w:tr>
      <w:tr w:rsidR="006D43AA" w14:paraId="466F7BE9" w14:textId="77777777" w:rsidTr="0010567F">
        <w:trPr>
          <w:trHeight w:val="443"/>
        </w:trPr>
        <w:tc>
          <w:tcPr>
            <w:tcW w:w="3074" w:type="dxa"/>
            <w:vMerge/>
            <w:shd w:val="clear" w:color="auto" w:fill="FFDFF6"/>
          </w:tcPr>
          <w:p w14:paraId="7C9CF72F" w14:textId="77777777" w:rsidR="002258AA" w:rsidRDefault="002258AA" w:rsidP="00D40267"/>
        </w:tc>
        <w:tc>
          <w:tcPr>
            <w:tcW w:w="5541" w:type="dxa"/>
            <w:gridSpan w:val="8"/>
            <w:shd w:val="clear" w:color="auto" w:fill="FFDFF6"/>
          </w:tcPr>
          <w:p w14:paraId="6F3B30B6" w14:textId="77777777" w:rsidR="002258AA" w:rsidRDefault="002258AA" w:rsidP="00D40267">
            <w:pPr>
              <w:jc w:val="center"/>
            </w:pPr>
            <w:r>
              <w:t>Payment per patient</w:t>
            </w:r>
          </w:p>
          <w:p w14:paraId="4CC89FC4" w14:textId="77777777" w:rsidR="002258AA" w:rsidRDefault="002258AA" w:rsidP="00D40267">
            <w:pPr>
              <w:jc w:val="center"/>
            </w:pPr>
          </w:p>
          <w:p w14:paraId="2DF2D7B3" w14:textId="77777777" w:rsidR="002258AA" w:rsidRDefault="002258AA" w:rsidP="00D40267">
            <w:pPr>
              <w:jc w:val="center"/>
            </w:pPr>
            <w:r>
              <w:t>Maximum $6000 for 30 patients.</w:t>
            </w:r>
          </w:p>
          <w:p w14:paraId="47A6008A" w14:textId="77777777" w:rsidR="00C07651" w:rsidRDefault="00C07651" w:rsidP="00D40267">
            <w:pPr>
              <w:jc w:val="center"/>
            </w:pPr>
          </w:p>
        </w:tc>
      </w:tr>
    </w:tbl>
    <w:p w14:paraId="3DF161F3" w14:textId="77777777" w:rsidR="00E91530" w:rsidRDefault="00E91530"/>
    <w:sectPr w:rsidR="00E91530" w:rsidSect="00CD4E87">
      <w:footerReference w:type="even" r:id="rId7"/>
      <w:footerReference w:type="default" r:id="rId8"/>
      <w:pgSz w:w="11900" w:h="16840"/>
      <w:pgMar w:top="1440" w:right="1797" w:bottom="1440" w:left="179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C0369" w14:textId="77777777" w:rsidR="00426673" w:rsidRDefault="00426673" w:rsidP="00E91530">
      <w:pPr>
        <w:spacing w:after="0"/>
      </w:pPr>
      <w:r>
        <w:separator/>
      </w:r>
    </w:p>
  </w:endnote>
  <w:endnote w:type="continuationSeparator" w:id="0">
    <w:p w14:paraId="2783FE6E" w14:textId="77777777" w:rsidR="00426673" w:rsidRDefault="00426673" w:rsidP="00E915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3148" w14:textId="77777777" w:rsidR="00E91530" w:rsidRDefault="00E91530" w:rsidP="00B259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06DED" w14:textId="77777777" w:rsidR="00E91530" w:rsidRDefault="00E91530" w:rsidP="00E915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39293" w14:textId="77777777" w:rsidR="00E91530" w:rsidRDefault="00E91530" w:rsidP="00B259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3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BAD044" w14:textId="77777777" w:rsidR="00E91530" w:rsidRDefault="00E91530" w:rsidP="00E915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88181" w14:textId="77777777" w:rsidR="00426673" w:rsidRDefault="00426673" w:rsidP="00E91530">
      <w:pPr>
        <w:spacing w:after="0"/>
      </w:pPr>
      <w:r>
        <w:separator/>
      </w:r>
    </w:p>
  </w:footnote>
  <w:footnote w:type="continuationSeparator" w:id="0">
    <w:p w14:paraId="0365149D" w14:textId="77777777" w:rsidR="00426673" w:rsidRDefault="00426673" w:rsidP="00E9153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30"/>
    <w:rsid w:val="00004B7D"/>
    <w:rsid w:val="000F4289"/>
    <w:rsid w:val="0010567F"/>
    <w:rsid w:val="00120F5B"/>
    <w:rsid w:val="002258AA"/>
    <w:rsid w:val="002A15E8"/>
    <w:rsid w:val="0030047E"/>
    <w:rsid w:val="003A25AC"/>
    <w:rsid w:val="00426673"/>
    <w:rsid w:val="004527FD"/>
    <w:rsid w:val="004C03FA"/>
    <w:rsid w:val="004F5864"/>
    <w:rsid w:val="00522858"/>
    <w:rsid w:val="006D43AA"/>
    <w:rsid w:val="006E6F4D"/>
    <w:rsid w:val="0076317A"/>
    <w:rsid w:val="00942318"/>
    <w:rsid w:val="00A7258E"/>
    <w:rsid w:val="00A84727"/>
    <w:rsid w:val="00AE5EC4"/>
    <w:rsid w:val="00C07651"/>
    <w:rsid w:val="00CB3930"/>
    <w:rsid w:val="00CD4E87"/>
    <w:rsid w:val="00D003BF"/>
    <w:rsid w:val="00DA6D1D"/>
    <w:rsid w:val="00E91530"/>
    <w:rsid w:val="00FB58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57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30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153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1530"/>
    <w:rPr>
      <w:rFonts w:asciiTheme="majorHAnsi" w:hAnsiTheme="majorHAnsi"/>
    </w:rPr>
  </w:style>
  <w:style w:type="character" w:styleId="PageNumber">
    <w:name w:val="page number"/>
    <w:basedOn w:val="DefaultParagraphFont"/>
    <w:uiPriority w:val="99"/>
    <w:semiHidden/>
    <w:unhideWhenUsed/>
    <w:rsid w:val="00E91530"/>
  </w:style>
  <w:style w:type="paragraph" w:styleId="BalloonText">
    <w:name w:val="Balloon Text"/>
    <w:basedOn w:val="Normal"/>
    <w:link w:val="BalloonTextChar"/>
    <w:uiPriority w:val="99"/>
    <w:semiHidden/>
    <w:unhideWhenUsed/>
    <w:rsid w:val="00A8472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2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30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5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153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1530"/>
    <w:rPr>
      <w:rFonts w:asciiTheme="majorHAnsi" w:hAnsiTheme="majorHAnsi"/>
    </w:rPr>
  </w:style>
  <w:style w:type="character" w:styleId="PageNumber">
    <w:name w:val="page number"/>
    <w:basedOn w:val="DefaultParagraphFont"/>
    <w:uiPriority w:val="99"/>
    <w:semiHidden/>
    <w:unhideWhenUsed/>
    <w:rsid w:val="00E91530"/>
  </w:style>
  <w:style w:type="paragraph" w:styleId="BalloonText">
    <w:name w:val="Balloon Text"/>
    <w:basedOn w:val="Normal"/>
    <w:link w:val="BalloonTextChar"/>
    <w:uiPriority w:val="99"/>
    <w:semiHidden/>
    <w:unhideWhenUsed/>
    <w:rsid w:val="00A84727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72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Sprout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Athena Hammond</dc:creator>
  <cp:lastModifiedBy>Athena Hammond</cp:lastModifiedBy>
  <cp:revision>2</cp:revision>
  <dcterms:created xsi:type="dcterms:W3CDTF">2018-02-19T07:44:00Z</dcterms:created>
  <dcterms:modified xsi:type="dcterms:W3CDTF">2018-02-19T07:44:00Z</dcterms:modified>
</cp:coreProperties>
</file>