
<file path=[Content_Types].xml><?xml version="1.0" encoding="utf-8"?>
<Types xmlns="http://schemas.openxmlformats.org/package/2006/content-types">
  <Default Extension="xml" ContentType="application/xml"/>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56F0B3" w14:textId="77777777" w:rsidR="00B964A7" w:rsidRPr="006D3E32" w:rsidRDefault="00B964A7" w:rsidP="00B964A7">
      <w:pPr>
        <w:rPr>
          <w:color w:val="FF0000"/>
        </w:rPr>
      </w:pPr>
    </w:p>
    <w:tbl>
      <w:tblPr>
        <w:tblpPr w:leftFromText="180" w:rightFromText="180" w:vertAnchor="text" w:tblpY="1"/>
        <w:tblOverlap w:val="never"/>
        <w:tblW w:w="0" w:type="auto"/>
        <w:tblLook w:val="04A0" w:firstRow="1" w:lastRow="0" w:firstColumn="1" w:lastColumn="0" w:noHBand="0" w:noVBand="1"/>
      </w:tblPr>
      <w:tblGrid>
        <w:gridCol w:w="3936"/>
        <w:gridCol w:w="4961"/>
      </w:tblGrid>
      <w:tr w:rsidR="00B964A7" w:rsidRPr="001B50C7" w14:paraId="5DC6CEE3" w14:textId="77777777" w:rsidTr="00B964A7">
        <w:tc>
          <w:tcPr>
            <w:tcW w:w="3936" w:type="dxa"/>
            <w:tcBorders>
              <w:right w:val="single" w:sz="4" w:space="0" w:color="auto"/>
            </w:tcBorders>
            <w:vAlign w:val="center"/>
          </w:tcPr>
          <w:p w14:paraId="425CCA6F" w14:textId="77777777" w:rsidR="00B964A7" w:rsidRDefault="00B964A7" w:rsidP="00B964A7">
            <w:pPr>
              <w:jc w:val="center"/>
              <w:rPr>
                <w:rFonts w:cstheme="minorHAnsi"/>
                <w:b/>
                <w:color w:val="FF0000"/>
              </w:rPr>
            </w:pPr>
            <w:r>
              <w:rPr>
                <w:rFonts w:cstheme="minorHAnsi"/>
                <w:noProof/>
                <w:lang w:val="en-US"/>
              </w:rPr>
              <w:drawing>
                <wp:inline distT="0" distB="0" distL="0" distR="0" wp14:anchorId="27A3F8CD" wp14:editId="588CA91D">
                  <wp:extent cx="886982" cy="895350"/>
                  <wp:effectExtent l="0" t="0" r="889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6982" cy="895350"/>
                          </a:xfrm>
                          <a:prstGeom prst="rect">
                            <a:avLst/>
                          </a:prstGeom>
                          <a:noFill/>
                        </pic:spPr>
                      </pic:pic>
                    </a:graphicData>
                  </a:graphic>
                </wp:inline>
              </w:drawing>
            </w:r>
          </w:p>
          <w:p w14:paraId="7CCEE222" w14:textId="77777777" w:rsidR="00C65C3B" w:rsidRPr="0031460A" w:rsidRDefault="00C65C3B" w:rsidP="00B964A7">
            <w:pPr>
              <w:jc w:val="center"/>
              <w:rPr>
                <w:rFonts w:cstheme="minorHAnsi"/>
                <w:b/>
                <w:color w:val="FF0000"/>
              </w:rPr>
            </w:pPr>
          </w:p>
          <w:p w14:paraId="27C61C14" w14:textId="77777777" w:rsidR="00EA696E" w:rsidRDefault="00EA696E" w:rsidP="00EA696E">
            <w:pPr>
              <w:jc w:val="center"/>
              <w:rPr>
                <w:rFonts w:cstheme="minorHAnsi"/>
              </w:rPr>
            </w:pPr>
            <w:r>
              <w:rPr>
                <w:rFonts w:cstheme="minorHAnsi"/>
                <w:noProof/>
                <w:lang w:val="en-US"/>
              </w:rPr>
              <w:drawing>
                <wp:inline distT="0" distB="0" distL="0" distR="0" wp14:anchorId="274092CE" wp14:editId="734CB76F">
                  <wp:extent cx="1719620" cy="66874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itemata logo.png"/>
                          <pic:cNvPicPr/>
                        </pic:nvPicPr>
                        <pic:blipFill>
                          <a:blip r:embed="rId9">
                            <a:extLst>
                              <a:ext uri="{28A0092B-C50C-407E-A947-70E740481C1C}">
                                <a14:useLocalDpi xmlns:a14="http://schemas.microsoft.com/office/drawing/2010/main" val="0"/>
                              </a:ext>
                            </a:extLst>
                          </a:blip>
                          <a:stretch>
                            <a:fillRect/>
                          </a:stretch>
                        </pic:blipFill>
                        <pic:spPr>
                          <a:xfrm>
                            <a:off x="0" y="0"/>
                            <a:ext cx="1727551" cy="671824"/>
                          </a:xfrm>
                          <a:prstGeom prst="rect">
                            <a:avLst/>
                          </a:prstGeom>
                        </pic:spPr>
                      </pic:pic>
                    </a:graphicData>
                  </a:graphic>
                </wp:inline>
              </w:drawing>
            </w:r>
          </w:p>
          <w:p w14:paraId="762FEA21" w14:textId="77777777" w:rsidR="00EA696E" w:rsidRDefault="00EA696E" w:rsidP="00EA696E">
            <w:pPr>
              <w:jc w:val="center"/>
              <w:rPr>
                <w:rFonts w:cstheme="minorHAnsi"/>
              </w:rPr>
            </w:pPr>
          </w:p>
          <w:p w14:paraId="2735DD0A" w14:textId="77777777" w:rsidR="00B964A7" w:rsidRPr="00941DA4" w:rsidRDefault="00C65C3B" w:rsidP="00C65C3B">
            <w:pPr>
              <w:jc w:val="center"/>
              <w:rPr>
                <w:rFonts w:cstheme="minorHAnsi"/>
              </w:rPr>
            </w:pPr>
            <w:r>
              <w:rPr>
                <w:rFonts w:cstheme="minorHAnsi"/>
                <w:noProof/>
                <w:lang w:val="en-US"/>
              </w:rPr>
              <w:drawing>
                <wp:inline distT="0" distB="0" distL="0" distR="0" wp14:anchorId="61260BEB" wp14:editId="0BA4141C">
                  <wp:extent cx="1644555" cy="525382"/>
                  <wp:effectExtent l="0" t="0" r="0" b="825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50713" cy="527349"/>
                          </a:xfrm>
                          <a:prstGeom prst="rect">
                            <a:avLst/>
                          </a:prstGeom>
                          <a:noFill/>
                        </pic:spPr>
                      </pic:pic>
                    </a:graphicData>
                  </a:graphic>
                </wp:inline>
              </w:drawing>
            </w:r>
          </w:p>
        </w:tc>
        <w:tc>
          <w:tcPr>
            <w:tcW w:w="4961" w:type="dxa"/>
            <w:tcBorders>
              <w:left w:val="single" w:sz="4" w:space="0" w:color="auto"/>
            </w:tcBorders>
            <w:vAlign w:val="center"/>
          </w:tcPr>
          <w:p w14:paraId="586D9595" w14:textId="77777777" w:rsidR="00B964A7" w:rsidRDefault="00B964A7" w:rsidP="00B964A7">
            <w:pPr>
              <w:rPr>
                <w:rFonts w:cstheme="minorHAnsi"/>
                <w:b/>
              </w:rPr>
            </w:pPr>
          </w:p>
          <w:p w14:paraId="7F1063DF" w14:textId="77777777" w:rsidR="00C65C3B" w:rsidRDefault="00C65C3B" w:rsidP="00AE235D">
            <w:pPr>
              <w:jc w:val="center"/>
              <w:rPr>
                <w:rFonts w:ascii="Arial" w:hAnsi="Arial" w:cs="Arial"/>
                <w:b/>
                <w:i/>
                <w:sz w:val="48"/>
                <w:szCs w:val="48"/>
              </w:rPr>
            </w:pPr>
          </w:p>
          <w:p w14:paraId="32D44DAF" w14:textId="77777777" w:rsidR="00B964A7" w:rsidRDefault="00C24B1D" w:rsidP="00C65C3B">
            <w:pPr>
              <w:jc w:val="center"/>
              <w:rPr>
                <w:rFonts w:ascii="Arial" w:hAnsi="Arial" w:cs="Arial"/>
                <w:b/>
                <w:i/>
                <w:sz w:val="48"/>
                <w:szCs w:val="48"/>
              </w:rPr>
            </w:pPr>
            <w:r>
              <w:rPr>
                <w:rFonts w:ascii="Arial" w:hAnsi="Arial" w:cs="Arial"/>
                <w:b/>
                <w:i/>
                <w:sz w:val="48"/>
                <w:szCs w:val="48"/>
              </w:rPr>
              <w:t>The VINO ectopic trial</w:t>
            </w:r>
          </w:p>
          <w:p w14:paraId="15B50D2A" w14:textId="77777777" w:rsidR="00C24B1D" w:rsidRPr="00DE47E2" w:rsidRDefault="00C24B1D" w:rsidP="00B964A7">
            <w:pPr>
              <w:rPr>
                <w:rFonts w:ascii="Arial" w:hAnsi="Arial" w:cs="Arial"/>
                <w:b/>
                <w:i/>
                <w:sz w:val="48"/>
                <w:szCs w:val="48"/>
              </w:rPr>
            </w:pPr>
          </w:p>
        </w:tc>
      </w:tr>
    </w:tbl>
    <w:p w14:paraId="2EFBB102" w14:textId="77777777" w:rsidR="00B964A7" w:rsidRPr="00B05FFC" w:rsidRDefault="00B964A7" w:rsidP="00B964A7">
      <w:pPr>
        <w:rPr>
          <w:rFonts w:cstheme="minorHAnsi"/>
        </w:rPr>
      </w:pPr>
      <w:r w:rsidRPr="001B50C7">
        <w:rPr>
          <w:rFonts w:cstheme="minorHAnsi"/>
          <w:b/>
        </w:rPr>
        <w:br w:type="textWrapping" w:clear="all"/>
      </w:r>
    </w:p>
    <w:p w14:paraId="08C26BB4" w14:textId="77777777" w:rsidR="00B964A7" w:rsidRPr="00B05FFC" w:rsidRDefault="00B964A7" w:rsidP="00B964A7">
      <w:pPr>
        <w:tabs>
          <w:tab w:val="left" w:pos="1620"/>
          <w:tab w:val="center" w:pos="4513"/>
        </w:tabs>
        <w:rPr>
          <w:rFonts w:cstheme="minorHAnsi"/>
          <w:b/>
        </w:rPr>
      </w:pPr>
      <w:r>
        <w:rPr>
          <w:rFonts w:cstheme="minorHAnsi"/>
          <w:b/>
        </w:rPr>
        <w:tab/>
      </w:r>
      <w:r>
        <w:rPr>
          <w:rFonts w:cstheme="minorHAnsi"/>
          <w:b/>
        </w:rPr>
        <w:tab/>
      </w:r>
      <w:r w:rsidRPr="00B05FFC">
        <w:rPr>
          <w:rFonts w:cstheme="minorHAnsi"/>
          <w:b/>
        </w:rPr>
        <w:t>Study Protocol</w:t>
      </w:r>
      <w:r>
        <w:rPr>
          <w:rFonts w:cstheme="minorHAnsi"/>
          <w:b/>
        </w:rPr>
        <w:t>:</w:t>
      </w:r>
    </w:p>
    <w:p w14:paraId="25AA80EE" w14:textId="77777777" w:rsidR="00B964A7" w:rsidRPr="00736636" w:rsidRDefault="00C24B1D" w:rsidP="00B964A7">
      <w:pPr>
        <w:jc w:val="center"/>
        <w:rPr>
          <w:rFonts w:cstheme="minorHAnsi"/>
          <w:u w:val="single"/>
        </w:rPr>
      </w:pPr>
      <w:r>
        <w:rPr>
          <w:rFonts w:cstheme="minorHAnsi"/>
          <w:u w:val="single"/>
        </w:rPr>
        <w:t>Clinical trial of oral vinorelbine to treat women with ectopic pregnancy</w:t>
      </w:r>
    </w:p>
    <w:p w14:paraId="1920E834" w14:textId="77777777" w:rsidR="00B964A7" w:rsidRPr="00736636" w:rsidRDefault="00B964A7" w:rsidP="00B964A7">
      <w:pPr>
        <w:jc w:val="center"/>
        <w:rPr>
          <w:rFonts w:cstheme="minorHAnsi"/>
          <w:u w:val="single"/>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0"/>
        <w:gridCol w:w="5590"/>
      </w:tblGrid>
      <w:tr w:rsidR="00B964A7" w:rsidRPr="00B05FFC" w14:paraId="71DBFD10" w14:textId="77777777" w:rsidTr="00B964A7">
        <w:tc>
          <w:tcPr>
            <w:tcW w:w="3970" w:type="dxa"/>
            <w:vAlign w:val="center"/>
          </w:tcPr>
          <w:p w14:paraId="1E78E025" w14:textId="77777777" w:rsidR="00B964A7" w:rsidRPr="00B05FFC" w:rsidRDefault="00B964A7" w:rsidP="00B964A7">
            <w:pPr>
              <w:rPr>
                <w:rFonts w:cstheme="minorHAnsi"/>
              </w:rPr>
            </w:pPr>
            <w:r w:rsidRPr="00B05FFC">
              <w:rPr>
                <w:rFonts w:cstheme="minorHAnsi"/>
              </w:rPr>
              <w:t>Sponsor</w:t>
            </w:r>
          </w:p>
        </w:tc>
        <w:tc>
          <w:tcPr>
            <w:tcW w:w="5590" w:type="dxa"/>
            <w:vAlign w:val="center"/>
          </w:tcPr>
          <w:p w14:paraId="1E3BA956" w14:textId="77777777" w:rsidR="00B964A7" w:rsidRPr="00382D72" w:rsidRDefault="00B964A7" w:rsidP="00B964A7">
            <w:pPr>
              <w:rPr>
                <w:rFonts w:cstheme="minorHAnsi"/>
                <w:color w:val="000000" w:themeColor="text1"/>
              </w:rPr>
            </w:pPr>
            <w:r>
              <w:rPr>
                <w:rFonts w:cstheme="minorHAnsi"/>
                <w:color w:val="000000" w:themeColor="text1"/>
              </w:rPr>
              <w:t>The University of Melbourne –                                  Department of Obstetrics and Gynaecology</w:t>
            </w:r>
          </w:p>
        </w:tc>
      </w:tr>
      <w:tr w:rsidR="00B964A7" w:rsidRPr="00B05FFC" w14:paraId="402689D8" w14:textId="77777777" w:rsidTr="00B964A7">
        <w:tc>
          <w:tcPr>
            <w:tcW w:w="3970" w:type="dxa"/>
            <w:vAlign w:val="center"/>
          </w:tcPr>
          <w:p w14:paraId="1F885131" w14:textId="77777777" w:rsidR="00B964A7" w:rsidRDefault="00C24B1D" w:rsidP="00B964A7">
            <w:pPr>
              <w:rPr>
                <w:rFonts w:cstheme="minorHAnsi"/>
                <w:color w:val="000000" w:themeColor="text1"/>
              </w:rPr>
            </w:pPr>
            <w:r>
              <w:rPr>
                <w:rFonts w:cstheme="minorHAnsi"/>
                <w:color w:val="000000" w:themeColor="text1"/>
              </w:rPr>
              <w:t>Investigational site</w:t>
            </w:r>
            <w:r w:rsidR="00B964A7">
              <w:rPr>
                <w:rFonts w:cstheme="minorHAnsi"/>
                <w:color w:val="000000" w:themeColor="text1"/>
              </w:rPr>
              <w:t>:</w:t>
            </w:r>
          </w:p>
        </w:tc>
        <w:tc>
          <w:tcPr>
            <w:tcW w:w="5590" w:type="dxa"/>
            <w:vAlign w:val="center"/>
          </w:tcPr>
          <w:p w14:paraId="4B9F7A60" w14:textId="77777777" w:rsidR="00B964A7" w:rsidRPr="00A27A5C" w:rsidRDefault="004E4E1B" w:rsidP="00B964A7">
            <w:pPr>
              <w:rPr>
                <w:rFonts w:cstheme="minorHAnsi"/>
                <w:color w:val="000000" w:themeColor="text1"/>
              </w:rPr>
            </w:pPr>
            <w:r>
              <w:rPr>
                <w:rFonts w:cstheme="minorHAnsi"/>
                <w:color w:val="000000" w:themeColor="text1"/>
              </w:rPr>
              <w:t>North Shore Hospital (</w:t>
            </w:r>
            <w:r w:rsidR="00C24B1D">
              <w:rPr>
                <w:rFonts w:cstheme="minorHAnsi"/>
                <w:color w:val="000000" w:themeColor="text1"/>
              </w:rPr>
              <w:t>Waitemata District Health Board</w:t>
            </w:r>
            <w:r>
              <w:rPr>
                <w:rFonts w:cstheme="minorHAnsi"/>
                <w:color w:val="000000" w:themeColor="text1"/>
              </w:rPr>
              <w:t>), Auckland</w:t>
            </w:r>
          </w:p>
        </w:tc>
      </w:tr>
      <w:tr w:rsidR="00B964A7" w:rsidRPr="00B05FFC" w14:paraId="2EC3C41E" w14:textId="77777777" w:rsidTr="00B964A7">
        <w:tc>
          <w:tcPr>
            <w:tcW w:w="3970" w:type="dxa"/>
            <w:vAlign w:val="center"/>
          </w:tcPr>
          <w:p w14:paraId="2182FC90" w14:textId="77777777" w:rsidR="00B964A7" w:rsidRPr="00A27A5C" w:rsidRDefault="00B964A7" w:rsidP="00B964A7">
            <w:pPr>
              <w:rPr>
                <w:rFonts w:cstheme="minorHAnsi"/>
                <w:color w:val="000000" w:themeColor="text1"/>
              </w:rPr>
            </w:pPr>
            <w:r>
              <w:rPr>
                <w:rFonts w:cstheme="minorHAnsi"/>
                <w:color w:val="000000" w:themeColor="text1"/>
              </w:rPr>
              <w:t>Funding Sources</w:t>
            </w:r>
          </w:p>
        </w:tc>
        <w:tc>
          <w:tcPr>
            <w:tcW w:w="5590" w:type="dxa"/>
            <w:vAlign w:val="center"/>
          </w:tcPr>
          <w:p w14:paraId="391FD2AA" w14:textId="77777777" w:rsidR="00B964A7" w:rsidRPr="00A27A5C" w:rsidRDefault="00B964A7" w:rsidP="00B964A7">
            <w:pPr>
              <w:rPr>
                <w:rFonts w:cstheme="minorHAnsi"/>
                <w:color w:val="000000" w:themeColor="text1"/>
              </w:rPr>
            </w:pPr>
            <w:r w:rsidRPr="00A27A5C">
              <w:rPr>
                <w:rFonts w:cstheme="minorHAnsi"/>
                <w:color w:val="000000" w:themeColor="text1"/>
              </w:rPr>
              <w:t>This is an investigator initiated study</w:t>
            </w:r>
            <w:r>
              <w:rPr>
                <w:rFonts w:cstheme="minorHAnsi"/>
                <w:color w:val="000000" w:themeColor="text1"/>
              </w:rPr>
              <w:t>.</w:t>
            </w:r>
          </w:p>
          <w:p w14:paraId="14E19FFF" w14:textId="77777777" w:rsidR="00B964A7" w:rsidRPr="00A27A5C" w:rsidRDefault="00B964A7" w:rsidP="00EA696E">
            <w:pPr>
              <w:rPr>
                <w:rFonts w:cstheme="minorHAnsi"/>
                <w:color w:val="000000" w:themeColor="text1"/>
              </w:rPr>
            </w:pPr>
            <w:r w:rsidRPr="00A27A5C">
              <w:rPr>
                <w:rFonts w:cstheme="minorHAnsi"/>
                <w:color w:val="000000" w:themeColor="text1"/>
              </w:rPr>
              <w:t>Funding for t</w:t>
            </w:r>
            <w:r w:rsidR="00CE1CC9">
              <w:rPr>
                <w:rFonts w:cstheme="minorHAnsi"/>
                <w:color w:val="000000" w:themeColor="text1"/>
              </w:rPr>
              <w:t>he research will be provided by the National Health and Medical Research Council</w:t>
            </w:r>
            <w:r w:rsidR="001C6F79">
              <w:rPr>
                <w:rFonts w:cstheme="minorHAnsi"/>
                <w:color w:val="000000" w:themeColor="text1"/>
              </w:rPr>
              <w:t xml:space="preserve"> (Australia)</w:t>
            </w:r>
            <w:r w:rsidR="00CE1CC9">
              <w:rPr>
                <w:rFonts w:cstheme="minorHAnsi"/>
                <w:color w:val="000000" w:themeColor="text1"/>
              </w:rPr>
              <w:t xml:space="preserve"> and philanthropic grants from the Mercy Foundation</w:t>
            </w:r>
          </w:p>
        </w:tc>
      </w:tr>
      <w:tr w:rsidR="00B964A7" w:rsidRPr="00B05FFC" w14:paraId="1EA9736B" w14:textId="77777777" w:rsidTr="00B964A7">
        <w:tc>
          <w:tcPr>
            <w:tcW w:w="3970" w:type="dxa"/>
            <w:vAlign w:val="center"/>
          </w:tcPr>
          <w:p w14:paraId="27477B81" w14:textId="77777777" w:rsidR="00B964A7" w:rsidRPr="00B05FFC" w:rsidRDefault="00B964A7" w:rsidP="00B964A7">
            <w:pPr>
              <w:rPr>
                <w:rFonts w:cstheme="minorHAnsi"/>
              </w:rPr>
            </w:pPr>
            <w:r>
              <w:rPr>
                <w:rFonts w:cstheme="minorHAnsi"/>
              </w:rPr>
              <w:t xml:space="preserve">Principal Investigators </w:t>
            </w:r>
          </w:p>
        </w:tc>
        <w:tc>
          <w:tcPr>
            <w:tcW w:w="5590" w:type="dxa"/>
            <w:vAlign w:val="center"/>
          </w:tcPr>
          <w:p w14:paraId="7C59DE13" w14:textId="77777777" w:rsidR="00B964A7" w:rsidRPr="00B05FFC" w:rsidRDefault="00EA696E" w:rsidP="00B964A7">
            <w:pPr>
              <w:rPr>
                <w:rFonts w:cstheme="minorHAnsi"/>
              </w:rPr>
            </w:pPr>
            <w:r>
              <w:rPr>
                <w:rFonts w:cstheme="minorHAnsi"/>
              </w:rPr>
              <w:t>Dr Prathima Chowdary</w:t>
            </w:r>
            <w:r w:rsidR="00B964A7">
              <w:rPr>
                <w:rFonts w:cstheme="minorHAnsi"/>
              </w:rPr>
              <w:t xml:space="preserve"> and Professor Stephen Tong</w:t>
            </w:r>
          </w:p>
        </w:tc>
      </w:tr>
      <w:tr w:rsidR="00B964A7" w:rsidRPr="00B05FFC" w14:paraId="4DD05963" w14:textId="77777777" w:rsidTr="00B964A7">
        <w:tc>
          <w:tcPr>
            <w:tcW w:w="3970" w:type="dxa"/>
            <w:vAlign w:val="center"/>
          </w:tcPr>
          <w:p w14:paraId="65BD94BA" w14:textId="77777777" w:rsidR="00B964A7" w:rsidRDefault="00B964A7" w:rsidP="00B964A7">
            <w:pPr>
              <w:rPr>
                <w:rFonts w:cstheme="minorHAnsi"/>
              </w:rPr>
            </w:pPr>
            <w:r w:rsidRPr="00B05FFC">
              <w:rPr>
                <w:rFonts w:cstheme="minorHAnsi"/>
              </w:rPr>
              <w:t>ANZCTR Number</w:t>
            </w:r>
            <w:r>
              <w:rPr>
                <w:rFonts w:cstheme="minorHAnsi"/>
              </w:rPr>
              <w:t xml:space="preserve"> </w:t>
            </w:r>
          </w:p>
        </w:tc>
        <w:tc>
          <w:tcPr>
            <w:tcW w:w="5590" w:type="dxa"/>
            <w:vAlign w:val="center"/>
          </w:tcPr>
          <w:p w14:paraId="34FFA100" w14:textId="17C8C794" w:rsidR="00B964A7" w:rsidRPr="00B05FFC" w:rsidRDefault="00682014" w:rsidP="00B964A7">
            <w:pPr>
              <w:rPr>
                <w:rFonts w:cstheme="minorHAnsi"/>
              </w:rPr>
            </w:pPr>
            <w:r w:rsidRPr="006957DC">
              <w:t>ACTRN-1261-7001-1183-92p</w:t>
            </w:r>
          </w:p>
        </w:tc>
      </w:tr>
      <w:tr w:rsidR="00B964A7" w:rsidRPr="00B05FFC" w14:paraId="366E8CB2" w14:textId="77777777" w:rsidTr="00B964A7">
        <w:tc>
          <w:tcPr>
            <w:tcW w:w="3970" w:type="dxa"/>
            <w:vAlign w:val="center"/>
          </w:tcPr>
          <w:p w14:paraId="4D020361" w14:textId="77777777" w:rsidR="00B964A7" w:rsidRPr="00B05FFC" w:rsidRDefault="00D125B6" w:rsidP="00B964A7">
            <w:pPr>
              <w:rPr>
                <w:rFonts w:cstheme="minorHAnsi"/>
              </w:rPr>
            </w:pPr>
            <w:r w:rsidRPr="00D125B6">
              <w:rPr>
                <w:rFonts w:cstheme="minorHAnsi"/>
              </w:rPr>
              <w:t>HD</w:t>
            </w:r>
            <w:r w:rsidR="00B964A7" w:rsidRPr="00D125B6">
              <w:rPr>
                <w:rFonts w:cstheme="minorHAnsi"/>
              </w:rPr>
              <w:t>EC</w:t>
            </w:r>
            <w:r w:rsidR="00EA696E" w:rsidRPr="00D125B6">
              <w:rPr>
                <w:rFonts w:cstheme="minorHAnsi"/>
              </w:rPr>
              <w:t xml:space="preserve"> Project</w:t>
            </w:r>
            <w:r w:rsidR="00B964A7" w:rsidRPr="00D125B6">
              <w:rPr>
                <w:rFonts w:cstheme="minorHAnsi"/>
              </w:rPr>
              <w:t xml:space="preserve"> Number</w:t>
            </w:r>
          </w:p>
        </w:tc>
        <w:tc>
          <w:tcPr>
            <w:tcW w:w="5590" w:type="dxa"/>
            <w:vAlign w:val="center"/>
          </w:tcPr>
          <w:p w14:paraId="614886F7" w14:textId="050EA17F" w:rsidR="00B964A7" w:rsidRPr="00B05FFC" w:rsidRDefault="00A05F41" w:rsidP="00B964A7">
            <w:pPr>
              <w:rPr>
                <w:rFonts w:cstheme="minorHAnsi"/>
                <w:color w:val="FF0000"/>
              </w:rPr>
            </w:pPr>
            <w:r>
              <w:rPr>
                <w:rFonts w:cstheme="minorHAnsi"/>
              </w:rPr>
              <w:t>17/CEN/155</w:t>
            </w:r>
          </w:p>
        </w:tc>
      </w:tr>
      <w:tr w:rsidR="00B964A7" w:rsidRPr="00B05FFC" w14:paraId="5F168BD2" w14:textId="77777777" w:rsidTr="00B964A7">
        <w:tc>
          <w:tcPr>
            <w:tcW w:w="3970" w:type="dxa"/>
            <w:vAlign w:val="center"/>
          </w:tcPr>
          <w:p w14:paraId="59689D6D" w14:textId="77777777" w:rsidR="00B964A7" w:rsidRPr="009E4F67" w:rsidRDefault="00B964A7" w:rsidP="00B964A7">
            <w:pPr>
              <w:rPr>
                <w:rFonts w:cstheme="minorHAnsi"/>
              </w:rPr>
            </w:pPr>
            <w:r>
              <w:rPr>
                <w:rFonts w:cstheme="minorHAnsi"/>
              </w:rPr>
              <w:t xml:space="preserve">Protocol </w:t>
            </w:r>
            <w:r w:rsidRPr="00B05FFC">
              <w:rPr>
                <w:rFonts w:cstheme="minorHAnsi"/>
              </w:rPr>
              <w:t>Version Number and Date</w:t>
            </w:r>
          </w:p>
        </w:tc>
        <w:tc>
          <w:tcPr>
            <w:tcW w:w="5590" w:type="dxa"/>
            <w:vAlign w:val="center"/>
          </w:tcPr>
          <w:p w14:paraId="1D6C4EC5" w14:textId="10BDE597" w:rsidR="00B964A7" w:rsidRPr="009E4F67" w:rsidRDefault="00EA696E" w:rsidP="00B964A7">
            <w:pPr>
              <w:rPr>
                <w:rFonts w:cstheme="minorHAnsi"/>
              </w:rPr>
            </w:pPr>
            <w:r>
              <w:rPr>
                <w:rFonts w:cstheme="minorHAnsi"/>
              </w:rPr>
              <w:t>Draft version 1 – 14</w:t>
            </w:r>
            <w:r w:rsidRPr="00EA696E">
              <w:rPr>
                <w:rFonts w:cstheme="minorHAnsi"/>
                <w:vertAlign w:val="superscript"/>
              </w:rPr>
              <w:t>th</w:t>
            </w:r>
            <w:r w:rsidR="00A05F41">
              <w:rPr>
                <w:rFonts w:cstheme="minorHAnsi"/>
              </w:rPr>
              <w:t xml:space="preserve"> October</w:t>
            </w:r>
            <w:r>
              <w:rPr>
                <w:rFonts w:cstheme="minorHAnsi"/>
              </w:rPr>
              <w:t>, 201</w:t>
            </w:r>
            <w:r w:rsidR="00E04D89">
              <w:rPr>
                <w:rFonts w:cstheme="minorHAnsi"/>
              </w:rPr>
              <w:t>7</w:t>
            </w:r>
          </w:p>
        </w:tc>
      </w:tr>
    </w:tbl>
    <w:p w14:paraId="3A2AA0D5" w14:textId="77777777" w:rsidR="00E84B29" w:rsidRDefault="00E84B29" w:rsidP="00B964A7">
      <w:pPr>
        <w:rPr>
          <w:rFonts w:cstheme="minorHAnsi"/>
          <w:b/>
        </w:rPr>
      </w:pPr>
    </w:p>
    <w:p w14:paraId="53093943" w14:textId="77777777" w:rsidR="00B964A7" w:rsidRPr="00B05FFC" w:rsidRDefault="00B964A7" w:rsidP="00B964A7">
      <w:pPr>
        <w:rPr>
          <w:rFonts w:cstheme="minorHAnsi"/>
        </w:rPr>
      </w:pPr>
    </w:p>
    <w:p w14:paraId="63A8A7B0" w14:textId="7E4B5B43" w:rsidR="00B964A7" w:rsidRPr="00895C3F" w:rsidRDefault="00B964A7" w:rsidP="00B964A7">
      <w:pPr>
        <w:rPr>
          <w:rFonts w:cstheme="minorHAnsi"/>
        </w:rPr>
      </w:pPr>
      <w:r w:rsidRPr="00166BF1">
        <w:rPr>
          <w:rFonts w:cstheme="minorHAnsi"/>
          <w:b/>
          <w:u w:val="single"/>
        </w:rPr>
        <w:t>CO-ORDINATING CENTRE</w:t>
      </w:r>
      <w:r>
        <w:rPr>
          <w:rFonts w:cstheme="minorHAnsi"/>
          <w:b/>
          <w:u w:val="single"/>
        </w:rPr>
        <w:t xml:space="preserve"> TRIALS OFFICE:</w:t>
      </w:r>
    </w:p>
    <w:p w14:paraId="5835F1D0" w14:textId="77777777" w:rsidR="00B964A7" w:rsidRPr="00B05FFC" w:rsidRDefault="00B964A7" w:rsidP="00B964A7">
      <w:pPr>
        <w:rPr>
          <w:rFonts w:cstheme="minorHAnsi"/>
          <w:b/>
        </w:rPr>
      </w:pPr>
    </w:p>
    <w:tbl>
      <w:tblPr>
        <w:tblW w:w="11045" w:type="dxa"/>
        <w:tblLayout w:type="fixed"/>
        <w:tblLook w:val="04A0" w:firstRow="1" w:lastRow="0" w:firstColumn="1" w:lastColumn="0" w:noHBand="0" w:noVBand="1"/>
      </w:tblPr>
      <w:tblGrid>
        <w:gridCol w:w="1101"/>
        <w:gridCol w:w="1701"/>
        <w:gridCol w:w="2562"/>
        <w:gridCol w:w="5681"/>
      </w:tblGrid>
      <w:tr w:rsidR="00B964A7" w:rsidRPr="00B05FFC" w14:paraId="6902EE88" w14:textId="77777777" w:rsidTr="00B964A7">
        <w:trPr>
          <w:trHeight w:val="3872"/>
        </w:trPr>
        <w:tc>
          <w:tcPr>
            <w:tcW w:w="5364" w:type="dxa"/>
            <w:gridSpan w:val="3"/>
            <w:tcBorders>
              <w:right w:val="single" w:sz="4" w:space="0" w:color="auto"/>
            </w:tcBorders>
          </w:tcPr>
          <w:p w14:paraId="288AA177" w14:textId="77777777" w:rsidR="00B964A7" w:rsidRDefault="00B964A7" w:rsidP="00AE235D">
            <w:pPr>
              <w:tabs>
                <w:tab w:val="right" w:pos="4405"/>
              </w:tabs>
              <w:spacing w:line="240" w:lineRule="auto"/>
              <w:jc w:val="center"/>
              <w:rPr>
                <w:rFonts w:cstheme="minorHAnsi"/>
                <w:i/>
              </w:rPr>
            </w:pPr>
            <w:r>
              <w:rPr>
                <w:rFonts w:cstheme="minorHAnsi"/>
                <w:noProof/>
                <w:lang w:val="en-US"/>
              </w:rPr>
              <w:drawing>
                <wp:inline distT="0" distB="0" distL="0" distR="0" wp14:anchorId="30A43291" wp14:editId="2634A797">
                  <wp:extent cx="962025" cy="971101"/>
                  <wp:effectExtent l="0" t="0" r="0" b="63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62025" cy="971101"/>
                          </a:xfrm>
                          <a:prstGeom prst="rect">
                            <a:avLst/>
                          </a:prstGeom>
                          <a:noFill/>
                        </pic:spPr>
                      </pic:pic>
                    </a:graphicData>
                  </a:graphic>
                </wp:inline>
              </w:drawing>
            </w:r>
          </w:p>
          <w:p w14:paraId="69611118" w14:textId="77777777" w:rsidR="00B964A7" w:rsidRDefault="00B964A7" w:rsidP="00AE235D">
            <w:pPr>
              <w:tabs>
                <w:tab w:val="right" w:pos="4405"/>
              </w:tabs>
              <w:spacing w:line="240" w:lineRule="auto"/>
              <w:jc w:val="center"/>
              <w:rPr>
                <w:rFonts w:cstheme="minorHAnsi"/>
                <w:i/>
              </w:rPr>
            </w:pPr>
          </w:p>
          <w:p w14:paraId="4BD9AEC5" w14:textId="77777777" w:rsidR="00AE235D" w:rsidRDefault="00AE235D" w:rsidP="00AE235D">
            <w:pPr>
              <w:tabs>
                <w:tab w:val="right" w:pos="4405"/>
              </w:tabs>
              <w:spacing w:line="240" w:lineRule="auto"/>
              <w:jc w:val="center"/>
              <w:rPr>
                <w:rFonts w:cstheme="minorHAnsi"/>
                <w:i/>
              </w:rPr>
            </w:pPr>
            <w:r>
              <w:rPr>
                <w:rFonts w:cstheme="minorHAnsi"/>
                <w:i/>
                <w:noProof/>
                <w:lang w:val="en-US"/>
              </w:rPr>
              <w:drawing>
                <wp:inline distT="0" distB="0" distL="0" distR="0" wp14:anchorId="4D0E0733" wp14:editId="2E3703F9">
                  <wp:extent cx="1685499" cy="655472"/>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itemata logo.png"/>
                          <pic:cNvPicPr/>
                        </pic:nvPicPr>
                        <pic:blipFill>
                          <a:blip r:embed="rId9">
                            <a:extLst>
                              <a:ext uri="{28A0092B-C50C-407E-A947-70E740481C1C}">
                                <a14:useLocalDpi xmlns:a14="http://schemas.microsoft.com/office/drawing/2010/main" val="0"/>
                              </a:ext>
                            </a:extLst>
                          </a:blip>
                          <a:stretch>
                            <a:fillRect/>
                          </a:stretch>
                        </pic:blipFill>
                        <pic:spPr>
                          <a:xfrm>
                            <a:off x="0" y="0"/>
                            <a:ext cx="1688192" cy="656519"/>
                          </a:xfrm>
                          <a:prstGeom prst="rect">
                            <a:avLst/>
                          </a:prstGeom>
                        </pic:spPr>
                      </pic:pic>
                    </a:graphicData>
                  </a:graphic>
                </wp:inline>
              </w:drawing>
            </w:r>
          </w:p>
          <w:p w14:paraId="7912885D" w14:textId="77777777" w:rsidR="00B964A7" w:rsidRDefault="00B964A7" w:rsidP="00AE235D">
            <w:pPr>
              <w:tabs>
                <w:tab w:val="right" w:pos="4405"/>
              </w:tabs>
              <w:spacing w:line="240" w:lineRule="auto"/>
              <w:jc w:val="center"/>
              <w:rPr>
                <w:rFonts w:cstheme="minorHAnsi"/>
                <w:i/>
              </w:rPr>
            </w:pPr>
          </w:p>
          <w:p w14:paraId="57065EF4" w14:textId="77777777" w:rsidR="00B964A7" w:rsidRPr="00264AAC" w:rsidRDefault="00AE235D" w:rsidP="00AE235D">
            <w:pPr>
              <w:tabs>
                <w:tab w:val="right" w:pos="4405"/>
              </w:tabs>
              <w:spacing w:line="240" w:lineRule="auto"/>
              <w:jc w:val="center"/>
              <w:rPr>
                <w:rFonts w:cstheme="minorHAnsi"/>
                <w:i/>
              </w:rPr>
            </w:pPr>
            <w:r>
              <w:rPr>
                <w:rFonts w:cstheme="minorHAnsi"/>
                <w:i/>
                <w:noProof/>
                <w:lang w:val="en-US"/>
              </w:rPr>
              <w:drawing>
                <wp:inline distT="0" distB="0" distL="0" distR="0" wp14:anchorId="0FA03623" wp14:editId="1049858E">
                  <wp:extent cx="1786255" cy="572770"/>
                  <wp:effectExtent l="0" t="0" r="444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86255" cy="572770"/>
                          </a:xfrm>
                          <a:prstGeom prst="rect">
                            <a:avLst/>
                          </a:prstGeom>
                          <a:noFill/>
                        </pic:spPr>
                      </pic:pic>
                    </a:graphicData>
                  </a:graphic>
                </wp:inline>
              </w:drawing>
            </w:r>
          </w:p>
        </w:tc>
        <w:tc>
          <w:tcPr>
            <w:tcW w:w="5681" w:type="dxa"/>
            <w:tcBorders>
              <w:left w:val="single" w:sz="4" w:space="0" w:color="auto"/>
            </w:tcBorders>
          </w:tcPr>
          <w:p w14:paraId="2A75AA8E" w14:textId="0851B363" w:rsidR="005D01BE" w:rsidRPr="00881FB0" w:rsidRDefault="002A394A" w:rsidP="00B964A7">
            <w:pPr>
              <w:spacing w:line="240" w:lineRule="auto"/>
              <w:ind w:left="473"/>
              <w:rPr>
                <w:rFonts w:cstheme="minorHAnsi"/>
              </w:rPr>
            </w:pPr>
            <w:r w:rsidRPr="00881FB0">
              <w:rPr>
                <w:rFonts w:cstheme="minorHAnsi"/>
              </w:rPr>
              <w:t>Waitemata District Health Board</w:t>
            </w:r>
            <w:r w:rsidR="005D01BE" w:rsidRPr="00881FB0">
              <w:rPr>
                <w:rFonts w:cstheme="minorHAnsi"/>
              </w:rPr>
              <w:t xml:space="preserve"> </w:t>
            </w:r>
          </w:p>
          <w:p w14:paraId="7F1CE359" w14:textId="7C48DCF0" w:rsidR="005D01BE" w:rsidRPr="00881FB0" w:rsidRDefault="002A394A" w:rsidP="00B964A7">
            <w:pPr>
              <w:spacing w:line="240" w:lineRule="auto"/>
              <w:ind w:left="473"/>
              <w:rPr>
                <w:rFonts w:cstheme="minorHAnsi"/>
              </w:rPr>
            </w:pPr>
            <w:r w:rsidRPr="00881FB0">
              <w:rPr>
                <w:rFonts w:cstheme="minorHAnsi"/>
              </w:rPr>
              <w:t>North Shore Hospital</w:t>
            </w:r>
          </w:p>
          <w:p w14:paraId="124ABE67" w14:textId="6EE10651" w:rsidR="005D01BE" w:rsidRPr="00881FB0" w:rsidRDefault="0050424F" w:rsidP="00B964A7">
            <w:pPr>
              <w:spacing w:line="240" w:lineRule="auto"/>
              <w:ind w:left="473"/>
              <w:rPr>
                <w:rFonts w:cstheme="minorHAnsi"/>
              </w:rPr>
            </w:pPr>
            <w:r w:rsidRPr="00881FB0">
              <w:rPr>
                <w:rFonts w:cstheme="minorHAnsi"/>
              </w:rPr>
              <w:t xml:space="preserve">124 Shakespeare Rd, </w:t>
            </w:r>
          </w:p>
          <w:p w14:paraId="58772CA4" w14:textId="0F84E29B" w:rsidR="005D01BE" w:rsidRPr="00881FB0" w:rsidRDefault="0050424F" w:rsidP="00B964A7">
            <w:pPr>
              <w:spacing w:line="240" w:lineRule="auto"/>
              <w:ind w:left="473"/>
              <w:rPr>
                <w:rFonts w:cstheme="minorHAnsi"/>
              </w:rPr>
            </w:pPr>
            <w:r w:rsidRPr="00881FB0">
              <w:rPr>
                <w:rFonts w:cstheme="minorHAnsi"/>
              </w:rPr>
              <w:t>Takapuna, Auckland</w:t>
            </w:r>
          </w:p>
          <w:p w14:paraId="6EF86465" w14:textId="49BC4EDB" w:rsidR="005D01BE" w:rsidRPr="00881FB0" w:rsidRDefault="00F84D60" w:rsidP="00B964A7">
            <w:pPr>
              <w:spacing w:line="240" w:lineRule="auto"/>
              <w:ind w:left="473"/>
              <w:rPr>
                <w:rFonts w:cstheme="minorHAnsi"/>
              </w:rPr>
            </w:pPr>
            <w:r w:rsidRPr="00881FB0">
              <w:rPr>
                <w:rFonts w:cstheme="minorHAnsi"/>
              </w:rPr>
              <w:t>006494868900</w:t>
            </w:r>
          </w:p>
          <w:p w14:paraId="4A306835" w14:textId="77777777" w:rsidR="005D01BE" w:rsidRPr="005D01BE" w:rsidRDefault="005D01BE" w:rsidP="00B964A7">
            <w:pPr>
              <w:spacing w:line="240" w:lineRule="auto"/>
              <w:ind w:left="473"/>
              <w:rPr>
                <w:rFonts w:cstheme="minorHAnsi"/>
                <w:color w:val="FF0000"/>
              </w:rPr>
            </w:pPr>
          </w:p>
          <w:p w14:paraId="1D9DC4FA" w14:textId="77777777" w:rsidR="005D01BE" w:rsidRPr="005D01BE" w:rsidRDefault="005D01BE" w:rsidP="00B964A7">
            <w:pPr>
              <w:spacing w:line="240" w:lineRule="auto"/>
              <w:ind w:left="473"/>
              <w:rPr>
                <w:rFonts w:cstheme="minorHAnsi"/>
                <w:color w:val="FF0000"/>
              </w:rPr>
            </w:pPr>
          </w:p>
          <w:p w14:paraId="489A7839" w14:textId="404C043E" w:rsidR="00B964A7" w:rsidRPr="00DE577E" w:rsidRDefault="00B964A7" w:rsidP="00B964A7">
            <w:pPr>
              <w:spacing w:line="240" w:lineRule="auto"/>
              <w:ind w:left="473"/>
              <w:rPr>
                <w:rFonts w:cstheme="minorHAnsi"/>
              </w:rPr>
            </w:pPr>
          </w:p>
        </w:tc>
      </w:tr>
      <w:tr w:rsidR="00B964A7" w:rsidRPr="00B05FFC" w14:paraId="18A4D93F" w14:textId="77777777" w:rsidTr="00B964A7">
        <w:trPr>
          <w:gridBefore w:val="1"/>
          <w:gridAfter w:val="2"/>
          <w:wBefore w:w="1101" w:type="dxa"/>
          <w:wAfter w:w="8243" w:type="dxa"/>
          <w:trHeight w:val="1113"/>
        </w:trPr>
        <w:tc>
          <w:tcPr>
            <w:tcW w:w="1701" w:type="dxa"/>
          </w:tcPr>
          <w:p w14:paraId="3085D0B7" w14:textId="77777777" w:rsidR="00B964A7" w:rsidRPr="00B05FFC" w:rsidRDefault="00B964A7" w:rsidP="00B964A7">
            <w:pPr>
              <w:spacing w:line="240" w:lineRule="auto"/>
              <w:ind w:firstLine="426"/>
              <w:rPr>
                <w:rFonts w:cstheme="minorHAnsi"/>
                <w:i/>
                <w:noProof/>
                <w:lang w:eastAsia="en-AU"/>
              </w:rPr>
            </w:pPr>
          </w:p>
        </w:tc>
      </w:tr>
    </w:tbl>
    <w:p w14:paraId="072EF46C" w14:textId="77777777" w:rsidR="00B964A7" w:rsidRDefault="00B964A7" w:rsidP="00B964A7">
      <w:pPr>
        <w:rPr>
          <w:rFonts w:cstheme="minorHAnsi"/>
        </w:rPr>
      </w:pPr>
      <w:r w:rsidRPr="00F76E66">
        <w:rPr>
          <w:rFonts w:cstheme="minorHAnsi"/>
        </w:rPr>
        <w:t>*Protocol authors</w:t>
      </w:r>
    </w:p>
    <w:tbl>
      <w:tblPr>
        <w:tblStyle w:val="TableGrid"/>
        <w:tblW w:w="10774" w:type="dxa"/>
        <w:tblInd w:w="-743" w:type="dxa"/>
        <w:tblLook w:val="04A0" w:firstRow="1" w:lastRow="0" w:firstColumn="1" w:lastColumn="0" w:noHBand="0" w:noVBand="1"/>
      </w:tblPr>
      <w:tblGrid>
        <w:gridCol w:w="3970"/>
        <w:gridCol w:w="3118"/>
        <w:gridCol w:w="3686"/>
      </w:tblGrid>
      <w:tr w:rsidR="00B964A7" w14:paraId="751319A0" w14:textId="77777777" w:rsidTr="00B964A7">
        <w:tc>
          <w:tcPr>
            <w:tcW w:w="3970" w:type="dxa"/>
            <w:tcBorders>
              <w:bottom w:val="single" w:sz="4" w:space="0" w:color="auto"/>
            </w:tcBorders>
          </w:tcPr>
          <w:p w14:paraId="2F637EFE" w14:textId="59B67A43" w:rsidR="00B964A7" w:rsidRDefault="00B964A7" w:rsidP="00B964A7">
            <w:pPr>
              <w:rPr>
                <w:rFonts w:cstheme="minorHAnsi"/>
                <w:b/>
              </w:rPr>
            </w:pPr>
            <w:r>
              <w:rPr>
                <w:rFonts w:cstheme="minorHAnsi"/>
                <w:b/>
              </w:rPr>
              <w:t xml:space="preserve">Co-ordinating </w:t>
            </w:r>
            <w:r w:rsidRPr="00D36C83">
              <w:rPr>
                <w:rFonts w:cstheme="minorHAnsi"/>
                <w:b/>
              </w:rPr>
              <w:t>Principal Investigator/</w:t>
            </w:r>
          </w:p>
          <w:p w14:paraId="170BB31D" w14:textId="77777777" w:rsidR="00B964A7" w:rsidRDefault="00AE235D" w:rsidP="00B964A7">
            <w:pPr>
              <w:rPr>
                <w:rFonts w:cstheme="minorHAnsi"/>
                <w:b/>
              </w:rPr>
            </w:pPr>
            <w:r>
              <w:rPr>
                <w:rFonts w:cstheme="minorHAnsi"/>
                <w:b/>
              </w:rPr>
              <w:t xml:space="preserve">Investigational </w:t>
            </w:r>
            <w:r w:rsidR="00B964A7">
              <w:rPr>
                <w:rFonts w:cstheme="minorHAnsi"/>
                <w:b/>
              </w:rPr>
              <w:t>Site leader</w:t>
            </w:r>
          </w:p>
          <w:p w14:paraId="36E31509" w14:textId="77777777" w:rsidR="001A21EA" w:rsidRPr="00AE235D" w:rsidRDefault="001A21EA" w:rsidP="00B964A7">
            <w:pPr>
              <w:rPr>
                <w:rFonts w:cstheme="minorHAnsi"/>
                <w:b/>
                <w:color w:val="FF0000"/>
              </w:rPr>
            </w:pPr>
          </w:p>
          <w:p w14:paraId="40AAC845" w14:textId="77777777" w:rsidR="00B964A7" w:rsidRPr="00D36C83" w:rsidRDefault="00B964A7" w:rsidP="00B964A7">
            <w:pPr>
              <w:rPr>
                <w:rFonts w:cstheme="minorHAnsi"/>
                <w:b/>
              </w:rPr>
            </w:pPr>
          </w:p>
          <w:p w14:paraId="72D1DC46" w14:textId="77777777" w:rsidR="00B964A7" w:rsidRDefault="00B964A7" w:rsidP="00B964A7">
            <w:pPr>
              <w:rPr>
                <w:rFonts w:cstheme="minorHAnsi"/>
              </w:rPr>
            </w:pPr>
            <w:r w:rsidRPr="00D36C83">
              <w:rPr>
                <w:rFonts w:cstheme="minorHAnsi"/>
              </w:rPr>
              <w:t xml:space="preserve">Dr </w:t>
            </w:r>
            <w:r w:rsidR="00AE235D">
              <w:rPr>
                <w:rFonts w:cstheme="minorHAnsi"/>
              </w:rPr>
              <w:t>Prathima Chowdary</w:t>
            </w:r>
            <w:r w:rsidR="00253747">
              <w:rPr>
                <w:rFonts w:cstheme="minorHAnsi"/>
              </w:rPr>
              <w:t>*</w:t>
            </w:r>
            <w:r w:rsidRPr="00D36C83">
              <w:rPr>
                <w:rFonts w:cstheme="minorHAnsi"/>
              </w:rPr>
              <w:t xml:space="preserve"> </w:t>
            </w:r>
          </w:p>
          <w:p w14:paraId="2933C030" w14:textId="34657CFD" w:rsidR="00B964A7" w:rsidRPr="00881FB0" w:rsidRDefault="00881FB0" w:rsidP="00881FB0">
            <w:pPr>
              <w:tabs>
                <w:tab w:val="left" w:pos="1344"/>
              </w:tabs>
              <w:rPr>
                <w:rFonts w:cstheme="minorHAnsi"/>
              </w:rPr>
            </w:pPr>
            <w:r w:rsidRPr="00881FB0">
              <w:rPr>
                <w:rFonts w:cstheme="minorHAnsi"/>
              </w:rPr>
              <w:t>(</w:t>
            </w:r>
            <w:r w:rsidR="00306FE5" w:rsidRPr="00881FB0">
              <w:rPr>
                <w:rFonts w:cstheme="minorHAnsi"/>
              </w:rPr>
              <w:t>Ad Dip BiomedSc, MBChB,MEngSt(Hons), FRANZCOG</w:t>
            </w:r>
            <w:r w:rsidRPr="00881FB0">
              <w:rPr>
                <w:rFonts w:cstheme="minorHAnsi"/>
              </w:rPr>
              <w:t>)</w:t>
            </w:r>
            <w:r w:rsidR="00306FE5" w:rsidRPr="00881FB0">
              <w:rPr>
                <w:rFonts w:cstheme="minorHAnsi"/>
              </w:rPr>
              <w:tab/>
            </w:r>
          </w:p>
          <w:p w14:paraId="01EBEB00" w14:textId="77777777" w:rsidR="00881FB0" w:rsidRPr="00881FB0" w:rsidRDefault="00881FB0" w:rsidP="00B964A7">
            <w:pPr>
              <w:rPr>
                <w:rFonts w:cstheme="minorHAnsi"/>
              </w:rPr>
            </w:pPr>
          </w:p>
          <w:p w14:paraId="4160B134" w14:textId="0AA984D0" w:rsidR="00B964A7" w:rsidRPr="00881FB0" w:rsidRDefault="00306FE5" w:rsidP="00B964A7">
            <w:pPr>
              <w:rPr>
                <w:rFonts w:cstheme="minorHAnsi"/>
              </w:rPr>
            </w:pPr>
            <w:r w:rsidRPr="00881FB0">
              <w:rPr>
                <w:rFonts w:cstheme="minorHAnsi"/>
              </w:rPr>
              <w:t xml:space="preserve">Endosurgeon, </w:t>
            </w:r>
          </w:p>
          <w:p w14:paraId="165A70EE" w14:textId="76A0CFA0" w:rsidR="00306FE5" w:rsidRPr="00881FB0" w:rsidRDefault="00306FE5" w:rsidP="00B964A7">
            <w:pPr>
              <w:rPr>
                <w:rFonts w:cstheme="minorHAnsi"/>
              </w:rPr>
            </w:pPr>
            <w:r w:rsidRPr="00881FB0">
              <w:rPr>
                <w:rFonts w:cstheme="minorHAnsi"/>
              </w:rPr>
              <w:t xml:space="preserve">Obstetrics and Gynaecology, </w:t>
            </w:r>
          </w:p>
          <w:p w14:paraId="1FA8A56D" w14:textId="47A27449" w:rsidR="00AE235D" w:rsidRPr="00881FB0" w:rsidRDefault="00306FE5" w:rsidP="00B964A7">
            <w:pPr>
              <w:rPr>
                <w:rFonts w:cstheme="minorHAnsi"/>
              </w:rPr>
            </w:pPr>
            <w:r w:rsidRPr="00881FB0">
              <w:rPr>
                <w:rFonts w:cstheme="minorHAnsi"/>
              </w:rPr>
              <w:t>Waitemata District Health Board</w:t>
            </w:r>
            <w:r w:rsidR="00881FB0" w:rsidRPr="00881FB0">
              <w:rPr>
                <w:rFonts w:cstheme="minorHAnsi"/>
              </w:rPr>
              <w:t>; PhD Candidate – University of Melbourne</w:t>
            </w:r>
          </w:p>
          <w:p w14:paraId="3E53E0F2" w14:textId="77777777" w:rsidR="00881FB0" w:rsidRPr="00881FB0" w:rsidRDefault="00881FB0" w:rsidP="00B964A7">
            <w:pPr>
              <w:rPr>
                <w:rFonts w:cstheme="minorHAnsi"/>
              </w:rPr>
            </w:pPr>
          </w:p>
          <w:p w14:paraId="32E9883F" w14:textId="441C94AE" w:rsidR="00881FB0" w:rsidRPr="00881FB0" w:rsidRDefault="00881FB0" w:rsidP="00B964A7">
            <w:pPr>
              <w:rPr>
                <w:rFonts w:cstheme="minorHAnsi"/>
              </w:rPr>
            </w:pPr>
            <w:r w:rsidRPr="00881FB0">
              <w:rPr>
                <w:rFonts w:cstheme="minorHAnsi"/>
              </w:rPr>
              <w:t>North Shore Hospital</w:t>
            </w:r>
          </w:p>
          <w:p w14:paraId="0ECCB1FE" w14:textId="527F4713" w:rsidR="00B964A7" w:rsidRPr="00881FB0" w:rsidRDefault="00306FE5" w:rsidP="00B964A7">
            <w:pPr>
              <w:rPr>
                <w:rFonts w:cstheme="minorHAnsi"/>
              </w:rPr>
            </w:pPr>
            <w:r w:rsidRPr="00881FB0">
              <w:rPr>
                <w:rFonts w:cstheme="minorHAnsi"/>
              </w:rPr>
              <w:t xml:space="preserve">124 Shakeaspeare Road, </w:t>
            </w:r>
          </w:p>
          <w:p w14:paraId="26F76C57" w14:textId="77777777" w:rsidR="00306FE5" w:rsidRPr="00881FB0" w:rsidRDefault="00306FE5" w:rsidP="00B964A7">
            <w:pPr>
              <w:rPr>
                <w:rFonts w:cstheme="minorHAnsi"/>
              </w:rPr>
            </w:pPr>
            <w:r w:rsidRPr="00881FB0">
              <w:rPr>
                <w:rFonts w:cstheme="minorHAnsi"/>
              </w:rPr>
              <w:t xml:space="preserve">Takapuna, </w:t>
            </w:r>
          </w:p>
          <w:p w14:paraId="1D016618" w14:textId="487D4A7C" w:rsidR="00306FE5" w:rsidRPr="00881FB0" w:rsidRDefault="00306FE5" w:rsidP="00B964A7">
            <w:pPr>
              <w:rPr>
                <w:rFonts w:cstheme="minorHAnsi"/>
              </w:rPr>
            </w:pPr>
            <w:r w:rsidRPr="00881FB0">
              <w:rPr>
                <w:rFonts w:cstheme="minorHAnsi"/>
              </w:rPr>
              <w:t>North Shore, Auckland</w:t>
            </w:r>
          </w:p>
          <w:p w14:paraId="5DD5226E" w14:textId="77777777" w:rsidR="00B964A7" w:rsidRPr="00881FB0" w:rsidRDefault="00B964A7" w:rsidP="00B964A7">
            <w:pPr>
              <w:rPr>
                <w:rFonts w:cstheme="minorHAnsi"/>
              </w:rPr>
            </w:pPr>
          </w:p>
          <w:p w14:paraId="5A85DF57" w14:textId="77777777" w:rsidR="00306FE5" w:rsidRPr="00881FB0" w:rsidRDefault="00C22CF1" w:rsidP="00881FB0">
            <w:pPr>
              <w:rPr>
                <w:rFonts w:cstheme="minorHAnsi"/>
              </w:rPr>
            </w:pPr>
            <w:r w:rsidRPr="00881FB0">
              <w:rPr>
                <w:rFonts w:cstheme="minorHAnsi"/>
              </w:rPr>
              <w:t>T</w:t>
            </w:r>
            <w:r w:rsidR="00B964A7" w:rsidRPr="00881FB0">
              <w:rPr>
                <w:rFonts w:cstheme="minorHAnsi"/>
              </w:rPr>
              <w:t>:</w:t>
            </w:r>
            <w:r w:rsidR="00B964A7" w:rsidRPr="00881FB0">
              <w:t xml:space="preserve"> </w:t>
            </w:r>
            <w:r w:rsidR="00306FE5" w:rsidRPr="00881FB0">
              <w:rPr>
                <w:rFonts w:cstheme="minorHAnsi"/>
              </w:rPr>
              <w:t>006494868900</w:t>
            </w:r>
          </w:p>
          <w:p w14:paraId="5496C8E6" w14:textId="791BC548" w:rsidR="00B964A7" w:rsidRPr="00881FB0" w:rsidRDefault="00B964A7" w:rsidP="00B964A7">
            <w:pPr>
              <w:rPr>
                <w:rFonts w:cstheme="minorHAnsi"/>
              </w:rPr>
            </w:pPr>
          </w:p>
          <w:p w14:paraId="37A611D2" w14:textId="77777777" w:rsidR="00B964A7" w:rsidRPr="00803EC9" w:rsidRDefault="00B964A7" w:rsidP="00B964A7">
            <w:pPr>
              <w:rPr>
                <w:rFonts w:cstheme="minorHAnsi"/>
              </w:rPr>
            </w:pPr>
          </w:p>
          <w:p w14:paraId="79067F33" w14:textId="396C4BED" w:rsidR="00B964A7" w:rsidRPr="00881FB0" w:rsidRDefault="00C22CF1" w:rsidP="00B964A7">
            <w:pPr>
              <w:rPr>
                <w:rStyle w:val="Hyperlink"/>
                <w:rFonts w:cstheme="minorHAnsi"/>
                <w:color w:val="auto"/>
              </w:rPr>
            </w:pPr>
            <w:r w:rsidRPr="00234939">
              <w:rPr>
                <w:rFonts w:cstheme="minorHAnsi"/>
              </w:rPr>
              <w:lastRenderedPageBreak/>
              <w:t>E</w:t>
            </w:r>
            <w:r w:rsidR="00B964A7" w:rsidRPr="00EE3B32">
              <w:rPr>
                <w:rFonts w:cstheme="minorHAnsi"/>
              </w:rPr>
              <w:t xml:space="preserve">: </w:t>
            </w:r>
            <w:r w:rsidR="00306FE5" w:rsidRPr="00881FB0">
              <w:rPr>
                <w:rFonts w:cstheme="minorHAnsi"/>
              </w:rPr>
              <w:t>prath1mak@yahoo.co.in</w:t>
            </w:r>
          </w:p>
          <w:p w14:paraId="094AC689" w14:textId="77777777" w:rsidR="00B964A7" w:rsidRDefault="00B964A7" w:rsidP="00B964A7">
            <w:pPr>
              <w:rPr>
                <w:rFonts w:cstheme="minorHAnsi"/>
              </w:rPr>
            </w:pPr>
          </w:p>
        </w:tc>
        <w:tc>
          <w:tcPr>
            <w:tcW w:w="3118" w:type="dxa"/>
            <w:tcBorders>
              <w:bottom w:val="single" w:sz="4" w:space="0" w:color="auto"/>
            </w:tcBorders>
          </w:tcPr>
          <w:p w14:paraId="14AF24C1" w14:textId="77777777" w:rsidR="00B964A7" w:rsidRPr="00D36C83" w:rsidRDefault="00B964A7" w:rsidP="00B964A7">
            <w:pPr>
              <w:rPr>
                <w:rFonts w:cstheme="minorHAnsi"/>
                <w:b/>
              </w:rPr>
            </w:pPr>
            <w:r w:rsidRPr="00D36C83">
              <w:rPr>
                <w:rFonts w:cstheme="minorHAnsi"/>
                <w:b/>
              </w:rPr>
              <w:lastRenderedPageBreak/>
              <w:t xml:space="preserve">Principal Investigator </w:t>
            </w:r>
          </w:p>
          <w:p w14:paraId="1E21AF52" w14:textId="77777777" w:rsidR="00B964A7" w:rsidRDefault="00B964A7" w:rsidP="00B964A7">
            <w:pPr>
              <w:rPr>
                <w:rFonts w:cstheme="minorHAnsi"/>
              </w:rPr>
            </w:pPr>
            <w:r w:rsidRPr="00D36C83">
              <w:rPr>
                <w:rFonts w:cstheme="minorHAnsi"/>
              </w:rPr>
              <w:t xml:space="preserve"> </w:t>
            </w:r>
          </w:p>
          <w:p w14:paraId="0D4FA0E7" w14:textId="77777777" w:rsidR="00B964A7" w:rsidRDefault="00B964A7" w:rsidP="00B964A7">
            <w:pPr>
              <w:rPr>
                <w:rFonts w:cstheme="minorHAnsi"/>
              </w:rPr>
            </w:pPr>
          </w:p>
          <w:p w14:paraId="42DC75AA" w14:textId="77777777" w:rsidR="001A21EA" w:rsidRDefault="001A21EA" w:rsidP="00B964A7">
            <w:pPr>
              <w:rPr>
                <w:rFonts w:cstheme="minorHAnsi"/>
              </w:rPr>
            </w:pPr>
          </w:p>
          <w:p w14:paraId="1E9AD9FE" w14:textId="77777777" w:rsidR="00B964A7" w:rsidRPr="00D36C83" w:rsidRDefault="00B964A7" w:rsidP="00B964A7">
            <w:pPr>
              <w:rPr>
                <w:rFonts w:cstheme="minorHAnsi"/>
              </w:rPr>
            </w:pPr>
            <w:r w:rsidRPr="00D36C83">
              <w:rPr>
                <w:rFonts w:cstheme="minorHAnsi"/>
              </w:rPr>
              <w:t xml:space="preserve">Professor Stephen Tong </w:t>
            </w:r>
          </w:p>
          <w:p w14:paraId="35A9B9F2" w14:textId="77777777" w:rsidR="00B964A7" w:rsidRDefault="00B964A7" w:rsidP="00B964A7">
            <w:pPr>
              <w:rPr>
                <w:rFonts w:cstheme="minorHAnsi"/>
              </w:rPr>
            </w:pPr>
            <w:r w:rsidRPr="00D36C83">
              <w:rPr>
                <w:rFonts w:cstheme="minorHAnsi"/>
              </w:rPr>
              <w:t>(MBBS, PhD, FRANZCOG)</w:t>
            </w:r>
          </w:p>
          <w:p w14:paraId="4B4F3621" w14:textId="77777777" w:rsidR="00B964A7" w:rsidRPr="00D36C83" w:rsidRDefault="00B964A7" w:rsidP="00B964A7">
            <w:pPr>
              <w:rPr>
                <w:rFonts w:cstheme="minorHAnsi"/>
              </w:rPr>
            </w:pPr>
          </w:p>
          <w:p w14:paraId="38DC7930" w14:textId="77777777" w:rsidR="00B964A7" w:rsidRDefault="00B964A7" w:rsidP="00B964A7">
            <w:pPr>
              <w:rPr>
                <w:rFonts w:cstheme="minorHAnsi"/>
              </w:rPr>
            </w:pPr>
            <w:r>
              <w:rPr>
                <w:rFonts w:cstheme="minorHAnsi"/>
              </w:rPr>
              <w:t>Co-director – Mercy Perinatal</w:t>
            </w:r>
            <w:r w:rsidR="00AE235D">
              <w:rPr>
                <w:rFonts w:cstheme="minorHAnsi"/>
              </w:rPr>
              <w:t>;</w:t>
            </w:r>
          </w:p>
          <w:p w14:paraId="7D22012C" w14:textId="77777777" w:rsidR="00B964A7" w:rsidRDefault="00B964A7" w:rsidP="00B964A7">
            <w:pPr>
              <w:rPr>
                <w:rFonts w:cstheme="minorHAnsi"/>
              </w:rPr>
            </w:pPr>
            <w:r>
              <w:rPr>
                <w:rFonts w:cstheme="minorHAnsi"/>
              </w:rPr>
              <w:t xml:space="preserve">Head - Translational Obstetrics Group, </w:t>
            </w:r>
            <w:r w:rsidRPr="00D36C83">
              <w:rPr>
                <w:rFonts w:cstheme="minorHAnsi"/>
              </w:rPr>
              <w:t>University of Melbourne</w:t>
            </w:r>
            <w:r>
              <w:rPr>
                <w:rFonts w:cstheme="minorHAnsi"/>
              </w:rPr>
              <w:t xml:space="preserve"> </w:t>
            </w:r>
          </w:p>
          <w:p w14:paraId="1C93F3EA" w14:textId="77777777" w:rsidR="00B964A7" w:rsidRDefault="00B964A7" w:rsidP="00B964A7">
            <w:pPr>
              <w:rPr>
                <w:rFonts w:cstheme="minorHAnsi"/>
              </w:rPr>
            </w:pPr>
          </w:p>
          <w:p w14:paraId="73012674" w14:textId="77777777" w:rsidR="00B964A7" w:rsidRPr="00D36C83" w:rsidRDefault="00B964A7" w:rsidP="00B964A7">
            <w:pPr>
              <w:rPr>
                <w:rFonts w:cstheme="minorHAnsi"/>
              </w:rPr>
            </w:pPr>
            <w:r w:rsidRPr="00D36C83">
              <w:rPr>
                <w:rFonts w:cstheme="minorHAnsi"/>
              </w:rPr>
              <w:t>Mercy Hospital for Women</w:t>
            </w:r>
          </w:p>
          <w:p w14:paraId="0E2D372A" w14:textId="77777777" w:rsidR="00B964A7" w:rsidRPr="00D36C83" w:rsidRDefault="00B964A7" w:rsidP="00B964A7">
            <w:pPr>
              <w:rPr>
                <w:rFonts w:cstheme="minorHAnsi"/>
              </w:rPr>
            </w:pPr>
            <w:r w:rsidRPr="00D36C83">
              <w:rPr>
                <w:rFonts w:cstheme="minorHAnsi"/>
              </w:rPr>
              <w:t xml:space="preserve">163 Studley Road </w:t>
            </w:r>
          </w:p>
          <w:p w14:paraId="77AA0605" w14:textId="77777777" w:rsidR="00FC45EA" w:rsidRDefault="00FC45EA" w:rsidP="00B964A7">
            <w:pPr>
              <w:rPr>
                <w:rFonts w:cstheme="minorHAnsi"/>
              </w:rPr>
            </w:pPr>
            <w:r>
              <w:rPr>
                <w:rFonts w:cstheme="minorHAnsi"/>
              </w:rPr>
              <w:t>Heidelberg</w:t>
            </w:r>
            <w:r w:rsidR="00B964A7">
              <w:rPr>
                <w:rFonts w:cstheme="minorHAnsi"/>
              </w:rPr>
              <w:t xml:space="preserve"> </w:t>
            </w:r>
          </w:p>
          <w:p w14:paraId="50B5DDC2" w14:textId="77777777" w:rsidR="00B964A7" w:rsidRDefault="00FC45EA" w:rsidP="00B964A7">
            <w:pPr>
              <w:rPr>
                <w:rFonts w:cstheme="minorHAnsi"/>
              </w:rPr>
            </w:pPr>
            <w:r>
              <w:rPr>
                <w:rFonts w:cstheme="minorHAnsi"/>
              </w:rPr>
              <w:t xml:space="preserve">Vic                  </w:t>
            </w:r>
            <w:r w:rsidR="00B964A7" w:rsidRPr="00D36C83">
              <w:rPr>
                <w:rFonts w:cstheme="minorHAnsi"/>
              </w:rPr>
              <w:t>3084</w:t>
            </w:r>
          </w:p>
          <w:p w14:paraId="6C0943B3" w14:textId="77777777" w:rsidR="00FC45EA" w:rsidRDefault="00FC45EA" w:rsidP="00B964A7">
            <w:pPr>
              <w:rPr>
                <w:rFonts w:cstheme="minorHAnsi"/>
              </w:rPr>
            </w:pPr>
            <w:r>
              <w:rPr>
                <w:rFonts w:cstheme="minorHAnsi"/>
              </w:rPr>
              <w:t>AUSTRALIA</w:t>
            </w:r>
          </w:p>
          <w:p w14:paraId="3A771D45" w14:textId="77777777" w:rsidR="00B964A7" w:rsidRPr="00D36C83" w:rsidRDefault="00B964A7" w:rsidP="00B964A7">
            <w:pPr>
              <w:rPr>
                <w:rFonts w:cstheme="minorHAnsi"/>
              </w:rPr>
            </w:pPr>
          </w:p>
          <w:p w14:paraId="06AAA1A2" w14:textId="77777777" w:rsidR="00B964A7" w:rsidRDefault="00C22CF1" w:rsidP="00B964A7">
            <w:pPr>
              <w:rPr>
                <w:rFonts w:cstheme="minorHAnsi"/>
              </w:rPr>
            </w:pPr>
            <w:r>
              <w:rPr>
                <w:rFonts w:cstheme="minorHAnsi"/>
              </w:rPr>
              <w:t>T</w:t>
            </w:r>
            <w:r w:rsidR="00B964A7" w:rsidRPr="00D36C83">
              <w:rPr>
                <w:rFonts w:cstheme="minorHAnsi"/>
              </w:rPr>
              <w:t>: +61 3 8458 4381</w:t>
            </w:r>
          </w:p>
          <w:p w14:paraId="5B0774DA" w14:textId="77777777" w:rsidR="00B964A7" w:rsidRPr="00D36C83" w:rsidRDefault="00B964A7" w:rsidP="00B964A7">
            <w:pPr>
              <w:rPr>
                <w:rFonts w:cstheme="minorHAnsi"/>
              </w:rPr>
            </w:pPr>
          </w:p>
          <w:p w14:paraId="481AC774" w14:textId="77777777" w:rsidR="00B964A7" w:rsidRDefault="00C22CF1" w:rsidP="00B964A7">
            <w:pPr>
              <w:rPr>
                <w:rStyle w:val="Hyperlink"/>
                <w:rFonts w:cstheme="minorHAnsi"/>
              </w:rPr>
            </w:pPr>
            <w:r>
              <w:rPr>
                <w:rFonts w:cstheme="minorHAnsi"/>
              </w:rPr>
              <w:t>E</w:t>
            </w:r>
            <w:r w:rsidR="00B964A7" w:rsidRPr="00D36C83">
              <w:rPr>
                <w:rFonts w:cstheme="minorHAnsi"/>
              </w:rPr>
              <w:t xml:space="preserve">: </w:t>
            </w:r>
            <w:hyperlink r:id="rId12" w:history="1">
              <w:r w:rsidR="00253747" w:rsidRPr="00F57CAF">
                <w:rPr>
                  <w:rStyle w:val="Hyperlink"/>
                  <w:rFonts w:cstheme="minorHAnsi"/>
                </w:rPr>
                <w:t>stong@unimelb.edu.au</w:t>
              </w:r>
            </w:hyperlink>
          </w:p>
          <w:p w14:paraId="46629B6F" w14:textId="77777777" w:rsidR="001A21EA" w:rsidRDefault="001A21EA" w:rsidP="00B964A7">
            <w:pPr>
              <w:rPr>
                <w:rFonts w:cstheme="minorHAnsi"/>
              </w:rPr>
            </w:pPr>
          </w:p>
        </w:tc>
        <w:tc>
          <w:tcPr>
            <w:tcW w:w="3686" w:type="dxa"/>
            <w:tcBorders>
              <w:bottom w:val="single" w:sz="4" w:space="0" w:color="auto"/>
            </w:tcBorders>
          </w:tcPr>
          <w:p w14:paraId="4FF1D98C" w14:textId="77777777" w:rsidR="00F00520" w:rsidRDefault="00F00520" w:rsidP="00F00520">
            <w:pPr>
              <w:rPr>
                <w:rFonts w:cstheme="minorHAnsi"/>
                <w:b/>
              </w:rPr>
            </w:pPr>
            <w:r>
              <w:rPr>
                <w:rFonts w:cstheme="minorHAnsi"/>
                <w:b/>
              </w:rPr>
              <w:t>Associate Investigator</w:t>
            </w:r>
          </w:p>
          <w:p w14:paraId="0C33C31A" w14:textId="77777777" w:rsidR="000A5642" w:rsidRDefault="000A5642" w:rsidP="00F00520">
            <w:pPr>
              <w:rPr>
                <w:rFonts w:cstheme="minorHAnsi"/>
                <w:b/>
              </w:rPr>
            </w:pPr>
          </w:p>
          <w:p w14:paraId="38D07DDC" w14:textId="77777777" w:rsidR="000A5642" w:rsidRDefault="000A5642" w:rsidP="00F00520">
            <w:pPr>
              <w:rPr>
                <w:rFonts w:cstheme="minorHAnsi"/>
                <w:b/>
              </w:rPr>
            </w:pPr>
          </w:p>
          <w:p w14:paraId="31792A5A" w14:textId="77777777" w:rsidR="001A21EA" w:rsidRDefault="001A21EA" w:rsidP="00F00520">
            <w:pPr>
              <w:rPr>
                <w:rFonts w:cstheme="minorHAnsi"/>
                <w:b/>
              </w:rPr>
            </w:pPr>
          </w:p>
          <w:p w14:paraId="105A98D6" w14:textId="77777777" w:rsidR="00F00520" w:rsidRDefault="00F00520" w:rsidP="00F00520">
            <w:pPr>
              <w:rPr>
                <w:rFonts w:cstheme="minorHAnsi"/>
              </w:rPr>
            </w:pPr>
            <w:r>
              <w:rPr>
                <w:rFonts w:cstheme="minorHAnsi"/>
              </w:rPr>
              <w:t>Ms Roxanne Hastie</w:t>
            </w:r>
            <w:r w:rsidR="00C975BF">
              <w:rPr>
                <w:rFonts w:cstheme="minorHAnsi"/>
              </w:rPr>
              <w:t>*</w:t>
            </w:r>
          </w:p>
          <w:p w14:paraId="7EA610EC" w14:textId="77777777" w:rsidR="00885A7D" w:rsidRDefault="00EB704D" w:rsidP="00F00520">
            <w:pPr>
              <w:rPr>
                <w:rFonts w:cstheme="minorHAnsi"/>
              </w:rPr>
            </w:pPr>
            <w:r>
              <w:rPr>
                <w:rFonts w:cstheme="minorHAnsi"/>
              </w:rPr>
              <w:t>(BMedSci, BSc (Hon</w:t>
            </w:r>
            <w:r w:rsidR="00885A7D">
              <w:rPr>
                <w:rFonts w:cstheme="minorHAnsi"/>
              </w:rPr>
              <w:t>s))</w:t>
            </w:r>
          </w:p>
          <w:p w14:paraId="43E41D01" w14:textId="77777777" w:rsidR="00885A7D" w:rsidRDefault="00885A7D" w:rsidP="00F00520">
            <w:pPr>
              <w:rPr>
                <w:rFonts w:cstheme="minorHAnsi"/>
              </w:rPr>
            </w:pPr>
          </w:p>
          <w:p w14:paraId="21397F2A" w14:textId="77777777" w:rsidR="00F00520" w:rsidRDefault="00885A7D" w:rsidP="00F00520">
            <w:pPr>
              <w:rPr>
                <w:rFonts w:cstheme="minorHAnsi"/>
              </w:rPr>
            </w:pPr>
            <w:r>
              <w:rPr>
                <w:rFonts w:cstheme="minorHAnsi"/>
              </w:rPr>
              <w:t xml:space="preserve">PhD Candidate - </w:t>
            </w:r>
            <w:r w:rsidR="00EB704D">
              <w:rPr>
                <w:rFonts w:cstheme="minorHAnsi"/>
              </w:rPr>
              <w:t>University of Melbourne</w:t>
            </w:r>
            <w:r w:rsidR="00EE2C4C">
              <w:rPr>
                <w:rFonts w:cstheme="minorHAnsi"/>
              </w:rPr>
              <w:t>; Research Assistant -</w:t>
            </w:r>
            <w:r w:rsidR="00EB3529">
              <w:rPr>
                <w:rFonts w:cstheme="minorHAnsi"/>
              </w:rPr>
              <w:t xml:space="preserve"> Mercy Perinatal</w:t>
            </w:r>
          </w:p>
          <w:p w14:paraId="35D032E5" w14:textId="77777777" w:rsidR="00EB704D" w:rsidRPr="00D36C83" w:rsidRDefault="00EB704D" w:rsidP="00EB704D">
            <w:pPr>
              <w:rPr>
                <w:rFonts w:cstheme="minorHAnsi"/>
              </w:rPr>
            </w:pPr>
          </w:p>
          <w:p w14:paraId="0F3D3D5B" w14:textId="77777777" w:rsidR="00EB704D" w:rsidRDefault="00C22CF1" w:rsidP="00EB704D">
            <w:pPr>
              <w:rPr>
                <w:rFonts w:cstheme="minorHAnsi"/>
              </w:rPr>
            </w:pPr>
            <w:r>
              <w:rPr>
                <w:rFonts w:cstheme="minorHAnsi"/>
              </w:rPr>
              <w:t>T</w:t>
            </w:r>
            <w:r w:rsidR="00EB704D" w:rsidRPr="00D36C83">
              <w:rPr>
                <w:rFonts w:cstheme="minorHAnsi"/>
              </w:rPr>
              <w:t>: +61 3 8458 4381</w:t>
            </w:r>
          </w:p>
          <w:p w14:paraId="3B678E72" w14:textId="77777777" w:rsidR="00F00520" w:rsidRPr="00D668FE" w:rsidRDefault="00F00520" w:rsidP="00F00520">
            <w:pPr>
              <w:rPr>
                <w:rFonts w:cstheme="minorHAnsi"/>
              </w:rPr>
            </w:pPr>
          </w:p>
          <w:p w14:paraId="0ED082B5" w14:textId="77777777" w:rsidR="00F00520" w:rsidRDefault="00C22CF1" w:rsidP="00F00520">
            <w:pPr>
              <w:rPr>
                <w:rStyle w:val="Hyperlink"/>
                <w:rFonts w:cstheme="minorHAnsi"/>
                <w:color w:val="FF0000"/>
              </w:rPr>
            </w:pPr>
            <w:r>
              <w:rPr>
                <w:rFonts w:cstheme="minorHAnsi"/>
              </w:rPr>
              <w:t>E</w:t>
            </w:r>
            <w:r w:rsidR="00F00520">
              <w:rPr>
                <w:rFonts w:cstheme="minorHAnsi"/>
              </w:rPr>
              <w:t xml:space="preserve">: </w:t>
            </w:r>
            <w:hyperlink r:id="rId13" w:history="1">
              <w:r w:rsidR="00EB704D" w:rsidRPr="003A54CF">
                <w:rPr>
                  <w:rStyle w:val="Hyperlink"/>
                  <w:rFonts w:cstheme="minorHAnsi"/>
                </w:rPr>
                <w:t>r.hastie2@student.unimelb.edu.au</w:t>
              </w:r>
            </w:hyperlink>
            <w:r w:rsidR="00EB704D">
              <w:rPr>
                <w:rFonts w:cstheme="minorHAnsi"/>
              </w:rPr>
              <w:t xml:space="preserve"> </w:t>
            </w:r>
          </w:p>
          <w:p w14:paraId="703324AE" w14:textId="77777777" w:rsidR="00B964A7" w:rsidRDefault="00B964A7" w:rsidP="00B964A7">
            <w:pPr>
              <w:rPr>
                <w:rFonts w:cstheme="minorHAnsi"/>
              </w:rPr>
            </w:pPr>
          </w:p>
        </w:tc>
      </w:tr>
    </w:tbl>
    <w:p w14:paraId="78CAF70C" w14:textId="77777777" w:rsidR="00B964A7" w:rsidRDefault="00B964A7" w:rsidP="00B964A7">
      <w:pPr>
        <w:rPr>
          <w:rFonts w:cstheme="minorHAnsi"/>
        </w:rPr>
      </w:pPr>
    </w:p>
    <w:tbl>
      <w:tblPr>
        <w:tblStyle w:val="TableGrid"/>
        <w:tblW w:w="10490" w:type="dxa"/>
        <w:tblInd w:w="-318" w:type="dxa"/>
        <w:tblLook w:val="04A0" w:firstRow="1" w:lastRow="0" w:firstColumn="1" w:lastColumn="0" w:noHBand="0" w:noVBand="1"/>
      </w:tblPr>
      <w:tblGrid>
        <w:gridCol w:w="3687"/>
        <w:gridCol w:w="3543"/>
        <w:gridCol w:w="3260"/>
      </w:tblGrid>
      <w:tr w:rsidR="00B964A7" w14:paraId="09677708" w14:textId="77777777" w:rsidTr="00B964A7">
        <w:tc>
          <w:tcPr>
            <w:tcW w:w="3687" w:type="dxa"/>
          </w:tcPr>
          <w:p w14:paraId="1D74852B" w14:textId="77777777" w:rsidR="00F00520" w:rsidRPr="00E44F09" w:rsidRDefault="00F00520" w:rsidP="00F00520">
            <w:pPr>
              <w:rPr>
                <w:rFonts w:cstheme="minorHAnsi"/>
                <w:b/>
              </w:rPr>
            </w:pPr>
            <w:r>
              <w:rPr>
                <w:rFonts w:cstheme="minorHAnsi"/>
                <w:b/>
              </w:rPr>
              <w:t>Associate Investigator</w:t>
            </w:r>
            <w:r w:rsidRPr="00E44F09">
              <w:rPr>
                <w:rFonts w:cstheme="minorHAnsi"/>
                <w:b/>
              </w:rPr>
              <w:t xml:space="preserve"> </w:t>
            </w:r>
          </w:p>
          <w:p w14:paraId="1A257533" w14:textId="77777777" w:rsidR="00F00520" w:rsidRDefault="00F00520" w:rsidP="00F00520">
            <w:pPr>
              <w:rPr>
                <w:rFonts w:cstheme="minorHAnsi"/>
              </w:rPr>
            </w:pPr>
            <w:r w:rsidRPr="00E44F09">
              <w:rPr>
                <w:rFonts w:cstheme="minorHAnsi"/>
              </w:rPr>
              <w:t xml:space="preserve"> </w:t>
            </w:r>
          </w:p>
          <w:p w14:paraId="2A0DF04F" w14:textId="77777777" w:rsidR="001A21EA" w:rsidRDefault="001A21EA" w:rsidP="00F00520">
            <w:pPr>
              <w:rPr>
                <w:rFonts w:cstheme="minorHAnsi"/>
              </w:rPr>
            </w:pPr>
          </w:p>
          <w:p w14:paraId="73C8C4D0" w14:textId="77777777" w:rsidR="00F00520" w:rsidRPr="00E44F09" w:rsidRDefault="00F00520" w:rsidP="00F00520">
            <w:pPr>
              <w:rPr>
                <w:rFonts w:cstheme="minorHAnsi"/>
              </w:rPr>
            </w:pPr>
            <w:r>
              <w:rPr>
                <w:rFonts w:cstheme="minorHAnsi"/>
              </w:rPr>
              <w:t>Ms Anna Middleton*</w:t>
            </w:r>
            <w:r w:rsidRPr="00E44F09">
              <w:rPr>
                <w:rFonts w:cstheme="minorHAnsi"/>
              </w:rPr>
              <w:t xml:space="preserve"> </w:t>
            </w:r>
          </w:p>
          <w:p w14:paraId="78334FA7" w14:textId="77777777" w:rsidR="00F00520" w:rsidRDefault="00F00520" w:rsidP="00F00520">
            <w:pPr>
              <w:rPr>
                <w:rFonts w:cstheme="minorHAnsi"/>
              </w:rPr>
            </w:pPr>
            <w:r w:rsidRPr="00E44F09">
              <w:rPr>
                <w:rFonts w:cstheme="minorHAnsi"/>
              </w:rPr>
              <w:t>(</w:t>
            </w:r>
            <w:r>
              <w:rPr>
                <w:rFonts w:cstheme="minorHAnsi"/>
              </w:rPr>
              <w:t>BAppSci(Nurs),PGradDip(Mid), MPH</w:t>
            </w:r>
            <w:r w:rsidRPr="00E44F09">
              <w:rPr>
                <w:rFonts w:cstheme="minorHAnsi"/>
              </w:rPr>
              <w:t>)</w:t>
            </w:r>
          </w:p>
          <w:p w14:paraId="6383AFAE" w14:textId="77777777" w:rsidR="00F00520" w:rsidRDefault="00F00520" w:rsidP="00F00520">
            <w:pPr>
              <w:rPr>
                <w:rFonts w:cstheme="minorHAnsi"/>
              </w:rPr>
            </w:pPr>
          </w:p>
          <w:p w14:paraId="4DF78359" w14:textId="77777777" w:rsidR="00F00520" w:rsidRDefault="00962AA9" w:rsidP="00F00520">
            <w:pPr>
              <w:rPr>
                <w:rFonts w:cstheme="minorHAnsi"/>
              </w:rPr>
            </w:pPr>
            <w:r>
              <w:rPr>
                <w:rFonts w:cstheme="minorHAnsi"/>
              </w:rPr>
              <w:t xml:space="preserve">Research Midwife </w:t>
            </w:r>
            <w:r w:rsidR="00F00520">
              <w:rPr>
                <w:rFonts w:cstheme="minorHAnsi"/>
              </w:rPr>
              <w:t xml:space="preserve">- Mercy Perinatal; Hon. Research Fellow - University of Melbourne </w:t>
            </w:r>
          </w:p>
          <w:p w14:paraId="2B76BEB5" w14:textId="77777777" w:rsidR="00F00520" w:rsidRPr="00E44F09" w:rsidRDefault="00F00520" w:rsidP="00F00520">
            <w:pPr>
              <w:rPr>
                <w:rFonts w:cstheme="minorHAnsi"/>
              </w:rPr>
            </w:pPr>
          </w:p>
          <w:p w14:paraId="057EE346" w14:textId="77777777" w:rsidR="00F00520" w:rsidRDefault="0063536B" w:rsidP="00F00520">
            <w:pPr>
              <w:rPr>
                <w:rFonts w:cstheme="minorHAnsi"/>
              </w:rPr>
            </w:pPr>
            <w:r>
              <w:rPr>
                <w:rFonts w:cstheme="minorHAnsi"/>
              </w:rPr>
              <w:t>T</w:t>
            </w:r>
            <w:r w:rsidR="00F00520" w:rsidRPr="00E44F09">
              <w:rPr>
                <w:rFonts w:cstheme="minorHAnsi"/>
              </w:rPr>
              <w:t>:</w:t>
            </w:r>
            <w:r w:rsidR="00F00520">
              <w:rPr>
                <w:rFonts w:cstheme="minorHAnsi"/>
              </w:rPr>
              <w:t xml:space="preserve"> </w:t>
            </w:r>
            <w:r w:rsidR="00F00520" w:rsidRPr="00896999">
              <w:rPr>
                <w:rFonts w:cstheme="minorHAnsi"/>
              </w:rPr>
              <w:t>+61 3 8458 4381</w:t>
            </w:r>
          </w:p>
          <w:p w14:paraId="6FE1ACC6" w14:textId="77777777" w:rsidR="00F00520" w:rsidRDefault="00F00520" w:rsidP="00F00520">
            <w:pPr>
              <w:rPr>
                <w:rFonts w:cstheme="minorHAnsi"/>
              </w:rPr>
            </w:pPr>
          </w:p>
          <w:p w14:paraId="3FAE188C" w14:textId="77777777" w:rsidR="00B964A7" w:rsidRDefault="0063536B" w:rsidP="00F00520">
            <w:pPr>
              <w:rPr>
                <w:rFonts w:cstheme="minorHAnsi"/>
                <w:b/>
              </w:rPr>
            </w:pPr>
            <w:r>
              <w:rPr>
                <w:rFonts w:cstheme="minorHAnsi"/>
              </w:rPr>
              <w:t>E</w:t>
            </w:r>
            <w:r w:rsidR="00F00520">
              <w:rPr>
                <w:rFonts w:cstheme="minorHAnsi"/>
              </w:rPr>
              <w:t xml:space="preserve">: </w:t>
            </w:r>
            <w:hyperlink r:id="rId14" w:history="1">
              <w:r w:rsidR="00F00520" w:rsidRPr="000B17B4">
                <w:rPr>
                  <w:rStyle w:val="Hyperlink"/>
                  <w:rFonts w:cstheme="minorHAnsi"/>
                </w:rPr>
                <w:t>amiddleton@mercy.com.au</w:t>
              </w:r>
            </w:hyperlink>
          </w:p>
          <w:p w14:paraId="14F08D00" w14:textId="77777777" w:rsidR="00253747" w:rsidRDefault="00253747" w:rsidP="00F00520">
            <w:pPr>
              <w:rPr>
                <w:rFonts w:cstheme="minorHAnsi"/>
              </w:rPr>
            </w:pPr>
          </w:p>
        </w:tc>
        <w:tc>
          <w:tcPr>
            <w:tcW w:w="3543" w:type="dxa"/>
            <w:tcBorders>
              <w:bottom w:val="single" w:sz="4" w:space="0" w:color="auto"/>
            </w:tcBorders>
          </w:tcPr>
          <w:p w14:paraId="6616532D" w14:textId="670C01C9" w:rsidR="00F5300A" w:rsidRDefault="00F5300A" w:rsidP="00F5300A">
            <w:pPr>
              <w:rPr>
                <w:rFonts w:cstheme="minorHAnsi"/>
                <w:b/>
              </w:rPr>
            </w:pPr>
            <w:r>
              <w:rPr>
                <w:rFonts w:cstheme="minorHAnsi"/>
                <w:b/>
              </w:rPr>
              <w:t>Associate Investigator</w:t>
            </w:r>
          </w:p>
          <w:p w14:paraId="0181E328" w14:textId="77777777" w:rsidR="00F5300A" w:rsidRDefault="00F5300A" w:rsidP="00F5300A">
            <w:pPr>
              <w:rPr>
                <w:rFonts w:cstheme="minorHAnsi"/>
                <w:b/>
              </w:rPr>
            </w:pPr>
          </w:p>
          <w:p w14:paraId="6EF42808" w14:textId="77777777" w:rsidR="00F5300A" w:rsidRPr="00E44F09" w:rsidRDefault="00F5300A" w:rsidP="00F5300A">
            <w:pPr>
              <w:rPr>
                <w:rFonts w:cstheme="minorHAnsi"/>
                <w:b/>
              </w:rPr>
            </w:pPr>
          </w:p>
          <w:p w14:paraId="27B0A515" w14:textId="77777777" w:rsidR="00F5300A" w:rsidRPr="00C9150A" w:rsidRDefault="00F5300A" w:rsidP="00F5300A">
            <w:pPr>
              <w:rPr>
                <w:rFonts w:cstheme="minorHAnsi"/>
                <w:color w:val="000000" w:themeColor="text1"/>
              </w:rPr>
            </w:pPr>
            <w:commentRangeStart w:id="0"/>
            <w:r w:rsidRPr="00C9150A">
              <w:rPr>
                <w:rFonts w:cstheme="minorHAnsi"/>
                <w:color w:val="000000" w:themeColor="text1"/>
              </w:rPr>
              <w:t xml:space="preserve">Dr Anthea Lindquist </w:t>
            </w:r>
            <w:commentRangeEnd w:id="0"/>
            <w:r w:rsidRPr="00C9150A">
              <w:rPr>
                <w:rStyle w:val="CommentReference"/>
                <w:color w:val="000000" w:themeColor="text1"/>
              </w:rPr>
              <w:commentReference w:id="0"/>
            </w:r>
          </w:p>
          <w:p w14:paraId="3EB9E454" w14:textId="6B9CF7A7" w:rsidR="00F5300A" w:rsidRPr="00C9150A" w:rsidRDefault="00F5300A" w:rsidP="00F5300A">
            <w:pPr>
              <w:rPr>
                <w:rFonts w:cstheme="minorHAnsi"/>
                <w:color w:val="000000" w:themeColor="text1"/>
              </w:rPr>
            </w:pPr>
            <w:r w:rsidRPr="00C9150A">
              <w:rPr>
                <w:rFonts w:cstheme="minorHAnsi"/>
                <w:color w:val="000000" w:themeColor="text1"/>
              </w:rPr>
              <w:t>(</w:t>
            </w:r>
            <w:r w:rsidR="00895C3F">
              <w:rPr>
                <w:rFonts w:cstheme="minorHAnsi"/>
                <w:color w:val="000000" w:themeColor="text1"/>
              </w:rPr>
              <w:t>MBBS, PhD, MRANZCOG)</w:t>
            </w:r>
          </w:p>
          <w:p w14:paraId="7C795237" w14:textId="77777777" w:rsidR="00F5300A" w:rsidRPr="00C9150A" w:rsidRDefault="00F5300A" w:rsidP="00F5300A">
            <w:pPr>
              <w:rPr>
                <w:rFonts w:cstheme="minorHAnsi"/>
                <w:color w:val="000000" w:themeColor="text1"/>
              </w:rPr>
            </w:pPr>
          </w:p>
          <w:p w14:paraId="5553F0CE" w14:textId="7FD5B67A" w:rsidR="00F5300A" w:rsidRDefault="00895C3F" w:rsidP="00F5300A">
            <w:pPr>
              <w:rPr>
                <w:rFonts w:cstheme="minorHAnsi"/>
                <w:color w:val="000000" w:themeColor="text1"/>
              </w:rPr>
            </w:pPr>
            <w:r>
              <w:rPr>
                <w:rFonts w:cstheme="minorHAnsi"/>
                <w:color w:val="000000" w:themeColor="text1"/>
              </w:rPr>
              <w:t xml:space="preserve">Lecturer University of Melbourne, </w:t>
            </w:r>
          </w:p>
          <w:p w14:paraId="44C66D6B" w14:textId="0C96E7E6" w:rsidR="00895C3F" w:rsidRPr="00C9150A" w:rsidRDefault="00895C3F" w:rsidP="00F5300A">
            <w:pPr>
              <w:rPr>
                <w:rFonts w:cstheme="minorHAnsi"/>
                <w:color w:val="000000" w:themeColor="text1"/>
              </w:rPr>
            </w:pPr>
            <w:r>
              <w:rPr>
                <w:rFonts w:cstheme="minorHAnsi"/>
                <w:color w:val="000000" w:themeColor="text1"/>
              </w:rPr>
              <w:t>Senior registrar Mercy Hospital</w:t>
            </w:r>
          </w:p>
          <w:p w14:paraId="1049ED2D" w14:textId="77777777" w:rsidR="00F5300A" w:rsidRPr="00C9150A" w:rsidRDefault="00F5300A" w:rsidP="00F5300A">
            <w:pPr>
              <w:rPr>
                <w:rFonts w:cstheme="minorHAnsi"/>
                <w:color w:val="000000" w:themeColor="text1"/>
              </w:rPr>
            </w:pPr>
          </w:p>
          <w:p w14:paraId="7F1C7EC2" w14:textId="77777777" w:rsidR="00F5300A" w:rsidRPr="00C9150A" w:rsidRDefault="00F5300A" w:rsidP="00F5300A">
            <w:pPr>
              <w:rPr>
                <w:rFonts w:cstheme="minorHAnsi"/>
                <w:color w:val="000000" w:themeColor="text1"/>
              </w:rPr>
            </w:pPr>
          </w:p>
          <w:p w14:paraId="0DDFBB39" w14:textId="7CC829D1" w:rsidR="00F5300A" w:rsidRPr="00C9150A" w:rsidRDefault="00F5300A" w:rsidP="00F5300A">
            <w:pPr>
              <w:rPr>
                <w:rFonts w:cstheme="minorHAnsi"/>
                <w:color w:val="000000" w:themeColor="text1"/>
              </w:rPr>
            </w:pPr>
            <w:r w:rsidRPr="00C9150A">
              <w:rPr>
                <w:rFonts w:cstheme="minorHAnsi"/>
                <w:color w:val="000000" w:themeColor="text1"/>
              </w:rPr>
              <w:t>T:</w:t>
            </w:r>
            <w:r w:rsidR="00895C3F">
              <w:rPr>
                <w:rFonts w:cstheme="minorHAnsi"/>
                <w:color w:val="000000" w:themeColor="text1"/>
              </w:rPr>
              <w:t xml:space="preserve"> +613 8458 8444</w:t>
            </w:r>
          </w:p>
          <w:p w14:paraId="5B1E38F3" w14:textId="77777777" w:rsidR="00F5300A" w:rsidRPr="00C9150A" w:rsidRDefault="00F5300A" w:rsidP="00F5300A">
            <w:pPr>
              <w:rPr>
                <w:rFonts w:cstheme="minorHAnsi"/>
                <w:color w:val="000000" w:themeColor="text1"/>
              </w:rPr>
            </w:pPr>
          </w:p>
          <w:p w14:paraId="1BBE79E0" w14:textId="678E4374" w:rsidR="00B964A7" w:rsidRPr="004E326E" w:rsidRDefault="00F5300A" w:rsidP="00F5300A">
            <w:pPr>
              <w:tabs>
                <w:tab w:val="left" w:pos="1193"/>
              </w:tabs>
              <w:rPr>
                <w:rFonts w:cstheme="minorHAnsi"/>
              </w:rPr>
            </w:pPr>
            <w:r w:rsidRPr="00C9150A">
              <w:rPr>
                <w:rFonts w:cstheme="minorHAnsi"/>
                <w:color w:val="000000" w:themeColor="text1"/>
              </w:rPr>
              <w:t>E:</w:t>
            </w:r>
            <w:r w:rsidR="00895C3F">
              <w:rPr>
                <w:rFonts w:cstheme="minorHAnsi"/>
                <w:color w:val="000000" w:themeColor="text1"/>
              </w:rPr>
              <w:t xml:space="preserve"> </w:t>
            </w:r>
            <w:hyperlink r:id="rId17" w:history="1">
              <w:r w:rsidR="00895C3F" w:rsidRPr="00900060">
                <w:rPr>
                  <w:rStyle w:val="Hyperlink"/>
                  <w:rFonts w:cstheme="minorHAnsi"/>
                </w:rPr>
                <w:t>alindquist@mercy.com.au</w:t>
              </w:r>
            </w:hyperlink>
            <w:r w:rsidR="00895C3F">
              <w:rPr>
                <w:rFonts w:cstheme="minorHAnsi"/>
                <w:color w:val="000000" w:themeColor="text1"/>
              </w:rPr>
              <w:t xml:space="preserve"> </w:t>
            </w:r>
          </w:p>
        </w:tc>
        <w:tc>
          <w:tcPr>
            <w:tcW w:w="3260" w:type="dxa"/>
            <w:tcBorders>
              <w:bottom w:val="single" w:sz="4" w:space="0" w:color="auto"/>
            </w:tcBorders>
          </w:tcPr>
          <w:p w14:paraId="0F1242FA" w14:textId="77777777" w:rsidR="00F5300A" w:rsidRDefault="00F5300A" w:rsidP="00F5300A">
            <w:pPr>
              <w:rPr>
                <w:rFonts w:cstheme="minorHAnsi"/>
                <w:b/>
              </w:rPr>
            </w:pPr>
            <w:r>
              <w:rPr>
                <w:rFonts w:cstheme="minorHAnsi"/>
                <w:b/>
              </w:rPr>
              <w:t>Associate Investigator/</w:t>
            </w:r>
          </w:p>
          <w:p w14:paraId="4AA03528" w14:textId="77777777" w:rsidR="00F5300A" w:rsidRDefault="00F5300A" w:rsidP="00F5300A">
            <w:pPr>
              <w:rPr>
                <w:rFonts w:cstheme="minorHAnsi"/>
                <w:b/>
              </w:rPr>
            </w:pPr>
            <w:r>
              <w:rPr>
                <w:rFonts w:cstheme="minorHAnsi"/>
                <w:b/>
              </w:rPr>
              <w:t>Trial Statistician</w:t>
            </w:r>
          </w:p>
          <w:p w14:paraId="7F24232F" w14:textId="77777777" w:rsidR="00F5300A" w:rsidRDefault="00F5300A" w:rsidP="00F5300A">
            <w:pPr>
              <w:rPr>
                <w:rFonts w:cstheme="minorHAnsi"/>
                <w:b/>
              </w:rPr>
            </w:pPr>
          </w:p>
          <w:p w14:paraId="2866B23E" w14:textId="77777777" w:rsidR="00F5300A" w:rsidRDefault="00F5300A" w:rsidP="00F5300A">
            <w:pPr>
              <w:rPr>
                <w:rFonts w:cstheme="minorHAnsi"/>
              </w:rPr>
            </w:pPr>
            <w:r>
              <w:rPr>
                <w:rFonts w:cstheme="minorHAnsi"/>
              </w:rPr>
              <w:t>Dr Richard Hiscock</w:t>
            </w:r>
          </w:p>
          <w:p w14:paraId="06D0CB38" w14:textId="77777777" w:rsidR="00F5300A" w:rsidRDefault="00F5300A" w:rsidP="00F5300A">
            <w:pPr>
              <w:rPr>
                <w:rFonts w:cstheme="minorHAnsi"/>
              </w:rPr>
            </w:pPr>
            <w:r>
              <w:rPr>
                <w:rFonts w:cstheme="minorHAnsi"/>
              </w:rPr>
              <w:t>(MBBS, FRANZCA, GradDip(Stat))</w:t>
            </w:r>
          </w:p>
          <w:p w14:paraId="1310DCE4" w14:textId="77777777" w:rsidR="00F5300A" w:rsidRDefault="00F5300A" w:rsidP="00F5300A">
            <w:pPr>
              <w:rPr>
                <w:rFonts w:cstheme="minorHAnsi"/>
              </w:rPr>
            </w:pPr>
          </w:p>
          <w:p w14:paraId="08F6DD7D" w14:textId="77777777" w:rsidR="00F5300A" w:rsidRDefault="00F5300A" w:rsidP="00F5300A">
            <w:pPr>
              <w:rPr>
                <w:rFonts w:cstheme="minorHAnsi"/>
              </w:rPr>
            </w:pPr>
            <w:r>
              <w:rPr>
                <w:rFonts w:cstheme="minorHAnsi"/>
              </w:rPr>
              <w:t>Anaesthetist – Mercy Hospital for Women</w:t>
            </w:r>
          </w:p>
          <w:p w14:paraId="019BC2E8" w14:textId="77777777" w:rsidR="00F5300A" w:rsidRDefault="00F5300A" w:rsidP="00F5300A">
            <w:pPr>
              <w:rPr>
                <w:rFonts w:cstheme="minorHAnsi"/>
              </w:rPr>
            </w:pPr>
          </w:p>
          <w:p w14:paraId="4F90DE20" w14:textId="77777777" w:rsidR="00F5300A" w:rsidRDefault="00F5300A" w:rsidP="00F5300A">
            <w:pPr>
              <w:rPr>
                <w:rFonts w:cstheme="minorHAnsi"/>
              </w:rPr>
            </w:pPr>
          </w:p>
          <w:p w14:paraId="03A65309" w14:textId="77777777" w:rsidR="00F5300A" w:rsidRDefault="00F5300A" w:rsidP="00F5300A">
            <w:pPr>
              <w:rPr>
                <w:rFonts w:cstheme="minorHAnsi"/>
              </w:rPr>
            </w:pPr>
            <w:r>
              <w:rPr>
                <w:rFonts w:cstheme="minorHAnsi"/>
              </w:rPr>
              <w:t>T: +61 419 117 911</w:t>
            </w:r>
          </w:p>
          <w:p w14:paraId="1ECC444F" w14:textId="77777777" w:rsidR="00F5300A" w:rsidRDefault="00F5300A" w:rsidP="00F5300A">
            <w:pPr>
              <w:rPr>
                <w:rFonts w:cstheme="minorHAnsi"/>
              </w:rPr>
            </w:pPr>
          </w:p>
          <w:p w14:paraId="1D653B7B" w14:textId="77777777" w:rsidR="00F5300A" w:rsidRPr="009E4F67" w:rsidRDefault="00F5300A" w:rsidP="00F5300A">
            <w:pPr>
              <w:rPr>
                <w:rFonts w:cstheme="minorHAnsi"/>
              </w:rPr>
            </w:pPr>
            <w:r>
              <w:rPr>
                <w:rFonts w:cstheme="minorHAnsi"/>
              </w:rPr>
              <w:t xml:space="preserve">E: </w:t>
            </w:r>
            <w:hyperlink r:id="rId18" w:history="1">
              <w:r w:rsidRPr="00B860A3">
                <w:rPr>
                  <w:rStyle w:val="Hyperlink"/>
                  <w:rFonts w:cstheme="minorHAnsi"/>
                </w:rPr>
                <w:t>richardjhiscock@gmail.com</w:t>
              </w:r>
            </w:hyperlink>
            <w:r>
              <w:rPr>
                <w:rFonts w:cstheme="minorHAnsi"/>
              </w:rPr>
              <w:t xml:space="preserve"> </w:t>
            </w:r>
          </w:p>
          <w:p w14:paraId="0AE4DFB9" w14:textId="2F4C08CC" w:rsidR="001A21EA" w:rsidRDefault="001A21EA" w:rsidP="00253747">
            <w:pPr>
              <w:rPr>
                <w:rFonts w:cstheme="minorHAnsi"/>
              </w:rPr>
            </w:pPr>
          </w:p>
        </w:tc>
      </w:tr>
    </w:tbl>
    <w:p w14:paraId="614E1192" w14:textId="0B606888" w:rsidR="00B964A7" w:rsidRPr="00F76E66" w:rsidRDefault="00F00520" w:rsidP="00B964A7">
      <w:pPr>
        <w:rPr>
          <w:rFonts w:cstheme="minorHAnsi"/>
        </w:rPr>
      </w:pPr>
      <w:r>
        <w:rPr>
          <w:rFonts w:cstheme="minorHAnsi"/>
        </w:rPr>
        <w:t xml:space="preserve">*Protocol authors </w:t>
      </w:r>
    </w:p>
    <w:p w14:paraId="0B04F991" w14:textId="77777777" w:rsidR="00B964A7" w:rsidRPr="003D7313" w:rsidRDefault="00B964A7" w:rsidP="00B964A7">
      <w:pPr>
        <w:rPr>
          <w:rFonts w:cstheme="minorHAnsi"/>
        </w:rPr>
      </w:pPr>
      <w:r>
        <w:rPr>
          <w:rFonts w:cstheme="minorHAnsi"/>
        </w:rPr>
        <w:br w:type="page"/>
      </w:r>
    </w:p>
    <w:p w14:paraId="58E6D5E3" w14:textId="77777777" w:rsidR="00B964A7" w:rsidRPr="005500A4" w:rsidRDefault="00B964A7" w:rsidP="00B964A7">
      <w:pPr>
        <w:jc w:val="center"/>
        <w:rPr>
          <w:rFonts w:cstheme="minorHAnsi"/>
          <w:b/>
          <w:sz w:val="28"/>
          <w:szCs w:val="28"/>
          <w:u w:val="single"/>
        </w:rPr>
      </w:pPr>
      <w:r w:rsidRPr="005500A4">
        <w:rPr>
          <w:rFonts w:cstheme="minorHAnsi"/>
          <w:b/>
          <w:sz w:val="28"/>
          <w:szCs w:val="28"/>
          <w:u w:val="single"/>
        </w:rPr>
        <w:lastRenderedPageBreak/>
        <w:t>Trial Committees</w:t>
      </w:r>
    </w:p>
    <w:p w14:paraId="2AA857BB" w14:textId="77777777" w:rsidR="00B964A7" w:rsidRDefault="00B964A7" w:rsidP="00B964A7">
      <w:pPr>
        <w:jc w:val="center"/>
        <w:rPr>
          <w:rFonts w:cstheme="minorHAnsi"/>
          <w:b/>
        </w:rPr>
      </w:pPr>
    </w:p>
    <w:p w14:paraId="173A7ADA" w14:textId="77777777" w:rsidR="00B964A7" w:rsidRDefault="00B964A7" w:rsidP="00B964A7">
      <w:pPr>
        <w:jc w:val="center"/>
        <w:rPr>
          <w:rFonts w:cstheme="minorHAnsi"/>
          <w:b/>
        </w:rPr>
      </w:pPr>
    </w:p>
    <w:p w14:paraId="3987AF79" w14:textId="77777777" w:rsidR="00B964A7" w:rsidRPr="00F77E8E" w:rsidRDefault="00B964A7" w:rsidP="00B964A7">
      <w:pPr>
        <w:jc w:val="center"/>
        <w:rPr>
          <w:rFonts w:cstheme="minorHAnsi"/>
          <w:b/>
          <w:u w:val="single"/>
        </w:rPr>
      </w:pPr>
      <w:r w:rsidRPr="00F77E8E">
        <w:rPr>
          <w:rFonts w:cstheme="minorHAnsi"/>
          <w:b/>
          <w:u w:val="single"/>
        </w:rPr>
        <w:t>Trial Steering Committee</w:t>
      </w:r>
    </w:p>
    <w:p w14:paraId="4E7CC4C1" w14:textId="77777777" w:rsidR="00803EC9" w:rsidRDefault="00B964A7" w:rsidP="00803EC9">
      <w:pPr>
        <w:jc w:val="center"/>
        <w:rPr>
          <w:rFonts w:cstheme="minorHAnsi"/>
        </w:rPr>
      </w:pPr>
      <w:r>
        <w:rPr>
          <w:rFonts w:cstheme="minorHAnsi"/>
        </w:rPr>
        <w:t xml:space="preserve">Dr </w:t>
      </w:r>
      <w:r w:rsidR="00FC45EA">
        <w:rPr>
          <w:rFonts w:cstheme="minorHAnsi"/>
        </w:rPr>
        <w:t>Prathima Chowdary</w:t>
      </w:r>
      <w:r w:rsidR="00803EC9">
        <w:rPr>
          <w:rFonts w:cstheme="minorHAnsi"/>
        </w:rPr>
        <w:t xml:space="preserve"> (Committee Chair)</w:t>
      </w:r>
      <w:r>
        <w:rPr>
          <w:rFonts w:cstheme="minorHAnsi"/>
        </w:rPr>
        <w:t xml:space="preserve"> </w:t>
      </w:r>
      <w:r w:rsidR="004E4E1B">
        <w:rPr>
          <w:rFonts w:cstheme="minorHAnsi"/>
        </w:rPr>
        <w:t>–</w:t>
      </w:r>
      <w:r>
        <w:rPr>
          <w:rFonts w:cstheme="minorHAnsi"/>
        </w:rPr>
        <w:t xml:space="preserve"> </w:t>
      </w:r>
      <w:r w:rsidR="004E4E1B">
        <w:rPr>
          <w:rFonts w:cstheme="minorHAnsi"/>
          <w:color w:val="000000" w:themeColor="text1"/>
        </w:rPr>
        <w:t>North Shore Hospital</w:t>
      </w:r>
      <w:r w:rsidR="00803EC9">
        <w:rPr>
          <w:rFonts w:cstheme="minorHAnsi"/>
          <w:color w:val="000000" w:themeColor="text1"/>
        </w:rPr>
        <w:t>, University of Melbourne</w:t>
      </w:r>
      <w:r w:rsidR="00803EC9" w:rsidRPr="00803EC9">
        <w:rPr>
          <w:rFonts w:cstheme="minorHAnsi"/>
        </w:rPr>
        <w:t xml:space="preserve"> </w:t>
      </w:r>
    </w:p>
    <w:p w14:paraId="76BAA1AB" w14:textId="1EBD18FD" w:rsidR="00B964A7" w:rsidRDefault="00803EC9" w:rsidP="00803EC9">
      <w:pPr>
        <w:jc w:val="center"/>
        <w:rPr>
          <w:rFonts w:cstheme="minorHAnsi"/>
        </w:rPr>
      </w:pPr>
      <w:r>
        <w:rPr>
          <w:rFonts w:cstheme="minorHAnsi"/>
        </w:rPr>
        <w:t>Professor Stephen Tong - University of Melbourne, Mercy Perinatal</w:t>
      </w:r>
    </w:p>
    <w:p w14:paraId="70D90BB6" w14:textId="3007F803" w:rsidR="00B964A7" w:rsidRPr="00C9150A" w:rsidRDefault="004E4E1B" w:rsidP="004E4E1B">
      <w:pPr>
        <w:tabs>
          <w:tab w:val="center" w:pos="4666"/>
          <w:tab w:val="left" w:pos="7415"/>
        </w:tabs>
        <w:rPr>
          <w:rFonts w:cstheme="minorHAnsi"/>
          <w:color w:val="000000" w:themeColor="text1"/>
        </w:rPr>
      </w:pPr>
      <w:r>
        <w:rPr>
          <w:rFonts w:cstheme="minorHAnsi"/>
          <w:color w:val="FF0000"/>
        </w:rPr>
        <w:tab/>
      </w:r>
      <w:r w:rsidR="00803EC9" w:rsidRPr="00C9150A">
        <w:rPr>
          <w:rFonts w:cstheme="minorHAnsi"/>
          <w:color w:val="000000" w:themeColor="text1"/>
        </w:rPr>
        <w:t>Dr</w:t>
      </w:r>
      <w:r w:rsidR="00306FE5" w:rsidRPr="00C9150A">
        <w:rPr>
          <w:rFonts w:cstheme="minorHAnsi"/>
          <w:color w:val="000000" w:themeColor="text1"/>
        </w:rPr>
        <w:t xml:space="preserve"> Ngaire Anderson</w:t>
      </w:r>
      <w:r w:rsidR="00803EC9" w:rsidRPr="00C9150A">
        <w:rPr>
          <w:rFonts w:cstheme="minorHAnsi"/>
          <w:color w:val="000000" w:themeColor="text1"/>
        </w:rPr>
        <w:t xml:space="preserve"> – North Shore Hospital</w:t>
      </w:r>
      <w:r w:rsidRPr="00C9150A">
        <w:rPr>
          <w:rFonts w:cstheme="minorHAnsi"/>
          <w:color w:val="000000" w:themeColor="text1"/>
        </w:rPr>
        <w:tab/>
      </w:r>
    </w:p>
    <w:p w14:paraId="51A34937" w14:textId="15C3F3EA" w:rsidR="00FC45EA" w:rsidRPr="00C9150A" w:rsidRDefault="00803EC9" w:rsidP="00FC45EA">
      <w:pPr>
        <w:jc w:val="center"/>
        <w:rPr>
          <w:rFonts w:cstheme="minorHAnsi"/>
          <w:color w:val="000000" w:themeColor="text1"/>
        </w:rPr>
      </w:pPr>
      <w:r w:rsidRPr="00C9150A">
        <w:rPr>
          <w:rFonts w:cstheme="minorHAnsi"/>
          <w:color w:val="000000" w:themeColor="text1"/>
        </w:rPr>
        <w:t xml:space="preserve">Ms </w:t>
      </w:r>
      <w:r w:rsidR="00306FE5" w:rsidRPr="00C9150A">
        <w:rPr>
          <w:rFonts w:cstheme="minorHAnsi"/>
          <w:color w:val="000000" w:themeColor="text1"/>
        </w:rPr>
        <w:t>Susan Rae</w:t>
      </w:r>
      <w:r w:rsidRPr="00C9150A">
        <w:rPr>
          <w:rFonts w:cstheme="minorHAnsi"/>
          <w:color w:val="000000" w:themeColor="text1"/>
        </w:rPr>
        <w:t xml:space="preserve"> – North Shore Hospital</w:t>
      </w:r>
    </w:p>
    <w:p w14:paraId="003CA5D1" w14:textId="5587E697" w:rsidR="00FC45EA" w:rsidRPr="00C9150A" w:rsidRDefault="00306FE5" w:rsidP="00FC45EA">
      <w:pPr>
        <w:jc w:val="center"/>
        <w:rPr>
          <w:rFonts w:cstheme="minorHAnsi"/>
          <w:color w:val="000000" w:themeColor="text1"/>
        </w:rPr>
      </w:pPr>
      <w:r w:rsidRPr="00C9150A">
        <w:rPr>
          <w:rFonts w:cstheme="minorHAnsi"/>
          <w:color w:val="000000" w:themeColor="text1"/>
        </w:rPr>
        <w:t xml:space="preserve">A/Prof. </w:t>
      </w:r>
      <w:r w:rsidR="00234939" w:rsidRPr="00C9150A">
        <w:rPr>
          <w:rFonts w:cstheme="minorHAnsi"/>
          <w:color w:val="000000" w:themeColor="text1"/>
        </w:rPr>
        <w:t xml:space="preserve">Peter </w:t>
      </w:r>
      <w:r w:rsidRPr="00C9150A">
        <w:rPr>
          <w:rFonts w:cstheme="minorHAnsi"/>
          <w:color w:val="000000" w:themeColor="text1"/>
        </w:rPr>
        <w:t>Van De Weijer</w:t>
      </w:r>
    </w:p>
    <w:p w14:paraId="31B1E671" w14:textId="77777777" w:rsidR="00B964A7" w:rsidRPr="00C9150A" w:rsidRDefault="00B964A7" w:rsidP="00B964A7">
      <w:pPr>
        <w:rPr>
          <w:rFonts w:cstheme="minorHAnsi"/>
          <w:b/>
          <w:color w:val="000000" w:themeColor="text1"/>
        </w:rPr>
      </w:pPr>
    </w:p>
    <w:p w14:paraId="10E25AA4" w14:textId="77777777" w:rsidR="00B964A7" w:rsidRPr="00C9150A" w:rsidRDefault="00B964A7" w:rsidP="00B964A7">
      <w:pPr>
        <w:jc w:val="center"/>
        <w:rPr>
          <w:rFonts w:cstheme="minorHAnsi"/>
          <w:b/>
          <w:color w:val="000000" w:themeColor="text1"/>
          <w:u w:val="single"/>
        </w:rPr>
      </w:pPr>
      <w:r w:rsidRPr="00C9150A">
        <w:rPr>
          <w:rFonts w:cstheme="minorHAnsi"/>
          <w:b/>
          <w:color w:val="000000" w:themeColor="text1"/>
          <w:u w:val="single"/>
        </w:rPr>
        <w:t>Data and Safety Monitoring Committee</w:t>
      </w:r>
    </w:p>
    <w:p w14:paraId="56BC026B" w14:textId="10735A66" w:rsidR="00B964A7" w:rsidRPr="00C9150A" w:rsidRDefault="00306FE5" w:rsidP="00B964A7">
      <w:pPr>
        <w:jc w:val="center"/>
        <w:rPr>
          <w:rFonts w:cstheme="minorHAnsi"/>
          <w:color w:val="000000" w:themeColor="text1"/>
        </w:rPr>
      </w:pPr>
      <w:r w:rsidRPr="00C9150A">
        <w:rPr>
          <w:rFonts w:cstheme="minorHAnsi"/>
          <w:color w:val="000000" w:themeColor="text1"/>
        </w:rPr>
        <w:t>Prof</w:t>
      </w:r>
      <w:r w:rsidR="00803EC9" w:rsidRPr="00C9150A">
        <w:rPr>
          <w:rFonts w:cstheme="minorHAnsi"/>
          <w:color w:val="000000" w:themeColor="text1"/>
        </w:rPr>
        <w:t>essor</w:t>
      </w:r>
      <w:r w:rsidRPr="00C9150A">
        <w:rPr>
          <w:rFonts w:cstheme="minorHAnsi"/>
          <w:color w:val="000000" w:themeColor="text1"/>
        </w:rPr>
        <w:t xml:space="preserve"> Cindy Farquhar</w:t>
      </w:r>
      <w:r w:rsidR="00234939" w:rsidRPr="00C9150A">
        <w:rPr>
          <w:rFonts w:cstheme="minorHAnsi"/>
          <w:color w:val="000000" w:themeColor="text1"/>
        </w:rPr>
        <w:t xml:space="preserve"> </w:t>
      </w:r>
      <w:r w:rsidR="004D1250" w:rsidRPr="00C9150A">
        <w:rPr>
          <w:rFonts w:cstheme="minorHAnsi"/>
          <w:color w:val="000000" w:themeColor="text1"/>
        </w:rPr>
        <w:t>- Endosurgeon</w:t>
      </w:r>
    </w:p>
    <w:p w14:paraId="05B5AF99" w14:textId="139A96A3" w:rsidR="007D5B91" w:rsidRPr="00C9150A" w:rsidRDefault="00803EC9" w:rsidP="007D5B91">
      <w:pPr>
        <w:jc w:val="center"/>
        <w:rPr>
          <w:rFonts w:cstheme="minorHAnsi"/>
          <w:color w:val="000000" w:themeColor="text1"/>
        </w:rPr>
      </w:pPr>
      <w:r w:rsidRPr="00C9150A">
        <w:rPr>
          <w:rFonts w:cstheme="minorHAnsi"/>
          <w:color w:val="000000" w:themeColor="text1"/>
        </w:rPr>
        <w:t>Dr</w:t>
      </w:r>
      <w:r w:rsidR="00214CFD" w:rsidRPr="00C9150A">
        <w:rPr>
          <w:rFonts w:cstheme="minorHAnsi"/>
          <w:color w:val="000000" w:themeColor="text1"/>
        </w:rPr>
        <w:t xml:space="preserve"> Julie Lamont</w:t>
      </w:r>
      <w:r w:rsidR="00234939" w:rsidRPr="00C9150A">
        <w:rPr>
          <w:rFonts w:cstheme="minorHAnsi"/>
          <w:color w:val="000000" w:themeColor="text1"/>
        </w:rPr>
        <w:t xml:space="preserve"> - </w:t>
      </w:r>
      <w:r w:rsidRPr="00C9150A">
        <w:rPr>
          <w:rFonts w:cstheme="minorHAnsi"/>
          <w:color w:val="000000" w:themeColor="text1"/>
        </w:rPr>
        <w:t>Gynaecological Onc</w:t>
      </w:r>
      <w:r w:rsidR="00234939" w:rsidRPr="00C9150A">
        <w:rPr>
          <w:rFonts w:cstheme="minorHAnsi"/>
          <w:color w:val="000000" w:themeColor="text1"/>
        </w:rPr>
        <w:t>ologist</w:t>
      </w:r>
    </w:p>
    <w:p w14:paraId="261E2333" w14:textId="5A4EFBD3" w:rsidR="001A21EA" w:rsidRPr="00C9150A" w:rsidRDefault="002D5A4C" w:rsidP="001A21EA">
      <w:pPr>
        <w:jc w:val="center"/>
        <w:rPr>
          <w:rFonts w:cstheme="minorHAnsi"/>
          <w:color w:val="000000" w:themeColor="text1"/>
        </w:rPr>
      </w:pPr>
      <w:r w:rsidRPr="00C9150A">
        <w:rPr>
          <w:rFonts w:cstheme="minorHAnsi"/>
          <w:color w:val="000000" w:themeColor="text1"/>
        </w:rPr>
        <w:t>Dr. Lois Eva – Gynaecological Oncologist</w:t>
      </w:r>
    </w:p>
    <w:p w14:paraId="6D393238" w14:textId="77777777" w:rsidR="00B964A7" w:rsidRDefault="00B964A7" w:rsidP="00B964A7">
      <w:pPr>
        <w:jc w:val="center"/>
        <w:rPr>
          <w:rFonts w:cstheme="minorHAnsi"/>
          <w:b/>
        </w:rPr>
      </w:pPr>
    </w:p>
    <w:p w14:paraId="46486E40" w14:textId="77777777" w:rsidR="00B964A7" w:rsidRPr="00D464BC" w:rsidRDefault="00B964A7" w:rsidP="00B964A7">
      <w:pPr>
        <w:jc w:val="center"/>
        <w:rPr>
          <w:rFonts w:cstheme="minorHAnsi"/>
          <w:b/>
        </w:rPr>
      </w:pPr>
    </w:p>
    <w:p w14:paraId="63BA7A45" w14:textId="77777777" w:rsidR="00B964A7" w:rsidRPr="00DC75BF" w:rsidRDefault="00B964A7" w:rsidP="00B964A7">
      <w:pPr>
        <w:rPr>
          <w:rFonts w:cstheme="minorHAnsi"/>
        </w:rPr>
      </w:pPr>
      <w:r>
        <w:rPr>
          <w:rFonts w:cstheme="minorHAnsi"/>
        </w:rPr>
        <w:br w:type="page"/>
      </w:r>
    </w:p>
    <w:p w14:paraId="03F18DED" w14:textId="77777777" w:rsidR="00B964A7" w:rsidRDefault="00B964A7" w:rsidP="00B964A7">
      <w:pPr>
        <w:rPr>
          <w:rFonts w:cstheme="minorHAnsi"/>
          <w:b/>
          <w:color w:val="FF0000"/>
        </w:rPr>
      </w:pPr>
      <w:bookmarkStart w:id="1" w:name="_Toc473873050"/>
    </w:p>
    <w:sdt>
      <w:sdtPr>
        <w:rPr>
          <w:rFonts w:asciiTheme="minorHAnsi" w:eastAsiaTheme="minorHAnsi" w:hAnsiTheme="minorHAnsi" w:cstheme="minorBidi"/>
          <w:b w:val="0"/>
          <w:bCs w:val="0"/>
          <w:color w:val="auto"/>
          <w:sz w:val="22"/>
          <w:szCs w:val="22"/>
          <w:lang w:val="en-AU" w:eastAsia="en-US"/>
        </w:rPr>
        <w:id w:val="1989287545"/>
        <w:docPartObj>
          <w:docPartGallery w:val="Table of Contents"/>
          <w:docPartUnique/>
        </w:docPartObj>
      </w:sdtPr>
      <w:sdtEndPr>
        <w:rPr>
          <w:noProof/>
        </w:rPr>
      </w:sdtEndPr>
      <w:sdtContent>
        <w:p w14:paraId="64DE5CF1" w14:textId="77777777" w:rsidR="00D5063A" w:rsidRDefault="00D5063A">
          <w:pPr>
            <w:pStyle w:val="TOCHeading"/>
          </w:pPr>
          <w:r>
            <w:t>Table of Contents</w:t>
          </w:r>
        </w:p>
        <w:p w14:paraId="032C9A2A" w14:textId="77777777" w:rsidR="00D44C65" w:rsidRDefault="00D5063A">
          <w:pPr>
            <w:pStyle w:val="TOC1"/>
            <w:tabs>
              <w:tab w:val="right" w:leader="dot" w:pos="9323"/>
            </w:tabs>
            <w:rPr>
              <w:noProof/>
              <w:lang w:val="en-AU" w:eastAsia="en-AU"/>
            </w:rPr>
          </w:pPr>
          <w:r>
            <w:fldChar w:fldCharType="begin"/>
          </w:r>
          <w:r>
            <w:instrText xml:space="preserve"> TOC \o "1-3" \h \z \u </w:instrText>
          </w:r>
          <w:r>
            <w:fldChar w:fldCharType="separate"/>
          </w:r>
          <w:hyperlink w:anchor="_Toc489888037" w:history="1">
            <w:r w:rsidR="00D44C65" w:rsidRPr="00BB67FB">
              <w:rPr>
                <w:rStyle w:val="Hyperlink"/>
                <w:noProof/>
              </w:rPr>
              <w:t>PROTOCOL APPROVAL</w:t>
            </w:r>
            <w:r w:rsidR="00D44C65">
              <w:rPr>
                <w:noProof/>
                <w:webHidden/>
              </w:rPr>
              <w:tab/>
            </w:r>
            <w:r w:rsidR="00D44C65">
              <w:rPr>
                <w:noProof/>
                <w:webHidden/>
              </w:rPr>
              <w:fldChar w:fldCharType="begin"/>
            </w:r>
            <w:r w:rsidR="00D44C65">
              <w:rPr>
                <w:noProof/>
                <w:webHidden/>
              </w:rPr>
              <w:instrText xml:space="preserve"> PAGEREF _Toc489888037 \h </w:instrText>
            </w:r>
            <w:r w:rsidR="00D44C65">
              <w:rPr>
                <w:noProof/>
                <w:webHidden/>
              </w:rPr>
            </w:r>
            <w:r w:rsidR="00D44C65">
              <w:rPr>
                <w:noProof/>
                <w:webHidden/>
              </w:rPr>
              <w:fldChar w:fldCharType="separate"/>
            </w:r>
            <w:r w:rsidR="00D44C65">
              <w:rPr>
                <w:noProof/>
                <w:webHidden/>
              </w:rPr>
              <w:t>10</w:t>
            </w:r>
            <w:r w:rsidR="00D44C65">
              <w:rPr>
                <w:noProof/>
                <w:webHidden/>
              </w:rPr>
              <w:fldChar w:fldCharType="end"/>
            </w:r>
          </w:hyperlink>
        </w:p>
        <w:p w14:paraId="6122EAD0" w14:textId="77777777" w:rsidR="00D44C65" w:rsidRDefault="00BA2754">
          <w:pPr>
            <w:pStyle w:val="TOC1"/>
            <w:tabs>
              <w:tab w:val="right" w:leader="dot" w:pos="9323"/>
            </w:tabs>
            <w:rPr>
              <w:noProof/>
              <w:lang w:val="en-AU" w:eastAsia="en-AU"/>
            </w:rPr>
          </w:pPr>
          <w:hyperlink w:anchor="_Toc489888038" w:history="1">
            <w:r w:rsidR="00D44C65" w:rsidRPr="00BB67FB">
              <w:rPr>
                <w:rStyle w:val="Hyperlink"/>
                <w:rFonts w:cstheme="minorHAnsi"/>
                <w:noProof/>
              </w:rPr>
              <w:t>PROTOCOL APPROVAL (Cont.)</w:t>
            </w:r>
            <w:r w:rsidR="00D44C65">
              <w:rPr>
                <w:noProof/>
                <w:webHidden/>
              </w:rPr>
              <w:tab/>
            </w:r>
            <w:r w:rsidR="00D44C65">
              <w:rPr>
                <w:noProof/>
                <w:webHidden/>
              </w:rPr>
              <w:fldChar w:fldCharType="begin"/>
            </w:r>
            <w:r w:rsidR="00D44C65">
              <w:rPr>
                <w:noProof/>
                <w:webHidden/>
              </w:rPr>
              <w:instrText xml:space="preserve"> PAGEREF _Toc489888038 \h </w:instrText>
            </w:r>
            <w:r w:rsidR="00D44C65">
              <w:rPr>
                <w:noProof/>
                <w:webHidden/>
              </w:rPr>
            </w:r>
            <w:r w:rsidR="00D44C65">
              <w:rPr>
                <w:noProof/>
                <w:webHidden/>
              </w:rPr>
              <w:fldChar w:fldCharType="separate"/>
            </w:r>
            <w:r w:rsidR="00D44C65">
              <w:rPr>
                <w:noProof/>
                <w:webHidden/>
              </w:rPr>
              <w:t>11</w:t>
            </w:r>
            <w:r w:rsidR="00D44C65">
              <w:rPr>
                <w:noProof/>
                <w:webHidden/>
              </w:rPr>
              <w:fldChar w:fldCharType="end"/>
            </w:r>
          </w:hyperlink>
        </w:p>
        <w:p w14:paraId="13971831" w14:textId="77777777" w:rsidR="00D44C65" w:rsidRDefault="00BA2754">
          <w:pPr>
            <w:pStyle w:val="TOC1"/>
            <w:tabs>
              <w:tab w:val="right" w:leader="dot" w:pos="9323"/>
            </w:tabs>
            <w:rPr>
              <w:noProof/>
              <w:lang w:val="en-AU" w:eastAsia="en-AU"/>
            </w:rPr>
          </w:pPr>
          <w:hyperlink w:anchor="_Toc489888039" w:history="1">
            <w:r w:rsidR="00D44C65" w:rsidRPr="00BB67FB">
              <w:rPr>
                <w:rStyle w:val="Hyperlink"/>
                <w:rFonts w:cstheme="minorHAnsi"/>
                <w:noProof/>
              </w:rPr>
              <w:t>LIST OF ABBREVIATIONS</w:t>
            </w:r>
            <w:r w:rsidR="00D44C65">
              <w:rPr>
                <w:noProof/>
                <w:webHidden/>
              </w:rPr>
              <w:tab/>
            </w:r>
            <w:r w:rsidR="00D44C65">
              <w:rPr>
                <w:noProof/>
                <w:webHidden/>
              </w:rPr>
              <w:fldChar w:fldCharType="begin"/>
            </w:r>
            <w:r w:rsidR="00D44C65">
              <w:rPr>
                <w:noProof/>
                <w:webHidden/>
              </w:rPr>
              <w:instrText xml:space="preserve"> PAGEREF _Toc489888039 \h </w:instrText>
            </w:r>
            <w:r w:rsidR="00D44C65">
              <w:rPr>
                <w:noProof/>
                <w:webHidden/>
              </w:rPr>
            </w:r>
            <w:r w:rsidR="00D44C65">
              <w:rPr>
                <w:noProof/>
                <w:webHidden/>
              </w:rPr>
              <w:fldChar w:fldCharType="separate"/>
            </w:r>
            <w:r w:rsidR="00D44C65">
              <w:rPr>
                <w:noProof/>
                <w:webHidden/>
              </w:rPr>
              <w:t>12</w:t>
            </w:r>
            <w:r w:rsidR="00D44C65">
              <w:rPr>
                <w:noProof/>
                <w:webHidden/>
              </w:rPr>
              <w:fldChar w:fldCharType="end"/>
            </w:r>
          </w:hyperlink>
        </w:p>
        <w:p w14:paraId="2687C620" w14:textId="77777777" w:rsidR="00D44C65" w:rsidRDefault="00BA2754">
          <w:pPr>
            <w:pStyle w:val="TOC1"/>
            <w:tabs>
              <w:tab w:val="right" w:leader="dot" w:pos="9323"/>
            </w:tabs>
            <w:rPr>
              <w:noProof/>
              <w:lang w:val="en-AU" w:eastAsia="en-AU"/>
            </w:rPr>
          </w:pPr>
          <w:hyperlink w:anchor="_Toc489888040" w:history="1">
            <w:r w:rsidR="00D44C65" w:rsidRPr="00BB67FB">
              <w:rPr>
                <w:rStyle w:val="Hyperlink"/>
                <w:rFonts w:cstheme="minorHAnsi"/>
                <w:noProof/>
              </w:rPr>
              <w:t>TRIAL SUMMARY</w:t>
            </w:r>
            <w:r w:rsidR="00D44C65">
              <w:rPr>
                <w:noProof/>
                <w:webHidden/>
              </w:rPr>
              <w:tab/>
            </w:r>
            <w:r w:rsidR="00D44C65">
              <w:rPr>
                <w:noProof/>
                <w:webHidden/>
              </w:rPr>
              <w:fldChar w:fldCharType="begin"/>
            </w:r>
            <w:r w:rsidR="00D44C65">
              <w:rPr>
                <w:noProof/>
                <w:webHidden/>
              </w:rPr>
              <w:instrText xml:space="preserve"> PAGEREF _Toc489888040 \h </w:instrText>
            </w:r>
            <w:r w:rsidR="00D44C65">
              <w:rPr>
                <w:noProof/>
                <w:webHidden/>
              </w:rPr>
            </w:r>
            <w:r w:rsidR="00D44C65">
              <w:rPr>
                <w:noProof/>
                <w:webHidden/>
              </w:rPr>
              <w:fldChar w:fldCharType="separate"/>
            </w:r>
            <w:r w:rsidR="00D44C65">
              <w:rPr>
                <w:noProof/>
                <w:webHidden/>
              </w:rPr>
              <w:t>14</w:t>
            </w:r>
            <w:r w:rsidR="00D44C65">
              <w:rPr>
                <w:noProof/>
                <w:webHidden/>
              </w:rPr>
              <w:fldChar w:fldCharType="end"/>
            </w:r>
          </w:hyperlink>
        </w:p>
        <w:p w14:paraId="41C8878D" w14:textId="77777777" w:rsidR="00D44C65" w:rsidRDefault="00BA2754">
          <w:pPr>
            <w:pStyle w:val="TOC1"/>
            <w:tabs>
              <w:tab w:val="right" w:leader="dot" w:pos="9323"/>
            </w:tabs>
            <w:rPr>
              <w:noProof/>
              <w:lang w:val="en-AU" w:eastAsia="en-AU"/>
            </w:rPr>
          </w:pPr>
          <w:hyperlink w:anchor="_Toc489888041" w:history="1">
            <w:r w:rsidR="00D44C65" w:rsidRPr="00BB67FB">
              <w:rPr>
                <w:rStyle w:val="Hyperlink"/>
                <w:rFonts w:cstheme="minorHAnsi"/>
                <w:noProof/>
              </w:rPr>
              <w:t>LAY SUMMARY</w:t>
            </w:r>
            <w:r w:rsidR="00D44C65">
              <w:rPr>
                <w:noProof/>
                <w:webHidden/>
              </w:rPr>
              <w:tab/>
            </w:r>
            <w:r w:rsidR="00D44C65">
              <w:rPr>
                <w:noProof/>
                <w:webHidden/>
              </w:rPr>
              <w:fldChar w:fldCharType="begin"/>
            </w:r>
            <w:r w:rsidR="00D44C65">
              <w:rPr>
                <w:noProof/>
                <w:webHidden/>
              </w:rPr>
              <w:instrText xml:space="preserve"> PAGEREF _Toc489888041 \h </w:instrText>
            </w:r>
            <w:r w:rsidR="00D44C65">
              <w:rPr>
                <w:noProof/>
                <w:webHidden/>
              </w:rPr>
            </w:r>
            <w:r w:rsidR="00D44C65">
              <w:rPr>
                <w:noProof/>
                <w:webHidden/>
              </w:rPr>
              <w:fldChar w:fldCharType="separate"/>
            </w:r>
            <w:r w:rsidR="00D44C65">
              <w:rPr>
                <w:noProof/>
                <w:webHidden/>
              </w:rPr>
              <w:t>16</w:t>
            </w:r>
            <w:r w:rsidR="00D44C65">
              <w:rPr>
                <w:noProof/>
                <w:webHidden/>
              </w:rPr>
              <w:fldChar w:fldCharType="end"/>
            </w:r>
          </w:hyperlink>
        </w:p>
        <w:p w14:paraId="45050277" w14:textId="77777777" w:rsidR="00D44C65" w:rsidRDefault="00BA2754">
          <w:pPr>
            <w:pStyle w:val="TOC1"/>
            <w:tabs>
              <w:tab w:val="left" w:pos="440"/>
              <w:tab w:val="right" w:leader="dot" w:pos="9323"/>
            </w:tabs>
            <w:rPr>
              <w:noProof/>
              <w:lang w:val="en-AU" w:eastAsia="en-AU"/>
            </w:rPr>
          </w:pPr>
          <w:hyperlink w:anchor="_Toc489888042" w:history="1">
            <w:r w:rsidR="00D44C65" w:rsidRPr="00BB67FB">
              <w:rPr>
                <w:rStyle w:val="Hyperlink"/>
                <w:rFonts w:cstheme="minorHAnsi"/>
                <w:b/>
                <w:noProof/>
              </w:rPr>
              <w:t>1</w:t>
            </w:r>
            <w:r w:rsidR="00D44C65">
              <w:rPr>
                <w:noProof/>
                <w:lang w:val="en-AU" w:eastAsia="en-AU"/>
              </w:rPr>
              <w:tab/>
            </w:r>
            <w:r w:rsidR="00D44C65" w:rsidRPr="00BB67FB">
              <w:rPr>
                <w:rStyle w:val="Hyperlink"/>
                <w:rFonts w:cstheme="minorHAnsi"/>
                <w:b/>
                <w:noProof/>
              </w:rPr>
              <w:t>INTRODUCTION</w:t>
            </w:r>
            <w:r w:rsidR="00D44C65">
              <w:rPr>
                <w:noProof/>
                <w:webHidden/>
              </w:rPr>
              <w:tab/>
            </w:r>
            <w:r w:rsidR="00D44C65">
              <w:rPr>
                <w:noProof/>
                <w:webHidden/>
              </w:rPr>
              <w:fldChar w:fldCharType="begin"/>
            </w:r>
            <w:r w:rsidR="00D44C65">
              <w:rPr>
                <w:noProof/>
                <w:webHidden/>
              </w:rPr>
              <w:instrText xml:space="preserve"> PAGEREF _Toc489888042 \h </w:instrText>
            </w:r>
            <w:r w:rsidR="00D44C65">
              <w:rPr>
                <w:noProof/>
                <w:webHidden/>
              </w:rPr>
            </w:r>
            <w:r w:rsidR="00D44C65">
              <w:rPr>
                <w:noProof/>
                <w:webHidden/>
              </w:rPr>
              <w:fldChar w:fldCharType="separate"/>
            </w:r>
            <w:r w:rsidR="00D44C65">
              <w:rPr>
                <w:noProof/>
                <w:webHidden/>
              </w:rPr>
              <w:t>17</w:t>
            </w:r>
            <w:r w:rsidR="00D44C65">
              <w:rPr>
                <w:noProof/>
                <w:webHidden/>
              </w:rPr>
              <w:fldChar w:fldCharType="end"/>
            </w:r>
          </w:hyperlink>
        </w:p>
        <w:p w14:paraId="6C3C6BB1" w14:textId="77777777" w:rsidR="00D44C65" w:rsidRDefault="00BA2754">
          <w:pPr>
            <w:pStyle w:val="TOC2"/>
            <w:tabs>
              <w:tab w:val="left" w:pos="880"/>
              <w:tab w:val="right" w:leader="dot" w:pos="9323"/>
            </w:tabs>
            <w:rPr>
              <w:noProof/>
              <w:lang w:val="en-AU" w:eastAsia="en-AU"/>
            </w:rPr>
          </w:pPr>
          <w:hyperlink w:anchor="_Toc489888043" w:history="1">
            <w:r w:rsidR="00D44C65" w:rsidRPr="00BB67FB">
              <w:rPr>
                <w:rStyle w:val="Hyperlink"/>
                <w:rFonts w:cstheme="minorHAnsi"/>
                <w:b/>
                <w:noProof/>
              </w:rPr>
              <w:t>1.1</w:t>
            </w:r>
            <w:r w:rsidR="00D44C65">
              <w:rPr>
                <w:noProof/>
                <w:lang w:val="en-AU" w:eastAsia="en-AU"/>
              </w:rPr>
              <w:tab/>
            </w:r>
            <w:r w:rsidR="00D44C65" w:rsidRPr="00BB67FB">
              <w:rPr>
                <w:rStyle w:val="Hyperlink"/>
                <w:rFonts w:cstheme="minorHAnsi"/>
                <w:b/>
                <w:noProof/>
              </w:rPr>
              <w:t>BACKGROUND</w:t>
            </w:r>
            <w:r w:rsidR="00D44C65">
              <w:rPr>
                <w:noProof/>
                <w:webHidden/>
              </w:rPr>
              <w:tab/>
            </w:r>
            <w:r w:rsidR="00D44C65">
              <w:rPr>
                <w:noProof/>
                <w:webHidden/>
              </w:rPr>
              <w:fldChar w:fldCharType="begin"/>
            </w:r>
            <w:r w:rsidR="00D44C65">
              <w:rPr>
                <w:noProof/>
                <w:webHidden/>
              </w:rPr>
              <w:instrText xml:space="preserve"> PAGEREF _Toc489888043 \h </w:instrText>
            </w:r>
            <w:r w:rsidR="00D44C65">
              <w:rPr>
                <w:noProof/>
                <w:webHidden/>
              </w:rPr>
            </w:r>
            <w:r w:rsidR="00D44C65">
              <w:rPr>
                <w:noProof/>
                <w:webHidden/>
              </w:rPr>
              <w:fldChar w:fldCharType="separate"/>
            </w:r>
            <w:r w:rsidR="00D44C65">
              <w:rPr>
                <w:noProof/>
                <w:webHidden/>
              </w:rPr>
              <w:t>17</w:t>
            </w:r>
            <w:r w:rsidR="00D44C65">
              <w:rPr>
                <w:noProof/>
                <w:webHidden/>
              </w:rPr>
              <w:fldChar w:fldCharType="end"/>
            </w:r>
          </w:hyperlink>
        </w:p>
        <w:p w14:paraId="64FC44AF" w14:textId="77777777" w:rsidR="00D44C65" w:rsidRDefault="00BA2754">
          <w:pPr>
            <w:pStyle w:val="TOC3"/>
            <w:tabs>
              <w:tab w:val="left" w:pos="1320"/>
              <w:tab w:val="right" w:leader="dot" w:pos="9323"/>
            </w:tabs>
            <w:rPr>
              <w:noProof/>
              <w:lang w:val="en-AU" w:eastAsia="en-AU"/>
            </w:rPr>
          </w:pPr>
          <w:hyperlink w:anchor="_Toc489888044" w:history="1">
            <w:r w:rsidR="00D44C65" w:rsidRPr="00BB67FB">
              <w:rPr>
                <w:rStyle w:val="Hyperlink"/>
                <w:rFonts w:cstheme="minorHAnsi"/>
                <w:b/>
                <w:noProof/>
              </w:rPr>
              <w:t>1.1.1</w:t>
            </w:r>
            <w:r w:rsidR="00D44C65">
              <w:rPr>
                <w:noProof/>
                <w:lang w:val="en-AU" w:eastAsia="en-AU"/>
              </w:rPr>
              <w:tab/>
            </w:r>
            <w:r w:rsidR="00D44C65" w:rsidRPr="00BB67FB">
              <w:rPr>
                <w:rStyle w:val="Hyperlink"/>
                <w:rFonts w:cstheme="minorHAnsi"/>
                <w:b/>
                <w:noProof/>
              </w:rPr>
              <w:t>Ectopic pregnancy</w:t>
            </w:r>
            <w:r w:rsidR="00D44C65">
              <w:rPr>
                <w:noProof/>
                <w:webHidden/>
              </w:rPr>
              <w:tab/>
            </w:r>
            <w:r w:rsidR="00D44C65">
              <w:rPr>
                <w:noProof/>
                <w:webHidden/>
              </w:rPr>
              <w:fldChar w:fldCharType="begin"/>
            </w:r>
            <w:r w:rsidR="00D44C65">
              <w:rPr>
                <w:noProof/>
                <w:webHidden/>
              </w:rPr>
              <w:instrText xml:space="preserve"> PAGEREF _Toc489888044 \h </w:instrText>
            </w:r>
            <w:r w:rsidR="00D44C65">
              <w:rPr>
                <w:noProof/>
                <w:webHidden/>
              </w:rPr>
            </w:r>
            <w:r w:rsidR="00D44C65">
              <w:rPr>
                <w:noProof/>
                <w:webHidden/>
              </w:rPr>
              <w:fldChar w:fldCharType="separate"/>
            </w:r>
            <w:r w:rsidR="00D44C65">
              <w:rPr>
                <w:noProof/>
                <w:webHidden/>
              </w:rPr>
              <w:t>17</w:t>
            </w:r>
            <w:r w:rsidR="00D44C65">
              <w:rPr>
                <w:noProof/>
                <w:webHidden/>
              </w:rPr>
              <w:fldChar w:fldCharType="end"/>
            </w:r>
          </w:hyperlink>
        </w:p>
        <w:p w14:paraId="3CE3D041" w14:textId="77777777" w:rsidR="00D44C65" w:rsidRDefault="00BA2754">
          <w:pPr>
            <w:pStyle w:val="TOC3"/>
            <w:tabs>
              <w:tab w:val="left" w:pos="1320"/>
              <w:tab w:val="right" w:leader="dot" w:pos="9323"/>
            </w:tabs>
            <w:rPr>
              <w:noProof/>
              <w:lang w:val="en-AU" w:eastAsia="en-AU"/>
            </w:rPr>
          </w:pPr>
          <w:hyperlink w:anchor="_Toc489888045" w:history="1">
            <w:r w:rsidR="00D44C65" w:rsidRPr="00BB67FB">
              <w:rPr>
                <w:rStyle w:val="Hyperlink"/>
                <w:rFonts w:cstheme="minorHAnsi"/>
                <w:b/>
                <w:noProof/>
              </w:rPr>
              <w:t>1.1.2</w:t>
            </w:r>
            <w:r w:rsidR="00D44C65">
              <w:rPr>
                <w:noProof/>
                <w:lang w:val="en-AU" w:eastAsia="en-AU"/>
              </w:rPr>
              <w:tab/>
            </w:r>
            <w:r w:rsidR="00D44C65" w:rsidRPr="00BB67FB">
              <w:rPr>
                <w:rStyle w:val="Hyperlink"/>
                <w:rFonts w:cstheme="minorHAnsi"/>
                <w:b/>
                <w:noProof/>
              </w:rPr>
              <w:t>Current management</w:t>
            </w:r>
            <w:r w:rsidR="00D44C65">
              <w:rPr>
                <w:noProof/>
                <w:webHidden/>
              </w:rPr>
              <w:tab/>
            </w:r>
            <w:r w:rsidR="00D44C65">
              <w:rPr>
                <w:noProof/>
                <w:webHidden/>
              </w:rPr>
              <w:fldChar w:fldCharType="begin"/>
            </w:r>
            <w:r w:rsidR="00D44C65">
              <w:rPr>
                <w:noProof/>
                <w:webHidden/>
              </w:rPr>
              <w:instrText xml:space="preserve"> PAGEREF _Toc489888045 \h </w:instrText>
            </w:r>
            <w:r w:rsidR="00D44C65">
              <w:rPr>
                <w:noProof/>
                <w:webHidden/>
              </w:rPr>
            </w:r>
            <w:r w:rsidR="00D44C65">
              <w:rPr>
                <w:noProof/>
                <w:webHidden/>
              </w:rPr>
              <w:fldChar w:fldCharType="separate"/>
            </w:r>
            <w:r w:rsidR="00D44C65">
              <w:rPr>
                <w:noProof/>
                <w:webHidden/>
              </w:rPr>
              <w:t>17</w:t>
            </w:r>
            <w:r w:rsidR="00D44C65">
              <w:rPr>
                <w:noProof/>
                <w:webHidden/>
              </w:rPr>
              <w:fldChar w:fldCharType="end"/>
            </w:r>
          </w:hyperlink>
        </w:p>
        <w:p w14:paraId="0AB92FEC" w14:textId="77777777" w:rsidR="00D44C65" w:rsidRDefault="00BA2754">
          <w:pPr>
            <w:pStyle w:val="TOC3"/>
            <w:tabs>
              <w:tab w:val="left" w:pos="1320"/>
              <w:tab w:val="right" w:leader="dot" w:pos="9323"/>
            </w:tabs>
            <w:rPr>
              <w:noProof/>
              <w:lang w:val="en-AU" w:eastAsia="en-AU"/>
            </w:rPr>
          </w:pPr>
          <w:hyperlink w:anchor="_Toc489888046" w:history="1">
            <w:r w:rsidR="00D44C65" w:rsidRPr="00BB67FB">
              <w:rPr>
                <w:rStyle w:val="Hyperlink"/>
                <w:rFonts w:cstheme="minorHAnsi"/>
                <w:b/>
                <w:noProof/>
              </w:rPr>
              <w:t>1.1.3</w:t>
            </w:r>
            <w:r w:rsidR="00D44C65">
              <w:rPr>
                <w:noProof/>
                <w:lang w:val="en-AU" w:eastAsia="en-AU"/>
              </w:rPr>
              <w:tab/>
            </w:r>
            <w:r w:rsidR="00D44C65" w:rsidRPr="00BB67FB">
              <w:rPr>
                <w:rStyle w:val="Hyperlink"/>
                <w:rFonts w:cstheme="minorHAnsi"/>
                <w:b/>
                <w:noProof/>
              </w:rPr>
              <w:t>Developing a better medical treatment for ectopic pregnancy</w:t>
            </w:r>
            <w:r w:rsidR="00D44C65">
              <w:rPr>
                <w:noProof/>
                <w:webHidden/>
              </w:rPr>
              <w:tab/>
            </w:r>
            <w:r w:rsidR="00D44C65">
              <w:rPr>
                <w:noProof/>
                <w:webHidden/>
              </w:rPr>
              <w:fldChar w:fldCharType="begin"/>
            </w:r>
            <w:r w:rsidR="00D44C65">
              <w:rPr>
                <w:noProof/>
                <w:webHidden/>
              </w:rPr>
              <w:instrText xml:space="preserve"> PAGEREF _Toc489888046 \h </w:instrText>
            </w:r>
            <w:r w:rsidR="00D44C65">
              <w:rPr>
                <w:noProof/>
                <w:webHidden/>
              </w:rPr>
            </w:r>
            <w:r w:rsidR="00D44C65">
              <w:rPr>
                <w:noProof/>
                <w:webHidden/>
              </w:rPr>
              <w:fldChar w:fldCharType="separate"/>
            </w:r>
            <w:r w:rsidR="00D44C65">
              <w:rPr>
                <w:noProof/>
                <w:webHidden/>
              </w:rPr>
              <w:t>18</w:t>
            </w:r>
            <w:r w:rsidR="00D44C65">
              <w:rPr>
                <w:noProof/>
                <w:webHidden/>
              </w:rPr>
              <w:fldChar w:fldCharType="end"/>
            </w:r>
          </w:hyperlink>
        </w:p>
        <w:p w14:paraId="7D703032" w14:textId="77777777" w:rsidR="00D44C65" w:rsidRDefault="00BA2754">
          <w:pPr>
            <w:pStyle w:val="TOC2"/>
            <w:tabs>
              <w:tab w:val="left" w:pos="880"/>
              <w:tab w:val="right" w:leader="dot" w:pos="9323"/>
            </w:tabs>
            <w:rPr>
              <w:noProof/>
              <w:lang w:val="en-AU" w:eastAsia="en-AU"/>
            </w:rPr>
          </w:pPr>
          <w:hyperlink w:anchor="_Toc489888047" w:history="1">
            <w:r w:rsidR="00D44C65" w:rsidRPr="00BB67FB">
              <w:rPr>
                <w:rStyle w:val="Hyperlink"/>
                <w:rFonts w:cstheme="minorHAnsi"/>
                <w:b/>
                <w:noProof/>
              </w:rPr>
              <w:t>1.2</w:t>
            </w:r>
            <w:r w:rsidR="00D44C65">
              <w:rPr>
                <w:noProof/>
                <w:lang w:val="en-AU" w:eastAsia="en-AU"/>
              </w:rPr>
              <w:tab/>
            </w:r>
            <w:r w:rsidR="00D44C65" w:rsidRPr="00BB67FB">
              <w:rPr>
                <w:rStyle w:val="Hyperlink"/>
                <w:rFonts w:cstheme="minorHAnsi"/>
                <w:b/>
                <w:noProof/>
              </w:rPr>
              <w:t>RATIONALE FOR THE STUDY</w:t>
            </w:r>
            <w:r w:rsidR="00D44C65">
              <w:rPr>
                <w:noProof/>
                <w:webHidden/>
              </w:rPr>
              <w:tab/>
            </w:r>
            <w:r w:rsidR="00D44C65">
              <w:rPr>
                <w:noProof/>
                <w:webHidden/>
              </w:rPr>
              <w:fldChar w:fldCharType="begin"/>
            </w:r>
            <w:r w:rsidR="00D44C65">
              <w:rPr>
                <w:noProof/>
                <w:webHidden/>
              </w:rPr>
              <w:instrText xml:space="preserve"> PAGEREF _Toc489888047 \h </w:instrText>
            </w:r>
            <w:r w:rsidR="00D44C65">
              <w:rPr>
                <w:noProof/>
                <w:webHidden/>
              </w:rPr>
            </w:r>
            <w:r w:rsidR="00D44C65">
              <w:rPr>
                <w:noProof/>
                <w:webHidden/>
              </w:rPr>
              <w:fldChar w:fldCharType="separate"/>
            </w:r>
            <w:r w:rsidR="00D44C65">
              <w:rPr>
                <w:noProof/>
                <w:webHidden/>
              </w:rPr>
              <w:t>18</w:t>
            </w:r>
            <w:r w:rsidR="00D44C65">
              <w:rPr>
                <w:noProof/>
                <w:webHidden/>
              </w:rPr>
              <w:fldChar w:fldCharType="end"/>
            </w:r>
          </w:hyperlink>
        </w:p>
        <w:p w14:paraId="53F5E899" w14:textId="77777777" w:rsidR="00D44C65" w:rsidRDefault="00BA2754">
          <w:pPr>
            <w:pStyle w:val="TOC3"/>
            <w:tabs>
              <w:tab w:val="left" w:pos="1320"/>
              <w:tab w:val="right" w:leader="dot" w:pos="9323"/>
            </w:tabs>
            <w:rPr>
              <w:noProof/>
              <w:lang w:val="en-AU" w:eastAsia="en-AU"/>
            </w:rPr>
          </w:pPr>
          <w:hyperlink w:anchor="_Toc489888048" w:history="1">
            <w:r w:rsidR="00D44C65" w:rsidRPr="00BB67FB">
              <w:rPr>
                <w:rStyle w:val="Hyperlink"/>
                <w:rFonts w:cstheme="minorHAnsi"/>
                <w:b/>
                <w:noProof/>
              </w:rPr>
              <w:t>1.2.1</w:t>
            </w:r>
            <w:r w:rsidR="00D44C65">
              <w:rPr>
                <w:noProof/>
                <w:lang w:val="en-AU" w:eastAsia="en-AU"/>
              </w:rPr>
              <w:tab/>
            </w:r>
            <w:r w:rsidR="00D44C65" w:rsidRPr="00BB67FB">
              <w:rPr>
                <w:rStyle w:val="Hyperlink"/>
                <w:rFonts w:cstheme="minorHAnsi"/>
                <w:b/>
                <w:noProof/>
              </w:rPr>
              <w:t>Potential new medical therapeutic option for ectopic pregnancy – vinorelbine</w:t>
            </w:r>
            <w:r w:rsidR="00D44C65">
              <w:rPr>
                <w:noProof/>
                <w:webHidden/>
              </w:rPr>
              <w:tab/>
            </w:r>
            <w:r w:rsidR="00D44C65">
              <w:rPr>
                <w:noProof/>
                <w:webHidden/>
              </w:rPr>
              <w:fldChar w:fldCharType="begin"/>
            </w:r>
            <w:r w:rsidR="00D44C65">
              <w:rPr>
                <w:noProof/>
                <w:webHidden/>
              </w:rPr>
              <w:instrText xml:space="preserve"> PAGEREF _Toc489888048 \h </w:instrText>
            </w:r>
            <w:r w:rsidR="00D44C65">
              <w:rPr>
                <w:noProof/>
                <w:webHidden/>
              </w:rPr>
            </w:r>
            <w:r w:rsidR="00D44C65">
              <w:rPr>
                <w:noProof/>
                <w:webHidden/>
              </w:rPr>
              <w:fldChar w:fldCharType="separate"/>
            </w:r>
            <w:r w:rsidR="00D44C65">
              <w:rPr>
                <w:noProof/>
                <w:webHidden/>
              </w:rPr>
              <w:t>18</w:t>
            </w:r>
            <w:r w:rsidR="00D44C65">
              <w:rPr>
                <w:noProof/>
                <w:webHidden/>
              </w:rPr>
              <w:fldChar w:fldCharType="end"/>
            </w:r>
          </w:hyperlink>
        </w:p>
        <w:p w14:paraId="1BE907C8" w14:textId="77777777" w:rsidR="00D44C65" w:rsidRDefault="00BA2754">
          <w:pPr>
            <w:pStyle w:val="TOC3"/>
            <w:tabs>
              <w:tab w:val="left" w:pos="1320"/>
              <w:tab w:val="right" w:leader="dot" w:pos="9323"/>
            </w:tabs>
            <w:rPr>
              <w:noProof/>
              <w:lang w:val="en-AU" w:eastAsia="en-AU"/>
            </w:rPr>
          </w:pPr>
          <w:hyperlink w:anchor="_Toc489888049" w:history="1">
            <w:r w:rsidR="00D44C65" w:rsidRPr="00BB67FB">
              <w:rPr>
                <w:rStyle w:val="Hyperlink"/>
                <w:rFonts w:cstheme="minorHAnsi"/>
                <w:b/>
                <w:noProof/>
              </w:rPr>
              <w:t>1.2.2</w:t>
            </w:r>
            <w:r w:rsidR="00D44C65">
              <w:rPr>
                <w:noProof/>
                <w:lang w:val="en-AU" w:eastAsia="en-AU"/>
              </w:rPr>
              <w:tab/>
            </w:r>
            <w:r w:rsidR="00D44C65" w:rsidRPr="00BB67FB">
              <w:rPr>
                <w:rStyle w:val="Hyperlink"/>
                <w:rFonts w:cstheme="minorHAnsi"/>
                <w:b/>
                <w:noProof/>
              </w:rPr>
              <w:t>Pre-clinical laboratory observations</w:t>
            </w:r>
            <w:r w:rsidR="00D44C65">
              <w:rPr>
                <w:noProof/>
                <w:webHidden/>
              </w:rPr>
              <w:tab/>
            </w:r>
            <w:r w:rsidR="00D44C65">
              <w:rPr>
                <w:noProof/>
                <w:webHidden/>
              </w:rPr>
              <w:fldChar w:fldCharType="begin"/>
            </w:r>
            <w:r w:rsidR="00D44C65">
              <w:rPr>
                <w:noProof/>
                <w:webHidden/>
              </w:rPr>
              <w:instrText xml:space="preserve"> PAGEREF _Toc489888049 \h </w:instrText>
            </w:r>
            <w:r w:rsidR="00D44C65">
              <w:rPr>
                <w:noProof/>
                <w:webHidden/>
              </w:rPr>
            </w:r>
            <w:r w:rsidR="00D44C65">
              <w:rPr>
                <w:noProof/>
                <w:webHidden/>
              </w:rPr>
              <w:fldChar w:fldCharType="separate"/>
            </w:r>
            <w:r w:rsidR="00D44C65">
              <w:rPr>
                <w:noProof/>
                <w:webHidden/>
              </w:rPr>
              <w:t>18</w:t>
            </w:r>
            <w:r w:rsidR="00D44C65">
              <w:rPr>
                <w:noProof/>
                <w:webHidden/>
              </w:rPr>
              <w:fldChar w:fldCharType="end"/>
            </w:r>
          </w:hyperlink>
        </w:p>
        <w:p w14:paraId="55DC4119" w14:textId="77777777" w:rsidR="00D44C65" w:rsidRDefault="00BA2754">
          <w:pPr>
            <w:pStyle w:val="TOC3"/>
            <w:tabs>
              <w:tab w:val="left" w:pos="1320"/>
              <w:tab w:val="right" w:leader="dot" w:pos="9323"/>
            </w:tabs>
            <w:rPr>
              <w:noProof/>
              <w:lang w:val="en-AU" w:eastAsia="en-AU"/>
            </w:rPr>
          </w:pPr>
          <w:hyperlink w:anchor="_Toc489888050" w:history="1">
            <w:r w:rsidR="00D44C65" w:rsidRPr="00BB67FB">
              <w:rPr>
                <w:rStyle w:val="Hyperlink"/>
                <w:rFonts w:cstheme="minorHAnsi"/>
                <w:b/>
                <w:noProof/>
              </w:rPr>
              <w:t>1.2.3</w:t>
            </w:r>
            <w:r w:rsidR="00D44C65">
              <w:rPr>
                <w:noProof/>
                <w:lang w:val="en-AU" w:eastAsia="en-AU"/>
              </w:rPr>
              <w:tab/>
            </w:r>
            <w:r w:rsidR="00D44C65" w:rsidRPr="00BB67FB">
              <w:rPr>
                <w:rStyle w:val="Hyperlink"/>
                <w:rFonts w:cstheme="minorHAnsi"/>
                <w:b/>
                <w:noProof/>
              </w:rPr>
              <w:t>Progressing the concept of vinorelbine as a potential treatment</w:t>
            </w:r>
            <w:r w:rsidR="00D44C65">
              <w:rPr>
                <w:noProof/>
                <w:webHidden/>
              </w:rPr>
              <w:tab/>
            </w:r>
            <w:r w:rsidR="00D44C65">
              <w:rPr>
                <w:noProof/>
                <w:webHidden/>
              </w:rPr>
              <w:fldChar w:fldCharType="begin"/>
            </w:r>
            <w:r w:rsidR="00D44C65">
              <w:rPr>
                <w:noProof/>
                <w:webHidden/>
              </w:rPr>
              <w:instrText xml:space="preserve"> PAGEREF _Toc489888050 \h </w:instrText>
            </w:r>
            <w:r w:rsidR="00D44C65">
              <w:rPr>
                <w:noProof/>
                <w:webHidden/>
              </w:rPr>
            </w:r>
            <w:r w:rsidR="00D44C65">
              <w:rPr>
                <w:noProof/>
                <w:webHidden/>
              </w:rPr>
              <w:fldChar w:fldCharType="separate"/>
            </w:r>
            <w:r w:rsidR="00D44C65">
              <w:rPr>
                <w:noProof/>
                <w:webHidden/>
              </w:rPr>
              <w:t>19</w:t>
            </w:r>
            <w:r w:rsidR="00D44C65">
              <w:rPr>
                <w:noProof/>
                <w:webHidden/>
              </w:rPr>
              <w:fldChar w:fldCharType="end"/>
            </w:r>
          </w:hyperlink>
        </w:p>
        <w:p w14:paraId="7DBA33D2" w14:textId="77777777" w:rsidR="00D44C65" w:rsidRDefault="00BA2754">
          <w:pPr>
            <w:pStyle w:val="TOC2"/>
            <w:tabs>
              <w:tab w:val="left" w:pos="880"/>
              <w:tab w:val="right" w:leader="dot" w:pos="9323"/>
            </w:tabs>
            <w:rPr>
              <w:noProof/>
              <w:lang w:val="en-AU" w:eastAsia="en-AU"/>
            </w:rPr>
          </w:pPr>
          <w:hyperlink w:anchor="_Toc489888051" w:history="1">
            <w:r w:rsidR="00D44C65" w:rsidRPr="00BB67FB">
              <w:rPr>
                <w:rStyle w:val="Hyperlink"/>
                <w:rFonts w:cstheme="minorHAnsi"/>
                <w:b/>
                <w:noProof/>
              </w:rPr>
              <w:t>1.3</w:t>
            </w:r>
            <w:r w:rsidR="00D44C65">
              <w:rPr>
                <w:noProof/>
                <w:lang w:val="en-AU" w:eastAsia="en-AU"/>
              </w:rPr>
              <w:tab/>
            </w:r>
            <w:r w:rsidR="00D44C65" w:rsidRPr="00BB67FB">
              <w:rPr>
                <w:rStyle w:val="Hyperlink"/>
                <w:rFonts w:cstheme="minorHAnsi"/>
                <w:b/>
                <w:noProof/>
              </w:rPr>
              <w:t>POTENTIAL RISKS TO PARTICIPANTS</w:t>
            </w:r>
            <w:r w:rsidR="00D44C65">
              <w:rPr>
                <w:noProof/>
                <w:webHidden/>
              </w:rPr>
              <w:tab/>
            </w:r>
            <w:r w:rsidR="00D44C65">
              <w:rPr>
                <w:noProof/>
                <w:webHidden/>
              </w:rPr>
              <w:fldChar w:fldCharType="begin"/>
            </w:r>
            <w:r w:rsidR="00D44C65">
              <w:rPr>
                <w:noProof/>
                <w:webHidden/>
              </w:rPr>
              <w:instrText xml:space="preserve"> PAGEREF _Toc489888051 \h </w:instrText>
            </w:r>
            <w:r w:rsidR="00D44C65">
              <w:rPr>
                <w:noProof/>
                <w:webHidden/>
              </w:rPr>
            </w:r>
            <w:r w:rsidR="00D44C65">
              <w:rPr>
                <w:noProof/>
                <w:webHidden/>
              </w:rPr>
              <w:fldChar w:fldCharType="separate"/>
            </w:r>
            <w:r w:rsidR="00D44C65">
              <w:rPr>
                <w:noProof/>
                <w:webHidden/>
              </w:rPr>
              <w:t>19</w:t>
            </w:r>
            <w:r w:rsidR="00D44C65">
              <w:rPr>
                <w:noProof/>
                <w:webHidden/>
              </w:rPr>
              <w:fldChar w:fldCharType="end"/>
            </w:r>
          </w:hyperlink>
        </w:p>
        <w:p w14:paraId="6B62F406" w14:textId="77777777" w:rsidR="00D44C65" w:rsidRDefault="00BA2754">
          <w:pPr>
            <w:pStyle w:val="TOC3"/>
            <w:tabs>
              <w:tab w:val="left" w:pos="1320"/>
              <w:tab w:val="right" w:leader="dot" w:pos="9323"/>
            </w:tabs>
            <w:rPr>
              <w:noProof/>
              <w:lang w:val="en-AU" w:eastAsia="en-AU"/>
            </w:rPr>
          </w:pPr>
          <w:hyperlink w:anchor="_Toc489888052" w:history="1">
            <w:r w:rsidR="00D44C65" w:rsidRPr="00BB67FB">
              <w:rPr>
                <w:rStyle w:val="Hyperlink"/>
                <w:rFonts w:cstheme="minorHAnsi"/>
                <w:b/>
                <w:noProof/>
              </w:rPr>
              <w:t>1.3.1</w:t>
            </w:r>
            <w:r w:rsidR="00D44C65">
              <w:rPr>
                <w:noProof/>
                <w:lang w:val="en-AU" w:eastAsia="en-AU"/>
              </w:rPr>
              <w:tab/>
            </w:r>
            <w:r w:rsidR="00D44C65" w:rsidRPr="00BB67FB">
              <w:rPr>
                <w:rStyle w:val="Hyperlink"/>
                <w:rFonts w:cstheme="minorHAnsi"/>
                <w:b/>
                <w:noProof/>
              </w:rPr>
              <w:t>Possible maternal risks</w:t>
            </w:r>
            <w:r w:rsidR="00D44C65">
              <w:rPr>
                <w:noProof/>
                <w:webHidden/>
              </w:rPr>
              <w:tab/>
            </w:r>
            <w:r w:rsidR="00D44C65">
              <w:rPr>
                <w:noProof/>
                <w:webHidden/>
              </w:rPr>
              <w:fldChar w:fldCharType="begin"/>
            </w:r>
            <w:r w:rsidR="00D44C65">
              <w:rPr>
                <w:noProof/>
                <w:webHidden/>
              </w:rPr>
              <w:instrText xml:space="preserve"> PAGEREF _Toc489888052 \h </w:instrText>
            </w:r>
            <w:r w:rsidR="00D44C65">
              <w:rPr>
                <w:noProof/>
                <w:webHidden/>
              </w:rPr>
            </w:r>
            <w:r w:rsidR="00D44C65">
              <w:rPr>
                <w:noProof/>
                <w:webHidden/>
              </w:rPr>
              <w:fldChar w:fldCharType="separate"/>
            </w:r>
            <w:r w:rsidR="00D44C65">
              <w:rPr>
                <w:noProof/>
                <w:webHidden/>
              </w:rPr>
              <w:t>19</w:t>
            </w:r>
            <w:r w:rsidR="00D44C65">
              <w:rPr>
                <w:noProof/>
                <w:webHidden/>
              </w:rPr>
              <w:fldChar w:fldCharType="end"/>
            </w:r>
          </w:hyperlink>
        </w:p>
        <w:p w14:paraId="4E388A3B" w14:textId="77777777" w:rsidR="00D44C65" w:rsidRDefault="00BA2754">
          <w:pPr>
            <w:pStyle w:val="TOC3"/>
            <w:tabs>
              <w:tab w:val="left" w:pos="1320"/>
              <w:tab w:val="right" w:leader="dot" w:pos="9323"/>
            </w:tabs>
            <w:rPr>
              <w:noProof/>
              <w:lang w:val="en-AU" w:eastAsia="en-AU"/>
            </w:rPr>
          </w:pPr>
          <w:hyperlink w:anchor="_Toc489888053" w:history="1">
            <w:r w:rsidR="00D44C65" w:rsidRPr="00BB67FB">
              <w:rPr>
                <w:rStyle w:val="Hyperlink"/>
                <w:rFonts w:cstheme="minorHAnsi"/>
                <w:b/>
                <w:noProof/>
              </w:rPr>
              <w:t>1.3.2</w:t>
            </w:r>
            <w:r w:rsidR="00D44C65">
              <w:rPr>
                <w:noProof/>
                <w:lang w:val="en-AU" w:eastAsia="en-AU"/>
              </w:rPr>
              <w:tab/>
            </w:r>
            <w:r w:rsidR="00D44C65" w:rsidRPr="00BB67FB">
              <w:rPr>
                <w:rStyle w:val="Hyperlink"/>
                <w:rFonts w:cstheme="minorHAnsi"/>
                <w:b/>
                <w:noProof/>
              </w:rPr>
              <w:t>Possible fetal risks (subsequent pregnancies)</w:t>
            </w:r>
            <w:r w:rsidR="00D44C65">
              <w:rPr>
                <w:noProof/>
                <w:webHidden/>
              </w:rPr>
              <w:tab/>
            </w:r>
            <w:r w:rsidR="00D44C65">
              <w:rPr>
                <w:noProof/>
                <w:webHidden/>
              </w:rPr>
              <w:fldChar w:fldCharType="begin"/>
            </w:r>
            <w:r w:rsidR="00D44C65">
              <w:rPr>
                <w:noProof/>
                <w:webHidden/>
              </w:rPr>
              <w:instrText xml:space="preserve"> PAGEREF _Toc489888053 \h </w:instrText>
            </w:r>
            <w:r w:rsidR="00D44C65">
              <w:rPr>
                <w:noProof/>
                <w:webHidden/>
              </w:rPr>
            </w:r>
            <w:r w:rsidR="00D44C65">
              <w:rPr>
                <w:noProof/>
                <w:webHidden/>
              </w:rPr>
              <w:fldChar w:fldCharType="separate"/>
            </w:r>
            <w:r w:rsidR="00D44C65">
              <w:rPr>
                <w:noProof/>
                <w:webHidden/>
              </w:rPr>
              <w:t>20</w:t>
            </w:r>
            <w:r w:rsidR="00D44C65">
              <w:rPr>
                <w:noProof/>
                <w:webHidden/>
              </w:rPr>
              <w:fldChar w:fldCharType="end"/>
            </w:r>
          </w:hyperlink>
        </w:p>
        <w:p w14:paraId="6A1BE39B" w14:textId="77777777" w:rsidR="00D44C65" w:rsidRDefault="00BA2754">
          <w:pPr>
            <w:pStyle w:val="TOC2"/>
            <w:tabs>
              <w:tab w:val="left" w:pos="880"/>
              <w:tab w:val="right" w:leader="dot" w:pos="9323"/>
            </w:tabs>
            <w:rPr>
              <w:noProof/>
              <w:lang w:val="en-AU" w:eastAsia="en-AU"/>
            </w:rPr>
          </w:pPr>
          <w:hyperlink w:anchor="_Toc489888054" w:history="1">
            <w:r w:rsidR="00D44C65" w:rsidRPr="00BB67FB">
              <w:rPr>
                <w:rStyle w:val="Hyperlink"/>
                <w:rFonts w:cstheme="minorHAnsi"/>
                <w:b/>
                <w:noProof/>
              </w:rPr>
              <w:t>1.4</w:t>
            </w:r>
            <w:r w:rsidR="00D44C65">
              <w:rPr>
                <w:noProof/>
                <w:lang w:val="en-AU" w:eastAsia="en-AU"/>
              </w:rPr>
              <w:tab/>
            </w:r>
            <w:r w:rsidR="00D44C65" w:rsidRPr="00BB67FB">
              <w:rPr>
                <w:rStyle w:val="Hyperlink"/>
                <w:rFonts w:cstheme="minorHAnsi"/>
                <w:b/>
                <w:noProof/>
              </w:rPr>
              <w:t>POTENTIAL BENEFITS</w:t>
            </w:r>
            <w:r w:rsidR="00D44C65">
              <w:rPr>
                <w:noProof/>
                <w:webHidden/>
              </w:rPr>
              <w:tab/>
            </w:r>
            <w:r w:rsidR="00D44C65">
              <w:rPr>
                <w:noProof/>
                <w:webHidden/>
              </w:rPr>
              <w:fldChar w:fldCharType="begin"/>
            </w:r>
            <w:r w:rsidR="00D44C65">
              <w:rPr>
                <w:noProof/>
                <w:webHidden/>
              </w:rPr>
              <w:instrText xml:space="preserve"> PAGEREF _Toc489888054 \h </w:instrText>
            </w:r>
            <w:r w:rsidR="00D44C65">
              <w:rPr>
                <w:noProof/>
                <w:webHidden/>
              </w:rPr>
            </w:r>
            <w:r w:rsidR="00D44C65">
              <w:rPr>
                <w:noProof/>
                <w:webHidden/>
              </w:rPr>
              <w:fldChar w:fldCharType="separate"/>
            </w:r>
            <w:r w:rsidR="00D44C65">
              <w:rPr>
                <w:noProof/>
                <w:webHidden/>
              </w:rPr>
              <w:t>20</w:t>
            </w:r>
            <w:r w:rsidR="00D44C65">
              <w:rPr>
                <w:noProof/>
                <w:webHidden/>
              </w:rPr>
              <w:fldChar w:fldCharType="end"/>
            </w:r>
          </w:hyperlink>
        </w:p>
        <w:p w14:paraId="4AF799E8" w14:textId="77777777" w:rsidR="00D44C65" w:rsidRDefault="00BA2754">
          <w:pPr>
            <w:pStyle w:val="TOC3"/>
            <w:tabs>
              <w:tab w:val="left" w:pos="1320"/>
              <w:tab w:val="right" w:leader="dot" w:pos="9323"/>
            </w:tabs>
            <w:rPr>
              <w:noProof/>
              <w:lang w:val="en-AU" w:eastAsia="en-AU"/>
            </w:rPr>
          </w:pPr>
          <w:hyperlink w:anchor="_Toc489888055" w:history="1">
            <w:r w:rsidR="00D44C65" w:rsidRPr="00BB67FB">
              <w:rPr>
                <w:rStyle w:val="Hyperlink"/>
                <w:rFonts w:cstheme="minorHAnsi"/>
                <w:b/>
                <w:noProof/>
              </w:rPr>
              <w:t>1.4.1</w:t>
            </w:r>
            <w:r w:rsidR="00D44C65">
              <w:rPr>
                <w:noProof/>
                <w:lang w:val="en-AU" w:eastAsia="en-AU"/>
              </w:rPr>
              <w:tab/>
            </w:r>
            <w:r w:rsidR="00D44C65" w:rsidRPr="00BB67FB">
              <w:rPr>
                <w:rStyle w:val="Hyperlink"/>
                <w:rFonts w:cstheme="minorHAnsi"/>
                <w:b/>
                <w:noProof/>
              </w:rPr>
              <w:t>Safe, effective treatment; better health outcomes for women</w:t>
            </w:r>
            <w:r w:rsidR="00D44C65">
              <w:rPr>
                <w:noProof/>
                <w:webHidden/>
              </w:rPr>
              <w:tab/>
            </w:r>
            <w:r w:rsidR="00D44C65">
              <w:rPr>
                <w:noProof/>
                <w:webHidden/>
              </w:rPr>
              <w:fldChar w:fldCharType="begin"/>
            </w:r>
            <w:r w:rsidR="00D44C65">
              <w:rPr>
                <w:noProof/>
                <w:webHidden/>
              </w:rPr>
              <w:instrText xml:space="preserve"> PAGEREF _Toc489888055 \h </w:instrText>
            </w:r>
            <w:r w:rsidR="00D44C65">
              <w:rPr>
                <w:noProof/>
                <w:webHidden/>
              </w:rPr>
            </w:r>
            <w:r w:rsidR="00D44C65">
              <w:rPr>
                <w:noProof/>
                <w:webHidden/>
              </w:rPr>
              <w:fldChar w:fldCharType="separate"/>
            </w:r>
            <w:r w:rsidR="00D44C65">
              <w:rPr>
                <w:noProof/>
                <w:webHidden/>
              </w:rPr>
              <w:t>20</w:t>
            </w:r>
            <w:r w:rsidR="00D44C65">
              <w:rPr>
                <w:noProof/>
                <w:webHidden/>
              </w:rPr>
              <w:fldChar w:fldCharType="end"/>
            </w:r>
          </w:hyperlink>
        </w:p>
        <w:p w14:paraId="17D84901" w14:textId="77777777" w:rsidR="00D44C65" w:rsidRDefault="00BA2754">
          <w:pPr>
            <w:pStyle w:val="TOC3"/>
            <w:tabs>
              <w:tab w:val="left" w:pos="1320"/>
              <w:tab w:val="right" w:leader="dot" w:pos="9323"/>
            </w:tabs>
            <w:rPr>
              <w:noProof/>
              <w:lang w:val="en-AU" w:eastAsia="en-AU"/>
            </w:rPr>
          </w:pPr>
          <w:hyperlink w:anchor="_Toc489888056" w:history="1">
            <w:r w:rsidR="00D44C65" w:rsidRPr="00BB67FB">
              <w:rPr>
                <w:rStyle w:val="Hyperlink"/>
                <w:rFonts w:cstheme="minorHAnsi"/>
                <w:b/>
                <w:noProof/>
              </w:rPr>
              <w:t>1.4.2</w:t>
            </w:r>
            <w:r w:rsidR="00D44C65">
              <w:rPr>
                <w:noProof/>
                <w:lang w:val="en-AU" w:eastAsia="en-AU"/>
              </w:rPr>
              <w:tab/>
            </w:r>
            <w:r w:rsidR="00D44C65" w:rsidRPr="00BB67FB">
              <w:rPr>
                <w:rStyle w:val="Hyperlink"/>
                <w:rFonts w:cstheme="minorHAnsi"/>
                <w:b/>
                <w:noProof/>
              </w:rPr>
              <w:t>Cost benefits</w:t>
            </w:r>
            <w:r w:rsidR="00D44C65">
              <w:rPr>
                <w:noProof/>
                <w:webHidden/>
              </w:rPr>
              <w:tab/>
            </w:r>
            <w:r w:rsidR="00D44C65">
              <w:rPr>
                <w:noProof/>
                <w:webHidden/>
              </w:rPr>
              <w:fldChar w:fldCharType="begin"/>
            </w:r>
            <w:r w:rsidR="00D44C65">
              <w:rPr>
                <w:noProof/>
                <w:webHidden/>
              </w:rPr>
              <w:instrText xml:space="preserve"> PAGEREF _Toc489888056 \h </w:instrText>
            </w:r>
            <w:r w:rsidR="00D44C65">
              <w:rPr>
                <w:noProof/>
                <w:webHidden/>
              </w:rPr>
            </w:r>
            <w:r w:rsidR="00D44C65">
              <w:rPr>
                <w:noProof/>
                <w:webHidden/>
              </w:rPr>
              <w:fldChar w:fldCharType="separate"/>
            </w:r>
            <w:r w:rsidR="00D44C65">
              <w:rPr>
                <w:noProof/>
                <w:webHidden/>
              </w:rPr>
              <w:t>21</w:t>
            </w:r>
            <w:r w:rsidR="00D44C65">
              <w:rPr>
                <w:noProof/>
                <w:webHidden/>
              </w:rPr>
              <w:fldChar w:fldCharType="end"/>
            </w:r>
          </w:hyperlink>
        </w:p>
        <w:p w14:paraId="5F75582B" w14:textId="77777777" w:rsidR="00D44C65" w:rsidRDefault="00BA2754">
          <w:pPr>
            <w:pStyle w:val="TOC3"/>
            <w:tabs>
              <w:tab w:val="left" w:pos="1320"/>
              <w:tab w:val="right" w:leader="dot" w:pos="9323"/>
            </w:tabs>
            <w:rPr>
              <w:noProof/>
              <w:lang w:val="en-AU" w:eastAsia="en-AU"/>
            </w:rPr>
          </w:pPr>
          <w:hyperlink w:anchor="_Toc489888057" w:history="1">
            <w:r w:rsidR="00D44C65" w:rsidRPr="00BB67FB">
              <w:rPr>
                <w:rStyle w:val="Hyperlink"/>
                <w:rFonts w:cstheme="minorHAnsi"/>
                <w:b/>
                <w:noProof/>
              </w:rPr>
              <w:t>1.4.3</w:t>
            </w:r>
            <w:r w:rsidR="00D44C65">
              <w:rPr>
                <w:noProof/>
                <w:lang w:val="en-AU" w:eastAsia="en-AU"/>
              </w:rPr>
              <w:tab/>
            </w:r>
            <w:r w:rsidR="00D44C65" w:rsidRPr="00BB67FB">
              <w:rPr>
                <w:rStyle w:val="Hyperlink"/>
                <w:rFonts w:cstheme="minorHAnsi"/>
                <w:b/>
                <w:noProof/>
              </w:rPr>
              <w:t>Reduction of maternal mortality in developing countries</w:t>
            </w:r>
            <w:r w:rsidR="00D44C65">
              <w:rPr>
                <w:noProof/>
                <w:webHidden/>
              </w:rPr>
              <w:tab/>
            </w:r>
            <w:r w:rsidR="00D44C65">
              <w:rPr>
                <w:noProof/>
                <w:webHidden/>
              </w:rPr>
              <w:fldChar w:fldCharType="begin"/>
            </w:r>
            <w:r w:rsidR="00D44C65">
              <w:rPr>
                <w:noProof/>
                <w:webHidden/>
              </w:rPr>
              <w:instrText xml:space="preserve"> PAGEREF _Toc489888057 \h </w:instrText>
            </w:r>
            <w:r w:rsidR="00D44C65">
              <w:rPr>
                <w:noProof/>
                <w:webHidden/>
              </w:rPr>
            </w:r>
            <w:r w:rsidR="00D44C65">
              <w:rPr>
                <w:noProof/>
                <w:webHidden/>
              </w:rPr>
              <w:fldChar w:fldCharType="separate"/>
            </w:r>
            <w:r w:rsidR="00D44C65">
              <w:rPr>
                <w:noProof/>
                <w:webHidden/>
              </w:rPr>
              <w:t>22</w:t>
            </w:r>
            <w:r w:rsidR="00D44C65">
              <w:rPr>
                <w:noProof/>
                <w:webHidden/>
              </w:rPr>
              <w:fldChar w:fldCharType="end"/>
            </w:r>
          </w:hyperlink>
        </w:p>
        <w:p w14:paraId="33C45B4A" w14:textId="77777777" w:rsidR="00D44C65" w:rsidRDefault="00BA2754">
          <w:pPr>
            <w:pStyle w:val="TOC1"/>
            <w:tabs>
              <w:tab w:val="left" w:pos="440"/>
              <w:tab w:val="right" w:leader="dot" w:pos="9323"/>
            </w:tabs>
            <w:rPr>
              <w:noProof/>
              <w:lang w:val="en-AU" w:eastAsia="en-AU"/>
            </w:rPr>
          </w:pPr>
          <w:hyperlink w:anchor="_Toc489888058" w:history="1">
            <w:r w:rsidR="00D44C65" w:rsidRPr="00BB67FB">
              <w:rPr>
                <w:rStyle w:val="Hyperlink"/>
                <w:rFonts w:cstheme="minorHAnsi"/>
                <w:b/>
                <w:noProof/>
              </w:rPr>
              <w:t>2</w:t>
            </w:r>
            <w:r w:rsidR="00D44C65">
              <w:rPr>
                <w:noProof/>
                <w:lang w:val="en-AU" w:eastAsia="en-AU"/>
              </w:rPr>
              <w:tab/>
            </w:r>
            <w:r w:rsidR="00D44C65" w:rsidRPr="00BB67FB">
              <w:rPr>
                <w:rStyle w:val="Hyperlink"/>
                <w:rFonts w:cstheme="minorHAnsi"/>
                <w:b/>
                <w:noProof/>
              </w:rPr>
              <w:t>STUDY OBJECTIVES</w:t>
            </w:r>
            <w:r w:rsidR="00D44C65">
              <w:rPr>
                <w:noProof/>
                <w:webHidden/>
              </w:rPr>
              <w:tab/>
            </w:r>
            <w:r w:rsidR="00D44C65">
              <w:rPr>
                <w:noProof/>
                <w:webHidden/>
              </w:rPr>
              <w:fldChar w:fldCharType="begin"/>
            </w:r>
            <w:r w:rsidR="00D44C65">
              <w:rPr>
                <w:noProof/>
                <w:webHidden/>
              </w:rPr>
              <w:instrText xml:space="preserve"> PAGEREF _Toc489888058 \h </w:instrText>
            </w:r>
            <w:r w:rsidR="00D44C65">
              <w:rPr>
                <w:noProof/>
                <w:webHidden/>
              </w:rPr>
            </w:r>
            <w:r w:rsidR="00D44C65">
              <w:rPr>
                <w:noProof/>
                <w:webHidden/>
              </w:rPr>
              <w:fldChar w:fldCharType="separate"/>
            </w:r>
            <w:r w:rsidR="00D44C65">
              <w:rPr>
                <w:noProof/>
                <w:webHidden/>
              </w:rPr>
              <w:t>22</w:t>
            </w:r>
            <w:r w:rsidR="00D44C65">
              <w:rPr>
                <w:noProof/>
                <w:webHidden/>
              </w:rPr>
              <w:fldChar w:fldCharType="end"/>
            </w:r>
          </w:hyperlink>
        </w:p>
        <w:p w14:paraId="0EEEEE6B" w14:textId="77777777" w:rsidR="00D44C65" w:rsidRDefault="00BA2754">
          <w:pPr>
            <w:pStyle w:val="TOC2"/>
            <w:tabs>
              <w:tab w:val="left" w:pos="880"/>
              <w:tab w:val="right" w:leader="dot" w:pos="9323"/>
            </w:tabs>
            <w:rPr>
              <w:noProof/>
              <w:lang w:val="en-AU" w:eastAsia="en-AU"/>
            </w:rPr>
          </w:pPr>
          <w:hyperlink w:anchor="_Toc489888059" w:history="1">
            <w:r w:rsidR="00D44C65" w:rsidRPr="00BB67FB">
              <w:rPr>
                <w:rStyle w:val="Hyperlink"/>
                <w:rFonts w:cstheme="minorHAnsi"/>
                <w:b/>
                <w:noProof/>
              </w:rPr>
              <w:t>2.1</w:t>
            </w:r>
            <w:r w:rsidR="00D44C65">
              <w:rPr>
                <w:noProof/>
                <w:lang w:val="en-AU" w:eastAsia="en-AU"/>
              </w:rPr>
              <w:tab/>
            </w:r>
            <w:r w:rsidR="00D44C65" w:rsidRPr="00BB67FB">
              <w:rPr>
                <w:rStyle w:val="Hyperlink"/>
                <w:rFonts w:cstheme="minorHAnsi"/>
                <w:b/>
                <w:noProof/>
              </w:rPr>
              <w:t>OBJECTIVES</w:t>
            </w:r>
            <w:r w:rsidR="00D44C65">
              <w:rPr>
                <w:noProof/>
                <w:webHidden/>
              </w:rPr>
              <w:tab/>
            </w:r>
            <w:r w:rsidR="00D44C65">
              <w:rPr>
                <w:noProof/>
                <w:webHidden/>
              </w:rPr>
              <w:fldChar w:fldCharType="begin"/>
            </w:r>
            <w:r w:rsidR="00D44C65">
              <w:rPr>
                <w:noProof/>
                <w:webHidden/>
              </w:rPr>
              <w:instrText xml:space="preserve"> PAGEREF _Toc489888059 \h </w:instrText>
            </w:r>
            <w:r w:rsidR="00D44C65">
              <w:rPr>
                <w:noProof/>
                <w:webHidden/>
              </w:rPr>
            </w:r>
            <w:r w:rsidR="00D44C65">
              <w:rPr>
                <w:noProof/>
                <w:webHidden/>
              </w:rPr>
              <w:fldChar w:fldCharType="separate"/>
            </w:r>
            <w:r w:rsidR="00D44C65">
              <w:rPr>
                <w:noProof/>
                <w:webHidden/>
              </w:rPr>
              <w:t>23</w:t>
            </w:r>
            <w:r w:rsidR="00D44C65">
              <w:rPr>
                <w:noProof/>
                <w:webHidden/>
              </w:rPr>
              <w:fldChar w:fldCharType="end"/>
            </w:r>
          </w:hyperlink>
        </w:p>
        <w:p w14:paraId="7F3D2BC0" w14:textId="77777777" w:rsidR="00D44C65" w:rsidRDefault="00BA2754">
          <w:pPr>
            <w:pStyle w:val="TOC3"/>
            <w:tabs>
              <w:tab w:val="left" w:pos="1320"/>
              <w:tab w:val="right" w:leader="dot" w:pos="9323"/>
            </w:tabs>
            <w:rPr>
              <w:noProof/>
              <w:lang w:val="en-AU" w:eastAsia="en-AU"/>
            </w:rPr>
          </w:pPr>
          <w:hyperlink w:anchor="_Toc489888060" w:history="1">
            <w:r w:rsidR="00D44C65" w:rsidRPr="00BB67FB">
              <w:rPr>
                <w:rStyle w:val="Hyperlink"/>
                <w:rFonts w:cstheme="minorHAnsi"/>
                <w:b/>
                <w:noProof/>
              </w:rPr>
              <w:t>2.1.1</w:t>
            </w:r>
            <w:r w:rsidR="00D44C65">
              <w:rPr>
                <w:noProof/>
                <w:lang w:val="en-AU" w:eastAsia="en-AU"/>
              </w:rPr>
              <w:tab/>
            </w:r>
            <w:r w:rsidR="00D44C65" w:rsidRPr="00BB67FB">
              <w:rPr>
                <w:rStyle w:val="Hyperlink"/>
                <w:rFonts w:cstheme="minorHAnsi"/>
                <w:b/>
                <w:noProof/>
              </w:rPr>
              <w:t>Primary objectives</w:t>
            </w:r>
            <w:r w:rsidR="00D44C65">
              <w:rPr>
                <w:noProof/>
                <w:webHidden/>
              </w:rPr>
              <w:tab/>
            </w:r>
            <w:r w:rsidR="00D44C65">
              <w:rPr>
                <w:noProof/>
                <w:webHidden/>
              </w:rPr>
              <w:fldChar w:fldCharType="begin"/>
            </w:r>
            <w:r w:rsidR="00D44C65">
              <w:rPr>
                <w:noProof/>
                <w:webHidden/>
              </w:rPr>
              <w:instrText xml:space="preserve"> PAGEREF _Toc489888060 \h </w:instrText>
            </w:r>
            <w:r w:rsidR="00D44C65">
              <w:rPr>
                <w:noProof/>
                <w:webHidden/>
              </w:rPr>
            </w:r>
            <w:r w:rsidR="00D44C65">
              <w:rPr>
                <w:noProof/>
                <w:webHidden/>
              </w:rPr>
              <w:fldChar w:fldCharType="separate"/>
            </w:r>
            <w:r w:rsidR="00D44C65">
              <w:rPr>
                <w:noProof/>
                <w:webHidden/>
              </w:rPr>
              <w:t>23</w:t>
            </w:r>
            <w:r w:rsidR="00D44C65">
              <w:rPr>
                <w:noProof/>
                <w:webHidden/>
              </w:rPr>
              <w:fldChar w:fldCharType="end"/>
            </w:r>
          </w:hyperlink>
        </w:p>
        <w:p w14:paraId="68C45D62" w14:textId="77777777" w:rsidR="00D44C65" w:rsidRDefault="00BA2754">
          <w:pPr>
            <w:pStyle w:val="TOC3"/>
            <w:tabs>
              <w:tab w:val="left" w:pos="1320"/>
              <w:tab w:val="right" w:leader="dot" w:pos="9323"/>
            </w:tabs>
            <w:rPr>
              <w:noProof/>
              <w:lang w:val="en-AU" w:eastAsia="en-AU"/>
            </w:rPr>
          </w:pPr>
          <w:hyperlink w:anchor="_Toc489888061" w:history="1">
            <w:r w:rsidR="00D44C65" w:rsidRPr="00BB67FB">
              <w:rPr>
                <w:rStyle w:val="Hyperlink"/>
                <w:rFonts w:cstheme="minorHAnsi"/>
                <w:b/>
                <w:noProof/>
              </w:rPr>
              <w:t>2.1.2</w:t>
            </w:r>
            <w:r w:rsidR="00D44C65">
              <w:rPr>
                <w:noProof/>
                <w:lang w:val="en-AU" w:eastAsia="en-AU"/>
              </w:rPr>
              <w:tab/>
            </w:r>
            <w:r w:rsidR="00D44C65" w:rsidRPr="00BB67FB">
              <w:rPr>
                <w:rStyle w:val="Hyperlink"/>
                <w:rFonts w:cstheme="minorHAnsi"/>
                <w:b/>
                <w:noProof/>
              </w:rPr>
              <w:t>Secondary objectives</w:t>
            </w:r>
            <w:r w:rsidR="00D44C65">
              <w:rPr>
                <w:noProof/>
                <w:webHidden/>
              </w:rPr>
              <w:tab/>
            </w:r>
            <w:r w:rsidR="00D44C65">
              <w:rPr>
                <w:noProof/>
                <w:webHidden/>
              </w:rPr>
              <w:fldChar w:fldCharType="begin"/>
            </w:r>
            <w:r w:rsidR="00D44C65">
              <w:rPr>
                <w:noProof/>
                <w:webHidden/>
              </w:rPr>
              <w:instrText xml:space="preserve"> PAGEREF _Toc489888061 \h </w:instrText>
            </w:r>
            <w:r w:rsidR="00D44C65">
              <w:rPr>
                <w:noProof/>
                <w:webHidden/>
              </w:rPr>
            </w:r>
            <w:r w:rsidR="00D44C65">
              <w:rPr>
                <w:noProof/>
                <w:webHidden/>
              </w:rPr>
              <w:fldChar w:fldCharType="separate"/>
            </w:r>
            <w:r w:rsidR="00D44C65">
              <w:rPr>
                <w:noProof/>
                <w:webHidden/>
              </w:rPr>
              <w:t>23</w:t>
            </w:r>
            <w:r w:rsidR="00D44C65">
              <w:rPr>
                <w:noProof/>
                <w:webHidden/>
              </w:rPr>
              <w:fldChar w:fldCharType="end"/>
            </w:r>
          </w:hyperlink>
        </w:p>
        <w:p w14:paraId="503F6360" w14:textId="77777777" w:rsidR="00D44C65" w:rsidRDefault="00BA2754">
          <w:pPr>
            <w:pStyle w:val="TOC2"/>
            <w:tabs>
              <w:tab w:val="left" w:pos="880"/>
              <w:tab w:val="right" w:leader="dot" w:pos="9323"/>
            </w:tabs>
            <w:rPr>
              <w:noProof/>
              <w:lang w:val="en-AU" w:eastAsia="en-AU"/>
            </w:rPr>
          </w:pPr>
          <w:hyperlink w:anchor="_Toc489888062" w:history="1">
            <w:r w:rsidR="00D44C65" w:rsidRPr="00BB67FB">
              <w:rPr>
                <w:rStyle w:val="Hyperlink"/>
                <w:rFonts w:cstheme="minorHAnsi"/>
                <w:b/>
                <w:noProof/>
              </w:rPr>
              <w:t>2.2</w:t>
            </w:r>
            <w:r w:rsidR="00D44C65">
              <w:rPr>
                <w:noProof/>
                <w:lang w:val="en-AU" w:eastAsia="en-AU"/>
              </w:rPr>
              <w:tab/>
            </w:r>
            <w:r w:rsidR="00D44C65" w:rsidRPr="00BB67FB">
              <w:rPr>
                <w:rStyle w:val="Hyperlink"/>
                <w:rFonts w:cstheme="minorHAnsi"/>
                <w:b/>
                <w:noProof/>
              </w:rPr>
              <w:t>ENDPOINTS</w:t>
            </w:r>
            <w:r w:rsidR="00D44C65">
              <w:rPr>
                <w:noProof/>
                <w:webHidden/>
              </w:rPr>
              <w:tab/>
            </w:r>
            <w:r w:rsidR="00D44C65">
              <w:rPr>
                <w:noProof/>
                <w:webHidden/>
              </w:rPr>
              <w:fldChar w:fldCharType="begin"/>
            </w:r>
            <w:r w:rsidR="00D44C65">
              <w:rPr>
                <w:noProof/>
                <w:webHidden/>
              </w:rPr>
              <w:instrText xml:space="preserve"> PAGEREF _Toc489888062 \h </w:instrText>
            </w:r>
            <w:r w:rsidR="00D44C65">
              <w:rPr>
                <w:noProof/>
                <w:webHidden/>
              </w:rPr>
            </w:r>
            <w:r w:rsidR="00D44C65">
              <w:rPr>
                <w:noProof/>
                <w:webHidden/>
              </w:rPr>
              <w:fldChar w:fldCharType="separate"/>
            </w:r>
            <w:r w:rsidR="00D44C65">
              <w:rPr>
                <w:noProof/>
                <w:webHidden/>
              </w:rPr>
              <w:t>23</w:t>
            </w:r>
            <w:r w:rsidR="00D44C65">
              <w:rPr>
                <w:noProof/>
                <w:webHidden/>
              </w:rPr>
              <w:fldChar w:fldCharType="end"/>
            </w:r>
          </w:hyperlink>
        </w:p>
        <w:p w14:paraId="2AD42D7F" w14:textId="77777777" w:rsidR="00D44C65" w:rsidRDefault="00BA2754">
          <w:pPr>
            <w:pStyle w:val="TOC3"/>
            <w:tabs>
              <w:tab w:val="left" w:pos="1320"/>
              <w:tab w:val="right" w:leader="dot" w:pos="9323"/>
            </w:tabs>
            <w:rPr>
              <w:noProof/>
              <w:lang w:val="en-AU" w:eastAsia="en-AU"/>
            </w:rPr>
          </w:pPr>
          <w:hyperlink w:anchor="_Toc489888063" w:history="1">
            <w:r w:rsidR="00D44C65" w:rsidRPr="00BB67FB">
              <w:rPr>
                <w:rStyle w:val="Hyperlink"/>
                <w:rFonts w:cstheme="minorHAnsi"/>
                <w:b/>
                <w:noProof/>
              </w:rPr>
              <w:t>2.2.1</w:t>
            </w:r>
            <w:r w:rsidR="00D44C65">
              <w:rPr>
                <w:noProof/>
                <w:lang w:val="en-AU" w:eastAsia="en-AU"/>
              </w:rPr>
              <w:tab/>
            </w:r>
            <w:r w:rsidR="00D44C65" w:rsidRPr="00BB67FB">
              <w:rPr>
                <w:rStyle w:val="Hyperlink"/>
                <w:rFonts w:cstheme="minorHAnsi"/>
                <w:b/>
                <w:noProof/>
              </w:rPr>
              <w:t>Primary endpoint</w:t>
            </w:r>
            <w:r w:rsidR="00D44C65">
              <w:rPr>
                <w:noProof/>
                <w:webHidden/>
              </w:rPr>
              <w:tab/>
            </w:r>
            <w:r w:rsidR="00D44C65">
              <w:rPr>
                <w:noProof/>
                <w:webHidden/>
              </w:rPr>
              <w:fldChar w:fldCharType="begin"/>
            </w:r>
            <w:r w:rsidR="00D44C65">
              <w:rPr>
                <w:noProof/>
                <w:webHidden/>
              </w:rPr>
              <w:instrText xml:space="preserve"> PAGEREF _Toc489888063 \h </w:instrText>
            </w:r>
            <w:r w:rsidR="00D44C65">
              <w:rPr>
                <w:noProof/>
                <w:webHidden/>
              </w:rPr>
            </w:r>
            <w:r w:rsidR="00D44C65">
              <w:rPr>
                <w:noProof/>
                <w:webHidden/>
              </w:rPr>
              <w:fldChar w:fldCharType="separate"/>
            </w:r>
            <w:r w:rsidR="00D44C65">
              <w:rPr>
                <w:noProof/>
                <w:webHidden/>
              </w:rPr>
              <w:t>23</w:t>
            </w:r>
            <w:r w:rsidR="00D44C65">
              <w:rPr>
                <w:noProof/>
                <w:webHidden/>
              </w:rPr>
              <w:fldChar w:fldCharType="end"/>
            </w:r>
          </w:hyperlink>
        </w:p>
        <w:p w14:paraId="28E22FE3" w14:textId="77777777" w:rsidR="00D44C65" w:rsidRDefault="00BA2754">
          <w:pPr>
            <w:pStyle w:val="TOC3"/>
            <w:tabs>
              <w:tab w:val="left" w:pos="1320"/>
              <w:tab w:val="right" w:leader="dot" w:pos="9323"/>
            </w:tabs>
            <w:rPr>
              <w:noProof/>
              <w:lang w:val="en-AU" w:eastAsia="en-AU"/>
            </w:rPr>
          </w:pPr>
          <w:hyperlink w:anchor="_Toc489888064" w:history="1">
            <w:r w:rsidR="00D44C65" w:rsidRPr="00BB67FB">
              <w:rPr>
                <w:rStyle w:val="Hyperlink"/>
                <w:rFonts w:cstheme="minorHAnsi"/>
                <w:b/>
                <w:noProof/>
              </w:rPr>
              <w:t>2.2.2</w:t>
            </w:r>
            <w:r w:rsidR="00D44C65">
              <w:rPr>
                <w:noProof/>
                <w:lang w:val="en-AU" w:eastAsia="en-AU"/>
              </w:rPr>
              <w:tab/>
            </w:r>
            <w:r w:rsidR="00D44C65" w:rsidRPr="00BB67FB">
              <w:rPr>
                <w:rStyle w:val="Hyperlink"/>
                <w:rFonts w:cstheme="minorHAnsi"/>
                <w:b/>
                <w:noProof/>
              </w:rPr>
              <w:t>Secondary endpoints</w:t>
            </w:r>
            <w:r w:rsidR="00D44C65">
              <w:rPr>
                <w:noProof/>
                <w:webHidden/>
              </w:rPr>
              <w:tab/>
            </w:r>
            <w:r w:rsidR="00D44C65">
              <w:rPr>
                <w:noProof/>
                <w:webHidden/>
              </w:rPr>
              <w:fldChar w:fldCharType="begin"/>
            </w:r>
            <w:r w:rsidR="00D44C65">
              <w:rPr>
                <w:noProof/>
                <w:webHidden/>
              </w:rPr>
              <w:instrText xml:space="preserve"> PAGEREF _Toc489888064 \h </w:instrText>
            </w:r>
            <w:r w:rsidR="00D44C65">
              <w:rPr>
                <w:noProof/>
                <w:webHidden/>
              </w:rPr>
            </w:r>
            <w:r w:rsidR="00D44C65">
              <w:rPr>
                <w:noProof/>
                <w:webHidden/>
              </w:rPr>
              <w:fldChar w:fldCharType="separate"/>
            </w:r>
            <w:r w:rsidR="00D44C65">
              <w:rPr>
                <w:noProof/>
                <w:webHidden/>
              </w:rPr>
              <w:t>24</w:t>
            </w:r>
            <w:r w:rsidR="00D44C65">
              <w:rPr>
                <w:noProof/>
                <w:webHidden/>
              </w:rPr>
              <w:fldChar w:fldCharType="end"/>
            </w:r>
          </w:hyperlink>
        </w:p>
        <w:p w14:paraId="0853EDA3" w14:textId="77777777" w:rsidR="00D44C65" w:rsidRDefault="00BA2754">
          <w:pPr>
            <w:pStyle w:val="TOC1"/>
            <w:tabs>
              <w:tab w:val="left" w:pos="440"/>
              <w:tab w:val="right" w:leader="dot" w:pos="9323"/>
            </w:tabs>
            <w:rPr>
              <w:noProof/>
              <w:lang w:val="en-AU" w:eastAsia="en-AU"/>
            </w:rPr>
          </w:pPr>
          <w:hyperlink w:anchor="_Toc489888065" w:history="1">
            <w:r w:rsidR="00D44C65" w:rsidRPr="00BB67FB">
              <w:rPr>
                <w:rStyle w:val="Hyperlink"/>
                <w:rFonts w:cstheme="minorHAnsi"/>
                <w:b/>
                <w:noProof/>
              </w:rPr>
              <w:t>3</w:t>
            </w:r>
            <w:r w:rsidR="00D44C65">
              <w:rPr>
                <w:noProof/>
                <w:lang w:val="en-AU" w:eastAsia="en-AU"/>
              </w:rPr>
              <w:tab/>
            </w:r>
            <w:r w:rsidR="00D44C65" w:rsidRPr="00BB67FB">
              <w:rPr>
                <w:rStyle w:val="Hyperlink"/>
                <w:rFonts w:cstheme="minorHAnsi"/>
                <w:b/>
                <w:noProof/>
              </w:rPr>
              <w:t>STUDY DESIGN</w:t>
            </w:r>
            <w:r w:rsidR="00D44C65">
              <w:rPr>
                <w:noProof/>
                <w:webHidden/>
              </w:rPr>
              <w:tab/>
            </w:r>
            <w:r w:rsidR="00D44C65">
              <w:rPr>
                <w:noProof/>
                <w:webHidden/>
              </w:rPr>
              <w:fldChar w:fldCharType="begin"/>
            </w:r>
            <w:r w:rsidR="00D44C65">
              <w:rPr>
                <w:noProof/>
                <w:webHidden/>
              </w:rPr>
              <w:instrText xml:space="preserve"> PAGEREF _Toc489888065 \h </w:instrText>
            </w:r>
            <w:r w:rsidR="00D44C65">
              <w:rPr>
                <w:noProof/>
                <w:webHidden/>
              </w:rPr>
            </w:r>
            <w:r w:rsidR="00D44C65">
              <w:rPr>
                <w:noProof/>
                <w:webHidden/>
              </w:rPr>
              <w:fldChar w:fldCharType="separate"/>
            </w:r>
            <w:r w:rsidR="00D44C65">
              <w:rPr>
                <w:noProof/>
                <w:webHidden/>
              </w:rPr>
              <w:t>24</w:t>
            </w:r>
            <w:r w:rsidR="00D44C65">
              <w:rPr>
                <w:noProof/>
                <w:webHidden/>
              </w:rPr>
              <w:fldChar w:fldCharType="end"/>
            </w:r>
          </w:hyperlink>
        </w:p>
        <w:p w14:paraId="16D03559" w14:textId="77777777" w:rsidR="00D44C65" w:rsidRDefault="00BA2754">
          <w:pPr>
            <w:pStyle w:val="TOC1"/>
            <w:tabs>
              <w:tab w:val="left" w:pos="440"/>
              <w:tab w:val="right" w:leader="dot" w:pos="9323"/>
            </w:tabs>
            <w:rPr>
              <w:noProof/>
              <w:lang w:val="en-AU" w:eastAsia="en-AU"/>
            </w:rPr>
          </w:pPr>
          <w:hyperlink w:anchor="_Toc489888066" w:history="1">
            <w:r w:rsidR="00D44C65" w:rsidRPr="00BB67FB">
              <w:rPr>
                <w:rStyle w:val="Hyperlink"/>
                <w:rFonts w:cstheme="minorHAnsi"/>
                <w:b/>
                <w:noProof/>
              </w:rPr>
              <w:t>4</w:t>
            </w:r>
            <w:r w:rsidR="00D44C65">
              <w:rPr>
                <w:noProof/>
                <w:lang w:val="en-AU" w:eastAsia="en-AU"/>
              </w:rPr>
              <w:tab/>
            </w:r>
            <w:r w:rsidR="00D44C65" w:rsidRPr="00BB67FB">
              <w:rPr>
                <w:rStyle w:val="Hyperlink"/>
                <w:rFonts w:cstheme="minorHAnsi"/>
                <w:b/>
                <w:noProof/>
              </w:rPr>
              <w:t>STUDY POPULATION</w:t>
            </w:r>
            <w:r w:rsidR="00D44C65">
              <w:rPr>
                <w:noProof/>
                <w:webHidden/>
              </w:rPr>
              <w:tab/>
            </w:r>
            <w:r w:rsidR="00D44C65">
              <w:rPr>
                <w:noProof/>
                <w:webHidden/>
              </w:rPr>
              <w:fldChar w:fldCharType="begin"/>
            </w:r>
            <w:r w:rsidR="00D44C65">
              <w:rPr>
                <w:noProof/>
                <w:webHidden/>
              </w:rPr>
              <w:instrText xml:space="preserve"> PAGEREF _Toc489888066 \h </w:instrText>
            </w:r>
            <w:r w:rsidR="00D44C65">
              <w:rPr>
                <w:noProof/>
                <w:webHidden/>
              </w:rPr>
            </w:r>
            <w:r w:rsidR="00D44C65">
              <w:rPr>
                <w:noProof/>
                <w:webHidden/>
              </w:rPr>
              <w:fldChar w:fldCharType="separate"/>
            </w:r>
            <w:r w:rsidR="00D44C65">
              <w:rPr>
                <w:noProof/>
                <w:webHidden/>
              </w:rPr>
              <w:t>26</w:t>
            </w:r>
            <w:r w:rsidR="00D44C65">
              <w:rPr>
                <w:noProof/>
                <w:webHidden/>
              </w:rPr>
              <w:fldChar w:fldCharType="end"/>
            </w:r>
          </w:hyperlink>
        </w:p>
        <w:p w14:paraId="4C9B5479" w14:textId="77777777" w:rsidR="00D44C65" w:rsidRDefault="00BA2754">
          <w:pPr>
            <w:pStyle w:val="TOC2"/>
            <w:tabs>
              <w:tab w:val="left" w:pos="880"/>
              <w:tab w:val="right" w:leader="dot" w:pos="9323"/>
            </w:tabs>
            <w:rPr>
              <w:noProof/>
              <w:lang w:val="en-AU" w:eastAsia="en-AU"/>
            </w:rPr>
          </w:pPr>
          <w:hyperlink w:anchor="_Toc489888067" w:history="1">
            <w:r w:rsidR="00D44C65" w:rsidRPr="00BB67FB">
              <w:rPr>
                <w:rStyle w:val="Hyperlink"/>
                <w:rFonts w:cstheme="minorHAnsi"/>
                <w:b/>
                <w:noProof/>
              </w:rPr>
              <w:t>4.1</w:t>
            </w:r>
            <w:r w:rsidR="00D44C65">
              <w:rPr>
                <w:noProof/>
                <w:lang w:val="en-AU" w:eastAsia="en-AU"/>
              </w:rPr>
              <w:tab/>
            </w:r>
            <w:r w:rsidR="00D44C65" w:rsidRPr="00BB67FB">
              <w:rPr>
                <w:rStyle w:val="Hyperlink"/>
                <w:rFonts w:cstheme="minorHAnsi"/>
                <w:b/>
                <w:noProof/>
              </w:rPr>
              <w:t>NUMBER OF PARTICIPANTS</w:t>
            </w:r>
            <w:r w:rsidR="00D44C65">
              <w:rPr>
                <w:noProof/>
                <w:webHidden/>
              </w:rPr>
              <w:tab/>
            </w:r>
            <w:r w:rsidR="00D44C65">
              <w:rPr>
                <w:noProof/>
                <w:webHidden/>
              </w:rPr>
              <w:fldChar w:fldCharType="begin"/>
            </w:r>
            <w:r w:rsidR="00D44C65">
              <w:rPr>
                <w:noProof/>
                <w:webHidden/>
              </w:rPr>
              <w:instrText xml:space="preserve"> PAGEREF _Toc489888067 \h </w:instrText>
            </w:r>
            <w:r w:rsidR="00D44C65">
              <w:rPr>
                <w:noProof/>
                <w:webHidden/>
              </w:rPr>
            </w:r>
            <w:r w:rsidR="00D44C65">
              <w:rPr>
                <w:noProof/>
                <w:webHidden/>
              </w:rPr>
              <w:fldChar w:fldCharType="separate"/>
            </w:r>
            <w:r w:rsidR="00D44C65">
              <w:rPr>
                <w:noProof/>
                <w:webHidden/>
              </w:rPr>
              <w:t>26</w:t>
            </w:r>
            <w:r w:rsidR="00D44C65">
              <w:rPr>
                <w:noProof/>
                <w:webHidden/>
              </w:rPr>
              <w:fldChar w:fldCharType="end"/>
            </w:r>
          </w:hyperlink>
        </w:p>
        <w:p w14:paraId="7E04882F" w14:textId="77777777" w:rsidR="00D44C65" w:rsidRDefault="00BA2754">
          <w:pPr>
            <w:pStyle w:val="TOC2"/>
            <w:tabs>
              <w:tab w:val="left" w:pos="880"/>
              <w:tab w:val="right" w:leader="dot" w:pos="9323"/>
            </w:tabs>
            <w:rPr>
              <w:noProof/>
              <w:lang w:val="en-AU" w:eastAsia="en-AU"/>
            </w:rPr>
          </w:pPr>
          <w:hyperlink w:anchor="_Toc489888068" w:history="1">
            <w:r w:rsidR="00D44C65" w:rsidRPr="00BB67FB">
              <w:rPr>
                <w:rStyle w:val="Hyperlink"/>
                <w:rFonts w:cstheme="minorHAnsi"/>
                <w:b/>
                <w:noProof/>
              </w:rPr>
              <w:t>4.2</w:t>
            </w:r>
            <w:r w:rsidR="00D44C65">
              <w:rPr>
                <w:noProof/>
                <w:lang w:val="en-AU" w:eastAsia="en-AU"/>
              </w:rPr>
              <w:tab/>
            </w:r>
            <w:r w:rsidR="00D44C65" w:rsidRPr="00BB67FB">
              <w:rPr>
                <w:rStyle w:val="Hyperlink"/>
                <w:rFonts w:cstheme="minorHAnsi"/>
                <w:b/>
                <w:noProof/>
              </w:rPr>
              <w:t>INCLUSION CRITERIA</w:t>
            </w:r>
            <w:r w:rsidR="00D44C65">
              <w:rPr>
                <w:noProof/>
                <w:webHidden/>
              </w:rPr>
              <w:tab/>
            </w:r>
            <w:r w:rsidR="00D44C65">
              <w:rPr>
                <w:noProof/>
                <w:webHidden/>
              </w:rPr>
              <w:fldChar w:fldCharType="begin"/>
            </w:r>
            <w:r w:rsidR="00D44C65">
              <w:rPr>
                <w:noProof/>
                <w:webHidden/>
              </w:rPr>
              <w:instrText xml:space="preserve"> PAGEREF _Toc489888068 \h </w:instrText>
            </w:r>
            <w:r w:rsidR="00D44C65">
              <w:rPr>
                <w:noProof/>
                <w:webHidden/>
              </w:rPr>
            </w:r>
            <w:r w:rsidR="00D44C65">
              <w:rPr>
                <w:noProof/>
                <w:webHidden/>
              </w:rPr>
              <w:fldChar w:fldCharType="separate"/>
            </w:r>
            <w:r w:rsidR="00D44C65">
              <w:rPr>
                <w:noProof/>
                <w:webHidden/>
              </w:rPr>
              <w:t>27</w:t>
            </w:r>
            <w:r w:rsidR="00D44C65">
              <w:rPr>
                <w:noProof/>
                <w:webHidden/>
              </w:rPr>
              <w:fldChar w:fldCharType="end"/>
            </w:r>
          </w:hyperlink>
        </w:p>
        <w:p w14:paraId="0EE9784D" w14:textId="77777777" w:rsidR="00D44C65" w:rsidRDefault="00BA2754">
          <w:pPr>
            <w:pStyle w:val="TOC2"/>
            <w:tabs>
              <w:tab w:val="left" w:pos="880"/>
              <w:tab w:val="right" w:leader="dot" w:pos="9323"/>
            </w:tabs>
            <w:rPr>
              <w:noProof/>
              <w:lang w:val="en-AU" w:eastAsia="en-AU"/>
            </w:rPr>
          </w:pPr>
          <w:hyperlink w:anchor="_Toc489888069" w:history="1">
            <w:r w:rsidR="00D44C65" w:rsidRPr="00BB67FB">
              <w:rPr>
                <w:rStyle w:val="Hyperlink"/>
                <w:rFonts w:cstheme="minorHAnsi"/>
                <w:b/>
                <w:noProof/>
              </w:rPr>
              <w:t>4.3</w:t>
            </w:r>
            <w:r w:rsidR="00D44C65">
              <w:rPr>
                <w:noProof/>
                <w:lang w:val="en-AU" w:eastAsia="en-AU"/>
              </w:rPr>
              <w:tab/>
            </w:r>
            <w:r w:rsidR="00D44C65" w:rsidRPr="00BB67FB">
              <w:rPr>
                <w:rStyle w:val="Hyperlink"/>
                <w:rFonts w:cstheme="minorHAnsi"/>
                <w:b/>
                <w:noProof/>
              </w:rPr>
              <w:t>EXCLUSION CRITERIA</w:t>
            </w:r>
            <w:r w:rsidR="00D44C65">
              <w:rPr>
                <w:noProof/>
                <w:webHidden/>
              </w:rPr>
              <w:tab/>
            </w:r>
            <w:r w:rsidR="00D44C65">
              <w:rPr>
                <w:noProof/>
                <w:webHidden/>
              </w:rPr>
              <w:fldChar w:fldCharType="begin"/>
            </w:r>
            <w:r w:rsidR="00D44C65">
              <w:rPr>
                <w:noProof/>
                <w:webHidden/>
              </w:rPr>
              <w:instrText xml:space="preserve"> PAGEREF _Toc489888069 \h </w:instrText>
            </w:r>
            <w:r w:rsidR="00D44C65">
              <w:rPr>
                <w:noProof/>
                <w:webHidden/>
              </w:rPr>
            </w:r>
            <w:r w:rsidR="00D44C65">
              <w:rPr>
                <w:noProof/>
                <w:webHidden/>
              </w:rPr>
              <w:fldChar w:fldCharType="separate"/>
            </w:r>
            <w:r w:rsidR="00D44C65">
              <w:rPr>
                <w:noProof/>
                <w:webHidden/>
              </w:rPr>
              <w:t>27</w:t>
            </w:r>
            <w:r w:rsidR="00D44C65">
              <w:rPr>
                <w:noProof/>
                <w:webHidden/>
              </w:rPr>
              <w:fldChar w:fldCharType="end"/>
            </w:r>
          </w:hyperlink>
        </w:p>
        <w:p w14:paraId="2DB8D3CD" w14:textId="77777777" w:rsidR="00D44C65" w:rsidRDefault="00BA2754">
          <w:pPr>
            <w:pStyle w:val="TOC2"/>
            <w:tabs>
              <w:tab w:val="left" w:pos="880"/>
              <w:tab w:val="right" w:leader="dot" w:pos="9323"/>
            </w:tabs>
            <w:rPr>
              <w:noProof/>
              <w:lang w:val="en-AU" w:eastAsia="en-AU"/>
            </w:rPr>
          </w:pPr>
          <w:hyperlink w:anchor="_Toc489888070" w:history="1">
            <w:r w:rsidR="00D44C65" w:rsidRPr="00BB67FB">
              <w:rPr>
                <w:rStyle w:val="Hyperlink"/>
                <w:rFonts w:cstheme="minorHAnsi"/>
                <w:b/>
                <w:noProof/>
              </w:rPr>
              <w:t>4.4</w:t>
            </w:r>
            <w:r w:rsidR="00D44C65">
              <w:rPr>
                <w:noProof/>
                <w:lang w:val="en-AU" w:eastAsia="en-AU"/>
              </w:rPr>
              <w:tab/>
            </w:r>
            <w:r w:rsidR="00D44C65" w:rsidRPr="00BB67FB">
              <w:rPr>
                <w:rStyle w:val="Hyperlink"/>
                <w:rFonts w:cstheme="minorHAnsi"/>
                <w:b/>
                <w:noProof/>
              </w:rPr>
              <w:t>CO-ENROLMENT</w:t>
            </w:r>
            <w:r w:rsidR="00D44C65">
              <w:rPr>
                <w:noProof/>
                <w:webHidden/>
              </w:rPr>
              <w:tab/>
            </w:r>
            <w:r w:rsidR="00D44C65">
              <w:rPr>
                <w:noProof/>
                <w:webHidden/>
              </w:rPr>
              <w:fldChar w:fldCharType="begin"/>
            </w:r>
            <w:r w:rsidR="00D44C65">
              <w:rPr>
                <w:noProof/>
                <w:webHidden/>
              </w:rPr>
              <w:instrText xml:space="preserve"> PAGEREF _Toc489888070 \h </w:instrText>
            </w:r>
            <w:r w:rsidR="00D44C65">
              <w:rPr>
                <w:noProof/>
                <w:webHidden/>
              </w:rPr>
            </w:r>
            <w:r w:rsidR="00D44C65">
              <w:rPr>
                <w:noProof/>
                <w:webHidden/>
              </w:rPr>
              <w:fldChar w:fldCharType="separate"/>
            </w:r>
            <w:r w:rsidR="00D44C65">
              <w:rPr>
                <w:noProof/>
                <w:webHidden/>
              </w:rPr>
              <w:t>27</w:t>
            </w:r>
            <w:r w:rsidR="00D44C65">
              <w:rPr>
                <w:noProof/>
                <w:webHidden/>
              </w:rPr>
              <w:fldChar w:fldCharType="end"/>
            </w:r>
          </w:hyperlink>
        </w:p>
        <w:p w14:paraId="26A2314C" w14:textId="77777777" w:rsidR="00D44C65" w:rsidRDefault="00BA2754">
          <w:pPr>
            <w:pStyle w:val="TOC1"/>
            <w:tabs>
              <w:tab w:val="left" w:pos="440"/>
              <w:tab w:val="right" w:leader="dot" w:pos="9323"/>
            </w:tabs>
            <w:rPr>
              <w:noProof/>
              <w:lang w:val="en-AU" w:eastAsia="en-AU"/>
            </w:rPr>
          </w:pPr>
          <w:hyperlink w:anchor="_Toc489888071" w:history="1">
            <w:r w:rsidR="00D44C65" w:rsidRPr="00BB67FB">
              <w:rPr>
                <w:rStyle w:val="Hyperlink"/>
                <w:rFonts w:cstheme="minorHAnsi"/>
                <w:b/>
                <w:noProof/>
              </w:rPr>
              <w:t>5</w:t>
            </w:r>
            <w:r w:rsidR="00D44C65">
              <w:rPr>
                <w:noProof/>
                <w:lang w:val="en-AU" w:eastAsia="en-AU"/>
              </w:rPr>
              <w:tab/>
            </w:r>
            <w:r w:rsidR="00D44C65" w:rsidRPr="00BB67FB">
              <w:rPr>
                <w:rStyle w:val="Hyperlink"/>
                <w:rFonts w:cstheme="minorHAnsi"/>
                <w:b/>
                <w:noProof/>
              </w:rPr>
              <w:t>PARTICIPANT SELECTION AND ENROLMENT</w:t>
            </w:r>
            <w:r w:rsidR="00D44C65">
              <w:rPr>
                <w:noProof/>
                <w:webHidden/>
              </w:rPr>
              <w:tab/>
            </w:r>
            <w:r w:rsidR="00D44C65">
              <w:rPr>
                <w:noProof/>
                <w:webHidden/>
              </w:rPr>
              <w:fldChar w:fldCharType="begin"/>
            </w:r>
            <w:r w:rsidR="00D44C65">
              <w:rPr>
                <w:noProof/>
                <w:webHidden/>
              </w:rPr>
              <w:instrText xml:space="preserve"> PAGEREF _Toc489888071 \h </w:instrText>
            </w:r>
            <w:r w:rsidR="00D44C65">
              <w:rPr>
                <w:noProof/>
                <w:webHidden/>
              </w:rPr>
            </w:r>
            <w:r w:rsidR="00D44C65">
              <w:rPr>
                <w:noProof/>
                <w:webHidden/>
              </w:rPr>
              <w:fldChar w:fldCharType="separate"/>
            </w:r>
            <w:r w:rsidR="00D44C65">
              <w:rPr>
                <w:noProof/>
                <w:webHidden/>
              </w:rPr>
              <w:t>28</w:t>
            </w:r>
            <w:r w:rsidR="00D44C65">
              <w:rPr>
                <w:noProof/>
                <w:webHidden/>
              </w:rPr>
              <w:fldChar w:fldCharType="end"/>
            </w:r>
          </w:hyperlink>
        </w:p>
        <w:p w14:paraId="3749F193" w14:textId="77777777" w:rsidR="00D44C65" w:rsidRDefault="00BA2754">
          <w:pPr>
            <w:pStyle w:val="TOC2"/>
            <w:tabs>
              <w:tab w:val="left" w:pos="880"/>
              <w:tab w:val="right" w:leader="dot" w:pos="9323"/>
            </w:tabs>
            <w:rPr>
              <w:noProof/>
              <w:lang w:val="en-AU" w:eastAsia="en-AU"/>
            </w:rPr>
          </w:pPr>
          <w:hyperlink w:anchor="_Toc489888072" w:history="1">
            <w:r w:rsidR="00D44C65" w:rsidRPr="00BB67FB">
              <w:rPr>
                <w:rStyle w:val="Hyperlink"/>
                <w:rFonts w:cstheme="minorHAnsi"/>
                <w:b/>
                <w:noProof/>
              </w:rPr>
              <w:t>5.1</w:t>
            </w:r>
            <w:r w:rsidR="00D44C65">
              <w:rPr>
                <w:noProof/>
                <w:lang w:val="en-AU" w:eastAsia="en-AU"/>
              </w:rPr>
              <w:tab/>
            </w:r>
            <w:r w:rsidR="00D44C65" w:rsidRPr="00BB67FB">
              <w:rPr>
                <w:rStyle w:val="Hyperlink"/>
                <w:rFonts w:cstheme="minorHAnsi"/>
                <w:b/>
                <w:noProof/>
              </w:rPr>
              <w:t>IDENTIFYING PARTICIPANTS</w:t>
            </w:r>
            <w:r w:rsidR="00D44C65">
              <w:rPr>
                <w:noProof/>
                <w:webHidden/>
              </w:rPr>
              <w:tab/>
            </w:r>
            <w:r w:rsidR="00D44C65">
              <w:rPr>
                <w:noProof/>
                <w:webHidden/>
              </w:rPr>
              <w:fldChar w:fldCharType="begin"/>
            </w:r>
            <w:r w:rsidR="00D44C65">
              <w:rPr>
                <w:noProof/>
                <w:webHidden/>
              </w:rPr>
              <w:instrText xml:space="preserve"> PAGEREF _Toc489888072 \h </w:instrText>
            </w:r>
            <w:r w:rsidR="00D44C65">
              <w:rPr>
                <w:noProof/>
                <w:webHidden/>
              </w:rPr>
            </w:r>
            <w:r w:rsidR="00D44C65">
              <w:rPr>
                <w:noProof/>
                <w:webHidden/>
              </w:rPr>
              <w:fldChar w:fldCharType="separate"/>
            </w:r>
            <w:r w:rsidR="00D44C65">
              <w:rPr>
                <w:noProof/>
                <w:webHidden/>
              </w:rPr>
              <w:t>28</w:t>
            </w:r>
            <w:r w:rsidR="00D44C65">
              <w:rPr>
                <w:noProof/>
                <w:webHidden/>
              </w:rPr>
              <w:fldChar w:fldCharType="end"/>
            </w:r>
          </w:hyperlink>
        </w:p>
        <w:p w14:paraId="2AC55A63" w14:textId="77777777" w:rsidR="00D44C65" w:rsidRDefault="00BA2754">
          <w:pPr>
            <w:pStyle w:val="TOC2"/>
            <w:tabs>
              <w:tab w:val="left" w:pos="880"/>
              <w:tab w:val="right" w:leader="dot" w:pos="9323"/>
            </w:tabs>
            <w:rPr>
              <w:noProof/>
              <w:lang w:val="en-AU" w:eastAsia="en-AU"/>
            </w:rPr>
          </w:pPr>
          <w:hyperlink w:anchor="_Toc489888073" w:history="1">
            <w:r w:rsidR="00D44C65" w:rsidRPr="00BB67FB">
              <w:rPr>
                <w:rStyle w:val="Hyperlink"/>
                <w:rFonts w:cstheme="minorHAnsi"/>
                <w:b/>
                <w:noProof/>
              </w:rPr>
              <w:t>5.2</w:t>
            </w:r>
            <w:r w:rsidR="00D44C65">
              <w:rPr>
                <w:noProof/>
                <w:lang w:val="en-AU" w:eastAsia="en-AU"/>
              </w:rPr>
              <w:tab/>
            </w:r>
            <w:r w:rsidR="00D44C65" w:rsidRPr="00BB67FB">
              <w:rPr>
                <w:rStyle w:val="Hyperlink"/>
                <w:rFonts w:cstheme="minorHAnsi"/>
                <w:b/>
                <w:noProof/>
              </w:rPr>
              <w:t>CONSENTING PARTICIPANTS</w:t>
            </w:r>
            <w:r w:rsidR="00D44C65">
              <w:rPr>
                <w:noProof/>
                <w:webHidden/>
              </w:rPr>
              <w:tab/>
            </w:r>
            <w:r w:rsidR="00D44C65">
              <w:rPr>
                <w:noProof/>
                <w:webHidden/>
              </w:rPr>
              <w:fldChar w:fldCharType="begin"/>
            </w:r>
            <w:r w:rsidR="00D44C65">
              <w:rPr>
                <w:noProof/>
                <w:webHidden/>
              </w:rPr>
              <w:instrText xml:space="preserve"> PAGEREF _Toc489888073 \h </w:instrText>
            </w:r>
            <w:r w:rsidR="00D44C65">
              <w:rPr>
                <w:noProof/>
                <w:webHidden/>
              </w:rPr>
            </w:r>
            <w:r w:rsidR="00D44C65">
              <w:rPr>
                <w:noProof/>
                <w:webHidden/>
              </w:rPr>
              <w:fldChar w:fldCharType="separate"/>
            </w:r>
            <w:r w:rsidR="00D44C65">
              <w:rPr>
                <w:noProof/>
                <w:webHidden/>
              </w:rPr>
              <w:t>28</w:t>
            </w:r>
            <w:r w:rsidR="00D44C65">
              <w:rPr>
                <w:noProof/>
                <w:webHidden/>
              </w:rPr>
              <w:fldChar w:fldCharType="end"/>
            </w:r>
          </w:hyperlink>
        </w:p>
        <w:p w14:paraId="70295477" w14:textId="77777777" w:rsidR="00D44C65" w:rsidRDefault="00BA2754">
          <w:pPr>
            <w:pStyle w:val="TOC2"/>
            <w:tabs>
              <w:tab w:val="left" w:pos="880"/>
              <w:tab w:val="right" w:leader="dot" w:pos="9323"/>
            </w:tabs>
            <w:rPr>
              <w:noProof/>
              <w:lang w:val="en-AU" w:eastAsia="en-AU"/>
            </w:rPr>
          </w:pPr>
          <w:hyperlink w:anchor="_Toc489888074" w:history="1">
            <w:r w:rsidR="00D44C65" w:rsidRPr="00BB67FB">
              <w:rPr>
                <w:rStyle w:val="Hyperlink"/>
                <w:rFonts w:cstheme="minorHAnsi"/>
                <w:b/>
                <w:noProof/>
              </w:rPr>
              <w:t>5.3</w:t>
            </w:r>
            <w:r w:rsidR="00D44C65">
              <w:rPr>
                <w:noProof/>
                <w:lang w:val="en-AU" w:eastAsia="en-AU"/>
              </w:rPr>
              <w:tab/>
            </w:r>
            <w:r w:rsidR="00D44C65" w:rsidRPr="00BB67FB">
              <w:rPr>
                <w:rStyle w:val="Hyperlink"/>
                <w:rFonts w:cstheme="minorHAnsi"/>
                <w:b/>
                <w:noProof/>
              </w:rPr>
              <w:t>SCREENING FOR ELIGIBILITY</w:t>
            </w:r>
            <w:r w:rsidR="00D44C65">
              <w:rPr>
                <w:noProof/>
                <w:webHidden/>
              </w:rPr>
              <w:tab/>
            </w:r>
            <w:r w:rsidR="00D44C65">
              <w:rPr>
                <w:noProof/>
                <w:webHidden/>
              </w:rPr>
              <w:fldChar w:fldCharType="begin"/>
            </w:r>
            <w:r w:rsidR="00D44C65">
              <w:rPr>
                <w:noProof/>
                <w:webHidden/>
              </w:rPr>
              <w:instrText xml:space="preserve"> PAGEREF _Toc489888074 \h </w:instrText>
            </w:r>
            <w:r w:rsidR="00D44C65">
              <w:rPr>
                <w:noProof/>
                <w:webHidden/>
              </w:rPr>
            </w:r>
            <w:r w:rsidR="00D44C65">
              <w:rPr>
                <w:noProof/>
                <w:webHidden/>
              </w:rPr>
              <w:fldChar w:fldCharType="separate"/>
            </w:r>
            <w:r w:rsidR="00D44C65">
              <w:rPr>
                <w:noProof/>
                <w:webHidden/>
              </w:rPr>
              <w:t>28</w:t>
            </w:r>
            <w:r w:rsidR="00D44C65">
              <w:rPr>
                <w:noProof/>
                <w:webHidden/>
              </w:rPr>
              <w:fldChar w:fldCharType="end"/>
            </w:r>
          </w:hyperlink>
        </w:p>
        <w:p w14:paraId="7C9A4486" w14:textId="77777777" w:rsidR="00D44C65" w:rsidRDefault="00BA2754">
          <w:pPr>
            <w:pStyle w:val="TOC2"/>
            <w:tabs>
              <w:tab w:val="left" w:pos="880"/>
              <w:tab w:val="right" w:leader="dot" w:pos="9323"/>
            </w:tabs>
            <w:rPr>
              <w:noProof/>
              <w:lang w:val="en-AU" w:eastAsia="en-AU"/>
            </w:rPr>
          </w:pPr>
          <w:hyperlink w:anchor="_Toc489888075" w:history="1">
            <w:r w:rsidR="00D44C65" w:rsidRPr="00BB67FB">
              <w:rPr>
                <w:rStyle w:val="Hyperlink"/>
                <w:rFonts w:cstheme="minorHAnsi"/>
                <w:b/>
                <w:noProof/>
              </w:rPr>
              <w:t>5.4</w:t>
            </w:r>
            <w:r w:rsidR="00D44C65">
              <w:rPr>
                <w:noProof/>
                <w:lang w:val="en-AU" w:eastAsia="en-AU"/>
              </w:rPr>
              <w:tab/>
            </w:r>
            <w:r w:rsidR="00D44C65" w:rsidRPr="00BB67FB">
              <w:rPr>
                <w:rStyle w:val="Hyperlink"/>
                <w:rFonts w:cstheme="minorHAnsi"/>
                <w:b/>
                <w:noProof/>
              </w:rPr>
              <w:t>INELIGIBLE AND NON-RECRUITED PARTICIPANTS</w:t>
            </w:r>
            <w:r w:rsidR="00D44C65">
              <w:rPr>
                <w:noProof/>
                <w:webHidden/>
              </w:rPr>
              <w:tab/>
            </w:r>
            <w:r w:rsidR="00D44C65">
              <w:rPr>
                <w:noProof/>
                <w:webHidden/>
              </w:rPr>
              <w:fldChar w:fldCharType="begin"/>
            </w:r>
            <w:r w:rsidR="00D44C65">
              <w:rPr>
                <w:noProof/>
                <w:webHidden/>
              </w:rPr>
              <w:instrText xml:space="preserve"> PAGEREF _Toc489888075 \h </w:instrText>
            </w:r>
            <w:r w:rsidR="00D44C65">
              <w:rPr>
                <w:noProof/>
                <w:webHidden/>
              </w:rPr>
            </w:r>
            <w:r w:rsidR="00D44C65">
              <w:rPr>
                <w:noProof/>
                <w:webHidden/>
              </w:rPr>
              <w:fldChar w:fldCharType="separate"/>
            </w:r>
            <w:r w:rsidR="00D44C65">
              <w:rPr>
                <w:noProof/>
                <w:webHidden/>
              </w:rPr>
              <w:t>28</w:t>
            </w:r>
            <w:r w:rsidR="00D44C65">
              <w:rPr>
                <w:noProof/>
                <w:webHidden/>
              </w:rPr>
              <w:fldChar w:fldCharType="end"/>
            </w:r>
          </w:hyperlink>
        </w:p>
        <w:p w14:paraId="4543CD14" w14:textId="77777777" w:rsidR="00D44C65" w:rsidRDefault="00BA2754">
          <w:pPr>
            <w:pStyle w:val="TOC2"/>
            <w:tabs>
              <w:tab w:val="left" w:pos="880"/>
              <w:tab w:val="right" w:leader="dot" w:pos="9323"/>
            </w:tabs>
            <w:rPr>
              <w:noProof/>
              <w:lang w:val="en-AU" w:eastAsia="en-AU"/>
            </w:rPr>
          </w:pPr>
          <w:hyperlink w:anchor="_Toc489888076" w:history="1">
            <w:r w:rsidR="00D44C65" w:rsidRPr="00BB67FB">
              <w:rPr>
                <w:rStyle w:val="Hyperlink"/>
                <w:rFonts w:cstheme="minorHAnsi"/>
                <w:b/>
                <w:noProof/>
              </w:rPr>
              <w:t>5.5</w:t>
            </w:r>
            <w:r w:rsidR="00D44C65">
              <w:rPr>
                <w:noProof/>
                <w:lang w:val="en-AU" w:eastAsia="en-AU"/>
              </w:rPr>
              <w:tab/>
            </w:r>
            <w:r w:rsidR="00D44C65" w:rsidRPr="00BB67FB">
              <w:rPr>
                <w:rStyle w:val="Hyperlink"/>
                <w:rFonts w:cstheme="minorHAnsi"/>
                <w:b/>
                <w:noProof/>
              </w:rPr>
              <w:t>RANDOMISATION</w:t>
            </w:r>
            <w:r w:rsidR="00D44C65">
              <w:rPr>
                <w:noProof/>
                <w:webHidden/>
              </w:rPr>
              <w:tab/>
            </w:r>
            <w:r w:rsidR="00D44C65">
              <w:rPr>
                <w:noProof/>
                <w:webHidden/>
              </w:rPr>
              <w:fldChar w:fldCharType="begin"/>
            </w:r>
            <w:r w:rsidR="00D44C65">
              <w:rPr>
                <w:noProof/>
                <w:webHidden/>
              </w:rPr>
              <w:instrText xml:space="preserve"> PAGEREF _Toc489888076 \h </w:instrText>
            </w:r>
            <w:r w:rsidR="00D44C65">
              <w:rPr>
                <w:noProof/>
                <w:webHidden/>
              </w:rPr>
            </w:r>
            <w:r w:rsidR="00D44C65">
              <w:rPr>
                <w:noProof/>
                <w:webHidden/>
              </w:rPr>
              <w:fldChar w:fldCharType="separate"/>
            </w:r>
            <w:r w:rsidR="00D44C65">
              <w:rPr>
                <w:noProof/>
                <w:webHidden/>
              </w:rPr>
              <w:t>29</w:t>
            </w:r>
            <w:r w:rsidR="00D44C65">
              <w:rPr>
                <w:noProof/>
                <w:webHidden/>
              </w:rPr>
              <w:fldChar w:fldCharType="end"/>
            </w:r>
          </w:hyperlink>
        </w:p>
        <w:p w14:paraId="551F509B" w14:textId="77777777" w:rsidR="00D44C65" w:rsidRDefault="00BA2754">
          <w:pPr>
            <w:pStyle w:val="TOC3"/>
            <w:tabs>
              <w:tab w:val="left" w:pos="1320"/>
              <w:tab w:val="right" w:leader="dot" w:pos="9323"/>
            </w:tabs>
            <w:rPr>
              <w:noProof/>
              <w:lang w:val="en-AU" w:eastAsia="en-AU"/>
            </w:rPr>
          </w:pPr>
          <w:hyperlink w:anchor="_Toc489888077" w:history="1">
            <w:r w:rsidR="00D44C65" w:rsidRPr="00BB67FB">
              <w:rPr>
                <w:rStyle w:val="Hyperlink"/>
                <w:rFonts w:cstheme="minorHAnsi"/>
                <w:b/>
                <w:noProof/>
              </w:rPr>
              <w:t>5.5.1</w:t>
            </w:r>
            <w:r w:rsidR="00D44C65">
              <w:rPr>
                <w:noProof/>
                <w:lang w:val="en-AU" w:eastAsia="en-AU"/>
              </w:rPr>
              <w:tab/>
            </w:r>
            <w:r w:rsidR="00D44C65" w:rsidRPr="00BB67FB">
              <w:rPr>
                <w:rStyle w:val="Hyperlink"/>
                <w:rFonts w:cstheme="minorHAnsi"/>
                <w:b/>
                <w:noProof/>
              </w:rPr>
              <w:t>Treatment Allocation</w:t>
            </w:r>
            <w:r w:rsidR="00D44C65">
              <w:rPr>
                <w:noProof/>
                <w:webHidden/>
              </w:rPr>
              <w:tab/>
            </w:r>
            <w:r w:rsidR="00D44C65">
              <w:rPr>
                <w:noProof/>
                <w:webHidden/>
              </w:rPr>
              <w:fldChar w:fldCharType="begin"/>
            </w:r>
            <w:r w:rsidR="00D44C65">
              <w:rPr>
                <w:noProof/>
                <w:webHidden/>
              </w:rPr>
              <w:instrText xml:space="preserve"> PAGEREF _Toc489888077 \h </w:instrText>
            </w:r>
            <w:r w:rsidR="00D44C65">
              <w:rPr>
                <w:noProof/>
                <w:webHidden/>
              </w:rPr>
            </w:r>
            <w:r w:rsidR="00D44C65">
              <w:rPr>
                <w:noProof/>
                <w:webHidden/>
              </w:rPr>
              <w:fldChar w:fldCharType="separate"/>
            </w:r>
            <w:r w:rsidR="00D44C65">
              <w:rPr>
                <w:noProof/>
                <w:webHidden/>
              </w:rPr>
              <w:t>29</w:t>
            </w:r>
            <w:r w:rsidR="00D44C65">
              <w:rPr>
                <w:noProof/>
                <w:webHidden/>
              </w:rPr>
              <w:fldChar w:fldCharType="end"/>
            </w:r>
          </w:hyperlink>
        </w:p>
        <w:p w14:paraId="2D642A12" w14:textId="77777777" w:rsidR="00D44C65" w:rsidRDefault="00BA2754">
          <w:pPr>
            <w:pStyle w:val="TOC3"/>
            <w:tabs>
              <w:tab w:val="left" w:pos="1320"/>
              <w:tab w:val="right" w:leader="dot" w:pos="9323"/>
            </w:tabs>
            <w:rPr>
              <w:noProof/>
              <w:lang w:val="en-AU" w:eastAsia="en-AU"/>
            </w:rPr>
          </w:pPr>
          <w:hyperlink w:anchor="_Toc489888078" w:history="1">
            <w:r w:rsidR="00D44C65" w:rsidRPr="00BB67FB">
              <w:rPr>
                <w:rStyle w:val="Hyperlink"/>
                <w:rFonts w:cstheme="minorHAnsi"/>
                <w:b/>
                <w:noProof/>
              </w:rPr>
              <w:t>5.5.2</w:t>
            </w:r>
            <w:r w:rsidR="00D44C65">
              <w:rPr>
                <w:noProof/>
                <w:lang w:val="en-AU" w:eastAsia="en-AU"/>
              </w:rPr>
              <w:tab/>
            </w:r>
            <w:r w:rsidR="00D44C65" w:rsidRPr="00BB67FB">
              <w:rPr>
                <w:rStyle w:val="Hyperlink"/>
                <w:rFonts w:cstheme="minorHAnsi"/>
                <w:b/>
                <w:noProof/>
              </w:rPr>
              <w:t>Emergency Unblinding Procedures</w:t>
            </w:r>
            <w:r w:rsidR="00D44C65">
              <w:rPr>
                <w:noProof/>
                <w:webHidden/>
              </w:rPr>
              <w:tab/>
            </w:r>
            <w:r w:rsidR="00D44C65">
              <w:rPr>
                <w:noProof/>
                <w:webHidden/>
              </w:rPr>
              <w:fldChar w:fldCharType="begin"/>
            </w:r>
            <w:r w:rsidR="00D44C65">
              <w:rPr>
                <w:noProof/>
                <w:webHidden/>
              </w:rPr>
              <w:instrText xml:space="preserve"> PAGEREF _Toc489888078 \h </w:instrText>
            </w:r>
            <w:r w:rsidR="00D44C65">
              <w:rPr>
                <w:noProof/>
                <w:webHidden/>
              </w:rPr>
            </w:r>
            <w:r w:rsidR="00D44C65">
              <w:rPr>
                <w:noProof/>
                <w:webHidden/>
              </w:rPr>
              <w:fldChar w:fldCharType="separate"/>
            </w:r>
            <w:r w:rsidR="00D44C65">
              <w:rPr>
                <w:noProof/>
                <w:webHidden/>
              </w:rPr>
              <w:t>29</w:t>
            </w:r>
            <w:r w:rsidR="00D44C65">
              <w:rPr>
                <w:noProof/>
                <w:webHidden/>
              </w:rPr>
              <w:fldChar w:fldCharType="end"/>
            </w:r>
          </w:hyperlink>
        </w:p>
        <w:p w14:paraId="76AEAD42" w14:textId="77777777" w:rsidR="00D44C65" w:rsidRDefault="00BA2754">
          <w:pPr>
            <w:pStyle w:val="TOC2"/>
            <w:tabs>
              <w:tab w:val="left" w:pos="880"/>
              <w:tab w:val="right" w:leader="dot" w:pos="9323"/>
            </w:tabs>
            <w:rPr>
              <w:noProof/>
              <w:lang w:val="en-AU" w:eastAsia="en-AU"/>
            </w:rPr>
          </w:pPr>
          <w:hyperlink w:anchor="_Toc489888079" w:history="1">
            <w:r w:rsidR="00D44C65" w:rsidRPr="00BB67FB">
              <w:rPr>
                <w:rStyle w:val="Hyperlink"/>
                <w:rFonts w:cstheme="minorHAnsi"/>
                <w:b/>
                <w:noProof/>
              </w:rPr>
              <w:t>5.6</w:t>
            </w:r>
            <w:r w:rsidR="00D44C65">
              <w:rPr>
                <w:noProof/>
                <w:lang w:val="en-AU" w:eastAsia="en-AU"/>
              </w:rPr>
              <w:tab/>
            </w:r>
            <w:r w:rsidR="00D44C65" w:rsidRPr="00BB67FB">
              <w:rPr>
                <w:rStyle w:val="Hyperlink"/>
                <w:rFonts w:cstheme="minorHAnsi"/>
                <w:b/>
                <w:noProof/>
              </w:rPr>
              <w:t>WITHDRAWAL OF STUDY PARTICIPANTS</w:t>
            </w:r>
            <w:r w:rsidR="00D44C65">
              <w:rPr>
                <w:noProof/>
                <w:webHidden/>
              </w:rPr>
              <w:tab/>
            </w:r>
            <w:r w:rsidR="00D44C65">
              <w:rPr>
                <w:noProof/>
                <w:webHidden/>
              </w:rPr>
              <w:fldChar w:fldCharType="begin"/>
            </w:r>
            <w:r w:rsidR="00D44C65">
              <w:rPr>
                <w:noProof/>
                <w:webHidden/>
              </w:rPr>
              <w:instrText xml:space="preserve"> PAGEREF _Toc489888079 \h </w:instrText>
            </w:r>
            <w:r w:rsidR="00D44C65">
              <w:rPr>
                <w:noProof/>
                <w:webHidden/>
              </w:rPr>
            </w:r>
            <w:r w:rsidR="00D44C65">
              <w:rPr>
                <w:noProof/>
                <w:webHidden/>
              </w:rPr>
              <w:fldChar w:fldCharType="separate"/>
            </w:r>
            <w:r w:rsidR="00D44C65">
              <w:rPr>
                <w:noProof/>
                <w:webHidden/>
              </w:rPr>
              <w:t>29</w:t>
            </w:r>
            <w:r w:rsidR="00D44C65">
              <w:rPr>
                <w:noProof/>
                <w:webHidden/>
              </w:rPr>
              <w:fldChar w:fldCharType="end"/>
            </w:r>
          </w:hyperlink>
        </w:p>
        <w:p w14:paraId="2639AA13" w14:textId="77777777" w:rsidR="00D44C65" w:rsidRDefault="00BA2754">
          <w:pPr>
            <w:pStyle w:val="TOC1"/>
            <w:tabs>
              <w:tab w:val="left" w:pos="440"/>
              <w:tab w:val="right" w:leader="dot" w:pos="9323"/>
            </w:tabs>
            <w:rPr>
              <w:noProof/>
              <w:lang w:val="en-AU" w:eastAsia="en-AU"/>
            </w:rPr>
          </w:pPr>
          <w:hyperlink w:anchor="_Toc489888080" w:history="1">
            <w:r w:rsidR="00D44C65" w:rsidRPr="00BB67FB">
              <w:rPr>
                <w:rStyle w:val="Hyperlink"/>
                <w:rFonts w:cstheme="minorHAnsi"/>
                <w:b/>
                <w:noProof/>
              </w:rPr>
              <w:t>6</w:t>
            </w:r>
            <w:r w:rsidR="00D44C65">
              <w:rPr>
                <w:noProof/>
                <w:lang w:val="en-AU" w:eastAsia="en-AU"/>
              </w:rPr>
              <w:tab/>
            </w:r>
            <w:r w:rsidR="00D44C65" w:rsidRPr="00BB67FB">
              <w:rPr>
                <w:rStyle w:val="Hyperlink"/>
                <w:rFonts w:cstheme="minorHAnsi"/>
                <w:b/>
                <w:noProof/>
              </w:rPr>
              <w:t>INVESTIGATIONAL MEDICINAL PRODUCT</w:t>
            </w:r>
            <w:r w:rsidR="00D44C65">
              <w:rPr>
                <w:noProof/>
                <w:webHidden/>
              </w:rPr>
              <w:tab/>
            </w:r>
            <w:r w:rsidR="00D44C65">
              <w:rPr>
                <w:noProof/>
                <w:webHidden/>
              </w:rPr>
              <w:fldChar w:fldCharType="begin"/>
            </w:r>
            <w:r w:rsidR="00D44C65">
              <w:rPr>
                <w:noProof/>
                <w:webHidden/>
              </w:rPr>
              <w:instrText xml:space="preserve"> PAGEREF _Toc489888080 \h </w:instrText>
            </w:r>
            <w:r w:rsidR="00D44C65">
              <w:rPr>
                <w:noProof/>
                <w:webHidden/>
              </w:rPr>
            </w:r>
            <w:r w:rsidR="00D44C65">
              <w:rPr>
                <w:noProof/>
                <w:webHidden/>
              </w:rPr>
              <w:fldChar w:fldCharType="separate"/>
            </w:r>
            <w:r w:rsidR="00D44C65">
              <w:rPr>
                <w:noProof/>
                <w:webHidden/>
              </w:rPr>
              <w:t>30</w:t>
            </w:r>
            <w:r w:rsidR="00D44C65">
              <w:rPr>
                <w:noProof/>
                <w:webHidden/>
              </w:rPr>
              <w:fldChar w:fldCharType="end"/>
            </w:r>
          </w:hyperlink>
        </w:p>
        <w:p w14:paraId="0D3E605D" w14:textId="77777777" w:rsidR="00D44C65" w:rsidRDefault="00BA2754">
          <w:pPr>
            <w:pStyle w:val="TOC2"/>
            <w:tabs>
              <w:tab w:val="left" w:pos="880"/>
              <w:tab w:val="right" w:leader="dot" w:pos="9323"/>
            </w:tabs>
            <w:rPr>
              <w:noProof/>
              <w:lang w:val="en-AU" w:eastAsia="en-AU"/>
            </w:rPr>
          </w:pPr>
          <w:hyperlink w:anchor="_Toc489888081" w:history="1">
            <w:r w:rsidR="00D44C65" w:rsidRPr="00BB67FB">
              <w:rPr>
                <w:rStyle w:val="Hyperlink"/>
                <w:rFonts w:cstheme="minorHAnsi"/>
                <w:b/>
                <w:noProof/>
              </w:rPr>
              <w:t>6.1</w:t>
            </w:r>
            <w:r w:rsidR="00D44C65">
              <w:rPr>
                <w:noProof/>
                <w:lang w:val="en-AU" w:eastAsia="en-AU"/>
              </w:rPr>
              <w:tab/>
            </w:r>
            <w:r w:rsidR="00D44C65" w:rsidRPr="00BB67FB">
              <w:rPr>
                <w:rStyle w:val="Hyperlink"/>
                <w:rFonts w:cstheme="minorHAnsi"/>
                <w:b/>
                <w:noProof/>
              </w:rPr>
              <w:t>STUDY DRUG</w:t>
            </w:r>
            <w:r w:rsidR="00D44C65">
              <w:rPr>
                <w:noProof/>
                <w:webHidden/>
              </w:rPr>
              <w:tab/>
            </w:r>
            <w:r w:rsidR="00D44C65">
              <w:rPr>
                <w:noProof/>
                <w:webHidden/>
              </w:rPr>
              <w:fldChar w:fldCharType="begin"/>
            </w:r>
            <w:r w:rsidR="00D44C65">
              <w:rPr>
                <w:noProof/>
                <w:webHidden/>
              </w:rPr>
              <w:instrText xml:space="preserve"> PAGEREF _Toc489888081 \h </w:instrText>
            </w:r>
            <w:r w:rsidR="00D44C65">
              <w:rPr>
                <w:noProof/>
                <w:webHidden/>
              </w:rPr>
            </w:r>
            <w:r w:rsidR="00D44C65">
              <w:rPr>
                <w:noProof/>
                <w:webHidden/>
              </w:rPr>
              <w:fldChar w:fldCharType="separate"/>
            </w:r>
            <w:r w:rsidR="00D44C65">
              <w:rPr>
                <w:noProof/>
                <w:webHidden/>
              </w:rPr>
              <w:t>30</w:t>
            </w:r>
            <w:r w:rsidR="00D44C65">
              <w:rPr>
                <w:noProof/>
                <w:webHidden/>
              </w:rPr>
              <w:fldChar w:fldCharType="end"/>
            </w:r>
          </w:hyperlink>
        </w:p>
        <w:p w14:paraId="2D0391E0" w14:textId="77777777" w:rsidR="00D44C65" w:rsidRDefault="00BA2754">
          <w:pPr>
            <w:pStyle w:val="TOC3"/>
            <w:tabs>
              <w:tab w:val="left" w:pos="1320"/>
              <w:tab w:val="right" w:leader="dot" w:pos="9323"/>
            </w:tabs>
            <w:rPr>
              <w:noProof/>
              <w:lang w:val="en-AU" w:eastAsia="en-AU"/>
            </w:rPr>
          </w:pPr>
          <w:hyperlink w:anchor="_Toc489888082" w:history="1">
            <w:r w:rsidR="00D44C65" w:rsidRPr="00BB67FB">
              <w:rPr>
                <w:rStyle w:val="Hyperlink"/>
                <w:rFonts w:cstheme="minorHAnsi"/>
                <w:b/>
                <w:noProof/>
              </w:rPr>
              <w:t>6.1.1</w:t>
            </w:r>
            <w:r w:rsidR="00D44C65">
              <w:rPr>
                <w:noProof/>
                <w:lang w:val="en-AU" w:eastAsia="en-AU"/>
              </w:rPr>
              <w:tab/>
            </w:r>
            <w:r w:rsidR="00D44C65" w:rsidRPr="00BB67FB">
              <w:rPr>
                <w:rStyle w:val="Hyperlink"/>
                <w:rFonts w:cstheme="minorHAnsi"/>
                <w:b/>
                <w:noProof/>
              </w:rPr>
              <w:t>Study drug identification and presentation</w:t>
            </w:r>
            <w:r w:rsidR="00D44C65">
              <w:rPr>
                <w:noProof/>
                <w:webHidden/>
              </w:rPr>
              <w:tab/>
            </w:r>
            <w:r w:rsidR="00D44C65">
              <w:rPr>
                <w:noProof/>
                <w:webHidden/>
              </w:rPr>
              <w:fldChar w:fldCharType="begin"/>
            </w:r>
            <w:r w:rsidR="00D44C65">
              <w:rPr>
                <w:noProof/>
                <w:webHidden/>
              </w:rPr>
              <w:instrText xml:space="preserve"> PAGEREF _Toc489888082 \h </w:instrText>
            </w:r>
            <w:r w:rsidR="00D44C65">
              <w:rPr>
                <w:noProof/>
                <w:webHidden/>
              </w:rPr>
            </w:r>
            <w:r w:rsidR="00D44C65">
              <w:rPr>
                <w:noProof/>
                <w:webHidden/>
              </w:rPr>
              <w:fldChar w:fldCharType="separate"/>
            </w:r>
            <w:r w:rsidR="00D44C65">
              <w:rPr>
                <w:noProof/>
                <w:webHidden/>
              </w:rPr>
              <w:t>30</w:t>
            </w:r>
            <w:r w:rsidR="00D44C65">
              <w:rPr>
                <w:noProof/>
                <w:webHidden/>
              </w:rPr>
              <w:fldChar w:fldCharType="end"/>
            </w:r>
          </w:hyperlink>
        </w:p>
        <w:p w14:paraId="7CFFF9CA" w14:textId="77777777" w:rsidR="00D44C65" w:rsidRDefault="00BA2754">
          <w:pPr>
            <w:pStyle w:val="TOC3"/>
            <w:tabs>
              <w:tab w:val="left" w:pos="1320"/>
              <w:tab w:val="right" w:leader="dot" w:pos="9323"/>
            </w:tabs>
            <w:rPr>
              <w:noProof/>
              <w:lang w:val="en-AU" w:eastAsia="en-AU"/>
            </w:rPr>
          </w:pPr>
          <w:hyperlink w:anchor="_Toc489888083" w:history="1">
            <w:r w:rsidR="00D44C65" w:rsidRPr="00BB67FB">
              <w:rPr>
                <w:rStyle w:val="Hyperlink"/>
                <w:rFonts w:cstheme="minorHAnsi"/>
                <w:b/>
                <w:noProof/>
              </w:rPr>
              <w:t>6.1.2</w:t>
            </w:r>
            <w:r w:rsidR="00D44C65">
              <w:rPr>
                <w:noProof/>
                <w:lang w:val="en-AU" w:eastAsia="en-AU"/>
              </w:rPr>
              <w:tab/>
            </w:r>
            <w:r w:rsidR="00D44C65" w:rsidRPr="00BB67FB">
              <w:rPr>
                <w:rStyle w:val="Hyperlink"/>
                <w:rFonts w:cstheme="minorHAnsi"/>
                <w:b/>
                <w:noProof/>
              </w:rPr>
              <w:t>Study drug manufacturer</w:t>
            </w:r>
            <w:r w:rsidR="00D44C65">
              <w:rPr>
                <w:noProof/>
                <w:webHidden/>
              </w:rPr>
              <w:tab/>
            </w:r>
            <w:r w:rsidR="00D44C65">
              <w:rPr>
                <w:noProof/>
                <w:webHidden/>
              </w:rPr>
              <w:fldChar w:fldCharType="begin"/>
            </w:r>
            <w:r w:rsidR="00D44C65">
              <w:rPr>
                <w:noProof/>
                <w:webHidden/>
              </w:rPr>
              <w:instrText xml:space="preserve"> PAGEREF _Toc489888083 \h </w:instrText>
            </w:r>
            <w:r w:rsidR="00D44C65">
              <w:rPr>
                <w:noProof/>
                <w:webHidden/>
              </w:rPr>
            </w:r>
            <w:r w:rsidR="00D44C65">
              <w:rPr>
                <w:noProof/>
                <w:webHidden/>
              </w:rPr>
              <w:fldChar w:fldCharType="separate"/>
            </w:r>
            <w:r w:rsidR="00D44C65">
              <w:rPr>
                <w:noProof/>
                <w:webHidden/>
              </w:rPr>
              <w:t>30</w:t>
            </w:r>
            <w:r w:rsidR="00D44C65">
              <w:rPr>
                <w:noProof/>
                <w:webHidden/>
              </w:rPr>
              <w:fldChar w:fldCharType="end"/>
            </w:r>
          </w:hyperlink>
        </w:p>
        <w:p w14:paraId="031EBC2A" w14:textId="77777777" w:rsidR="00D44C65" w:rsidRDefault="00BA2754">
          <w:pPr>
            <w:pStyle w:val="TOC3"/>
            <w:tabs>
              <w:tab w:val="left" w:pos="1320"/>
              <w:tab w:val="right" w:leader="dot" w:pos="9323"/>
            </w:tabs>
            <w:rPr>
              <w:noProof/>
              <w:lang w:val="en-AU" w:eastAsia="en-AU"/>
            </w:rPr>
          </w:pPr>
          <w:hyperlink w:anchor="_Toc489888084" w:history="1">
            <w:r w:rsidR="00D44C65" w:rsidRPr="00BB67FB">
              <w:rPr>
                <w:rStyle w:val="Hyperlink"/>
                <w:rFonts w:cstheme="minorHAnsi"/>
                <w:b/>
                <w:noProof/>
              </w:rPr>
              <w:t>6.1.3</w:t>
            </w:r>
            <w:r w:rsidR="00D44C65">
              <w:rPr>
                <w:noProof/>
                <w:lang w:val="en-AU" w:eastAsia="en-AU"/>
              </w:rPr>
              <w:tab/>
            </w:r>
            <w:r w:rsidR="00D44C65" w:rsidRPr="00BB67FB">
              <w:rPr>
                <w:rStyle w:val="Hyperlink"/>
                <w:rFonts w:cstheme="minorHAnsi"/>
                <w:b/>
                <w:noProof/>
              </w:rPr>
              <w:t>Medsafe (NZ) and Australian Register of Therapeutic Goods (ARTG) product detail</w:t>
            </w:r>
            <w:r w:rsidR="00D44C65">
              <w:rPr>
                <w:noProof/>
                <w:webHidden/>
              </w:rPr>
              <w:tab/>
            </w:r>
            <w:r w:rsidR="00D44C65">
              <w:rPr>
                <w:noProof/>
                <w:webHidden/>
              </w:rPr>
              <w:fldChar w:fldCharType="begin"/>
            </w:r>
            <w:r w:rsidR="00D44C65">
              <w:rPr>
                <w:noProof/>
                <w:webHidden/>
              </w:rPr>
              <w:instrText xml:space="preserve"> PAGEREF _Toc489888084 \h </w:instrText>
            </w:r>
            <w:r w:rsidR="00D44C65">
              <w:rPr>
                <w:noProof/>
                <w:webHidden/>
              </w:rPr>
            </w:r>
            <w:r w:rsidR="00D44C65">
              <w:rPr>
                <w:noProof/>
                <w:webHidden/>
              </w:rPr>
              <w:fldChar w:fldCharType="separate"/>
            </w:r>
            <w:r w:rsidR="00D44C65">
              <w:rPr>
                <w:noProof/>
                <w:webHidden/>
              </w:rPr>
              <w:t>31</w:t>
            </w:r>
            <w:r w:rsidR="00D44C65">
              <w:rPr>
                <w:noProof/>
                <w:webHidden/>
              </w:rPr>
              <w:fldChar w:fldCharType="end"/>
            </w:r>
          </w:hyperlink>
        </w:p>
        <w:p w14:paraId="4D253B73" w14:textId="77777777" w:rsidR="00D44C65" w:rsidRDefault="00BA2754">
          <w:pPr>
            <w:pStyle w:val="TOC3"/>
            <w:tabs>
              <w:tab w:val="left" w:pos="1320"/>
              <w:tab w:val="right" w:leader="dot" w:pos="9323"/>
            </w:tabs>
            <w:rPr>
              <w:noProof/>
              <w:lang w:val="en-AU" w:eastAsia="en-AU"/>
            </w:rPr>
          </w:pPr>
          <w:hyperlink w:anchor="_Toc489888085" w:history="1">
            <w:r w:rsidR="00D44C65" w:rsidRPr="00BB67FB">
              <w:rPr>
                <w:rStyle w:val="Hyperlink"/>
                <w:rFonts w:cstheme="minorHAnsi"/>
                <w:b/>
                <w:noProof/>
              </w:rPr>
              <w:t>6.1.4</w:t>
            </w:r>
            <w:r w:rsidR="00D44C65">
              <w:rPr>
                <w:noProof/>
                <w:lang w:val="en-AU" w:eastAsia="en-AU"/>
              </w:rPr>
              <w:tab/>
            </w:r>
            <w:r w:rsidR="00D44C65" w:rsidRPr="00BB67FB">
              <w:rPr>
                <w:rStyle w:val="Hyperlink"/>
                <w:rFonts w:cstheme="minorHAnsi"/>
                <w:b/>
                <w:noProof/>
              </w:rPr>
              <w:t>Supply</w:t>
            </w:r>
            <w:r w:rsidR="00D44C65">
              <w:rPr>
                <w:noProof/>
                <w:webHidden/>
              </w:rPr>
              <w:tab/>
            </w:r>
            <w:r w:rsidR="00D44C65">
              <w:rPr>
                <w:noProof/>
                <w:webHidden/>
              </w:rPr>
              <w:fldChar w:fldCharType="begin"/>
            </w:r>
            <w:r w:rsidR="00D44C65">
              <w:rPr>
                <w:noProof/>
                <w:webHidden/>
              </w:rPr>
              <w:instrText xml:space="preserve"> PAGEREF _Toc489888085 \h </w:instrText>
            </w:r>
            <w:r w:rsidR="00D44C65">
              <w:rPr>
                <w:noProof/>
                <w:webHidden/>
              </w:rPr>
            </w:r>
            <w:r w:rsidR="00D44C65">
              <w:rPr>
                <w:noProof/>
                <w:webHidden/>
              </w:rPr>
              <w:fldChar w:fldCharType="separate"/>
            </w:r>
            <w:r w:rsidR="00D44C65">
              <w:rPr>
                <w:noProof/>
                <w:webHidden/>
              </w:rPr>
              <w:t>31</w:t>
            </w:r>
            <w:r w:rsidR="00D44C65">
              <w:rPr>
                <w:noProof/>
                <w:webHidden/>
              </w:rPr>
              <w:fldChar w:fldCharType="end"/>
            </w:r>
          </w:hyperlink>
        </w:p>
        <w:p w14:paraId="28667A5B" w14:textId="77777777" w:rsidR="00D44C65" w:rsidRDefault="00BA2754">
          <w:pPr>
            <w:pStyle w:val="TOC3"/>
            <w:tabs>
              <w:tab w:val="left" w:pos="1320"/>
              <w:tab w:val="right" w:leader="dot" w:pos="9323"/>
            </w:tabs>
            <w:rPr>
              <w:noProof/>
              <w:lang w:val="en-AU" w:eastAsia="en-AU"/>
            </w:rPr>
          </w:pPr>
          <w:hyperlink w:anchor="_Toc489888086" w:history="1">
            <w:r w:rsidR="00D44C65" w:rsidRPr="00BB67FB">
              <w:rPr>
                <w:rStyle w:val="Hyperlink"/>
                <w:rFonts w:cstheme="minorHAnsi"/>
                <w:b/>
                <w:noProof/>
              </w:rPr>
              <w:t>6.1.5</w:t>
            </w:r>
            <w:r w:rsidR="00D44C65">
              <w:rPr>
                <w:noProof/>
                <w:lang w:val="en-AU" w:eastAsia="en-AU"/>
              </w:rPr>
              <w:tab/>
            </w:r>
            <w:r w:rsidR="00D44C65" w:rsidRPr="00BB67FB">
              <w:rPr>
                <w:rStyle w:val="Hyperlink"/>
                <w:rFonts w:cstheme="minorHAnsi"/>
                <w:b/>
                <w:noProof/>
              </w:rPr>
              <w:t>Labelling and packaging</w:t>
            </w:r>
            <w:r w:rsidR="00D44C65">
              <w:rPr>
                <w:noProof/>
                <w:webHidden/>
              </w:rPr>
              <w:tab/>
            </w:r>
            <w:r w:rsidR="00D44C65">
              <w:rPr>
                <w:noProof/>
                <w:webHidden/>
              </w:rPr>
              <w:fldChar w:fldCharType="begin"/>
            </w:r>
            <w:r w:rsidR="00D44C65">
              <w:rPr>
                <w:noProof/>
                <w:webHidden/>
              </w:rPr>
              <w:instrText xml:space="preserve"> PAGEREF _Toc489888086 \h </w:instrText>
            </w:r>
            <w:r w:rsidR="00D44C65">
              <w:rPr>
                <w:noProof/>
                <w:webHidden/>
              </w:rPr>
            </w:r>
            <w:r w:rsidR="00D44C65">
              <w:rPr>
                <w:noProof/>
                <w:webHidden/>
              </w:rPr>
              <w:fldChar w:fldCharType="separate"/>
            </w:r>
            <w:r w:rsidR="00D44C65">
              <w:rPr>
                <w:noProof/>
                <w:webHidden/>
              </w:rPr>
              <w:t>31</w:t>
            </w:r>
            <w:r w:rsidR="00D44C65">
              <w:rPr>
                <w:noProof/>
                <w:webHidden/>
              </w:rPr>
              <w:fldChar w:fldCharType="end"/>
            </w:r>
          </w:hyperlink>
        </w:p>
        <w:p w14:paraId="7E70BBCA" w14:textId="77777777" w:rsidR="00D44C65" w:rsidRDefault="00BA2754">
          <w:pPr>
            <w:pStyle w:val="TOC3"/>
            <w:tabs>
              <w:tab w:val="left" w:pos="1320"/>
              <w:tab w:val="right" w:leader="dot" w:pos="9323"/>
            </w:tabs>
            <w:rPr>
              <w:noProof/>
              <w:lang w:val="en-AU" w:eastAsia="en-AU"/>
            </w:rPr>
          </w:pPr>
          <w:hyperlink w:anchor="_Toc489888087" w:history="1">
            <w:r w:rsidR="00D44C65" w:rsidRPr="00BB67FB">
              <w:rPr>
                <w:rStyle w:val="Hyperlink"/>
                <w:rFonts w:cstheme="minorHAnsi"/>
                <w:b/>
                <w:noProof/>
              </w:rPr>
              <w:t>6.1.6</w:t>
            </w:r>
            <w:r w:rsidR="00D44C65">
              <w:rPr>
                <w:noProof/>
                <w:lang w:val="en-AU" w:eastAsia="en-AU"/>
              </w:rPr>
              <w:tab/>
            </w:r>
            <w:r w:rsidR="00D44C65" w:rsidRPr="00BB67FB">
              <w:rPr>
                <w:rStyle w:val="Hyperlink"/>
                <w:rFonts w:cstheme="minorHAnsi"/>
                <w:b/>
                <w:noProof/>
              </w:rPr>
              <w:t>Storage</w:t>
            </w:r>
            <w:r w:rsidR="00D44C65">
              <w:rPr>
                <w:noProof/>
                <w:webHidden/>
              </w:rPr>
              <w:tab/>
            </w:r>
            <w:r w:rsidR="00D44C65">
              <w:rPr>
                <w:noProof/>
                <w:webHidden/>
              </w:rPr>
              <w:fldChar w:fldCharType="begin"/>
            </w:r>
            <w:r w:rsidR="00D44C65">
              <w:rPr>
                <w:noProof/>
                <w:webHidden/>
              </w:rPr>
              <w:instrText xml:space="preserve"> PAGEREF _Toc489888087 \h </w:instrText>
            </w:r>
            <w:r w:rsidR="00D44C65">
              <w:rPr>
                <w:noProof/>
                <w:webHidden/>
              </w:rPr>
            </w:r>
            <w:r w:rsidR="00D44C65">
              <w:rPr>
                <w:noProof/>
                <w:webHidden/>
              </w:rPr>
              <w:fldChar w:fldCharType="separate"/>
            </w:r>
            <w:r w:rsidR="00D44C65">
              <w:rPr>
                <w:noProof/>
                <w:webHidden/>
              </w:rPr>
              <w:t>31</w:t>
            </w:r>
            <w:r w:rsidR="00D44C65">
              <w:rPr>
                <w:noProof/>
                <w:webHidden/>
              </w:rPr>
              <w:fldChar w:fldCharType="end"/>
            </w:r>
          </w:hyperlink>
        </w:p>
        <w:p w14:paraId="45E12034" w14:textId="77777777" w:rsidR="00D44C65" w:rsidRDefault="00BA2754">
          <w:pPr>
            <w:pStyle w:val="TOC3"/>
            <w:tabs>
              <w:tab w:val="left" w:pos="1320"/>
              <w:tab w:val="right" w:leader="dot" w:pos="9323"/>
            </w:tabs>
            <w:rPr>
              <w:noProof/>
              <w:lang w:val="en-AU" w:eastAsia="en-AU"/>
            </w:rPr>
          </w:pPr>
          <w:hyperlink w:anchor="_Toc489888088" w:history="1">
            <w:r w:rsidR="00D44C65" w:rsidRPr="00BB67FB">
              <w:rPr>
                <w:rStyle w:val="Hyperlink"/>
                <w:rFonts w:cstheme="minorHAnsi"/>
                <w:b/>
                <w:noProof/>
              </w:rPr>
              <w:t>6.1.7</w:t>
            </w:r>
            <w:r w:rsidR="00D44C65">
              <w:rPr>
                <w:noProof/>
                <w:lang w:val="en-AU" w:eastAsia="en-AU"/>
              </w:rPr>
              <w:tab/>
            </w:r>
            <w:r w:rsidR="00D44C65" w:rsidRPr="00BB67FB">
              <w:rPr>
                <w:rStyle w:val="Hyperlink"/>
                <w:rFonts w:cstheme="minorHAnsi"/>
                <w:b/>
                <w:noProof/>
              </w:rPr>
              <w:t>Manufacturer’s Product Information/Investigators Brochure (IB)</w:t>
            </w:r>
            <w:r w:rsidR="00D44C65">
              <w:rPr>
                <w:noProof/>
                <w:webHidden/>
              </w:rPr>
              <w:tab/>
            </w:r>
            <w:r w:rsidR="00D44C65">
              <w:rPr>
                <w:noProof/>
                <w:webHidden/>
              </w:rPr>
              <w:fldChar w:fldCharType="begin"/>
            </w:r>
            <w:r w:rsidR="00D44C65">
              <w:rPr>
                <w:noProof/>
                <w:webHidden/>
              </w:rPr>
              <w:instrText xml:space="preserve"> PAGEREF _Toc489888088 \h </w:instrText>
            </w:r>
            <w:r w:rsidR="00D44C65">
              <w:rPr>
                <w:noProof/>
                <w:webHidden/>
              </w:rPr>
            </w:r>
            <w:r w:rsidR="00D44C65">
              <w:rPr>
                <w:noProof/>
                <w:webHidden/>
              </w:rPr>
              <w:fldChar w:fldCharType="separate"/>
            </w:r>
            <w:r w:rsidR="00D44C65">
              <w:rPr>
                <w:noProof/>
                <w:webHidden/>
              </w:rPr>
              <w:t>32</w:t>
            </w:r>
            <w:r w:rsidR="00D44C65">
              <w:rPr>
                <w:noProof/>
                <w:webHidden/>
              </w:rPr>
              <w:fldChar w:fldCharType="end"/>
            </w:r>
          </w:hyperlink>
        </w:p>
        <w:p w14:paraId="689D536A" w14:textId="77777777" w:rsidR="00D44C65" w:rsidRDefault="00BA2754">
          <w:pPr>
            <w:pStyle w:val="TOC2"/>
            <w:tabs>
              <w:tab w:val="left" w:pos="880"/>
              <w:tab w:val="right" w:leader="dot" w:pos="9323"/>
            </w:tabs>
            <w:rPr>
              <w:noProof/>
              <w:lang w:val="en-AU" w:eastAsia="en-AU"/>
            </w:rPr>
          </w:pPr>
          <w:hyperlink w:anchor="_Toc489888089" w:history="1">
            <w:r w:rsidR="00D44C65" w:rsidRPr="00BB67FB">
              <w:rPr>
                <w:rStyle w:val="Hyperlink"/>
                <w:rFonts w:cstheme="minorHAnsi"/>
                <w:b/>
                <w:noProof/>
              </w:rPr>
              <w:t>6.2</w:t>
            </w:r>
            <w:r w:rsidR="00D44C65">
              <w:rPr>
                <w:noProof/>
                <w:lang w:val="en-AU" w:eastAsia="en-AU"/>
              </w:rPr>
              <w:tab/>
            </w:r>
            <w:r w:rsidR="00D44C65" w:rsidRPr="00BB67FB">
              <w:rPr>
                <w:rStyle w:val="Hyperlink"/>
                <w:rFonts w:cstheme="minorHAnsi"/>
                <w:b/>
                <w:noProof/>
              </w:rPr>
              <w:t>DOSING REGIME</w:t>
            </w:r>
            <w:r w:rsidR="00D44C65">
              <w:rPr>
                <w:noProof/>
                <w:webHidden/>
              </w:rPr>
              <w:tab/>
            </w:r>
            <w:r w:rsidR="00D44C65">
              <w:rPr>
                <w:noProof/>
                <w:webHidden/>
              </w:rPr>
              <w:fldChar w:fldCharType="begin"/>
            </w:r>
            <w:r w:rsidR="00D44C65">
              <w:rPr>
                <w:noProof/>
                <w:webHidden/>
              </w:rPr>
              <w:instrText xml:space="preserve"> PAGEREF _Toc489888089 \h </w:instrText>
            </w:r>
            <w:r w:rsidR="00D44C65">
              <w:rPr>
                <w:noProof/>
                <w:webHidden/>
              </w:rPr>
            </w:r>
            <w:r w:rsidR="00D44C65">
              <w:rPr>
                <w:noProof/>
                <w:webHidden/>
              </w:rPr>
              <w:fldChar w:fldCharType="separate"/>
            </w:r>
            <w:r w:rsidR="00D44C65">
              <w:rPr>
                <w:noProof/>
                <w:webHidden/>
              </w:rPr>
              <w:t>32</w:t>
            </w:r>
            <w:r w:rsidR="00D44C65">
              <w:rPr>
                <w:noProof/>
                <w:webHidden/>
              </w:rPr>
              <w:fldChar w:fldCharType="end"/>
            </w:r>
          </w:hyperlink>
        </w:p>
        <w:p w14:paraId="7695F241" w14:textId="77777777" w:rsidR="00D44C65" w:rsidRDefault="00BA2754">
          <w:pPr>
            <w:pStyle w:val="TOC2"/>
            <w:tabs>
              <w:tab w:val="left" w:pos="880"/>
              <w:tab w:val="right" w:leader="dot" w:pos="9323"/>
            </w:tabs>
            <w:rPr>
              <w:noProof/>
              <w:lang w:val="en-AU" w:eastAsia="en-AU"/>
            </w:rPr>
          </w:pPr>
          <w:hyperlink w:anchor="_Toc489888090" w:history="1">
            <w:r w:rsidR="00D44C65" w:rsidRPr="00BB67FB">
              <w:rPr>
                <w:rStyle w:val="Hyperlink"/>
                <w:rFonts w:cstheme="minorHAnsi"/>
                <w:b/>
                <w:noProof/>
              </w:rPr>
              <w:t>6.3</w:t>
            </w:r>
            <w:r w:rsidR="00D44C65">
              <w:rPr>
                <w:noProof/>
                <w:lang w:val="en-AU" w:eastAsia="en-AU"/>
              </w:rPr>
              <w:tab/>
            </w:r>
            <w:r w:rsidR="00D44C65" w:rsidRPr="00BB67FB">
              <w:rPr>
                <w:rStyle w:val="Hyperlink"/>
                <w:rFonts w:cstheme="minorHAnsi"/>
                <w:b/>
                <w:noProof/>
              </w:rPr>
              <w:t>DOSAGE CHANGES</w:t>
            </w:r>
            <w:r w:rsidR="00D44C65">
              <w:rPr>
                <w:noProof/>
                <w:webHidden/>
              </w:rPr>
              <w:tab/>
            </w:r>
            <w:r w:rsidR="00D44C65">
              <w:rPr>
                <w:noProof/>
                <w:webHidden/>
              </w:rPr>
              <w:fldChar w:fldCharType="begin"/>
            </w:r>
            <w:r w:rsidR="00D44C65">
              <w:rPr>
                <w:noProof/>
                <w:webHidden/>
              </w:rPr>
              <w:instrText xml:space="preserve"> PAGEREF _Toc489888090 \h </w:instrText>
            </w:r>
            <w:r w:rsidR="00D44C65">
              <w:rPr>
                <w:noProof/>
                <w:webHidden/>
              </w:rPr>
            </w:r>
            <w:r w:rsidR="00D44C65">
              <w:rPr>
                <w:noProof/>
                <w:webHidden/>
              </w:rPr>
              <w:fldChar w:fldCharType="separate"/>
            </w:r>
            <w:r w:rsidR="00D44C65">
              <w:rPr>
                <w:noProof/>
                <w:webHidden/>
              </w:rPr>
              <w:t>32</w:t>
            </w:r>
            <w:r w:rsidR="00D44C65">
              <w:rPr>
                <w:noProof/>
                <w:webHidden/>
              </w:rPr>
              <w:fldChar w:fldCharType="end"/>
            </w:r>
          </w:hyperlink>
        </w:p>
        <w:p w14:paraId="717BA544" w14:textId="77777777" w:rsidR="00D44C65" w:rsidRDefault="00BA2754">
          <w:pPr>
            <w:pStyle w:val="TOC2"/>
            <w:tabs>
              <w:tab w:val="left" w:pos="880"/>
              <w:tab w:val="right" w:leader="dot" w:pos="9323"/>
            </w:tabs>
            <w:rPr>
              <w:noProof/>
              <w:lang w:val="en-AU" w:eastAsia="en-AU"/>
            </w:rPr>
          </w:pPr>
          <w:hyperlink w:anchor="_Toc489888091" w:history="1">
            <w:r w:rsidR="00D44C65" w:rsidRPr="00BB67FB">
              <w:rPr>
                <w:rStyle w:val="Hyperlink"/>
                <w:rFonts w:cstheme="minorHAnsi"/>
                <w:b/>
                <w:noProof/>
              </w:rPr>
              <w:t>6.4</w:t>
            </w:r>
            <w:r w:rsidR="00D44C65">
              <w:rPr>
                <w:noProof/>
                <w:lang w:val="en-AU" w:eastAsia="en-AU"/>
              </w:rPr>
              <w:tab/>
            </w:r>
            <w:r w:rsidR="00D44C65" w:rsidRPr="00BB67FB">
              <w:rPr>
                <w:rStyle w:val="Hyperlink"/>
                <w:rFonts w:cstheme="minorHAnsi"/>
                <w:b/>
                <w:noProof/>
              </w:rPr>
              <w:t>MEDICATION PRESCRIPTION AND PARTICIPANT COMPLIANCE</w:t>
            </w:r>
            <w:r w:rsidR="00D44C65">
              <w:rPr>
                <w:noProof/>
                <w:webHidden/>
              </w:rPr>
              <w:tab/>
            </w:r>
            <w:r w:rsidR="00D44C65">
              <w:rPr>
                <w:noProof/>
                <w:webHidden/>
              </w:rPr>
              <w:fldChar w:fldCharType="begin"/>
            </w:r>
            <w:r w:rsidR="00D44C65">
              <w:rPr>
                <w:noProof/>
                <w:webHidden/>
              </w:rPr>
              <w:instrText xml:space="preserve"> PAGEREF _Toc489888091 \h </w:instrText>
            </w:r>
            <w:r w:rsidR="00D44C65">
              <w:rPr>
                <w:noProof/>
                <w:webHidden/>
              </w:rPr>
            </w:r>
            <w:r w:rsidR="00D44C65">
              <w:rPr>
                <w:noProof/>
                <w:webHidden/>
              </w:rPr>
              <w:fldChar w:fldCharType="separate"/>
            </w:r>
            <w:r w:rsidR="00D44C65">
              <w:rPr>
                <w:noProof/>
                <w:webHidden/>
              </w:rPr>
              <w:t>32</w:t>
            </w:r>
            <w:r w:rsidR="00D44C65">
              <w:rPr>
                <w:noProof/>
                <w:webHidden/>
              </w:rPr>
              <w:fldChar w:fldCharType="end"/>
            </w:r>
          </w:hyperlink>
        </w:p>
        <w:p w14:paraId="2F801312" w14:textId="77777777" w:rsidR="00D44C65" w:rsidRDefault="00BA2754">
          <w:pPr>
            <w:pStyle w:val="TOC2"/>
            <w:tabs>
              <w:tab w:val="left" w:pos="880"/>
              <w:tab w:val="right" w:leader="dot" w:pos="9323"/>
            </w:tabs>
            <w:rPr>
              <w:noProof/>
              <w:lang w:val="en-AU" w:eastAsia="en-AU"/>
            </w:rPr>
          </w:pPr>
          <w:hyperlink w:anchor="_Toc489888092" w:history="1">
            <w:r w:rsidR="00D44C65" w:rsidRPr="00BB67FB">
              <w:rPr>
                <w:rStyle w:val="Hyperlink"/>
                <w:rFonts w:cstheme="minorHAnsi"/>
                <w:b/>
                <w:noProof/>
              </w:rPr>
              <w:t>6.5</w:t>
            </w:r>
            <w:r w:rsidR="00D44C65">
              <w:rPr>
                <w:noProof/>
                <w:lang w:val="en-AU" w:eastAsia="en-AU"/>
              </w:rPr>
              <w:tab/>
            </w:r>
            <w:r w:rsidR="00D44C65" w:rsidRPr="00BB67FB">
              <w:rPr>
                <w:rStyle w:val="Hyperlink"/>
                <w:rFonts w:cstheme="minorHAnsi"/>
                <w:b/>
                <w:noProof/>
              </w:rPr>
              <w:t>OVERDOSE</w:t>
            </w:r>
            <w:r w:rsidR="00D44C65">
              <w:rPr>
                <w:noProof/>
                <w:webHidden/>
              </w:rPr>
              <w:tab/>
            </w:r>
            <w:r w:rsidR="00D44C65">
              <w:rPr>
                <w:noProof/>
                <w:webHidden/>
              </w:rPr>
              <w:fldChar w:fldCharType="begin"/>
            </w:r>
            <w:r w:rsidR="00D44C65">
              <w:rPr>
                <w:noProof/>
                <w:webHidden/>
              </w:rPr>
              <w:instrText xml:space="preserve"> PAGEREF _Toc489888092 \h </w:instrText>
            </w:r>
            <w:r w:rsidR="00D44C65">
              <w:rPr>
                <w:noProof/>
                <w:webHidden/>
              </w:rPr>
            </w:r>
            <w:r w:rsidR="00D44C65">
              <w:rPr>
                <w:noProof/>
                <w:webHidden/>
              </w:rPr>
              <w:fldChar w:fldCharType="separate"/>
            </w:r>
            <w:r w:rsidR="00D44C65">
              <w:rPr>
                <w:noProof/>
                <w:webHidden/>
              </w:rPr>
              <w:t>33</w:t>
            </w:r>
            <w:r w:rsidR="00D44C65">
              <w:rPr>
                <w:noProof/>
                <w:webHidden/>
              </w:rPr>
              <w:fldChar w:fldCharType="end"/>
            </w:r>
          </w:hyperlink>
        </w:p>
        <w:p w14:paraId="5F686CA2" w14:textId="77777777" w:rsidR="00D44C65" w:rsidRDefault="00BA2754">
          <w:pPr>
            <w:pStyle w:val="TOC2"/>
            <w:tabs>
              <w:tab w:val="left" w:pos="880"/>
              <w:tab w:val="right" w:leader="dot" w:pos="9323"/>
            </w:tabs>
            <w:rPr>
              <w:noProof/>
              <w:lang w:val="en-AU" w:eastAsia="en-AU"/>
            </w:rPr>
          </w:pPr>
          <w:hyperlink w:anchor="_Toc489888093" w:history="1">
            <w:r w:rsidR="00D44C65" w:rsidRPr="00BB67FB">
              <w:rPr>
                <w:rStyle w:val="Hyperlink"/>
                <w:rFonts w:cstheme="minorHAnsi"/>
                <w:b/>
                <w:noProof/>
              </w:rPr>
              <w:t>6.6</w:t>
            </w:r>
            <w:r w:rsidR="00D44C65">
              <w:rPr>
                <w:noProof/>
                <w:lang w:val="en-AU" w:eastAsia="en-AU"/>
              </w:rPr>
              <w:tab/>
            </w:r>
            <w:r w:rsidR="00D44C65" w:rsidRPr="00BB67FB">
              <w:rPr>
                <w:rStyle w:val="Hyperlink"/>
                <w:rFonts w:cstheme="minorHAnsi"/>
                <w:b/>
                <w:noProof/>
              </w:rPr>
              <w:t>OTHER MEDICATIONS</w:t>
            </w:r>
            <w:r w:rsidR="00D44C65">
              <w:rPr>
                <w:noProof/>
                <w:webHidden/>
              </w:rPr>
              <w:tab/>
            </w:r>
            <w:r w:rsidR="00D44C65">
              <w:rPr>
                <w:noProof/>
                <w:webHidden/>
              </w:rPr>
              <w:fldChar w:fldCharType="begin"/>
            </w:r>
            <w:r w:rsidR="00D44C65">
              <w:rPr>
                <w:noProof/>
                <w:webHidden/>
              </w:rPr>
              <w:instrText xml:space="preserve"> PAGEREF _Toc489888093 \h </w:instrText>
            </w:r>
            <w:r w:rsidR="00D44C65">
              <w:rPr>
                <w:noProof/>
                <w:webHidden/>
              </w:rPr>
            </w:r>
            <w:r w:rsidR="00D44C65">
              <w:rPr>
                <w:noProof/>
                <w:webHidden/>
              </w:rPr>
              <w:fldChar w:fldCharType="separate"/>
            </w:r>
            <w:r w:rsidR="00D44C65">
              <w:rPr>
                <w:noProof/>
                <w:webHidden/>
              </w:rPr>
              <w:t>33</w:t>
            </w:r>
            <w:r w:rsidR="00D44C65">
              <w:rPr>
                <w:noProof/>
                <w:webHidden/>
              </w:rPr>
              <w:fldChar w:fldCharType="end"/>
            </w:r>
          </w:hyperlink>
        </w:p>
        <w:p w14:paraId="441C6D8D" w14:textId="77777777" w:rsidR="00D44C65" w:rsidRDefault="00BA2754">
          <w:pPr>
            <w:pStyle w:val="TOC3"/>
            <w:tabs>
              <w:tab w:val="left" w:pos="1320"/>
              <w:tab w:val="right" w:leader="dot" w:pos="9323"/>
            </w:tabs>
            <w:rPr>
              <w:noProof/>
              <w:lang w:val="en-AU" w:eastAsia="en-AU"/>
            </w:rPr>
          </w:pPr>
          <w:hyperlink w:anchor="_Toc489888094" w:history="1">
            <w:r w:rsidR="00D44C65" w:rsidRPr="00BB67FB">
              <w:rPr>
                <w:rStyle w:val="Hyperlink"/>
                <w:rFonts w:cstheme="minorHAnsi"/>
                <w:b/>
                <w:noProof/>
              </w:rPr>
              <w:t>6.6.1</w:t>
            </w:r>
            <w:r w:rsidR="00D44C65">
              <w:rPr>
                <w:noProof/>
                <w:lang w:val="en-AU" w:eastAsia="en-AU"/>
              </w:rPr>
              <w:tab/>
            </w:r>
            <w:r w:rsidR="00D44C65" w:rsidRPr="00BB67FB">
              <w:rPr>
                <w:rStyle w:val="Hyperlink"/>
                <w:rFonts w:cstheme="minorHAnsi"/>
                <w:b/>
                <w:noProof/>
              </w:rPr>
              <w:t>Non-investigational medicinal products</w:t>
            </w:r>
            <w:r w:rsidR="00D44C65">
              <w:rPr>
                <w:noProof/>
                <w:webHidden/>
              </w:rPr>
              <w:tab/>
            </w:r>
            <w:r w:rsidR="00D44C65">
              <w:rPr>
                <w:noProof/>
                <w:webHidden/>
              </w:rPr>
              <w:fldChar w:fldCharType="begin"/>
            </w:r>
            <w:r w:rsidR="00D44C65">
              <w:rPr>
                <w:noProof/>
                <w:webHidden/>
              </w:rPr>
              <w:instrText xml:space="preserve"> PAGEREF _Toc489888094 \h </w:instrText>
            </w:r>
            <w:r w:rsidR="00D44C65">
              <w:rPr>
                <w:noProof/>
                <w:webHidden/>
              </w:rPr>
            </w:r>
            <w:r w:rsidR="00D44C65">
              <w:rPr>
                <w:noProof/>
                <w:webHidden/>
              </w:rPr>
              <w:fldChar w:fldCharType="separate"/>
            </w:r>
            <w:r w:rsidR="00D44C65">
              <w:rPr>
                <w:noProof/>
                <w:webHidden/>
              </w:rPr>
              <w:t>33</w:t>
            </w:r>
            <w:r w:rsidR="00D44C65">
              <w:rPr>
                <w:noProof/>
                <w:webHidden/>
              </w:rPr>
              <w:fldChar w:fldCharType="end"/>
            </w:r>
          </w:hyperlink>
        </w:p>
        <w:p w14:paraId="11A386E1" w14:textId="77777777" w:rsidR="00D44C65" w:rsidRDefault="00BA2754">
          <w:pPr>
            <w:pStyle w:val="TOC3"/>
            <w:tabs>
              <w:tab w:val="left" w:pos="1320"/>
              <w:tab w:val="right" w:leader="dot" w:pos="9323"/>
            </w:tabs>
            <w:rPr>
              <w:noProof/>
              <w:lang w:val="en-AU" w:eastAsia="en-AU"/>
            </w:rPr>
          </w:pPr>
          <w:hyperlink w:anchor="_Toc489888095" w:history="1">
            <w:r w:rsidR="00D44C65" w:rsidRPr="00BB67FB">
              <w:rPr>
                <w:rStyle w:val="Hyperlink"/>
                <w:rFonts w:cstheme="minorHAnsi"/>
                <w:b/>
                <w:noProof/>
              </w:rPr>
              <w:t>6.6.2</w:t>
            </w:r>
            <w:r w:rsidR="00D44C65">
              <w:rPr>
                <w:noProof/>
                <w:lang w:val="en-AU" w:eastAsia="en-AU"/>
              </w:rPr>
              <w:tab/>
            </w:r>
            <w:r w:rsidR="00D44C65" w:rsidRPr="00BB67FB">
              <w:rPr>
                <w:rStyle w:val="Hyperlink"/>
                <w:rFonts w:cstheme="minorHAnsi"/>
                <w:b/>
                <w:noProof/>
              </w:rPr>
              <w:t>Permitted medications</w:t>
            </w:r>
            <w:r w:rsidR="00D44C65">
              <w:rPr>
                <w:noProof/>
                <w:webHidden/>
              </w:rPr>
              <w:tab/>
            </w:r>
            <w:r w:rsidR="00D44C65">
              <w:rPr>
                <w:noProof/>
                <w:webHidden/>
              </w:rPr>
              <w:fldChar w:fldCharType="begin"/>
            </w:r>
            <w:r w:rsidR="00D44C65">
              <w:rPr>
                <w:noProof/>
                <w:webHidden/>
              </w:rPr>
              <w:instrText xml:space="preserve"> PAGEREF _Toc489888095 \h </w:instrText>
            </w:r>
            <w:r w:rsidR="00D44C65">
              <w:rPr>
                <w:noProof/>
                <w:webHidden/>
              </w:rPr>
            </w:r>
            <w:r w:rsidR="00D44C65">
              <w:rPr>
                <w:noProof/>
                <w:webHidden/>
              </w:rPr>
              <w:fldChar w:fldCharType="separate"/>
            </w:r>
            <w:r w:rsidR="00D44C65">
              <w:rPr>
                <w:noProof/>
                <w:webHidden/>
              </w:rPr>
              <w:t>33</w:t>
            </w:r>
            <w:r w:rsidR="00D44C65">
              <w:rPr>
                <w:noProof/>
                <w:webHidden/>
              </w:rPr>
              <w:fldChar w:fldCharType="end"/>
            </w:r>
          </w:hyperlink>
        </w:p>
        <w:p w14:paraId="497A123F" w14:textId="77777777" w:rsidR="00D44C65" w:rsidRDefault="00BA2754">
          <w:pPr>
            <w:pStyle w:val="TOC3"/>
            <w:tabs>
              <w:tab w:val="left" w:pos="1320"/>
              <w:tab w:val="right" w:leader="dot" w:pos="9323"/>
            </w:tabs>
            <w:rPr>
              <w:noProof/>
              <w:lang w:val="en-AU" w:eastAsia="en-AU"/>
            </w:rPr>
          </w:pPr>
          <w:hyperlink w:anchor="_Toc489888096" w:history="1">
            <w:r w:rsidR="00D44C65" w:rsidRPr="00BB67FB">
              <w:rPr>
                <w:rStyle w:val="Hyperlink"/>
                <w:rFonts w:cstheme="minorHAnsi"/>
                <w:b/>
                <w:noProof/>
              </w:rPr>
              <w:t>6.6.3</w:t>
            </w:r>
            <w:r w:rsidR="00D44C65">
              <w:rPr>
                <w:noProof/>
                <w:lang w:val="en-AU" w:eastAsia="en-AU"/>
              </w:rPr>
              <w:tab/>
            </w:r>
            <w:r w:rsidR="00D44C65" w:rsidRPr="00BB67FB">
              <w:rPr>
                <w:rStyle w:val="Hyperlink"/>
                <w:rFonts w:cstheme="minorHAnsi"/>
                <w:b/>
                <w:noProof/>
              </w:rPr>
              <w:t>Other considerations and contraindicated medications</w:t>
            </w:r>
            <w:r w:rsidR="00D44C65">
              <w:rPr>
                <w:noProof/>
                <w:webHidden/>
              </w:rPr>
              <w:tab/>
            </w:r>
            <w:r w:rsidR="00D44C65">
              <w:rPr>
                <w:noProof/>
                <w:webHidden/>
              </w:rPr>
              <w:fldChar w:fldCharType="begin"/>
            </w:r>
            <w:r w:rsidR="00D44C65">
              <w:rPr>
                <w:noProof/>
                <w:webHidden/>
              </w:rPr>
              <w:instrText xml:space="preserve"> PAGEREF _Toc489888096 \h </w:instrText>
            </w:r>
            <w:r w:rsidR="00D44C65">
              <w:rPr>
                <w:noProof/>
                <w:webHidden/>
              </w:rPr>
            </w:r>
            <w:r w:rsidR="00D44C65">
              <w:rPr>
                <w:noProof/>
                <w:webHidden/>
              </w:rPr>
              <w:fldChar w:fldCharType="separate"/>
            </w:r>
            <w:r w:rsidR="00D44C65">
              <w:rPr>
                <w:noProof/>
                <w:webHidden/>
              </w:rPr>
              <w:t>33</w:t>
            </w:r>
            <w:r w:rsidR="00D44C65">
              <w:rPr>
                <w:noProof/>
                <w:webHidden/>
              </w:rPr>
              <w:fldChar w:fldCharType="end"/>
            </w:r>
          </w:hyperlink>
        </w:p>
        <w:p w14:paraId="6B1AD0AD" w14:textId="77777777" w:rsidR="00D44C65" w:rsidRDefault="00BA2754">
          <w:pPr>
            <w:pStyle w:val="TOC1"/>
            <w:tabs>
              <w:tab w:val="left" w:pos="440"/>
              <w:tab w:val="right" w:leader="dot" w:pos="9323"/>
            </w:tabs>
            <w:rPr>
              <w:noProof/>
              <w:lang w:val="en-AU" w:eastAsia="en-AU"/>
            </w:rPr>
          </w:pPr>
          <w:hyperlink w:anchor="_Toc489888097" w:history="1">
            <w:r w:rsidR="00D44C65" w:rsidRPr="00BB67FB">
              <w:rPr>
                <w:rStyle w:val="Hyperlink"/>
                <w:rFonts w:cstheme="minorHAnsi"/>
                <w:b/>
                <w:noProof/>
              </w:rPr>
              <w:t>7</w:t>
            </w:r>
            <w:r w:rsidR="00D44C65">
              <w:rPr>
                <w:noProof/>
                <w:lang w:val="en-AU" w:eastAsia="en-AU"/>
              </w:rPr>
              <w:tab/>
            </w:r>
            <w:r w:rsidR="00D44C65" w:rsidRPr="00BB67FB">
              <w:rPr>
                <w:rStyle w:val="Hyperlink"/>
                <w:rFonts w:cstheme="minorHAnsi"/>
                <w:b/>
                <w:noProof/>
              </w:rPr>
              <w:t>STUDY ASSESSMENTS</w:t>
            </w:r>
            <w:r w:rsidR="00D44C65">
              <w:rPr>
                <w:noProof/>
                <w:webHidden/>
              </w:rPr>
              <w:tab/>
            </w:r>
            <w:r w:rsidR="00D44C65">
              <w:rPr>
                <w:noProof/>
                <w:webHidden/>
              </w:rPr>
              <w:fldChar w:fldCharType="begin"/>
            </w:r>
            <w:r w:rsidR="00D44C65">
              <w:rPr>
                <w:noProof/>
                <w:webHidden/>
              </w:rPr>
              <w:instrText xml:space="preserve"> PAGEREF _Toc489888097 \h </w:instrText>
            </w:r>
            <w:r w:rsidR="00D44C65">
              <w:rPr>
                <w:noProof/>
                <w:webHidden/>
              </w:rPr>
            </w:r>
            <w:r w:rsidR="00D44C65">
              <w:rPr>
                <w:noProof/>
                <w:webHidden/>
              </w:rPr>
              <w:fldChar w:fldCharType="separate"/>
            </w:r>
            <w:r w:rsidR="00D44C65">
              <w:rPr>
                <w:noProof/>
                <w:webHidden/>
              </w:rPr>
              <w:t>34</w:t>
            </w:r>
            <w:r w:rsidR="00D44C65">
              <w:rPr>
                <w:noProof/>
                <w:webHidden/>
              </w:rPr>
              <w:fldChar w:fldCharType="end"/>
            </w:r>
          </w:hyperlink>
        </w:p>
        <w:p w14:paraId="7EC47C39" w14:textId="77777777" w:rsidR="00D44C65" w:rsidRDefault="00BA2754">
          <w:pPr>
            <w:pStyle w:val="TOC2"/>
            <w:tabs>
              <w:tab w:val="left" w:pos="880"/>
              <w:tab w:val="right" w:leader="dot" w:pos="9323"/>
            </w:tabs>
            <w:rPr>
              <w:noProof/>
              <w:lang w:val="en-AU" w:eastAsia="en-AU"/>
            </w:rPr>
          </w:pPr>
          <w:hyperlink w:anchor="_Toc489888098" w:history="1">
            <w:r w:rsidR="00D44C65" w:rsidRPr="00BB67FB">
              <w:rPr>
                <w:rStyle w:val="Hyperlink"/>
                <w:rFonts w:cstheme="minorHAnsi"/>
                <w:b/>
                <w:noProof/>
              </w:rPr>
              <w:t>7.1</w:t>
            </w:r>
            <w:r w:rsidR="00D44C65">
              <w:rPr>
                <w:noProof/>
                <w:lang w:val="en-AU" w:eastAsia="en-AU"/>
              </w:rPr>
              <w:tab/>
            </w:r>
            <w:r w:rsidR="00D44C65" w:rsidRPr="00BB67FB">
              <w:rPr>
                <w:rStyle w:val="Hyperlink"/>
                <w:rFonts w:cstheme="minorHAnsi"/>
                <w:b/>
                <w:noProof/>
              </w:rPr>
              <w:t>SAFETY ASSESSMENTS</w:t>
            </w:r>
            <w:r w:rsidR="00D44C65">
              <w:rPr>
                <w:noProof/>
                <w:webHidden/>
              </w:rPr>
              <w:tab/>
            </w:r>
            <w:r w:rsidR="00D44C65">
              <w:rPr>
                <w:noProof/>
                <w:webHidden/>
              </w:rPr>
              <w:fldChar w:fldCharType="begin"/>
            </w:r>
            <w:r w:rsidR="00D44C65">
              <w:rPr>
                <w:noProof/>
                <w:webHidden/>
              </w:rPr>
              <w:instrText xml:space="preserve"> PAGEREF _Toc489888098 \h </w:instrText>
            </w:r>
            <w:r w:rsidR="00D44C65">
              <w:rPr>
                <w:noProof/>
                <w:webHidden/>
              </w:rPr>
            </w:r>
            <w:r w:rsidR="00D44C65">
              <w:rPr>
                <w:noProof/>
                <w:webHidden/>
              </w:rPr>
              <w:fldChar w:fldCharType="separate"/>
            </w:r>
            <w:r w:rsidR="00D44C65">
              <w:rPr>
                <w:noProof/>
                <w:webHidden/>
              </w:rPr>
              <w:t>36</w:t>
            </w:r>
            <w:r w:rsidR="00D44C65">
              <w:rPr>
                <w:noProof/>
                <w:webHidden/>
              </w:rPr>
              <w:fldChar w:fldCharType="end"/>
            </w:r>
          </w:hyperlink>
        </w:p>
        <w:p w14:paraId="52DE8ED1" w14:textId="77777777" w:rsidR="00D44C65" w:rsidRDefault="00BA2754">
          <w:pPr>
            <w:pStyle w:val="TOC2"/>
            <w:tabs>
              <w:tab w:val="left" w:pos="880"/>
              <w:tab w:val="right" w:leader="dot" w:pos="9323"/>
            </w:tabs>
            <w:rPr>
              <w:noProof/>
              <w:lang w:val="en-AU" w:eastAsia="en-AU"/>
            </w:rPr>
          </w:pPr>
          <w:hyperlink w:anchor="_Toc489888099" w:history="1">
            <w:r w:rsidR="00D44C65" w:rsidRPr="00BB67FB">
              <w:rPr>
                <w:rStyle w:val="Hyperlink"/>
                <w:rFonts w:cstheme="minorHAnsi"/>
                <w:b/>
                <w:noProof/>
              </w:rPr>
              <w:t>7.2</w:t>
            </w:r>
            <w:r w:rsidR="00D44C65">
              <w:rPr>
                <w:noProof/>
                <w:lang w:val="en-AU" w:eastAsia="en-AU"/>
              </w:rPr>
              <w:tab/>
            </w:r>
            <w:r w:rsidR="00D44C65" w:rsidRPr="00BB67FB">
              <w:rPr>
                <w:rStyle w:val="Hyperlink"/>
                <w:rFonts w:cstheme="minorHAnsi"/>
                <w:b/>
                <w:noProof/>
              </w:rPr>
              <w:t>SUMMARY TABLE OF STUDY ASSESSMENTS</w:t>
            </w:r>
            <w:r w:rsidR="00D44C65">
              <w:rPr>
                <w:noProof/>
                <w:webHidden/>
              </w:rPr>
              <w:tab/>
            </w:r>
            <w:r w:rsidR="00D44C65">
              <w:rPr>
                <w:noProof/>
                <w:webHidden/>
              </w:rPr>
              <w:fldChar w:fldCharType="begin"/>
            </w:r>
            <w:r w:rsidR="00D44C65">
              <w:rPr>
                <w:noProof/>
                <w:webHidden/>
              </w:rPr>
              <w:instrText xml:space="preserve"> PAGEREF _Toc489888099 \h </w:instrText>
            </w:r>
            <w:r w:rsidR="00D44C65">
              <w:rPr>
                <w:noProof/>
                <w:webHidden/>
              </w:rPr>
            </w:r>
            <w:r w:rsidR="00D44C65">
              <w:rPr>
                <w:noProof/>
                <w:webHidden/>
              </w:rPr>
              <w:fldChar w:fldCharType="separate"/>
            </w:r>
            <w:r w:rsidR="00D44C65">
              <w:rPr>
                <w:noProof/>
                <w:webHidden/>
              </w:rPr>
              <w:t>37</w:t>
            </w:r>
            <w:r w:rsidR="00D44C65">
              <w:rPr>
                <w:noProof/>
                <w:webHidden/>
              </w:rPr>
              <w:fldChar w:fldCharType="end"/>
            </w:r>
          </w:hyperlink>
        </w:p>
        <w:p w14:paraId="3F19C85C" w14:textId="77777777" w:rsidR="00D44C65" w:rsidRDefault="00BA2754">
          <w:pPr>
            <w:pStyle w:val="TOC3"/>
            <w:tabs>
              <w:tab w:val="right" w:leader="dot" w:pos="9323"/>
            </w:tabs>
            <w:rPr>
              <w:noProof/>
              <w:lang w:val="en-AU" w:eastAsia="en-AU"/>
            </w:rPr>
          </w:pPr>
          <w:hyperlink w:anchor="_Toc489888100" w:history="1">
            <w:r w:rsidR="00D44C65" w:rsidRPr="00BB67FB">
              <w:rPr>
                <w:rStyle w:val="Hyperlink"/>
                <w:rFonts w:cstheme="minorHAnsi"/>
                <w:noProof/>
              </w:rPr>
              <w:t>TABLE 2: Summary of study assessments</w:t>
            </w:r>
            <w:r w:rsidR="00D44C65">
              <w:rPr>
                <w:noProof/>
                <w:webHidden/>
              </w:rPr>
              <w:tab/>
            </w:r>
            <w:r w:rsidR="00D44C65">
              <w:rPr>
                <w:noProof/>
                <w:webHidden/>
              </w:rPr>
              <w:fldChar w:fldCharType="begin"/>
            </w:r>
            <w:r w:rsidR="00D44C65">
              <w:rPr>
                <w:noProof/>
                <w:webHidden/>
              </w:rPr>
              <w:instrText xml:space="preserve"> PAGEREF _Toc489888100 \h </w:instrText>
            </w:r>
            <w:r w:rsidR="00D44C65">
              <w:rPr>
                <w:noProof/>
                <w:webHidden/>
              </w:rPr>
            </w:r>
            <w:r w:rsidR="00D44C65">
              <w:rPr>
                <w:noProof/>
                <w:webHidden/>
              </w:rPr>
              <w:fldChar w:fldCharType="separate"/>
            </w:r>
            <w:r w:rsidR="00D44C65">
              <w:rPr>
                <w:noProof/>
                <w:webHidden/>
              </w:rPr>
              <w:t>37</w:t>
            </w:r>
            <w:r w:rsidR="00D44C65">
              <w:rPr>
                <w:noProof/>
                <w:webHidden/>
              </w:rPr>
              <w:fldChar w:fldCharType="end"/>
            </w:r>
          </w:hyperlink>
        </w:p>
        <w:p w14:paraId="5B28427E" w14:textId="77777777" w:rsidR="00D44C65" w:rsidRDefault="00BA2754">
          <w:pPr>
            <w:pStyle w:val="TOC2"/>
            <w:tabs>
              <w:tab w:val="left" w:pos="880"/>
              <w:tab w:val="right" w:leader="dot" w:pos="9323"/>
            </w:tabs>
            <w:rPr>
              <w:noProof/>
              <w:lang w:val="en-AU" w:eastAsia="en-AU"/>
            </w:rPr>
          </w:pPr>
          <w:hyperlink w:anchor="_Toc489888101" w:history="1">
            <w:r w:rsidR="00D44C65" w:rsidRPr="00BB67FB">
              <w:rPr>
                <w:rStyle w:val="Hyperlink"/>
                <w:rFonts w:cstheme="minorHAnsi"/>
                <w:b/>
                <w:noProof/>
              </w:rPr>
              <w:t>7.3</w:t>
            </w:r>
            <w:r w:rsidR="00D44C65">
              <w:rPr>
                <w:noProof/>
                <w:lang w:val="en-AU" w:eastAsia="en-AU"/>
              </w:rPr>
              <w:tab/>
            </w:r>
            <w:r w:rsidR="00D44C65" w:rsidRPr="00BB67FB">
              <w:rPr>
                <w:rStyle w:val="Hyperlink"/>
                <w:rFonts w:cstheme="minorHAnsi"/>
                <w:b/>
                <w:noProof/>
              </w:rPr>
              <w:t>LONG TERM FOLLOW UP ASSESSMENTS</w:t>
            </w:r>
            <w:r w:rsidR="00D44C65">
              <w:rPr>
                <w:noProof/>
                <w:webHidden/>
              </w:rPr>
              <w:tab/>
            </w:r>
            <w:r w:rsidR="00D44C65">
              <w:rPr>
                <w:noProof/>
                <w:webHidden/>
              </w:rPr>
              <w:fldChar w:fldCharType="begin"/>
            </w:r>
            <w:r w:rsidR="00D44C65">
              <w:rPr>
                <w:noProof/>
                <w:webHidden/>
              </w:rPr>
              <w:instrText xml:space="preserve"> PAGEREF _Toc489888101 \h </w:instrText>
            </w:r>
            <w:r w:rsidR="00D44C65">
              <w:rPr>
                <w:noProof/>
                <w:webHidden/>
              </w:rPr>
            </w:r>
            <w:r w:rsidR="00D44C65">
              <w:rPr>
                <w:noProof/>
                <w:webHidden/>
              </w:rPr>
              <w:fldChar w:fldCharType="separate"/>
            </w:r>
            <w:r w:rsidR="00D44C65">
              <w:rPr>
                <w:noProof/>
                <w:webHidden/>
              </w:rPr>
              <w:t>38</w:t>
            </w:r>
            <w:r w:rsidR="00D44C65">
              <w:rPr>
                <w:noProof/>
                <w:webHidden/>
              </w:rPr>
              <w:fldChar w:fldCharType="end"/>
            </w:r>
          </w:hyperlink>
        </w:p>
        <w:p w14:paraId="328BCA25" w14:textId="77777777" w:rsidR="00D44C65" w:rsidRDefault="00BA2754">
          <w:pPr>
            <w:pStyle w:val="TOC2"/>
            <w:tabs>
              <w:tab w:val="left" w:pos="880"/>
              <w:tab w:val="right" w:leader="dot" w:pos="9323"/>
            </w:tabs>
            <w:rPr>
              <w:noProof/>
              <w:lang w:val="en-AU" w:eastAsia="en-AU"/>
            </w:rPr>
          </w:pPr>
          <w:hyperlink w:anchor="_Toc489888102" w:history="1">
            <w:r w:rsidR="00D44C65" w:rsidRPr="00BB67FB">
              <w:rPr>
                <w:rStyle w:val="Hyperlink"/>
                <w:rFonts w:cstheme="minorHAnsi"/>
                <w:b/>
                <w:noProof/>
              </w:rPr>
              <w:t>7.4</w:t>
            </w:r>
            <w:r w:rsidR="00D44C65">
              <w:rPr>
                <w:noProof/>
                <w:lang w:val="en-AU" w:eastAsia="en-AU"/>
              </w:rPr>
              <w:tab/>
            </w:r>
            <w:r w:rsidR="00D44C65" w:rsidRPr="00BB67FB">
              <w:rPr>
                <w:rStyle w:val="Hyperlink"/>
                <w:rFonts w:cstheme="minorHAnsi"/>
                <w:b/>
                <w:noProof/>
              </w:rPr>
              <w:t>STORAGE AND ANALYSIS OF SAMPLES</w:t>
            </w:r>
            <w:r w:rsidR="00D44C65">
              <w:rPr>
                <w:noProof/>
                <w:webHidden/>
              </w:rPr>
              <w:tab/>
            </w:r>
            <w:r w:rsidR="00D44C65">
              <w:rPr>
                <w:noProof/>
                <w:webHidden/>
              </w:rPr>
              <w:fldChar w:fldCharType="begin"/>
            </w:r>
            <w:r w:rsidR="00D44C65">
              <w:rPr>
                <w:noProof/>
                <w:webHidden/>
              </w:rPr>
              <w:instrText xml:space="preserve"> PAGEREF _Toc489888102 \h </w:instrText>
            </w:r>
            <w:r w:rsidR="00D44C65">
              <w:rPr>
                <w:noProof/>
                <w:webHidden/>
              </w:rPr>
            </w:r>
            <w:r w:rsidR="00D44C65">
              <w:rPr>
                <w:noProof/>
                <w:webHidden/>
              </w:rPr>
              <w:fldChar w:fldCharType="separate"/>
            </w:r>
            <w:r w:rsidR="00D44C65">
              <w:rPr>
                <w:noProof/>
                <w:webHidden/>
              </w:rPr>
              <w:t>38</w:t>
            </w:r>
            <w:r w:rsidR="00D44C65">
              <w:rPr>
                <w:noProof/>
                <w:webHidden/>
              </w:rPr>
              <w:fldChar w:fldCharType="end"/>
            </w:r>
          </w:hyperlink>
        </w:p>
        <w:p w14:paraId="37D6B646" w14:textId="77777777" w:rsidR="00D44C65" w:rsidRDefault="00BA2754">
          <w:pPr>
            <w:pStyle w:val="TOC1"/>
            <w:tabs>
              <w:tab w:val="left" w:pos="440"/>
              <w:tab w:val="right" w:leader="dot" w:pos="9323"/>
            </w:tabs>
            <w:rPr>
              <w:noProof/>
              <w:lang w:val="en-AU" w:eastAsia="en-AU"/>
            </w:rPr>
          </w:pPr>
          <w:hyperlink w:anchor="_Toc489888103" w:history="1">
            <w:r w:rsidR="00D44C65" w:rsidRPr="00BB67FB">
              <w:rPr>
                <w:rStyle w:val="Hyperlink"/>
                <w:rFonts w:cstheme="minorHAnsi"/>
                <w:b/>
                <w:noProof/>
              </w:rPr>
              <w:t>8</w:t>
            </w:r>
            <w:r w:rsidR="00D44C65">
              <w:rPr>
                <w:noProof/>
                <w:lang w:val="en-AU" w:eastAsia="en-AU"/>
              </w:rPr>
              <w:tab/>
            </w:r>
            <w:r w:rsidR="00D44C65" w:rsidRPr="00BB67FB">
              <w:rPr>
                <w:rStyle w:val="Hyperlink"/>
                <w:rFonts w:cstheme="minorHAnsi"/>
                <w:b/>
                <w:noProof/>
              </w:rPr>
              <w:t>DATA COLLECTION</w:t>
            </w:r>
            <w:r w:rsidR="00D44C65">
              <w:rPr>
                <w:noProof/>
                <w:webHidden/>
              </w:rPr>
              <w:tab/>
            </w:r>
            <w:r w:rsidR="00D44C65">
              <w:rPr>
                <w:noProof/>
                <w:webHidden/>
              </w:rPr>
              <w:fldChar w:fldCharType="begin"/>
            </w:r>
            <w:r w:rsidR="00D44C65">
              <w:rPr>
                <w:noProof/>
                <w:webHidden/>
              </w:rPr>
              <w:instrText xml:space="preserve"> PAGEREF _Toc489888103 \h </w:instrText>
            </w:r>
            <w:r w:rsidR="00D44C65">
              <w:rPr>
                <w:noProof/>
                <w:webHidden/>
              </w:rPr>
            </w:r>
            <w:r w:rsidR="00D44C65">
              <w:rPr>
                <w:noProof/>
                <w:webHidden/>
              </w:rPr>
              <w:fldChar w:fldCharType="separate"/>
            </w:r>
            <w:r w:rsidR="00D44C65">
              <w:rPr>
                <w:noProof/>
                <w:webHidden/>
              </w:rPr>
              <w:t>38</w:t>
            </w:r>
            <w:r w:rsidR="00D44C65">
              <w:rPr>
                <w:noProof/>
                <w:webHidden/>
              </w:rPr>
              <w:fldChar w:fldCharType="end"/>
            </w:r>
          </w:hyperlink>
        </w:p>
        <w:p w14:paraId="431B642F" w14:textId="77777777" w:rsidR="00D44C65" w:rsidRDefault="00BA2754">
          <w:pPr>
            <w:pStyle w:val="TOC1"/>
            <w:tabs>
              <w:tab w:val="left" w:pos="440"/>
              <w:tab w:val="right" w:leader="dot" w:pos="9323"/>
            </w:tabs>
            <w:rPr>
              <w:noProof/>
              <w:lang w:val="en-AU" w:eastAsia="en-AU"/>
            </w:rPr>
          </w:pPr>
          <w:hyperlink w:anchor="_Toc489888104" w:history="1">
            <w:r w:rsidR="00D44C65" w:rsidRPr="00BB67FB">
              <w:rPr>
                <w:rStyle w:val="Hyperlink"/>
                <w:rFonts w:cstheme="minorHAnsi"/>
                <w:b/>
                <w:noProof/>
              </w:rPr>
              <w:t>9</w:t>
            </w:r>
            <w:r w:rsidR="00D44C65">
              <w:rPr>
                <w:noProof/>
                <w:lang w:val="en-AU" w:eastAsia="en-AU"/>
              </w:rPr>
              <w:tab/>
            </w:r>
            <w:r w:rsidR="00D44C65" w:rsidRPr="00BB67FB">
              <w:rPr>
                <w:rStyle w:val="Hyperlink"/>
                <w:rFonts w:cstheme="minorHAnsi"/>
                <w:b/>
                <w:noProof/>
              </w:rPr>
              <w:t>STATISTICS AND DATA ANALYSIS</w:t>
            </w:r>
            <w:r w:rsidR="00D44C65">
              <w:rPr>
                <w:noProof/>
                <w:webHidden/>
              </w:rPr>
              <w:tab/>
            </w:r>
            <w:r w:rsidR="00D44C65">
              <w:rPr>
                <w:noProof/>
                <w:webHidden/>
              </w:rPr>
              <w:fldChar w:fldCharType="begin"/>
            </w:r>
            <w:r w:rsidR="00D44C65">
              <w:rPr>
                <w:noProof/>
                <w:webHidden/>
              </w:rPr>
              <w:instrText xml:space="preserve"> PAGEREF _Toc489888104 \h </w:instrText>
            </w:r>
            <w:r w:rsidR="00D44C65">
              <w:rPr>
                <w:noProof/>
                <w:webHidden/>
              </w:rPr>
            </w:r>
            <w:r w:rsidR="00D44C65">
              <w:rPr>
                <w:noProof/>
                <w:webHidden/>
              </w:rPr>
              <w:fldChar w:fldCharType="separate"/>
            </w:r>
            <w:r w:rsidR="00D44C65">
              <w:rPr>
                <w:noProof/>
                <w:webHidden/>
              </w:rPr>
              <w:t>38</w:t>
            </w:r>
            <w:r w:rsidR="00D44C65">
              <w:rPr>
                <w:noProof/>
                <w:webHidden/>
              </w:rPr>
              <w:fldChar w:fldCharType="end"/>
            </w:r>
          </w:hyperlink>
        </w:p>
        <w:p w14:paraId="0CDF473A" w14:textId="77777777" w:rsidR="00D44C65" w:rsidRDefault="00BA2754">
          <w:pPr>
            <w:pStyle w:val="TOC2"/>
            <w:tabs>
              <w:tab w:val="left" w:pos="880"/>
              <w:tab w:val="right" w:leader="dot" w:pos="9323"/>
            </w:tabs>
            <w:rPr>
              <w:noProof/>
              <w:lang w:val="en-AU" w:eastAsia="en-AU"/>
            </w:rPr>
          </w:pPr>
          <w:hyperlink w:anchor="_Toc489888105" w:history="1">
            <w:r w:rsidR="00D44C65" w:rsidRPr="00BB67FB">
              <w:rPr>
                <w:rStyle w:val="Hyperlink"/>
                <w:rFonts w:cstheme="minorHAnsi"/>
                <w:b/>
                <w:noProof/>
              </w:rPr>
              <w:t>9.1</w:t>
            </w:r>
            <w:r w:rsidR="00D44C65">
              <w:rPr>
                <w:noProof/>
                <w:lang w:val="en-AU" w:eastAsia="en-AU"/>
              </w:rPr>
              <w:tab/>
            </w:r>
            <w:r w:rsidR="00D44C65" w:rsidRPr="00BB67FB">
              <w:rPr>
                <w:rStyle w:val="Hyperlink"/>
                <w:rFonts w:cstheme="minorHAnsi"/>
                <w:b/>
                <w:noProof/>
              </w:rPr>
              <w:t>SAMPLE SIZE CALCULATION/RATIONALE</w:t>
            </w:r>
            <w:r w:rsidR="00D44C65">
              <w:rPr>
                <w:noProof/>
                <w:webHidden/>
              </w:rPr>
              <w:tab/>
            </w:r>
            <w:r w:rsidR="00D44C65">
              <w:rPr>
                <w:noProof/>
                <w:webHidden/>
              </w:rPr>
              <w:fldChar w:fldCharType="begin"/>
            </w:r>
            <w:r w:rsidR="00D44C65">
              <w:rPr>
                <w:noProof/>
                <w:webHidden/>
              </w:rPr>
              <w:instrText xml:space="preserve"> PAGEREF _Toc489888105 \h </w:instrText>
            </w:r>
            <w:r w:rsidR="00D44C65">
              <w:rPr>
                <w:noProof/>
                <w:webHidden/>
              </w:rPr>
            </w:r>
            <w:r w:rsidR="00D44C65">
              <w:rPr>
                <w:noProof/>
                <w:webHidden/>
              </w:rPr>
              <w:fldChar w:fldCharType="separate"/>
            </w:r>
            <w:r w:rsidR="00D44C65">
              <w:rPr>
                <w:noProof/>
                <w:webHidden/>
              </w:rPr>
              <w:t>38</w:t>
            </w:r>
            <w:r w:rsidR="00D44C65">
              <w:rPr>
                <w:noProof/>
                <w:webHidden/>
              </w:rPr>
              <w:fldChar w:fldCharType="end"/>
            </w:r>
          </w:hyperlink>
        </w:p>
        <w:p w14:paraId="6CBC41FA" w14:textId="77777777" w:rsidR="00D44C65" w:rsidRDefault="00BA2754">
          <w:pPr>
            <w:pStyle w:val="TOC2"/>
            <w:tabs>
              <w:tab w:val="left" w:pos="880"/>
              <w:tab w:val="right" w:leader="dot" w:pos="9323"/>
            </w:tabs>
            <w:rPr>
              <w:noProof/>
              <w:lang w:val="en-AU" w:eastAsia="en-AU"/>
            </w:rPr>
          </w:pPr>
          <w:hyperlink w:anchor="_Toc489888106" w:history="1">
            <w:r w:rsidR="00D44C65" w:rsidRPr="00BB67FB">
              <w:rPr>
                <w:rStyle w:val="Hyperlink"/>
                <w:rFonts w:cstheme="minorHAnsi"/>
                <w:b/>
                <w:noProof/>
              </w:rPr>
              <w:t>9.2</w:t>
            </w:r>
            <w:r w:rsidR="00D44C65">
              <w:rPr>
                <w:noProof/>
                <w:lang w:val="en-AU" w:eastAsia="en-AU"/>
              </w:rPr>
              <w:tab/>
            </w:r>
            <w:r w:rsidR="00D44C65" w:rsidRPr="00BB67FB">
              <w:rPr>
                <w:rStyle w:val="Hyperlink"/>
                <w:rFonts w:cstheme="minorHAnsi"/>
                <w:b/>
                <w:noProof/>
              </w:rPr>
              <w:t>PROPOSED ANALYSES</w:t>
            </w:r>
            <w:r w:rsidR="00D44C65">
              <w:rPr>
                <w:noProof/>
                <w:webHidden/>
              </w:rPr>
              <w:tab/>
            </w:r>
            <w:r w:rsidR="00D44C65">
              <w:rPr>
                <w:noProof/>
                <w:webHidden/>
              </w:rPr>
              <w:fldChar w:fldCharType="begin"/>
            </w:r>
            <w:r w:rsidR="00D44C65">
              <w:rPr>
                <w:noProof/>
                <w:webHidden/>
              </w:rPr>
              <w:instrText xml:space="preserve"> PAGEREF _Toc489888106 \h </w:instrText>
            </w:r>
            <w:r w:rsidR="00D44C65">
              <w:rPr>
                <w:noProof/>
                <w:webHidden/>
              </w:rPr>
            </w:r>
            <w:r w:rsidR="00D44C65">
              <w:rPr>
                <w:noProof/>
                <w:webHidden/>
              </w:rPr>
              <w:fldChar w:fldCharType="separate"/>
            </w:r>
            <w:r w:rsidR="00D44C65">
              <w:rPr>
                <w:noProof/>
                <w:webHidden/>
              </w:rPr>
              <w:t>39</w:t>
            </w:r>
            <w:r w:rsidR="00D44C65">
              <w:rPr>
                <w:noProof/>
                <w:webHidden/>
              </w:rPr>
              <w:fldChar w:fldCharType="end"/>
            </w:r>
          </w:hyperlink>
        </w:p>
        <w:p w14:paraId="0D3BFFB8" w14:textId="77777777" w:rsidR="00D44C65" w:rsidRDefault="00BA2754">
          <w:pPr>
            <w:pStyle w:val="TOC3"/>
            <w:tabs>
              <w:tab w:val="left" w:pos="1320"/>
              <w:tab w:val="right" w:leader="dot" w:pos="9323"/>
            </w:tabs>
            <w:rPr>
              <w:noProof/>
              <w:lang w:val="en-AU" w:eastAsia="en-AU"/>
            </w:rPr>
          </w:pPr>
          <w:hyperlink w:anchor="_Toc489888107" w:history="1">
            <w:r w:rsidR="00D44C65" w:rsidRPr="00BB67FB">
              <w:rPr>
                <w:rStyle w:val="Hyperlink"/>
                <w:rFonts w:cstheme="minorHAnsi"/>
                <w:b/>
                <w:noProof/>
              </w:rPr>
              <w:t>9.2.1</w:t>
            </w:r>
            <w:r w:rsidR="00D44C65">
              <w:rPr>
                <w:noProof/>
                <w:lang w:val="en-AU" w:eastAsia="en-AU"/>
              </w:rPr>
              <w:tab/>
            </w:r>
            <w:r w:rsidR="00D44C65" w:rsidRPr="00BB67FB">
              <w:rPr>
                <w:rStyle w:val="Hyperlink"/>
                <w:rFonts w:cstheme="minorHAnsi"/>
                <w:b/>
                <w:noProof/>
              </w:rPr>
              <w:t>Primary outcome analysis</w:t>
            </w:r>
            <w:r w:rsidR="00D44C65">
              <w:rPr>
                <w:noProof/>
                <w:webHidden/>
              </w:rPr>
              <w:tab/>
            </w:r>
            <w:r w:rsidR="00D44C65">
              <w:rPr>
                <w:noProof/>
                <w:webHidden/>
              </w:rPr>
              <w:fldChar w:fldCharType="begin"/>
            </w:r>
            <w:r w:rsidR="00D44C65">
              <w:rPr>
                <w:noProof/>
                <w:webHidden/>
              </w:rPr>
              <w:instrText xml:space="preserve"> PAGEREF _Toc489888107 \h </w:instrText>
            </w:r>
            <w:r w:rsidR="00D44C65">
              <w:rPr>
                <w:noProof/>
                <w:webHidden/>
              </w:rPr>
            </w:r>
            <w:r w:rsidR="00D44C65">
              <w:rPr>
                <w:noProof/>
                <w:webHidden/>
              </w:rPr>
              <w:fldChar w:fldCharType="separate"/>
            </w:r>
            <w:r w:rsidR="00D44C65">
              <w:rPr>
                <w:noProof/>
                <w:webHidden/>
              </w:rPr>
              <w:t>39</w:t>
            </w:r>
            <w:r w:rsidR="00D44C65">
              <w:rPr>
                <w:noProof/>
                <w:webHidden/>
              </w:rPr>
              <w:fldChar w:fldCharType="end"/>
            </w:r>
          </w:hyperlink>
        </w:p>
        <w:p w14:paraId="51CDFEE6" w14:textId="77777777" w:rsidR="00D44C65" w:rsidRDefault="00BA2754">
          <w:pPr>
            <w:pStyle w:val="TOC3"/>
            <w:tabs>
              <w:tab w:val="left" w:pos="1320"/>
              <w:tab w:val="right" w:leader="dot" w:pos="9323"/>
            </w:tabs>
            <w:rPr>
              <w:noProof/>
              <w:lang w:val="en-AU" w:eastAsia="en-AU"/>
            </w:rPr>
          </w:pPr>
          <w:hyperlink w:anchor="_Toc489888108" w:history="1">
            <w:r w:rsidR="00D44C65" w:rsidRPr="00BB67FB">
              <w:rPr>
                <w:rStyle w:val="Hyperlink"/>
                <w:rFonts w:cstheme="minorHAnsi"/>
                <w:b/>
                <w:noProof/>
              </w:rPr>
              <w:t>9.2.2</w:t>
            </w:r>
            <w:r w:rsidR="00D44C65">
              <w:rPr>
                <w:noProof/>
                <w:lang w:val="en-AU" w:eastAsia="en-AU"/>
              </w:rPr>
              <w:tab/>
            </w:r>
            <w:r w:rsidR="00D44C65" w:rsidRPr="00BB67FB">
              <w:rPr>
                <w:rStyle w:val="Hyperlink"/>
                <w:rFonts w:cstheme="minorHAnsi"/>
                <w:b/>
                <w:noProof/>
              </w:rPr>
              <w:t>Secondary outcome analyses</w:t>
            </w:r>
            <w:r w:rsidR="00D44C65">
              <w:rPr>
                <w:noProof/>
                <w:webHidden/>
              </w:rPr>
              <w:tab/>
            </w:r>
            <w:r w:rsidR="00D44C65">
              <w:rPr>
                <w:noProof/>
                <w:webHidden/>
              </w:rPr>
              <w:fldChar w:fldCharType="begin"/>
            </w:r>
            <w:r w:rsidR="00D44C65">
              <w:rPr>
                <w:noProof/>
                <w:webHidden/>
              </w:rPr>
              <w:instrText xml:space="preserve"> PAGEREF _Toc489888108 \h </w:instrText>
            </w:r>
            <w:r w:rsidR="00D44C65">
              <w:rPr>
                <w:noProof/>
                <w:webHidden/>
              </w:rPr>
            </w:r>
            <w:r w:rsidR="00D44C65">
              <w:rPr>
                <w:noProof/>
                <w:webHidden/>
              </w:rPr>
              <w:fldChar w:fldCharType="separate"/>
            </w:r>
            <w:r w:rsidR="00D44C65">
              <w:rPr>
                <w:noProof/>
                <w:webHidden/>
              </w:rPr>
              <w:t>40</w:t>
            </w:r>
            <w:r w:rsidR="00D44C65">
              <w:rPr>
                <w:noProof/>
                <w:webHidden/>
              </w:rPr>
              <w:fldChar w:fldCharType="end"/>
            </w:r>
          </w:hyperlink>
        </w:p>
        <w:p w14:paraId="66B89B37" w14:textId="77777777" w:rsidR="00D44C65" w:rsidRDefault="00BA2754">
          <w:pPr>
            <w:pStyle w:val="TOC3"/>
            <w:tabs>
              <w:tab w:val="left" w:pos="1320"/>
              <w:tab w:val="right" w:leader="dot" w:pos="9323"/>
            </w:tabs>
            <w:rPr>
              <w:noProof/>
              <w:lang w:val="en-AU" w:eastAsia="en-AU"/>
            </w:rPr>
          </w:pPr>
          <w:hyperlink w:anchor="_Toc489888109" w:history="1">
            <w:r w:rsidR="00D44C65" w:rsidRPr="00BB67FB">
              <w:rPr>
                <w:rStyle w:val="Hyperlink"/>
                <w:rFonts w:cstheme="minorHAnsi"/>
                <w:b/>
                <w:noProof/>
              </w:rPr>
              <w:t>9.2.3</w:t>
            </w:r>
            <w:r w:rsidR="00D44C65">
              <w:rPr>
                <w:noProof/>
                <w:lang w:val="en-AU" w:eastAsia="en-AU"/>
              </w:rPr>
              <w:tab/>
            </w:r>
            <w:r w:rsidR="00D44C65" w:rsidRPr="00BB67FB">
              <w:rPr>
                <w:rStyle w:val="Hyperlink"/>
                <w:rFonts w:cstheme="minorHAnsi"/>
                <w:b/>
                <w:noProof/>
              </w:rPr>
              <w:t>Missing data/sensitivity analyses</w:t>
            </w:r>
            <w:r w:rsidR="00D44C65">
              <w:rPr>
                <w:noProof/>
                <w:webHidden/>
              </w:rPr>
              <w:tab/>
            </w:r>
            <w:r w:rsidR="00D44C65">
              <w:rPr>
                <w:noProof/>
                <w:webHidden/>
              </w:rPr>
              <w:fldChar w:fldCharType="begin"/>
            </w:r>
            <w:r w:rsidR="00D44C65">
              <w:rPr>
                <w:noProof/>
                <w:webHidden/>
              </w:rPr>
              <w:instrText xml:space="preserve"> PAGEREF _Toc489888109 \h </w:instrText>
            </w:r>
            <w:r w:rsidR="00D44C65">
              <w:rPr>
                <w:noProof/>
                <w:webHidden/>
              </w:rPr>
            </w:r>
            <w:r w:rsidR="00D44C65">
              <w:rPr>
                <w:noProof/>
                <w:webHidden/>
              </w:rPr>
              <w:fldChar w:fldCharType="separate"/>
            </w:r>
            <w:r w:rsidR="00D44C65">
              <w:rPr>
                <w:noProof/>
                <w:webHidden/>
              </w:rPr>
              <w:t>40</w:t>
            </w:r>
            <w:r w:rsidR="00D44C65">
              <w:rPr>
                <w:noProof/>
                <w:webHidden/>
              </w:rPr>
              <w:fldChar w:fldCharType="end"/>
            </w:r>
          </w:hyperlink>
        </w:p>
        <w:p w14:paraId="532768C4" w14:textId="77777777" w:rsidR="00D44C65" w:rsidRDefault="00BA2754">
          <w:pPr>
            <w:pStyle w:val="TOC3"/>
            <w:tabs>
              <w:tab w:val="left" w:pos="1320"/>
              <w:tab w:val="right" w:leader="dot" w:pos="9323"/>
            </w:tabs>
            <w:rPr>
              <w:noProof/>
              <w:lang w:val="en-AU" w:eastAsia="en-AU"/>
            </w:rPr>
          </w:pPr>
          <w:hyperlink w:anchor="_Toc489888110" w:history="1">
            <w:r w:rsidR="00D44C65" w:rsidRPr="00BB67FB">
              <w:rPr>
                <w:rStyle w:val="Hyperlink"/>
                <w:rFonts w:cstheme="minorHAnsi"/>
                <w:b/>
                <w:noProof/>
              </w:rPr>
              <w:t>9.2.4</w:t>
            </w:r>
            <w:r w:rsidR="00D44C65">
              <w:rPr>
                <w:noProof/>
                <w:lang w:val="en-AU" w:eastAsia="en-AU"/>
              </w:rPr>
              <w:tab/>
            </w:r>
            <w:r w:rsidR="00D44C65" w:rsidRPr="00BB67FB">
              <w:rPr>
                <w:rStyle w:val="Hyperlink"/>
                <w:rFonts w:cstheme="minorHAnsi"/>
                <w:b/>
                <w:noProof/>
              </w:rPr>
              <w:t>Subgroup analyses</w:t>
            </w:r>
            <w:r w:rsidR="00D44C65">
              <w:rPr>
                <w:noProof/>
                <w:webHidden/>
              </w:rPr>
              <w:tab/>
            </w:r>
            <w:r w:rsidR="00D44C65">
              <w:rPr>
                <w:noProof/>
                <w:webHidden/>
              </w:rPr>
              <w:fldChar w:fldCharType="begin"/>
            </w:r>
            <w:r w:rsidR="00D44C65">
              <w:rPr>
                <w:noProof/>
                <w:webHidden/>
              </w:rPr>
              <w:instrText xml:space="preserve"> PAGEREF _Toc489888110 \h </w:instrText>
            </w:r>
            <w:r w:rsidR="00D44C65">
              <w:rPr>
                <w:noProof/>
                <w:webHidden/>
              </w:rPr>
            </w:r>
            <w:r w:rsidR="00D44C65">
              <w:rPr>
                <w:noProof/>
                <w:webHidden/>
              </w:rPr>
              <w:fldChar w:fldCharType="separate"/>
            </w:r>
            <w:r w:rsidR="00D44C65">
              <w:rPr>
                <w:noProof/>
                <w:webHidden/>
              </w:rPr>
              <w:t>40</w:t>
            </w:r>
            <w:r w:rsidR="00D44C65">
              <w:rPr>
                <w:noProof/>
                <w:webHidden/>
              </w:rPr>
              <w:fldChar w:fldCharType="end"/>
            </w:r>
          </w:hyperlink>
        </w:p>
        <w:p w14:paraId="29EB149A" w14:textId="77777777" w:rsidR="00D44C65" w:rsidRDefault="00BA2754">
          <w:pPr>
            <w:pStyle w:val="TOC3"/>
            <w:tabs>
              <w:tab w:val="left" w:pos="1320"/>
              <w:tab w:val="right" w:leader="dot" w:pos="9323"/>
            </w:tabs>
            <w:rPr>
              <w:noProof/>
              <w:lang w:val="en-AU" w:eastAsia="en-AU"/>
            </w:rPr>
          </w:pPr>
          <w:hyperlink w:anchor="_Toc489888111" w:history="1">
            <w:r w:rsidR="00D44C65" w:rsidRPr="00BB67FB">
              <w:rPr>
                <w:rStyle w:val="Hyperlink"/>
                <w:rFonts w:cstheme="minorHAnsi"/>
                <w:b/>
                <w:noProof/>
              </w:rPr>
              <w:t>9.2.5</w:t>
            </w:r>
            <w:r w:rsidR="00D44C65">
              <w:rPr>
                <w:noProof/>
                <w:lang w:val="en-AU" w:eastAsia="en-AU"/>
              </w:rPr>
              <w:tab/>
            </w:r>
            <w:r w:rsidR="00D44C65" w:rsidRPr="00BB67FB">
              <w:rPr>
                <w:rStyle w:val="Hyperlink"/>
                <w:rFonts w:cstheme="minorHAnsi"/>
                <w:b/>
                <w:noProof/>
              </w:rPr>
              <w:t>Interim analysis</w:t>
            </w:r>
            <w:r w:rsidR="00D44C65">
              <w:rPr>
                <w:noProof/>
                <w:webHidden/>
              </w:rPr>
              <w:tab/>
            </w:r>
            <w:r w:rsidR="00D44C65">
              <w:rPr>
                <w:noProof/>
                <w:webHidden/>
              </w:rPr>
              <w:fldChar w:fldCharType="begin"/>
            </w:r>
            <w:r w:rsidR="00D44C65">
              <w:rPr>
                <w:noProof/>
                <w:webHidden/>
              </w:rPr>
              <w:instrText xml:space="preserve"> PAGEREF _Toc489888111 \h </w:instrText>
            </w:r>
            <w:r w:rsidR="00D44C65">
              <w:rPr>
                <w:noProof/>
                <w:webHidden/>
              </w:rPr>
            </w:r>
            <w:r w:rsidR="00D44C65">
              <w:rPr>
                <w:noProof/>
                <w:webHidden/>
              </w:rPr>
              <w:fldChar w:fldCharType="separate"/>
            </w:r>
            <w:r w:rsidR="00D44C65">
              <w:rPr>
                <w:noProof/>
                <w:webHidden/>
              </w:rPr>
              <w:t>40</w:t>
            </w:r>
            <w:r w:rsidR="00D44C65">
              <w:rPr>
                <w:noProof/>
                <w:webHidden/>
              </w:rPr>
              <w:fldChar w:fldCharType="end"/>
            </w:r>
          </w:hyperlink>
        </w:p>
        <w:p w14:paraId="3A8212EA" w14:textId="77777777" w:rsidR="00D44C65" w:rsidRDefault="00BA2754">
          <w:pPr>
            <w:pStyle w:val="TOC3"/>
            <w:tabs>
              <w:tab w:val="left" w:pos="1320"/>
              <w:tab w:val="right" w:leader="dot" w:pos="9323"/>
            </w:tabs>
            <w:rPr>
              <w:noProof/>
              <w:lang w:val="en-AU" w:eastAsia="en-AU"/>
            </w:rPr>
          </w:pPr>
          <w:hyperlink w:anchor="_Toc489888112" w:history="1">
            <w:r w:rsidR="00D44C65" w:rsidRPr="00BB67FB">
              <w:rPr>
                <w:rStyle w:val="Hyperlink"/>
                <w:rFonts w:cstheme="minorHAnsi"/>
                <w:b/>
                <w:noProof/>
              </w:rPr>
              <w:t>9.2.6</w:t>
            </w:r>
            <w:r w:rsidR="00D44C65">
              <w:rPr>
                <w:noProof/>
                <w:lang w:val="en-AU" w:eastAsia="en-AU"/>
              </w:rPr>
              <w:tab/>
            </w:r>
            <w:r w:rsidR="00D44C65" w:rsidRPr="00BB67FB">
              <w:rPr>
                <w:rStyle w:val="Hyperlink"/>
                <w:rFonts w:cstheme="minorHAnsi"/>
                <w:b/>
                <w:noProof/>
              </w:rPr>
              <w:t>Final analysis</w:t>
            </w:r>
            <w:r w:rsidR="00D44C65">
              <w:rPr>
                <w:noProof/>
                <w:webHidden/>
              </w:rPr>
              <w:tab/>
            </w:r>
            <w:r w:rsidR="00D44C65">
              <w:rPr>
                <w:noProof/>
                <w:webHidden/>
              </w:rPr>
              <w:fldChar w:fldCharType="begin"/>
            </w:r>
            <w:r w:rsidR="00D44C65">
              <w:rPr>
                <w:noProof/>
                <w:webHidden/>
              </w:rPr>
              <w:instrText xml:space="preserve"> PAGEREF _Toc489888112 \h </w:instrText>
            </w:r>
            <w:r w:rsidR="00D44C65">
              <w:rPr>
                <w:noProof/>
                <w:webHidden/>
              </w:rPr>
            </w:r>
            <w:r w:rsidR="00D44C65">
              <w:rPr>
                <w:noProof/>
                <w:webHidden/>
              </w:rPr>
              <w:fldChar w:fldCharType="separate"/>
            </w:r>
            <w:r w:rsidR="00D44C65">
              <w:rPr>
                <w:noProof/>
                <w:webHidden/>
              </w:rPr>
              <w:t>40</w:t>
            </w:r>
            <w:r w:rsidR="00D44C65">
              <w:rPr>
                <w:noProof/>
                <w:webHidden/>
              </w:rPr>
              <w:fldChar w:fldCharType="end"/>
            </w:r>
          </w:hyperlink>
        </w:p>
        <w:p w14:paraId="2B1C72FA" w14:textId="77777777" w:rsidR="00D44C65" w:rsidRDefault="00BA2754">
          <w:pPr>
            <w:pStyle w:val="TOC1"/>
            <w:tabs>
              <w:tab w:val="left" w:pos="660"/>
              <w:tab w:val="right" w:leader="dot" w:pos="9323"/>
            </w:tabs>
            <w:rPr>
              <w:noProof/>
              <w:lang w:val="en-AU" w:eastAsia="en-AU"/>
            </w:rPr>
          </w:pPr>
          <w:hyperlink w:anchor="_Toc489888113" w:history="1">
            <w:r w:rsidR="00D44C65" w:rsidRPr="00BB67FB">
              <w:rPr>
                <w:rStyle w:val="Hyperlink"/>
                <w:rFonts w:cstheme="minorHAnsi"/>
                <w:b/>
                <w:noProof/>
              </w:rPr>
              <w:t>10</w:t>
            </w:r>
            <w:r w:rsidR="00D44C65">
              <w:rPr>
                <w:noProof/>
                <w:lang w:val="en-AU" w:eastAsia="en-AU"/>
              </w:rPr>
              <w:tab/>
            </w:r>
            <w:r w:rsidR="00D44C65" w:rsidRPr="00BB67FB">
              <w:rPr>
                <w:rStyle w:val="Hyperlink"/>
                <w:rFonts w:cstheme="minorHAnsi"/>
                <w:b/>
                <w:noProof/>
              </w:rPr>
              <w:t>ADVERSE EVENTS</w:t>
            </w:r>
            <w:r w:rsidR="00D44C65">
              <w:rPr>
                <w:noProof/>
                <w:webHidden/>
              </w:rPr>
              <w:tab/>
            </w:r>
            <w:r w:rsidR="00D44C65">
              <w:rPr>
                <w:noProof/>
                <w:webHidden/>
              </w:rPr>
              <w:fldChar w:fldCharType="begin"/>
            </w:r>
            <w:r w:rsidR="00D44C65">
              <w:rPr>
                <w:noProof/>
                <w:webHidden/>
              </w:rPr>
              <w:instrText xml:space="preserve"> PAGEREF _Toc489888113 \h </w:instrText>
            </w:r>
            <w:r w:rsidR="00D44C65">
              <w:rPr>
                <w:noProof/>
                <w:webHidden/>
              </w:rPr>
            </w:r>
            <w:r w:rsidR="00D44C65">
              <w:rPr>
                <w:noProof/>
                <w:webHidden/>
              </w:rPr>
              <w:fldChar w:fldCharType="separate"/>
            </w:r>
            <w:r w:rsidR="00D44C65">
              <w:rPr>
                <w:noProof/>
                <w:webHidden/>
              </w:rPr>
              <w:t>40</w:t>
            </w:r>
            <w:r w:rsidR="00D44C65">
              <w:rPr>
                <w:noProof/>
                <w:webHidden/>
              </w:rPr>
              <w:fldChar w:fldCharType="end"/>
            </w:r>
          </w:hyperlink>
        </w:p>
        <w:p w14:paraId="7D739DBC" w14:textId="77777777" w:rsidR="00D44C65" w:rsidRDefault="00BA2754">
          <w:pPr>
            <w:pStyle w:val="TOC2"/>
            <w:tabs>
              <w:tab w:val="left" w:pos="880"/>
              <w:tab w:val="right" w:leader="dot" w:pos="9323"/>
            </w:tabs>
            <w:rPr>
              <w:noProof/>
              <w:lang w:val="en-AU" w:eastAsia="en-AU"/>
            </w:rPr>
          </w:pPr>
          <w:hyperlink w:anchor="_Toc489888114" w:history="1">
            <w:r w:rsidR="00D44C65" w:rsidRPr="00BB67FB">
              <w:rPr>
                <w:rStyle w:val="Hyperlink"/>
                <w:rFonts w:cstheme="minorHAnsi"/>
                <w:b/>
                <w:noProof/>
              </w:rPr>
              <w:t>10.1</w:t>
            </w:r>
            <w:r w:rsidR="00D44C65">
              <w:rPr>
                <w:noProof/>
                <w:lang w:val="en-AU" w:eastAsia="en-AU"/>
              </w:rPr>
              <w:tab/>
            </w:r>
            <w:r w:rsidR="00D44C65" w:rsidRPr="00BB67FB">
              <w:rPr>
                <w:rStyle w:val="Hyperlink"/>
                <w:rFonts w:cstheme="minorHAnsi"/>
                <w:b/>
                <w:noProof/>
              </w:rPr>
              <w:t>DEFINITIONS</w:t>
            </w:r>
            <w:r w:rsidR="00D44C65">
              <w:rPr>
                <w:noProof/>
                <w:webHidden/>
              </w:rPr>
              <w:tab/>
            </w:r>
            <w:r w:rsidR="00D44C65">
              <w:rPr>
                <w:noProof/>
                <w:webHidden/>
              </w:rPr>
              <w:fldChar w:fldCharType="begin"/>
            </w:r>
            <w:r w:rsidR="00D44C65">
              <w:rPr>
                <w:noProof/>
                <w:webHidden/>
              </w:rPr>
              <w:instrText xml:space="preserve"> PAGEREF _Toc489888114 \h </w:instrText>
            </w:r>
            <w:r w:rsidR="00D44C65">
              <w:rPr>
                <w:noProof/>
                <w:webHidden/>
              </w:rPr>
            </w:r>
            <w:r w:rsidR="00D44C65">
              <w:rPr>
                <w:noProof/>
                <w:webHidden/>
              </w:rPr>
              <w:fldChar w:fldCharType="separate"/>
            </w:r>
            <w:r w:rsidR="00D44C65">
              <w:rPr>
                <w:noProof/>
                <w:webHidden/>
              </w:rPr>
              <w:t>41</w:t>
            </w:r>
            <w:r w:rsidR="00D44C65">
              <w:rPr>
                <w:noProof/>
                <w:webHidden/>
              </w:rPr>
              <w:fldChar w:fldCharType="end"/>
            </w:r>
          </w:hyperlink>
        </w:p>
        <w:p w14:paraId="577728FC" w14:textId="77777777" w:rsidR="00D44C65" w:rsidRDefault="00BA2754">
          <w:pPr>
            <w:pStyle w:val="TOC2"/>
            <w:tabs>
              <w:tab w:val="left" w:pos="880"/>
              <w:tab w:val="right" w:leader="dot" w:pos="9323"/>
            </w:tabs>
            <w:rPr>
              <w:noProof/>
              <w:lang w:val="en-AU" w:eastAsia="en-AU"/>
            </w:rPr>
          </w:pPr>
          <w:hyperlink w:anchor="_Toc489888115" w:history="1">
            <w:r w:rsidR="00D44C65" w:rsidRPr="00BB67FB">
              <w:rPr>
                <w:rStyle w:val="Hyperlink"/>
                <w:rFonts w:cstheme="minorHAnsi"/>
                <w:b/>
                <w:noProof/>
              </w:rPr>
              <w:t>10.2</w:t>
            </w:r>
            <w:r w:rsidR="00D44C65">
              <w:rPr>
                <w:noProof/>
                <w:lang w:val="en-AU" w:eastAsia="en-AU"/>
              </w:rPr>
              <w:tab/>
            </w:r>
            <w:r w:rsidR="00D44C65" w:rsidRPr="00BB67FB">
              <w:rPr>
                <w:rStyle w:val="Hyperlink"/>
                <w:rFonts w:cstheme="minorHAnsi"/>
                <w:b/>
                <w:noProof/>
              </w:rPr>
              <w:t>IDENTIFYING AEs AND SAEs</w:t>
            </w:r>
            <w:r w:rsidR="00D44C65">
              <w:rPr>
                <w:noProof/>
                <w:webHidden/>
              </w:rPr>
              <w:tab/>
            </w:r>
            <w:r w:rsidR="00D44C65">
              <w:rPr>
                <w:noProof/>
                <w:webHidden/>
              </w:rPr>
              <w:fldChar w:fldCharType="begin"/>
            </w:r>
            <w:r w:rsidR="00D44C65">
              <w:rPr>
                <w:noProof/>
                <w:webHidden/>
              </w:rPr>
              <w:instrText xml:space="preserve"> PAGEREF _Toc489888115 \h </w:instrText>
            </w:r>
            <w:r w:rsidR="00D44C65">
              <w:rPr>
                <w:noProof/>
                <w:webHidden/>
              </w:rPr>
            </w:r>
            <w:r w:rsidR="00D44C65">
              <w:rPr>
                <w:noProof/>
                <w:webHidden/>
              </w:rPr>
              <w:fldChar w:fldCharType="separate"/>
            </w:r>
            <w:r w:rsidR="00D44C65">
              <w:rPr>
                <w:noProof/>
                <w:webHidden/>
              </w:rPr>
              <w:t>41</w:t>
            </w:r>
            <w:r w:rsidR="00D44C65">
              <w:rPr>
                <w:noProof/>
                <w:webHidden/>
              </w:rPr>
              <w:fldChar w:fldCharType="end"/>
            </w:r>
          </w:hyperlink>
        </w:p>
        <w:p w14:paraId="116C36C6" w14:textId="77777777" w:rsidR="00D44C65" w:rsidRDefault="00BA2754">
          <w:pPr>
            <w:pStyle w:val="TOC2"/>
            <w:tabs>
              <w:tab w:val="left" w:pos="880"/>
              <w:tab w:val="right" w:leader="dot" w:pos="9323"/>
            </w:tabs>
            <w:rPr>
              <w:noProof/>
              <w:lang w:val="en-AU" w:eastAsia="en-AU"/>
            </w:rPr>
          </w:pPr>
          <w:hyperlink w:anchor="_Toc489888116" w:history="1">
            <w:r w:rsidR="00D44C65" w:rsidRPr="00BB67FB">
              <w:rPr>
                <w:rStyle w:val="Hyperlink"/>
                <w:rFonts w:cstheme="minorHAnsi"/>
                <w:b/>
                <w:noProof/>
              </w:rPr>
              <w:t>10.3</w:t>
            </w:r>
            <w:r w:rsidR="00D44C65">
              <w:rPr>
                <w:noProof/>
                <w:lang w:val="en-AU" w:eastAsia="en-AU"/>
              </w:rPr>
              <w:tab/>
            </w:r>
            <w:r w:rsidR="00D44C65" w:rsidRPr="00BB67FB">
              <w:rPr>
                <w:rStyle w:val="Hyperlink"/>
                <w:rFonts w:cstheme="minorHAnsi"/>
                <w:b/>
                <w:noProof/>
              </w:rPr>
              <w:t>RECORDING AEs AND SAEs</w:t>
            </w:r>
            <w:r w:rsidR="00D44C65">
              <w:rPr>
                <w:noProof/>
                <w:webHidden/>
              </w:rPr>
              <w:tab/>
            </w:r>
            <w:r w:rsidR="00D44C65">
              <w:rPr>
                <w:noProof/>
                <w:webHidden/>
              </w:rPr>
              <w:fldChar w:fldCharType="begin"/>
            </w:r>
            <w:r w:rsidR="00D44C65">
              <w:rPr>
                <w:noProof/>
                <w:webHidden/>
              </w:rPr>
              <w:instrText xml:space="preserve"> PAGEREF _Toc489888116 \h </w:instrText>
            </w:r>
            <w:r w:rsidR="00D44C65">
              <w:rPr>
                <w:noProof/>
                <w:webHidden/>
              </w:rPr>
            </w:r>
            <w:r w:rsidR="00D44C65">
              <w:rPr>
                <w:noProof/>
                <w:webHidden/>
              </w:rPr>
              <w:fldChar w:fldCharType="separate"/>
            </w:r>
            <w:r w:rsidR="00D44C65">
              <w:rPr>
                <w:noProof/>
                <w:webHidden/>
              </w:rPr>
              <w:t>42</w:t>
            </w:r>
            <w:r w:rsidR="00D44C65">
              <w:rPr>
                <w:noProof/>
                <w:webHidden/>
              </w:rPr>
              <w:fldChar w:fldCharType="end"/>
            </w:r>
          </w:hyperlink>
        </w:p>
        <w:p w14:paraId="7F7DFAA1" w14:textId="77777777" w:rsidR="00D44C65" w:rsidRDefault="00BA2754">
          <w:pPr>
            <w:pStyle w:val="TOC2"/>
            <w:tabs>
              <w:tab w:val="left" w:pos="880"/>
              <w:tab w:val="right" w:leader="dot" w:pos="9323"/>
            </w:tabs>
            <w:rPr>
              <w:noProof/>
              <w:lang w:val="en-AU" w:eastAsia="en-AU"/>
            </w:rPr>
          </w:pPr>
          <w:hyperlink w:anchor="_Toc489888117" w:history="1">
            <w:r w:rsidR="00D44C65" w:rsidRPr="00BB67FB">
              <w:rPr>
                <w:rStyle w:val="Hyperlink"/>
                <w:rFonts w:cstheme="minorHAnsi"/>
                <w:b/>
                <w:noProof/>
              </w:rPr>
              <w:t>10.4</w:t>
            </w:r>
            <w:r w:rsidR="00D44C65">
              <w:rPr>
                <w:noProof/>
                <w:lang w:val="en-AU" w:eastAsia="en-AU"/>
              </w:rPr>
              <w:tab/>
            </w:r>
            <w:r w:rsidR="00D44C65" w:rsidRPr="00BB67FB">
              <w:rPr>
                <w:rStyle w:val="Hyperlink"/>
                <w:rFonts w:cstheme="minorHAnsi"/>
                <w:b/>
                <w:noProof/>
              </w:rPr>
              <w:t>ASSESSMENT OF AEs AND SAEs</w:t>
            </w:r>
            <w:r w:rsidR="00D44C65">
              <w:rPr>
                <w:noProof/>
                <w:webHidden/>
              </w:rPr>
              <w:tab/>
            </w:r>
            <w:r w:rsidR="00D44C65">
              <w:rPr>
                <w:noProof/>
                <w:webHidden/>
              </w:rPr>
              <w:fldChar w:fldCharType="begin"/>
            </w:r>
            <w:r w:rsidR="00D44C65">
              <w:rPr>
                <w:noProof/>
                <w:webHidden/>
              </w:rPr>
              <w:instrText xml:space="preserve"> PAGEREF _Toc489888117 \h </w:instrText>
            </w:r>
            <w:r w:rsidR="00D44C65">
              <w:rPr>
                <w:noProof/>
                <w:webHidden/>
              </w:rPr>
            </w:r>
            <w:r w:rsidR="00D44C65">
              <w:rPr>
                <w:noProof/>
                <w:webHidden/>
              </w:rPr>
              <w:fldChar w:fldCharType="separate"/>
            </w:r>
            <w:r w:rsidR="00D44C65">
              <w:rPr>
                <w:noProof/>
                <w:webHidden/>
              </w:rPr>
              <w:t>42</w:t>
            </w:r>
            <w:r w:rsidR="00D44C65">
              <w:rPr>
                <w:noProof/>
                <w:webHidden/>
              </w:rPr>
              <w:fldChar w:fldCharType="end"/>
            </w:r>
          </w:hyperlink>
        </w:p>
        <w:p w14:paraId="1F04F53E" w14:textId="77777777" w:rsidR="00D44C65" w:rsidRDefault="00BA2754">
          <w:pPr>
            <w:pStyle w:val="TOC3"/>
            <w:tabs>
              <w:tab w:val="left" w:pos="1320"/>
              <w:tab w:val="right" w:leader="dot" w:pos="9323"/>
            </w:tabs>
            <w:rPr>
              <w:noProof/>
              <w:lang w:val="en-AU" w:eastAsia="en-AU"/>
            </w:rPr>
          </w:pPr>
          <w:hyperlink w:anchor="_Toc489888118" w:history="1">
            <w:r w:rsidR="00D44C65" w:rsidRPr="00BB67FB">
              <w:rPr>
                <w:rStyle w:val="Hyperlink"/>
                <w:rFonts w:cstheme="minorHAnsi"/>
                <w:b/>
                <w:noProof/>
              </w:rPr>
              <w:t>10.4.1</w:t>
            </w:r>
            <w:r w:rsidR="00D44C65">
              <w:rPr>
                <w:noProof/>
                <w:lang w:val="en-AU" w:eastAsia="en-AU"/>
              </w:rPr>
              <w:tab/>
            </w:r>
            <w:r w:rsidR="00D44C65" w:rsidRPr="00BB67FB">
              <w:rPr>
                <w:rStyle w:val="Hyperlink"/>
                <w:rFonts w:cstheme="minorHAnsi"/>
                <w:b/>
                <w:noProof/>
              </w:rPr>
              <w:t>Assessment of seriousness</w:t>
            </w:r>
            <w:r w:rsidR="00D44C65">
              <w:rPr>
                <w:noProof/>
                <w:webHidden/>
              </w:rPr>
              <w:tab/>
            </w:r>
            <w:r w:rsidR="00D44C65">
              <w:rPr>
                <w:noProof/>
                <w:webHidden/>
              </w:rPr>
              <w:fldChar w:fldCharType="begin"/>
            </w:r>
            <w:r w:rsidR="00D44C65">
              <w:rPr>
                <w:noProof/>
                <w:webHidden/>
              </w:rPr>
              <w:instrText xml:space="preserve"> PAGEREF _Toc489888118 \h </w:instrText>
            </w:r>
            <w:r w:rsidR="00D44C65">
              <w:rPr>
                <w:noProof/>
                <w:webHidden/>
              </w:rPr>
            </w:r>
            <w:r w:rsidR="00D44C65">
              <w:rPr>
                <w:noProof/>
                <w:webHidden/>
              </w:rPr>
              <w:fldChar w:fldCharType="separate"/>
            </w:r>
            <w:r w:rsidR="00D44C65">
              <w:rPr>
                <w:noProof/>
                <w:webHidden/>
              </w:rPr>
              <w:t>43</w:t>
            </w:r>
            <w:r w:rsidR="00D44C65">
              <w:rPr>
                <w:noProof/>
                <w:webHidden/>
              </w:rPr>
              <w:fldChar w:fldCharType="end"/>
            </w:r>
          </w:hyperlink>
        </w:p>
        <w:p w14:paraId="1C40FDA7" w14:textId="77777777" w:rsidR="00D44C65" w:rsidRDefault="00BA2754">
          <w:pPr>
            <w:pStyle w:val="TOC3"/>
            <w:tabs>
              <w:tab w:val="left" w:pos="1320"/>
              <w:tab w:val="right" w:leader="dot" w:pos="9323"/>
            </w:tabs>
            <w:rPr>
              <w:noProof/>
              <w:lang w:val="en-AU" w:eastAsia="en-AU"/>
            </w:rPr>
          </w:pPr>
          <w:hyperlink w:anchor="_Toc489888119" w:history="1">
            <w:r w:rsidR="00D44C65" w:rsidRPr="00BB67FB">
              <w:rPr>
                <w:rStyle w:val="Hyperlink"/>
                <w:rFonts w:cstheme="minorHAnsi"/>
                <w:b/>
                <w:noProof/>
              </w:rPr>
              <w:t>10.4.2</w:t>
            </w:r>
            <w:r w:rsidR="00D44C65">
              <w:rPr>
                <w:noProof/>
                <w:lang w:val="en-AU" w:eastAsia="en-AU"/>
              </w:rPr>
              <w:tab/>
            </w:r>
            <w:r w:rsidR="00D44C65" w:rsidRPr="00BB67FB">
              <w:rPr>
                <w:rStyle w:val="Hyperlink"/>
                <w:rFonts w:cstheme="minorHAnsi"/>
                <w:b/>
                <w:noProof/>
              </w:rPr>
              <w:t>Assessment of causality</w:t>
            </w:r>
            <w:r w:rsidR="00D44C65">
              <w:rPr>
                <w:noProof/>
                <w:webHidden/>
              </w:rPr>
              <w:tab/>
            </w:r>
            <w:r w:rsidR="00D44C65">
              <w:rPr>
                <w:noProof/>
                <w:webHidden/>
              </w:rPr>
              <w:fldChar w:fldCharType="begin"/>
            </w:r>
            <w:r w:rsidR="00D44C65">
              <w:rPr>
                <w:noProof/>
                <w:webHidden/>
              </w:rPr>
              <w:instrText xml:space="preserve"> PAGEREF _Toc489888119 \h </w:instrText>
            </w:r>
            <w:r w:rsidR="00D44C65">
              <w:rPr>
                <w:noProof/>
                <w:webHidden/>
              </w:rPr>
            </w:r>
            <w:r w:rsidR="00D44C65">
              <w:rPr>
                <w:noProof/>
                <w:webHidden/>
              </w:rPr>
              <w:fldChar w:fldCharType="separate"/>
            </w:r>
            <w:r w:rsidR="00D44C65">
              <w:rPr>
                <w:noProof/>
                <w:webHidden/>
              </w:rPr>
              <w:t>43</w:t>
            </w:r>
            <w:r w:rsidR="00D44C65">
              <w:rPr>
                <w:noProof/>
                <w:webHidden/>
              </w:rPr>
              <w:fldChar w:fldCharType="end"/>
            </w:r>
          </w:hyperlink>
        </w:p>
        <w:p w14:paraId="044FB701" w14:textId="77777777" w:rsidR="00D44C65" w:rsidRDefault="00BA2754">
          <w:pPr>
            <w:pStyle w:val="TOC3"/>
            <w:tabs>
              <w:tab w:val="left" w:pos="1320"/>
              <w:tab w:val="right" w:leader="dot" w:pos="9323"/>
            </w:tabs>
            <w:rPr>
              <w:noProof/>
              <w:lang w:val="en-AU" w:eastAsia="en-AU"/>
            </w:rPr>
          </w:pPr>
          <w:hyperlink w:anchor="_Toc489888120" w:history="1">
            <w:r w:rsidR="00D44C65" w:rsidRPr="00BB67FB">
              <w:rPr>
                <w:rStyle w:val="Hyperlink"/>
                <w:rFonts w:cstheme="minorHAnsi"/>
                <w:b/>
                <w:noProof/>
              </w:rPr>
              <w:t>10.4.3</w:t>
            </w:r>
            <w:r w:rsidR="00D44C65">
              <w:rPr>
                <w:noProof/>
                <w:lang w:val="en-AU" w:eastAsia="en-AU"/>
              </w:rPr>
              <w:tab/>
            </w:r>
            <w:r w:rsidR="00D44C65" w:rsidRPr="00BB67FB">
              <w:rPr>
                <w:rStyle w:val="Hyperlink"/>
                <w:rFonts w:cstheme="minorHAnsi"/>
                <w:b/>
                <w:noProof/>
              </w:rPr>
              <w:t>Assessment of expectedness</w:t>
            </w:r>
            <w:r w:rsidR="00D44C65">
              <w:rPr>
                <w:noProof/>
                <w:webHidden/>
              </w:rPr>
              <w:tab/>
            </w:r>
            <w:r w:rsidR="00D44C65">
              <w:rPr>
                <w:noProof/>
                <w:webHidden/>
              </w:rPr>
              <w:fldChar w:fldCharType="begin"/>
            </w:r>
            <w:r w:rsidR="00D44C65">
              <w:rPr>
                <w:noProof/>
                <w:webHidden/>
              </w:rPr>
              <w:instrText xml:space="preserve"> PAGEREF _Toc489888120 \h </w:instrText>
            </w:r>
            <w:r w:rsidR="00D44C65">
              <w:rPr>
                <w:noProof/>
                <w:webHidden/>
              </w:rPr>
            </w:r>
            <w:r w:rsidR="00D44C65">
              <w:rPr>
                <w:noProof/>
                <w:webHidden/>
              </w:rPr>
              <w:fldChar w:fldCharType="separate"/>
            </w:r>
            <w:r w:rsidR="00D44C65">
              <w:rPr>
                <w:noProof/>
                <w:webHidden/>
              </w:rPr>
              <w:t>43</w:t>
            </w:r>
            <w:r w:rsidR="00D44C65">
              <w:rPr>
                <w:noProof/>
                <w:webHidden/>
              </w:rPr>
              <w:fldChar w:fldCharType="end"/>
            </w:r>
          </w:hyperlink>
        </w:p>
        <w:p w14:paraId="012C51D9" w14:textId="77777777" w:rsidR="00D44C65" w:rsidRDefault="00BA2754">
          <w:pPr>
            <w:pStyle w:val="TOC3"/>
            <w:tabs>
              <w:tab w:val="left" w:pos="1320"/>
              <w:tab w:val="right" w:leader="dot" w:pos="9323"/>
            </w:tabs>
            <w:rPr>
              <w:noProof/>
              <w:lang w:val="en-AU" w:eastAsia="en-AU"/>
            </w:rPr>
          </w:pPr>
          <w:hyperlink w:anchor="_Toc489888121" w:history="1">
            <w:r w:rsidR="00D44C65" w:rsidRPr="00BB67FB">
              <w:rPr>
                <w:rStyle w:val="Hyperlink"/>
                <w:rFonts w:cstheme="minorHAnsi"/>
                <w:b/>
                <w:noProof/>
              </w:rPr>
              <w:t>10.4.4</w:t>
            </w:r>
            <w:r w:rsidR="00D44C65">
              <w:rPr>
                <w:noProof/>
                <w:lang w:val="en-AU" w:eastAsia="en-AU"/>
              </w:rPr>
              <w:tab/>
            </w:r>
            <w:r w:rsidR="00D44C65" w:rsidRPr="00BB67FB">
              <w:rPr>
                <w:rStyle w:val="Hyperlink"/>
                <w:rFonts w:cstheme="minorHAnsi"/>
                <w:b/>
                <w:noProof/>
              </w:rPr>
              <w:t>Assessment of severity</w:t>
            </w:r>
            <w:r w:rsidR="00D44C65">
              <w:rPr>
                <w:noProof/>
                <w:webHidden/>
              </w:rPr>
              <w:tab/>
            </w:r>
            <w:r w:rsidR="00D44C65">
              <w:rPr>
                <w:noProof/>
                <w:webHidden/>
              </w:rPr>
              <w:fldChar w:fldCharType="begin"/>
            </w:r>
            <w:r w:rsidR="00D44C65">
              <w:rPr>
                <w:noProof/>
                <w:webHidden/>
              </w:rPr>
              <w:instrText xml:space="preserve"> PAGEREF _Toc489888121 \h </w:instrText>
            </w:r>
            <w:r w:rsidR="00D44C65">
              <w:rPr>
                <w:noProof/>
                <w:webHidden/>
              </w:rPr>
            </w:r>
            <w:r w:rsidR="00D44C65">
              <w:rPr>
                <w:noProof/>
                <w:webHidden/>
              </w:rPr>
              <w:fldChar w:fldCharType="separate"/>
            </w:r>
            <w:r w:rsidR="00D44C65">
              <w:rPr>
                <w:noProof/>
                <w:webHidden/>
              </w:rPr>
              <w:t>44</w:t>
            </w:r>
            <w:r w:rsidR="00D44C65">
              <w:rPr>
                <w:noProof/>
                <w:webHidden/>
              </w:rPr>
              <w:fldChar w:fldCharType="end"/>
            </w:r>
          </w:hyperlink>
        </w:p>
        <w:p w14:paraId="1C4C92F4" w14:textId="77777777" w:rsidR="00D44C65" w:rsidRDefault="00BA2754">
          <w:pPr>
            <w:pStyle w:val="TOC2"/>
            <w:tabs>
              <w:tab w:val="left" w:pos="880"/>
              <w:tab w:val="right" w:leader="dot" w:pos="9323"/>
            </w:tabs>
            <w:rPr>
              <w:noProof/>
              <w:lang w:val="en-AU" w:eastAsia="en-AU"/>
            </w:rPr>
          </w:pPr>
          <w:hyperlink w:anchor="_Toc489888122" w:history="1">
            <w:r w:rsidR="00D44C65" w:rsidRPr="00BB67FB">
              <w:rPr>
                <w:rStyle w:val="Hyperlink"/>
                <w:rFonts w:cstheme="minorHAnsi"/>
                <w:b/>
                <w:noProof/>
              </w:rPr>
              <w:t>10.5</w:t>
            </w:r>
            <w:r w:rsidR="00D44C65">
              <w:rPr>
                <w:noProof/>
                <w:lang w:val="en-AU" w:eastAsia="en-AU"/>
              </w:rPr>
              <w:tab/>
            </w:r>
            <w:r w:rsidR="00D44C65" w:rsidRPr="00BB67FB">
              <w:rPr>
                <w:rStyle w:val="Hyperlink"/>
                <w:rFonts w:cstheme="minorHAnsi"/>
                <w:b/>
                <w:noProof/>
              </w:rPr>
              <w:t>REPORTING OF SAEs/SADRs/SUSARs</w:t>
            </w:r>
            <w:r w:rsidR="00D44C65">
              <w:rPr>
                <w:noProof/>
                <w:webHidden/>
              </w:rPr>
              <w:tab/>
            </w:r>
            <w:r w:rsidR="00D44C65">
              <w:rPr>
                <w:noProof/>
                <w:webHidden/>
              </w:rPr>
              <w:fldChar w:fldCharType="begin"/>
            </w:r>
            <w:r w:rsidR="00D44C65">
              <w:rPr>
                <w:noProof/>
                <w:webHidden/>
              </w:rPr>
              <w:instrText xml:space="preserve"> PAGEREF _Toc489888122 \h </w:instrText>
            </w:r>
            <w:r w:rsidR="00D44C65">
              <w:rPr>
                <w:noProof/>
                <w:webHidden/>
              </w:rPr>
            </w:r>
            <w:r w:rsidR="00D44C65">
              <w:rPr>
                <w:noProof/>
                <w:webHidden/>
              </w:rPr>
              <w:fldChar w:fldCharType="separate"/>
            </w:r>
            <w:r w:rsidR="00D44C65">
              <w:rPr>
                <w:noProof/>
                <w:webHidden/>
              </w:rPr>
              <w:t>44</w:t>
            </w:r>
            <w:r w:rsidR="00D44C65">
              <w:rPr>
                <w:noProof/>
                <w:webHidden/>
              </w:rPr>
              <w:fldChar w:fldCharType="end"/>
            </w:r>
          </w:hyperlink>
        </w:p>
        <w:p w14:paraId="40AE590F" w14:textId="77777777" w:rsidR="00D44C65" w:rsidRDefault="00BA2754">
          <w:pPr>
            <w:pStyle w:val="TOC2"/>
            <w:tabs>
              <w:tab w:val="left" w:pos="880"/>
              <w:tab w:val="right" w:leader="dot" w:pos="9323"/>
            </w:tabs>
            <w:rPr>
              <w:noProof/>
              <w:lang w:val="en-AU" w:eastAsia="en-AU"/>
            </w:rPr>
          </w:pPr>
          <w:hyperlink w:anchor="_Toc489888123" w:history="1">
            <w:r w:rsidR="00D44C65" w:rsidRPr="00BB67FB">
              <w:rPr>
                <w:rStyle w:val="Hyperlink"/>
                <w:rFonts w:cstheme="minorHAnsi"/>
                <w:b/>
                <w:noProof/>
              </w:rPr>
              <w:t>10.6</w:t>
            </w:r>
            <w:r w:rsidR="00D44C65">
              <w:rPr>
                <w:noProof/>
                <w:lang w:val="en-AU" w:eastAsia="en-AU"/>
              </w:rPr>
              <w:tab/>
            </w:r>
            <w:r w:rsidR="00D44C65" w:rsidRPr="00BB67FB">
              <w:rPr>
                <w:rStyle w:val="Hyperlink"/>
                <w:rFonts w:cstheme="minorHAnsi"/>
                <w:b/>
                <w:noProof/>
              </w:rPr>
              <w:t>REGULATORY REPORTING REQUIREMENTS</w:t>
            </w:r>
            <w:r w:rsidR="00D44C65">
              <w:rPr>
                <w:noProof/>
                <w:webHidden/>
              </w:rPr>
              <w:tab/>
            </w:r>
            <w:r w:rsidR="00D44C65">
              <w:rPr>
                <w:noProof/>
                <w:webHidden/>
              </w:rPr>
              <w:fldChar w:fldCharType="begin"/>
            </w:r>
            <w:r w:rsidR="00D44C65">
              <w:rPr>
                <w:noProof/>
                <w:webHidden/>
              </w:rPr>
              <w:instrText xml:space="preserve"> PAGEREF _Toc489888123 \h </w:instrText>
            </w:r>
            <w:r w:rsidR="00D44C65">
              <w:rPr>
                <w:noProof/>
                <w:webHidden/>
              </w:rPr>
            </w:r>
            <w:r w:rsidR="00D44C65">
              <w:rPr>
                <w:noProof/>
                <w:webHidden/>
              </w:rPr>
              <w:fldChar w:fldCharType="separate"/>
            </w:r>
            <w:r w:rsidR="00D44C65">
              <w:rPr>
                <w:noProof/>
                <w:webHidden/>
              </w:rPr>
              <w:t>45</w:t>
            </w:r>
            <w:r w:rsidR="00D44C65">
              <w:rPr>
                <w:noProof/>
                <w:webHidden/>
              </w:rPr>
              <w:fldChar w:fldCharType="end"/>
            </w:r>
          </w:hyperlink>
        </w:p>
        <w:p w14:paraId="7B9B5F30" w14:textId="77777777" w:rsidR="00D44C65" w:rsidRDefault="00BA2754">
          <w:pPr>
            <w:pStyle w:val="TOC2"/>
            <w:tabs>
              <w:tab w:val="left" w:pos="880"/>
              <w:tab w:val="right" w:leader="dot" w:pos="9323"/>
            </w:tabs>
            <w:rPr>
              <w:noProof/>
              <w:lang w:val="en-AU" w:eastAsia="en-AU"/>
            </w:rPr>
          </w:pPr>
          <w:hyperlink w:anchor="_Toc489888124" w:history="1">
            <w:r w:rsidR="00D44C65" w:rsidRPr="00BB67FB">
              <w:rPr>
                <w:rStyle w:val="Hyperlink"/>
                <w:rFonts w:cstheme="minorHAnsi"/>
                <w:b/>
                <w:noProof/>
              </w:rPr>
              <w:t>10.7</w:t>
            </w:r>
            <w:r w:rsidR="00D44C65">
              <w:rPr>
                <w:noProof/>
                <w:lang w:val="en-AU" w:eastAsia="en-AU"/>
              </w:rPr>
              <w:tab/>
            </w:r>
            <w:r w:rsidR="00D44C65" w:rsidRPr="00BB67FB">
              <w:rPr>
                <w:rStyle w:val="Hyperlink"/>
                <w:rFonts w:cstheme="minorHAnsi"/>
                <w:b/>
                <w:noProof/>
              </w:rPr>
              <w:t>FOLLOW UP PROCEDURES</w:t>
            </w:r>
            <w:r w:rsidR="00D44C65">
              <w:rPr>
                <w:noProof/>
                <w:webHidden/>
              </w:rPr>
              <w:tab/>
            </w:r>
            <w:r w:rsidR="00D44C65">
              <w:rPr>
                <w:noProof/>
                <w:webHidden/>
              </w:rPr>
              <w:fldChar w:fldCharType="begin"/>
            </w:r>
            <w:r w:rsidR="00D44C65">
              <w:rPr>
                <w:noProof/>
                <w:webHidden/>
              </w:rPr>
              <w:instrText xml:space="preserve"> PAGEREF _Toc489888124 \h </w:instrText>
            </w:r>
            <w:r w:rsidR="00D44C65">
              <w:rPr>
                <w:noProof/>
                <w:webHidden/>
              </w:rPr>
            </w:r>
            <w:r w:rsidR="00D44C65">
              <w:rPr>
                <w:noProof/>
                <w:webHidden/>
              </w:rPr>
              <w:fldChar w:fldCharType="separate"/>
            </w:r>
            <w:r w:rsidR="00D44C65">
              <w:rPr>
                <w:noProof/>
                <w:webHidden/>
              </w:rPr>
              <w:t>45</w:t>
            </w:r>
            <w:r w:rsidR="00D44C65">
              <w:rPr>
                <w:noProof/>
                <w:webHidden/>
              </w:rPr>
              <w:fldChar w:fldCharType="end"/>
            </w:r>
          </w:hyperlink>
        </w:p>
        <w:p w14:paraId="129FA8A8" w14:textId="77777777" w:rsidR="00D44C65" w:rsidRDefault="00BA2754">
          <w:pPr>
            <w:pStyle w:val="TOC1"/>
            <w:tabs>
              <w:tab w:val="left" w:pos="660"/>
              <w:tab w:val="right" w:leader="dot" w:pos="9323"/>
            </w:tabs>
            <w:rPr>
              <w:noProof/>
              <w:lang w:val="en-AU" w:eastAsia="en-AU"/>
            </w:rPr>
          </w:pPr>
          <w:hyperlink w:anchor="_Toc489888125" w:history="1">
            <w:r w:rsidR="00D44C65" w:rsidRPr="00BB67FB">
              <w:rPr>
                <w:rStyle w:val="Hyperlink"/>
                <w:rFonts w:cstheme="minorHAnsi"/>
                <w:b/>
                <w:noProof/>
              </w:rPr>
              <w:t>11</w:t>
            </w:r>
            <w:r w:rsidR="00D44C65">
              <w:rPr>
                <w:noProof/>
                <w:lang w:val="en-AU" w:eastAsia="en-AU"/>
              </w:rPr>
              <w:tab/>
            </w:r>
            <w:r w:rsidR="00D44C65" w:rsidRPr="00BB67FB">
              <w:rPr>
                <w:rStyle w:val="Hyperlink"/>
                <w:rFonts w:cstheme="minorHAnsi"/>
                <w:b/>
                <w:noProof/>
              </w:rPr>
              <w:t>PREGNANCY AND BREASTFEEDING</w:t>
            </w:r>
            <w:r w:rsidR="00D44C65">
              <w:rPr>
                <w:noProof/>
                <w:webHidden/>
              </w:rPr>
              <w:tab/>
            </w:r>
            <w:r w:rsidR="00D44C65">
              <w:rPr>
                <w:noProof/>
                <w:webHidden/>
              </w:rPr>
              <w:fldChar w:fldCharType="begin"/>
            </w:r>
            <w:r w:rsidR="00D44C65">
              <w:rPr>
                <w:noProof/>
                <w:webHidden/>
              </w:rPr>
              <w:instrText xml:space="preserve"> PAGEREF _Toc489888125 \h </w:instrText>
            </w:r>
            <w:r w:rsidR="00D44C65">
              <w:rPr>
                <w:noProof/>
                <w:webHidden/>
              </w:rPr>
            </w:r>
            <w:r w:rsidR="00D44C65">
              <w:rPr>
                <w:noProof/>
                <w:webHidden/>
              </w:rPr>
              <w:fldChar w:fldCharType="separate"/>
            </w:r>
            <w:r w:rsidR="00D44C65">
              <w:rPr>
                <w:noProof/>
                <w:webHidden/>
              </w:rPr>
              <w:t>45</w:t>
            </w:r>
            <w:r w:rsidR="00D44C65">
              <w:rPr>
                <w:noProof/>
                <w:webHidden/>
              </w:rPr>
              <w:fldChar w:fldCharType="end"/>
            </w:r>
          </w:hyperlink>
        </w:p>
        <w:p w14:paraId="1215DE05" w14:textId="77777777" w:rsidR="00D44C65" w:rsidRDefault="00BA2754">
          <w:pPr>
            <w:pStyle w:val="TOC1"/>
            <w:tabs>
              <w:tab w:val="left" w:pos="660"/>
              <w:tab w:val="right" w:leader="dot" w:pos="9323"/>
            </w:tabs>
            <w:rPr>
              <w:noProof/>
              <w:lang w:val="en-AU" w:eastAsia="en-AU"/>
            </w:rPr>
          </w:pPr>
          <w:hyperlink w:anchor="_Toc489888126" w:history="1">
            <w:r w:rsidR="00D44C65" w:rsidRPr="00BB67FB">
              <w:rPr>
                <w:rStyle w:val="Hyperlink"/>
                <w:rFonts w:cstheme="minorHAnsi"/>
                <w:b/>
                <w:noProof/>
              </w:rPr>
              <w:t>12</w:t>
            </w:r>
            <w:r w:rsidR="00D44C65">
              <w:rPr>
                <w:noProof/>
                <w:lang w:val="en-AU" w:eastAsia="en-AU"/>
              </w:rPr>
              <w:tab/>
            </w:r>
            <w:r w:rsidR="00D44C65" w:rsidRPr="00BB67FB">
              <w:rPr>
                <w:rStyle w:val="Hyperlink"/>
                <w:rFonts w:cstheme="minorHAnsi"/>
                <w:b/>
                <w:noProof/>
              </w:rPr>
              <w:t>TRIAL MANAGEMENT AND OVERSIGHT ARRANGEMENTS</w:t>
            </w:r>
            <w:r w:rsidR="00D44C65">
              <w:rPr>
                <w:noProof/>
                <w:webHidden/>
              </w:rPr>
              <w:tab/>
            </w:r>
            <w:r w:rsidR="00D44C65">
              <w:rPr>
                <w:noProof/>
                <w:webHidden/>
              </w:rPr>
              <w:fldChar w:fldCharType="begin"/>
            </w:r>
            <w:r w:rsidR="00D44C65">
              <w:rPr>
                <w:noProof/>
                <w:webHidden/>
              </w:rPr>
              <w:instrText xml:space="preserve"> PAGEREF _Toc489888126 \h </w:instrText>
            </w:r>
            <w:r w:rsidR="00D44C65">
              <w:rPr>
                <w:noProof/>
                <w:webHidden/>
              </w:rPr>
            </w:r>
            <w:r w:rsidR="00D44C65">
              <w:rPr>
                <w:noProof/>
                <w:webHidden/>
              </w:rPr>
              <w:fldChar w:fldCharType="separate"/>
            </w:r>
            <w:r w:rsidR="00D44C65">
              <w:rPr>
                <w:noProof/>
                <w:webHidden/>
              </w:rPr>
              <w:t>46</w:t>
            </w:r>
            <w:r w:rsidR="00D44C65">
              <w:rPr>
                <w:noProof/>
                <w:webHidden/>
              </w:rPr>
              <w:fldChar w:fldCharType="end"/>
            </w:r>
          </w:hyperlink>
        </w:p>
        <w:p w14:paraId="6BF32700" w14:textId="77777777" w:rsidR="00D44C65" w:rsidRDefault="00BA2754">
          <w:pPr>
            <w:pStyle w:val="TOC2"/>
            <w:tabs>
              <w:tab w:val="left" w:pos="880"/>
              <w:tab w:val="right" w:leader="dot" w:pos="9323"/>
            </w:tabs>
            <w:rPr>
              <w:noProof/>
              <w:lang w:val="en-AU" w:eastAsia="en-AU"/>
            </w:rPr>
          </w:pPr>
          <w:hyperlink w:anchor="_Toc489888127" w:history="1">
            <w:r w:rsidR="00D44C65" w:rsidRPr="00BB67FB">
              <w:rPr>
                <w:rStyle w:val="Hyperlink"/>
                <w:rFonts w:cstheme="minorHAnsi"/>
                <w:b/>
                <w:noProof/>
              </w:rPr>
              <w:t>12.1</w:t>
            </w:r>
            <w:r w:rsidR="00D44C65">
              <w:rPr>
                <w:noProof/>
                <w:lang w:val="en-AU" w:eastAsia="en-AU"/>
              </w:rPr>
              <w:tab/>
            </w:r>
            <w:r w:rsidR="00D44C65" w:rsidRPr="00BB67FB">
              <w:rPr>
                <w:rStyle w:val="Hyperlink"/>
                <w:rFonts w:cstheme="minorHAnsi"/>
                <w:b/>
                <w:noProof/>
              </w:rPr>
              <w:t>TRIAL STEERING COMMITTEE</w:t>
            </w:r>
            <w:r w:rsidR="00D44C65">
              <w:rPr>
                <w:noProof/>
                <w:webHidden/>
              </w:rPr>
              <w:tab/>
            </w:r>
            <w:r w:rsidR="00D44C65">
              <w:rPr>
                <w:noProof/>
                <w:webHidden/>
              </w:rPr>
              <w:fldChar w:fldCharType="begin"/>
            </w:r>
            <w:r w:rsidR="00D44C65">
              <w:rPr>
                <w:noProof/>
                <w:webHidden/>
              </w:rPr>
              <w:instrText xml:space="preserve"> PAGEREF _Toc489888127 \h </w:instrText>
            </w:r>
            <w:r w:rsidR="00D44C65">
              <w:rPr>
                <w:noProof/>
                <w:webHidden/>
              </w:rPr>
            </w:r>
            <w:r w:rsidR="00D44C65">
              <w:rPr>
                <w:noProof/>
                <w:webHidden/>
              </w:rPr>
              <w:fldChar w:fldCharType="separate"/>
            </w:r>
            <w:r w:rsidR="00D44C65">
              <w:rPr>
                <w:noProof/>
                <w:webHidden/>
              </w:rPr>
              <w:t>46</w:t>
            </w:r>
            <w:r w:rsidR="00D44C65">
              <w:rPr>
                <w:noProof/>
                <w:webHidden/>
              </w:rPr>
              <w:fldChar w:fldCharType="end"/>
            </w:r>
          </w:hyperlink>
        </w:p>
        <w:p w14:paraId="6A2C2C40" w14:textId="77777777" w:rsidR="00D44C65" w:rsidRDefault="00BA2754">
          <w:pPr>
            <w:pStyle w:val="TOC2"/>
            <w:tabs>
              <w:tab w:val="left" w:pos="880"/>
              <w:tab w:val="right" w:leader="dot" w:pos="9323"/>
            </w:tabs>
            <w:rPr>
              <w:noProof/>
              <w:lang w:val="en-AU" w:eastAsia="en-AU"/>
            </w:rPr>
          </w:pPr>
          <w:hyperlink w:anchor="_Toc489888128" w:history="1">
            <w:r w:rsidR="00D44C65" w:rsidRPr="00BB67FB">
              <w:rPr>
                <w:rStyle w:val="Hyperlink"/>
                <w:rFonts w:cstheme="minorHAnsi"/>
                <w:b/>
                <w:noProof/>
              </w:rPr>
              <w:t>12.2</w:t>
            </w:r>
            <w:r w:rsidR="00D44C65">
              <w:rPr>
                <w:noProof/>
                <w:lang w:val="en-AU" w:eastAsia="en-AU"/>
              </w:rPr>
              <w:tab/>
            </w:r>
            <w:r w:rsidR="00D44C65" w:rsidRPr="00BB67FB">
              <w:rPr>
                <w:rStyle w:val="Hyperlink"/>
                <w:rFonts w:cstheme="minorHAnsi"/>
                <w:b/>
                <w:noProof/>
              </w:rPr>
              <w:t>DATA AND SAFETY MONITORING COMMITTEE</w:t>
            </w:r>
            <w:r w:rsidR="00D44C65">
              <w:rPr>
                <w:noProof/>
                <w:webHidden/>
              </w:rPr>
              <w:tab/>
            </w:r>
            <w:r w:rsidR="00D44C65">
              <w:rPr>
                <w:noProof/>
                <w:webHidden/>
              </w:rPr>
              <w:fldChar w:fldCharType="begin"/>
            </w:r>
            <w:r w:rsidR="00D44C65">
              <w:rPr>
                <w:noProof/>
                <w:webHidden/>
              </w:rPr>
              <w:instrText xml:space="preserve"> PAGEREF _Toc489888128 \h </w:instrText>
            </w:r>
            <w:r w:rsidR="00D44C65">
              <w:rPr>
                <w:noProof/>
                <w:webHidden/>
              </w:rPr>
            </w:r>
            <w:r w:rsidR="00D44C65">
              <w:rPr>
                <w:noProof/>
                <w:webHidden/>
              </w:rPr>
              <w:fldChar w:fldCharType="separate"/>
            </w:r>
            <w:r w:rsidR="00D44C65">
              <w:rPr>
                <w:noProof/>
                <w:webHidden/>
              </w:rPr>
              <w:t>46</w:t>
            </w:r>
            <w:r w:rsidR="00D44C65">
              <w:rPr>
                <w:noProof/>
                <w:webHidden/>
              </w:rPr>
              <w:fldChar w:fldCharType="end"/>
            </w:r>
          </w:hyperlink>
        </w:p>
        <w:p w14:paraId="3BAA79D4" w14:textId="77777777" w:rsidR="00D44C65" w:rsidRDefault="00BA2754">
          <w:pPr>
            <w:pStyle w:val="TOC2"/>
            <w:tabs>
              <w:tab w:val="left" w:pos="880"/>
              <w:tab w:val="right" w:leader="dot" w:pos="9323"/>
            </w:tabs>
            <w:rPr>
              <w:noProof/>
              <w:lang w:val="en-AU" w:eastAsia="en-AU"/>
            </w:rPr>
          </w:pPr>
          <w:hyperlink w:anchor="_Toc489888129" w:history="1">
            <w:r w:rsidR="00D44C65" w:rsidRPr="00BB67FB">
              <w:rPr>
                <w:rStyle w:val="Hyperlink"/>
                <w:rFonts w:cstheme="minorHAnsi"/>
                <w:b/>
                <w:noProof/>
              </w:rPr>
              <w:t>12.3</w:t>
            </w:r>
            <w:r w:rsidR="00D44C65">
              <w:rPr>
                <w:noProof/>
                <w:lang w:val="en-AU" w:eastAsia="en-AU"/>
              </w:rPr>
              <w:tab/>
            </w:r>
            <w:r w:rsidR="00D44C65" w:rsidRPr="00BB67FB">
              <w:rPr>
                <w:rStyle w:val="Hyperlink"/>
                <w:rFonts w:cstheme="minorHAnsi"/>
                <w:b/>
                <w:noProof/>
              </w:rPr>
              <w:t>INSPECTION OF RECORDS</w:t>
            </w:r>
            <w:r w:rsidR="00D44C65">
              <w:rPr>
                <w:noProof/>
                <w:webHidden/>
              </w:rPr>
              <w:tab/>
            </w:r>
            <w:r w:rsidR="00D44C65">
              <w:rPr>
                <w:noProof/>
                <w:webHidden/>
              </w:rPr>
              <w:fldChar w:fldCharType="begin"/>
            </w:r>
            <w:r w:rsidR="00D44C65">
              <w:rPr>
                <w:noProof/>
                <w:webHidden/>
              </w:rPr>
              <w:instrText xml:space="preserve"> PAGEREF _Toc489888129 \h </w:instrText>
            </w:r>
            <w:r w:rsidR="00D44C65">
              <w:rPr>
                <w:noProof/>
                <w:webHidden/>
              </w:rPr>
            </w:r>
            <w:r w:rsidR="00D44C65">
              <w:rPr>
                <w:noProof/>
                <w:webHidden/>
              </w:rPr>
              <w:fldChar w:fldCharType="separate"/>
            </w:r>
            <w:r w:rsidR="00D44C65">
              <w:rPr>
                <w:noProof/>
                <w:webHidden/>
              </w:rPr>
              <w:t>47</w:t>
            </w:r>
            <w:r w:rsidR="00D44C65">
              <w:rPr>
                <w:noProof/>
                <w:webHidden/>
              </w:rPr>
              <w:fldChar w:fldCharType="end"/>
            </w:r>
          </w:hyperlink>
        </w:p>
        <w:p w14:paraId="1610870B" w14:textId="77777777" w:rsidR="00D44C65" w:rsidRDefault="00BA2754">
          <w:pPr>
            <w:pStyle w:val="TOC2"/>
            <w:tabs>
              <w:tab w:val="left" w:pos="880"/>
              <w:tab w:val="right" w:leader="dot" w:pos="9323"/>
            </w:tabs>
            <w:rPr>
              <w:noProof/>
              <w:lang w:val="en-AU" w:eastAsia="en-AU"/>
            </w:rPr>
          </w:pPr>
          <w:hyperlink w:anchor="_Toc489888130" w:history="1">
            <w:r w:rsidR="00D44C65" w:rsidRPr="00BB67FB">
              <w:rPr>
                <w:rStyle w:val="Hyperlink"/>
                <w:rFonts w:cstheme="minorHAnsi"/>
                <w:b/>
                <w:noProof/>
              </w:rPr>
              <w:t>12.4</w:t>
            </w:r>
            <w:r w:rsidR="00D44C65">
              <w:rPr>
                <w:noProof/>
                <w:lang w:val="en-AU" w:eastAsia="en-AU"/>
              </w:rPr>
              <w:tab/>
            </w:r>
            <w:r w:rsidR="00D44C65" w:rsidRPr="00BB67FB">
              <w:rPr>
                <w:rStyle w:val="Hyperlink"/>
                <w:rFonts w:cstheme="minorHAnsi"/>
                <w:b/>
                <w:noProof/>
              </w:rPr>
              <w:t>RISK ASSESSMENT</w:t>
            </w:r>
            <w:r w:rsidR="00D44C65">
              <w:rPr>
                <w:noProof/>
                <w:webHidden/>
              </w:rPr>
              <w:tab/>
            </w:r>
            <w:r w:rsidR="00D44C65">
              <w:rPr>
                <w:noProof/>
                <w:webHidden/>
              </w:rPr>
              <w:fldChar w:fldCharType="begin"/>
            </w:r>
            <w:r w:rsidR="00D44C65">
              <w:rPr>
                <w:noProof/>
                <w:webHidden/>
              </w:rPr>
              <w:instrText xml:space="preserve"> PAGEREF _Toc489888130 \h </w:instrText>
            </w:r>
            <w:r w:rsidR="00D44C65">
              <w:rPr>
                <w:noProof/>
                <w:webHidden/>
              </w:rPr>
            </w:r>
            <w:r w:rsidR="00D44C65">
              <w:rPr>
                <w:noProof/>
                <w:webHidden/>
              </w:rPr>
              <w:fldChar w:fldCharType="separate"/>
            </w:r>
            <w:r w:rsidR="00D44C65">
              <w:rPr>
                <w:noProof/>
                <w:webHidden/>
              </w:rPr>
              <w:t>47</w:t>
            </w:r>
            <w:r w:rsidR="00D44C65">
              <w:rPr>
                <w:noProof/>
                <w:webHidden/>
              </w:rPr>
              <w:fldChar w:fldCharType="end"/>
            </w:r>
          </w:hyperlink>
        </w:p>
        <w:p w14:paraId="13198059" w14:textId="77777777" w:rsidR="00D44C65" w:rsidRDefault="00BA2754">
          <w:pPr>
            <w:pStyle w:val="TOC2"/>
            <w:tabs>
              <w:tab w:val="left" w:pos="880"/>
              <w:tab w:val="right" w:leader="dot" w:pos="9323"/>
            </w:tabs>
            <w:rPr>
              <w:noProof/>
              <w:lang w:val="en-AU" w:eastAsia="en-AU"/>
            </w:rPr>
          </w:pPr>
          <w:hyperlink w:anchor="_Toc489888131" w:history="1">
            <w:r w:rsidR="00D44C65" w:rsidRPr="00BB67FB">
              <w:rPr>
                <w:rStyle w:val="Hyperlink"/>
                <w:rFonts w:cstheme="minorHAnsi"/>
                <w:b/>
                <w:noProof/>
              </w:rPr>
              <w:t>12.5</w:t>
            </w:r>
            <w:r w:rsidR="00D44C65">
              <w:rPr>
                <w:noProof/>
                <w:lang w:val="en-AU" w:eastAsia="en-AU"/>
              </w:rPr>
              <w:tab/>
            </w:r>
            <w:r w:rsidR="00D44C65" w:rsidRPr="00BB67FB">
              <w:rPr>
                <w:rStyle w:val="Hyperlink"/>
                <w:rFonts w:cstheme="minorHAnsi"/>
                <w:b/>
                <w:noProof/>
              </w:rPr>
              <w:t>STUDY MONITORING AND AUDIT</w:t>
            </w:r>
            <w:r w:rsidR="00D44C65">
              <w:rPr>
                <w:noProof/>
                <w:webHidden/>
              </w:rPr>
              <w:tab/>
            </w:r>
            <w:r w:rsidR="00D44C65">
              <w:rPr>
                <w:noProof/>
                <w:webHidden/>
              </w:rPr>
              <w:fldChar w:fldCharType="begin"/>
            </w:r>
            <w:r w:rsidR="00D44C65">
              <w:rPr>
                <w:noProof/>
                <w:webHidden/>
              </w:rPr>
              <w:instrText xml:space="preserve"> PAGEREF _Toc489888131 \h </w:instrText>
            </w:r>
            <w:r w:rsidR="00D44C65">
              <w:rPr>
                <w:noProof/>
                <w:webHidden/>
              </w:rPr>
            </w:r>
            <w:r w:rsidR="00D44C65">
              <w:rPr>
                <w:noProof/>
                <w:webHidden/>
              </w:rPr>
              <w:fldChar w:fldCharType="separate"/>
            </w:r>
            <w:r w:rsidR="00D44C65">
              <w:rPr>
                <w:noProof/>
                <w:webHidden/>
              </w:rPr>
              <w:t>47</w:t>
            </w:r>
            <w:r w:rsidR="00D44C65">
              <w:rPr>
                <w:noProof/>
                <w:webHidden/>
              </w:rPr>
              <w:fldChar w:fldCharType="end"/>
            </w:r>
          </w:hyperlink>
        </w:p>
        <w:p w14:paraId="545D9785" w14:textId="77777777" w:rsidR="00D44C65" w:rsidRDefault="00BA2754">
          <w:pPr>
            <w:pStyle w:val="TOC2"/>
            <w:tabs>
              <w:tab w:val="left" w:pos="880"/>
              <w:tab w:val="right" w:leader="dot" w:pos="9323"/>
            </w:tabs>
            <w:rPr>
              <w:noProof/>
              <w:lang w:val="en-AU" w:eastAsia="en-AU"/>
            </w:rPr>
          </w:pPr>
          <w:hyperlink w:anchor="_Toc489888132" w:history="1">
            <w:r w:rsidR="00D44C65" w:rsidRPr="00BB67FB">
              <w:rPr>
                <w:rStyle w:val="Hyperlink"/>
                <w:rFonts w:cstheme="minorHAnsi"/>
                <w:b/>
                <w:noProof/>
              </w:rPr>
              <w:t>12.6</w:t>
            </w:r>
            <w:r w:rsidR="00D44C65">
              <w:rPr>
                <w:noProof/>
                <w:lang w:val="en-AU" w:eastAsia="en-AU"/>
              </w:rPr>
              <w:tab/>
            </w:r>
            <w:r w:rsidR="00D44C65" w:rsidRPr="00BB67FB">
              <w:rPr>
                <w:rStyle w:val="Hyperlink"/>
                <w:rFonts w:cstheme="minorHAnsi"/>
                <w:b/>
                <w:noProof/>
              </w:rPr>
              <w:t>TRIAL MONITORING PLAN</w:t>
            </w:r>
            <w:r w:rsidR="00D44C65">
              <w:rPr>
                <w:noProof/>
                <w:webHidden/>
              </w:rPr>
              <w:tab/>
            </w:r>
            <w:r w:rsidR="00D44C65">
              <w:rPr>
                <w:noProof/>
                <w:webHidden/>
              </w:rPr>
              <w:fldChar w:fldCharType="begin"/>
            </w:r>
            <w:r w:rsidR="00D44C65">
              <w:rPr>
                <w:noProof/>
                <w:webHidden/>
              </w:rPr>
              <w:instrText xml:space="preserve"> PAGEREF _Toc489888132 \h </w:instrText>
            </w:r>
            <w:r w:rsidR="00D44C65">
              <w:rPr>
                <w:noProof/>
                <w:webHidden/>
              </w:rPr>
            </w:r>
            <w:r w:rsidR="00D44C65">
              <w:rPr>
                <w:noProof/>
                <w:webHidden/>
              </w:rPr>
              <w:fldChar w:fldCharType="separate"/>
            </w:r>
            <w:r w:rsidR="00D44C65">
              <w:rPr>
                <w:noProof/>
                <w:webHidden/>
              </w:rPr>
              <w:t>47</w:t>
            </w:r>
            <w:r w:rsidR="00D44C65">
              <w:rPr>
                <w:noProof/>
                <w:webHidden/>
              </w:rPr>
              <w:fldChar w:fldCharType="end"/>
            </w:r>
          </w:hyperlink>
        </w:p>
        <w:p w14:paraId="258AA435" w14:textId="77777777" w:rsidR="00D44C65" w:rsidRDefault="00BA2754">
          <w:pPr>
            <w:pStyle w:val="TOC1"/>
            <w:tabs>
              <w:tab w:val="left" w:pos="660"/>
              <w:tab w:val="right" w:leader="dot" w:pos="9323"/>
            </w:tabs>
            <w:rPr>
              <w:noProof/>
              <w:lang w:val="en-AU" w:eastAsia="en-AU"/>
            </w:rPr>
          </w:pPr>
          <w:hyperlink w:anchor="_Toc489888133" w:history="1">
            <w:r w:rsidR="00D44C65" w:rsidRPr="00BB67FB">
              <w:rPr>
                <w:rStyle w:val="Hyperlink"/>
                <w:rFonts w:cstheme="minorHAnsi"/>
                <w:b/>
                <w:noProof/>
              </w:rPr>
              <w:t>13</w:t>
            </w:r>
            <w:r w:rsidR="00D44C65">
              <w:rPr>
                <w:noProof/>
                <w:lang w:val="en-AU" w:eastAsia="en-AU"/>
              </w:rPr>
              <w:tab/>
            </w:r>
            <w:r w:rsidR="00D44C65" w:rsidRPr="00BB67FB">
              <w:rPr>
                <w:rStyle w:val="Hyperlink"/>
                <w:rFonts w:cstheme="minorHAnsi"/>
                <w:b/>
                <w:noProof/>
              </w:rPr>
              <w:t>GOOD CLINICAL PRACTICE</w:t>
            </w:r>
            <w:r w:rsidR="00D44C65">
              <w:rPr>
                <w:noProof/>
                <w:webHidden/>
              </w:rPr>
              <w:tab/>
            </w:r>
            <w:r w:rsidR="00D44C65">
              <w:rPr>
                <w:noProof/>
                <w:webHidden/>
              </w:rPr>
              <w:fldChar w:fldCharType="begin"/>
            </w:r>
            <w:r w:rsidR="00D44C65">
              <w:rPr>
                <w:noProof/>
                <w:webHidden/>
              </w:rPr>
              <w:instrText xml:space="preserve"> PAGEREF _Toc489888133 \h </w:instrText>
            </w:r>
            <w:r w:rsidR="00D44C65">
              <w:rPr>
                <w:noProof/>
                <w:webHidden/>
              </w:rPr>
            </w:r>
            <w:r w:rsidR="00D44C65">
              <w:rPr>
                <w:noProof/>
                <w:webHidden/>
              </w:rPr>
              <w:fldChar w:fldCharType="separate"/>
            </w:r>
            <w:r w:rsidR="00D44C65">
              <w:rPr>
                <w:noProof/>
                <w:webHidden/>
              </w:rPr>
              <w:t>48</w:t>
            </w:r>
            <w:r w:rsidR="00D44C65">
              <w:rPr>
                <w:noProof/>
                <w:webHidden/>
              </w:rPr>
              <w:fldChar w:fldCharType="end"/>
            </w:r>
          </w:hyperlink>
        </w:p>
        <w:p w14:paraId="52CA4564" w14:textId="77777777" w:rsidR="00D44C65" w:rsidRDefault="00BA2754">
          <w:pPr>
            <w:pStyle w:val="TOC2"/>
            <w:tabs>
              <w:tab w:val="left" w:pos="880"/>
              <w:tab w:val="right" w:leader="dot" w:pos="9323"/>
            </w:tabs>
            <w:rPr>
              <w:noProof/>
              <w:lang w:val="en-AU" w:eastAsia="en-AU"/>
            </w:rPr>
          </w:pPr>
          <w:hyperlink w:anchor="_Toc489888134" w:history="1">
            <w:r w:rsidR="00D44C65" w:rsidRPr="00BB67FB">
              <w:rPr>
                <w:rStyle w:val="Hyperlink"/>
                <w:rFonts w:cstheme="minorHAnsi"/>
                <w:b/>
                <w:noProof/>
              </w:rPr>
              <w:t>13.1</w:t>
            </w:r>
            <w:r w:rsidR="00D44C65">
              <w:rPr>
                <w:noProof/>
                <w:lang w:val="en-AU" w:eastAsia="en-AU"/>
              </w:rPr>
              <w:tab/>
            </w:r>
            <w:r w:rsidR="00D44C65" w:rsidRPr="00BB67FB">
              <w:rPr>
                <w:rStyle w:val="Hyperlink"/>
                <w:rFonts w:cstheme="minorHAnsi"/>
                <w:b/>
                <w:noProof/>
              </w:rPr>
              <w:t>ETHICAL CONDUCT</w:t>
            </w:r>
            <w:r w:rsidR="00D44C65">
              <w:rPr>
                <w:noProof/>
                <w:webHidden/>
              </w:rPr>
              <w:tab/>
            </w:r>
            <w:r w:rsidR="00D44C65">
              <w:rPr>
                <w:noProof/>
                <w:webHidden/>
              </w:rPr>
              <w:fldChar w:fldCharType="begin"/>
            </w:r>
            <w:r w:rsidR="00D44C65">
              <w:rPr>
                <w:noProof/>
                <w:webHidden/>
              </w:rPr>
              <w:instrText xml:space="preserve"> PAGEREF _Toc489888134 \h </w:instrText>
            </w:r>
            <w:r w:rsidR="00D44C65">
              <w:rPr>
                <w:noProof/>
                <w:webHidden/>
              </w:rPr>
            </w:r>
            <w:r w:rsidR="00D44C65">
              <w:rPr>
                <w:noProof/>
                <w:webHidden/>
              </w:rPr>
              <w:fldChar w:fldCharType="separate"/>
            </w:r>
            <w:r w:rsidR="00D44C65">
              <w:rPr>
                <w:noProof/>
                <w:webHidden/>
              </w:rPr>
              <w:t>48</w:t>
            </w:r>
            <w:r w:rsidR="00D44C65">
              <w:rPr>
                <w:noProof/>
                <w:webHidden/>
              </w:rPr>
              <w:fldChar w:fldCharType="end"/>
            </w:r>
          </w:hyperlink>
        </w:p>
        <w:p w14:paraId="34D4F9C0" w14:textId="77777777" w:rsidR="00D44C65" w:rsidRDefault="00BA2754">
          <w:pPr>
            <w:pStyle w:val="TOC2"/>
            <w:tabs>
              <w:tab w:val="left" w:pos="880"/>
              <w:tab w:val="right" w:leader="dot" w:pos="9323"/>
            </w:tabs>
            <w:rPr>
              <w:noProof/>
              <w:lang w:val="en-AU" w:eastAsia="en-AU"/>
            </w:rPr>
          </w:pPr>
          <w:hyperlink w:anchor="_Toc489888135" w:history="1">
            <w:r w:rsidR="00D44C65" w:rsidRPr="00BB67FB">
              <w:rPr>
                <w:rStyle w:val="Hyperlink"/>
                <w:rFonts w:cstheme="minorHAnsi"/>
                <w:b/>
                <w:noProof/>
              </w:rPr>
              <w:t>13.2</w:t>
            </w:r>
            <w:r w:rsidR="00D44C65">
              <w:rPr>
                <w:noProof/>
                <w:lang w:val="en-AU" w:eastAsia="en-AU"/>
              </w:rPr>
              <w:tab/>
            </w:r>
            <w:r w:rsidR="00D44C65" w:rsidRPr="00BB67FB">
              <w:rPr>
                <w:rStyle w:val="Hyperlink"/>
                <w:rFonts w:cstheme="minorHAnsi"/>
                <w:b/>
                <w:noProof/>
              </w:rPr>
              <w:t>REQUIRED APPROVALS AND CONDITIONS OF APPROVAL</w:t>
            </w:r>
            <w:r w:rsidR="00D44C65">
              <w:rPr>
                <w:noProof/>
                <w:webHidden/>
              </w:rPr>
              <w:tab/>
            </w:r>
            <w:r w:rsidR="00D44C65">
              <w:rPr>
                <w:noProof/>
                <w:webHidden/>
              </w:rPr>
              <w:fldChar w:fldCharType="begin"/>
            </w:r>
            <w:r w:rsidR="00D44C65">
              <w:rPr>
                <w:noProof/>
                <w:webHidden/>
              </w:rPr>
              <w:instrText xml:space="preserve"> PAGEREF _Toc489888135 \h </w:instrText>
            </w:r>
            <w:r w:rsidR="00D44C65">
              <w:rPr>
                <w:noProof/>
                <w:webHidden/>
              </w:rPr>
            </w:r>
            <w:r w:rsidR="00D44C65">
              <w:rPr>
                <w:noProof/>
                <w:webHidden/>
              </w:rPr>
              <w:fldChar w:fldCharType="separate"/>
            </w:r>
            <w:r w:rsidR="00D44C65">
              <w:rPr>
                <w:noProof/>
                <w:webHidden/>
              </w:rPr>
              <w:t>48</w:t>
            </w:r>
            <w:r w:rsidR="00D44C65">
              <w:rPr>
                <w:noProof/>
                <w:webHidden/>
              </w:rPr>
              <w:fldChar w:fldCharType="end"/>
            </w:r>
          </w:hyperlink>
        </w:p>
        <w:p w14:paraId="697E0E38" w14:textId="77777777" w:rsidR="00D44C65" w:rsidRDefault="00BA2754">
          <w:pPr>
            <w:pStyle w:val="TOC2"/>
            <w:tabs>
              <w:tab w:val="left" w:pos="880"/>
              <w:tab w:val="right" w:leader="dot" w:pos="9323"/>
            </w:tabs>
            <w:rPr>
              <w:noProof/>
              <w:lang w:val="en-AU" w:eastAsia="en-AU"/>
            </w:rPr>
          </w:pPr>
          <w:hyperlink w:anchor="_Toc489888136" w:history="1">
            <w:r w:rsidR="00D44C65" w:rsidRPr="00BB67FB">
              <w:rPr>
                <w:rStyle w:val="Hyperlink"/>
                <w:rFonts w:cstheme="minorHAnsi"/>
                <w:b/>
                <w:noProof/>
              </w:rPr>
              <w:t>13.3</w:t>
            </w:r>
            <w:r w:rsidR="00D44C65">
              <w:rPr>
                <w:noProof/>
                <w:lang w:val="en-AU" w:eastAsia="en-AU"/>
              </w:rPr>
              <w:tab/>
            </w:r>
            <w:r w:rsidR="00D44C65" w:rsidRPr="00BB67FB">
              <w:rPr>
                <w:rStyle w:val="Hyperlink"/>
                <w:rFonts w:cstheme="minorHAnsi"/>
                <w:b/>
                <w:noProof/>
              </w:rPr>
              <w:t>REGULATORY COMPLIANCE</w:t>
            </w:r>
            <w:r w:rsidR="00D44C65">
              <w:rPr>
                <w:noProof/>
                <w:webHidden/>
              </w:rPr>
              <w:tab/>
            </w:r>
            <w:r w:rsidR="00D44C65">
              <w:rPr>
                <w:noProof/>
                <w:webHidden/>
              </w:rPr>
              <w:fldChar w:fldCharType="begin"/>
            </w:r>
            <w:r w:rsidR="00D44C65">
              <w:rPr>
                <w:noProof/>
                <w:webHidden/>
              </w:rPr>
              <w:instrText xml:space="preserve"> PAGEREF _Toc489888136 \h </w:instrText>
            </w:r>
            <w:r w:rsidR="00D44C65">
              <w:rPr>
                <w:noProof/>
                <w:webHidden/>
              </w:rPr>
            </w:r>
            <w:r w:rsidR="00D44C65">
              <w:rPr>
                <w:noProof/>
                <w:webHidden/>
              </w:rPr>
              <w:fldChar w:fldCharType="separate"/>
            </w:r>
            <w:r w:rsidR="00D44C65">
              <w:rPr>
                <w:noProof/>
                <w:webHidden/>
              </w:rPr>
              <w:t>48</w:t>
            </w:r>
            <w:r w:rsidR="00D44C65">
              <w:rPr>
                <w:noProof/>
                <w:webHidden/>
              </w:rPr>
              <w:fldChar w:fldCharType="end"/>
            </w:r>
          </w:hyperlink>
        </w:p>
        <w:p w14:paraId="23F46186" w14:textId="77777777" w:rsidR="00D44C65" w:rsidRDefault="00BA2754">
          <w:pPr>
            <w:pStyle w:val="TOC2"/>
            <w:tabs>
              <w:tab w:val="left" w:pos="880"/>
              <w:tab w:val="right" w:leader="dot" w:pos="9323"/>
            </w:tabs>
            <w:rPr>
              <w:noProof/>
              <w:lang w:val="en-AU" w:eastAsia="en-AU"/>
            </w:rPr>
          </w:pPr>
          <w:hyperlink w:anchor="_Toc489888137" w:history="1">
            <w:r w:rsidR="00D44C65" w:rsidRPr="00BB67FB">
              <w:rPr>
                <w:rStyle w:val="Hyperlink"/>
                <w:rFonts w:cstheme="minorHAnsi"/>
                <w:b/>
                <w:noProof/>
              </w:rPr>
              <w:t>13.4</w:t>
            </w:r>
            <w:r w:rsidR="00D44C65">
              <w:rPr>
                <w:noProof/>
                <w:lang w:val="en-AU" w:eastAsia="en-AU"/>
              </w:rPr>
              <w:tab/>
            </w:r>
            <w:r w:rsidR="00D44C65" w:rsidRPr="00BB67FB">
              <w:rPr>
                <w:rStyle w:val="Hyperlink"/>
                <w:rFonts w:cstheme="minorHAnsi"/>
                <w:b/>
                <w:noProof/>
              </w:rPr>
              <w:t>INVESTIGATOR RESPONSIBILITIES</w:t>
            </w:r>
            <w:r w:rsidR="00D44C65">
              <w:rPr>
                <w:noProof/>
                <w:webHidden/>
              </w:rPr>
              <w:tab/>
            </w:r>
            <w:r w:rsidR="00D44C65">
              <w:rPr>
                <w:noProof/>
                <w:webHidden/>
              </w:rPr>
              <w:fldChar w:fldCharType="begin"/>
            </w:r>
            <w:r w:rsidR="00D44C65">
              <w:rPr>
                <w:noProof/>
                <w:webHidden/>
              </w:rPr>
              <w:instrText xml:space="preserve"> PAGEREF _Toc489888137 \h </w:instrText>
            </w:r>
            <w:r w:rsidR="00D44C65">
              <w:rPr>
                <w:noProof/>
                <w:webHidden/>
              </w:rPr>
            </w:r>
            <w:r w:rsidR="00D44C65">
              <w:rPr>
                <w:noProof/>
                <w:webHidden/>
              </w:rPr>
              <w:fldChar w:fldCharType="separate"/>
            </w:r>
            <w:r w:rsidR="00D44C65">
              <w:rPr>
                <w:noProof/>
                <w:webHidden/>
              </w:rPr>
              <w:t>48</w:t>
            </w:r>
            <w:r w:rsidR="00D44C65">
              <w:rPr>
                <w:noProof/>
                <w:webHidden/>
              </w:rPr>
              <w:fldChar w:fldCharType="end"/>
            </w:r>
          </w:hyperlink>
        </w:p>
        <w:p w14:paraId="714E09B9" w14:textId="77777777" w:rsidR="00D44C65" w:rsidRDefault="00BA2754">
          <w:pPr>
            <w:pStyle w:val="TOC3"/>
            <w:tabs>
              <w:tab w:val="left" w:pos="1320"/>
              <w:tab w:val="right" w:leader="dot" w:pos="9323"/>
            </w:tabs>
            <w:rPr>
              <w:noProof/>
              <w:lang w:val="en-AU" w:eastAsia="en-AU"/>
            </w:rPr>
          </w:pPr>
          <w:hyperlink w:anchor="_Toc489888138" w:history="1">
            <w:r w:rsidR="00D44C65" w:rsidRPr="00BB67FB">
              <w:rPr>
                <w:rStyle w:val="Hyperlink"/>
                <w:rFonts w:cstheme="minorHAnsi"/>
                <w:b/>
                <w:noProof/>
              </w:rPr>
              <w:t>13.4.1</w:t>
            </w:r>
            <w:r w:rsidR="00D44C65">
              <w:rPr>
                <w:noProof/>
                <w:lang w:val="en-AU" w:eastAsia="en-AU"/>
              </w:rPr>
              <w:tab/>
            </w:r>
            <w:r w:rsidR="00D44C65" w:rsidRPr="00BB67FB">
              <w:rPr>
                <w:rStyle w:val="Hyperlink"/>
                <w:rFonts w:cstheme="minorHAnsi"/>
                <w:b/>
                <w:noProof/>
              </w:rPr>
              <w:t>Informed consent</w:t>
            </w:r>
            <w:r w:rsidR="00D44C65">
              <w:rPr>
                <w:noProof/>
                <w:webHidden/>
              </w:rPr>
              <w:tab/>
            </w:r>
            <w:r w:rsidR="00D44C65">
              <w:rPr>
                <w:noProof/>
                <w:webHidden/>
              </w:rPr>
              <w:fldChar w:fldCharType="begin"/>
            </w:r>
            <w:r w:rsidR="00D44C65">
              <w:rPr>
                <w:noProof/>
                <w:webHidden/>
              </w:rPr>
              <w:instrText xml:space="preserve"> PAGEREF _Toc489888138 \h </w:instrText>
            </w:r>
            <w:r w:rsidR="00D44C65">
              <w:rPr>
                <w:noProof/>
                <w:webHidden/>
              </w:rPr>
            </w:r>
            <w:r w:rsidR="00D44C65">
              <w:rPr>
                <w:noProof/>
                <w:webHidden/>
              </w:rPr>
              <w:fldChar w:fldCharType="separate"/>
            </w:r>
            <w:r w:rsidR="00D44C65">
              <w:rPr>
                <w:noProof/>
                <w:webHidden/>
              </w:rPr>
              <w:t>49</w:t>
            </w:r>
            <w:r w:rsidR="00D44C65">
              <w:rPr>
                <w:noProof/>
                <w:webHidden/>
              </w:rPr>
              <w:fldChar w:fldCharType="end"/>
            </w:r>
          </w:hyperlink>
        </w:p>
        <w:p w14:paraId="59D7F950" w14:textId="77777777" w:rsidR="00D44C65" w:rsidRDefault="00BA2754">
          <w:pPr>
            <w:pStyle w:val="TOC3"/>
            <w:tabs>
              <w:tab w:val="left" w:pos="1320"/>
              <w:tab w:val="right" w:leader="dot" w:pos="9323"/>
            </w:tabs>
            <w:rPr>
              <w:noProof/>
              <w:lang w:val="en-AU" w:eastAsia="en-AU"/>
            </w:rPr>
          </w:pPr>
          <w:hyperlink w:anchor="_Toc489888139" w:history="1">
            <w:r w:rsidR="00D44C65" w:rsidRPr="00BB67FB">
              <w:rPr>
                <w:rStyle w:val="Hyperlink"/>
                <w:rFonts w:cstheme="minorHAnsi"/>
                <w:b/>
                <w:noProof/>
              </w:rPr>
              <w:t>13.4.2</w:t>
            </w:r>
            <w:r w:rsidR="00D44C65">
              <w:rPr>
                <w:noProof/>
                <w:lang w:val="en-AU" w:eastAsia="en-AU"/>
              </w:rPr>
              <w:tab/>
            </w:r>
            <w:r w:rsidR="00D44C65" w:rsidRPr="00BB67FB">
              <w:rPr>
                <w:rStyle w:val="Hyperlink"/>
                <w:rFonts w:cstheme="minorHAnsi"/>
                <w:b/>
                <w:noProof/>
              </w:rPr>
              <w:t>Study site staff</w:t>
            </w:r>
            <w:r w:rsidR="00D44C65">
              <w:rPr>
                <w:noProof/>
                <w:webHidden/>
              </w:rPr>
              <w:tab/>
            </w:r>
            <w:r w:rsidR="00D44C65">
              <w:rPr>
                <w:noProof/>
                <w:webHidden/>
              </w:rPr>
              <w:fldChar w:fldCharType="begin"/>
            </w:r>
            <w:r w:rsidR="00D44C65">
              <w:rPr>
                <w:noProof/>
                <w:webHidden/>
              </w:rPr>
              <w:instrText xml:space="preserve"> PAGEREF _Toc489888139 \h </w:instrText>
            </w:r>
            <w:r w:rsidR="00D44C65">
              <w:rPr>
                <w:noProof/>
                <w:webHidden/>
              </w:rPr>
            </w:r>
            <w:r w:rsidR="00D44C65">
              <w:rPr>
                <w:noProof/>
                <w:webHidden/>
              </w:rPr>
              <w:fldChar w:fldCharType="separate"/>
            </w:r>
            <w:r w:rsidR="00D44C65">
              <w:rPr>
                <w:noProof/>
                <w:webHidden/>
              </w:rPr>
              <w:t>49</w:t>
            </w:r>
            <w:r w:rsidR="00D44C65">
              <w:rPr>
                <w:noProof/>
                <w:webHidden/>
              </w:rPr>
              <w:fldChar w:fldCharType="end"/>
            </w:r>
          </w:hyperlink>
        </w:p>
        <w:p w14:paraId="4D845CAF" w14:textId="77777777" w:rsidR="00D44C65" w:rsidRDefault="00BA2754">
          <w:pPr>
            <w:pStyle w:val="TOC3"/>
            <w:tabs>
              <w:tab w:val="left" w:pos="1320"/>
              <w:tab w:val="right" w:leader="dot" w:pos="9323"/>
            </w:tabs>
            <w:rPr>
              <w:noProof/>
              <w:lang w:val="en-AU" w:eastAsia="en-AU"/>
            </w:rPr>
          </w:pPr>
          <w:hyperlink w:anchor="_Toc489888140" w:history="1">
            <w:r w:rsidR="00D44C65" w:rsidRPr="00BB67FB">
              <w:rPr>
                <w:rStyle w:val="Hyperlink"/>
                <w:rFonts w:cstheme="minorHAnsi"/>
                <w:b/>
                <w:noProof/>
              </w:rPr>
              <w:t>13.4.3</w:t>
            </w:r>
            <w:r w:rsidR="00D44C65">
              <w:rPr>
                <w:noProof/>
                <w:lang w:val="en-AU" w:eastAsia="en-AU"/>
              </w:rPr>
              <w:tab/>
            </w:r>
            <w:r w:rsidR="00D44C65" w:rsidRPr="00BB67FB">
              <w:rPr>
                <w:rStyle w:val="Hyperlink"/>
                <w:rFonts w:cstheme="minorHAnsi"/>
                <w:b/>
                <w:noProof/>
              </w:rPr>
              <w:t>Data recording</w:t>
            </w:r>
            <w:r w:rsidR="00D44C65">
              <w:rPr>
                <w:noProof/>
                <w:webHidden/>
              </w:rPr>
              <w:tab/>
            </w:r>
            <w:r w:rsidR="00D44C65">
              <w:rPr>
                <w:noProof/>
                <w:webHidden/>
              </w:rPr>
              <w:fldChar w:fldCharType="begin"/>
            </w:r>
            <w:r w:rsidR="00D44C65">
              <w:rPr>
                <w:noProof/>
                <w:webHidden/>
              </w:rPr>
              <w:instrText xml:space="preserve"> PAGEREF _Toc489888140 \h </w:instrText>
            </w:r>
            <w:r w:rsidR="00D44C65">
              <w:rPr>
                <w:noProof/>
                <w:webHidden/>
              </w:rPr>
            </w:r>
            <w:r w:rsidR="00D44C65">
              <w:rPr>
                <w:noProof/>
                <w:webHidden/>
              </w:rPr>
              <w:fldChar w:fldCharType="separate"/>
            </w:r>
            <w:r w:rsidR="00D44C65">
              <w:rPr>
                <w:noProof/>
                <w:webHidden/>
              </w:rPr>
              <w:t>50</w:t>
            </w:r>
            <w:r w:rsidR="00D44C65">
              <w:rPr>
                <w:noProof/>
                <w:webHidden/>
              </w:rPr>
              <w:fldChar w:fldCharType="end"/>
            </w:r>
          </w:hyperlink>
        </w:p>
        <w:p w14:paraId="69E4919E" w14:textId="77777777" w:rsidR="00D44C65" w:rsidRDefault="00BA2754">
          <w:pPr>
            <w:pStyle w:val="TOC3"/>
            <w:tabs>
              <w:tab w:val="left" w:pos="1320"/>
              <w:tab w:val="right" w:leader="dot" w:pos="9323"/>
            </w:tabs>
            <w:rPr>
              <w:noProof/>
              <w:lang w:val="en-AU" w:eastAsia="en-AU"/>
            </w:rPr>
          </w:pPr>
          <w:hyperlink w:anchor="_Toc489888141" w:history="1">
            <w:r w:rsidR="00D44C65" w:rsidRPr="00BB67FB">
              <w:rPr>
                <w:rStyle w:val="Hyperlink"/>
                <w:rFonts w:cstheme="minorHAnsi"/>
                <w:b/>
                <w:noProof/>
              </w:rPr>
              <w:t>13.4.4</w:t>
            </w:r>
            <w:r w:rsidR="00D44C65">
              <w:rPr>
                <w:noProof/>
                <w:lang w:val="en-AU" w:eastAsia="en-AU"/>
              </w:rPr>
              <w:tab/>
            </w:r>
            <w:r w:rsidR="00D44C65" w:rsidRPr="00BB67FB">
              <w:rPr>
                <w:rStyle w:val="Hyperlink"/>
                <w:rFonts w:cstheme="minorHAnsi"/>
                <w:b/>
                <w:noProof/>
              </w:rPr>
              <w:t>Investigator documentation</w:t>
            </w:r>
            <w:r w:rsidR="00D44C65">
              <w:rPr>
                <w:noProof/>
                <w:webHidden/>
              </w:rPr>
              <w:tab/>
            </w:r>
            <w:r w:rsidR="00D44C65">
              <w:rPr>
                <w:noProof/>
                <w:webHidden/>
              </w:rPr>
              <w:fldChar w:fldCharType="begin"/>
            </w:r>
            <w:r w:rsidR="00D44C65">
              <w:rPr>
                <w:noProof/>
                <w:webHidden/>
              </w:rPr>
              <w:instrText xml:space="preserve"> PAGEREF _Toc489888141 \h </w:instrText>
            </w:r>
            <w:r w:rsidR="00D44C65">
              <w:rPr>
                <w:noProof/>
                <w:webHidden/>
              </w:rPr>
            </w:r>
            <w:r w:rsidR="00D44C65">
              <w:rPr>
                <w:noProof/>
                <w:webHidden/>
              </w:rPr>
              <w:fldChar w:fldCharType="separate"/>
            </w:r>
            <w:r w:rsidR="00D44C65">
              <w:rPr>
                <w:noProof/>
                <w:webHidden/>
              </w:rPr>
              <w:t>50</w:t>
            </w:r>
            <w:r w:rsidR="00D44C65">
              <w:rPr>
                <w:noProof/>
                <w:webHidden/>
              </w:rPr>
              <w:fldChar w:fldCharType="end"/>
            </w:r>
          </w:hyperlink>
        </w:p>
        <w:p w14:paraId="00B357C2" w14:textId="77777777" w:rsidR="00D44C65" w:rsidRDefault="00BA2754">
          <w:pPr>
            <w:pStyle w:val="TOC3"/>
            <w:tabs>
              <w:tab w:val="left" w:pos="1320"/>
              <w:tab w:val="right" w:leader="dot" w:pos="9323"/>
            </w:tabs>
            <w:rPr>
              <w:noProof/>
              <w:lang w:val="en-AU" w:eastAsia="en-AU"/>
            </w:rPr>
          </w:pPr>
          <w:hyperlink w:anchor="_Toc489888142" w:history="1">
            <w:r w:rsidR="00D44C65" w:rsidRPr="00BB67FB">
              <w:rPr>
                <w:rStyle w:val="Hyperlink"/>
                <w:rFonts w:cstheme="minorHAnsi"/>
                <w:b/>
                <w:noProof/>
              </w:rPr>
              <w:t>13.4.5</w:t>
            </w:r>
            <w:r w:rsidR="00D44C65">
              <w:rPr>
                <w:noProof/>
                <w:lang w:val="en-AU" w:eastAsia="en-AU"/>
              </w:rPr>
              <w:tab/>
            </w:r>
            <w:r w:rsidR="00D44C65" w:rsidRPr="00BB67FB">
              <w:rPr>
                <w:rStyle w:val="Hyperlink"/>
                <w:rFonts w:cstheme="minorHAnsi"/>
                <w:b/>
                <w:noProof/>
              </w:rPr>
              <w:t>GCP training</w:t>
            </w:r>
            <w:r w:rsidR="00D44C65">
              <w:rPr>
                <w:noProof/>
                <w:webHidden/>
              </w:rPr>
              <w:tab/>
            </w:r>
            <w:r w:rsidR="00D44C65">
              <w:rPr>
                <w:noProof/>
                <w:webHidden/>
              </w:rPr>
              <w:fldChar w:fldCharType="begin"/>
            </w:r>
            <w:r w:rsidR="00D44C65">
              <w:rPr>
                <w:noProof/>
                <w:webHidden/>
              </w:rPr>
              <w:instrText xml:space="preserve"> PAGEREF _Toc489888142 \h </w:instrText>
            </w:r>
            <w:r w:rsidR="00D44C65">
              <w:rPr>
                <w:noProof/>
                <w:webHidden/>
              </w:rPr>
            </w:r>
            <w:r w:rsidR="00D44C65">
              <w:rPr>
                <w:noProof/>
                <w:webHidden/>
              </w:rPr>
              <w:fldChar w:fldCharType="separate"/>
            </w:r>
            <w:r w:rsidR="00D44C65">
              <w:rPr>
                <w:noProof/>
                <w:webHidden/>
              </w:rPr>
              <w:t>50</w:t>
            </w:r>
            <w:r w:rsidR="00D44C65">
              <w:rPr>
                <w:noProof/>
                <w:webHidden/>
              </w:rPr>
              <w:fldChar w:fldCharType="end"/>
            </w:r>
          </w:hyperlink>
        </w:p>
        <w:p w14:paraId="7B3A5C87" w14:textId="77777777" w:rsidR="00D44C65" w:rsidRDefault="00BA2754">
          <w:pPr>
            <w:pStyle w:val="TOC3"/>
            <w:tabs>
              <w:tab w:val="left" w:pos="1320"/>
              <w:tab w:val="right" w:leader="dot" w:pos="9323"/>
            </w:tabs>
            <w:rPr>
              <w:noProof/>
              <w:lang w:val="en-AU" w:eastAsia="en-AU"/>
            </w:rPr>
          </w:pPr>
          <w:hyperlink w:anchor="_Toc489888143" w:history="1">
            <w:r w:rsidR="00D44C65" w:rsidRPr="00BB67FB">
              <w:rPr>
                <w:rStyle w:val="Hyperlink"/>
                <w:rFonts w:cstheme="minorHAnsi"/>
                <w:b/>
                <w:noProof/>
              </w:rPr>
              <w:t>13.4.6</w:t>
            </w:r>
            <w:r w:rsidR="00D44C65">
              <w:rPr>
                <w:noProof/>
                <w:lang w:val="en-AU" w:eastAsia="en-AU"/>
              </w:rPr>
              <w:tab/>
            </w:r>
            <w:r w:rsidR="00D44C65" w:rsidRPr="00BB67FB">
              <w:rPr>
                <w:rStyle w:val="Hyperlink"/>
                <w:rFonts w:cstheme="minorHAnsi"/>
                <w:b/>
                <w:noProof/>
              </w:rPr>
              <w:t>Confidentiality</w:t>
            </w:r>
            <w:r w:rsidR="00D44C65">
              <w:rPr>
                <w:noProof/>
                <w:webHidden/>
              </w:rPr>
              <w:tab/>
            </w:r>
            <w:r w:rsidR="00D44C65">
              <w:rPr>
                <w:noProof/>
                <w:webHidden/>
              </w:rPr>
              <w:fldChar w:fldCharType="begin"/>
            </w:r>
            <w:r w:rsidR="00D44C65">
              <w:rPr>
                <w:noProof/>
                <w:webHidden/>
              </w:rPr>
              <w:instrText xml:space="preserve"> PAGEREF _Toc489888143 \h </w:instrText>
            </w:r>
            <w:r w:rsidR="00D44C65">
              <w:rPr>
                <w:noProof/>
                <w:webHidden/>
              </w:rPr>
            </w:r>
            <w:r w:rsidR="00D44C65">
              <w:rPr>
                <w:noProof/>
                <w:webHidden/>
              </w:rPr>
              <w:fldChar w:fldCharType="separate"/>
            </w:r>
            <w:r w:rsidR="00D44C65">
              <w:rPr>
                <w:noProof/>
                <w:webHidden/>
              </w:rPr>
              <w:t>50</w:t>
            </w:r>
            <w:r w:rsidR="00D44C65">
              <w:rPr>
                <w:noProof/>
                <w:webHidden/>
              </w:rPr>
              <w:fldChar w:fldCharType="end"/>
            </w:r>
          </w:hyperlink>
        </w:p>
        <w:p w14:paraId="08FCA9F3" w14:textId="77777777" w:rsidR="00D44C65" w:rsidRDefault="00BA2754">
          <w:pPr>
            <w:pStyle w:val="TOC3"/>
            <w:tabs>
              <w:tab w:val="left" w:pos="1320"/>
              <w:tab w:val="right" w:leader="dot" w:pos="9323"/>
            </w:tabs>
            <w:rPr>
              <w:noProof/>
              <w:lang w:val="en-AU" w:eastAsia="en-AU"/>
            </w:rPr>
          </w:pPr>
          <w:hyperlink w:anchor="_Toc489888144" w:history="1">
            <w:r w:rsidR="00D44C65" w:rsidRPr="00BB67FB">
              <w:rPr>
                <w:rStyle w:val="Hyperlink"/>
                <w:rFonts w:cstheme="minorHAnsi"/>
                <w:b/>
                <w:noProof/>
              </w:rPr>
              <w:t>13.4.7</w:t>
            </w:r>
            <w:r w:rsidR="00D44C65">
              <w:rPr>
                <w:noProof/>
                <w:lang w:val="en-AU" w:eastAsia="en-AU"/>
              </w:rPr>
              <w:tab/>
            </w:r>
            <w:r w:rsidR="00D44C65" w:rsidRPr="00BB67FB">
              <w:rPr>
                <w:rStyle w:val="Hyperlink"/>
                <w:rFonts w:cstheme="minorHAnsi"/>
                <w:b/>
                <w:noProof/>
              </w:rPr>
              <w:t>Intellectual Property</w:t>
            </w:r>
            <w:r w:rsidR="00D44C65">
              <w:rPr>
                <w:noProof/>
                <w:webHidden/>
              </w:rPr>
              <w:tab/>
            </w:r>
            <w:r w:rsidR="00D44C65">
              <w:rPr>
                <w:noProof/>
                <w:webHidden/>
              </w:rPr>
              <w:fldChar w:fldCharType="begin"/>
            </w:r>
            <w:r w:rsidR="00D44C65">
              <w:rPr>
                <w:noProof/>
                <w:webHidden/>
              </w:rPr>
              <w:instrText xml:space="preserve"> PAGEREF _Toc489888144 \h </w:instrText>
            </w:r>
            <w:r w:rsidR="00D44C65">
              <w:rPr>
                <w:noProof/>
                <w:webHidden/>
              </w:rPr>
            </w:r>
            <w:r w:rsidR="00D44C65">
              <w:rPr>
                <w:noProof/>
                <w:webHidden/>
              </w:rPr>
              <w:fldChar w:fldCharType="separate"/>
            </w:r>
            <w:r w:rsidR="00D44C65">
              <w:rPr>
                <w:noProof/>
                <w:webHidden/>
              </w:rPr>
              <w:t>51</w:t>
            </w:r>
            <w:r w:rsidR="00D44C65">
              <w:rPr>
                <w:noProof/>
                <w:webHidden/>
              </w:rPr>
              <w:fldChar w:fldCharType="end"/>
            </w:r>
          </w:hyperlink>
        </w:p>
        <w:p w14:paraId="6010745D" w14:textId="77777777" w:rsidR="00D44C65" w:rsidRDefault="00BA2754">
          <w:pPr>
            <w:pStyle w:val="TOC3"/>
            <w:tabs>
              <w:tab w:val="left" w:pos="1320"/>
              <w:tab w:val="right" w:leader="dot" w:pos="9323"/>
            </w:tabs>
            <w:rPr>
              <w:noProof/>
              <w:lang w:val="en-AU" w:eastAsia="en-AU"/>
            </w:rPr>
          </w:pPr>
          <w:hyperlink w:anchor="_Toc489888145" w:history="1">
            <w:r w:rsidR="00D44C65" w:rsidRPr="00BB67FB">
              <w:rPr>
                <w:rStyle w:val="Hyperlink"/>
                <w:rFonts w:cstheme="minorHAnsi"/>
                <w:b/>
                <w:noProof/>
              </w:rPr>
              <w:t>13.4.8</w:t>
            </w:r>
            <w:r w:rsidR="00D44C65">
              <w:rPr>
                <w:noProof/>
                <w:lang w:val="en-AU" w:eastAsia="en-AU"/>
              </w:rPr>
              <w:tab/>
            </w:r>
            <w:r w:rsidR="00D44C65" w:rsidRPr="00BB67FB">
              <w:rPr>
                <w:rStyle w:val="Hyperlink"/>
                <w:rFonts w:cstheme="minorHAnsi"/>
                <w:b/>
                <w:noProof/>
              </w:rPr>
              <w:t>Data protection</w:t>
            </w:r>
            <w:r w:rsidR="00D44C65">
              <w:rPr>
                <w:noProof/>
                <w:webHidden/>
              </w:rPr>
              <w:tab/>
            </w:r>
            <w:r w:rsidR="00D44C65">
              <w:rPr>
                <w:noProof/>
                <w:webHidden/>
              </w:rPr>
              <w:fldChar w:fldCharType="begin"/>
            </w:r>
            <w:r w:rsidR="00D44C65">
              <w:rPr>
                <w:noProof/>
                <w:webHidden/>
              </w:rPr>
              <w:instrText xml:space="preserve"> PAGEREF _Toc489888145 \h </w:instrText>
            </w:r>
            <w:r w:rsidR="00D44C65">
              <w:rPr>
                <w:noProof/>
                <w:webHidden/>
              </w:rPr>
            </w:r>
            <w:r w:rsidR="00D44C65">
              <w:rPr>
                <w:noProof/>
                <w:webHidden/>
              </w:rPr>
              <w:fldChar w:fldCharType="separate"/>
            </w:r>
            <w:r w:rsidR="00D44C65">
              <w:rPr>
                <w:noProof/>
                <w:webHidden/>
              </w:rPr>
              <w:t>51</w:t>
            </w:r>
            <w:r w:rsidR="00D44C65">
              <w:rPr>
                <w:noProof/>
                <w:webHidden/>
              </w:rPr>
              <w:fldChar w:fldCharType="end"/>
            </w:r>
          </w:hyperlink>
        </w:p>
        <w:p w14:paraId="724D109D" w14:textId="77777777" w:rsidR="00D44C65" w:rsidRDefault="00BA2754">
          <w:pPr>
            <w:pStyle w:val="TOC2"/>
            <w:tabs>
              <w:tab w:val="left" w:pos="880"/>
              <w:tab w:val="right" w:leader="dot" w:pos="9323"/>
            </w:tabs>
            <w:rPr>
              <w:noProof/>
              <w:lang w:val="en-AU" w:eastAsia="en-AU"/>
            </w:rPr>
          </w:pPr>
          <w:hyperlink w:anchor="_Toc489888146" w:history="1">
            <w:r w:rsidR="00D44C65" w:rsidRPr="00BB67FB">
              <w:rPr>
                <w:rStyle w:val="Hyperlink"/>
                <w:rFonts w:cstheme="minorHAnsi"/>
                <w:b/>
                <w:noProof/>
              </w:rPr>
              <w:t>13.5</w:t>
            </w:r>
            <w:r w:rsidR="00D44C65">
              <w:rPr>
                <w:noProof/>
                <w:lang w:val="en-AU" w:eastAsia="en-AU"/>
              </w:rPr>
              <w:tab/>
            </w:r>
            <w:r w:rsidR="00D44C65" w:rsidRPr="00BB67FB">
              <w:rPr>
                <w:rStyle w:val="Hyperlink"/>
                <w:rFonts w:cstheme="minorHAnsi"/>
                <w:b/>
                <w:noProof/>
              </w:rPr>
              <w:t>POTENTIAL CONFLICT OF INTEREST</w:t>
            </w:r>
            <w:r w:rsidR="00D44C65">
              <w:rPr>
                <w:noProof/>
                <w:webHidden/>
              </w:rPr>
              <w:tab/>
            </w:r>
            <w:r w:rsidR="00D44C65">
              <w:rPr>
                <w:noProof/>
                <w:webHidden/>
              </w:rPr>
              <w:fldChar w:fldCharType="begin"/>
            </w:r>
            <w:r w:rsidR="00D44C65">
              <w:rPr>
                <w:noProof/>
                <w:webHidden/>
              </w:rPr>
              <w:instrText xml:space="preserve"> PAGEREF _Toc489888146 \h </w:instrText>
            </w:r>
            <w:r w:rsidR="00D44C65">
              <w:rPr>
                <w:noProof/>
                <w:webHidden/>
              </w:rPr>
            </w:r>
            <w:r w:rsidR="00D44C65">
              <w:rPr>
                <w:noProof/>
                <w:webHidden/>
              </w:rPr>
              <w:fldChar w:fldCharType="separate"/>
            </w:r>
            <w:r w:rsidR="00D44C65">
              <w:rPr>
                <w:noProof/>
                <w:webHidden/>
              </w:rPr>
              <w:t>52</w:t>
            </w:r>
            <w:r w:rsidR="00D44C65">
              <w:rPr>
                <w:noProof/>
                <w:webHidden/>
              </w:rPr>
              <w:fldChar w:fldCharType="end"/>
            </w:r>
          </w:hyperlink>
        </w:p>
        <w:p w14:paraId="11834868" w14:textId="77777777" w:rsidR="00D44C65" w:rsidRDefault="00BA2754">
          <w:pPr>
            <w:pStyle w:val="TOC1"/>
            <w:tabs>
              <w:tab w:val="left" w:pos="660"/>
              <w:tab w:val="right" w:leader="dot" w:pos="9323"/>
            </w:tabs>
            <w:rPr>
              <w:noProof/>
              <w:lang w:val="en-AU" w:eastAsia="en-AU"/>
            </w:rPr>
          </w:pPr>
          <w:hyperlink w:anchor="_Toc489888147" w:history="1">
            <w:r w:rsidR="00D44C65" w:rsidRPr="00BB67FB">
              <w:rPr>
                <w:rStyle w:val="Hyperlink"/>
                <w:rFonts w:cstheme="minorHAnsi"/>
                <w:b/>
                <w:noProof/>
              </w:rPr>
              <w:t>14</w:t>
            </w:r>
            <w:r w:rsidR="00D44C65">
              <w:rPr>
                <w:noProof/>
                <w:lang w:val="en-AU" w:eastAsia="en-AU"/>
              </w:rPr>
              <w:tab/>
            </w:r>
            <w:r w:rsidR="00D44C65" w:rsidRPr="00BB67FB">
              <w:rPr>
                <w:rStyle w:val="Hyperlink"/>
                <w:rFonts w:cstheme="minorHAnsi"/>
                <w:b/>
                <w:noProof/>
              </w:rPr>
              <w:t>STUDY CONDUCT RESPONSIBILITIES</w:t>
            </w:r>
            <w:r w:rsidR="00D44C65">
              <w:rPr>
                <w:noProof/>
                <w:webHidden/>
              </w:rPr>
              <w:tab/>
            </w:r>
            <w:r w:rsidR="00D44C65">
              <w:rPr>
                <w:noProof/>
                <w:webHidden/>
              </w:rPr>
              <w:fldChar w:fldCharType="begin"/>
            </w:r>
            <w:r w:rsidR="00D44C65">
              <w:rPr>
                <w:noProof/>
                <w:webHidden/>
              </w:rPr>
              <w:instrText xml:space="preserve"> PAGEREF _Toc489888147 \h </w:instrText>
            </w:r>
            <w:r w:rsidR="00D44C65">
              <w:rPr>
                <w:noProof/>
                <w:webHidden/>
              </w:rPr>
            </w:r>
            <w:r w:rsidR="00D44C65">
              <w:rPr>
                <w:noProof/>
                <w:webHidden/>
              </w:rPr>
              <w:fldChar w:fldCharType="separate"/>
            </w:r>
            <w:r w:rsidR="00D44C65">
              <w:rPr>
                <w:noProof/>
                <w:webHidden/>
              </w:rPr>
              <w:t>52</w:t>
            </w:r>
            <w:r w:rsidR="00D44C65">
              <w:rPr>
                <w:noProof/>
                <w:webHidden/>
              </w:rPr>
              <w:fldChar w:fldCharType="end"/>
            </w:r>
          </w:hyperlink>
        </w:p>
        <w:p w14:paraId="747D6A83" w14:textId="77777777" w:rsidR="00D44C65" w:rsidRDefault="00BA2754">
          <w:pPr>
            <w:pStyle w:val="TOC2"/>
            <w:tabs>
              <w:tab w:val="left" w:pos="880"/>
              <w:tab w:val="right" w:leader="dot" w:pos="9323"/>
            </w:tabs>
            <w:rPr>
              <w:noProof/>
              <w:lang w:val="en-AU" w:eastAsia="en-AU"/>
            </w:rPr>
          </w:pPr>
          <w:hyperlink w:anchor="_Toc489888148" w:history="1">
            <w:r w:rsidR="00D44C65" w:rsidRPr="00BB67FB">
              <w:rPr>
                <w:rStyle w:val="Hyperlink"/>
                <w:rFonts w:cstheme="minorHAnsi"/>
                <w:b/>
                <w:noProof/>
              </w:rPr>
              <w:t>14.1</w:t>
            </w:r>
            <w:r w:rsidR="00D44C65">
              <w:rPr>
                <w:noProof/>
                <w:lang w:val="en-AU" w:eastAsia="en-AU"/>
              </w:rPr>
              <w:tab/>
            </w:r>
            <w:r w:rsidR="00D44C65" w:rsidRPr="00BB67FB">
              <w:rPr>
                <w:rStyle w:val="Hyperlink"/>
                <w:rFonts w:cstheme="minorHAnsi"/>
                <w:b/>
                <w:noProof/>
              </w:rPr>
              <w:t>PROTOCOL AMENDMENTS</w:t>
            </w:r>
            <w:r w:rsidR="00D44C65">
              <w:rPr>
                <w:noProof/>
                <w:webHidden/>
              </w:rPr>
              <w:tab/>
            </w:r>
            <w:r w:rsidR="00D44C65">
              <w:rPr>
                <w:noProof/>
                <w:webHidden/>
              </w:rPr>
              <w:fldChar w:fldCharType="begin"/>
            </w:r>
            <w:r w:rsidR="00D44C65">
              <w:rPr>
                <w:noProof/>
                <w:webHidden/>
              </w:rPr>
              <w:instrText xml:space="preserve"> PAGEREF _Toc489888148 \h </w:instrText>
            </w:r>
            <w:r w:rsidR="00D44C65">
              <w:rPr>
                <w:noProof/>
                <w:webHidden/>
              </w:rPr>
            </w:r>
            <w:r w:rsidR="00D44C65">
              <w:rPr>
                <w:noProof/>
                <w:webHidden/>
              </w:rPr>
              <w:fldChar w:fldCharType="separate"/>
            </w:r>
            <w:r w:rsidR="00D44C65">
              <w:rPr>
                <w:noProof/>
                <w:webHidden/>
              </w:rPr>
              <w:t>52</w:t>
            </w:r>
            <w:r w:rsidR="00D44C65">
              <w:rPr>
                <w:noProof/>
                <w:webHidden/>
              </w:rPr>
              <w:fldChar w:fldCharType="end"/>
            </w:r>
          </w:hyperlink>
        </w:p>
        <w:p w14:paraId="0A6C0E4B" w14:textId="77777777" w:rsidR="00D44C65" w:rsidRDefault="00BA2754">
          <w:pPr>
            <w:pStyle w:val="TOC2"/>
            <w:tabs>
              <w:tab w:val="left" w:pos="880"/>
              <w:tab w:val="right" w:leader="dot" w:pos="9323"/>
            </w:tabs>
            <w:rPr>
              <w:noProof/>
              <w:lang w:val="en-AU" w:eastAsia="en-AU"/>
            </w:rPr>
          </w:pPr>
          <w:hyperlink w:anchor="_Toc489888149" w:history="1">
            <w:r w:rsidR="00D44C65" w:rsidRPr="00BB67FB">
              <w:rPr>
                <w:rStyle w:val="Hyperlink"/>
                <w:rFonts w:cstheme="minorHAnsi"/>
                <w:b/>
                <w:noProof/>
              </w:rPr>
              <w:t>14.2</w:t>
            </w:r>
            <w:r w:rsidR="00D44C65">
              <w:rPr>
                <w:noProof/>
                <w:lang w:val="en-AU" w:eastAsia="en-AU"/>
              </w:rPr>
              <w:tab/>
            </w:r>
            <w:r w:rsidR="00D44C65" w:rsidRPr="00BB67FB">
              <w:rPr>
                <w:rStyle w:val="Hyperlink"/>
                <w:rFonts w:cstheme="minorHAnsi"/>
                <w:b/>
                <w:noProof/>
              </w:rPr>
              <w:t>PROTOCOL VIOLATIONS AND DEVIATIONS</w:t>
            </w:r>
            <w:r w:rsidR="00D44C65">
              <w:rPr>
                <w:noProof/>
                <w:webHidden/>
              </w:rPr>
              <w:tab/>
            </w:r>
            <w:r w:rsidR="00D44C65">
              <w:rPr>
                <w:noProof/>
                <w:webHidden/>
              </w:rPr>
              <w:fldChar w:fldCharType="begin"/>
            </w:r>
            <w:r w:rsidR="00D44C65">
              <w:rPr>
                <w:noProof/>
                <w:webHidden/>
              </w:rPr>
              <w:instrText xml:space="preserve"> PAGEREF _Toc489888149 \h </w:instrText>
            </w:r>
            <w:r w:rsidR="00D44C65">
              <w:rPr>
                <w:noProof/>
                <w:webHidden/>
              </w:rPr>
            </w:r>
            <w:r w:rsidR="00D44C65">
              <w:rPr>
                <w:noProof/>
                <w:webHidden/>
              </w:rPr>
              <w:fldChar w:fldCharType="separate"/>
            </w:r>
            <w:r w:rsidR="00D44C65">
              <w:rPr>
                <w:noProof/>
                <w:webHidden/>
              </w:rPr>
              <w:t>52</w:t>
            </w:r>
            <w:r w:rsidR="00D44C65">
              <w:rPr>
                <w:noProof/>
                <w:webHidden/>
              </w:rPr>
              <w:fldChar w:fldCharType="end"/>
            </w:r>
          </w:hyperlink>
        </w:p>
        <w:p w14:paraId="6E6CF988" w14:textId="77777777" w:rsidR="00D44C65" w:rsidRDefault="00BA2754">
          <w:pPr>
            <w:pStyle w:val="TOC2"/>
            <w:tabs>
              <w:tab w:val="left" w:pos="880"/>
              <w:tab w:val="right" w:leader="dot" w:pos="9323"/>
            </w:tabs>
            <w:rPr>
              <w:noProof/>
              <w:lang w:val="en-AU" w:eastAsia="en-AU"/>
            </w:rPr>
          </w:pPr>
          <w:hyperlink w:anchor="_Toc489888150" w:history="1">
            <w:r w:rsidR="00D44C65" w:rsidRPr="00BB67FB">
              <w:rPr>
                <w:rStyle w:val="Hyperlink"/>
                <w:rFonts w:cstheme="minorHAnsi"/>
                <w:b/>
                <w:noProof/>
              </w:rPr>
              <w:t>14.3</w:t>
            </w:r>
            <w:r w:rsidR="00D44C65">
              <w:rPr>
                <w:noProof/>
                <w:lang w:val="en-AU" w:eastAsia="en-AU"/>
              </w:rPr>
              <w:tab/>
            </w:r>
            <w:r w:rsidR="00D44C65" w:rsidRPr="00BB67FB">
              <w:rPr>
                <w:rStyle w:val="Hyperlink"/>
                <w:rFonts w:cstheme="minorHAnsi"/>
                <w:b/>
                <w:noProof/>
              </w:rPr>
              <w:t>SERIOUS BREACH REQUIREMENTS</w:t>
            </w:r>
            <w:r w:rsidR="00D44C65">
              <w:rPr>
                <w:noProof/>
                <w:webHidden/>
              </w:rPr>
              <w:tab/>
            </w:r>
            <w:r w:rsidR="00D44C65">
              <w:rPr>
                <w:noProof/>
                <w:webHidden/>
              </w:rPr>
              <w:fldChar w:fldCharType="begin"/>
            </w:r>
            <w:r w:rsidR="00D44C65">
              <w:rPr>
                <w:noProof/>
                <w:webHidden/>
              </w:rPr>
              <w:instrText xml:space="preserve"> PAGEREF _Toc489888150 \h </w:instrText>
            </w:r>
            <w:r w:rsidR="00D44C65">
              <w:rPr>
                <w:noProof/>
                <w:webHidden/>
              </w:rPr>
            </w:r>
            <w:r w:rsidR="00D44C65">
              <w:rPr>
                <w:noProof/>
                <w:webHidden/>
              </w:rPr>
              <w:fldChar w:fldCharType="separate"/>
            </w:r>
            <w:r w:rsidR="00D44C65">
              <w:rPr>
                <w:noProof/>
                <w:webHidden/>
              </w:rPr>
              <w:t>53</w:t>
            </w:r>
            <w:r w:rsidR="00D44C65">
              <w:rPr>
                <w:noProof/>
                <w:webHidden/>
              </w:rPr>
              <w:fldChar w:fldCharType="end"/>
            </w:r>
          </w:hyperlink>
        </w:p>
        <w:p w14:paraId="65ADCFA3" w14:textId="77777777" w:rsidR="00D44C65" w:rsidRDefault="00BA2754">
          <w:pPr>
            <w:pStyle w:val="TOC2"/>
            <w:tabs>
              <w:tab w:val="left" w:pos="880"/>
              <w:tab w:val="right" w:leader="dot" w:pos="9323"/>
            </w:tabs>
            <w:rPr>
              <w:noProof/>
              <w:lang w:val="en-AU" w:eastAsia="en-AU"/>
            </w:rPr>
          </w:pPr>
          <w:hyperlink w:anchor="_Toc489888151" w:history="1">
            <w:r w:rsidR="00D44C65" w:rsidRPr="00BB67FB">
              <w:rPr>
                <w:rStyle w:val="Hyperlink"/>
                <w:rFonts w:cstheme="minorHAnsi"/>
                <w:b/>
                <w:noProof/>
              </w:rPr>
              <w:t>14.4</w:t>
            </w:r>
            <w:r w:rsidR="00D44C65">
              <w:rPr>
                <w:noProof/>
                <w:lang w:val="en-AU" w:eastAsia="en-AU"/>
              </w:rPr>
              <w:tab/>
            </w:r>
            <w:r w:rsidR="00D44C65" w:rsidRPr="00BB67FB">
              <w:rPr>
                <w:rStyle w:val="Hyperlink"/>
                <w:rFonts w:cstheme="minorHAnsi"/>
                <w:b/>
                <w:noProof/>
              </w:rPr>
              <w:t>STUDY RECORD RETENTION</w:t>
            </w:r>
            <w:r w:rsidR="00D44C65">
              <w:rPr>
                <w:noProof/>
                <w:webHidden/>
              </w:rPr>
              <w:tab/>
            </w:r>
            <w:r w:rsidR="00D44C65">
              <w:rPr>
                <w:noProof/>
                <w:webHidden/>
              </w:rPr>
              <w:fldChar w:fldCharType="begin"/>
            </w:r>
            <w:r w:rsidR="00D44C65">
              <w:rPr>
                <w:noProof/>
                <w:webHidden/>
              </w:rPr>
              <w:instrText xml:space="preserve"> PAGEREF _Toc489888151 \h </w:instrText>
            </w:r>
            <w:r w:rsidR="00D44C65">
              <w:rPr>
                <w:noProof/>
                <w:webHidden/>
              </w:rPr>
            </w:r>
            <w:r w:rsidR="00D44C65">
              <w:rPr>
                <w:noProof/>
                <w:webHidden/>
              </w:rPr>
              <w:fldChar w:fldCharType="separate"/>
            </w:r>
            <w:r w:rsidR="00D44C65">
              <w:rPr>
                <w:noProof/>
                <w:webHidden/>
              </w:rPr>
              <w:t>53</w:t>
            </w:r>
            <w:r w:rsidR="00D44C65">
              <w:rPr>
                <w:noProof/>
                <w:webHidden/>
              </w:rPr>
              <w:fldChar w:fldCharType="end"/>
            </w:r>
          </w:hyperlink>
        </w:p>
        <w:p w14:paraId="58039C5F" w14:textId="77777777" w:rsidR="00D44C65" w:rsidRDefault="00BA2754">
          <w:pPr>
            <w:pStyle w:val="TOC2"/>
            <w:tabs>
              <w:tab w:val="left" w:pos="880"/>
              <w:tab w:val="right" w:leader="dot" w:pos="9323"/>
            </w:tabs>
            <w:rPr>
              <w:noProof/>
              <w:lang w:val="en-AU" w:eastAsia="en-AU"/>
            </w:rPr>
          </w:pPr>
          <w:hyperlink w:anchor="_Toc489888152" w:history="1">
            <w:r w:rsidR="00D44C65" w:rsidRPr="00BB67FB">
              <w:rPr>
                <w:rStyle w:val="Hyperlink"/>
                <w:rFonts w:cstheme="minorHAnsi"/>
                <w:b/>
                <w:noProof/>
              </w:rPr>
              <w:t>14.5</w:t>
            </w:r>
            <w:r w:rsidR="00D44C65">
              <w:rPr>
                <w:noProof/>
                <w:lang w:val="en-AU" w:eastAsia="en-AU"/>
              </w:rPr>
              <w:tab/>
            </w:r>
            <w:r w:rsidR="00D44C65" w:rsidRPr="00BB67FB">
              <w:rPr>
                <w:rStyle w:val="Hyperlink"/>
                <w:rFonts w:cstheme="minorHAnsi"/>
                <w:b/>
                <w:noProof/>
              </w:rPr>
              <w:t>END OF STUDY</w:t>
            </w:r>
            <w:r w:rsidR="00D44C65">
              <w:rPr>
                <w:noProof/>
                <w:webHidden/>
              </w:rPr>
              <w:tab/>
            </w:r>
            <w:r w:rsidR="00D44C65">
              <w:rPr>
                <w:noProof/>
                <w:webHidden/>
              </w:rPr>
              <w:fldChar w:fldCharType="begin"/>
            </w:r>
            <w:r w:rsidR="00D44C65">
              <w:rPr>
                <w:noProof/>
                <w:webHidden/>
              </w:rPr>
              <w:instrText xml:space="preserve"> PAGEREF _Toc489888152 \h </w:instrText>
            </w:r>
            <w:r w:rsidR="00D44C65">
              <w:rPr>
                <w:noProof/>
                <w:webHidden/>
              </w:rPr>
            </w:r>
            <w:r w:rsidR="00D44C65">
              <w:rPr>
                <w:noProof/>
                <w:webHidden/>
              </w:rPr>
              <w:fldChar w:fldCharType="separate"/>
            </w:r>
            <w:r w:rsidR="00D44C65">
              <w:rPr>
                <w:noProof/>
                <w:webHidden/>
              </w:rPr>
              <w:t>53</w:t>
            </w:r>
            <w:r w:rsidR="00D44C65">
              <w:rPr>
                <w:noProof/>
                <w:webHidden/>
              </w:rPr>
              <w:fldChar w:fldCharType="end"/>
            </w:r>
          </w:hyperlink>
        </w:p>
        <w:p w14:paraId="1D92C187" w14:textId="77777777" w:rsidR="00D44C65" w:rsidRDefault="00BA2754">
          <w:pPr>
            <w:pStyle w:val="TOC2"/>
            <w:tabs>
              <w:tab w:val="left" w:pos="880"/>
              <w:tab w:val="right" w:leader="dot" w:pos="9323"/>
            </w:tabs>
            <w:rPr>
              <w:noProof/>
              <w:lang w:val="en-AU" w:eastAsia="en-AU"/>
            </w:rPr>
          </w:pPr>
          <w:hyperlink w:anchor="_Toc489888153" w:history="1">
            <w:r w:rsidR="00D44C65" w:rsidRPr="00BB67FB">
              <w:rPr>
                <w:rStyle w:val="Hyperlink"/>
                <w:rFonts w:cstheme="minorHAnsi"/>
                <w:b/>
                <w:noProof/>
              </w:rPr>
              <w:t>14.6</w:t>
            </w:r>
            <w:r w:rsidR="00D44C65">
              <w:rPr>
                <w:noProof/>
                <w:lang w:val="en-AU" w:eastAsia="en-AU"/>
              </w:rPr>
              <w:tab/>
            </w:r>
            <w:r w:rsidR="00D44C65" w:rsidRPr="00BB67FB">
              <w:rPr>
                <w:rStyle w:val="Hyperlink"/>
                <w:rFonts w:cstheme="minorHAnsi"/>
                <w:b/>
                <w:noProof/>
              </w:rPr>
              <w:t>CONTINUATION OF DRUG FOLLOWING THE END OF THE STUDY</w:t>
            </w:r>
            <w:r w:rsidR="00D44C65">
              <w:rPr>
                <w:noProof/>
                <w:webHidden/>
              </w:rPr>
              <w:tab/>
            </w:r>
            <w:r w:rsidR="00D44C65">
              <w:rPr>
                <w:noProof/>
                <w:webHidden/>
              </w:rPr>
              <w:fldChar w:fldCharType="begin"/>
            </w:r>
            <w:r w:rsidR="00D44C65">
              <w:rPr>
                <w:noProof/>
                <w:webHidden/>
              </w:rPr>
              <w:instrText xml:space="preserve"> PAGEREF _Toc489888153 \h </w:instrText>
            </w:r>
            <w:r w:rsidR="00D44C65">
              <w:rPr>
                <w:noProof/>
                <w:webHidden/>
              </w:rPr>
            </w:r>
            <w:r w:rsidR="00D44C65">
              <w:rPr>
                <w:noProof/>
                <w:webHidden/>
              </w:rPr>
              <w:fldChar w:fldCharType="separate"/>
            </w:r>
            <w:r w:rsidR="00D44C65">
              <w:rPr>
                <w:noProof/>
                <w:webHidden/>
              </w:rPr>
              <w:t>54</w:t>
            </w:r>
            <w:r w:rsidR="00D44C65">
              <w:rPr>
                <w:noProof/>
                <w:webHidden/>
              </w:rPr>
              <w:fldChar w:fldCharType="end"/>
            </w:r>
          </w:hyperlink>
        </w:p>
        <w:p w14:paraId="221729CB" w14:textId="77777777" w:rsidR="00D44C65" w:rsidRDefault="00BA2754">
          <w:pPr>
            <w:pStyle w:val="TOC2"/>
            <w:tabs>
              <w:tab w:val="left" w:pos="880"/>
              <w:tab w:val="right" w:leader="dot" w:pos="9323"/>
            </w:tabs>
            <w:rPr>
              <w:noProof/>
              <w:lang w:val="en-AU" w:eastAsia="en-AU"/>
            </w:rPr>
          </w:pPr>
          <w:hyperlink w:anchor="_Toc489888154" w:history="1">
            <w:r w:rsidR="00D44C65" w:rsidRPr="00BB67FB">
              <w:rPr>
                <w:rStyle w:val="Hyperlink"/>
                <w:rFonts w:cstheme="minorHAnsi"/>
                <w:b/>
                <w:noProof/>
              </w:rPr>
              <w:t>14.7</w:t>
            </w:r>
            <w:r w:rsidR="00D44C65">
              <w:rPr>
                <w:noProof/>
                <w:lang w:val="en-AU" w:eastAsia="en-AU"/>
              </w:rPr>
              <w:tab/>
            </w:r>
            <w:r w:rsidR="00D44C65" w:rsidRPr="00BB67FB">
              <w:rPr>
                <w:rStyle w:val="Hyperlink"/>
                <w:rFonts w:cstheme="minorHAnsi"/>
                <w:b/>
                <w:noProof/>
              </w:rPr>
              <w:t>INSURANCE AND INDEMNITY</w:t>
            </w:r>
            <w:r w:rsidR="00D44C65">
              <w:rPr>
                <w:noProof/>
                <w:webHidden/>
              </w:rPr>
              <w:tab/>
            </w:r>
            <w:r w:rsidR="00D44C65">
              <w:rPr>
                <w:noProof/>
                <w:webHidden/>
              </w:rPr>
              <w:fldChar w:fldCharType="begin"/>
            </w:r>
            <w:r w:rsidR="00D44C65">
              <w:rPr>
                <w:noProof/>
                <w:webHidden/>
              </w:rPr>
              <w:instrText xml:space="preserve"> PAGEREF _Toc489888154 \h </w:instrText>
            </w:r>
            <w:r w:rsidR="00D44C65">
              <w:rPr>
                <w:noProof/>
                <w:webHidden/>
              </w:rPr>
            </w:r>
            <w:r w:rsidR="00D44C65">
              <w:rPr>
                <w:noProof/>
                <w:webHidden/>
              </w:rPr>
              <w:fldChar w:fldCharType="separate"/>
            </w:r>
            <w:r w:rsidR="00D44C65">
              <w:rPr>
                <w:noProof/>
                <w:webHidden/>
              </w:rPr>
              <w:t>54</w:t>
            </w:r>
            <w:r w:rsidR="00D44C65">
              <w:rPr>
                <w:noProof/>
                <w:webHidden/>
              </w:rPr>
              <w:fldChar w:fldCharType="end"/>
            </w:r>
          </w:hyperlink>
        </w:p>
        <w:p w14:paraId="6DAB0ABD" w14:textId="77777777" w:rsidR="00D44C65" w:rsidRDefault="00BA2754">
          <w:pPr>
            <w:pStyle w:val="TOC1"/>
            <w:tabs>
              <w:tab w:val="left" w:pos="660"/>
              <w:tab w:val="right" w:leader="dot" w:pos="9323"/>
            </w:tabs>
            <w:rPr>
              <w:noProof/>
              <w:lang w:val="en-AU" w:eastAsia="en-AU"/>
            </w:rPr>
          </w:pPr>
          <w:hyperlink w:anchor="_Toc489888155" w:history="1">
            <w:r w:rsidR="00D44C65" w:rsidRPr="00BB67FB">
              <w:rPr>
                <w:rStyle w:val="Hyperlink"/>
                <w:rFonts w:cstheme="minorHAnsi"/>
                <w:b/>
                <w:noProof/>
              </w:rPr>
              <w:t>15</w:t>
            </w:r>
            <w:r w:rsidR="00D44C65">
              <w:rPr>
                <w:noProof/>
                <w:lang w:val="en-AU" w:eastAsia="en-AU"/>
              </w:rPr>
              <w:tab/>
            </w:r>
            <w:r w:rsidR="00D44C65" w:rsidRPr="00BB67FB">
              <w:rPr>
                <w:rStyle w:val="Hyperlink"/>
                <w:rFonts w:cstheme="minorHAnsi"/>
                <w:b/>
                <w:noProof/>
              </w:rPr>
              <w:t>REPORTING, PUBLICATIONS AND NOTIFICATION OF RESULTS</w:t>
            </w:r>
            <w:r w:rsidR="00D44C65">
              <w:rPr>
                <w:noProof/>
                <w:webHidden/>
              </w:rPr>
              <w:tab/>
            </w:r>
            <w:r w:rsidR="00D44C65">
              <w:rPr>
                <w:noProof/>
                <w:webHidden/>
              </w:rPr>
              <w:fldChar w:fldCharType="begin"/>
            </w:r>
            <w:r w:rsidR="00D44C65">
              <w:rPr>
                <w:noProof/>
                <w:webHidden/>
              </w:rPr>
              <w:instrText xml:space="preserve"> PAGEREF _Toc489888155 \h </w:instrText>
            </w:r>
            <w:r w:rsidR="00D44C65">
              <w:rPr>
                <w:noProof/>
                <w:webHidden/>
              </w:rPr>
            </w:r>
            <w:r w:rsidR="00D44C65">
              <w:rPr>
                <w:noProof/>
                <w:webHidden/>
              </w:rPr>
              <w:fldChar w:fldCharType="separate"/>
            </w:r>
            <w:r w:rsidR="00D44C65">
              <w:rPr>
                <w:noProof/>
                <w:webHidden/>
              </w:rPr>
              <w:t>55</w:t>
            </w:r>
            <w:r w:rsidR="00D44C65">
              <w:rPr>
                <w:noProof/>
                <w:webHidden/>
              </w:rPr>
              <w:fldChar w:fldCharType="end"/>
            </w:r>
          </w:hyperlink>
        </w:p>
        <w:p w14:paraId="55C7E520" w14:textId="77777777" w:rsidR="00D44C65" w:rsidRDefault="00BA2754">
          <w:pPr>
            <w:pStyle w:val="TOC2"/>
            <w:tabs>
              <w:tab w:val="left" w:pos="880"/>
              <w:tab w:val="right" w:leader="dot" w:pos="9323"/>
            </w:tabs>
            <w:rPr>
              <w:noProof/>
              <w:lang w:val="en-AU" w:eastAsia="en-AU"/>
            </w:rPr>
          </w:pPr>
          <w:hyperlink w:anchor="_Toc489888156" w:history="1">
            <w:r w:rsidR="00D44C65" w:rsidRPr="00BB67FB">
              <w:rPr>
                <w:rStyle w:val="Hyperlink"/>
                <w:rFonts w:cstheme="minorHAnsi"/>
                <w:b/>
                <w:noProof/>
              </w:rPr>
              <w:t>15.1</w:t>
            </w:r>
            <w:r w:rsidR="00D44C65">
              <w:rPr>
                <w:noProof/>
                <w:lang w:val="en-AU" w:eastAsia="en-AU"/>
              </w:rPr>
              <w:tab/>
            </w:r>
            <w:r w:rsidR="00D44C65" w:rsidRPr="00BB67FB">
              <w:rPr>
                <w:rStyle w:val="Hyperlink"/>
                <w:rFonts w:cstheme="minorHAnsi"/>
                <w:b/>
                <w:noProof/>
              </w:rPr>
              <w:t>AUTHORSHIP POLICY</w:t>
            </w:r>
            <w:r w:rsidR="00D44C65">
              <w:rPr>
                <w:noProof/>
                <w:webHidden/>
              </w:rPr>
              <w:tab/>
            </w:r>
            <w:r w:rsidR="00D44C65">
              <w:rPr>
                <w:noProof/>
                <w:webHidden/>
              </w:rPr>
              <w:fldChar w:fldCharType="begin"/>
            </w:r>
            <w:r w:rsidR="00D44C65">
              <w:rPr>
                <w:noProof/>
                <w:webHidden/>
              </w:rPr>
              <w:instrText xml:space="preserve"> PAGEREF _Toc489888156 \h </w:instrText>
            </w:r>
            <w:r w:rsidR="00D44C65">
              <w:rPr>
                <w:noProof/>
                <w:webHidden/>
              </w:rPr>
            </w:r>
            <w:r w:rsidR="00D44C65">
              <w:rPr>
                <w:noProof/>
                <w:webHidden/>
              </w:rPr>
              <w:fldChar w:fldCharType="separate"/>
            </w:r>
            <w:r w:rsidR="00D44C65">
              <w:rPr>
                <w:noProof/>
                <w:webHidden/>
              </w:rPr>
              <w:t>55</w:t>
            </w:r>
            <w:r w:rsidR="00D44C65">
              <w:rPr>
                <w:noProof/>
                <w:webHidden/>
              </w:rPr>
              <w:fldChar w:fldCharType="end"/>
            </w:r>
          </w:hyperlink>
        </w:p>
        <w:p w14:paraId="70ADEF30" w14:textId="77777777" w:rsidR="00D44C65" w:rsidRDefault="00BA2754">
          <w:pPr>
            <w:pStyle w:val="TOC2"/>
            <w:tabs>
              <w:tab w:val="left" w:pos="880"/>
              <w:tab w:val="right" w:leader="dot" w:pos="9323"/>
            </w:tabs>
            <w:rPr>
              <w:noProof/>
              <w:lang w:val="en-AU" w:eastAsia="en-AU"/>
            </w:rPr>
          </w:pPr>
          <w:hyperlink w:anchor="_Toc489888157" w:history="1">
            <w:r w:rsidR="00D44C65" w:rsidRPr="00BB67FB">
              <w:rPr>
                <w:rStyle w:val="Hyperlink"/>
                <w:rFonts w:cstheme="minorHAnsi"/>
                <w:b/>
                <w:noProof/>
              </w:rPr>
              <w:t>15.2</w:t>
            </w:r>
            <w:r w:rsidR="00D44C65">
              <w:rPr>
                <w:noProof/>
                <w:lang w:val="en-AU" w:eastAsia="en-AU"/>
              </w:rPr>
              <w:tab/>
            </w:r>
            <w:r w:rsidR="00D44C65" w:rsidRPr="00BB67FB">
              <w:rPr>
                <w:rStyle w:val="Hyperlink"/>
                <w:rFonts w:cstheme="minorHAnsi"/>
                <w:b/>
                <w:noProof/>
              </w:rPr>
              <w:t>PUBLICATION</w:t>
            </w:r>
            <w:r w:rsidR="00D44C65">
              <w:rPr>
                <w:noProof/>
                <w:webHidden/>
              </w:rPr>
              <w:tab/>
            </w:r>
            <w:r w:rsidR="00D44C65">
              <w:rPr>
                <w:noProof/>
                <w:webHidden/>
              </w:rPr>
              <w:fldChar w:fldCharType="begin"/>
            </w:r>
            <w:r w:rsidR="00D44C65">
              <w:rPr>
                <w:noProof/>
                <w:webHidden/>
              </w:rPr>
              <w:instrText xml:space="preserve"> PAGEREF _Toc489888157 \h </w:instrText>
            </w:r>
            <w:r w:rsidR="00D44C65">
              <w:rPr>
                <w:noProof/>
                <w:webHidden/>
              </w:rPr>
            </w:r>
            <w:r w:rsidR="00D44C65">
              <w:rPr>
                <w:noProof/>
                <w:webHidden/>
              </w:rPr>
              <w:fldChar w:fldCharType="separate"/>
            </w:r>
            <w:r w:rsidR="00D44C65">
              <w:rPr>
                <w:noProof/>
                <w:webHidden/>
              </w:rPr>
              <w:t>56</w:t>
            </w:r>
            <w:r w:rsidR="00D44C65">
              <w:rPr>
                <w:noProof/>
                <w:webHidden/>
              </w:rPr>
              <w:fldChar w:fldCharType="end"/>
            </w:r>
          </w:hyperlink>
        </w:p>
        <w:p w14:paraId="5BBDFA39" w14:textId="77777777" w:rsidR="00D44C65" w:rsidRDefault="00BA2754">
          <w:pPr>
            <w:pStyle w:val="TOC2"/>
            <w:tabs>
              <w:tab w:val="left" w:pos="880"/>
              <w:tab w:val="right" w:leader="dot" w:pos="9323"/>
            </w:tabs>
            <w:rPr>
              <w:noProof/>
              <w:lang w:val="en-AU" w:eastAsia="en-AU"/>
            </w:rPr>
          </w:pPr>
          <w:hyperlink w:anchor="_Toc489888158" w:history="1">
            <w:r w:rsidR="00D44C65" w:rsidRPr="00BB67FB">
              <w:rPr>
                <w:rStyle w:val="Hyperlink"/>
                <w:rFonts w:cstheme="minorHAnsi"/>
                <w:b/>
                <w:noProof/>
              </w:rPr>
              <w:t>15.3</w:t>
            </w:r>
            <w:r w:rsidR="00D44C65">
              <w:rPr>
                <w:noProof/>
                <w:lang w:val="en-AU" w:eastAsia="en-AU"/>
              </w:rPr>
              <w:tab/>
            </w:r>
            <w:r w:rsidR="00D44C65" w:rsidRPr="00BB67FB">
              <w:rPr>
                <w:rStyle w:val="Hyperlink"/>
                <w:rFonts w:cstheme="minorHAnsi"/>
                <w:b/>
                <w:noProof/>
              </w:rPr>
              <w:t>PEER REVIEW</w:t>
            </w:r>
            <w:r w:rsidR="00D44C65">
              <w:rPr>
                <w:noProof/>
                <w:webHidden/>
              </w:rPr>
              <w:tab/>
            </w:r>
            <w:r w:rsidR="00D44C65">
              <w:rPr>
                <w:noProof/>
                <w:webHidden/>
              </w:rPr>
              <w:fldChar w:fldCharType="begin"/>
            </w:r>
            <w:r w:rsidR="00D44C65">
              <w:rPr>
                <w:noProof/>
                <w:webHidden/>
              </w:rPr>
              <w:instrText xml:space="preserve"> PAGEREF _Toc489888158 \h </w:instrText>
            </w:r>
            <w:r w:rsidR="00D44C65">
              <w:rPr>
                <w:noProof/>
                <w:webHidden/>
              </w:rPr>
            </w:r>
            <w:r w:rsidR="00D44C65">
              <w:rPr>
                <w:noProof/>
                <w:webHidden/>
              </w:rPr>
              <w:fldChar w:fldCharType="separate"/>
            </w:r>
            <w:r w:rsidR="00D44C65">
              <w:rPr>
                <w:noProof/>
                <w:webHidden/>
              </w:rPr>
              <w:t>56</w:t>
            </w:r>
            <w:r w:rsidR="00D44C65">
              <w:rPr>
                <w:noProof/>
                <w:webHidden/>
              </w:rPr>
              <w:fldChar w:fldCharType="end"/>
            </w:r>
          </w:hyperlink>
        </w:p>
        <w:p w14:paraId="22354B3A" w14:textId="77777777" w:rsidR="00D44C65" w:rsidRDefault="00BA2754">
          <w:pPr>
            <w:pStyle w:val="TOC1"/>
            <w:tabs>
              <w:tab w:val="right" w:leader="dot" w:pos="9323"/>
            </w:tabs>
            <w:rPr>
              <w:noProof/>
              <w:lang w:val="en-AU" w:eastAsia="en-AU"/>
            </w:rPr>
          </w:pPr>
          <w:hyperlink w:anchor="_Toc489888159" w:history="1">
            <w:r w:rsidR="00D44C65" w:rsidRPr="00BB67FB">
              <w:rPr>
                <w:rStyle w:val="Hyperlink"/>
                <w:rFonts w:cstheme="minorHAnsi"/>
                <w:noProof/>
              </w:rPr>
              <w:t>APPENDIX 1: Medsafe - New Zealand Medicines and Medical Devices Safety Authourity – Information for Healthcare Professionals: Navelbine</w:t>
            </w:r>
            <w:r w:rsidR="00D44C65" w:rsidRPr="00BB67FB">
              <w:rPr>
                <w:rStyle w:val="Hyperlink"/>
                <w:rFonts w:ascii="Bell MT" w:hAnsi="Bell MT" w:cstheme="minorHAnsi"/>
                <w:noProof/>
              </w:rPr>
              <w:t>®</w:t>
            </w:r>
            <w:r w:rsidR="00D44C65" w:rsidRPr="00BB67FB">
              <w:rPr>
                <w:rStyle w:val="Hyperlink"/>
                <w:rFonts w:cstheme="minorHAnsi"/>
                <w:noProof/>
              </w:rPr>
              <w:t xml:space="preserve"> oral (vinorelbine 20 mg and 30 mg soft capsules)</w:t>
            </w:r>
            <w:r w:rsidR="00D44C65">
              <w:rPr>
                <w:noProof/>
                <w:webHidden/>
              </w:rPr>
              <w:tab/>
            </w:r>
            <w:r w:rsidR="00D44C65">
              <w:rPr>
                <w:noProof/>
                <w:webHidden/>
              </w:rPr>
              <w:fldChar w:fldCharType="begin"/>
            </w:r>
            <w:r w:rsidR="00D44C65">
              <w:rPr>
                <w:noProof/>
                <w:webHidden/>
              </w:rPr>
              <w:instrText xml:space="preserve"> PAGEREF _Toc489888159 \h </w:instrText>
            </w:r>
            <w:r w:rsidR="00D44C65">
              <w:rPr>
                <w:noProof/>
                <w:webHidden/>
              </w:rPr>
            </w:r>
            <w:r w:rsidR="00D44C65">
              <w:rPr>
                <w:noProof/>
                <w:webHidden/>
              </w:rPr>
              <w:fldChar w:fldCharType="separate"/>
            </w:r>
            <w:r w:rsidR="00D44C65">
              <w:rPr>
                <w:noProof/>
                <w:webHidden/>
              </w:rPr>
              <w:t>57</w:t>
            </w:r>
            <w:r w:rsidR="00D44C65">
              <w:rPr>
                <w:noProof/>
                <w:webHidden/>
              </w:rPr>
              <w:fldChar w:fldCharType="end"/>
            </w:r>
          </w:hyperlink>
        </w:p>
        <w:p w14:paraId="7193C6D6" w14:textId="77777777" w:rsidR="00D44C65" w:rsidRDefault="00BA2754">
          <w:pPr>
            <w:pStyle w:val="TOC1"/>
            <w:tabs>
              <w:tab w:val="right" w:leader="dot" w:pos="9323"/>
            </w:tabs>
            <w:rPr>
              <w:noProof/>
              <w:lang w:val="en-AU" w:eastAsia="en-AU"/>
            </w:rPr>
          </w:pPr>
          <w:hyperlink w:anchor="_Toc489888160" w:history="1">
            <w:r w:rsidR="00D44C65" w:rsidRPr="00BB67FB">
              <w:rPr>
                <w:rStyle w:val="Hyperlink"/>
                <w:rFonts w:cstheme="minorHAnsi"/>
                <w:noProof/>
              </w:rPr>
              <w:t>APPENDIX 2: Centre for Adverse Reactions Monitoring – Adverse reaction reporting form</w:t>
            </w:r>
            <w:r w:rsidR="00D44C65">
              <w:rPr>
                <w:noProof/>
                <w:webHidden/>
              </w:rPr>
              <w:tab/>
            </w:r>
            <w:r w:rsidR="00D44C65">
              <w:rPr>
                <w:noProof/>
                <w:webHidden/>
              </w:rPr>
              <w:fldChar w:fldCharType="begin"/>
            </w:r>
            <w:r w:rsidR="00D44C65">
              <w:rPr>
                <w:noProof/>
                <w:webHidden/>
              </w:rPr>
              <w:instrText xml:space="preserve"> PAGEREF _Toc489888160 \h </w:instrText>
            </w:r>
            <w:r w:rsidR="00D44C65">
              <w:rPr>
                <w:noProof/>
                <w:webHidden/>
              </w:rPr>
            </w:r>
            <w:r w:rsidR="00D44C65">
              <w:rPr>
                <w:noProof/>
                <w:webHidden/>
              </w:rPr>
              <w:fldChar w:fldCharType="separate"/>
            </w:r>
            <w:r w:rsidR="00D44C65">
              <w:rPr>
                <w:noProof/>
                <w:webHidden/>
              </w:rPr>
              <w:t>70</w:t>
            </w:r>
            <w:r w:rsidR="00D44C65">
              <w:rPr>
                <w:noProof/>
                <w:webHidden/>
              </w:rPr>
              <w:fldChar w:fldCharType="end"/>
            </w:r>
          </w:hyperlink>
        </w:p>
        <w:p w14:paraId="4D3FE69E" w14:textId="77777777" w:rsidR="00D44C65" w:rsidRDefault="00BA2754">
          <w:pPr>
            <w:pStyle w:val="TOC1"/>
            <w:tabs>
              <w:tab w:val="right" w:leader="dot" w:pos="9323"/>
            </w:tabs>
            <w:rPr>
              <w:noProof/>
              <w:lang w:val="en-AU" w:eastAsia="en-AU"/>
            </w:rPr>
          </w:pPr>
          <w:hyperlink w:anchor="_Toc489888161" w:history="1">
            <w:r w:rsidR="00D44C65" w:rsidRPr="00BB67FB">
              <w:rPr>
                <w:rStyle w:val="Hyperlink"/>
                <w:noProof/>
              </w:rPr>
              <w:t>REFERENCES</w:t>
            </w:r>
            <w:r w:rsidR="00D44C65">
              <w:rPr>
                <w:noProof/>
                <w:webHidden/>
              </w:rPr>
              <w:tab/>
            </w:r>
            <w:r w:rsidR="00D44C65">
              <w:rPr>
                <w:noProof/>
                <w:webHidden/>
              </w:rPr>
              <w:fldChar w:fldCharType="begin"/>
            </w:r>
            <w:r w:rsidR="00D44C65">
              <w:rPr>
                <w:noProof/>
                <w:webHidden/>
              </w:rPr>
              <w:instrText xml:space="preserve"> PAGEREF _Toc489888161 \h </w:instrText>
            </w:r>
            <w:r w:rsidR="00D44C65">
              <w:rPr>
                <w:noProof/>
                <w:webHidden/>
              </w:rPr>
            </w:r>
            <w:r w:rsidR="00D44C65">
              <w:rPr>
                <w:noProof/>
                <w:webHidden/>
              </w:rPr>
              <w:fldChar w:fldCharType="separate"/>
            </w:r>
            <w:r w:rsidR="00D44C65">
              <w:rPr>
                <w:noProof/>
                <w:webHidden/>
              </w:rPr>
              <w:t>71</w:t>
            </w:r>
            <w:r w:rsidR="00D44C65">
              <w:rPr>
                <w:noProof/>
                <w:webHidden/>
              </w:rPr>
              <w:fldChar w:fldCharType="end"/>
            </w:r>
          </w:hyperlink>
        </w:p>
        <w:p w14:paraId="45F4B787" w14:textId="77777777" w:rsidR="00D5063A" w:rsidRDefault="00D5063A">
          <w:r>
            <w:rPr>
              <w:b/>
              <w:bCs/>
              <w:noProof/>
            </w:rPr>
            <w:fldChar w:fldCharType="end"/>
          </w:r>
        </w:p>
      </w:sdtContent>
    </w:sdt>
    <w:p w14:paraId="583180BF" w14:textId="77777777" w:rsidR="00B964A7" w:rsidRPr="00446E96" w:rsidRDefault="00B964A7" w:rsidP="00446E96">
      <w:pPr>
        <w:pStyle w:val="Heading1"/>
        <w:rPr>
          <w:rFonts w:asciiTheme="minorHAnsi" w:hAnsiTheme="minorHAnsi"/>
          <w:color w:val="auto"/>
          <w:sz w:val="22"/>
          <w:szCs w:val="22"/>
        </w:rPr>
      </w:pPr>
      <w:r>
        <w:rPr>
          <w:rFonts w:cstheme="minorHAnsi"/>
          <w:b w:val="0"/>
          <w:color w:val="FF0000"/>
        </w:rPr>
        <w:br w:type="page"/>
      </w:r>
      <w:bookmarkStart w:id="2" w:name="_Toc489888037"/>
      <w:commentRangeStart w:id="3"/>
      <w:r w:rsidRPr="00446E96">
        <w:rPr>
          <w:rFonts w:asciiTheme="minorHAnsi" w:hAnsiTheme="minorHAnsi"/>
          <w:color w:val="auto"/>
          <w:sz w:val="22"/>
          <w:szCs w:val="22"/>
        </w:rPr>
        <w:lastRenderedPageBreak/>
        <w:t>PROTOCOL APPROVAL</w:t>
      </w:r>
      <w:bookmarkEnd w:id="1"/>
      <w:commentRangeEnd w:id="3"/>
      <w:r w:rsidR="006C626A">
        <w:rPr>
          <w:rStyle w:val="CommentReference"/>
          <w:rFonts w:asciiTheme="minorHAnsi" w:eastAsiaTheme="minorHAnsi" w:hAnsiTheme="minorHAnsi" w:cstheme="minorBidi"/>
          <w:b w:val="0"/>
          <w:bCs w:val="0"/>
          <w:color w:val="auto"/>
        </w:rPr>
        <w:commentReference w:id="3"/>
      </w:r>
      <w:bookmarkEnd w:id="2"/>
    </w:p>
    <w:p w14:paraId="7E24FCE5" w14:textId="77777777" w:rsidR="00B964A7" w:rsidRPr="00F5333F" w:rsidRDefault="0040516E" w:rsidP="00B964A7">
      <w:pPr>
        <w:jc w:val="center"/>
        <w:rPr>
          <w:rFonts w:cstheme="minorHAnsi"/>
          <w:i/>
        </w:rPr>
      </w:pPr>
      <w:r>
        <w:rPr>
          <w:rFonts w:cstheme="minorHAnsi"/>
          <w:b/>
        </w:rPr>
        <w:t>The VINO ectopic Trial:</w:t>
      </w:r>
    </w:p>
    <w:p w14:paraId="6C06D167" w14:textId="77777777" w:rsidR="0040516E" w:rsidRPr="00A82AD5" w:rsidRDefault="0040516E" w:rsidP="0040516E">
      <w:pPr>
        <w:jc w:val="center"/>
        <w:rPr>
          <w:rFonts w:cstheme="minorHAnsi"/>
          <w:i/>
          <w:u w:val="single"/>
        </w:rPr>
      </w:pPr>
      <w:r w:rsidRPr="00A82AD5">
        <w:rPr>
          <w:rFonts w:cstheme="minorHAnsi"/>
          <w:i/>
          <w:u w:val="single"/>
        </w:rPr>
        <w:t>Clinical trial of oral vinorelbine to treat women with ectopic pregnancy</w:t>
      </w:r>
    </w:p>
    <w:p w14:paraId="30163251" w14:textId="1598CE99" w:rsidR="00260CB2" w:rsidRDefault="00D4269D" w:rsidP="00260CB2">
      <w:pPr>
        <w:widowControl w:val="0"/>
        <w:autoSpaceDE w:val="0"/>
        <w:autoSpaceDN w:val="0"/>
        <w:adjustRightInd w:val="0"/>
        <w:spacing w:after="240" w:line="240" w:lineRule="auto"/>
        <w:rPr>
          <w:rFonts w:ascii="Times" w:hAnsi="Times" w:cs="Times"/>
          <w:sz w:val="24"/>
          <w:szCs w:val="24"/>
          <w:lang w:val="en-US"/>
        </w:rPr>
      </w:pPr>
      <w:r>
        <w:rPr>
          <w:rFonts w:cstheme="minorHAnsi"/>
        </w:rPr>
        <w:t>H</w:t>
      </w:r>
      <w:r w:rsidR="00A82AD5">
        <w:rPr>
          <w:rFonts w:cstheme="minorHAnsi"/>
        </w:rPr>
        <w:t xml:space="preserve">ealth and </w:t>
      </w:r>
      <w:r>
        <w:rPr>
          <w:rFonts w:cstheme="minorHAnsi"/>
        </w:rPr>
        <w:t>D</w:t>
      </w:r>
      <w:r w:rsidR="00A82AD5">
        <w:rPr>
          <w:rFonts w:cstheme="minorHAnsi"/>
        </w:rPr>
        <w:t xml:space="preserve">isability </w:t>
      </w:r>
      <w:r w:rsidR="00B964A7">
        <w:rPr>
          <w:rFonts w:cstheme="minorHAnsi"/>
        </w:rPr>
        <w:t>E</w:t>
      </w:r>
      <w:r w:rsidR="00A82AD5">
        <w:rPr>
          <w:rFonts w:cstheme="minorHAnsi"/>
        </w:rPr>
        <w:t xml:space="preserve">thics </w:t>
      </w:r>
      <w:r w:rsidR="00B964A7">
        <w:rPr>
          <w:rFonts w:cstheme="minorHAnsi"/>
        </w:rPr>
        <w:t>C</w:t>
      </w:r>
      <w:r w:rsidR="00A82AD5">
        <w:rPr>
          <w:rFonts w:cstheme="minorHAnsi"/>
        </w:rPr>
        <w:t>ommittee</w:t>
      </w:r>
      <w:r w:rsidR="0040516E">
        <w:rPr>
          <w:rFonts w:cstheme="minorHAnsi"/>
        </w:rPr>
        <w:t xml:space="preserve"> project</w:t>
      </w:r>
      <w:r w:rsidR="00260CB2">
        <w:rPr>
          <w:rFonts w:cstheme="minorHAnsi"/>
        </w:rPr>
        <w:t xml:space="preserve"> number – 17/CEN/155</w:t>
      </w:r>
    </w:p>
    <w:p w14:paraId="5C9C5221" w14:textId="64306817" w:rsidR="00B964A7" w:rsidRDefault="00B964A7" w:rsidP="00B964A7">
      <w:pPr>
        <w:pBdr>
          <w:top w:val="single" w:sz="4" w:space="1" w:color="auto"/>
          <w:left w:val="single" w:sz="4" w:space="4" w:color="auto"/>
          <w:bottom w:val="single" w:sz="4" w:space="1" w:color="auto"/>
          <w:right w:val="single" w:sz="4" w:space="4" w:color="auto"/>
        </w:pBdr>
        <w:rPr>
          <w:rFonts w:cstheme="minorHAnsi"/>
        </w:rPr>
      </w:pPr>
    </w:p>
    <w:p w14:paraId="641C9FE4" w14:textId="7B5ECB74" w:rsidR="00B964A7" w:rsidRPr="000333F7" w:rsidRDefault="00B964A7" w:rsidP="00B964A7">
      <w:pPr>
        <w:pBdr>
          <w:top w:val="single" w:sz="4" w:space="1" w:color="auto"/>
          <w:left w:val="single" w:sz="4" w:space="4" w:color="auto"/>
          <w:bottom w:val="single" w:sz="4" w:space="1" w:color="auto"/>
          <w:right w:val="single" w:sz="4" w:space="4" w:color="auto"/>
        </w:pBdr>
        <w:tabs>
          <w:tab w:val="right" w:pos="9026"/>
        </w:tabs>
        <w:rPr>
          <w:rFonts w:cstheme="minorHAnsi"/>
        </w:rPr>
      </w:pPr>
      <w:r w:rsidRPr="00571F7C">
        <w:rPr>
          <w:rFonts w:cstheme="minorHAnsi"/>
        </w:rPr>
        <w:t>Australian</w:t>
      </w:r>
      <w:r>
        <w:rPr>
          <w:rFonts w:cstheme="minorHAnsi"/>
          <w:i/>
        </w:rPr>
        <w:t xml:space="preserve"> </w:t>
      </w:r>
      <w:r w:rsidRPr="00571F7C">
        <w:rPr>
          <w:rFonts w:cstheme="minorHAnsi"/>
        </w:rPr>
        <w:t>and New Zealand Clinical Trials Registry (</w:t>
      </w:r>
      <w:r w:rsidRPr="00B05FFC">
        <w:rPr>
          <w:rFonts w:cstheme="minorHAnsi"/>
        </w:rPr>
        <w:t>ANZCTR</w:t>
      </w:r>
      <w:r>
        <w:rPr>
          <w:rFonts w:cstheme="minorHAnsi"/>
        </w:rPr>
        <w:t>)</w:t>
      </w:r>
      <w:r w:rsidRPr="00B05FFC">
        <w:rPr>
          <w:rFonts w:cstheme="minorHAnsi"/>
        </w:rPr>
        <w:t xml:space="preserve"> number</w:t>
      </w:r>
      <w:r>
        <w:rPr>
          <w:rFonts w:cstheme="minorHAnsi"/>
        </w:rPr>
        <w:t xml:space="preserve"> - </w:t>
      </w:r>
      <w:r w:rsidR="006957DC" w:rsidRPr="006957DC">
        <w:t>ACTRN-1261-7001-1183-92p</w:t>
      </w:r>
      <w:r>
        <w:rPr>
          <w:rFonts w:cstheme="minorHAnsi"/>
        </w:rPr>
        <w:tab/>
      </w:r>
    </w:p>
    <w:p w14:paraId="50863500" w14:textId="77777777" w:rsidR="00B964A7" w:rsidRPr="00B05FFC" w:rsidRDefault="00B964A7" w:rsidP="00446E96">
      <w:pPr>
        <w:pStyle w:val="Heading1"/>
        <w:rPr>
          <w:rFonts w:asciiTheme="minorHAnsi" w:hAnsiTheme="minorHAnsi" w:cstheme="minorHAnsi"/>
          <w:color w:val="000000" w:themeColor="text1"/>
          <w:sz w:val="22"/>
          <w:szCs w:val="22"/>
        </w:rPr>
      </w:pPr>
      <w:bookmarkStart w:id="4" w:name="_Toc489888038"/>
      <w:r w:rsidRPr="00B05FFC">
        <w:rPr>
          <w:rFonts w:asciiTheme="minorHAnsi" w:hAnsiTheme="minorHAnsi" w:cstheme="minorHAnsi"/>
          <w:color w:val="000000" w:themeColor="text1"/>
          <w:sz w:val="22"/>
          <w:szCs w:val="22"/>
        </w:rPr>
        <w:t>PROTOCOL APPROVAL</w:t>
      </w:r>
      <w:r>
        <w:rPr>
          <w:rFonts w:asciiTheme="minorHAnsi" w:hAnsiTheme="minorHAnsi" w:cstheme="minorHAnsi"/>
          <w:color w:val="000000" w:themeColor="text1"/>
          <w:sz w:val="22"/>
          <w:szCs w:val="22"/>
        </w:rPr>
        <w:t xml:space="preserve"> (Cont.)</w:t>
      </w:r>
      <w:bookmarkEnd w:id="4"/>
    </w:p>
    <w:p w14:paraId="47AC2328" w14:textId="77777777" w:rsidR="00B964A7" w:rsidRDefault="00B964A7" w:rsidP="00B964A7">
      <w:pPr>
        <w:jc w:val="center"/>
        <w:rPr>
          <w:rFonts w:cstheme="minorHAnsi"/>
          <w:b/>
        </w:rPr>
      </w:pPr>
    </w:p>
    <w:p w14:paraId="31CD8D6C" w14:textId="77777777" w:rsidR="00F97C7F" w:rsidRPr="00F5333F" w:rsidRDefault="00F97C7F" w:rsidP="00F97C7F">
      <w:pPr>
        <w:jc w:val="center"/>
        <w:rPr>
          <w:rFonts w:cstheme="minorHAnsi"/>
          <w:i/>
        </w:rPr>
      </w:pPr>
      <w:r>
        <w:rPr>
          <w:rFonts w:cstheme="minorHAnsi"/>
          <w:b/>
        </w:rPr>
        <w:t>The VINO ectopic Trial:</w:t>
      </w:r>
    </w:p>
    <w:p w14:paraId="35B7448C" w14:textId="77777777" w:rsidR="00F97C7F" w:rsidRPr="00A82AD5" w:rsidRDefault="00F97C7F" w:rsidP="00F97C7F">
      <w:pPr>
        <w:jc w:val="center"/>
        <w:rPr>
          <w:rFonts w:cstheme="minorHAnsi"/>
          <w:i/>
          <w:u w:val="single"/>
        </w:rPr>
      </w:pPr>
      <w:r w:rsidRPr="00A82AD5">
        <w:rPr>
          <w:rFonts w:cstheme="minorHAnsi"/>
          <w:i/>
          <w:u w:val="single"/>
        </w:rPr>
        <w:t>Clinical trial of oral vinorelbine to treat women with ectopic pregnancy</w:t>
      </w:r>
    </w:p>
    <w:p w14:paraId="52CD804E" w14:textId="31BBA199" w:rsidR="00F97C7F" w:rsidRDefault="00A82AD5" w:rsidP="00F97C7F">
      <w:pPr>
        <w:pBdr>
          <w:top w:val="single" w:sz="4" w:space="1" w:color="auto"/>
          <w:left w:val="single" w:sz="4" w:space="4" w:color="auto"/>
          <w:bottom w:val="single" w:sz="4" w:space="1" w:color="auto"/>
          <w:right w:val="single" w:sz="4" w:space="4" w:color="auto"/>
        </w:pBdr>
        <w:rPr>
          <w:rFonts w:cstheme="minorHAnsi"/>
        </w:rPr>
      </w:pPr>
      <w:r>
        <w:rPr>
          <w:rFonts w:cstheme="minorHAnsi"/>
        </w:rPr>
        <w:t xml:space="preserve">Health and Disability Ethics Committee project number </w:t>
      </w:r>
      <w:r w:rsidR="00F97C7F">
        <w:rPr>
          <w:rFonts w:cstheme="minorHAnsi"/>
        </w:rPr>
        <w:t>–</w:t>
      </w:r>
      <w:r w:rsidR="00260CB2">
        <w:rPr>
          <w:rFonts w:cstheme="minorHAnsi"/>
        </w:rPr>
        <w:t>17/CEN/155</w:t>
      </w:r>
    </w:p>
    <w:p w14:paraId="54DFB4A9" w14:textId="44471260" w:rsidR="00F97C7F" w:rsidRPr="000333F7" w:rsidRDefault="00F97C7F" w:rsidP="00F97C7F">
      <w:pPr>
        <w:pBdr>
          <w:top w:val="single" w:sz="4" w:space="1" w:color="auto"/>
          <w:left w:val="single" w:sz="4" w:space="4" w:color="auto"/>
          <w:bottom w:val="single" w:sz="4" w:space="1" w:color="auto"/>
          <w:right w:val="single" w:sz="4" w:space="4" w:color="auto"/>
        </w:pBdr>
        <w:tabs>
          <w:tab w:val="right" w:pos="9026"/>
        </w:tabs>
        <w:rPr>
          <w:rFonts w:cstheme="minorHAnsi"/>
        </w:rPr>
      </w:pPr>
      <w:r w:rsidRPr="00571F7C">
        <w:rPr>
          <w:rFonts w:cstheme="minorHAnsi"/>
        </w:rPr>
        <w:t>Australian</w:t>
      </w:r>
      <w:r>
        <w:rPr>
          <w:rFonts w:cstheme="minorHAnsi"/>
          <w:i/>
        </w:rPr>
        <w:t xml:space="preserve"> </w:t>
      </w:r>
      <w:r w:rsidRPr="00571F7C">
        <w:rPr>
          <w:rFonts w:cstheme="minorHAnsi"/>
        </w:rPr>
        <w:t>and New Zealand Clinical Trials Registry (</w:t>
      </w:r>
      <w:r w:rsidRPr="00B05FFC">
        <w:rPr>
          <w:rFonts w:cstheme="minorHAnsi"/>
        </w:rPr>
        <w:t>ANZCTR</w:t>
      </w:r>
      <w:r>
        <w:rPr>
          <w:rFonts w:cstheme="minorHAnsi"/>
        </w:rPr>
        <w:t>)</w:t>
      </w:r>
      <w:r w:rsidRPr="00B05FFC">
        <w:rPr>
          <w:rFonts w:cstheme="minorHAnsi"/>
        </w:rPr>
        <w:t xml:space="preserve"> number</w:t>
      </w:r>
      <w:r>
        <w:rPr>
          <w:rFonts w:cstheme="minorHAnsi"/>
        </w:rPr>
        <w:t xml:space="preserve"> - </w:t>
      </w:r>
      <w:r w:rsidR="006957DC" w:rsidRPr="006957DC">
        <w:t>ACTRN-1261-7001-1183-92p</w:t>
      </w:r>
      <w:r>
        <w:rPr>
          <w:rFonts w:cstheme="minorHAnsi"/>
        </w:rPr>
        <w:tab/>
      </w:r>
    </w:p>
    <w:p w14:paraId="2522A863" w14:textId="77777777" w:rsidR="00B964A7" w:rsidRDefault="00B964A7" w:rsidP="00B964A7">
      <w:pPr>
        <w:jc w:val="center"/>
        <w:rPr>
          <w:rFonts w:cstheme="minorHAnsi"/>
          <w:b/>
          <w:u w:val="single"/>
        </w:rPr>
      </w:pPr>
    </w:p>
    <w:p w14:paraId="013679D1" w14:textId="77777777" w:rsidR="00B964A7" w:rsidRDefault="00B964A7" w:rsidP="00B964A7">
      <w:pPr>
        <w:rPr>
          <w:rFonts w:cstheme="minorHAnsi"/>
        </w:rPr>
      </w:pPr>
    </w:p>
    <w:p w14:paraId="21EBFC5A" w14:textId="77777777" w:rsidR="00B964A7" w:rsidRDefault="00B964A7" w:rsidP="00B964A7">
      <w:pPr>
        <w:rPr>
          <w:rFonts w:cstheme="minorHAnsi"/>
        </w:rPr>
      </w:pPr>
    </w:p>
    <w:p w14:paraId="753CCFBA" w14:textId="77777777" w:rsidR="00B964A7" w:rsidRDefault="00B964A7" w:rsidP="00B964A7">
      <w:pPr>
        <w:rPr>
          <w:rFonts w:cstheme="minorHAnsi"/>
        </w:rPr>
      </w:pPr>
    </w:p>
    <w:p w14:paraId="38F9FF68" w14:textId="77777777" w:rsidR="00B964A7" w:rsidRPr="00646B6F" w:rsidRDefault="00B964A7" w:rsidP="00B964A7">
      <w:pPr>
        <w:rPr>
          <w:rFonts w:cstheme="minorHAnsi"/>
        </w:rPr>
      </w:pPr>
      <w:r>
        <w:rPr>
          <w:rFonts w:cstheme="minorHAnsi"/>
          <w:b/>
        </w:rPr>
        <w:br w:type="page"/>
      </w:r>
    </w:p>
    <w:p w14:paraId="69C7F924" w14:textId="77777777" w:rsidR="00B964A7" w:rsidRDefault="00B964A7" w:rsidP="00446E96">
      <w:pPr>
        <w:pStyle w:val="Heading1"/>
        <w:rPr>
          <w:rFonts w:asciiTheme="minorHAnsi" w:hAnsiTheme="minorHAnsi" w:cstheme="minorHAnsi"/>
          <w:color w:val="000000" w:themeColor="text1"/>
          <w:sz w:val="22"/>
          <w:szCs w:val="22"/>
        </w:rPr>
      </w:pPr>
      <w:bookmarkStart w:id="5" w:name="_Toc473873051"/>
      <w:bookmarkStart w:id="6" w:name="_Toc489888039"/>
      <w:r w:rsidRPr="00446E96">
        <w:rPr>
          <w:rFonts w:asciiTheme="minorHAnsi" w:hAnsiTheme="minorHAnsi" w:cstheme="minorHAnsi"/>
          <w:color w:val="000000" w:themeColor="text1"/>
          <w:sz w:val="22"/>
          <w:szCs w:val="22"/>
        </w:rPr>
        <w:lastRenderedPageBreak/>
        <w:t>LIST OF ABBREVIATIONS</w:t>
      </w:r>
      <w:bookmarkEnd w:id="5"/>
      <w:bookmarkEnd w:id="6"/>
    </w:p>
    <w:p w14:paraId="37ADDB68" w14:textId="77777777" w:rsidR="00446E96" w:rsidRPr="00446E96" w:rsidRDefault="00446E96" w:rsidP="00446E9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7433"/>
      </w:tblGrid>
      <w:tr w:rsidR="00B964A7" w:rsidRPr="00B05FFC" w14:paraId="39EB720C" w14:textId="77777777" w:rsidTr="00B964A7">
        <w:tc>
          <w:tcPr>
            <w:tcW w:w="1809" w:type="dxa"/>
            <w:vAlign w:val="center"/>
          </w:tcPr>
          <w:p w14:paraId="23C6EBE4" w14:textId="77777777" w:rsidR="00B964A7" w:rsidRPr="009B06EF" w:rsidRDefault="00B964A7" w:rsidP="00B964A7">
            <w:pPr>
              <w:rPr>
                <w:rFonts w:cstheme="minorHAnsi"/>
              </w:rPr>
            </w:pPr>
            <w:r w:rsidRPr="009B06EF">
              <w:rPr>
                <w:rFonts w:cstheme="minorHAnsi"/>
              </w:rPr>
              <w:t>ADR</w:t>
            </w:r>
          </w:p>
        </w:tc>
        <w:tc>
          <w:tcPr>
            <w:tcW w:w="7433" w:type="dxa"/>
            <w:vAlign w:val="center"/>
          </w:tcPr>
          <w:p w14:paraId="21544BC4" w14:textId="77777777" w:rsidR="00B964A7" w:rsidRPr="009B06EF" w:rsidRDefault="00B964A7" w:rsidP="00B964A7">
            <w:pPr>
              <w:rPr>
                <w:rFonts w:cstheme="minorHAnsi"/>
              </w:rPr>
            </w:pPr>
            <w:r w:rsidRPr="009B06EF">
              <w:rPr>
                <w:rFonts w:cstheme="minorHAnsi"/>
              </w:rPr>
              <w:t>Adverse Drug Reaction</w:t>
            </w:r>
          </w:p>
        </w:tc>
      </w:tr>
      <w:tr w:rsidR="00B964A7" w:rsidRPr="00B05FFC" w14:paraId="5AC71B98" w14:textId="77777777" w:rsidTr="00B964A7">
        <w:tc>
          <w:tcPr>
            <w:tcW w:w="1809" w:type="dxa"/>
            <w:vAlign w:val="center"/>
          </w:tcPr>
          <w:p w14:paraId="18831A04" w14:textId="77777777" w:rsidR="00B964A7" w:rsidRPr="009B06EF" w:rsidRDefault="00B964A7" w:rsidP="00B964A7">
            <w:pPr>
              <w:rPr>
                <w:rFonts w:cstheme="minorHAnsi"/>
              </w:rPr>
            </w:pPr>
            <w:r w:rsidRPr="009B06EF">
              <w:rPr>
                <w:rFonts w:cstheme="minorHAnsi"/>
              </w:rPr>
              <w:t>AE</w:t>
            </w:r>
          </w:p>
        </w:tc>
        <w:tc>
          <w:tcPr>
            <w:tcW w:w="7433" w:type="dxa"/>
            <w:vAlign w:val="center"/>
          </w:tcPr>
          <w:p w14:paraId="7889D541" w14:textId="77777777" w:rsidR="00B964A7" w:rsidRPr="009B06EF" w:rsidRDefault="00B964A7" w:rsidP="00B964A7">
            <w:pPr>
              <w:rPr>
                <w:rFonts w:cstheme="minorHAnsi"/>
              </w:rPr>
            </w:pPr>
            <w:r w:rsidRPr="009B06EF">
              <w:rPr>
                <w:rFonts w:cstheme="minorHAnsi"/>
              </w:rPr>
              <w:t>Adverse Event</w:t>
            </w:r>
          </w:p>
        </w:tc>
      </w:tr>
      <w:tr w:rsidR="00B964A7" w:rsidRPr="000A28C5" w14:paraId="5095A4F6" w14:textId="77777777" w:rsidTr="00B964A7">
        <w:tc>
          <w:tcPr>
            <w:tcW w:w="1809" w:type="dxa"/>
            <w:vAlign w:val="center"/>
          </w:tcPr>
          <w:p w14:paraId="237A6F29" w14:textId="77777777" w:rsidR="00B964A7" w:rsidRPr="009B06EF" w:rsidRDefault="00B964A7" w:rsidP="00B964A7">
            <w:pPr>
              <w:rPr>
                <w:rFonts w:cstheme="minorHAnsi"/>
              </w:rPr>
            </w:pPr>
            <w:r w:rsidRPr="009B06EF">
              <w:rPr>
                <w:rFonts w:cstheme="minorHAnsi"/>
              </w:rPr>
              <w:t>ANZCTR</w:t>
            </w:r>
          </w:p>
        </w:tc>
        <w:tc>
          <w:tcPr>
            <w:tcW w:w="7433" w:type="dxa"/>
            <w:vAlign w:val="center"/>
          </w:tcPr>
          <w:p w14:paraId="2B0742AD" w14:textId="77777777" w:rsidR="00B964A7" w:rsidRPr="009B06EF" w:rsidRDefault="00B964A7" w:rsidP="00B964A7">
            <w:pPr>
              <w:rPr>
                <w:rFonts w:cstheme="minorHAnsi"/>
              </w:rPr>
            </w:pPr>
            <w:r w:rsidRPr="009B06EF">
              <w:rPr>
                <w:rFonts w:cstheme="minorHAnsi"/>
              </w:rPr>
              <w:t>Australian and New Zealand Clinical Trials Registry</w:t>
            </w:r>
          </w:p>
        </w:tc>
      </w:tr>
      <w:tr w:rsidR="00F852BB" w:rsidRPr="00B05FFC" w14:paraId="34679404" w14:textId="77777777" w:rsidTr="00B964A7">
        <w:tc>
          <w:tcPr>
            <w:tcW w:w="1809" w:type="dxa"/>
            <w:vAlign w:val="center"/>
          </w:tcPr>
          <w:p w14:paraId="17E66176" w14:textId="77777777" w:rsidR="00F852BB" w:rsidRPr="009B06EF" w:rsidRDefault="00F852BB" w:rsidP="00B964A7">
            <w:pPr>
              <w:rPr>
                <w:rFonts w:cstheme="minorHAnsi"/>
              </w:rPr>
            </w:pPr>
            <w:r>
              <w:rPr>
                <w:rFonts w:cstheme="minorHAnsi"/>
              </w:rPr>
              <w:t>CARM</w:t>
            </w:r>
          </w:p>
        </w:tc>
        <w:tc>
          <w:tcPr>
            <w:tcW w:w="7433" w:type="dxa"/>
            <w:vAlign w:val="center"/>
          </w:tcPr>
          <w:p w14:paraId="7C35BB83" w14:textId="77777777" w:rsidR="00F852BB" w:rsidRPr="009B06EF" w:rsidRDefault="00F852BB" w:rsidP="00B964A7">
            <w:pPr>
              <w:rPr>
                <w:rFonts w:cstheme="minorHAnsi"/>
              </w:rPr>
            </w:pPr>
            <w:r>
              <w:rPr>
                <w:rFonts w:cstheme="minorHAnsi"/>
              </w:rPr>
              <w:t>Centre for Adverse Reactions Monitoring</w:t>
            </w:r>
          </w:p>
        </w:tc>
      </w:tr>
      <w:tr w:rsidR="00B964A7" w:rsidRPr="00B05FFC" w14:paraId="0B00F412" w14:textId="77777777" w:rsidTr="00B964A7">
        <w:tc>
          <w:tcPr>
            <w:tcW w:w="1809" w:type="dxa"/>
            <w:vAlign w:val="center"/>
          </w:tcPr>
          <w:p w14:paraId="04A62803" w14:textId="77777777" w:rsidR="00B964A7" w:rsidRPr="009B06EF" w:rsidRDefault="00B964A7" w:rsidP="00B964A7">
            <w:pPr>
              <w:rPr>
                <w:rFonts w:cstheme="minorHAnsi"/>
              </w:rPr>
            </w:pPr>
            <w:r w:rsidRPr="009B06EF">
              <w:rPr>
                <w:rFonts w:cstheme="minorHAnsi"/>
              </w:rPr>
              <w:t>CRF</w:t>
            </w:r>
          </w:p>
        </w:tc>
        <w:tc>
          <w:tcPr>
            <w:tcW w:w="7433" w:type="dxa"/>
            <w:vAlign w:val="center"/>
          </w:tcPr>
          <w:p w14:paraId="7559A44C" w14:textId="77777777" w:rsidR="00B964A7" w:rsidRPr="009B06EF" w:rsidRDefault="00B964A7" w:rsidP="00B964A7">
            <w:pPr>
              <w:rPr>
                <w:rFonts w:cstheme="minorHAnsi"/>
              </w:rPr>
            </w:pPr>
            <w:r w:rsidRPr="009B06EF">
              <w:rPr>
                <w:rFonts w:cstheme="minorHAnsi"/>
              </w:rPr>
              <w:t>Case Report Form</w:t>
            </w:r>
          </w:p>
        </w:tc>
      </w:tr>
      <w:tr w:rsidR="006D1751" w:rsidRPr="00B05FFC" w14:paraId="189B526B" w14:textId="77777777" w:rsidTr="00B964A7">
        <w:tc>
          <w:tcPr>
            <w:tcW w:w="1809" w:type="dxa"/>
            <w:vAlign w:val="center"/>
          </w:tcPr>
          <w:p w14:paraId="3E9FFEC7" w14:textId="77777777" w:rsidR="006D1751" w:rsidRPr="006D1751" w:rsidRDefault="006D1751" w:rsidP="00B964A7">
            <w:pPr>
              <w:rPr>
                <w:rFonts w:cstheme="minorHAnsi"/>
              </w:rPr>
            </w:pPr>
            <w:r>
              <w:rPr>
                <w:rFonts w:cstheme="minorHAnsi"/>
              </w:rPr>
              <w:t>EPC</w:t>
            </w:r>
          </w:p>
        </w:tc>
        <w:tc>
          <w:tcPr>
            <w:tcW w:w="7433" w:type="dxa"/>
            <w:vAlign w:val="center"/>
          </w:tcPr>
          <w:p w14:paraId="1AFDE087" w14:textId="77777777" w:rsidR="006D1751" w:rsidRPr="006D1751" w:rsidRDefault="006D1751" w:rsidP="00B964A7">
            <w:pPr>
              <w:rPr>
                <w:rFonts w:cstheme="minorHAnsi"/>
              </w:rPr>
            </w:pPr>
            <w:r>
              <w:rPr>
                <w:rFonts w:cstheme="minorHAnsi"/>
              </w:rPr>
              <w:t>Early Pregnancy Clinic</w:t>
            </w:r>
          </w:p>
        </w:tc>
      </w:tr>
      <w:tr w:rsidR="00B964A7" w:rsidRPr="00B05FFC" w14:paraId="45ACF6BE" w14:textId="77777777" w:rsidTr="00B964A7">
        <w:tc>
          <w:tcPr>
            <w:tcW w:w="1809" w:type="dxa"/>
            <w:vAlign w:val="center"/>
          </w:tcPr>
          <w:p w14:paraId="19B58F44" w14:textId="77777777" w:rsidR="00B964A7" w:rsidRPr="006A5A20" w:rsidRDefault="00B964A7" w:rsidP="00B964A7">
            <w:pPr>
              <w:rPr>
                <w:rFonts w:cstheme="minorHAnsi"/>
              </w:rPr>
            </w:pPr>
            <w:r w:rsidRPr="006A5A20">
              <w:rPr>
                <w:rFonts w:cstheme="minorHAnsi"/>
              </w:rPr>
              <w:t>FBE</w:t>
            </w:r>
          </w:p>
        </w:tc>
        <w:tc>
          <w:tcPr>
            <w:tcW w:w="7433" w:type="dxa"/>
            <w:vAlign w:val="center"/>
          </w:tcPr>
          <w:p w14:paraId="6545E69D" w14:textId="77777777" w:rsidR="00B964A7" w:rsidRPr="006A5A20" w:rsidRDefault="00B964A7" w:rsidP="00B964A7">
            <w:pPr>
              <w:rPr>
                <w:rFonts w:cstheme="minorHAnsi"/>
              </w:rPr>
            </w:pPr>
            <w:r w:rsidRPr="006A5A20">
              <w:rPr>
                <w:rFonts w:cstheme="minorHAnsi"/>
              </w:rPr>
              <w:t>Full Blood Examination</w:t>
            </w:r>
          </w:p>
        </w:tc>
      </w:tr>
      <w:tr w:rsidR="00B964A7" w:rsidRPr="00B05FFC" w14:paraId="0A19CB45" w14:textId="77777777" w:rsidTr="00B964A7">
        <w:tc>
          <w:tcPr>
            <w:tcW w:w="1809" w:type="dxa"/>
            <w:vAlign w:val="center"/>
          </w:tcPr>
          <w:p w14:paraId="1782AB78" w14:textId="77777777" w:rsidR="00B964A7" w:rsidRPr="00D071E2" w:rsidRDefault="00B964A7" w:rsidP="00B964A7">
            <w:pPr>
              <w:rPr>
                <w:rFonts w:cstheme="minorHAnsi"/>
              </w:rPr>
            </w:pPr>
            <w:r w:rsidRPr="00D071E2">
              <w:rPr>
                <w:rFonts w:cstheme="minorHAnsi"/>
              </w:rPr>
              <w:t>GCP</w:t>
            </w:r>
          </w:p>
        </w:tc>
        <w:tc>
          <w:tcPr>
            <w:tcW w:w="7433" w:type="dxa"/>
            <w:vAlign w:val="center"/>
          </w:tcPr>
          <w:p w14:paraId="0AF8E946" w14:textId="77777777" w:rsidR="00B964A7" w:rsidRPr="00D071E2" w:rsidRDefault="00B964A7" w:rsidP="00B964A7">
            <w:pPr>
              <w:rPr>
                <w:rFonts w:cstheme="minorHAnsi"/>
              </w:rPr>
            </w:pPr>
            <w:r w:rsidRPr="00D071E2">
              <w:rPr>
                <w:rFonts w:cstheme="minorHAnsi"/>
              </w:rPr>
              <w:t>Good Clinical Practice</w:t>
            </w:r>
          </w:p>
        </w:tc>
      </w:tr>
      <w:tr w:rsidR="009A1E7D" w:rsidRPr="00B05FFC" w14:paraId="11AF2C57" w14:textId="77777777" w:rsidTr="00B964A7">
        <w:tc>
          <w:tcPr>
            <w:tcW w:w="1809" w:type="dxa"/>
            <w:vAlign w:val="center"/>
          </w:tcPr>
          <w:p w14:paraId="1A97C952" w14:textId="77777777" w:rsidR="009A1E7D" w:rsidRPr="009A1E7D" w:rsidRDefault="009A1E7D" w:rsidP="00B964A7">
            <w:pPr>
              <w:rPr>
                <w:rFonts w:cstheme="minorHAnsi"/>
              </w:rPr>
            </w:pPr>
            <w:r>
              <w:rPr>
                <w:rFonts w:cstheme="minorHAnsi"/>
              </w:rPr>
              <w:t>hCG</w:t>
            </w:r>
          </w:p>
        </w:tc>
        <w:tc>
          <w:tcPr>
            <w:tcW w:w="7433" w:type="dxa"/>
            <w:vAlign w:val="center"/>
          </w:tcPr>
          <w:p w14:paraId="4C130B8E" w14:textId="77777777" w:rsidR="009A1E7D" w:rsidRPr="009A1E7D" w:rsidRDefault="009A1E7D" w:rsidP="00B964A7">
            <w:pPr>
              <w:rPr>
                <w:rFonts w:cstheme="minorHAnsi"/>
              </w:rPr>
            </w:pPr>
            <w:r>
              <w:rPr>
                <w:rFonts w:cstheme="minorHAnsi"/>
              </w:rPr>
              <w:t>Human Chorionic Gonadotrophin</w:t>
            </w:r>
          </w:p>
        </w:tc>
      </w:tr>
      <w:tr w:rsidR="00B964A7" w:rsidRPr="00B05FFC" w14:paraId="622AD5F8" w14:textId="77777777" w:rsidTr="00B964A7">
        <w:tc>
          <w:tcPr>
            <w:tcW w:w="1809" w:type="dxa"/>
            <w:vAlign w:val="center"/>
          </w:tcPr>
          <w:p w14:paraId="0844D2B6" w14:textId="77777777" w:rsidR="00B964A7" w:rsidRPr="00D071E2" w:rsidRDefault="00D071E2" w:rsidP="00B964A7">
            <w:pPr>
              <w:rPr>
                <w:rFonts w:cstheme="minorHAnsi"/>
              </w:rPr>
            </w:pPr>
            <w:r w:rsidRPr="00D071E2">
              <w:rPr>
                <w:rFonts w:cstheme="minorHAnsi"/>
              </w:rPr>
              <w:t>HD</w:t>
            </w:r>
            <w:r w:rsidR="00B964A7" w:rsidRPr="00D071E2">
              <w:rPr>
                <w:rFonts w:cstheme="minorHAnsi"/>
              </w:rPr>
              <w:t>EC</w:t>
            </w:r>
          </w:p>
        </w:tc>
        <w:tc>
          <w:tcPr>
            <w:tcW w:w="7433" w:type="dxa"/>
            <w:vAlign w:val="center"/>
          </w:tcPr>
          <w:p w14:paraId="53544012" w14:textId="77777777" w:rsidR="00B964A7" w:rsidRPr="00D071E2" w:rsidRDefault="00D071E2" w:rsidP="00B964A7">
            <w:pPr>
              <w:rPr>
                <w:rFonts w:cstheme="minorHAnsi"/>
              </w:rPr>
            </w:pPr>
            <w:r w:rsidRPr="00D071E2">
              <w:rPr>
                <w:rFonts w:cstheme="minorHAnsi"/>
              </w:rPr>
              <w:t>Health and Disability Ethics Committees</w:t>
            </w:r>
          </w:p>
        </w:tc>
      </w:tr>
      <w:tr w:rsidR="00B964A7" w:rsidRPr="00B05FFC" w14:paraId="56CA1B73" w14:textId="77777777" w:rsidTr="00B964A7">
        <w:tc>
          <w:tcPr>
            <w:tcW w:w="1809" w:type="dxa"/>
            <w:vAlign w:val="center"/>
          </w:tcPr>
          <w:p w14:paraId="205F665C" w14:textId="77777777" w:rsidR="00B964A7" w:rsidRPr="00A0146D" w:rsidRDefault="00B964A7" w:rsidP="00B964A7">
            <w:pPr>
              <w:rPr>
                <w:rFonts w:cstheme="minorHAnsi"/>
              </w:rPr>
            </w:pPr>
            <w:r w:rsidRPr="00A0146D">
              <w:rPr>
                <w:rFonts w:cstheme="minorHAnsi"/>
              </w:rPr>
              <w:t>IB</w:t>
            </w:r>
          </w:p>
        </w:tc>
        <w:tc>
          <w:tcPr>
            <w:tcW w:w="7433" w:type="dxa"/>
            <w:vAlign w:val="center"/>
          </w:tcPr>
          <w:p w14:paraId="06E6940B" w14:textId="77777777" w:rsidR="00B964A7" w:rsidRPr="00A0146D" w:rsidRDefault="00B964A7" w:rsidP="00B964A7">
            <w:pPr>
              <w:rPr>
                <w:rFonts w:cstheme="minorHAnsi"/>
              </w:rPr>
            </w:pPr>
            <w:r w:rsidRPr="00A0146D">
              <w:rPr>
                <w:rFonts w:cstheme="minorHAnsi"/>
              </w:rPr>
              <w:t>Investigator’s Brochure</w:t>
            </w:r>
          </w:p>
        </w:tc>
      </w:tr>
      <w:tr w:rsidR="00B964A7" w:rsidRPr="00B05FFC" w14:paraId="0CD4E17E" w14:textId="77777777" w:rsidTr="00B964A7">
        <w:tc>
          <w:tcPr>
            <w:tcW w:w="1809" w:type="dxa"/>
            <w:vAlign w:val="center"/>
          </w:tcPr>
          <w:p w14:paraId="228BE01F" w14:textId="77777777" w:rsidR="00B964A7" w:rsidRPr="00D071E2" w:rsidRDefault="00B964A7" w:rsidP="00B964A7">
            <w:pPr>
              <w:rPr>
                <w:rFonts w:cstheme="minorHAnsi"/>
              </w:rPr>
            </w:pPr>
            <w:r w:rsidRPr="00D071E2">
              <w:rPr>
                <w:rFonts w:cstheme="minorHAnsi"/>
              </w:rPr>
              <w:t>ICH</w:t>
            </w:r>
          </w:p>
        </w:tc>
        <w:tc>
          <w:tcPr>
            <w:tcW w:w="7433" w:type="dxa"/>
            <w:vAlign w:val="center"/>
          </w:tcPr>
          <w:p w14:paraId="6B21DAD4" w14:textId="77777777" w:rsidR="00B964A7" w:rsidRPr="00D071E2" w:rsidRDefault="00B964A7" w:rsidP="00B964A7">
            <w:pPr>
              <w:rPr>
                <w:rFonts w:cstheme="minorHAnsi"/>
              </w:rPr>
            </w:pPr>
            <w:r w:rsidRPr="00D071E2">
              <w:rPr>
                <w:rFonts w:cstheme="minorHAnsi"/>
              </w:rPr>
              <w:t>International Conference on Harmonisation</w:t>
            </w:r>
          </w:p>
        </w:tc>
      </w:tr>
      <w:tr w:rsidR="00B964A7" w:rsidRPr="00B05FFC" w14:paraId="0C755EC9" w14:textId="77777777" w:rsidTr="00B964A7">
        <w:tc>
          <w:tcPr>
            <w:tcW w:w="1809" w:type="dxa"/>
            <w:vAlign w:val="center"/>
          </w:tcPr>
          <w:p w14:paraId="5DDB5698" w14:textId="77777777" w:rsidR="00B964A7" w:rsidRPr="00D071E2" w:rsidRDefault="00B964A7" w:rsidP="00B964A7">
            <w:pPr>
              <w:rPr>
                <w:rFonts w:cstheme="minorHAnsi"/>
              </w:rPr>
            </w:pPr>
            <w:r w:rsidRPr="00D071E2">
              <w:rPr>
                <w:rFonts w:cstheme="minorHAnsi"/>
              </w:rPr>
              <w:t>IMP</w:t>
            </w:r>
          </w:p>
        </w:tc>
        <w:tc>
          <w:tcPr>
            <w:tcW w:w="7433" w:type="dxa"/>
            <w:vAlign w:val="center"/>
          </w:tcPr>
          <w:p w14:paraId="4295EB6C" w14:textId="77777777" w:rsidR="00B964A7" w:rsidRPr="00D071E2" w:rsidRDefault="00B964A7" w:rsidP="00B964A7">
            <w:pPr>
              <w:rPr>
                <w:rFonts w:cstheme="minorHAnsi"/>
              </w:rPr>
            </w:pPr>
            <w:r w:rsidRPr="00D071E2">
              <w:rPr>
                <w:rFonts w:cstheme="minorHAnsi"/>
              </w:rPr>
              <w:t>Investigational Medicinal Product</w:t>
            </w:r>
          </w:p>
        </w:tc>
      </w:tr>
      <w:tr w:rsidR="00B964A7" w:rsidRPr="00B05FFC" w14:paraId="607942D4" w14:textId="77777777" w:rsidTr="00B964A7">
        <w:tc>
          <w:tcPr>
            <w:tcW w:w="1809" w:type="dxa"/>
            <w:vAlign w:val="center"/>
          </w:tcPr>
          <w:p w14:paraId="0DC2029D" w14:textId="77777777" w:rsidR="00B964A7" w:rsidRPr="00D071E2" w:rsidRDefault="00B964A7" w:rsidP="00B964A7">
            <w:pPr>
              <w:rPr>
                <w:rFonts w:cstheme="minorHAnsi"/>
              </w:rPr>
            </w:pPr>
            <w:r w:rsidRPr="00D071E2">
              <w:rPr>
                <w:rFonts w:cstheme="minorHAnsi"/>
              </w:rPr>
              <w:t>ISF</w:t>
            </w:r>
          </w:p>
        </w:tc>
        <w:tc>
          <w:tcPr>
            <w:tcW w:w="7433" w:type="dxa"/>
            <w:vAlign w:val="center"/>
          </w:tcPr>
          <w:p w14:paraId="66EB0059" w14:textId="77777777" w:rsidR="00B964A7" w:rsidRPr="00D071E2" w:rsidRDefault="00B964A7" w:rsidP="00B964A7">
            <w:pPr>
              <w:rPr>
                <w:rFonts w:cstheme="minorHAnsi"/>
              </w:rPr>
            </w:pPr>
            <w:r w:rsidRPr="00D071E2">
              <w:rPr>
                <w:rFonts w:cstheme="minorHAnsi"/>
              </w:rPr>
              <w:t>Investigator Site File</w:t>
            </w:r>
          </w:p>
        </w:tc>
      </w:tr>
      <w:tr w:rsidR="001F14F1" w:rsidRPr="00B05FFC" w14:paraId="1E582C65" w14:textId="77777777" w:rsidTr="00B964A7">
        <w:tc>
          <w:tcPr>
            <w:tcW w:w="1809" w:type="dxa"/>
            <w:vAlign w:val="center"/>
          </w:tcPr>
          <w:p w14:paraId="0C1D7FBE" w14:textId="37ABCFB2" w:rsidR="001F14F1" w:rsidRDefault="001F14F1" w:rsidP="00B964A7">
            <w:pPr>
              <w:rPr>
                <w:rFonts w:cstheme="minorHAnsi"/>
              </w:rPr>
            </w:pPr>
            <w:r>
              <w:rPr>
                <w:rFonts w:cstheme="minorHAnsi"/>
              </w:rPr>
              <w:t>IVF</w:t>
            </w:r>
          </w:p>
        </w:tc>
        <w:tc>
          <w:tcPr>
            <w:tcW w:w="7433" w:type="dxa"/>
            <w:vAlign w:val="center"/>
          </w:tcPr>
          <w:p w14:paraId="62BA40E3" w14:textId="554BB18F" w:rsidR="001F14F1" w:rsidRPr="006A5A20" w:rsidRDefault="001F14F1" w:rsidP="00B964A7">
            <w:pPr>
              <w:rPr>
                <w:rFonts w:cstheme="minorHAnsi"/>
              </w:rPr>
            </w:pPr>
            <w:r>
              <w:rPr>
                <w:rFonts w:cstheme="minorHAnsi"/>
              </w:rPr>
              <w:t>In vitro fertilisation</w:t>
            </w:r>
          </w:p>
        </w:tc>
      </w:tr>
      <w:tr w:rsidR="00B964A7" w:rsidRPr="00B05FFC" w14:paraId="5FAB8EF2" w14:textId="77777777" w:rsidTr="00B964A7">
        <w:tc>
          <w:tcPr>
            <w:tcW w:w="1809" w:type="dxa"/>
            <w:vAlign w:val="center"/>
          </w:tcPr>
          <w:p w14:paraId="27059975" w14:textId="77777777" w:rsidR="00B964A7" w:rsidRPr="006A5A20" w:rsidRDefault="00132291" w:rsidP="00B964A7">
            <w:pPr>
              <w:rPr>
                <w:rFonts w:cstheme="minorHAnsi"/>
              </w:rPr>
            </w:pPr>
            <w:r>
              <w:rPr>
                <w:rFonts w:cstheme="minorHAnsi"/>
              </w:rPr>
              <w:t>LFT/</w:t>
            </w:r>
            <w:r w:rsidR="00B964A7" w:rsidRPr="006A5A20">
              <w:rPr>
                <w:rFonts w:cstheme="minorHAnsi"/>
              </w:rPr>
              <w:t>LFTs</w:t>
            </w:r>
          </w:p>
        </w:tc>
        <w:tc>
          <w:tcPr>
            <w:tcW w:w="7433" w:type="dxa"/>
            <w:vAlign w:val="center"/>
          </w:tcPr>
          <w:p w14:paraId="1CDCDA33" w14:textId="77777777" w:rsidR="00B964A7" w:rsidRPr="006A5A20" w:rsidRDefault="00B964A7" w:rsidP="00B964A7">
            <w:pPr>
              <w:rPr>
                <w:rFonts w:cstheme="minorHAnsi"/>
              </w:rPr>
            </w:pPr>
            <w:r w:rsidRPr="006A5A20">
              <w:rPr>
                <w:rFonts w:cstheme="minorHAnsi"/>
              </w:rPr>
              <w:t>Liver Function Tests</w:t>
            </w:r>
          </w:p>
        </w:tc>
      </w:tr>
      <w:tr w:rsidR="001435FE" w:rsidRPr="00B05FFC" w14:paraId="5CD76300" w14:textId="77777777" w:rsidTr="00B964A7">
        <w:tc>
          <w:tcPr>
            <w:tcW w:w="1809" w:type="dxa"/>
            <w:vAlign w:val="center"/>
          </w:tcPr>
          <w:p w14:paraId="5397D180" w14:textId="77777777" w:rsidR="001435FE" w:rsidRPr="001435FE" w:rsidRDefault="001435FE" w:rsidP="00B964A7">
            <w:pPr>
              <w:rPr>
                <w:rFonts w:cstheme="minorHAnsi"/>
                <w:color w:val="000000" w:themeColor="text1"/>
              </w:rPr>
            </w:pPr>
            <w:r>
              <w:rPr>
                <w:rFonts w:cstheme="minorHAnsi"/>
                <w:color w:val="000000" w:themeColor="text1"/>
              </w:rPr>
              <w:t>NSH</w:t>
            </w:r>
          </w:p>
        </w:tc>
        <w:tc>
          <w:tcPr>
            <w:tcW w:w="7433" w:type="dxa"/>
            <w:vAlign w:val="center"/>
          </w:tcPr>
          <w:p w14:paraId="024CF172" w14:textId="77777777" w:rsidR="001435FE" w:rsidRPr="001435FE" w:rsidRDefault="001435FE" w:rsidP="00B964A7">
            <w:pPr>
              <w:rPr>
                <w:rFonts w:cstheme="minorHAnsi"/>
                <w:color w:val="000000" w:themeColor="text1"/>
              </w:rPr>
            </w:pPr>
            <w:r>
              <w:rPr>
                <w:rFonts w:cstheme="minorHAnsi"/>
                <w:color w:val="000000" w:themeColor="text1"/>
              </w:rPr>
              <w:t>North Shore Hospital</w:t>
            </w:r>
          </w:p>
        </w:tc>
      </w:tr>
      <w:tr w:rsidR="00CC6CC6" w:rsidRPr="00B05FFC" w14:paraId="210554D6" w14:textId="77777777" w:rsidTr="00B964A7">
        <w:tc>
          <w:tcPr>
            <w:tcW w:w="1809" w:type="dxa"/>
            <w:vAlign w:val="center"/>
          </w:tcPr>
          <w:p w14:paraId="4DFDE6DF" w14:textId="77777777" w:rsidR="00CC6CC6" w:rsidRPr="004259FC" w:rsidRDefault="00CC6CC6" w:rsidP="00B964A7">
            <w:pPr>
              <w:rPr>
                <w:rFonts w:cstheme="minorHAnsi"/>
              </w:rPr>
            </w:pPr>
            <w:r>
              <w:rPr>
                <w:rFonts w:cstheme="minorHAnsi"/>
              </w:rPr>
              <w:t>NZNPC</w:t>
            </w:r>
          </w:p>
        </w:tc>
        <w:tc>
          <w:tcPr>
            <w:tcW w:w="7433" w:type="dxa"/>
            <w:vAlign w:val="center"/>
          </w:tcPr>
          <w:p w14:paraId="208ECAC3" w14:textId="77777777" w:rsidR="00CC6CC6" w:rsidRPr="004259FC" w:rsidRDefault="00CC6CC6" w:rsidP="00B964A7">
            <w:pPr>
              <w:rPr>
                <w:rFonts w:cstheme="minorHAnsi"/>
              </w:rPr>
            </w:pPr>
            <w:r>
              <w:rPr>
                <w:rFonts w:cstheme="minorHAnsi"/>
              </w:rPr>
              <w:t>New Zealand National Poisons Centre</w:t>
            </w:r>
          </w:p>
        </w:tc>
      </w:tr>
      <w:tr w:rsidR="004259FC" w:rsidRPr="00B05FFC" w14:paraId="18294CD3" w14:textId="77777777" w:rsidTr="00B964A7">
        <w:tc>
          <w:tcPr>
            <w:tcW w:w="1809" w:type="dxa"/>
            <w:vAlign w:val="center"/>
          </w:tcPr>
          <w:p w14:paraId="64945FD8" w14:textId="77777777" w:rsidR="004259FC" w:rsidRPr="004259FC" w:rsidRDefault="004259FC" w:rsidP="00B964A7">
            <w:pPr>
              <w:rPr>
                <w:rFonts w:cstheme="minorHAnsi"/>
              </w:rPr>
            </w:pPr>
            <w:r w:rsidRPr="004259FC">
              <w:rPr>
                <w:rFonts w:cstheme="minorHAnsi"/>
              </w:rPr>
              <w:t>O&amp;G</w:t>
            </w:r>
          </w:p>
        </w:tc>
        <w:tc>
          <w:tcPr>
            <w:tcW w:w="7433" w:type="dxa"/>
            <w:vAlign w:val="center"/>
          </w:tcPr>
          <w:p w14:paraId="2B2DD3F6" w14:textId="77777777" w:rsidR="004259FC" w:rsidRPr="004259FC" w:rsidRDefault="004259FC" w:rsidP="00B964A7">
            <w:pPr>
              <w:rPr>
                <w:rFonts w:cstheme="minorHAnsi"/>
              </w:rPr>
            </w:pPr>
            <w:r w:rsidRPr="004259FC">
              <w:rPr>
                <w:rFonts w:cstheme="minorHAnsi"/>
              </w:rPr>
              <w:t>Obstetrics and Gynaecology</w:t>
            </w:r>
          </w:p>
        </w:tc>
      </w:tr>
      <w:tr w:rsidR="00B964A7" w:rsidRPr="00B05FFC" w14:paraId="451BCB98" w14:textId="77777777" w:rsidTr="00B964A7">
        <w:tc>
          <w:tcPr>
            <w:tcW w:w="1809" w:type="dxa"/>
            <w:vAlign w:val="center"/>
          </w:tcPr>
          <w:p w14:paraId="037506EF" w14:textId="77777777" w:rsidR="00B964A7" w:rsidRPr="009B06EF" w:rsidRDefault="00B964A7" w:rsidP="00B964A7">
            <w:pPr>
              <w:rPr>
                <w:rFonts w:cstheme="minorHAnsi"/>
              </w:rPr>
            </w:pPr>
            <w:r w:rsidRPr="009B06EF">
              <w:rPr>
                <w:rFonts w:cstheme="minorHAnsi"/>
              </w:rPr>
              <w:t>PI</w:t>
            </w:r>
          </w:p>
        </w:tc>
        <w:tc>
          <w:tcPr>
            <w:tcW w:w="7433" w:type="dxa"/>
            <w:vAlign w:val="center"/>
          </w:tcPr>
          <w:p w14:paraId="3B97AEDB" w14:textId="77777777" w:rsidR="00B964A7" w:rsidRPr="009B06EF" w:rsidRDefault="00B964A7" w:rsidP="00B964A7">
            <w:pPr>
              <w:rPr>
                <w:rFonts w:cstheme="minorHAnsi"/>
              </w:rPr>
            </w:pPr>
            <w:r w:rsidRPr="009B06EF">
              <w:rPr>
                <w:rFonts w:cstheme="minorHAnsi"/>
              </w:rPr>
              <w:t>Principal Investigator</w:t>
            </w:r>
          </w:p>
        </w:tc>
      </w:tr>
      <w:tr w:rsidR="00B964A7" w:rsidRPr="00B05FFC" w14:paraId="47232796" w14:textId="77777777" w:rsidTr="00B964A7">
        <w:tc>
          <w:tcPr>
            <w:tcW w:w="1809" w:type="dxa"/>
            <w:vAlign w:val="center"/>
          </w:tcPr>
          <w:p w14:paraId="565E5D5C" w14:textId="77777777" w:rsidR="00B964A7" w:rsidRPr="009B06EF" w:rsidRDefault="00B964A7" w:rsidP="00B964A7">
            <w:pPr>
              <w:rPr>
                <w:rFonts w:cstheme="minorHAnsi"/>
              </w:rPr>
            </w:pPr>
            <w:r w:rsidRPr="009B06EF">
              <w:rPr>
                <w:rFonts w:cstheme="minorHAnsi"/>
              </w:rPr>
              <w:t>PICF</w:t>
            </w:r>
          </w:p>
        </w:tc>
        <w:tc>
          <w:tcPr>
            <w:tcW w:w="7433" w:type="dxa"/>
            <w:vAlign w:val="center"/>
          </w:tcPr>
          <w:p w14:paraId="7D3075C6" w14:textId="77777777" w:rsidR="00B964A7" w:rsidRPr="009B06EF" w:rsidRDefault="00B964A7" w:rsidP="00B964A7">
            <w:pPr>
              <w:rPr>
                <w:rFonts w:cstheme="minorHAnsi"/>
              </w:rPr>
            </w:pPr>
            <w:r w:rsidRPr="009B06EF">
              <w:rPr>
                <w:rFonts w:cstheme="minorHAnsi"/>
              </w:rPr>
              <w:t>Patient Information and Consent</w:t>
            </w:r>
            <w:r w:rsidR="00974DAC">
              <w:rPr>
                <w:rFonts w:cstheme="minorHAnsi"/>
              </w:rPr>
              <w:t xml:space="preserve"> Form</w:t>
            </w:r>
          </w:p>
        </w:tc>
      </w:tr>
      <w:tr w:rsidR="00705FEF" w:rsidRPr="00B05FFC" w14:paraId="7A5CE826" w14:textId="77777777" w:rsidTr="00B964A7">
        <w:tc>
          <w:tcPr>
            <w:tcW w:w="1809" w:type="dxa"/>
            <w:vAlign w:val="center"/>
          </w:tcPr>
          <w:p w14:paraId="2AB28CAC" w14:textId="77777777" w:rsidR="00705FEF" w:rsidRPr="009B06EF" w:rsidRDefault="00705FEF" w:rsidP="00B964A7">
            <w:pPr>
              <w:rPr>
                <w:rFonts w:cstheme="minorHAnsi"/>
              </w:rPr>
            </w:pPr>
            <w:r>
              <w:rPr>
                <w:rFonts w:cstheme="minorHAnsi"/>
              </w:rPr>
              <w:t>PID</w:t>
            </w:r>
          </w:p>
        </w:tc>
        <w:tc>
          <w:tcPr>
            <w:tcW w:w="7433" w:type="dxa"/>
            <w:vAlign w:val="center"/>
          </w:tcPr>
          <w:p w14:paraId="1ECB5A88" w14:textId="77777777" w:rsidR="00705FEF" w:rsidRPr="009B06EF" w:rsidRDefault="00705FEF" w:rsidP="00B964A7">
            <w:pPr>
              <w:rPr>
                <w:rFonts w:cstheme="minorHAnsi"/>
              </w:rPr>
            </w:pPr>
            <w:r>
              <w:rPr>
                <w:rFonts w:cstheme="minorHAnsi"/>
              </w:rPr>
              <w:t>Pelvic Inflammatory Disease</w:t>
            </w:r>
          </w:p>
        </w:tc>
      </w:tr>
      <w:tr w:rsidR="00B964A7" w:rsidRPr="00B05FFC" w14:paraId="720487C8" w14:textId="77777777" w:rsidTr="00B964A7">
        <w:tc>
          <w:tcPr>
            <w:tcW w:w="1809" w:type="dxa"/>
            <w:vAlign w:val="center"/>
          </w:tcPr>
          <w:p w14:paraId="5942E45A" w14:textId="77777777" w:rsidR="00B964A7" w:rsidRPr="009B06EF" w:rsidRDefault="00B964A7" w:rsidP="00B964A7">
            <w:pPr>
              <w:rPr>
                <w:rFonts w:cstheme="minorHAnsi"/>
              </w:rPr>
            </w:pPr>
            <w:r w:rsidRPr="009B06EF">
              <w:rPr>
                <w:rFonts w:cstheme="minorHAnsi"/>
              </w:rPr>
              <w:t>SAE</w:t>
            </w:r>
          </w:p>
        </w:tc>
        <w:tc>
          <w:tcPr>
            <w:tcW w:w="7433" w:type="dxa"/>
            <w:vAlign w:val="center"/>
          </w:tcPr>
          <w:p w14:paraId="763F35EC" w14:textId="77777777" w:rsidR="00B964A7" w:rsidRPr="009B06EF" w:rsidRDefault="00B964A7" w:rsidP="00B964A7">
            <w:pPr>
              <w:rPr>
                <w:rFonts w:cstheme="minorHAnsi"/>
              </w:rPr>
            </w:pPr>
            <w:r w:rsidRPr="009B06EF">
              <w:rPr>
                <w:rFonts w:cstheme="minorHAnsi"/>
              </w:rPr>
              <w:t>Serious Adverse Event</w:t>
            </w:r>
          </w:p>
        </w:tc>
      </w:tr>
      <w:tr w:rsidR="00B964A7" w:rsidRPr="00B05FFC" w14:paraId="4DB2BB49" w14:textId="77777777" w:rsidTr="00B964A7">
        <w:tc>
          <w:tcPr>
            <w:tcW w:w="1809" w:type="dxa"/>
            <w:vAlign w:val="center"/>
          </w:tcPr>
          <w:p w14:paraId="32D9F6F9" w14:textId="77777777" w:rsidR="00B964A7" w:rsidRPr="009B06EF" w:rsidRDefault="00B964A7" w:rsidP="00B964A7">
            <w:pPr>
              <w:rPr>
                <w:rFonts w:cstheme="minorHAnsi"/>
              </w:rPr>
            </w:pPr>
            <w:r w:rsidRPr="009B06EF">
              <w:rPr>
                <w:rFonts w:cstheme="minorHAnsi"/>
              </w:rPr>
              <w:t>SADR</w:t>
            </w:r>
          </w:p>
        </w:tc>
        <w:tc>
          <w:tcPr>
            <w:tcW w:w="7433" w:type="dxa"/>
            <w:vAlign w:val="center"/>
          </w:tcPr>
          <w:p w14:paraId="6EE476E9" w14:textId="77777777" w:rsidR="00B964A7" w:rsidRPr="009B06EF" w:rsidRDefault="00B964A7" w:rsidP="00B964A7">
            <w:pPr>
              <w:rPr>
                <w:rFonts w:cstheme="minorHAnsi"/>
              </w:rPr>
            </w:pPr>
            <w:r w:rsidRPr="009B06EF">
              <w:rPr>
                <w:rFonts w:cstheme="minorHAnsi"/>
              </w:rPr>
              <w:t>Serious Adverse Drug Reaction</w:t>
            </w:r>
          </w:p>
        </w:tc>
      </w:tr>
      <w:tr w:rsidR="003B68D4" w:rsidRPr="00B05FFC" w14:paraId="4607CEEB" w14:textId="77777777" w:rsidTr="00B964A7">
        <w:tc>
          <w:tcPr>
            <w:tcW w:w="1809" w:type="dxa"/>
            <w:vAlign w:val="center"/>
          </w:tcPr>
          <w:p w14:paraId="5CC7B60F" w14:textId="77777777" w:rsidR="003B68D4" w:rsidRPr="009B06EF" w:rsidRDefault="003B68D4" w:rsidP="00B964A7">
            <w:pPr>
              <w:rPr>
                <w:rFonts w:cstheme="minorHAnsi"/>
              </w:rPr>
            </w:pPr>
            <w:r>
              <w:rPr>
                <w:rFonts w:cstheme="minorHAnsi"/>
              </w:rPr>
              <w:t>SCOTT</w:t>
            </w:r>
          </w:p>
        </w:tc>
        <w:tc>
          <w:tcPr>
            <w:tcW w:w="7433" w:type="dxa"/>
            <w:vAlign w:val="center"/>
          </w:tcPr>
          <w:p w14:paraId="74A055C8" w14:textId="77777777" w:rsidR="003B68D4" w:rsidRPr="009B06EF" w:rsidRDefault="003B68D4" w:rsidP="00B964A7">
            <w:pPr>
              <w:rPr>
                <w:rFonts w:cstheme="minorHAnsi"/>
              </w:rPr>
            </w:pPr>
            <w:r>
              <w:rPr>
                <w:rFonts w:cstheme="minorHAnsi"/>
              </w:rPr>
              <w:t>Standing Committee on Therapeutic Trials</w:t>
            </w:r>
          </w:p>
        </w:tc>
      </w:tr>
      <w:tr w:rsidR="009B06EF" w:rsidRPr="00B05FFC" w14:paraId="439D092F" w14:textId="77777777" w:rsidTr="00B964A7">
        <w:tc>
          <w:tcPr>
            <w:tcW w:w="1809" w:type="dxa"/>
            <w:vAlign w:val="center"/>
          </w:tcPr>
          <w:p w14:paraId="3499F18D" w14:textId="77777777" w:rsidR="009B06EF" w:rsidRPr="009B06EF" w:rsidRDefault="009B06EF" w:rsidP="00B964A7">
            <w:pPr>
              <w:rPr>
                <w:rFonts w:cstheme="minorHAnsi"/>
              </w:rPr>
            </w:pPr>
            <w:r w:rsidRPr="009B06EF">
              <w:rPr>
                <w:rFonts w:cstheme="minorHAnsi"/>
              </w:rPr>
              <w:lastRenderedPageBreak/>
              <w:t>SOP</w:t>
            </w:r>
          </w:p>
        </w:tc>
        <w:tc>
          <w:tcPr>
            <w:tcW w:w="7433" w:type="dxa"/>
            <w:vAlign w:val="center"/>
          </w:tcPr>
          <w:p w14:paraId="10D48272" w14:textId="77777777" w:rsidR="009B06EF" w:rsidRPr="009B06EF" w:rsidRDefault="009B06EF" w:rsidP="00B964A7">
            <w:pPr>
              <w:rPr>
                <w:rFonts w:cstheme="minorHAnsi"/>
              </w:rPr>
            </w:pPr>
            <w:r w:rsidRPr="009B06EF">
              <w:rPr>
                <w:rFonts w:cstheme="minorHAnsi"/>
              </w:rPr>
              <w:t>Standard Operating Procedure</w:t>
            </w:r>
          </w:p>
        </w:tc>
      </w:tr>
      <w:tr w:rsidR="00705FEF" w:rsidRPr="00B05FFC" w14:paraId="7976BB28" w14:textId="77777777" w:rsidTr="00B964A7">
        <w:tc>
          <w:tcPr>
            <w:tcW w:w="1809" w:type="dxa"/>
            <w:vAlign w:val="center"/>
          </w:tcPr>
          <w:p w14:paraId="7A762BA2" w14:textId="77777777" w:rsidR="00705FEF" w:rsidRPr="009B06EF" w:rsidRDefault="00132291" w:rsidP="00B964A7">
            <w:pPr>
              <w:rPr>
                <w:rFonts w:cstheme="minorHAnsi"/>
              </w:rPr>
            </w:pPr>
            <w:r>
              <w:rPr>
                <w:rFonts w:cstheme="minorHAnsi"/>
              </w:rPr>
              <w:t>STI/STIs</w:t>
            </w:r>
          </w:p>
        </w:tc>
        <w:tc>
          <w:tcPr>
            <w:tcW w:w="7433" w:type="dxa"/>
            <w:vAlign w:val="center"/>
          </w:tcPr>
          <w:p w14:paraId="2274E4B5" w14:textId="795497BF" w:rsidR="00705FEF" w:rsidRPr="009B06EF" w:rsidRDefault="00705FEF" w:rsidP="00B964A7">
            <w:pPr>
              <w:rPr>
                <w:rFonts w:cstheme="minorHAnsi"/>
              </w:rPr>
            </w:pPr>
            <w:r>
              <w:rPr>
                <w:rFonts w:cstheme="minorHAnsi"/>
              </w:rPr>
              <w:t>Sexually Transmitted Infection</w:t>
            </w:r>
            <w:r w:rsidR="001F14F1">
              <w:rPr>
                <w:rFonts w:cstheme="minorHAnsi"/>
              </w:rPr>
              <w:t>(</w:t>
            </w:r>
            <w:r>
              <w:rPr>
                <w:rFonts w:cstheme="minorHAnsi"/>
              </w:rPr>
              <w:t>s</w:t>
            </w:r>
            <w:r w:rsidR="001F14F1">
              <w:rPr>
                <w:rFonts w:cstheme="minorHAnsi"/>
              </w:rPr>
              <w:t>)</w:t>
            </w:r>
          </w:p>
        </w:tc>
      </w:tr>
      <w:tr w:rsidR="009B06EF" w:rsidRPr="00B05FFC" w14:paraId="6F10EDB0" w14:textId="77777777" w:rsidTr="00B964A7">
        <w:tc>
          <w:tcPr>
            <w:tcW w:w="1809" w:type="dxa"/>
            <w:vAlign w:val="center"/>
          </w:tcPr>
          <w:p w14:paraId="5AF6F1B4" w14:textId="77777777" w:rsidR="009B06EF" w:rsidRPr="009B06EF" w:rsidRDefault="009B06EF" w:rsidP="00B964A7">
            <w:pPr>
              <w:rPr>
                <w:rFonts w:cstheme="minorHAnsi"/>
              </w:rPr>
            </w:pPr>
            <w:r w:rsidRPr="009B06EF">
              <w:rPr>
                <w:rFonts w:cstheme="minorHAnsi"/>
              </w:rPr>
              <w:t>SUSAR</w:t>
            </w:r>
          </w:p>
        </w:tc>
        <w:tc>
          <w:tcPr>
            <w:tcW w:w="7433" w:type="dxa"/>
            <w:vAlign w:val="center"/>
          </w:tcPr>
          <w:p w14:paraId="4EA3701D" w14:textId="77777777" w:rsidR="009B06EF" w:rsidRPr="009B06EF" w:rsidRDefault="009B06EF" w:rsidP="00B964A7">
            <w:pPr>
              <w:rPr>
                <w:rFonts w:cstheme="minorHAnsi"/>
              </w:rPr>
            </w:pPr>
            <w:r w:rsidRPr="009B06EF">
              <w:rPr>
                <w:rFonts w:cstheme="minorHAnsi"/>
              </w:rPr>
              <w:t>Suspected Unexpected Serious Adverse Reaction</w:t>
            </w:r>
          </w:p>
        </w:tc>
      </w:tr>
      <w:tr w:rsidR="009B06EF" w:rsidRPr="00B05FFC" w14:paraId="3982D60A" w14:textId="77777777" w:rsidTr="00B964A7">
        <w:tc>
          <w:tcPr>
            <w:tcW w:w="1809" w:type="dxa"/>
            <w:vAlign w:val="center"/>
          </w:tcPr>
          <w:p w14:paraId="777B5B04" w14:textId="77777777" w:rsidR="009B06EF" w:rsidRPr="00471BF5" w:rsidRDefault="009B06EF" w:rsidP="00B964A7">
            <w:pPr>
              <w:rPr>
                <w:rFonts w:cstheme="minorHAnsi"/>
              </w:rPr>
            </w:pPr>
            <w:r w:rsidRPr="00471BF5">
              <w:rPr>
                <w:rFonts w:cstheme="minorHAnsi"/>
              </w:rPr>
              <w:t>TMF</w:t>
            </w:r>
          </w:p>
        </w:tc>
        <w:tc>
          <w:tcPr>
            <w:tcW w:w="7433" w:type="dxa"/>
            <w:vAlign w:val="center"/>
          </w:tcPr>
          <w:p w14:paraId="525F9FD0" w14:textId="77777777" w:rsidR="009B06EF" w:rsidRPr="00471BF5" w:rsidRDefault="009B06EF" w:rsidP="00B964A7">
            <w:pPr>
              <w:rPr>
                <w:rFonts w:cstheme="minorHAnsi"/>
              </w:rPr>
            </w:pPr>
            <w:r w:rsidRPr="00471BF5">
              <w:rPr>
                <w:rFonts w:cstheme="minorHAnsi"/>
              </w:rPr>
              <w:t>Trial Master File</w:t>
            </w:r>
          </w:p>
        </w:tc>
      </w:tr>
      <w:tr w:rsidR="009B06EF" w:rsidRPr="009B06EF" w14:paraId="7B71A296" w14:textId="77777777" w:rsidTr="00B964A7">
        <w:tc>
          <w:tcPr>
            <w:tcW w:w="1809" w:type="dxa"/>
            <w:vAlign w:val="center"/>
          </w:tcPr>
          <w:p w14:paraId="6B5A118D" w14:textId="77777777" w:rsidR="009B06EF" w:rsidRPr="009B06EF" w:rsidRDefault="009B06EF" w:rsidP="00B964A7">
            <w:pPr>
              <w:rPr>
                <w:rFonts w:cstheme="minorHAnsi"/>
              </w:rPr>
            </w:pPr>
            <w:r w:rsidRPr="009B06EF">
              <w:rPr>
                <w:rFonts w:cstheme="minorHAnsi"/>
              </w:rPr>
              <w:t>TSC</w:t>
            </w:r>
          </w:p>
        </w:tc>
        <w:tc>
          <w:tcPr>
            <w:tcW w:w="7433" w:type="dxa"/>
            <w:vAlign w:val="center"/>
          </w:tcPr>
          <w:p w14:paraId="796038D8" w14:textId="77777777" w:rsidR="009B06EF" w:rsidRPr="009B06EF" w:rsidRDefault="009B06EF" w:rsidP="00B964A7">
            <w:pPr>
              <w:rPr>
                <w:rFonts w:cstheme="minorHAnsi"/>
              </w:rPr>
            </w:pPr>
            <w:r w:rsidRPr="009B06EF">
              <w:rPr>
                <w:rFonts w:cstheme="minorHAnsi"/>
              </w:rPr>
              <w:t>Trial Steering Committee</w:t>
            </w:r>
          </w:p>
        </w:tc>
      </w:tr>
      <w:tr w:rsidR="009B06EF" w:rsidRPr="009B06EF" w14:paraId="30458061" w14:textId="77777777" w:rsidTr="00B964A7">
        <w:tc>
          <w:tcPr>
            <w:tcW w:w="1809" w:type="dxa"/>
            <w:vAlign w:val="center"/>
          </w:tcPr>
          <w:p w14:paraId="517758E4" w14:textId="77777777" w:rsidR="009B06EF" w:rsidRPr="009B06EF" w:rsidRDefault="009B06EF" w:rsidP="00B964A7">
            <w:pPr>
              <w:rPr>
                <w:rFonts w:cstheme="minorHAnsi"/>
              </w:rPr>
            </w:pPr>
            <w:r w:rsidRPr="009B06EF">
              <w:rPr>
                <w:rFonts w:cstheme="minorHAnsi"/>
              </w:rPr>
              <w:t>UADR</w:t>
            </w:r>
          </w:p>
        </w:tc>
        <w:tc>
          <w:tcPr>
            <w:tcW w:w="7433" w:type="dxa"/>
            <w:vAlign w:val="center"/>
          </w:tcPr>
          <w:p w14:paraId="6A99FB2B" w14:textId="77777777" w:rsidR="009B06EF" w:rsidRPr="009B06EF" w:rsidRDefault="009B06EF" w:rsidP="00B964A7">
            <w:pPr>
              <w:rPr>
                <w:rFonts w:cstheme="minorHAnsi"/>
              </w:rPr>
            </w:pPr>
            <w:r w:rsidRPr="009B06EF">
              <w:rPr>
                <w:rFonts w:cstheme="minorHAnsi"/>
              </w:rPr>
              <w:t>Unexpected Adverse Drug Reaction</w:t>
            </w:r>
          </w:p>
        </w:tc>
      </w:tr>
      <w:tr w:rsidR="009B06EF" w:rsidRPr="009B06EF" w14:paraId="0B038FED" w14:textId="77777777" w:rsidTr="00B964A7">
        <w:tc>
          <w:tcPr>
            <w:tcW w:w="1809" w:type="dxa"/>
            <w:vAlign w:val="center"/>
          </w:tcPr>
          <w:p w14:paraId="755AE852" w14:textId="77777777" w:rsidR="009B06EF" w:rsidRPr="009B06EF" w:rsidRDefault="00132291" w:rsidP="00B964A7">
            <w:pPr>
              <w:rPr>
                <w:rFonts w:cstheme="minorHAnsi"/>
              </w:rPr>
            </w:pPr>
            <w:r>
              <w:rPr>
                <w:rFonts w:cstheme="minorHAnsi"/>
              </w:rPr>
              <w:t>U&amp;E/</w:t>
            </w:r>
            <w:r w:rsidR="009B06EF" w:rsidRPr="009B06EF">
              <w:rPr>
                <w:rFonts w:cstheme="minorHAnsi"/>
              </w:rPr>
              <w:t>U&amp;Es</w:t>
            </w:r>
          </w:p>
        </w:tc>
        <w:tc>
          <w:tcPr>
            <w:tcW w:w="7433" w:type="dxa"/>
            <w:vAlign w:val="center"/>
          </w:tcPr>
          <w:p w14:paraId="3B8F7EE3" w14:textId="77777777" w:rsidR="009B06EF" w:rsidRPr="009B06EF" w:rsidRDefault="009B06EF" w:rsidP="00B964A7">
            <w:pPr>
              <w:rPr>
                <w:rFonts w:cstheme="minorHAnsi"/>
              </w:rPr>
            </w:pPr>
            <w:r w:rsidRPr="009B06EF">
              <w:rPr>
                <w:rFonts w:cstheme="minorHAnsi"/>
              </w:rPr>
              <w:t>Urea and Electrolytes</w:t>
            </w:r>
          </w:p>
        </w:tc>
      </w:tr>
    </w:tbl>
    <w:p w14:paraId="22B53930" w14:textId="77777777" w:rsidR="00667FBA" w:rsidRDefault="00667FBA" w:rsidP="00B964A7">
      <w:pPr>
        <w:pStyle w:val="Heading1"/>
        <w:rPr>
          <w:rFonts w:asciiTheme="minorHAnsi" w:hAnsiTheme="minorHAnsi" w:cstheme="minorHAnsi"/>
          <w:color w:val="000000" w:themeColor="text1"/>
          <w:sz w:val="22"/>
          <w:szCs w:val="22"/>
        </w:rPr>
      </w:pPr>
      <w:bookmarkStart w:id="7" w:name="_Toc473873052"/>
    </w:p>
    <w:p w14:paraId="1D5FA1DC" w14:textId="77777777" w:rsidR="00667FBA" w:rsidRDefault="00667FBA">
      <w:pPr>
        <w:rPr>
          <w:rFonts w:eastAsiaTheme="majorEastAsia" w:cstheme="minorHAnsi"/>
          <w:b/>
          <w:bCs/>
          <w:color w:val="000000" w:themeColor="text1"/>
        </w:rPr>
      </w:pPr>
      <w:r>
        <w:rPr>
          <w:rFonts w:cstheme="minorHAnsi"/>
          <w:color w:val="000000" w:themeColor="text1"/>
        </w:rPr>
        <w:br w:type="page"/>
      </w:r>
    </w:p>
    <w:p w14:paraId="78D129F8" w14:textId="77777777" w:rsidR="00B964A7" w:rsidRPr="00047DF2" w:rsidRDefault="00B964A7" w:rsidP="00446E96">
      <w:pPr>
        <w:pStyle w:val="Heading1"/>
        <w:rPr>
          <w:rFonts w:asciiTheme="minorHAnsi" w:hAnsiTheme="minorHAnsi" w:cstheme="minorHAnsi"/>
          <w:color w:val="000000" w:themeColor="text1"/>
          <w:sz w:val="22"/>
          <w:szCs w:val="22"/>
        </w:rPr>
      </w:pPr>
      <w:bookmarkStart w:id="8" w:name="_Toc489888040"/>
      <w:r w:rsidRPr="00B05FFC">
        <w:rPr>
          <w:rFonts w:asciiTheme="minorHAnsi" w:hAnsiTheme="minorHAnsi" w:cstheme="minorHAnsi"/>
          <w:color w:val="000000" w:themeColor="text1"/>
          <w:sz w:val="22"/>
          <w:szCs w:val="22"/>
        </w:rPr>
        <w:lastRenderedPageBreak/>
        <w:t>TRIAL SUMMARY</w:t>
      </w:r>
      <w:bookmarkEnd w:id="7"/>
      <w:bookmarkEnd w:id="8"/>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796"/>
      </w:tblGrid>
      <w:tr w:rsidR="00B964A7" w:rsidRPr="00B05FFC" w14:paraId="732A29B8" w14:textId="77777777" w:rsidTr="00B964A7">
        <w:tc>
          <w:tcPr>
            <w:tcW w:w="1668" w:type="dxa"/>
          </w:tcPr>
          <w:p w14:paraId="0B440004" w14:textId="77777777" w:rsidR="00B964A7" w:rsidRPr="00B05FFC" w:rsidRDefault="00B964A7" w:rsidP="00B964A7">
            <w:pPr>
              <w:rPr>
                <w:rFonts w:cstheme="minorHAnsi"/>
              </w:rPr>
            </w:pPr>
            <w:r w:rsidRPr="00B05FFC">
              <w:rPr>
                <w:rFonts w:cstheme="minorHAnsi"/>
              </w:rPr>
              <w:t>DESIGN:</w:t>
            </w:r>
          </w:p>
        </w:tc>
        <w:tc>
          <w:tcPr>
            <w:tcW w:w="7796" w:type="dxa"/>
          </w:tcPr>
          <w:p w14:paraId="4AC142BD" w14:textId="77777777" w:rsidR="00B964A7" w:rsidRPr="00B05FFC" w:rsidRDefault="00B964A7" w:rsidP="00794A94">
            <w:pPr>
              <w:rPr>
                <w:rFonts w:cstheme="minorHAnsi"/>
              </w:rPr>
            </w:pPr>
            <w:r>
              <w:rPr>
                <w:rFonts w:cstheme="minorHAnsi"/>
              </w:rPr>
              <w:t xml:space="preserve">An early (phase II), </w:t>
            </w:r>
            <w:r w:rsidR="004D6C73">
              <w:rPr>
                <w:rFonts w:cstheme="minorHAnsi"/>
              </w:rPr>
              <w:t xml:space="preserve">investigator-led, </w:t>
            </w:r>
            <w:r w:rsidR="00542A75">
              <w:rPr>
                <w:rFonts w:cstheme="minorHAnsi"/>
              </w:rPr>
              <w:t>unblinded, single-arm, proof-of-</w:t>
            </w:r>
            <w:r>
              <w:rPr>
                <w:rFonts w:cstheme="minorHAnsi"/>
              </w:rPr>
              <w:t>concept clin</w:t>
            </w:r>
            <w:r w:rsidR="00794A94">
              <w:rPr>
                <w:rFonts w:cstheme="minorHAnsi"/>
              </w:rPr>
              <w:t xml:space="preserve">ical trial to assess the safety, toxicity and tolerability profiles of oral vinorelbine as a treatment for women with </w:t>
            </w:r>
            <w:r w:rsidR="00C03932">
              <w:rPr>
                <w:rFonts w:cstheme="minorHAnsi"/>
              </w:rPr>
              <w:t xml:space="preserve">stable </w:t>
            </w:r>
            <w:r w:rsidR="00794A94">
              <w:rPr>
                <w:rFonts w:cstheme="minorHAnsi"/>
              </w:rPr>
              <w:t>ectopic pregnancies</w:t>
            </w:r>
          </w:p>
        </w:tc>
      </w:tr>
      <w:tr w:rsidR="00B964A7" w:rsidRPr="00B05FFC" w14:paraId="4D6854B0" w14:textId="77777777" w:rsidTr="00B964A7">
        <w:tc>
          <w:tcPr>
            <w:tcW w:w="1668" w:type="dxa"/>
          </w:tcPr>
          <w:p w14:paraId="338F689D" w14:textId="77777777" w:rsidR="00B964A7" w:rsidRPr="00B05FFC" w:rsidRDefault="00B964A7" w:rsidP="00B964A7">
            <w:pPr>
              <w:rPr>
                <w:rFonts w:cstheme="minorHAnsi"/>
              </w:rPr>
            </w:pPr>
            <w:r w:rsidRPr="00B05FFC">
              <w:rPr>
                <w:rFonts w:cstheme="minorHAnsi"/>
              </w:rPr>
              <w:t>SETTING:</w:t>
            </w:r>
          </w:p>
        </w:tc>
        <w:tc>
          <w:tcPr>
            <w:tcW w:w="7796" w:type="dxa"/>
          </w:tcPr>
          <w:p w14:paraId="1FAD10C0" w14:textId="77777777" w:rsidR="00B964A7" w:rsidRPr="00B05FFC" w:rsidRDefault="00542A75" w:rsidP="00B964A7">
            <w:pPr>
              <w:rPr>
                <w:rFonts w:cstheme="minorHAnsi"/>
              </w:rPr>
            </w:pPr>
            <w:r>
              <w:rPr>
                <w:rFonts w:cstheme="minorHAnsi"/>
              </w:rPr>
              <w:t xml:space="preserve"> A single</w:t>
            </w:r>
            <w:r w:rsidR="002D1177">
              <w:rPr>
                <w:rFonts w:cstheme="minorHAnsi"/>
              </w:rPr>
              <w:t>,</w:t>
            </w:r>
            <w:r>
              <w:rPr>
                <w:rFonts w:cstheme="minorHAnsi"/>
              </w:rPr>
              <w:t xml:space="preserve"> public hospital offering </w:t>
            </w:r>
            <w:r w:rsidR="002D42D9">
              <w:rPr>
                <w:rFonts w:cstheme="minorHAnsi"/>
              </w:rPr>
              <w:t>emergency on-call Obstetric</w:t>
            </w:r>
            <w:r w:rsidR="00160024">
              <w:rPr>
                <w:rFonts w:cstheme="minorHAnsi"/>
              </w:rPr>
              <w:t>s</w:t>
            </w:r>
            <w:r w:rsidR="002D42D9">
              <w:rPr>
                <w:rFonts w:cstheme="minorHAnsi"/>
              </w:rPr>
              <w:t xml:space="preserve"> and </w:t>
            </w:r>
            <w:r>
              <w:rPr>
                <w:rFonts w:cstheme="minorHAnsi"/>
              </w:rPr>
              <w:t>Gynaecology</w:t>
            </w:r>
            <w:r w:rsidR="004259FC">
              <w:rPr>
                <w:rFonts w:cstheme="minorHAnsi"/>
              </w:rPr>
              <w:t xml:space="preserve"> (O&amp;G)</w:t>
            </w:r>
            <w:r>
              <w:rPr>
                <w:rFonts w:cstheme="minorHAnsi"/>
              </w:rPr>
              <w:t xml:space="preserve"> services (North Shore Hospital</w:t>
            </w:r>
            <w:r w:rsidR="001435FE">
              <w:rPr>
                <w:rFonts w:cstheme="minorHAnsi"/>
              </w:rPr>
              <w:t xml:space="preserve"> (NSH)</w:t>
            </w:r>
            <w:r>
              <w:rPr>
                <w:rFonts w:cstheme="minorHAnsi"/>
              </w:rPr>
              <w:t xml:space="preserve"> -</w:t>
            </w:r>
            <w:r w:rsidR="00615CAE">
              <w:rPr>
                <w:rFonts w:cstheme="minorHAnsi"/>
              </w:rPr>
              <w:t xml:space="preserve"> Auckland</w:t>
            </w:r>
            <w:r w:rsidR="004064CE">
              <w:rPr>
                <w:rFonts w:cstheme="minorHAnsi"/>
              </w:rPr>
              <w:t>, New Zealand</w:t>
            </w:r>
            <w:r>
              <w:rPr>
                <w:rFonts w:cstheme="minorHAnsi"/>
              </w:rPr>
              <w:t>)</w:t>
            </w:r>
            <w:r w:rsidR="004064CE">
              <w:rPr>
                <w:rFonts w:cstheme="minorHAnsi"/>
              </w:rPr>
              <w:t>.</w:t>
            </w:r>
            <w:r>
              <w:rPr>
                <w:rFonts w:cstheme="minorHAnsi"/>
              </w:rPr>
              <w:t xml:space="preserve"> </w:t>
            </w:r>
          </w:p>
        </w:tc>
      </w:tr>
      <w:tr w:rsidR="00B964A7" w:rsidRPr="00B05FFC" w14:paraId="5CF21E4E" w14:textId="77777777" w:rsidTr="00F5300A">
        <w:trPr>
          <w:trHeight w:val="46"/>
        </w:trPr>
        <w:tc>
          <w:tcPr>
            <w:tcW w:w="1668" w:type="dxa"/>
          </w:tcPr>
          <w:p w14:paraId="3685D3F5" w14:textId="77777777" w:rsidR="00B964A7" w:rsidRPr="00B05FFC" w:rsidRDefault="00B964A7" w:rsidP="00B964A7">
            <w:pPr>
              <w:rPr>
                <w:rFonts w:cstheme="minorHAnsi"/>
              </w:rPr>
            </w:pPr>
            <w:r w:rsidRPr="00B05FFC">
              <w:rPr>
                <w:rFonts w:cstheme="minorHAnsi"/>
              </w:rPr>
              <w:t>TARGET POPULATION:</w:t>
            </w:r>
          </w:p>
        </w:tc>
        <w:tc>
          <w:tcPr>
            <w:tcW w:w="7796" w:type="dxa"/>
          </w:tcPr>
          <w:p w14:paraId="472126AF" w14:textId="77777777" w:rsidR="00B964A7" w:rsidRPr="004064CE" w:rsidRDefault="00B964A7" w:rsidP="00B964A7">
            <w:pPr>
              <w:rPr>
                <w:rFonts w:cstheme="minorHAnsi"/>
                <w:color w:val="FF0000"/>
              </w:rPr>
            </w:pPr>
            <w:r w:rsidRPr="00655ACE">
              <w:rPr>
                <w:rFonts w:cstheme="minorHAnsi"/>
              </w:rPr>
              <w:t xml:space="preserve">20 women </w:t>
            </w:r>
            <w:r w:rsidR="004064CE">
              <w:rPr>
                <w:rFonts w:cstheme="minorHAnsi"/>
              </w:rPr>
              <w:t>who</w:t>
            </w:r>
            <w:r w:rsidR="001435FE">
              <w:rPr>
                <w:rFonts w:cstheme="minorHAnsi"/>
              </w:rPr>
              <w:t xml:space="preserve"> present to NSH’s Early Pregnancy Clinic</w:t>
            </w:r>
            <w:r w:rsidR="00091E13">
              <w:rPr>
                <w:rFonts w:cstheme="minorHAnsi"/>
              </w:rPr>
              <w:t xml:space="preserve"> (EPC</w:t>
            </w:r>
            <w:r w:rsidR="006D1751">
              <w:rPr>
                <w:rFonts w:cstheme="minorHAnsi"/>
              </w:rPr>
              <w:t>) and</w:t>
            </w:r>
            <w:r w:rsidR="004064CE">
              <w:rPr>
                <w:rFonts w:cstheme="minorHAnsi"/>
              </w:rPr>
              <w:t xml:space="preserve"> are diagnosed </w:t>
            </w:r>
            <w:r>
              <w:rPr>
                <w:rFonts w:cstheme="minorHAnsi"/>
              </w:rPr>
              <w:t>with</w:t>
            </w:r>
            <w:r w:rsidR="004064CE">
              <w:rPr>
                <w:rFonts w:cstheme="minorHAnsi"/>
              </w:rPr>
              <w:t xml:space="preserve"> stable ectop</w:t>
            </w:r>
            <w:r w:rsidR="006D1751">
              <w:rPr>
                <w:rFonts w:cstheme="minorHAnsi"/>
              </w:rPr>
              <w:t xml:space="preserve">ic pregnancies. Each </w:t>
            </w:r>
            <w:r w:rsidR="00284E08">
              <w:rPr>
                <w:rFonts w:cstheme="minorHAnsi"/>
              </w:rPr>
              <w:t xml:space="preserve">recruited </w:t>
            </w:r>
            <w:r w:rsidR="006D1751">
              <w:rPr>
                <w:rFonts w:cstheme="minorHAnsi"/>
              </w:rPr>
              <w:t>participant will receive two doses of 60mg/m² of oral vinorelbine, one week apart.</w:t>
            </w:r>
          </w:p>
          <w:p w14:paraId="5DD5E8C1" w14:textId="77777777" w:rsidR="00B964A7" w:rsidRDefault="00B964A7" w:rsidP="00B964A7">
            <w:pPr>
              <w:rPr>
                <w:rFonts w:cstheme="minorHAnsi"/>
                <w:b/>
              </w:rPr>
            </w:pPr>
            <w:r>
              <w:rPr>
                <w:rFonts w:cstheme="minorHAnsi"/>
                <w:b/>
              </w:rPr>
              <w:t>INCLUSION CRITERIA FOR THE STUDY:</w:t>
            </w:r>
          </w:p>
          <w:p w14:paraId="724F2481" w14:textId="77777777" w:rsidR="00B964A7" w:rsidRDefault="00B964A7" w:rsidP="00B964A7">
            <w:pPr>
              <w:rPr>
                <w:rFonts w:cstheme="minorHAnsi"/>
              </w:rPr>
            </w:pPr>
            <w:r>
              <w:rPr>
                <w:rFonts w:cstheme="minorHAnsi"/>
              </w:rPr>
              <w:t>Women who have/who are:</w:t>
            </w:r>
          </w:p>
          <w:p w14:paraId="61385462" w14:textId="77777777" w:rsidR="006A5A20" w:rsidRPr="006A5A20" w:rsidRDefault="00767C9E" w:rsidP="006D1751">
            <w:pPr>
              <w:pStyle w:val="ListParagraph"/>
              <w:numPr>
                <w:ilvl w:val="0"/>
                <w:numId w:val="39"/>
              </w:numPr>
              <w:rPr>
                <w:rFonts w:cstheme="minorHAnsi"/>
                <w:b/>
              </w:rPr>
            </w:pPr>
            <w:r>
              <w:rPr>
                <w:rFonts w:cstheme="minorHAnsi"/>
              </w:rPr>
              <w:t>Aged 18-</w:t>
            </w:r>
            <w:r w:rsidR="006A5A20">
              <w:rPr>
                <w:rFonts w:cstheme="minorHAnsi"/>
              </w:rPr>
              <w:t>50 years old</w:t>
            </w:r>
          </w:p>
          <w:p w14:paraId="490A269E" w14:textId="77777777" w:rsidR="006A5A20" w:rsidRPr="006A5A20" w:rsidRDefault="006A5A20" w:rsidP="006D1751">
            <w:pPr>
              <w:pStyle w:val="ListParagraph"/>
              <w:numPr>
                <w:ilvl w:val="0"/>
                <w:numId w:val="39"/>
              </w:numPr>
              <w:rPr>
                <w:rFonts w:cstheme="minorHAnsi"/>
                <w:b/>
              </w:rPr>
            </w:pPr>
            <w:r>
              <w:rPr>
                <w:rFonts w:cstheme="minorHAnsi"/>
              </w:rPr>
              <w:t>English speaking</w:t>
            </w:r>
          </w:p>
          <w:p w14:paraId="25784E45" w14:textId="77777777" w:rsidR="006A5A20" w:rsidRPr="006A5A20" w:rsidRDefault="006A5A20" w:rsidP="006D1751">
            <w:pPr>
              <w:pStyle w:val="ListParagraph"/>
              <w:numPr>
                <w:ilvl w:val="0"/>
                <w:numId w:val="39"/>
              </w:numPr>
              <w:rPr>
                <w:rFonts w:cstheme="minorHAnsi"/>
                <w:b/>
              </w:rPr>
            </w:pPr>
            <w:r>
              <w:rPr>
                <w:rFonts w:cstheme="minorHAnsi"/>
              </w:rPr>
              <w:t>Able to provide informed consent to participate</w:t>
            </w:r>
          </w:p>
          <w:p w14:paraId="135F82DD" w14:textId="77777777" w:rsidR="006D1751" w:rsidRPr="009A1E7D" w:rsidRDefault="006D1751" w:rsidP="006D1751">
            <w:pPr>
              <w:pStyle w:val="ListParagraph"/>
              <w:numPr>
                <w:ilvl w:val="0"/>
                <w:numId w:val="39"/>
              </w:numPr>
              <w:rPr>
                <w:rFonts w:cstheme="minorHAnsi"/>
                <w:b/>
              </w:rPr>
            </w:pPr>
            <w:r>
              <w:rPr>
                <w:rFonts w:cstheme="minorHAnsi"/>
              </w:rPr>
              <w:t xml:space="preserve">A diagnosis of a </w:t>
            </w:r>
            <w:r w:rsidR="009A1E7D">
              <w:rPr>
                <w:rFonts w:cstheme="minorHAnsi"/>
              </w:rPr>
              <w:t>tubal ectopic pregnancy on transvaginal ultrasound</w:t>
            </w:r>
          </w:p>
          <w:p w14:paraId="522C0AF0" w14:textId="77777777" w:rsidR="009A1E7D" w:rsidRPr="009A1E7D" w:rsidRDefault="009A1E7D" w:rsidP="006D1751">
            <w:pPr>
              <w:pStyle w:val="ListParagraph"/>
              <w:numPr>
                <w:ilvl w:val="0"/>
                <w:numId w:val="39"/>
              </w:numPr>
              <w:rPr>
                <w:rFonts w:cstheme="minorHAnsi"/>
                <w:b/>
              </w:rPr>
            </w:pPr>
            <w:r>
              <w:rPr>
                <w:rFonts w:cstheme="minorHAnsi"/>
              </w:rPr>
              <w:t xml:space="preserve">A </w:t>
            </w:r>
            <w:r w:rsidR="007A1017">
              <w:rPr>
                <w:rFonts w:cstheme="minorHAnsi"/>
              </w:rPr>
              <w:t xml:space="preserve">clinically </w:t>
            </w:r>
            <w:r>
              <w:rPr>
                <w:rFonts w:cstheme="minorHAnsi"/>
              </w:rPr>
              <w:t>stable ectopic pregnancy (no evidence of bleeding or rupture)</w:t>
            </w:r>
          </w:p>
          <w:p w14:paraId="7EAC6AEE" w14:textId="0BBA9941" w:rsidR="006A5A20" w:rsidRPr="006A5A20" w:rsidRDefault="009A1E7D" w:rsidP="006D1751">
            <w:pPr>
              <w:pStyle w:val="ListParagraph"/>
              <w:numPr>
                <w:ilvl w:val="0"/>
                <w:numId w:val="39"/>
              </w:numPr>
              <w:rPr>
                <w:rFonts w:cstheme="minorHAnsi"/>
                <w:b/>
              </w:rPr>
            </w:pPr>
            <w:r>
              <w:rPr>
                <w:rFonts w:cstheme="minorHAnsi"/>
              </w:rPr>
              <w:t>A pre-treatment serum Human Chorionic G</w:t>
            </w:r>
            <w:r w:rsidR="000431BB">
              <w:rPr>
                <w:rFonts w:cstheme="minorHAnsi"/>
              </w:rPr>
              <w:t>onadotrophin (hCG) level of 30</w:t>
            </w:r>
            <w:r>
              <w:rPr>
                <w:rFonts w:cstheme="minorHAnsi"/>
              </w:rPr>
              <w:t>0 – 3,000 IU/L</w:t>
            </w:r>
          </w:p>
          <w:p w14:paraId="78D23AAE" w14:textId="77777777" w:rsidR="002A5E0A" w:rsidRPr="00122AD1" w:rsidRDefault="002A5E0A" w:rsidP="002A5E0A">
            <w:pPr>
              <w:pStyle w:val="ListParagraph"/>
              <w:numPr>
                <w:ilvl w:val="0"/>
                <w:numId w:val="39"/>
              </w:numPr>
              <w:rPr>
                <w:rFonts w:cstheme="minorHAnsi"/>
                <w:b/>
              </w:rPr>
            </w:pPr>
            <w:r>
              <w:rPr>
                <w:rFonts w:cstheme="minorHAnsi"/>
              </w:rPr>
              <w:t xml:space="preserve">Adnexal mass ≤3.5 cm </w:t>
            </w:r>
          </w:p>
          <w:p w14:paraId="34222EA1" w14:textId="77777777" w:rsidR="002A5E0A" w:rsidRPr="00B81EFA" w:rsidRDefault="002A5E0A" w:rsidP="002A5E0A">
            <w:pPr>
              <w:pStyle w:val="ListParagraph"/>
              <w:numPr>
                <w:ilvl w:val="0"/>
                <w:numId w:val="39"/>
              </w:numPr>
              <w:rPr>
                <w:rFonts w:cstheme="minorHAnsi"/>
                <w:b/>
              </w:rPr>
            </w:pPr>
            <w:r>
              <w:rPr>
                <w:rFonts w:cstheme="minorHAnsi"/>
              </w:rPr>
              <w:t>No fetal cardiac activity detected on ultrasound</w:t>
            </w:r>
          </w:p>
          <w:p w14:paraId="0BAB5C55" w14:textId="77777777" w:rsidR="00B81EFA" w:rsidRPr="006A5A20" w:rsidRDefault="00B81EFA" w:rsidP="00B81EFA">
            <w:pPr>
              <w:pStyle w:val="ListParagraph"/>
              <w:rPr>
                <w:rFonts w:cstheme="minorHAnsi"/>
                <w:b/>
              </w:rPr>
            </w:pPr>
          </w:p>
          <w:p w14:paraId="4801DC94" w14:textId="77777777" w:rsidR="00B964A7" w:rsidRDefault="00B964A7" w:rsidP="00B964A7">
            <w:pPr>
              <w:rPr>
                <w:rFonts w:cstheme="minorHAnsi"/>
                <w:b/>
              </w:rPr>
            </w:pPr>
            <w:r>
              <w:rPr>
                <w:rFonts w:cstheme="minorHAnsi"/>
                <w:b/>
              </w:rPr>
              <w:t>EXCLUSION CRITERIA FOR THE STUDY:</w:t>
            </w:r>
          </w:p>
          <w:p w14:paraId="0A780059" w14:textId="77777777" w:rsidR="00A46BBD" w:rsidRPr="00A46BBD" w:rsidRDefault="00A46BBD" w:rsidP="00A46BBD">
            <w:pPr>
              <w:rPr>
                <w:rFonts w:cstheme="minorHAnsi"/>
              </w:rPr>
            </w:pPr>
            <w:r>
              <w:rPr>
                <w:rFonts w:cstheme="minorHAnsi"/>
              </w:rPr>
              <w:t>Women who have/who are:</w:t>
            </w:r>
          </w:p>
          <w:p w14:paraId="38B1FCFF" w14:textId="77777777" w:rsidR="00725162" w:rsidRDefault="00725162" w:rsidP="00725162">
            <w:pPr>
              <w:pStyle w:val="ListParagraph"/>
              <w:numPr>
                <w:ilvl w:val="0"/>
                <w:numId w:val="3"/>
              </w:numPr>
              <w:rPr>
                <w:rFonts w:cstheme="minorHAnsi"/>
              </w:rPr>
            </w:pPr>
            <w:r>
              <w:rPr>
                <w:rFonts w:cstheme="minorHAnsi"/>
              </w:rPr>
              <w:t>Unable to provide informed consent to participate</w:t>
            </w:r>
          </w:p>
          <w:p w14:paraId="1F4391FD" w14:textId="2712C132" w:rsidR="007A1017" w:rsidRDefault="007A1017" w:rsidP="00725162">
            <w:pPr>
              <w:pStyle w:val="ListParagraph"/>
              <w:numPr>
                <w:ilvl w:val="0"/>
                <w:numId w:val="3"/>
              </w:numPr>
              <w:rPr>
                <w:rFonts w:cstheme="minorHAnsi"/>
              </w:rPr>
            </w:pPr>
            <w:r>
              <w:rPr>
                <w:rFonts w:cstheme="minorHAnsi"/>
              </w:rPr>
              <w:t>Women with a pregnancy of unknown location (PUL)</w:t>
            </w:r>
            <w:r w:rsidR="008F0405">
              <w:rPr>
                <w:rFonts w:cstheme="minorHAnsi"/>
              </w:rPr>
              <w:t xml:space="preserve"> or heterotopic pregnancy</w:t>
            </w:r>
          </w:p>
          <w:p w14:paraId="7E445818" w14:textId="6824CB90" w:rsidR="00B964A7" w:rsidRDefault="007A1017" w:rsidP="00B964A7">
            <w:pPr>
              <w:pStyle w:val="ListParagraph"/>
              <w:numPr>
                <w:ilvl w:val="0"/>
                <w:numId w:val="3"/>
              </w:numPr>
              <w:rPr>
                <w:rFonts w:cstheme="minorHAnsi"/>
              </w:rPr>
            </w:pPr>
            <w:r>
              <w:rPr>
                <w:rFonts w:cstheme="minorHAnsi"/>
              </w:rPr>
              <w:t>Evidence of significant intra-abdominal bleed on ultrasound, defined by echogenic free fluid above the uterine fundus or surrounding ovary.</w:t>
            </w:r>
          </w:p>
          <w:p w14:paraId="1EF491F9" w14:textId="77777777" w:rsidR="00B964A7" w:rsidRDefault="00B964A7" w:rsidP="00B964A7">
            <w:pPr>
              <w:pStyle w:val="ListParagraph"/>
              <w:numPr>
                <w:ilvl w:val="0"/>
                <w:numId w:val="3"/>
              </w:numPr>
              <w:rPr>
                <w:rFonts w:cstheme="minorHAnsi"/>
              </w:rPr>
            </w:pPr>
            <w:r>
              <w:rPr>
                <w:rFonts w:cstheme="minorHAnsi"/>
              </w:rPr>
              <w:t xml:space="preserve">Contraindication(s) to </w:t>
            </w:r>
            <w:r w:rsidR="006A5A20">
              <w:rPr>
                <w:rFonts w:cstheme="minorHAnsi"/>
              </w:rPr>
              <w:t>vinorelbine</w:t>
            </w:r>
            <w:r w:rsidR="008E27E7">
              <w:rPr>
                <w:rFonts w:cstheme="minorHAnsi"/>
              </w:rPr>
              <w:t xml:space="preserve"> or </w:t>
            </w:r>
            <w:r w:rsidR="003D4740">
              <w:rPr>
                <w:rFonts w:cstheme="minorHAnsi"/>
              </w:rPr>
              <w:t xml:space="preserve">to </w:t>
            </w:r>
            <w:r w:rsidR="008E27E7">
              <w:rPr>
                <w:rFonts w:cstheme="minorHAnsi"/>
              </w:rPr>
              <w:t>medical management of ectopic pregnancy</w:t>
            </w:r>
          </w:p>
          <w:p w14:paraId="2790BDAC" w14:textId="77777777" w:rsidR="00B964A7" w:rsidRDefault="00B964A7" w:rsidP="00B964A7">
            <w:pPr>
              <w:pStyle w:val="ListParagraph"/>
              <w:numPr>
                <w:ilvl w:val="0"/>
                <w:numId w:val="3"/>
              </w:numPr>
              <w:rPr>
                <w:rFonts w:cstheme="minorHAnsi"/>
              </w:rPr>
            </w:pPr>
            <w:r>
              <w:rPr>
                <w:rFonts w:cstheme="minorHAnsi"/>
              </w:rPr>
              <w:t>Immunodeficiency disorder(s)</w:t>
            </w:r>
          </w:p>
          <w:p w14:paraId="76C93C82" w14:textId="77777777" w:rsidR="008E27E7" w:rsidRDefault="00FD284E" w:rsidP="00B964A7">
            <w:pPr>
              <w:pStyle w:val="ListParagraph"/>
              <w:numPr>
                <w:ilvl w:val="0"/>
                <w:numId w:val="3"/>
              </w:numPr>
              <w:rPr>
                <w:rFonts w:cstheme="minorHAnsi"/>
              </w:rPr>
            </w:pPr>
            <w:r>
              <w:rPr>
                <w:rFonts w:cstheme="minorHAnsi"/>
              </w:rPr>
              <w:t>A c</w:t>
            </w:r>
            <w:r w:rsidR="008E27E7" w:rsidRPr="007F65F7">
              <w:rPr>
                <w:rFonts w:cstheme="minorHAnsi"/>
              </w:rPr>
              <w:t>urrent malignancy</w:t>
            </w:r>
          </w:p>
          <w:p w14:paraId="21233CF1" w14:textId="77777777" w:rsidR="00EB5164" w:rsidRPr="007F65F7" w:rsidRDefault="00471872" w:rsidP="00B964A7">
            <w:pPr>
              <w:pStyle w:val="ListParagraph"/>
              <w:numPr>
                <w:ilvl w:val="0"/>
                <w:numId w:val="3"/>
              </w:numPr>
              <w:rPr>
                <w:rFonts w:cstheme="minorHAnsi"/>
              </w:rPr>
            </w:pPr>
            <w:r>
              <w:rPr>
                <w:rFonts w:cstheme="minorHAnsi"/>
              </w:rPr>
              <w:t>Received chemotherapy or radiation therapy in the previous five years</w:t>
            </w:r>
          </w:p>
          <w:p w14:paraId="5FE5AAD0" w14:textId="77777777" w:rsidR="00A46BBD" w:rsidRPr="007F65F7" w:rsidRDefault="00A46BBD" w:rsidP="00B964A7">
            <w:pPr>
              <w:pStyle w:val="ListParagraph"/>
              <w:numPr>
                <w:ilvl w:val="0"/>
                <w:numId w:val="3"/>
              </w:numPr>
              <w:rPr>
                <w:rFonts w:cstheme="minorHAnsi"/>
              </w:rPr>
            </w:pPr>
            <w:r w:rsidRPr="007F65F7">
              <w:rPr>
                <w:rFonts w:cstheme="minorHAnsi"/>
              </w:rPr>
              <w:t>Concomitant disease which could significantly impair gastric absorption (Inflammatory bowel disease, coeliac, etc.)</w:t>
            </w:r>
          </w:p>
          <w:p w14:paraId="08D6CF6C" w14:textId="77777777" w:rsidR="00A46BBD" w:rsidRPr="007F65F7" w:rsidRDefault="00A46BBD" w:rsidP="00B964A7">
            <w:pPr>
              <w:pStyle w:val="ListParagraph"/>
              <w:numPr>
                <w:ilvl w:val="0"/>
                <w:numId w:val="3"/>
              </w:numPr>
              <w:rPr>
                <w:rFonts w:cstheme="minorHAnsi"/>
              </w:rPr>
            </w:pPr>
            <w:r w:rsidRPr="007F65F7">
              <w:rPr>
                <w:rFonts w:cstheme="minorHAnsi"/>
              </w:rPr>
              <w:t>History of surgical resection of the stomach/small bowel</w:t>
            </w:r>
          </w:p>
          <w:p w14:paraId="33E01E41" w14:textId="77777777" w:rsidR="007F65F7" w:rsidRDefault="00A46BBD" w:rsidP="007F65F7">
            <w:pPr>
              <w:pStyle w:val="ListParagraph"/>
              <w:numPr>
                <w:ilvl w:val="0"/>
                <w:numId w:val="3"/>
              </w:numPr>
              <w:rPr>
                <w:rFonts w:cstheme="minorHAnsi"/>
              </w:rPr>
            </w:pPr>
            <w:r w:rsidRPr="007F65F7">
              <w:rPr>
                <w:rFonts w:cstheme="minorHAnsi"/>
              </w:rPr>
              <w:t>Breastfeeding</w:t>
            </w:r>
          </w:p>
          <w:p w14:paraId="37F56A0C" w14:textId="6D893828" w:rsidR="002A04CA" w:rsidRPr="00F5300A" w:rsidRDefault="003D4740" w:rsidP="00F5300A">
            <w:pPr>
              <w:pStyle w:val="ListParagraph"/>
              <w:numPr>
                <w:ilvl w:val="0"/>
                <w:numId w:val="3"/>
              </w:numPr>
              <w:rPr>
                <w:rFonts w:cstheme="minorHAnsi"/>
              </w:rPr>
            </w:pPr>
            <w:r>
              <w:rPr>
                <w:rFonts w:cstheme="minorHAnsi"/>
              </w:rPr>
              <w:t xml:space="preserve">Hepatic impairment, </w:t>
            </w:r>
            <w:r w:rsidR="00A46BBD" w:rsidRPr="007F65F7">
              <w:rPr>
                <w:rFonts w:cstheme="minorHAnsi"/>
              </w:rPr>
              <w:t>renal impairment</w:t>
            </w:r>
            <w:r>
              <w:rPr>
                <w:rFonts w:cstheme="minorHAnsi"/>
              </w:rPr>
              <w:t>, or haematological toxicity</w:t>
            </w:r>
          </w:p>
        </w:tc>
      </w:tr>
      <w:tr w:rsidR="00B964A7" w:rsidRPr="00B05FFC" w14:paraId="28FF81D5" w14:textId="77777777" w:rsidTr="00B964A7">
        <w:tc>
          <w:tcPr>
            <w:tcW w:w="1668" w:type="dxa"/>
          </w:tcPr>
          <w:p w14:paraId="4F818F45" w14:textId="77777777" w:rsidR="00B964A7" w:rsidRPr="00B05FFC" w:rsidRDefault="00B964A7" w:rsidP="00B964A7">
            <w:pPr>
              <w:rPr>
                <w:rFonts w:cstheme="minorHAnsi"/>
              </w:rPr>
            </w:pPr>
            <w:r w:rsidRPr="00B05FFC">
              <w:rPr>
                <w:rFonts w:cstheme="minorHAnsi"/>
              </w:rPr>
              <w:lastRenderedPageBreak/>
              <w:t>HEALTH TECHNOLOGIES ASSESSED:</w:t>
            </w:r>
          </w:p>
        </w:tc>
        <w:tc>
          <w:tcPr>
            <w:tcW w:w="7796" w:type="dxa"/>
          </w:tcPr>
          <w:p w14:paraId="38622A5A" w14:textId="77777777" w:rsidR="00C74F4B" w:rsidRPr="00B05FFC" w:rsidRDefault="00B964A7" w:rsidP="00C74F4B">
            <w:pPr>
              <w:rPr>
                <w:rFonts w:cstheme="minorHAnsi"/>
              </w:rPr>
            </w:pPr>
            <w:r>
              <w:rPr>
                <w:rFonts w:cstheme="minorHAnsi"/>
              </w:rPr>
              <w:t xml:space="preserve">All recruited participants will receive </w:t>
            </w:r>
            <w:r w:rsidR="006A5A20">
              <w:rPr>
                <w:rFonts w:cstheme="minorHAnsi"/>
              </w:rPr>
              <w:t xml:space="preserve">2 doses of </w:t>
            </w:r>
            <w:r w:rsidR="00C74F4B">
              <w:rPr>
                <w:rFonts w:cstheme="minorHAnsi"/>
              </w:rPr>
              <w:t>60mg/m² of oral vinorelbine</w:t>
            </w:r>
            <w:r w:rsidR="002D42D9">
              <w:rPr>
                <w:rFonts w:cstheme="minorHAnsi"/>
              </w:rPr>
              <w:t xml:space="preserve"> (traded as Navelbine</w:t>
            </w:r>
            <w:r w:rsidR="002D42D9">
              <w:rPr>
                <w:rFonts w:ascii="Bell MT" w:hAnsi="Bell MT" w:cstheme="minorHAnsi"/>
              </w:rPr>
              <w:t>®</w:t>
            </w:r>
            <w:r w:rsidR="00C74F4B">
              <w:rPr>
                <w:rFonts w:cstheme="minorHAnsi"/>
              </w:rPr>
              <w:t xml:space="preserve">, spaced one week apart </w:t>
            </w:r>
            <w:r>
              <w:rPr>
                <w:rFonts w:cstheme="minorHAnsi"/>
              </w:rPr>
              <w:t xml:space="preserve">(see </w:t>
            </w:r>
            <w:r w:rsidRPr="008351DF">
              <w:rPr>
                <w:rFonts w:cstheme="minorHAnsi"/>
                <w:i/>
              </w:rPr>
              <w:t>Appendix 1</w:t>
            </w:r>
            <w:r>
              <w:rPr>
                <w:rFonts w:cstheme="minorHAnsi"/>
              </w:rPr>
              <w:t xml:space="preserve">: </w:t>
            </w:r>
            <w:r w:rsidR="00C74F4B">
              <w:rPr>
                <w:rFonts w:cstheme="minorHAnsi"/>
                <w:i/>
              </w:rPr>
              <w:t>Medsafe Information for Healthcare Professionals - Navelbine</w:t>
            </w:r>
            <w:r w:rsidR="00C74F4B">
              <w:rPr>
                <w:rFonts w:ascii="Bell MT" w:hAnsi="Bell MT" w:cstheme="minorHAnsi"/>
                <w:i/>
              </w:rPr>
              <w:t>®</w:t>
            </w:r>
            <w:r w:rsidR="00C74F4B">
              <w:rPr>
                <w:rFonts w:cstheme="minorHAnsi"/>
                <w:i/>
              </w:rPr>
              <w:t xml:space="preserve"> oral</w:t>
            </w:r>
            <w:r>
              <w:rPr>
                <w:rFonts w:cstheme="minorHAnsi"/>
              </w:rPr>
              <w:t>)</w:t>
            </w:r>
          </w:p>
        </w:tc>
      </w:tr>
      <w:tr w:rsidR="00B964A7" w:rsidRPr="00B05FFC" w14:paraId="1CEE6F3B" w14:textId="77777777" w:rsidTr="00B964A7">
        <w:tc>
          <w:tcPr>
            <w:tcW w:w="1668" w:type="dxa"/>
          </w:tcPr>
          <w:p w14:paraId="6D2498A0" w14:textId="77777777" w:rsidR="00B964A7" w:rsidRPr="00B05FFC" w:rsidRDefault="00B964A7" w:rsidP="00B964A7">
            <w:pPr>
              <w:rPr>
                <w:rFonts w:cstheme="minorHAnsi"/>
              </w:rPr>
            </w:pPr>
            <w:r w:rsidRPr="00B05FFC">
              <w:rPr>
                <w:rFonts w:cstheme="minorHAnsi"/>
              </w:rPr>
              <w:t>OUTCOME MEASURES:</w:t>
            </w:r>
          </w:p>
        </w:tc>
        <w:tc>
          <w:tcPr>
            <w:tcW w:w="7796" w:type="dxa"/>
          </w:tcPr>
          <w:p w14:paraId="30002092" w14:textId="77777777" w:rsidR="00B964A7" w:rsidRDefault="00B964A7" w:rsidP="00B964A7">
            <w:pPr>
              <w:rPr>
                <w:rFonts w:cstheme="minorHAnsi"/>
                <w:b/>
              </w:rPr>
            </w:pPr>
            <w:r>
              <w:rPr>
                <w:rFonts w:cstheme="minorHAnsi"/>
                <w:b/>
              </w:rPr>
              <w:t>PRIMARY OUTCOMES:</w:t>
            </w:r>
          </w:p>
          <w:p w14:paraId="0FEE50FE" w14:textId="77777777" w:rsidR="00B964A7" w:rsidRPr="00003753" w:rsidRDefault="00C74F4B" w:rsidP="00B964A7">
            <w:pPr>
              <w:rPr>
                <w:rFonts w:cstheme="minorHAnsi"/>
              </w:rPr>
            </w:pPr>
            <w:r>
              <w:rPr>
                <w:rFonts w:cstheme="minorHAnsi"/>
              </w:rPr>
              <w:t>To establish the safety, toxicity and tolerability profiles of oral vinorelbine</w:t>
            </w:r>
            <w:r w:rsidR="00B964A7">
              <w:rPr>
                <w:rFonts w:cstheme="minorHAnsi"/>
              </w:rPr>
              <w:t xml:space="preserve"> therapy in pa</w:t>
            </w:r>
            <w:r>
              <w:rPr>
                <w:rFonts w:cstheme="minorHAnsi"/>
              </w:rPr>
              <w:t>tients presenting with stable ectopic pregnancies</w:t>
            </w:r>
            <w:r w:rsidR="007A1017">
              <w:rPr>
                <w:rFonts w:cstheme="minorHAnsi"/>
              </w:rPr>
              <w:t>.</w:t>
            </w:r>
          </w:p>
          <w:p w14:paraId="44A5CC7B" w14:textId="77777777" w:rsidR="00B964A7" w:rsidRDefault="00B964A7" w:rsidP="00B964A7">
            <w:pPr>
              <w:rPr>
                <w:rFonts w:cstheme="minorHAnsi"/>
                <w:b/>
              </w:rPr>
            </w:pPr>
            <w:r>
              <w:rPr>
                <w:rFonts w:cstheme="minorHAnsi"/>
                <w:b/>
              </w:rPr>
              <w:t>SECONDARY OUTCOMES:</w:t>
            </w:r>
          </w:p>
          <w:p w14:paraId="27A26AF8" w14:textId="5E564D16" w:rsidR="00B964A7" w:rsidRPr="00C633F5" w:rsidRDefault="00B964A7" w:rsidP="00C74F4B">
            <w:pPr>
              <w:rPr>
                <w:rFonts w:cstheme="minorHAnsi"/>
              </w:rPr>
            </w:pPr>
            <w:r>
              <w:rPr>
                <w:rFonts w:cstheme="minorHAnsi"/>
              </w:rPr>
              <w:t>To determine the e</w:t>
            </w:r>
            <w:r w:rsidR="00C74F4B">
              <w:rPr>
                <w:rFonts w:cstheme="minorHAnsi"/>
              </w:rPr>
              <w:t>fficacy</w:t>
            </w:r>
            <w:r>
              <w:rPr>
                <w:rFonts w:cstheme="minorHAnsi"/>
              </w:rPr>
              <w:t xml:space="preserve"> of oral </w:t>
            </w:r>
            <w:r w:rsidR="00C74F4B">
              <w:rPr>
                <w:rFonts w:cstheme="minorHAnsi"/>
              </w:rPr>
              <w:t>vinorelbine therapy as a treatment to resolve ectopic pregnancies</w:t>
            </w:r>
            <w:r w:rsidR="007A1017">
              <w:rPr>
                <w:rFonts w:cstheme="minorHAnsi"/>
              </w:rPr>
              <w:t xml:space="preserve"> (defined as</w:t>
            </w:r>
            <w:r w:rsidR="006F0DD5">
              <w:rPr>
                <w:rFonts w:cstheme="minorHAnsi"/>
              </w:rPr>
              <w:t xml:space="preserve"> the percentage of</w:t>
            </w:r>
            <w:r w:rsidR="007A1017">
              <w:rPr>
                <w:rFonts w:cstheme="minorHAnsi"/>
              </w:rPr>
              <w:t xml:space="preserve"> successfully treated</w:t>
            </w:r>
            <w:r w:rsidR="006F0DD5">
              <w:rPr>
                <w:rFonts w:cstheme="minorHAnsi"/>
              </w:rPr>
              <w:t xml:space="preserve"> participants who do not go on to require salvage</w:t>
            </w:r>
            <w:r w:rsidR="007A1017">
              <w:rPr>
                <w:rFonts w:cstheme="minorHAnsi"/>
              </w:rPr>
              <w:t xml:space="preserve"> surgery)</w:t>
            </w:r>
            <w:r w:rsidR="00E55DD1">
              <w:rPr>
                <w:rFonts w:cstheme="minorHAnsi"/>
              </w:rPr>
              <w:t>; to assess the return to normal menses</w:t>
            </w:r>
            <w:r w:rsidR="00EE3629">
              <w:rPr>
                <w:rFonts w:cstheme="minorHAnsi"/>
              </w:rPr>
              <w:t xml:space="preserve"> following vinorelbine administration;</w:t>
            </w:r>
            <w:r w:rsidR="00E55DD1">
              <w:rPr>
                <w:rFonts w:cstheme="minorHAnsi"/>
              </w:rPr>
              <w:t xml:space="preserve"> and </w:t>
            </w:r>
            <w:r w:rsidR="00EE3629">
              <w:rPr>
                <w:rFonts w:cstheme="minorHAnsi"/>
              </w:rPr>
              <w:t xml:space="preserve">to assess </w:t>
            </w:r>
            <w:r w:rsidR="00E55DD1">
              <w:rPr>
                <w:rFonts w:cstheme="minorHAnsi"/>
              </w:rPr>
              <w:t>subsequent fertility, pregnancy and birth outcomes for women receiving oral vinorelbine as a treatment for ectopic pregnancy</w:t>
            </w:r>
          </w:p>
        </w:tc>
      </w:tr>
      <w:tr w:rsidR="00B964A7" w:rsidRPr="00B05FFC" w14:paraId="4509022D" w14:textId="77777777" w:rsidTr="00B964A7">
        <w:tc>
          <w:tcPr>
            <w:tcW w:w="1668" w:type="dxa"/>
          </w:tcPr>
          <w:p w14:paraId="022DFAB0" w14:textId="77777777" w:rsidR="00B964A7" w:rsidRPr="00B05FFC" w:rsidRDefault="00B964A7" w:rsidP="00B964A7">
            <w:pPr>
              <w:rPr>
                <w:rFonts w:cstheme="minorHAnsi"/>
              </w:rPr>
            </w:pPr>
            <w:r w:rsidRPr="00B05FFC">
              <w:rPr>
                <w:rFonts w:cstheme="minorHAnsi"/>
              </w:rPr>
              <w:t>ANALYSIS:</w:t>
            </w:r>
          </w:p>
        </w:tc>
        <w:tc>
          <w:tcPr>
            <w:tcW w:w="7796" w:type="dxa"/>
          </w:tcPr>
          <w:p w14:paraId="38F6D3A8" w14:textId="77777777" w:rsidR="00B964A7" w:rsidRDefault="00B964A7" w:rsidP="00B964A7">
            <w:pPr>
              <w:pStyle w:val="ListParagraph"/>
              <w:numPr>
                <w:ilvl w:val="0"/>
                <w:numId w:val="6"/>
              </w:numPr>
              <w:rPr>
                <w:rFonts w:cstheme="minorHAnsi"/>
              </w:rPr>
            </w:pPr>
            <w:r w:rsidRPr="00A858C3">
              <w:rPr>
                <w:rFonts w:cstheme="minorHAnsi"/>
              </w:rPr>
              <w:t>As there is no comparison arm, clinical variables and the clinical course will be presen</w:t>
            </w:r>
            <w:r>
              <w:rPr>
                <w:rFonts w:cstheme="minorHAnsi"/>
              </w:rPr>
              <w:t>ted as descriptive statistics</w:t>
            </w:r>
          </w:p>
          <w:p w14:paraId="7022A3D4" w14:textId="77777777" w:rsidR="00B964A7" w:rsidRDefault="00B964A7" w:rsidP="00B964A7">
            <w:pPr>
              <w:pStyle w:val="ListParagraph"/>
              <w:numPr>
                <w:ilvl w:val="0"/>
                <w:numId w:val="6"/>
              </w:numPr>
              <w:rPr>
                <w:rFonts w:cstheme="minorHAnsi"/>
              </w:rPr>
            </w:pPr>
            <w:r w:rsidRPr="00A858C3">
              <w:rPr>
                <w:rFonts w:cstheme="minorHAnsi"/>
              </w:rPr>
              <w:t xml:space="preserve">There is </w:t>
            </w:r>
            <w:r>
              <w:rPr>
                <w:rFonts w:cstheme="minorHAnsi"/>
              </w:rPr>
              <w:t>no power calculation to perform</w:t>
            </w:r>
          </w:p>
          <w:p w14:paraId="7BF3FE03" w14:textId="77777777" w:rsidR="00EF6991" w:rsidRDefault="00EF6991" w:rsidP="00B964A7">
            <w:pPr>
              <w:pStyle w:val="ListParagraph"/>
              <w:numPr>
                <w:ilvl w:val="0"/>
                <w:numId w:val="6"/>
              </w:numPr>
              <w:rPr>
                <w:rFonts w:cstheme="minorHAnsi"/>
              </w:rPr>
            </w:pPr>
            <w:r>
              <w:rPr>
                <w:rFonts w:cstheme="minorHAnsi"/>
              </w:rPr>
              <w:t>Clinical outcomes of participants will be compared with a contemporaneous cohort</w:t>
            </w:r>
          </w:p>
          <w:p w14:paraId="5A64BEFC" w14:textId="77777777" w:rsidR="00B964A7" w:rsidRDefault="00EF6991" w:rsidP="00B964A7">
            <w:pPr>
              <w:pStyle w:val="ListParagraph"/>
              <w:numPr>
                <w:ilvl w:val="0"/>
                <w:numId w:val="6"/>
              </w:numPr>
              <w:rPr>
                <w:rFonts w:cstheme="minorHAnsi"/>
              </w:rPr>
            </w:pPr>
            <w:r>
              <w:rPr>
                <w:rFonts w:cstheme="minorHAnsi"/>
                <w:color w:val="000000" w:themeColor="text1"/>
              </w:rPr>
              <w:t xml:space="preserve">Continuous </w:t>
            </w:r>
            <w:r w:rsidR="00B964A7" w:rsidRPr="00A858C3">
              <w:rPr>
                <w:rFonts w:cstheme="minorHAnsi"/>
                <w:color w:val="000000" w:themeColor="text1"/>
              </w:rPr>
              <w:t xml:space="preserve">variables will be </w:t>
            </w:r>
            <w:r w:rsidR="00B964A7">
              <w:rPr>
                <w:rFonts w:cstheme="minorHAnsi"/>
                <w:color w:val="000000" w:themeColor="text1"/>
              </w:rPr>
              <w:t>statistically analysed</w:t>
            </w:r>
            <w:r>
              <w:rPr>
                <w:rFonts w:cstheme="minorHAnsi"/>
                <w:color w:val="000000" w:themeColor="text1"/>
              </w:rPr>
              <w:t xml:space="preserve"> using </w:t>
            </w:r>
            <w:r w:rsidR="00B964A7" w:rsidRPr="00A858C3">
              <w:rPr>
                <w:rFonts w:cstheme="minorHAnsi"/>
              </w:rPr>
              <w:t>t-test</w:t>
            </w:r>
            <w:r>
              <w:rPr>
                <w:rFonts w:cstheme="minorHAnsi"/>
              </w:rPr>
              <w:t>s (parametric) or</w:t>
            </w:r>
            <w:r w:rsidR="00B964A7" w:rsidRPr="00A858C3">
              <w:rPr>
                <w:rFonts w:cstheme="minorHAnsi"/>
              </w:rPr>
              <w:t xml:space="preserve"> Mann-W</w:t>
            </w:r>
            <w:r w:rsidR="00B964A7">
              <w:rPr>
                <w:rFonts w:cstheme="minorHAnsi"/>
              </w:rPr>
              <w:t>hitney</w:t>
            </w:r>
            <w:r>
              <w:rPr>
                <w:rFonts w:cstheme="minorHAnsi"/>
              </w:rPr>
              <w:t xml:space="preserve"> U</w:t>
            </w:r>
            <w:r w:rsidR="00B964A7">
              <w:rPr>
                <w:rFonts w:cstheme="minorHAnsi"/>
              </w:rPr>
              <w:t xml:space="preserve"> test</w:t>
            </w:r>
            <w:r>
              <w:rPr>
                <w:rFonts w:cstheme="minorHAnsi"/>
              </w:rPr>
              <w:t>s</w:t>
            </w:r>
            <w:r w:rsidR="00B964A7">
              <w:rPr>
                <w:rFonts w:cstheme="minorHAnsi"/>
              </w:rPr>
              <w:t xml:space="preserve"> (non-parametric), as appropriate</w:t>
            </w:r>
          </w:p>
          <w:p w14:paraId="65FFBA29" w14:textId="77777777" w:rsidR="00B964A7" w:rsidRDefault="00B964A7" w:rsidP="00B964A7">
            <w:pPr>
              <w:pStyle w:val="ListParagraph"/>
              <w:numPr>
                <w:ilvl w:val="0"/>
                <w:numId w:val="6"/>
              </w:numPr>
              <w:rPr>
                <w:rFonts w:cstheme="minorHAnsi"/>
              </w:rPr>
            </w:pPr>
            <w:r>
              <w:rPr>
                <w:rFonts w:cstheme="minorHAnsi"/>
              </w:rPr>
              <w:t>C</w:t>
            </w:r>
            <w:r w:rsidRPr="00A858C3">
              <w:rPr>
                <w:rFonts w:cstheme="minorHAnsi"/>
              </w:rPr>
              <w:t xml:space="preserve">ategorical variables will be </w:t>
            </w:r>
            <w:r>
              <w:rPr>
                <w:rFonts w:cstheme="minorHAnsi"/>
              </w:rPr>
              <w:t>statistically analysed</w:t>
            </w:r>
            <w:r w:rsidR="008F3436">
              <w:rPr>
                <w:rFonts w:cstheme="minorHAnsi"/>
              </w:rPr>
              <w:t xml:space="preserve"> using chi-squared</w:t>
            </w:r>
            <w:r w:rsidRPr="00A858C3">
              <w:rPr>
                <w:rFonts w:cstheme="minorHAnsi"/>
              </w:rPr>
              <w:t xml:space="preserve"> or Fi</w:t>
            </w:r>
            <w:r>
              <w:rPr>
                <w:rFonts w:cstheme="minorHAnsi"/>
              </w:rPr>
              <w:t>sher’s exact test</w:t>
            </w:r>
            <w:r w:rsidR="008F3436">
              <w:rPr>
                <w:rFonts w:cstheme="minorHAnsi"/>
              </w:rPr>
              <w:t>s</w:t>
            </w:r>
            <w:r>
              <w:rPr>
                <w:rFonts w:cstheme="minorHAnsi"/>
              </w:rPr>
              <w:t>, as appropriate</w:t>
            </w:r>
          </w:p>
          <w:p w14:paraId="1E95B753" w14:textId="77777777" w:rsidR="00B964A7" w:rsidRPr="007779F6" w:rsidRDefault="00B964A7" w:rsidP="00B964A7">
            <w:pPr>
              <w:pStyle w:val="ListParagraph"/>
              <w:numPr>
                <w:ilvl w:val="0"/>
                <w:numId w:val="6"/>
              </w:numPr>
              <w:rPr>
                <w:rFonts w:cstheme="minorHAnsi"/>
              </w:rPr>
            </w:pPr>
            <w:r w:rsidRPr="00A858C3">
              <w:rPr>
                <w:rFonts w:cstheme="minorHAnsi"/>
              </w:rPr>
              <w:t>Statistical a</w:t>
            </w:r>
            <w:r w:rsidR="007779F6">
              <w:rPr>
                <w:rFonts w:cstheme="minorHAnsi"/>
              </w:rPr>
              <w:t>nalysis will be performed using</w:t>
            </w:r>
            <w:r w:rsidR="008F3436">
              <w:rPr>
                <w:rFonts w:cstheme="minorHAnsi"/>
                <w:color w:val="FF0000"/>
              </w:rPr>
              <w:t xml:space="preserve"> </w:t>
            </w:r>
            <w:r w:rsidRPr="007779F6">
              <w:rPr>
                <w:rFonts w:cstheme="minorHAnsi"/>
                <w:i/>
              </w:rPr>
              <w:t>GraphPad Prism 6</w:t>
            </w:r>
            <w:r w:rsidRPr="007779F6">
              <w:rPr>
                <w:rFonts w:cstheme="minorHAnsi"/>
              </w:rPr>
              <w:t xml:space="preserve"> (GraphPad Software, La Jolla, CA)</w:t>
            </w:r>
          </w:p>
          <w:p w14:paraId="70A6AB5D" w14:textId="77777777" w:rsidR="00B964A7" w:rsidRPr="00A858C3" w:rsidRDefault="00B964A7" w:rsidP="00B964A7">
            <w:pPr>
              <w:pStyle w:val="ListParagraph"/>
              <w:numPr>
                <w:ilvl w:val="0"/>
                <w:numId w:val="6"/>
              </w:numPr>
              <w:rPr>
                <w:rFonts w:cstheme="minorHAnsi"/>
              </w:rPr>
            </w:pPr>
            <w:r w:rsidRPr="00A858C3">
              <w:rPr>
                <w:rFonts w:cstheme="minorHAnsi"/>
              </w:rPr>
              <w:t xml:space="preserve">A p value of &lt;0.05 will be considered statistically significant. </w:t>
            </w:r>
          </w:p>
        </w:tc>
      </w:tr>
      <w:tr w:rsidR="00B964A7" w:rsidRPr="00B05FFC" w14:paraId="459D9BDE" w14:textId="77777777" w:rsidTr="00B964A7">
        <w:tc>
          <w:tcPr>
            <w:tcW w:w="1668" w:type="dxa"/>
          </w:tcPr>
          <w:p w14:paraId="05A547B3" w14:textId="77777777" w:rsidR="00B964A7" w:rsidRPr="00B05FFC" w:rsidRDefault="00B964A7" w:rsidP="00B964A7">
            <w:pPr>
              <w:rPr>
                <w:rFonts w:cstheme="minorHAnsi"/>
              </w:rPr>
            </w:pPr>
            <w:r w:rsidRPr="00B05FFC">
              <w:rPr>
                <w:rFonts w:cstheme="minorHAnsi"/>
              </w:rPr>
              <w:t>SAMPLE SIZE:</w:t>
            </w:r>
          </w:p>
        </w:tc>
        <w:tc>
          <w:tcPr>
            <w:tcW w:w="7796" w:type="dxa"/>
          </w:tcPr>
          <w:p w14:paraId="30BC5F37" w14:textId="77777777" w:rsidR="00B964A7" w:rsidRPr="00B536E9" w:rsidRDefault="00B964A7" w:rsidP="009E18FD">
            <w:pPr>
              <w:pStyle w:val="MediumGrid21"/>
              <w:spacing w:line="276" w:lineRule="auto"/>
              <w:rPr>
                <w:rFonts w:asciiTheme="minorHAnsi" w:hAnsiTheme="minorHAnsi" w:cstheme="minorHAnsi"/>
              </w:rPr>
            </w:pPr>
            <w:r>
              <w:rPr>
                <w:rFonts w:asciiTheme="minorHAnsi" w:hAnsiTheme="minorHAnsi" w:cstheme="minorHAnsi"/>
              </w:rPr>
              <w:t>The researchers plan</w:t>
            </w:r>
            <w:r w:rsidRPr="00A47DA5">
              <w:rPr>
                <w:rFonts w:asciiTheme="minorHAnsi" w:hAnsiTheme="minorHAnsi" w:cstheme="minorHAnsi"/>
              </w:rPr>
              <w:t xml:space="preserve"> to recruit 20</w:t>
            </w:r>
            <w:r>
              <w:rPr>
                <w:rFonts w:asciiTheme="minorHAnsi" w:hAnsiTheme="minorHAnsi" w:cstheme="minorHAnsi"/>
              </w:rPr>
              <w:t xml:space="preserve"> </w:t>
            </w:r>
            <w:r w:rsidRPr="00A47DA5">
              <w:rPr>
                <w:rFonts w:asciiTheme="minorHAnsi" w:hAnsiTheme="minorHAnsi" w:cstheme="minorHAnsi"/>
              </w:rPr>
              <w:t xml:space="preserve">women with </w:t>
            </w:r>
            <w:r w:rsidR="008F3436">
              <w:rPr>
                <w:rFonts w:asciiTheme="minorHAnsi" w:hAnsiTheme="minorHAnsi" w:cstheme="minorHAnsi"/>
              </w:rPr>
              <w:t>stable ectopic pregnancies over an 18-month period</w:t>
            </w:r>
            <w:r>
              <w:rPr>
                <w:rFonts w:asciiTheme="minorHAnsi" w:hAnsiTheme="minorHAnsi" w:cstheme="minorHAnsi"/>
              </w:rPr>
              <w:t>, or until recruitment has been ex</w:t>
            </w:r>
            <w:r w:rsidR="00A71E8D">
              <w:rPr>
                <w:rFonts w:asciiTheme="minorHAnsi" w:hAnsiTheme="minorHAnsi" w:cstheme="minorHAnsi"/>
              </w:rPr>
              <w:t xml:space="preserve">hausted. </w:t>
            </w:r>
          </w:p>
        </w:tc>
      </w:tr>
    </w:tbl>
    <w:p w14:paraId="4A717A26" w14:textId="77777777" w:rsidR="00B964A7" w:rsidRDefault="00B964A7" w:rsidP="00B964A7">
      <w:pPr>
        <w:pStyle w:val="Heading1"/>
        <w:rPr>
          <w:rFonts w:asciiTheme="minorHAnsi" w:hAnsiTheme="minorHAnsi" w:cstheme="minorHAnsi"/>
          <w:color w:val="000000" w:themeColor="text1"/>
          <w:sz w:val="22"/>
          <w:szCs w:val="22"/>
        </w:rPr>
      </w:pPr>
      <w:bookmarkStart w:id="9" w:name="_Toc473873053"/>
    </w:p>
    <w:p w14:paraId="7E67F039" w14:textId="77777777" w:rsidR="00B964A7" w:rsidRDefault="00B964A7" w:rsidP="00B964A7">
      <w:pPr>
        <w:rPr>
          <w:rFonts w:eastAsiaTheme="majorEastAsia" w:cstheme="minorHAnsi"/>
          <w:b/>
          <w:bCs/>
          <w:color w:val="000000" w:themeColor="text1"/>
        </w:rPr>
      </w:pPr>
      <w:r>
        <w:rPr>
          <w:rFonts w:cstheme="minorHAnsi"/>
          <w:color w:val="000000" w:themeColor="text1"/>
        </w:rPr>
        <w:br w:type="page"/>
      </w:r>
    </w:p>
    <w:p w14:paraId="7477B48A" w14:textId="77777777" w:rsidR="0020750A" w:rsidRDefault="0020750A" w:rsidP="00446E96">
      <w:pPr>
        <w:pStyle w:val="Heading1"/>
        <w:rPr>
          <w:rFonts w:asciiTheme="minorHAnsi" w:hAnsiTheme="minorHAnsi" w:cstheme="minorHAnsi"/>
          <w:color w:val="000000" w:themeColor="text1"/>
          <w:sz w:val="22"/>
          <w:szCs w:val="22"/>
        </w:rPr>
      </w:pPr>
      <w:bookmarkStart w:id="10" w:name="_Toc489888041"/>
      <w:bookmarkEnd w:id="9"/>
      <w:r w:rsidRPr="00B05FFC">
        <w:rPr>
          <w:rFonts w:asciiTheme="minorHAnsi" w:hAnsiTheme="minorHAnsi" w:cstheme="minorHAnsi"/>
          <w:color w:val="000000" w:themeColor="text1"/>
          <w:sz w:val="22"/>
          <w:szCs w:val="22"/>
        </w:rPr>
        <w:lastRenderedPageBreak/>
        <w:t>LAY SUMMARY</w:t>
      </w:r>
      <w:bookmarkEnd w:id="10"/>
    </w:p>
    <w:p w14:paraId="2F55F976" w14:textId="77777777" w:rsidR="0020750A" w:rsidRPr="00E06BA5" w:rsidRDefault="0020750A" w:rsidP="0020750A"/>
    <w:p w14:paraId="104FE9EE" w14:textId="77777777" w:rsidR="0020750A" w:rsidRDefault="0020750A" w:rsidP="0020750A">
      <w:pPr>
        <w:spacing w:after="80" w:line="240" w:lineRule="auto"/>
        <w:rPr>
          <w:rFonts w:cstheme="minorHAnsi"/>
        </w:rPr>
      </w:pPr>
      <w:r w:rsidRPr="00777EE4">
        <w:rPr>
          <w:rFonts w:cstheme="minorHAnsi"/>
        </w:rPr>
        <w:t xml:space="preserve">Ectopic pregnancies are pregnancies that occur outside of the womb, with the vast majority </w:t>
      </w:r>
      <w:r>
        <w:rPr>
          <w:rFonts w:cstheme="minorHAnsi"/>
        </w:rPr>
        <w:t xml:space="preserve">located </w:t>
      </w:r>
      <w:r w:rsidRPr="00777EE4">
        <w:rPr>
          <w:rFonts w:cstheme="minorHAnsi"/>
        </w:rPr>
        <w:t>in the Fallopian tube (the tube which carries a fertilised egg to the womb). They are potentially life threatening as the</w:t>
      </w:r>
      <w:r>
        <w:rPr>
          <w:rFonts w:cstheme="minorHAnsi"/>
        </w:rPr>
        <w:t>y can erode maternal blood vessels</w:t>
      </w:r>
      <w:r w:rsidRPr="00777EE4">
        <w:rPr>
          <w:rFonts w:cstheme="minorHAnsi"/>
        </w:rPr>
        <w:t xml:space="preserve"> and cause fatal internal bleeding. They are</w:t>
      </w:r>
      <w:r>
        <w:rPr>
          <w:rFonts w:cstheme="minorHAnsi"/>
        </w:rPr>
        <w:t xml:space="preserve"> relatively</w:t>
      </w:r>
      <w:r w:rsidRPr="00777EE4">
        <w:rPr>
          <w:rFonts w:cstheme="minorHAnsi"/>
        </w:rPr>
        <w:t xml:space="preserve"> common, representing </w:t>
      </w:r>
      <w:r>
        <w:rPr>
          <w:rFonts w:cstheme="minorHAnsi"/>
        </w:rPr>
        <w:t xml:space="preserve">around </w:t>
      </w:r>
      <w:r w:rsidRPr="00777EE4">
        <w:rPr>
          <w:rFonts w:cstheme="minorHAnsi"/>
        </w:rPr>
        <w:t xml:space="preserve">2% </w:t>
      </w:r>
      <w:r>
        <w:rPr>
          <w:rFonts w:cstheme="minorHAnsi"/>
        </w:rPr>
        <w:t>of pregnancies</w:t>
      </w:r>
      <w:r w:rsidRPr="00777EE4">
        <w:rPr>
          <w:rFonts w:cstheme="minorHAnsi"/>
        </w:rPr>
        <w:t xml:space="preserve">. </w:t>
      </w:r>
    </w:p>
    <w:p w14:paraId="64CDFC91" w14:textId="77777777" w:rsidR="0020750A" w:rsidRPr="00777EE4" w:rsidRDefault="0020750A" w:rsidP="0020750A">
      <w:pPr>
        <w:spacing w:after="80" w:line="240" w:lineRule="auto"/>
        <w:rPr>
          <w:rFonts w:cstheme="minorHAnsi"/>
        </w:rPr>
      </w:pPr>
    </w:p>
    <w:p w14:paraId="4D5F2DDA" w14:textId="77777777" w:rsidR="0020750A" w:rsidRDefault="0020750A" w:rsidP="0020750A">
      <w:pPr>
        <w:adjustRightInd w:val="0"/>
        <w:spacing w:after="80" w:line="240" w:lineRule="auto"/>
        <w:rPr>
          <w:rFonts w:cstheme="minorHAnsi"/>
        </w:rPr>
      </w:pPr>
      <w:r>
        <w:rPr>
          <w:rFonts w:cstheme="minorHAnsi"/>
          <w:color w:val="000000"/>
          <w:szCs w:val="24"/>
        </w:rPr>
        <w:t>If an</w:t>
      </w:r>
      <w:r w:rsidRPr="00777EE4">
        <w:rPr>
          <w:rFonts w:cstheme="minorHAnsi"/>
          <w:color w:val="000000"/>
          <w:szCs w:val="24"/>
        </w:rPr>
        <w:t xml:space="preserve"> ectopic pregnancy is identified early</w:t>
      </w:r>
      <w:r>
        <w:rPr>
          <w:rFonts w:cstheme="minorHAnsi"/>
          <w:color w:val="000000"/>
          <w:szCs w:val="24"/>
        </w:rPr>
        <w:t xml:space="preserve"> and is</w:t>
      </w:r>
      <w:r w:rsidRPr="00777EE4">
        <w:rPr>
          <w:rFonts w:cstheme="minorHAnsi"/>
          <w:color w:val="000000"/>
          <w:szCs w:val="24"/>
        </w:rPr>
        <w:t xml:space="preserve"> small in size</w:t>
      </w:r>
      <w:r>
        <w:rPr>
          <w:rFonts w:cstheme="minorHAnsi"/>
          <w:color w:val="000000"/>
          <w:szCs w:val="24"/>
        </w:rPr>
        <w:t xml:space="preserve">, </w:t>
      </w:r>
      <w:r w:rsidRPr="00777EE4">
        <w:rPr>
          <w:rFonts w:cstheme="minorHAnsi"/>
          <w:color w:val="000000"/>
          <w:szCs w:val="24"/>
        </w:rPr>
        <w:t xml:space="preserve">a drug called </w:t>
      </w:r>
      <w:r>
        <w:rPr>
          <w:rFonts w:cstheme="minorHAnsi"/>
          <w:color w:val="000000"/>
          <w:szCs w:val="24"/>
        </w:rPr>
        <w:t>methotrexate can be administered via injection. However, o</w:t>
      </w:r>
      <w:r w:rsidRPr="00777EE4">
        <w:rPr>
          <w:rFonts w:cstheme="minorHAnsi"/>
          <w:color w:val="000000"/>
          <w:szCs w:val="24"/>
        </w:rPr>
        <w:t>nly a small number of ectopic pregnancies (~25%) are identified early enough to be suit</w:t>
      </w:r>
      <w:r>
        <w:rPr>
          <w:rFonts w:cstheme="minorHAnsi"/>
          <w:color w:val="000000"/>
          <w:szCs w:val="24"/>
        </w:rPr>
        <w:t>able for this medication. Additionally, methotrexate is unsuccessful in treating ectopic pregnancies in up to 30% of cases. This means that t</w:t>
      </w:r>
      <w:r w:rsidRPr="00777EE4">
        <w:rPr>
          <w:rFonts w:cstheme="minorHAnsi"/>
          <w:color w:val="000000"/>
          <w:szCs w:val="24"/>
        </w:rPr>
        <w:t>he majori</w:t>
      </w:r>
      <w:r>
        <w:rPr>
          <w:rFonts w:cstheme="minorHAnsi"/>
          <w:color w:val="000000"/>
          <w:szCs w:val="24"/>
        </w:rPr>
        <w:t>ty of ectopic pregnancies are ultimately removed surgically. This exposes</w:t>
      </w:r>
      <w:r w:rsidR="00D267D0">
        <w:rPr>
          <w:rFonts w:cstheme="minorHAnsi"/>
          <w:color w:val="000000"/>
          <w:szCs w:val="24"/>
        </w:rPr>
        <w:t xml:space="preserve"> many affected</w:t>
      </w:r>
      <w:r w:rsidRPr="00777EE4">
        <w:rPr>
          <w:rFonts w:cstheme="minorHAnsi"/>
          <w:color w:val="000000"/>
          <w:szCs w:val="24"/>
        </w:rPr>
        <w:t xml:space="preserve"> women</w:t>
      </w:r>
      <w:r>
        <w:rPr>
          <w:rFonts w:cstheme="minorHAnsi"/>
          <w:color w:val="000000"/>
          <w:szCs w:val="24"/>
        </w:rPr>
        <w:t xml:space="preserve"> to both surgical and anaesthetic risks; is complex (requiring doctors with specialist surgical skills); and can involve the removal of the woman’s Fallopian tube</w:t>
      </w:r>
      <w:r w:rsidRPr="00777EE4">
        <w:rPr>
          <w:rFonts w:cstheme="minorHAnsi"/>
          <w:color w:val="000000"/>
          <w:szCs w:val="24"/>
        </w:rPr>
        <w:t xml:space="preserve">. </w:t>
      </w:r>
      <w:r>
        <w:rPr>
          <w:rFonts w:cstheme="minorHAnsi"/>
        </w:rPr>
        <w:t>As f</w:t>
      </w:r>
      <w:r w:rsidRPr="0077691B">
        <w:rPr>
          <w:rFonts w:cstheme="minorHAnsi"/>
        </w:rPr>
        <w:t>ertility</w:t>
      </w:r>
      <w:r>
        <w:rPr>
          <w:rFonts w:cstheme="minorHAnsi"/>
        </w:rPr>
        <w:t xml:space="preserve"> preservation is an important concern in this area of medicine, t</w:t>
      </w:r>
      <w:r w:rsidRPr="00777EE4">
        <w:rPr>
          <w:rFonts w:cstheme="minorHAnsi"/>
        </w:rPr>
        <w:t xml:space="preserve">he development of </w:t>
      </w:r>
      <w:r>
        <w:rPr>
          <w:rFonts w:cstheme="minorHAnsi"/>
        </w:rPr>
        <w:t>a new medical therapy</w:t>
      </w:r>
      <w:r w:rsidRPr="00777EE4">
        <w:rPr>
          <w:rFonts w:cstheme="minorHAnsi"/>
        </w:rPr>
        <w:t xml:space="preserve"> with a higher success rate</w:t>
      </w:r>
      <w:r>
        <w:rPr>
          <w:rFonts w:cstheme="minorHAnsi"/>
        </w:rPr>
        <w:t xml:space="preserve"> than methotrexate would </w:t>
      </w:r>
      <w:r w:rsidRPr="00777EE4">
        <w:rPr>
          <w:rFonts w:cstheme="minorHAnsi"/>
        </w:rPr>
        <w:t xml:space="preserve">be a major </w:t>
      </w:r>
      <w:r>
        <w:rPr>
          <w:rFonts w:cstheme="minorHAnsi"/>
        </w:rPr>
        <w:t>advance in the clinical care of women who have ectopic pregnancies.</w:t>
      </w:r>
    </w:p>
    <w:p w14:paraId="576EE29B" w14:textId="77777777" w:rsidR="0020750A" w:rsidRPr="007B334E" w:rsidRDefault="0020750A" w:rsidP="0020750A">
      <w:pPr>
        <w:adjustRightInd w:val="0"/>
        <w:spacing w:after="80" w:line="240" w:lineRule="auto"/>
        <w:rPr>
          <w:rFonts w:cstheme="minorHAnsi"/>
        </w:rPr>
      </w:pPr>
    </w:p>
    <w:p w14:paraId="53F8290D" w14:textId="77777777" w:rsidR="0020750A" w:rsidRDefault="0020750A" w:rsidP="0020750A">
      <w:pPr>
        <w:spacing w:before="115" w:line="240" w:lineRule="auto"/>
        <w:ind w:right="-11"/>
        <w:rPr>
          <w:rFonts w:cstheme="minorHAnsi"/>
        </w:rPr>
      </w:pPr>
      <w:r w:rsidRPr="00777EE4">
        <w:rPr>
          <w:rFonts w:cstheme="minorHAnsi"/>
        </w:rPr>
        <w:t>Excitingly, we have discovered in pre</w:t>
      </w:r>
      <w:r w:rsidR="00CA3D51">
        <w:rPr>
          <w:rFonts w:cstheme="minorHAnsi"/>
        </w:rPr>
        <w:t>-</w:t>
      </w:r>
      <w:r w:rsidRPr="00777EE4">
        <w:rPr>
          <w:rFonts w:cstheme="minorHAnsi"/>
        </w:rPr>
        <w:t>clinical laboratory studies that vinorelbine, an orally available chemotherapeutic</w:t>
      </w:r>
      <w:r>
        <w:rPr>
          <w:rFonts w:cstheme="minorHAnsi"/>
        </w:rPr>
        <w:t xml:space="preserve"> medication</w:t>
      </w:r>
      <w:r w:rsidRPr="00777EE4">
        <w:rPr>
          <w:rFonts w:cstheme="minorHAnsi"/>
        </w:rPr>
        <w:t>,</w:t>
      </w:r>
      <w:r>
        <w:rPr>
          <w:rFonts w:cstheme="minorHAnsi"/>
        </w:rPr>
        <w:t xml:space="preserve"> may be appropriate for use as an alternative to methotrexate in</w:t>
      </w:r>
      <w:r w:rsidR="004B75E6">
        <w:rPr>
          <w:rFonts w:cstheme="minorHAnsi"/>
        </w:rPr>
        <w:t xml:space="preserve"> the medical treatment of</w:t>
      </w:r>
      <w:r>
        <w:rPr>
          <w:rFonts w:cstheme="minorHAnsi"/>
        </w:rPr>
        <w:t xml:space="preserve"> ectopic pregnancies. Specifically, we have found</w:t>
      </w:r>
      <w:r w:rsidR="00A74A3C">
        <w:rPr>
          <w:rFonts w:cstheme="minorHAnsi"/>
        </w:rPr>
        <w:t xml:space="preserve"> in our laboratory studies</w:t>
      </w:r>
      <w:r>
        <w:rPr>
          <w:rFonts w:cstheme="minorHAnsi"/>
        </w:rPr>
        <w:t xml:space="preserve"> that</w:t>
      </w:r>
      <w:r w:rsidRPr="00777EE4">
        <w:rPr>
          <w:rFonts w:cstheme="minorHAnsi"/>
        </w:rPr>
        <w:t xml:space="preserve"> </w:t>
      </w:r>
      <w:r>
        <w:rPr>
          <w:rFonts w:cstheme="minorHAnsi"/>
        </w:rPr>
        <w:t>v</w:t>
      </w:r>
      <w:r w:rsidRPr="0077691B">
        <w:rPr>
          <w:rFonts w:cstheme="minorHAnsi"/>
        </w:rPr>
        <w:t xml:space="preserve">inorelbine </w:t>
      </w:r>
      <w:r>
        <w:rPr>
          <w:rFonts w:cstheme="minorHAnsi"/>
        </w:rPr>
        <w:t>is</w:t>
      </w:r>
      <w:r w:rsidRPr="0077691B">
        <w:rPr>
          <w:rFonts w:cstheme="minorHAnsi"/>
        </w:rPr>
        <w:t xml:space="preserve"> 1,000 to 10,000 times more effective than methotrexate at killing placental </w:t>
      </w:r>
      <w:r>
        <w:rPr>
          <w:rFonts w:cstheme="minorHAnsi"/>
        </w:rPr>
        <w:t>cells,</w:t>
      </w:r>
      <w:r w:rsidRPr="0077691B">
        <w:rPr>
          <w:rFonts w:cstheme="minorHAnsi"/>
        </w:rPr>
        <w:t xml:space="preserve"> </w:t>
      </w:r>
      <w:r w:rsidR="00F25264">
        <w:rPr>
          <w:rFonts w:cstheme="minorHAnsi"/>
        </w:rPr>
        <w:t xml:space="preserve">is </w:t>
      </w:r>
      <w:r w:rsidRPr="0077691B">
        <w:rPr>
          <w:rFonts w:cstheme="minorHAnsi"/>
        </w:rPr>
        <w:t>more effective than methotrexate in an animal model ectopic pregnancy</w:t>
      </w:r>
      <w:r>
        <w:rPr>
          <w:rFonts w:cstheme="minorHAnsi"/>
        </w:rPr>
        <w:t xml:space="preserve">, </w:t>
      </w:r>
      <w:r w:rsidRPr="0077691B">
        <w:rPr>
          <w:rFonts w:cstheme="minorHAnsi"/>
        </w:rPr>
        <w:t xml:space="preserve">does not cause cell death </w:t>
      </w:r>
      <w:r>
        <w:rPr>
          <w:rFonts w:cstheme="minorHAnsi"/>
        </w:rPr>
        <w:t xml:space="preserve">of donated </w:t>
      </w:r>
      <w:r w:rsidRPr="0077691B">
        <w:rPr>
          <w:rFonts w:cstheme="minorHAnsi"/>
        </w:rPr>
        <w:t>human Fallopian tubes</w:t>
      </w:r>
      <w:r>
        <w:rPr>
          <w:rFonts w:cstheme="minorHAnsi"/>
        </w:rPr>
        <w:t xml:space="preserve"> and does not impact upon</w:t>
      </w:r>
      <w:r w:rsidRPr="0077691B">
        <w:rPr>
          <w:rFonts w:cstheme="minorHAnsi"/>
        </w:rPr>
        <w:t xml:space="preserve"> subsequent breeding </w:t>
      </w:r>
      <w:r>
        <w:rPr>
          <w:rFonts w:cstheme="minorHAnsi"/>
        </w:rPr>
        <w:t>in mice (af</w:t>
      </w:r>
      <w:r w:rsidR="00D5360E">
        <w:rPr>
          <w:rFonts w:cstheme="minorHAnsi"/>
        </w:rPr>
        <w:t>ter a four week washout period)</w:t>
      </w:r>
      <w:r>
        <w:rPr>
          <w:rFonts w:cstheme="minorHAnsi"/>
        </w:rPr>
        <w:t>. Together, t</w:t>
      </w:r>
      <w:r w:rsidRPr="0077691B">
        <w:rPr>
          <w:rFonts w:cstheme="minorHAnsi"/>
        </w:rPr>
        <w:t xml:space="preserve">hese findings indicate that vinorelbine may not </w:t>
      </w:r>
      <w:r>
        <w:rPr>
          <w:rFonts w:cstheme="minorHAnsi"/>
        </w:rPr>
        <w:t>impede</w:t>
      </w:r>
      <w:r w:rsidRPr="0077691B">
        <w:rPr>
          <w:rFonts w:cstheme="minorHAnsi"/>
        </w:rPr>
        <w:t xml:space="preserve"> future fertility</w:t>
      </w:r>
      <w:r>
        <w:rPr>
          <w:rFonts w:cstheme="minorHAnsi"/>
        </w:rPr>
        <w:t xml:space="preserve">, and that </w:t>
      </w:r>
      <w:r w:rsidRPr="0077691B">
        <w:rPr>
          <w:rFonts w:cstheme="minorHAnsi"/>
        </w:rPr>
        <w:t xml:space="preserve">may be an efficacious treatment for ectopic pregnancy. </w:t>
      </w:r>
    </w:p>
    <w:p w14:paraId="724BC245" w14:textId="77777777" w:rsidR="0020750A" w:rsidRDefault="0020750A" w:rsidP="0020750A">
      <w:pPr>
        <w:spacing w:before="115" w:line="240" w:lineRule="auto"/>
        <w:ind w:right="-11"/>
        <w:rPr>
          <w:rFonts w:cstheme="minorHAnsi"/>
        </w:rPr>
      </w:pPr>
    </w:p>
    <w:p w14:paraId="5F68B625" w14:textId="77777777" w:rsidR="0020750A" w:rsidRDefault="0020750A" w:rsidP="0020750A">
      <w:pPr>
        <w:spacing w:before="115" w:line="240" w:lineRule="auto"/>
        <w:ind w:right="-11"/>
        <w:rPr>
          <w:rFonts w:cstheme="minorHAnsi"/>
        </w:rPr>
      </w:pPr>
      <w:r w:rsidRPr="00777EE4">
        <w:rPr>
          <w:rFonts w:cstheme="minorHAnsi"/>
        </w:rPr>
        <w:t>Given these promising pre-clinical results, we h</w:t>
      </w:r>
      <w:r>
        <w:rPr>
          <w:rFonts w:cstheme="minorHAnsi"/>
        </w:rPr>
        <w:t>ope to progress this concept and eventually translate</w:t>
      </w:r>
      <w:r w:rsidRPr="00777EE4">
        <w:rPr>
          <w:rFonts w:cstheme="minorHAnsi"/>
        </w:rPr>
        <w:t xml:space="preserve"> these laboratory findings into clinical care. We propose to begin this process with a </w:t>
      </w:r>
      <w:r w:rsidRPr="00777EE4">
        <w:rPr>
          <w:rFonts w:cstheme="minorHAnsi"/>
          <w:i/>
        </w:rPr>
        <w:t>proof-of-concept</w:t>
      </w:r>
      <w:r>
        <w:rPr>
          <w:rFonts w:cstheme="minorHAnsi"/>
          <w:i/>
        </w:rPr>
        <w:t>,</w:t>
      </w:r>
      <w:r w:rsidRPr="00777EE4">
        <w:rPr>
          <w:rFonts w:cstheme="minorHAnsi"/>
        </w:rPr>
        <w:t xml:space="preserve"> early phase clinical trial. We will recruit 20 women with stab</w:t>
      </w:r>
      <w:r>
        <w:rPr>
          <w:rFonts w:cstheme="minorHAnsi"/>
        </w:rPr>
        <w:t xml:space="preserve">le ectopic pregnancies </w:t>
      </w:r>
      <w:r w:rsidRPr="00777EE4">
        <w:rPr>
          <w:rFonts w:cstheme="minorHAnsi"/>
        </w:rPr>
        <w:t xml:space="preserve">and treat the participants with two doses of 60mg/m² of oral vinorelbine, spaced one week apart. We will assess the safety, toxicity and tolerability of vinorelbine therapy in these women, as well as monitoring the effectiveness of vinorelbine in </w:t>
      </w:r>
      <w:r>
        <w:rPr>
          <w:rFonts w:cstheme="minorHAnsi"/>
        </w:rPr>
        <w:t xml:space="preserve">killing placental cells and </w:t>
      </w:r>
      <w:r w:rsidRPr="00777EE4">
        <w:rPr>
          <w:rFonts w:cstheme="minorHAnsi"/>
        </w:rPr>
        <w:t>resolving ectopic pregnancies. If successful, we will gain suff</w:t>
      </w:r>
      <w:r w:rsidR="00D92B0E">
        <w:rPr>
          <w:rFonts w:cstheme="minorHAnsi"/>
        </w:rPr>
        <w:t>icient evidence to progress our</w:t>
      </w:r>
      <w:r w:rsidRPr="00777EE4">
        <w:rPr>
          <w:rFonts w:cstheme="minorHAnsi"/>
        </w:rPr>
        <w:t xml:space="preserve"> investigation</w:t>
      </w:r>
      <w:r w:rsidR="00D92B0E">
        <w:rPr>
          <w:rFonts w:cstheme="minorHAnsi"/>
        </w:rPr>
        <w:t>s</w:t>
      </w:r>
      <w:r w:rsidRPr="00777EE4">
        <w:rPr>
          <w:rFonts w:cstheme="minorHAnsi"/>
        </w:rPr>
        <w:t xml:space="preserve"> of vinorelbine </w:t>
      </w:r>
      <w:r w:rsidR="00D92B0E">
        <w:rPr>
          <w:rFonts w:cstheme="minorHAnsi"/>
        </w:rPr>
        <w:t>as a treatment for</w:t>
      </w:r>
      <w:r>
        <w:rPr>
          <w:rFonts w:cstheme="minorHAnsi"/>
        </w:rPr>
        <w:t xml:space="preserve"> ectopic pregnancies </w:t>
      </w:r>
      <w:r w:rsidRPr="00777EE4">
        <w:rPr>
          <w:rFonts w:cstheme="minorHAnsi"/>
        </w:rPr>
        <w:t xml:space="preserve">to a large-scale, randomized clinical trial. We hope that it may form the basis for an efficient and safe future medical treatment option for </w:t>
      </w:r>
      <w:r>
        <w:rPr>
          <w:rFonts w:cstheme="minorHAnsi"/>
        </w:rPr>
        <w:t>this group of women who do not wish to undergo surgery or have their tube removed. This could lead to improvements in</w:t>
      </w:r>
      <w:r w:rsidRPr="00777EE4">
        <w:rPr>
          <w:rFonts w:cstheme="minorHAnsi"/>
        </w:rPr>
        <w:t xml:space="preserve"> the</w:t>
      </w:r>
      <w:r w:rsidR="004124E3">
        <w:rPr>
          <w:rFonts w:cstheme="minorHAnsi"/>
        </w:rPr>
        <w:t xml:space="preserve"> health</w:t>
      </w:r>
      <w:r>
        <w:rPr>
          <w:rFonts w:cstheme="minorHAnsi"/>
        </w:rPr>
        <w:t xml:space="preserve"> and future fertility</w:t>
      </w:r>
      <w:r w:rsidRPr="00777EE4">
        <w:rPr>
          <w:rFonts w:cstheme="minorHAnsi"/>
        </w:rPr>
        <w:t xml:space="preserve"> outcomes</w:t>
      </w:r>
      <w:r>
        <w:rPr>
          <w:rFonts w:cstheme="minorHAnsi"/>
        </w:rPr>
        <w:t xml:space="preserve"> of</w:t>
      </w:r>
      <w:r w:rsidRPr="00777EE4">
        <w:rPr>
          <w:rFonts w:cstheme="minorHAnsi"/>
        </w:rPr>
        <w:t xml:space="preserve"> women who experience this common</w:t>
      </w:r>
      <w:r>
        <w:rPr>
          <w:rFonts w:cstheme="minorHAnsi"/>
        </w:rPr>
        <w:t>, potentially life-threatening</w:t>
      </w:r>
      <w:r w:rsidRPr="00777EE4">
        <w:rPr>
          <w:rFonts w:cstheme="minorHAnsi"/>
        </w:rPr>
        <w:t xml:space="preserve"> pregnancy complication.</w:t>
      </w:r>
    </w:p>
    <w:p w14:paraId="4F2084A1" w14:textId="77777777" w:rsidR="0020750A" w:rsidRDefault="0020750A" w:rsidP="0020750A">
      <w:pPr>
        <w:spacing w:before="115" w:line="240" w:lineRule="auto"/>
        <w:ind w:right="-11"/>
        <w:rPr>
          <w:rFonts w:ascii="Times" w:hAnsi="Times" w:cstheme="minorHAnsi"/>
        </w:rPr>
      </w:pPr>
      <w:r w:rsidRPr="00CB685F">
        <w:rPr>
          <w:rFonts w:ascii="Times" w:hAnsi="Times" w:cstheme="minorHAnsi"/>
        </w:rPr>
        <w:t xml:space="preserve">   </w:t>
      </w:r>
      <w:r w:rsidRPr="00CB685F">
        <w:rPr>
          <w:rFonts w:ascii="Times" w:hAnsi="Times" w:cstheme="minorHAnsi"/>
        </w:rPr>
        <w:tab/>
      </w:r>
    </w:p>
    <w:p w14:paraId="2D8CF080" w14:textId="77777777" w:rsidR="0020750A" w:rsidRDefault="0020750A" w:rsidP="0020750A">
      <w:pPr>
        <w:spacing w:before="115" w:line="240" w:lineRule="auto"/>
        <w:ind w:right="-11"/>
        <w:rPr>
          <w:rFonts w:ascii="Times" w:hAnsi="Times" w:cstheme="minorHAnsi"/>
        </w:rPr>
      </w:pPr>
    </w:p>
    <w:p w14:paraId="12F33A71" w14:textId="77777777" w:rsidR="0020750A" w:rsidRDefault="0020750A" w:rsidP="0020750A">
      <w:pPr>
        <w:spacing w:before="115" w:line="240" w:lineRule="auto"/>
        <w:ind w:right="-11"/>
        <w:rPr>
          <w:rFonts w:ascii="Times" w:hAnsi="Times" w:cstheme="minorHAnsi"/>
        </w:rPr>
      </w:pPr>
    </w:p>
    <w:p w14:paraId="1815AFA9" w14:textId="77777777" w:rsidR="0020750A" w:rsidRDefault="0020750A" w:rsidP="0020750A">
      <w:pPr>
        <w:spacing w:before="115" w:line="240" w:lineRule="auto"/>
        <w:ind w:right="-11"/>
        <w:rPr>
          <w:rFonts w:ascii="Times" w:hAnsi="Times" w:cstheme="minorHAnsi"/>
        </w:rPr>
      </w:pPr>
    </w:p>
    <w:p w14:paraId="13009920" w14:textId="77777777" w:rsidR="0020750A" w:rsidRDefault="0020750A" w:rsidP="0020750A">
      <w:pPr>
        <w:spacing w:before="115" w:line="240" w:lineRule="auto"/>
        <w:ind w:right="-11"/>
        <w:rPr>
          <w:rFonts w:ascii="Times" w:hAnsi="Times" w:cstheme="minorHAnsi"/>
        </w:rPr>
      </w:pPr>
    </w:p>
    <w:p w14:paraId="18FF12FB" w14:textId="77777777" w:rsidR="0020750A" w:rsidRPr="0002718A" w:rsidRDefault="0020750A" w:rsidP="0020750A">
      <w:pPr>
        <w:spacing w:before="115" w:line="240" w:lineRule="auto"/>
        <w:ind w:right="-11"/>
        <w:rPr>
          <w:rFonts w:ascii="Times" w:hAnsi="Times" w:cstheme="minorHAnsi"/>
        </w:rPr>
      </w:pPr>
    </w:p>
    <w:p w14:paraId="0C87DD0F" w14:textId="77777777" w:rsidR="0020750A" w:rsidRDefault="0020750A" w:rsidP="00446E96">
      <w:pPr>
        <w:pStyle w:val="ListParagraph"/>
        <w:numPr>
          <w:ilvl w:val="0"/>
          <w:numId w:val="1"/>
        </w:numPr>
        <w:outlineLvl w:val="0"/>
        <w:rPr>
          <w:rFonts w:cstheme="minorHAnsi"/>
          <w:b/>
        </w:rPr>
      </w:pPr>
      <w:bookmarkStart w:id="11" w:name="_Toc473873054"/>
      <w:bookmarkStart w:id="12" w:name="_Toc489888042"/>
      <w:r w:rsidRPr="00B05FFC">
        <w:rPr>
          <w:rFonts w:cstheme="minorHAnsi"/>
          <w:b/>
        </w:rPr>
        <w:lastRenderedPageBreak/>
        <w:t>INTRODUCTION</w:t>
      </w:r>
      <w:bookmarkEnd w:id="11"/>
      <w:bookmarkEnd w:id="12"/>
    </w:p>
    <w:p w14:paraId="533852ED" w14:textId="77777777" w:rsidR="0020750A" w:rsidRPr="00A91F34" w:rsidRDefault="0020750A" w:rsidP="0020750A">
      <w:pPr>
        <w:pStyle w:val="ListParagraph"/>
        <w:outlineLvl w:val="0"/>
        <w:rPr>
          <w:rFonts w:cstheme="minorHAnsi"/>
          <w:b/>
        </w:rPr>
      </w:pPr>
    </w:p>
    <w:p w14:paraId="32D23D11" w14:textId="77777777" w:rsidR="0020750A" w:rsidRDefault="0020750A" w:rsidP="00446E96">
      <w:pPr>
        <w:pStyle w:val="ListParagraph"/>
        <w:numPr>
          <w:ilvl w:val="1"/>
          <w:numId w:val="1"/>
        </w:numPr>
        <w:ind w:hanging="589"/>
        <w:outlineLvl w:val="1"/>
        <w:rPr>
          <w:rFonts w:cstheme="minorHAnsi"/>
          <w:b/>
        </w:rPr>
      </w:pPr>
      <w:bookmarkStart w:id="13" w:name="_Toc473873055"/>
      <w:bookmarkStart w:id="14" w:name="_Toc489888043"/>
      <w:r w:rsidRPr="00B05FFC">
        <w:rPr>
          <w:rFonts w:cstheme="minorHAnsi"/>
          <w:b/>
        </w:rPr>
        <w:t>BACKGROUND</w:t>
      </w:r>
      <w:bookmarkEnd w:id="13"/>
      <w:bookmarkEnd w:id="14"/>
    </w:p>
    <w:p w14:paraId="467D8F64" w14:textId="77777777" w:rsidR="003C29DA" w:rsidRDefault="003C29DA" w:rsidP="003C29DA">
      <w:pPr>
        <w:pStyle w:val="ListParagraph"/>
        <w:ind w:left="1440"/>
        <w:outlineLvl w:val="1"/>
        <w:rPr>
          <w:rFonts w:cstheme="minorHAnsi"/>
          <w:b/>
        </w:rPr>
      </w:pPr>
    </w:p>
    <w:p w14:paraId="59F2BD7A" w14:textId="77777777" w:rsidR="0020750A" w:rsidRDefault="0020750A" w:rsidP="0067164A">
      <w:pPr>
        <w:pStyle w:val="ListParagraph"/>
        <w:numPr>
          <w:ilvl w:val="2"/>
          <w:numId w:val="1"/>
        </w:numPr>
        <w:outlineLvl w:val="2"/>
        <w:rPr>
          <w:rFonts w:cstheme="minorHAnsi"/>
          <w:b/>
        </w:rPr>
      </w:pPr>
      <w:bookmarkStart w:id="15" w:name="_Toc489888044"/>
      <w:r w:rsidRPr="004157A8">
        <w:rPr>
          <w:rFonts w:cstheme="minorHAnsi"/>
          <w:b/>
        </w:rPr>
        <w:t>Ectopic pregnancy</w:t>
      </w:r>
      <w:bookmarkEnd w:id="15"/>
    </w:p>
    <w:p w14:paraId="505BDC78" w14:textId="6EF93C3C" w:rsidR="004157A8" w:rsidRDefault="004157A8" w:rsidP="004157A8">
      <w:pPr>
        <w:spacing w:before="120"/>
        <w:rPr>
          <w:rFonts w:cstheme="minorHAnsi"/>
          <w:color w:val="000000" w:themeColor="text1"/>
        </w:rPr>
      </w:pPr>
      <w:r w:rsidRPr="004157A8">
        <w:rPr>
          <w:rFonts w:cstheme="minorHAnsi"/>
          <w:color w:val="000000" w:themeColor="text1"/>
        </w:rPr>
        <w:t>Ectopic pregnancies represen</w:t>
      </w:r>
      <w:r w:rsidR="00C42857">
        <w:rPr>
          <w:rFonts w:cstheme="minorHAnsi"/>
          <w:color w:val="000000" w:themeColor="text1"/>
        </w:rPr>
        <w:t>t 1-2% of all human pregnancies</w:t>
      </w:r>
      <w:r w:rsidRPr="004157A8">
        <w:rPr>
          <w:rFonts w:cstheme="minorHAnsi"/>
          <w:color w:val="000000" w:themeColor="text1"/>
        </w:rPr>
        <w:t xml:space="preserve"> and are a leading cause of maternal death in the first trimester</w:t>
      </w:r>
      <w:r w:rsidR="00C42857">
        <w:rPr>
          <w:rFonts w:cstheme="minorHAnsi"/>
          <w:color w:val="000000" w:themeColor="text1"/>
        </w:rPr>
        <w:t xml:space="preserve"> of pregnancy </w:t>
      </w:r>
      <w:r w:rsidR="00C42857">
        <w:rPr>
          <w:rFonts w:cstheme="minorHAnsi"/>
          <w:color w:val="000000" w:themeColor="text1"/>
        </w:rPr>
        <w:fldChar w:fldCharType="begin"/>
      </w:r>
      <w:r w:rsidR="00EC682B">
        <w:rPr>
          <w:rFonts w:cstheme="minorHAnsi"/>
          <w:color w:val="000000" w:themeColor="text1"/>
        </w:rPr>
        <w:instrText xml:space="preserve"> ADDIN EN.CITE &lt;EndNote&gt;&lt;Cite&gt;&lt;Author&gt;Farquhar&lt;/Author&gt;&lt;Year&gt;2005&lt;/Year&gt;&lt;RecNum&gt;1&lt;/RecNum&gt;&lt;DisplayText&gt;[1, 2]&lt;/DisplayText&gt;&lt;record&gt;&lt;rec-number&gt;1&lt;/rec-number&gt;&lt;foreign-keys&gt;&lt;key app="EN" db-id="wazxt5z5d50z29ewex8xaasdd02vw2waeed0" timestamp="0"&gt;1&lt;/key&gt;&lt;/foreign-keys&gt;&lt;ref-type name="Journal Article"&gt;17&lt;/ref-type&gt;&lt;contributors&gt;&lt;authors&gt;&lt;author&gt;Farquhar, C.M.&lt;/author&gt;&lt;/authors&gt;&lt;/contributors&gt;&lt;titles&gt;&lt;title&gt;Ectopic pregnancy&lt;/title&gt;&lt;secondary-title&gt;Lancet&lt;/secondary-title&gt;&lt;/titles&gt;&lt;periodical&gt;&lt;full-title&gt;Lancet&lt;/full-title&gt;&lt;/periodical&gt;&lt;pages&gt;9&lt;/pages&gt;&lt;volume&gt;366&lt;/volume&gt;&lt;number&gt;9485&lt;/number&gt;&lt;section&gt;583&lt;/section&gt;&lt;dates&gt;&lt;year&gt;2005&lt;/year&gt;&lt;/dates&gt;&lt;urls&gt;&lt;/urls&gt;&lt;/record&gt;&lt;/Cite&gt;&lt;Cite&gt;&lt;Author&gt;(CDC)&lt;/Author&gt;&lt;Year&gt;1995&lt;/Year&gt;&lt;RecNum&gt;2&lt;/RecNum&gt;&lt;record&gt;&lt;rec-number&gt;2&lt;/rec-number&gt;&lt;foreign-keys&gt;&lt;key app="EN" db-id="wazxt5z5d50z29ewex8xaasdd02vw2waeed0" timestamp="1501639073"&gt;2&lt;/key&gt;&lt;/foreign-keys&gt;&lt;ref-type name="Journal Article"&gt;17&lt;/ref-type&gt;&lt;contributors&gt;&lt;authors&gt;&lt;author&gt;Centers for Disease Control and Prevention (CDC)&lt;/author&gt;&lt;/authors&gt;&lt;/contributors&gt;&lt;titles&gt;&lt;title&gt;Current trends - ectopic pregnancy: United States, 1990-1992.&lt;/title&gt;&lt;secondary-title&gt;Morbidity Mortality Weekly Report&lt;/secondary-title&gt;&lt;/titles&gt;&lt;periodical&gt;&lt;full-title&gt;Morbidity Mortality Weekly Report&lt;/full-title&gt;&lt;/periodical&gt;&lt;pages&gt;46-48&lt;/pages&gt;&lt;volume&gt;44&lt;/volume&gt;&lt;number&gt;3&lt;/number&gt;&lt;dates&gt;&lt;year&gt;1995&lt;/year&gt;&lt;/dates&gt;&lt;urls&gt;&lt;/urls&gt;&lt;/record&gt;&lt;/Cite&gt;&lt;/EndNote&gt;</w:instrText>
      </w:r>
      <w:r w:rsidR="00C42857">
        <w:rPr>
          <w:rFonts w:cstheme="minorHAnsi"/>
          <w:color w:val="000000" w:themeColor="text1"/>
        </w:rPr>
        <w:fldChar w:fldCharType="separate"/>
      </w:r>
      <w:r w:rsidR="00EC682B">
        <w:rPr>
          <w:rFonts w:cstheme="minorHAnsi"/>
          <w:noProof/>
          <w:color w:val="000000" w:themeColor="text1"/>
        </w:rPr>
        <w:t>[1, 2]</w:t>
      </w:r>
      <w:r w:rsidR="00C42857">
        <w:rPr>
          <w:rFonts w:cstheme="minorHAnsi"/>
          <w:color w:val="000000" w:themeColor="text1"/>
        </w:rPr>
        <w:fldChar w:fldCharType="end"/>
      </w:r>
      <w:r w:rsidRPr="004157A8">
        <w:rPr>
          <w:rFonts w:cstheme="minorHAnsi"/>
          <w:color w:val="000000" w:themeColor="text1"/>
        </w:rPr>
        <w:t>. They are characterized by the extra-uterine implantation of a pregnancy, w</w:t>
      </w:r>
      <w:r w:rsidR="002D7824">
        <w:rPr>
          <w:rFonts w:cstheme="minorHAnsi"/>
          <w:color w:val="000000" w:themeColor="text1"/>
        </w:rPr>
        <w:t>ith the vast majority (95-</w:t>
      </w:r>
      <w:r w:rsidR="00E9235A">
        <w:rPr>
          <w:rFonts w:cstheme="minorHAnsi"/>
          <w:color w:val="000000" w:themeColor="text1"/>
        </w:rPr>
        <w:t>9</w:t>
      </w:r>
      <w:r w:rsidR="002D7824">
        <w:rPr>
          <w:rFonts w:cstheme="minorHAnsi"/>
          <w:color w:val="000000" w:themeColor="text1"/>
        </w:rPr>
        <w:t>8</w:t>
      </w:r>
      <w:r w:rsidRPr="004157A8">
        <w:rPr>
          <w:rFonts w:cstheme="minorHAnsi"/>
          <w:color w:val="000000" w:themeColor="text1"/>
        </w:rPr>
        <w:t>%) occurring in the Fallopian tube</w:t>
      </w:r>
      <w:r w:rsidR="00E9235A">
        <w:rPr>
          <w:rFonts w:cstheme="minorHAnsi"/>
          <w:color w:val="000000" w:themeColor="text1"/>
        </w:rPr>
        <w:t xml:space="preserve"> </w:t>
      </w:r>
      <w:r w:rsidR="00E9235A">
        <w:rPr>
          <w:rFonts w:cstheme="minorHAnsi"/>
          <w:color w:val="000000" w:themeColor="text1"/>
        </w:rPr>
        <w:fldChar w:fldCharType="begin"/>
      </w:r>
      <w:r w:rsidR="002D7824">
        <w:rPr>
          <w:rFonts w:cstheme="minorHAnsi"/>
          <w:color w:val="000000" w:themeColor="text1"/>
        </w:rPr>
        <w:instrText xml:space="preserve"> ADDIN EN.CITE &lt;EndNote&gt;&lt;Cite&gt;&lt;Author&gt;Farquhar&lt;/Author&gt;&lt;Year&gt;2005&lt;/Year&gt;&lt;RecNum&gt;1&lt;/RecNum&gt;&lt;DisplayText&gt;[1, 3]&lt;/DisplayText&gt;&lt;record&gt;&lt;rec-number&gt;1&lt;/rec-number&gt;&lt;foreign-keys&gt;&lt;key app="EN" db-id="wazxt5z5d50z29ewex8xaasdd02vw2waeed0" timestamp="0"&gt;1&lt;/key&gt;&lt;/foreign-keys&gt;&lt;ref-type name="Journal Article"&gt;17&lt;/ref-type&gt;&lt;contributors&gt;&lt;authors&gt;&lt;author&gt;Farquhar, C.M.&lt;/author&gt;&lt;/authors&gt;&lt;/contributors&gt;&lt;titles&gt;&lt;title&gt;Ectopic pregnancy&lt;/title&gt;&lt;secondary-title&gt;Lancet&lt;/secondary-title&gt;&lt;/titles&gt;&lt;periodical&gt;&lt;full-title&gt;Lancet&lt;/full-title&gt;&lt;/periodical&gt;&lt;pages&gt;9&lt;/pages&gt;&lt;volume&gt;366&lt;/volume&gt;&lt;number&gt;9485&lt;/number&gt;&lt;section&gt;583&lt;/section&gt;&lt;dates&gt;&lt;year&gt;2005&lt;/year&gt;&lt;/dates&gt;&lt;urls&gt;&lt;/urls&gt;&lt;/record&gt;&lt;/Cite&gt;&lt;Cite&gt;&lt;Author&gt;Pisarska MD&lt;/Author&gt;&lt;Year&gt;1999&lt;/Year&gt;&lt;RecNum&gt;7&lt;/RecNum&gt;&lt;record&gt;&lt;rec-number&gt;7&lt;/rec-number&gt;&lt;foreign-keys&gt;&lt;key app="EN" db-id="wazxt5z5d50z29ewex8xaasdd02vw2waeed0" timestamp="1501639577"&gt;7&lt;/key&gt;&lt;/foreign-keys&gt;&lt;ref-type name="Journal Article"&gt;17&lt;/ref-type&gt;&lt;contributors&gt;&lt;authors&gt;&lt;author&gt;Pisarska MD, Carson SA.&lt;/author&gt;&lt;/authors&gt;&lt;/contributors&gt;&lt;titles&gt;&lt;title&gt;Incidence and risk factors for ectopic pregnancy&lt;/title&gt;&lt;secondary-title&gt;Clinical Obstetrics and Gynecology&lt;/secondary-title&gt;&lt;/titles&gt;&lt;periodical&gt;&lt;full-title&gt;Clinical Obstetrics and Gynecology&lt;/full-title&gt;&lt;/periodical&gt;&lt;pages&gt;1&lt;/pages&gt;&lt;volume&gt;1999&lt;/volume&gt;&lt;number&gt;42&lt;/number&gt;&lt;section&gt;2-8: quiz 55-6&lt;/section&gt;&lt;dates&gt;&lt;year&gt;1999&lt;/year&gt;&lt;/dates&gt;&lt;urls&gt;&lt;/urls&gt;&lt;/record&gt;&lt;/Cite&gt;&lt;/EndNote&gt;</w:instrText>
      </w:r>
      <w:r w:rsidR="00E9235A">
        <w:rPr>
          <w:rFonts w:cstheme="minorHAnsi"/>
          <w:color w:val="000000" w:themeColor="text1"/>
        </w:rPr>
        <w:fldChar w:fldCharType="separate"/>
      </w:r>
      <w:r w:rsidR="002D7824">
        <w:rPr>
          <w:rFonts w:cstheme="minorHAnsi"/>
          <w:noProof/>
          <w:color w:val="000000" w:themeColor="text1"/>
        </w:rPr>
        <w:t>[1, 3]</w:t>
      </w:r>
      <w:r w:rsidR="00E9235A">
        <w:rPr>
          <w:rFonts w:cstheme="minorHAnsi"/>
          <w:color w:val="000000" w:themeColor="text1"/>
        </w:rPr>
        <w:fldChar w:fldCharType="end"/>
      </w:r>
      <w:r w:rsidRPr="004157A8">
        <w:rPr>
          <w:rFonts w:cstheme="minorHAnsi"/>
          <w:color w:val="000000" w:themeColor="text1"/>
        </w:rPr>
        <w:t>.</w:t>
      </w:r>
      <w:r w:rsidR="00637DC7">
        <w:rPr>
          <w:rFonts w:cstheme="minorHAnsi"/>
          <w:color w:val="000000" w:themeColor="text1"/>
        </w:rPr>
        <w:t xml:space="preserve"> Risk factors </w:t>
      </w:r>
      <w:r w:rsidR="004451AB">
        <w:rPr>
          <w:rFonts w:cstheme="minorHAnsi"/>
          <w:color w:val="000000" w:themeColor="text1"/>
        </w:rPr>
        <w:t xml:space="preserve">for developing an ectopic pregnancy </w:t>
      </w:r>
      <w:r w:rsidR="00637DC7">
        <w:rPr>
          <w:rFonts w:cstheme="minorHAnsi"/>
          <w:color w:val="000000" w:themeColor="text1"/>
        </w:rPr>
        <w:t>include Pe</w:t>
      </w:r>
      <w:r w:rsidR="005C1BD2">
        <w:rPr>
          <w:rFonts w:cstheme="minorHAnsi"/>
          <w:color w:val="000000" w:themeColor="text1"/>
        </w:rPr>
        <w:t>lvic Inflammatory Disease (PID);</w:t>
      </w:r>
      <w:r w:rsidR="00637DC7">
        <w:rPr>
          <w:rFonts w:cstheme="minorHAnsi"/>
          <w:color w:val="000000" w:themeColor="text1"/>
        </w:rPr>
        <w:t xml:space="preserve"> presence of chlamydia or other sexually transmitted infection (STI)</w:t>
      </w:r>
      <w:r w:rsidR="005C1BD2">
        <w:rPr>
          <w:rFonts w:cstheme="minorHAnsi"/>
          <w:color w:val="000000" w:themeColor="text1"/>
        </w:rPr>
        <w:t>;</w:t>
      </w:r>
      <w:r w:rsidR="00637DC7">
        <w:rPr>
          <w:rFonts w:cstheme="minorHAnsi"/>
          <w:color w:val="000000" w:themeColor="text1"/>
        </w:rPr>
        <w:t xml:space="preserve"> </w:t>
      </w:r>
      <w:r w:rsidR="005C1BD2">
        <w:rPr>
          <w:rFonts w:cstheme="minorHAnsi"/>
          <w:color w:val="000000" w:themeColor="text1"/>
        </w:rPr>
        <w:t>a previous ectopic pregnancy;</w:t>
      </w:r>
      <w:r w:rsidR="00637DC7">
        <w:rPr>
          <w:rFonts w:cstheme="minorHAnsi"/>
          <w:color w:val="000000" w:themeColor="text1"/>
        </w:rPr>
        <w:t xml:space="preserve"> in vitro fertilisation (IVF)</w:t>
      </w:r>
      <w:r w:rsidR="005C1BD2">
        <w:rPr>
          <w:rFonts w:cstheme="minorHAnsi"/>
          <w:color w:val="000000" w:themeColor="text1"/>
        </w:rPr>
        <w:t>;</w:t>
      </w:r>
      <w:r w:rsidR="004451AB">
        <w:rPr>
          <w:rFonts w:cstheme="minorHAnsi"/>
          <w:color w:val="000000" w:themeColor="text1"/>
        </w:rPr>
        <w:t xml:space="preserve"> history of tubal surgery;</w:t>
      </w:r>
      <w:r w:rsidR="00637DC7">
        <w:rPr>
          <w:rFonts w:cstheme="minorHAnsi"/>
          <w:color w:val="000000" w:themeColor="text1"/>
        </w:rPr>
        <w:t xml:space="preserve"> </w:t>
      </w:r>
      <w:r w:rsidR="00EB257F">
        <w:rPr>
          <w:rFonts w:cstheme="minorHAnsi"/>
          <w:color w:val="000000" w:themeColor="text1"/>
        </w:rPr>
        <w:t>and cigarette smoking</w:t>
      </w:r>
      <w:r w:rsidR="00637DC7">
        <w:rPr>
          <w:rFonts w:cstheme="minorHAnsi"/>
          <w:color w:val="000000" w:themeColor="text1"/>
        </w:rPr>
        <w:t xml:space="preserve"> </w:t>
      </w:r>
      <w:r w:rsidR="00637DC7">
        <w:rPr>
          <w:rFonts w:cstheme="minorHAnsi"/>
          <w:color w:val="000000" w:themeColor="text1"/>
        </w:rPr>
        <w:fldChar w:fldCharType="begin">
          <w:fldData xml:space="preserve">PEVuZE5vdGU+PENpdGU+PEF1dGhvcj7DhWhtYW48L0F1dGhvcj48WWVhcj4yMDAwPC9ZZWFyPjxS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</w:fldData>
        </w:fldChar>
      </w:r>
      <w:r w:rsidR="002D7824">
        <w:rPr>
          <w:rFonts w:cstheme="minorHAnsi"/>
          <w:color w:val="000000" w:themeColor="text1"/>
        </w:rPr>
        <w:instrText xml:space="preserve"> ADDIN EN.CITE </w:instrText>
      </w:r>
      <w:r w:rsidR="002D7824">
        <w:rPr>
          <w:rFonts w:cstheme="minorHAnsi"/>
          <w:color w:val="000000" w:themeColor="text1"/>
        </w:rPr>
        <w:fldChar w:fldCharType="begin">
          <w:fldData xml:space="preserve">PEVuZE5vdGU+PENpdGU+PEF1dGhvcj7DhWhtYW48L0F1dGhvcj48WWVhcj4yMDAwPC9ZZWFyPjxS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</w:fldData>
        </w:fldChar>
      </w:r>
      <w:r w:rsidR="002D7824">
        <w:rPr>
          <w:rFonts w:cstheme="minorHAnsi"/>
          <w:color w:val="000000" w:themeColor="text1"/>
        </w:rPr>
        <w:instrText xml:space="preserve"> ADDIN EN.CITE.DATA </w:instrText>
      </w:r>
      <w:r w:rsidR="002D7824">
        <w:rPr>
          <w:rFonts w:cstheme="minorHAnsi"/>
          <w:color w:val="000000" w:themeColor="text1"/>
        </w:rPr>
      </w:r>
      <w:r w:rsidR="002D7824">
        <w:rPr>
          <w:rFonts w:cstheme="minorHAnsi"/>
          <w:color w:val="000000" w:themeColor="text1"/>
        </w:rPr>
        <w:fldChar w:fldCharType="end"/>
      </w:r>
      <w:r w:rsidR="00637DC7">
        <w:rPr>
          <w:rFonts w:cstheme="minorHAnsi"/>
          <w:color w:val="000000" w:themeColor="text1"/>
        </w:rPr>
      </w:r>
      <w:r w:rsidR="00637DC7">
        <w:rPr>
          <w:rFonts w:cstheme="minorHAnsi"/>
          <w:color w:val="000000" w:themeColor="text1"/>
        </w:rPr>
        <w:fldChar w:fldCharType="separate"/>
      </w:r>
      <w:r w:rsidR="002D7824">
        <w:rPr>
          <w:rFonts w:cstheme="minorHAnsi"/>
          <w:noProof/>
          <w:color w:val="000000" w:themeColor="text1"/>
        </w:rPr>
        <w:t>[1-5]</w:t>
      </w:r>
      <w:r w:rsidR="00637DC7">
        <w:rPr>
          <w:rFonts w:cstheme="minorHAnsi"/>
          <w:color w:val="000000" w:themeColor="text1"/>
        </w:rPr>
        <w:fldChar w:fldCharType="end"/>
      </w:r>
      <w:r w:rsidR="00637DC7">
        <w:rPr>
          <w:rFonts w:cstheme="minorHAnsi"/>
          <w:color w:val="000000" w:themeColor="text1"/>
        </w:rPr>
        <w:t>.</w:t>
      </w:r>
      <w:r w:rsidRPr="004157A8">
        <w:rPr>
          <w:rFonts w:cstheme="minorHAnsi"/>
          <w:color w:val="000000" w:themeColor="text1"/>
        </w:rPr>
        <w:t xml:space="preserve"> If an ectopic pregnancy grows beyond a certain size, it can erode the surrounding maternal tissues and vasculature, which can lead to a rupture through the wall of the affected tube. This can cause significant and life-threatening maternal blood loss. Tubular ectopic pregnancies constitute a major obstetric and gynaecological complication given that they occur relatively frequently, combined with the significant risk that they pose to the health and future fertility of affected women. It is important to note that ectopic pregnancies are non-viable and that the sole consideration in this treatment scenario is the health and wellbeing of the mother.</w:t>
      </w:r>
    </w:p>
    <w:p w14:paraId="6F25B7B1" w14:textId="77777777" w:rsidR="003C29DA" w:rsidRPr="004157A8" w:rsidRDefault="003C29DA" w:rsidP="004157A8">
      <w:pPr>
        <w:spacing w:before="120"/>
        <w:rPr>
          <w:rFonts w:cstheme="minorHAnsi"/>
          <w:color w:val="000000" w:themeColor="text1"/>
        </w:rPr>
      </w:pPr>
    </w:p>
    <w:p w14:paraId="1504E1D0" w14:textId="77777777" w:rsidR="0020750A" w:rsidRDefault="0020750A" w:rsidP="0067164A">
      <w:pPr>
        <w:pStyle w:val="ListParagraph"/>
        <w:numPr>
          <w:ilvl w:val="2"/>
          <w:numId w:val="1"/>
        </w:numPr>
        <w:outlineLvl w:val="2"/>
        <w:rPr>
          <w:rFonts w:cstheme="minorHAnsi"/>
          <w:b/>
        </w:rPr>
      </w:pPr>
      <w:bookmarkStart w:id="16" w:name="_Toc473873057"/>
      <w:bookmarkStart w:id="17" w:name="_Toc489888045"/>
      <w:r w:rsidRPr="004157A8">
        <w:rPr>
          <w:rFonts w:cstheme="minorHAnsi"/>
          <w:b/>
        </w:rPr>
        <w:t>Current management</w:t>
      </w:r>
      <w:bookmarkEnd w:id="16"/>
      <w:bookmarkEnd w:id="17"/>
    </w:p>
    <w:p w14:paraId="77579A3D" w14:textId="4ABD29CB" w:rsidR="004157A8" w:rsidRPr="004157A8" w:rsidRDefault="004157A8" w:rsidP="004157A8">
      <w:pPr>
        <w:spacing w:before="120"/>
        <w:rPr>
          <w:rFonts w:cstheme="minorHAnsi"/>
        </w:rPr>
      </w:pPr>
      <w:r w:rsidRPr="004157A8">
        <w:rPr>
          <w:rFonts w:cstheme="minorHAnsi"/>
        </w:rPr>
        <w:t>There are two current treatment options for the active management of an ectopic pregnancy – surgical excision consisting of either a salpingectomy (removal of the entire Fallopian tube) or a salpingo</w:t>
      </w:r>
      <w:r w:rsidR="00FD3F16">
        <w:rPr>
          <w:rFonts w:cstheme="minorHAnsi"/>
        </w:rPr>
        <w:t>s</w:t>
      </w:r>
      <w:r w:rsidRPr="004157A8">
        <w:rPr>
          <w:rFonts w:cstheme="minorHAnsi"/>
        </w:rPr>
        <w:t>tomy (partial removal of the affected tube); or medical management using methotrexate to resolve the ectopic pregnancy</w:t>
      </w:r>
      <w:r w:rsidR="00FD3F16">
        <w:rPr>
          <w:rFonts w:cstheme="minorHAnsi"/>
        </w:rPr>
        <w:t xml:space="preserve"> </w:t>
      </w:r>
      <w:r w:rsidR="00FD3F16">
        <w:rPr>
          <w:rFonts w:cstheme="minorHAnsi"/>
        </w:rPr>
        <w:fldChar w:fldCharType="begin">
          <w:fldData xml:space="preserve">PEVuZE5vdGU+PENpdGU+PEF1dGhvcj5GYXJxdWhhcjwvQXV0aG9yPjxZZWFyPjIwMDU8L1llYXI+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</w:fldData>
        </w:fldChar>
      </w:r>
      <w:r w:rsidR="008C267D">
        <w:rPr>
          <w:rFonts w:cstheme="minorHAnsi"/>
        </w:rPr>
        <w:instrText xml:space="preserve"> ADDIN EN.CITE </w:instrText>
      </w:r>
      <w:r w:rsidR="008C267D">
        <w:rPr>
          <w:rFonts w:cstheme="minorHAnsi"/>
        </w:rPr>
        <w:fldChar w:fldCharType="begin">
          <w:fldData xml:space="preserve">PEVuZE5vdGU+PENpdGU+PEF1dGhvcj5GYXJxdWhhcjwvQXV0aG9yPjxZZWFyPjIwMDU8L1llYXI+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</w:fldData>
        </w:fldChar>
      </w:r>
      <w:r w:rsidR="008C267D">
        <w:rPr>
          <w:rFonts w:cstheme="minorHAnsi"/>
        </w:rPr>
        <w:instrText xml:space="preserve"> ADDIN EN.CITE.DATA </w:instrText>
      </w:r>
      <w:r w:rsidR="008C267D">
        <w:rPr>
          <w:rFonts w:cstheme="minorHAnsi"/>
        </w:rPr>
      </w:r>
      <w:r w:rsidR="008C267D">
        <w:rPr>
          <w:rFonts w:cstheme="minorHAnsi"/>
        </w:rPr>
        <w:fldChar w:fldCharType="end"/>
      </w:r>
      <w:r w:rsidR="00FD3F16">
        <w:rPr>
          <w:rFonts w:cstheme="minorHAnsi"/>
        </w:rPr>
      </w:r>
      <w:r w:rsidR="00FD3F16">
        <w:rPr>
          <w:rFonts w:cstheme="minorHAnsi"/>
        </w:rPr>
        <w:fldChar w:fldCharType="separate"/>
      </w:r>
      <w:r w:rsidR="008C267D">
        <w:rPr>
          <w:rFonts w:cstheme="minorHAnsi"/>
          <w:noProof/>
        </w:rPr>
        <w:t>[1, 5-7]</w:t>
      </w:r>
      <w:r w:rsidR="00FD3F16">
        <w:rPr>
          <w:rFonts w:cstheme="minorHAnsi"/>
        </w:rPr>
        <w:fldChar w:fldCharType="end"/>
      </w:r>
      <w:r w:rsidRPr="004157A8">
        <w:rPr>
          <w:rFonts w:cstheme="minorHAnsi"/>
        </w:rPr>
        <w:t>. Surgical management of an ectopic pregnancy remains the standard of treatment and is the only appropriate option where there is any evidence of tubular rupture, haemodynamic instability, active bleeding, where medical management is contraindicated or has previously been unsuccessful</w:t>
      </w:r>
      <w:r w:rsidR="00FD3F16">
        <w:rPr>
          <w:rFonts w:cstheme="minorHAnsi"/>
        </w:rPr>
        <w:t xml:space="preserve"> </w:t>
      </w:r>
      <w:r w:rsidR="00FD3F16">
        <w:rPr>
          <w:rFonts w:cstheme="minorHAnsi"/>
        </w:rPr>
        <w:fldChar w:fldCharType="begin"/>
      </w:r>
      <w:r w:rsidR="00FD3F16">
        <w:rPr>
          <w:rFonts w:cstheme="minorHAnsi"/>
        </w:rPr>
        <w:instrText xml:space="preserve"> ADDIN EN.CITE &lt;EndNote&gt;&lt;Cite&gt;&lt;Author&gt;Farquhar&lt;/Author&gt;&lt;Year&gt;2005&lt;/Year&gt;&lt;RecNum&gt;1&lt;/RecNum&gt;&lt;DisplayText&gt;[1]&lt;/DisplayText&gt;&lt;record&gt;&lt;rec-number&gt;1&lt;/rec-number&gt;&lt;foreign-keys&gt;&lt;key app="EN" db-id="wazxt5z5d50z29ewex8xaasdd02vw2waeed0" timestamp="0"&gt;1&lt;/key&gt;&lt;/foreign-keys&gt;&lt;ref-type name="Journal Article"&gt;17&lt;/ref-type&gt;&lt;contributors&gt;&lt;authors&gt;&lt;author&gt;Farquhar, C.M.&lt;/author&gt;&lt;/authors&gt;&lt;/contributors&gt;&lt;titles&gt;&lt;title&gt;Ectopic pregnancy&lt;/title&gt;&lt;secondary-title&gt;Lancet&lt;/secondary-title&gt;&lt;/titles&gt;&lt;periodical&gt;&lt;full-title&gt;Lancet&lt;/full-title&gt;&lt;/periodical&gt;&lt;pages&gt;9&lt;/pages&gt;&lt;volume&gt;366&lt;/volume&gt;&lt;number&gt;9485&lt;/number&gt;&lt;section&gt;583&lt;/section&gt;&lt;dates&gt;&lt;year&gt;2005&lt;/year&gt;&lt;/dates&gt;&lt;urls&gt;&lt;/urls&gt;&lt;/record&gt;&lt;/Cite&gt;&lt;/EndNote&gt;</w:instrText>
      </w:r>
      <w:r w:rsidR="00FD3F16">
        <w:rPr>
          <w:rFonts w:cstheme="minorHAnsi"/>
        </w:rPr>
        <w:fldChar w:fldCharType="separate"/>
      </w:r>
      <w:r w:rsidR="00FD3F16">
        <w:rPr>
          <w:rFonts w:cstheme="minorHAnsi"/>
          <w:noProof/>
        </w:rPr>
        <w:t>[1]</w:t>
      </w:r>
      <w:r w:rsidR="00FD3F16">
        <w:rPr>
          <w:rFonts w:cstheme="minorHAnsi"/>
        </w:rPr>
        <w:fldChar w:fldCharType="end"/>
      </w:r>
      <w:r w:rsidRPr="004157A8">
        <w:rPr>
          <w:rFonts w:cstheme="minorHAnsi"/>
        </w:rPr>
        <w:t>. Around</w:t>
      </w:r>
      <w:r w:rsidR="0059294B">
        <w:rPr>
          <w:rFonts w:cstheme="minorHAnsi"/>
        </w:rPr>
        <w:t xml:space="preserve"> 18</w:t>
      </w:r>
      <w:r w:rsidRPr="004157A8">
        <w:rPr>
          <w:rFonts w:cstheme="minorHAnsi"/>
        </w:rPr>
        <w:t>% of women with ectopic pregnancies require urgent surgical intervention</w:t>
      </w:r>
      <w:r w:rsidR="0059294B">
        <w:rPr>
          <w:rFonts w:cstheme="minorHAnsi"/>
        </w:rPr>
        <w:t xml:space="preserve"> for a tubular rupture </w:t>
      </w:r>
      <w:r w:rsidR="0059294B">
        <w:rPr>
          <w:rFonts w:cstheme="minorHAnsi"/>
        </w:rPr>
        <w:fldChar w:fldCharType="begin"/>
      </w:r>
      <w:r w:rsidR="0059294B">
        <w:rPr>
          <w:rFonts w:cstheme="minorHAnsi"/>
        </w:rPr>
        <w:instrText xml:space="preserve"> ADDIN EN.CITE &lt;EndNote&gt;&lt;Cite&gt;&lt;Author&gt;Job-Spira&lt;/Author&gt;&lt;Year&gt;1999&lt;/Year&gt;&lt;RecNum&gt;32&lt;/RecNum&gt;&lt;DisplayText&gt;[8]&lt;/DisplayText&gt;&lt;record&gt;&lt;rec-number&gt;32&lt;/rec-number&gt;&lt;foreign-keys&gt;&lt;key app="EN" db-id="wazxt5z5d50z29ewex8xaasdd02vw2waeed0" timestamp="1502082544"&gt;32&lt;/key&gt;&lt;/foreign-keys&gt;&lt;ref-type name="Journal Article"&gt;17&lt;/ref-type&gt;&lt;contributors&gt;&lt;authors&gt;&lt;author&gt;Job-Spira, N., Fernandez, H., Bouyer, J., Pouly, J.L., Germain, E. and Coste, J.&lt;/author&gt;&lt;/authors&gt;&lt;/contributors&gt;&lt;titles&gt;&lt;title&gt;Ruptured tubal ectopic pregnancy: Risk factors and reproductive outcome: Results of a population-based study in France.&lt;/title&gt;&lt;secondary-title&gt;American Journal of Obstetrics and Gynecology&lt;/secondary-title&gt;&lt;/titles&gt;&lt;periodical&gt;&lt;full-title&gt;American Journal of Obstetrics and Gynecology&lt;/full-title&gt;&lt;/periodical&gt;&lt;pages&gt;938-944&lt;/pages&gt;&lt;volume&gt;180&lt;/volume&gt;&lt;number&gt;4&lt;/number&gt;&lt;dates&gt;&lt;year&gt;1999&lt;/year&gt;&lt;/dates&gt;&lt;urls&gt;&lt;/urls&gt;&lt;/record&gt;&lt;/Cite&gt;&lt;/EndNote&gt;</w:instrText>
      </w:r>
      <w:r w:rsidR="0059294B">
        <w:rPr>
          <w:rFonts w:cstheme="minorHAnsi"/>
        </w:rPr>
        <w:fldChar w:fldCharType="separate"/>
      </w:r>
      <w:r w:rsidR="0059294B">
        <w:rPr>
          <w:rFonts w:cstheme="minorHAnsi"/>
          <w:noProof/>
        </w:rPr>
        <w:t>[8]</w:t>
      </w:r>
      <w:r w:rsidR="0059294B">
        <w:rPr>
          <w:rFonts w:cstheme="minorHAnsi"/>
        </w:rPr>
        <w:fldChar w:fldCharType="end"/>
      </w:r>
      <w:r w:rsidRPr="004157A8">
        <w:rPr>
          <w:rFonts w:cstheme="minorHAnsi"/>
        </w:rPr>
        <w:t xml:space="preserve">. </w:t>
      </w:r>
    </w:p>
    <w:p w14:paraId="76C50068" w14:textId="38AB67F2" w:rsidR="004157A8" w:rsidRPr="004157A8" w:rsidRDefault="004157A8" w:rsidP="004157A8">
      <w:pPr>
        <w:spacing w:before="120"/>
        <w:rPr>
          <w:rFonts w:cstheme="minorHAnsi"/>
        </w:rPr>
      </w:pPr>
      <w:r w:rsidRPr="004157A8">
        <w:rPr>
          <w:rFonts w:cstheme="minorHAnsi"/>
        </w:rPr>
        <w:t xml:space="preserve">The </w:t>
      </w:r>
      <w:r w:rsidR="00125151">
        <w:rPr>
          <w:rFonts w:cstheme="minorHAnsi"/>
        </w:rPr>
        <w:t>remainder</w:t>
      </w:r>
      <w:r w:rsidRPr="004157A8">
        <w:rPr>
          <w:rFonts w:cstheme="minorHAnsi"/>
        </w:rPr>
        <w:t xml:space="preserve"> of stable ectopic pregnancies could be appropriate for consideration of a more conservati</w:t>
      </w:r>
      <w:r w:rsidR="006E1929">
        <w:rPr>
          <w:rFonts w:cstheme="minorHAnsi"/>
        </w:rPr>
        <w:t>ve</w:t>
      </w:r>
      <w:r w:rsidRPr="004157A8">
        <w:rPr>
          <w:rFonts w:cstheme="minorHAnsi"/>
        </w:rPr>
        <w:t xml:space="preserve"> treatment option</w:t>
      </w:r>
      <w:r w:rsidR="006E1929">
        <w:rPr>
          <w:rFonts w:cstheme="minorHAnsi"/>
        </w:rPr>
        <w:t xml:space="preserve"> </w:t>
      </w:r>
      <w:r w:rsidR="00C11A4B">
        <w:rPr>
          <w:rFonts w:cstheme="minorHAnsi"/>
        </w:rPr>
        <w:t xml:space="preserve">than surgery </w:t>
      </w:r>
      <w:r w:rsidR="006E1929">
        <w:rPr>
          <w:rFonts w:cstheme="minorHAnsi"/>
        </w:rPr>
        <w:t>(either medical or expectant management)</w:t>
      </w:r>
      <w:r w:rsidRPr="004157A8">
        <w:rPr>
          <w:rFonts w:cstheme="minorHAnsi"/>
        </w:rPr>
        <w:t>. Medical management of a stable ectopic pregnancy may be the preferred option for women who do not wish to undergo surgery, those with various anaesthetic risk factors or for whom preservation of their Fallopian tube</w:t>
      </w:r>
      <w:r w:rsidR="00125151">
        <w:rPr>
          <w:rFonts w:cstheme="minorHAnsi"/>
        </w:rPr>
        <w:t xml:space="preserve"> and future fertility</w:t>
      </w:r>
      <w:r w:rsidRPr="004157A8">
        <w:rPr>
          <w:rFonts w:cstheme="minorHAnsi"/>
        </w:rPr>
        <w:t xml:space="preserve"> is of great </w:t>
      </w:r>
      <w:r w:rsidR="00F5300A" w:rsidRPr="004157A8">
        <w:rPr>
          <w:rFonts w:cstheme="minorHAnsi"/>
        </w:rPr>
        <w:t>importance</w:t>
      </w:r>
      <w:r w:rsidR="00F5300A">
        <w:rPr>
          <w:rFonts w:cstheme="minorHAnsi"/>
        </w:rPr>
        <w:t xml:space="preserve">. </w:t>
      </w:r>
    </w:p>
    <w:p w14:paraId="61E752BE" w14:textId="22BF8023" w:rsidR="003C29DA" w:rsidRPr="004157A8" w:rsidRDefault="004157A8" w:rsidP="004157A8">
      <w:pPr>
        <w:spacing w:before="120"/>
        <w:rPr>
          <w:rFonts w:cstheme="minorHAnsi"/>
        </w:rPr>
      </w:pPr>
      <w:r w:rsidRPr="004157A8">
        <w:rPr>
          <w:rFonts w:cstheme="minorHAnsi"/>
        </w:rPr>
        <w:t>Methotrexate is the only drug that is currently approved to treat ectopic pregnancy. It is a folic acid antagonist, interfering with DNA synthesis and cell proliferation</w:t>
      </w:r>
      <w:r w:rsidR="00125151">
        <w:rPr>
          <w:rFonts w:cstheme="minorHAnsi"/>
        </w:rPr>
        <w:t xml:space="preserve"> </w:t>
      </w:r>
      <w:r w:rsidR="0059294B">
        <w:rPr>
          <w:rFonts w:cstheme="minorHAnsi"/>
        </w:rPr>
        <w:fldChar w:fldCharType="begin"/>
      </w:r>
      <w:r w:rsidR="0071652C">
        <w:rPr>
          <w:rFonts w:cstheme="minorHAnsi"/>
        </w:rPr>
        <w:instrText xml:space="preserve"> ADDIN EN.CITE &lt;EndNote&gt;&lt;Cite&gt;&lt;Author&gt;Medicine.&lt;/Author&gt;&lt;Year&gt;2013&lt;/Year&gt;&lt;RecNum&gt;31&lt;/RecNum&gt;&lt;DisplayText&gt;[1, 5]&lt;/DisplayText&gt;&lt;record&gt;&lt;rec-number&gt;31&lt;/rec-number&gt;&lt;foreign-keys&gt;&lt;key app="EN" db-id="wazxt5z5d50z29ewex8xaasdd02vw2waeed0" timestamp="1502078899"&gt;31&lt;/key&gt;&lt;/foreign-keys&gt;&lt;ref-type name="Journal Article"&gt;17&lt;/ref-type&gt;&lt;contributors&gt;&lt;authors&gt;&lt;author&gt;Practice Committee of the American Society of Reproductive Medicine.&lt;/author&gt;&lt;/authors&gt;&lt;/contributors&gt;&lt;titles&gt;&lt;title&gt;Medical treatment of ectopic pregnancy: A committee opinion.&lt;/title&gt;&lt;secondary-title&gt;Fertility and Sterility&lt;/secondary-title&gt;&lt;/titles&gt;&lt;periodical&gt;&lt;full-title&gt;Fertility and Sterility&lt;/full-title&gt;&lt;/periodical&gt;&lt;pages&gt;638-644&lt;/pages&gt;&lt;volume&gt;100&lt;/volume&gt;&lt;number&gt;3&lt;/number&gt;&lt;dates&gt;&lt;year&gt;2013&lt;/year&gt;&lt;/dates&gt;&lt;urls&gt;&lt;/urls&gt;&lt;/record&gt;&lt;/Cite&gt;&lt;Cite&gt;&lt;Author&gt;Farquhar&lt;/Author&gt;&lt;Year&gt;2005&lt;/Year&gt;&lt;RecNum&gt;1&lt;/RecNum&gt;&lt;record&gt;&lt;rec-number&gt;1&lt;/rec-number&gt;&lt;foreign-keys&gt;&lt;key app="EN" db-id="wazxt5z5d50z29ewex8xaasdd02vw2waeed0" timestamp="0"&gt;1&lt;/key&gt;&lt;/foreign-keys&gt;&lt;ref-type name="Journal Article"&gt;17&lt;/ref-type&gt;&lt;contributors&gt;&lt;authors&gt;&lt;author&gt;Farquhar, C.M.&lt;/author&gt;&lt;/authors&gt;&lt;/contributors&gt;&lt;titles&gt;&lt;title&gt;Ectopic pregnancy&lt;/title&gt;&lt;secondary-title&gt;Lancet&lt;/secondary-title&gt;&lt;/titles&gt;&lt;periodical&gt;&lt;full-title&gt;Lancet&lt;/full-title&gt;&lt;/periodical&gt;&lt;pages&gt;9&lt;/pages&gt;&lt;volume&gt;366&lt;/volume&gt;&lt;number&gt;9485&lt;/number&gt;&lt;section&gt;583&lt;/section&gt;&lt;dates&gt;&lt;year&gt;2005&lt;/year&gt;&lt;/dates&gt;&lt;urls&gt;&lt;/urls&gt;&lt;/record&gt;&lt;/Cite&gt;&lt;/EndNote&gt;</w:instrText>
      </w:r>
      <w:r w:rsidR="0059294B">
        <w:rPr>
          <w:rFonts w:cstheme="minorHAnsi"/>
        </w:rPr>
        <w:fldChar w:fldCharType="separate"/>
      </w:r>
      <w:r w:rsidR="0071652C">
        <w:rPr>
          <w:rFonts w:cstheme="minorHAnsi"/>
          <w:noProof/>
        </w:rPr>
        <w:t>[1, 5]</w:t>
      </w:r>
      <w:r w:rsidR="0059294B">
        <w:rPr>
          <w:rFonts w:cstheme="minorHAnsi"/>
        </w:rPr>
        <w:fldChar w:fldCharType="end"/>
      </w:r>
      <w:r w:rsidRPr="004157A8">
        <w:rPr>
          <w:rFonts w:cstheme="minorHAnsi"/>
        </w:rPr>
        <w:t>. Ideally, this drug halts the growth and begins the destruction of the embryonic and placental cells, effectively dissolving the ectopic pregnancy. However, m</w:t>
      </w:r>
      <w:r w:rsidR="00F0428C">
        <w:rPr>
          <w:rFonts w:cstheme="minorHAnsi"/>
        </w:rPr>
        <w:t>ethotrexate therapy can take several weeks</w:t>
      </w:r>
      <w:r w:rsidRPr="004157A8">
        <w:rPr>
          <w:rFonts w:cstheme="minorHAnsi"/>
        </w:rPr>
        <w:t xml:space="preserve"> to resolve an ectopic pregnancy and failure rate</w:t>
      </w:r>
      <w:r w:rsidR="000030B2">
        <w:rPr>
          <w:rFonts w:cstheme="minorHAnsi"/>
        </w:rPr>
        <w:t>s have been reported in up to 29</w:t>
      </w:r>
      <w:r w:rsidRPr="004157A8">
        <w:rPr>
          <w:rFonts w:cstheme="minorHAnsi"/>
        </w:rPr>
        <w:t xml:space="preserve">% of </w:t>
      </w:r>
      <w:r w:rsidR="000030B2">
        <w:rPr>
          <w:rFonts w:cstheme="minorHAnsi"/>
        </w:rPr>
        <w:t xml:space="preserve">single-dose </w:t>
      </w:r>
      <w:r w:rsidRPr="004157A8">
        <w:rPr>
          <w:rFonts w:cstheme="minorHAnsi"/>
        </w:rPr>
        <w:t>recipients</w:t>
      </w:r>
      <w:r w:rsidR="001D10E6">
        <w:rPr>
          <w:rFonts w:cstheme="minorHAnsi"/>
        </w:rPr>
        <w:t xml:space="preserve"> </w:t>
      </w:r>
      <w:r w:rsidR="00F5144F">
        <w:rPr>
          <w:rFonts w:cstheme="minorHAnsi"/>
        </w:rPr>
        <w:fldChar w:fldCharType="begin"/>
      </w:r>
      <w:r w:rsidR="0059294B">
        <w:rPr>
          <w:rFonts w:cstheme="minorHAnsi"/>
        </w:rPr>
        <w:instrText xml:space="preserve"> ADDIN EN.CITE &lt;EndNote&gt;&lt;Cite&gt;&lt;Author&gt;Skubisz&lt;/Author&gt;&lt;Year&gt;2013&lt;/Year&gt;&lt;RecNum&gt;30&lt;/RecNum&gt;&lt;DisplayText&gt;[5, 9]&lt;/DisplayText&gt;&lt;record&gt;&lt;rec-number&gt;30&lt;/rec-number&gt;&lt;foreign-keys&gt;&lt;key app="EN" db-id="wazxt5z5d50z29ewex8xaasdd02vw2waeed0" timestamp="1502078035"&gt;30&lt;/key&gt;&lt;/foreign-keys&gt;&lt;ref-type name="Journal Article"&gt;17&lt;/ref-type&gt;&lt;contributors&gt;&lt;authors&gt;&lt;author&gt;Skubisz, M., Dutton, P., Duncan, W.C., Horne, A.W. and Tong, S.&lt;/author&gt;&lt;/authors&gt;&lt;/contributors&gt;&lt;titles&gt;&lt;title&gt;Using a decline in serum hCG between days 0-4 to predict ectopic pregnancy treatment success after single-dose methotrexate: A retrospective cohort study.&lt;/title&gt;&lt;secondary-title&gt;BMC Pregnancy and Childbirth&lt;/secondary-title&gt;&lt;/titles&gt;&lt;periodical&gt;&lt;full-title&gt;BMC Pregnancy and Childbirth&lt;/full-title&gt;&lt;/periodical&gt;&lt;volume&gt;13&lt;/volume&gt;&lt;number&gt;30&lt;/number&gt;&lt;dates&gt;&lt;year&gt;2013&lt;/year&gt;&lt;/dates&gt;&lt;urls&gt;&lt;/urls&gt;&lt;/record&gt;&lt;/Cite&gt;&lt;Cite&gt;&lt;Author&gt;Medicine.&lt;/Author&gt;&lt;Year&gt;2013&lt;/Year&gt;&lt;RecNum&gt;31&lt;/RecNum&gt;&lt;record&gt;&lt;rec-number&gt;31&lt;/rec-number&gt;&lt;foreign-keys&gt;&lt;key app="EN" db-id="wazxt5z5d50z29ewex8xaasdd02vw2waeed0" timestamp="1502078899"&gt;31&lt;/key&gt;&lt;/foreign-keys&gt;&lt;ref-type name="Journal Article"&gt;17&lt;/ref-type&gt;&lt;contributors&gt;&lt;authors&gt;&lt;author&gt;Practice Committee of the American Society of Reproductive Medicine.&lt;/author&gt;&lt;/authors&gt;&lt;/contributors&gt;&lt;titles&gt;&lt;title&gt;Medical treatment of ectopic pregnancy: A committee opinion.&lt;/title&gt;&lt;secondary-title&gt;Fertility and Sterility&lt;/secondary-title&gt;&lt;/titles&gt;&lt;periodical&gt;&lt;full-title&gt;Fertility and Sterility&lt;/full-title&gt;&lt;/periodical&gt;&lt;pages&gt;638-644&lt;/pages&gt;&lt;volume&gt;100&lt;/volume&gt;&lt;number&gt;3&lt;/number&gt;&lt;dates&gt;&lt;year&gt;2013&lt;/year&gt;&lt;/dates&gt;&lt;urls&gt;&lt;/urls&gt;&lt;/record&gt;&lt;/Cite&gt;&lt;/EndNote&gt;</w:instrText>
      </w:r>
      <w:r w:rsidR="00F5144F">
        <w:rPr>
          <w:rFonts w:cstheme="minorHAnsi"/>
        </w:rPr>
        <w:fldChar w:fldCharType="separate"/>
      </w:r>
      <w:r w:rsidR="0059294B">
        <w:rPr>
          <w:rFonts w:cstheme="minorHAnsi"/>
          <w:noProof/>
        </w:rPr>
        <w:t>[5, 9]</w:t>
      </w:r>
      <w:r w:rsidR="00F5144F">
        <w:rPr>
          <w:rFonts w:cstheme="minorHAnsi"/>
        </w:rPr>
        <w:fldChar w:fldCharType="end"/>
      </w:r>
      <w:r w:rsidRPr="004157A8">
        <w:rPr>
          <w:rFonts w:cstheme="minorHAnsi"/>
        </w:rPr>
        <w:t>. Many of these women for whom methotrexate treatment has been unsuccessful then go on to require salvage surgery in order to remove the ectopic pregnancy (and with it, the Fallopian tube)</w:t>
      </w:r>
      <w:r w:rsidR="00C57059">
        <w:rPr>
          <w:rFonts w:cstheme="minorHAnsi"/>
        </w:rPr>
        <w:t xml:space="preserve"> </w:t>
      </w:r>
      <w:r w:rsidR="0071652C">
        <w:rPr>
          <w:rFonts w:cstheme="minorHAnsi"/>
        </w:rPr>
        <w:fldChar w:fldCharType="begin"/>
      </w:r>
      <w:r w:rsidR="0071652C">
        <w:rPr>
          <w:rFonts w:cstheme="minorHAnsi"/>
        </w:rPr>
        <w:instrText xml:space="preserve"> ADDIN EN.CITE &lt;EndNote&gt;&lt;Cite&gt;&lt;Author&gt;Farquhar&lt;/Author&gt;&lt;Year&gt;2005&lt;/Year&gt;&lt;RecNum&gt;1&lt;/RecNum&gt;&lt;DisplayText&gt;[1]&lt;/DisplayText&gt;&lt;record&gt;&lt;rec-number&gt;1&lt;/rec-number&gt;&lt;foreign-keys&gt;&lt;key app="EN" db-id="wazxt5z5d50z29ewex8xaasdd02vw2waeed0" timestamp="0"&gt;1&lt;/key&gt;&lt;/foreign-keys&gt;&lt;ref-type name="Journal Article"&gt;17&lt;/ref-type&gt;&lt;contributors&gt;&lt;authors&gt;&lt;author&gt;Farquhar, C.M.&lt;/author&gt;&lt;/authors&gt;&lt;/contributors&gt;&lt;titles&gt;&lt;title&gt;Ectopic pregnancy&lt;/title&gt;&lt;secondary-title&gt;Lancet&lt;/secondary-title&gt;&lt;/titles&gt;&lt;periodical&gt;&lt;full-title&gt;Lancet&lt;/full-title&gt;&lt;/periodical&gt;&lt;pages&gt;9&lt;/pages&gt;&lt;volume&gt;366&lt;/volume&gt;&lt;number&gt;9485&lt;/number&gt;&lt;section&gt;583&lt;/section&gt;&lt;dates&gt;&lt;year&gt;2005&lt;/year&gt;&lt;/dates&gt;&lt;urls&gt;&lt;/urls&gt;&lt;/record&gt;&lt;/Cite&gt;&lt;/EndNote&gt;</w:instrText>
      </w:r>
      <w:r w:rsidR="0071652C">
        <w:rPr>
          <w:rFonts w:cstheme="minorHAnsi"/>
        </w:rPr>
        <w:fldChar w:fldCharType="separate"/>
      </w:r>
      <w:r w:rsidR="0071652C">
        <w:rPr>
          <w:rFonts w:cstheme="minorHAnsi"/>
          <w:noProof/>
        </w:rPr>
        <w:t>[1]</w:t>
      </w:r>
      <w:r w:rsidR="0071652C">
        <w:rPr>
          <w:rFonts w:cstheme="minorHAnsi"/>
        </w:rPr>
        <w:fldChar w:fldCharType="end"/>
      </w:r>
      <w:r w:rsidRPr="004157A8">
        <w:rPr>
          <w:rFonts w:cstheme="minorHAnsi"/>
        </w:rPr>
        <w:t xml:space="preserve">. This group of women are therefore exposed to two sets of iatrogenic risk – firstly, to the risks of taking methotrexate, compounded by the risks of having a subsequent surgery. </w:t>
      </w:r>
    </w:p>
    <w:p w14:paraId="025E3BBD" w14:textId="77777777" w:rsidR="0020750A" w:rsidRPr="004157A8" w:rsidRDefault="0020750A" w:rsidP="0067164A">
      <w:pPr>
        <w:pStyle w:val="ListParagraph"/>
        <w:numPr>
          <w:ilvl w:val="2"/>
          <w:numId w:val="1"/>
        </w:numPr>
        <w:outlineLvl w:val="2"/>
        <w:rPr>
          <w:rFonts w:cstheme="minorHAnsi"/>
          <w:b/>
        </w:rPr>
      </w:pPr>
      <w:bookmarkStart w:id="18" w:name="_Toc473873058"/>
      <w:bookmarkStart w:id="19" w:name="_Toc489888046"/>
      <w:r w:rsidRPr="004157A8">
        <w:rPr>
          <w:rFonts w:cstheme="minorHAnsi"/>
          <w:b/>
        </w:rPr>
        <w:lastRenderedPageBreak/>
        <w:t xml:space="preserve">Developing a better medical treatment for </w:t>
      </w:r>
      <w:bookmarkEnd w:id="18"/>
      <w:r w:rsidRPr="004157A8">
        <w:rPr>
          <w:rFonts w:cstheme="minorHAnsi"/>
          <w:b/>
        </w:rPr>
        <w:t>ectopic pregnancy</w:t>
      </w:r>
      <w:bookmarkEnd w:id="19"/>
    </w:p>
    <w:p w14:paraId="742666AC" w14:textId="32423FDA" w:rsidR="0020750A" w:rsidRDefault="0020750A" w:rsidP="0020750A">
      <w:pPr>
        <w:rPr>
          <w:rFonts w:cstheme="minorHAnsi"/>
        </w:rPr>
      </w:pPr>
      <w:bookmarkStart w:id="20" w:name="_Toc473869434"/>
      <w:bookmarkStart w:id="21" w:name="_Toc473873059"/>
      <w:bookmarkStart w:id="22" w:name="_Toc475089090"/>
      <w:r>
        <w:rPr>
          <w:rFonts w:cstheme="minorHAnsi"/>
        </w:rPr>
        <w:t xml:space="preserve">Ectopic pregnancies are a leading cause of global maternal death and illness in the first trimester. These negative health impacts are disproportionately experienced by women in remote communities, developing countries and other resource-poor settings, where access to emergency surgical treatment </w:t>
      </w:r>
      <w:r w:rsidR="005C1BD2">
        <w:rPr>
          <w:rFonts w:cstheme="minorHAnsi"/>
        </w:rPr>
        <w:t xml:space="preserve">and safe medical care </w:t>
      </w:r>
      <w:r>
        <w:rPr>
          <w:rFonts w:cstheme="minorHAnsi"/>
        </w:rPr>
        <w:t>can be manifestly inadequate (if it is available at all)</w:t>
      </w:r>
      <w:r w:rsidR="00C42857">
        <w:rPr>
          <w:rFonts w:cstheme="minorHAnsi"/>
        </w:rPr>
        <w:t xml:space="preserve"> </w:t>
      </w:r>
      <w:r w:rsidR="00C42857">
        <w:rPr>
          <w:rFonts w:cstheme="minorHAnsi"/>
        </w:rPr>
        <w:fldChar w:fldCharType="begin"/>
      </w:r>
      <w:r w:rsidR="002D7824">
        <w:rPr>
          <w:rFonts w:cstheme="minorHAnsi"/>
        </w:rPr>
        <w:instrText xml:space="preserve"> ADDIN EN.CITE &lt;EndNote&gt;&lt;Cite&gt;&lt;Author&gt;Farquhar&lt;/Author&gt;&lt;Year&gt;2005&lt;/Year&gt;&lt;RecNum&gt;1&lt;/RecNum&gt;&lt;DisplayText&gt;[1, 4]&lt;/DisplayText&gt;&lt;record&gt;&lt;rec-number&gt;1&lt;/rec-number&gt;&lt;foreign-keys&gt;&lt;key app="EN" db-id="wazxt5z5d50z29ewex8xaasdd02vw2waeed0" timestamp="0"&gt;1&lt;/key&gt;&lt;/foreign-keys&gt;&lt;ref-type name="Journal Article"&gt;17&lt;/ref-type&gt;&lt;contributors&gt;&lt;authors&gt;&lt;author&gt;Farquhar, C.M.&lt;/author&gt;&lt;/authors&gt;&lt;/contributors&gt;&lt;titles&gt;&lt;title&gt;Ectopic pregnancy&lt;/title&gt;&lt;secondary-title&gt;Lancet&lt;/secondary-title&gt;&lt;/titles&gt;&lt;periodical&gt;&lt;full-title&gt;Lancet&lt;/full-title&gt;&lt;/periodical&gt;&lt;pages&gt;9&lt;/pages&gt;&lt;volume&gt;366&lt;/volume&gt;&lt;number&gt;9485&lt;/number&gt;&lt;section&gt;583&lt;/section&gt;&lt;dates&gt;&lt;year&gt;2005&lt;/year&gt;&lt;/dates&gt;&lt;urls&gt;&lt;/urls&gt;&lt;/record&gt;&lt;/Cite&gt;&lt;Cite&gt;&lt;Author&gt;Åhman&lt;/Author&gt;&lt;Year&gt;2000&lt;/Year&gt;&lt;RecNum&gt;29&lt;/RecNum&gt;&lt;record&gt;&lt;rec-number&gt;29&lt;/rec-number&gt;&lt;foreign-keys&gt;&lt;key app="EN" db-id="wazxt5z5d50z29ewex8xaasdd02vw2waeed0" timestamp="1502071209"&gt;29&lt;/key&gt;&lt;/foreign-keys&gt;&lt;ref-type name="Report"&gt;27&lt;/ref-type&gt;&lt;contributors&gt;&lt;authors&gt;&lt;author&gt;Åhman, E., Dolea, C. and Shah, I.&lt;/author&gt;&lt;/authors&gt;&lt;/contributors&gt;&lt;titles&gt;&lt;title&gt;The global burden of unsafe abortion in the year 2000&lt;/title&gt;&lt;secondary-title&gt;Global Burden of Disease and Injury 2000&lt;/secondary-title&gt;&lt;/titles&gt;&lt;dates&gt;&lt;year&gt;2000&lt;/year&gt;&lt;/dates&gt;&lt;pub-location&gt;Geneva&lt;/pub-location&gt;&lt;publisher&gt;World Health Organization&lt;/publisher&gt;&lt;urls&gt;&lt;related-urls&gt;&lt;url&gt;&lt;style face="underline" font="default" size="100%"&gt;http://www.who.int/healthinfo/statistics/bod_abortions.pdf&lt;/style&gt;&lt;/url&gt;&lt;/related-urls&gt;&lt;/urls&gt;&lt;/record&gt;&lt;/Cite&gt;&lt;/EndNote&gt;</w:instrText>
      </w:r>
      <w:r w:rsidR="00C42857">
        <w:rPr>
          <w:rFonts w:cstheme="minorHAnsi"/>
        </w:rPr>
        <w:fldChar w:fldCharType="separate"/>
      </w:r>
      <w:r w:rsidR="002D7824">
        <w:rPr>
          <w:rFonts w:cstheme="minorHAnsi"/>
          <w:noProof/>
        </w:rPr>
        <w:t>[1, 4]</w:t>
      </w:r>
      <w:r w:rsidR="00C42857">
        <w:rPr>
          <w:rFonts w:cstheme="minorHAnsi"/>
        </w:rPr>
        <w:fldChar w:fldCharType="end"/>
      </w:r>
      <w:r>
        <w:rPr>
          <w:rFonts w:cstheme="minorHAnsi"/>
        </w:rPr>
        <w:t xml:space="preserve">. Despite the </w:t>
      </w:r>
      <w:r w:rsidR="00FD3F16">
        <w:rPr>
          <w:rFonts w:cstheme="minorHAnsi"/>
        </w:rPr>
        <w:t>significant</w:t>
      </w:r>
      <w:r>
        <w:rPr>
          <w:rFonts w:cstheme="minorHAnsi"/>
        </w:rPr>
        <w:t xml:space="preserve"> and inequitably shared impacts of ectopic pregnancy on population health outcomes, there appears to be a distinct shortage of medical alternative therapies currently being investigated at both the pre-clinical laboratory and human clinical trial levels. Given the limitations and relatively high failure rate of intramuscular methotrexate therapy, and the enormity of the impacts of ectopic pregnancies on maternal health, it is imperative that new potential medical therapies for this common obstetric complication are rigorously investigated.</w:t>
      </w:r>
    </w:p>
    <w:bookmarkEnd w:id="20"/>
    <w:bookmarkEnd w:id="21"/>
    <w:bookmarkEnd w:id="22"/>
    <w:p w14:paraId="003DCA5A" w14:textId="77777777" w:rsidR="0020750A" w:rsidRPr="00B05FFC" w:rsidRDefault="0020750A" w:rsidP="0020750A">
      <w:pPr>
        <w:tabs>
          <w:tab w:val="left" w:pos="1752"/>
        </w:tabs>
        <w:rPr>
          <w:rFonts w:cstheme="minorHAnsi"/>
          <w:b/>
        </w:rPr>
      </w:pPr>
      <w:r>
        <w:rPr>
          <w:rFonts w:cstheme="minorHAnsi"/>
          <w:b/>
        </w:rPr>
        <w:tab/>
      </w:r>
    </w:p>
    <w:p w14:paraId="5D889E75" w14:textId="77777777" w:rsidR="003C29DA" w:rsidRDefault="0020750A" w:rsidP="00446E96">
      <w:pPr>
        <w:pStyle w:val="ListParagraph"/>
        <w:numPr>
          <w:ilvl w:val="1"/>
          <w:numId w:val="1"/>
        </w:numPr>
        <w:ind w:hanging="873"/>
        <w:outlineLvl w:val="1"/>
        <w:rPr>
          <w:rFonts w:cstheme="minorHAnsi"/>
          <w:b/>
        </w:rPr>
      </w:pPr>
      <w:bookmarkStart w:id="23" w:name="_Toc473873060"/>
      <w:bookmarkStart w:id="24" w:name="_Toc489888047"/>
      <w:r w:rsidRPr="00B05FFC">
        <w:rPr>
          <w:rFonts w:cstheme="minorHAnsi"/>
          <w:b/>
        </w:rPr>
        <w:t>RATIONALE FOR THE STUDY</w:t>
      </w:r>
      <w:bookmarkStart w:id="25" w:name="_Toc473873061"/>
      <w:bookmarkEnd w:id="23"/>
      <w:bookmarkEnd w:id="24"/>
    </w:p>
    <w:p w14:paraId="5D33DE72" w14:textId="77777777" w:rsidR="003C29DA" w:rsidRDefault="003C29DA" w:rsidP="003C29DA">
      <w:pPr>
        <w:pStyle w:val="ListParagraph"/>
        <w:ind w:left="1440"/>
        <w:outlineLvl w:val="1"/>
        <w:rPr>
          <w:rFonts w:cstheme="minorHAnsi"/>
          <w:b/>
        </w:rPr>
      </w:pPr>
    </w:p>
    <w:p w14:paraId="29E9B1E1" w14:textId="77777777" w:rsidR="00446E96" w:rsidRDefault="00446E96" w:rsidP="0067164A">
      <w:pPr>
        <w:pStyle w:val="ListParagraph"/>
        <w:numPr>
          <w:ilvl w:val="2"/>
          <w:numId w:val="1"/>
        </w:numPr>
        <w:outlineLvl w:val="2"/>
        <w:rPr>
          <w:rFonts w:cstheme="minorHAnsi"/>
          <w:b/>
        </w:rPr>
      </w:pPr>
      <w:bookmarkStart w:id="26" w:name="_Toc489888048"/>
      <w:r w:rsidRPr="003C29DA">
        <w:rPr>
          <w:rFonts w:cstheme="minorHAnsi"/>
          <w:b/>
        </w:rPr>
        <w:t xml:space="preserve">Potential new medical therapeutic option for ectopic pregnancy – </w:t>
      </w:r>
      <w:bookmarkEnd w:id="25"/>
      <w:r w:rsidRPr="003C29DA">
        <w:rPr>
          <w:rFonts w:cstheme="minorHAnsi"/>
          <w:b/>
        </w:rPr>
        <w:t>vinorelbine</w:t>
      </w:r>
      <w:bookmarkEnd w:id="26"/>
    </w:p>
    <w:p w14:paraId="0559BEE3" w14:textId="616F10EE" w:rsidR="003C29DA" w:rsidRPr="00A97018" w:rsidRDefault="003C29DA" w:rsidP="003F7A8B">
      <w:pPr>
        <w:pStyle w:val="Paragraph"/>
        <w:ind w:firstLine="0"/>
        <w:jc w:val="both"/>
        <w:rPr>
          <w:rFonts w:asciiTheme="minorHAnsi" w:hAnsiTheme="minorHAnsi" w:cs="Arial"/>
          <w:sz w:val="22"/>
          <w:szCs w:val="22"/>
        </w:rPr>
      </w:pPr>
      <w:r w:rsidRPr="009903C1">
        <w:rPr>
          <w:rFonts w:asciiTheme="minorHAnsi" w:hAnsiTheme="minorHAnsi" w:cstheme="minorHAnsi"/>
          <w:sz w:val="22"/>
          <w:szCs w:val="22"/>
        </w:rPr>
        <w:t xml:space="preserve">Vinorelbine is a chemotherapeutic medication that is currently indicated for use in the </w:t>
      </w:r>
      <w:r w:rsidRPr="00A97018">
        <w:rPr>
          <w:rFonts w:asciiTheme="minorHAnsi" w:hAnsiTheme="minorHAnsi" w:cstheme="minorHAnsi"/>
          <w:sz w:val="22"/>
          <w:szCs w:val="22"/>
        </w:rPr>
        <w:t>treatment</w:t>
      </w:r>
      <w:r w:rsidRPr="009903C1">
        <w:rPr>
          <w:rFonts w:asciiTheme="minorHAnsi" w:hAnsiTheme="minorHAnsi" w:cstheme="minorHAnsi"/>
          <w:sz w:val="22"/>
          <w:szCs w:val="22"/>
        </w:rPr>
        <w:t xml:space="preserve"> non-small cell lung cancer, late stage breast and ovarian cancer and Hodgkin’s lymphoma</w:t>
      </w:r>
      <w:r w:rsidR="00AB40E8">
        <w:rPr>
          <w:rFonts w:asciiTheme="minorHAnsi" w:hAnsiTheme="minorHAnsi" w:cstheme="minorHAnsi"/>
          <w:sz w:val="22"/>
          <w:szCs w:val="22"/>
        </w:rPr>
        <w:t xml:space="preserve"> (see </w:t>
      </w:r>
      <w:r w:rsidR="00AB40E8">
        <w:rPr>
          <w:rFonts w:asciiTheme="minorHAnsi" w:hAnsiTheme="minorHAnsi" w:cstheme="minorHAnsi"/>
          <w:i/>
          <w:sz w:val="22"/>
          <w:szCs w:val="22"/>
        </w:rPr>
        <w:t>Appendix 1</w:t>
      </w:r>
      <w:r w:rsidR="00AB40E8">
        <w:rPr>
          <w:rFonts w:asciiTheme="minorHAnsi" w:hAnsiTheme="minorHAnsi" w:cstheme="minorHAnsi"/>
          <w:sz w:val="22"/>
          <w:szCs w:val="22"/>
        </w:rPr>
        <w:t>)</w:t>
      </w:r>
      <w:r w:rsidRPr="009903C1">
        <w:rPr>
          <w:rFonts w:asciiTheme="minorHAnsi" w:hAnsiTheme="minorHAnsi" w:cstheme="minorHAnsi"/>
          <w:sz w:val="22"/>
          <w:szCs w:val="22"/>
        </w:rPr>
        <w:t>. Vinorelbine is considered to be a safe and well tolerated chemotherapeutic. Vinorelbine was first manufactured in 1979</w:t>
      </w:r>
      <w:r w:rsidR="00AB40E8">
        <w:rPr>
          <w:rFonts w:asciiTheme="minorHAnsi" w:hAnsiTheme="minorHAnsi" w:cstheme="minorHAnsi"/>
          <w:sz w:val="22"/>
          <w:szCs w:val="22"/>
        </w:rPr>
        <w:t xml:space="preserve"> </w:t>
      </w:r>
      <w:r w:rsidR="00AB40E8">
        <w:rPr>
          <w:rFonts w:asciiTheme="minorHAnsi" w:hAnsiTheme="minorHAnsi" w:cstheme="minorHAnsi"/>
          <w:sz w:val="22"/>
          <w:szCs w:val="22"/>
        </w:rPr>
        <w:fldChar w:fldCharType="begin"/>
      </w:r>
      <w:r w:rsidR="00AB40E8">
        <w:rPr>
          <w:rFonts w:asciiTheme="minorHAnsi" w:hAnsiTheme="minorHAnsi" w:cstheme="minorHAnsi"/>
          <w:sz w:val="22"/>
          <w:szCs w:val="22"/>
        </w:rPr>
        <w:instrText xml:space="preserve"> ADDIN EN.CITE &lt;EndNote&gt;&lt;Cite&gt;&lt;Author&gt;Mangoney&lt;/Author&gt;&lt;Year&gt;1979&lt;/Year&gt;&lt;RecNum&gt;33&lt;/RecNum&gt;&lt;DisplayText&gt;[10]&lt;/DisplayText&gt;&lt;record&gt;&lt;rec-number&gt;33&lt;/rec-number&gt;&lt;foreign-keys&gt;&lt;key app="EN" db-id="wazxt5z5d50z29ewex8xaasdd02vw2waeed0" timestamp="1502083578"&gt;33&lt;/key&gt;&lt;/foreign-keys&gt;&lt;ref-type name="Journal Article"&gt;17&lt;/ref-type&gt;&lt;contributors&gt;&lt;authors&gt;&lt;author&gt;Mangoney, P., Andriamialisoa, R.Z., Lallemand, J.Y., Langlois, N., Langlois, Y. and Potier, P.&lt;/author&gt;&lt;/authors&gt;&lt;/contributors&gt;&lt;titles&gt;&lt;title&gt;5&amp;apos;-Noranhydrovinblastine: Prototype of a new class of vinblastine derivatives.&lt;/title&gt;&lt;secondary-title&gt;Tetrahedron&lt;/secondary-title&gt;&lt;/titles&gt;&lt;periodical&gt;&lt;full-title&gt;Tetrahedron&lt;/full-title&gt;&lt;/periodical&gt;&lt;pages&gt;2175-2179&lt;/pages&gt;&lt;volume&gt;35&lt;/volume&gt;&lt;dates&gt;&lt;year&gt;1979&lt;/year&gt;&lt;/dates&gt;&lt;urls&gt;&lt;/urls&gt;&lt;/record&gt;&lt;/Cite&gt;&lt;/EndNote&gt;</w:instrText>
      </w:r>
      <w:r w:rsidR="00AB40E8">
        <w:rPr>
          <w:rFonts w:asciiTheme="minorHAnsi" w:hAnsiTheme="minorHAnsi" w:cstheme="minorHAnsi"/>
          <w:sz w:val="22"/>
          <w:szCs w:val="22"/>
        </w:rPr>
        <w:fldChar w:fldCharType="separate"/>
      </w:r>
      <w:r w:rsidR="00AB40E8">
        <w:rPr>
          <w:rFonts w:asciiTheme="minorHAnsi" w:hAnsiTheme="minorHAnsi" w:cstheme="minorHAnsi"/>
          <w:noProof/>
          <w:sz w:val="22"/>
          <w:szCs w:val="22"/>
        </w:rPr>
        <w:t>[10]</w:t>
      </w:r>
      <w:r w:rsidR="00AB40E8">
        <w:rPr>
          <w:rFonts w:asciiTheme="minorHAnsi" w:hAnsiTheme="minorHAnsi" w:cstheme="minorHAnsi"/>
          <w:sz w:val="22"/>
          <w:szCs w:val="22"/>
        </w:rPr>
        <w:fldChar w:fldCharType="end"/>
      </w:r>
      <w:r w:rsidRPr="009903C1">
        <w:rPr>
          <w:rFonts w:asciiTheme="minorHAnsi" w:hAnsiTheme="minorHAnsi" w:cstheme="minorHAnsi"/>
          <w:sz w:val="22"/>
          <w:szCs w:val="22"/>
        </w:rPr>
        <w:t>, meaning that there is several decades’ of data relating to its use in human cancer patients, including extensive information about contraindications, known potential adverse reactions and other safety considerations.</w:t>
      </w:r>
      <w:r w:rsidRPr="00A97018">
        <w:rPr>
          <w:rFonts w:asciiTheme="minorHAnsi" w:hAnsiTheme="minorHAnsi" w:cs="Arial"/>
          <w:sz w:val="22"/>
          <w:szCs w:val="22"/>
        </w:rPr>
        <w:t xml:space="preserve"> Vinorelbine induces cytotoxicity by binding to tubulin, which disrupts mitotic spindle formation and results in the arrest of the cell cycle, ultimately leading to apoptosis of mitotic cells, thus targeting dividing and highly proliferative cells</w:t>
      </w:r>
      <w:r w:rsidR="00AB40E8">
        <w:rPr>
          <w:rFonts w:asciiTheme="minorHAnsi" w:hAnsiTheme="minorHAnsi" w:cs="Arial"/>
          <w:sz w:val="22"/>
          <w:szCs w:val="22"/>
        </w:rPr>
        <w:t xml:space="preserve"> </w:t>
      </w:r>
      <w:r w:rsidR="00AB40E8">
        <w:rPr>
          <w:rFonts w:asciiTheme="minorHAnsi" w:hAnsiTheme="minorHAnsi" w:cs="Arial"/>
          <w:sz w:val="22"/>
          <w:szCs w:val="22"/>
        </w:rPr>
        <w:fldChar w:fldCharType="begin"/>
      </w:r>
      <w:r w:rsidR="00AB40E8">
        <w:rPr>
          <w:rFonts w:asciiTheme="minorHAnsi" w:hAnsiTheme="minorHAnsi" w:cs="Arial"/>
          <w:sz w:val="22"/>
          <w:szCs w:val="22"/>
        </w:rPr>
        <w:instrText xml:space="preserve"> ADDIN EN.CITE &lt;EndNote&gt;&lt;Cite&gt;&lt;Author&gt;Mangoney&lt;/Author&gt;&lt;Year&gt;1979&lt;/Year&gt;&lt;RecNum&gt;33&lt;/RecNum&gt;&lt;DisplayText&gt;[10]&lt;/DisplayText&gt;&lt;record&gt;&lt;rec-number&gt;33&lt;/rec-number&gt;&lt;foreign-keys&gt;&lt;key app="EN" db-id="wazxt5z5d50z29ewex8xaasdd02vw2waeed0" timestamp="1502083578"&gt;33&lt;/key&gt;&lt;/foreign-keys&gt;&lt;ref-type name="Journal Article"&gt;17&lt;/ref-type&gt;&lt;contributors&gt;&lt;authors&gt;&lt;author&gt;Mangoney, P., Andriamialisoa, R.Z., Lallemand, J.Y., Langlois, N., Langlois, Y. and Potier, P.&lt;/author&gt;&lt;/authors&gt;&lt;/contributors&gt;&lt;titles&gt;&lt;title&gt;5&amp;apos;-Noranhydrovinblastine: Prototype of a new class of vinblastine derivatives.&lt;/title&gt;&lt;secondary-title&gt;Tetrahedron&lt;/secondary-title&gt;&lt;/titles&gt;&lt;periodical&gt;&lt;full-title&gt;Tetrahedron&lt;/full-title&gt;&lt;/periodical&gt;&lt;pages&gt;2175-2179&lt;/pages&gt;&lt;volume&gt;35&lt;/volume&gt;&lt;dates&gt;&lt;year&gt;1979&lt;/year&gt;&lt;/dates&gt;&lt;urls&gt;&lt;/urls&gt;&lt;/record&gt;&lt;/Cite&gt;&lt;/EndNote&gt;</w:instrText>
      </w:r>
      <w:r w:rsidR="00AB40E8">
        <w:rPr>
          <w:rFonts w:asciiTheme="minorHAnsi" w:hAnsiTheme="minorHAnsi" w:cs="Arial"/>
          <w:sz w:val="22"/>
          <w:szCs w:val="22"/>
        </w:rPr>
        <w:fldChar w:fldCharType="separate"/>
      </w:r>
      <w:r w:rsidR="00AB40E8">
        <w:rPr>
          <w:rFonts w:asciiTheme="minorHAnsi" w:hAnsiTheme="minorHAnsi" w:cs="Arial"/>
          <w:noProof/>
          <w:sz w:val="22"/>
          <w:szCs w:val="22"/>
        </w:rPr>
        <w:t>[10]</w:t>
      </w:r>
      <w:r w:rsidR="00AB40E8">
        <w:rPr>
          <w:rFonts w:asciiTheme="minorHAnsi" w:hAnsiTheme="minorHAnsi" w:cs="Arial"/>
          <w:sz w:val="22"/>
          <w:szCs w:val="22"/>
        </w:rPr>
        <w:fldChar w:fldCharType="end"/>
      </w:r>
      <w:r w:rsidRPr="00A97018">
        <w:rPr>
          <w:rFonts w:asciiTheme="minorHAnsi" w:hAnsiTheme="minorHAnsi" w:cs="Arial"/>
          <w:sz w:val="22"/>
          <w:szCs w:val="22"/>
        </w:rPr>
        <w:t>. Given the placenta is highly proliferative during the first trimester</w:t>
      </w:r>
      <w:r>
        <w:rPr>
          <w:rFonts w:asciiTheme="minorHAnsi" w:hAnsiTheme="minorHAnsi" w:cs="Arial"/>
          <w:sz w:val="22"/>
          <w:szCs w:val="22"/>
        </w:rPr>
        <w:t xml:space="preserve"> of pregnancy</w:t>
      </w:r>
      <w:r w:rsidRPr="00A97018">
        <w:rPr>
          <w:rFonts w:asciiTheme="minorHAnsi" w:hAnsiTheme="minorHAnsi" w:cs="Arial"/>
          <w:sz w:val="22"/>
          <w:szCs w:val="22"/>
        </w:rPr>
        <w:t xml:space="preserve"> but the Fallopian tube is not, it is plausible that vinorelbine could be efficacious in resolving an ectopic pregnancy whilst minimally affecting the surrounding tube.</w:t>
      </w:r>
    </w:p>
    <w:p w14:paraId="5EFCBC24" w14:textId="77777777" w:rsidR="003C29DA" w:rsidRPr="003C29DA" w:rsidRDefault="003C29DA" w:rsidP="003F7A8B">
      <w:pPr>
        <w:pStyle w:val="ListParagraph"/>
        <w:rPr>
          <w:rFonts w:cstheme="minorHAnsi"/>
        </w:rPr>
      </w:pPr>
    </w:p>
    <w:p w14:paraId="20CA9B54" w14:textId="716B4A0F" w:rsidR="003C29DA" w:rsidRDefault="003C29DA" w:rsidP="003F7A8B">
      <w:pPr>
        <w:rPr>
          <w:rFonts w:cstheme="minorHAnsi"/>
        </w:rPr>
      </w:pPr>
      <w:r w:rsidRPr="003C29DA">
        <w:rPr>
          <w:rFonts w:cstheme="minorHAnsi"/>
        </w:rPr>
        <w:t>Interestingly, there are a number of relative similarities between cancer cells and placental cells</w:t>
      </w:r>
      <w:r w:rsidR="00B11260">
        <w:rPr>
          <w:rFonts w:cstheme="minorHAnsi"/>
        </w:rPr>
        <w:t xml:space="preserve"> </w:t>
      </w:r>
      <w:r w:rsidR="00B11260">
        <w:rPr>
          <w:rFonts w:cstheme="minorHAnsi"/>
        </w:rPr>
        <w:fldChar w:fldCharType="begin"/>
      </w:r>
      <w:r w:rsidR="00B11260">
        <w:rPr>
          <w:rFonts w:cstheme="minorHAnsi"/>
        </w:rPr>
        <w:instrText xml:space="preserve"> ADDIN EN.CITE &lt;EndNote&gt;&lt;Cite&gt;&lt;Author&gt;Ferretti C.&lt;/Author&gt;&lt;Year&gt;2007&lt;/Year&gt;&lt;RecNum&gt;8&lt;/RecNum&gt;&lt;DisplayText&gt;[11]&lt;/DisplayText&gt;&lt;record&gt;&lt;rec-number&gt;8&lt;/rec-number&gt;&lt;foreign-keys&gt;&lt;key app="EN" db-id="wazxt5z5d50z29ewex8xaasdd02vw2waeed0" timestamp="1501639711"&gt;8&lt;/key&gt;&lt;/foreign-keys&gt;&lt;ref-type name="Journal Article"&gt;17&lt;/ref-type&gt;&lt;contributors&gt;&lt;authors&gt;&lt;author&gt;Ferretti C., Bruni L., Dangles-Marie V., et al.&lt;/author&gt;&lt;/authors&gt;&lt;/contributors&gt;&lt;titles&gt;&lt;title&gt;Molecular circuits shared by placental and cancer cells and their implications in the proliferative, invasive and migratory capacities of trophoblasts.&lt;/title&gt;&lt;secondary-title&gt;Human Reproductive Update&lt;/secondary-title&gt;&lt;/titles&gt;&lt;periodical&gt;&lt;full-title&gt;Human Reproductive Update&lt;/full-title&gt;&lt;/periodical&gt;&lt;pages&gt;121-41&lt;/pages&gt;&lt;volume&gt;13&lt;/volume&gt;&lt;number&gt;2&lt;/number&gt;&lt;dates&gt;&lt;year&gt;2007&lt;/year&gt;&lt;/dates&gt;&lt;urls&gt;&lt;/urls&gt;&lt;/record&gt;&lt;/Cite&gt;&lt;/EndNote&gt;</w:instrText>
      </w:r>
      <w:r w:rsidR="00B11260">
        <w:rPr>
          <w:rFonts w:cstheme="minorHAnsi"/>
        </w:rPr>
        <w:fldChar w:fldCharType="separate"/>
      </w:r>
      <w:r w:rsidR="00B11260">
        <w:rPr>
          <w:rFonts w:cstheme="minorHAnsi"/>
          <w:noProof/>
        </w:rPr>
        <w:t>[11]</w:t>
      </w:r>
      <w:r w:rsidR="00B11260">
        <w:rPr>
          <w:rFonts w:cstheme="minorHAnsi"/>
        </w:rPr>
        <w:fldChar w:fldCharType="end"/>
      </w:r>
      <w:r w:rsidRPr="003C29DA">
        <w:rPr>
          <w:rFonts w:cstheme="minorHAnsi"/>
        </w:rPr>
        <w:t>. Both undergo a process of rapid proliferation and self-replication leading to growth – in cancer patients, this is demonstrated by an increase in the physical size of an untreated cancer. Similarly, in the first weeks of a pregnancy, the initial placental cells split and copy themselves, quickly developing into a growing embryo. Given these parallels in the nature of the cycles of cancer and placental cells, we examined whether vinorelbine could also potentially be effective in killing placental cells in the laboratory, interrupting some key features of the ectopic pregnancy disease process.</w:t>
      </w:r>
    </w:p>
    <w:p w14:paraId="17B5AEB9" w14:textId="77777777" w:rsidR="003C29DA" w:rsidRPr="003C29DA" w:rsidRDefault="003C29DA" w:rsidP="003C29DA">
      <w:pPr>
        <w:outlineLvl w:val="2"/>
        <w:rPr>
          <w:rFonts w:cstheme="minorHAnsi"/>
        </w:rPr>
      </w:pPr>
    </w:p>
    <w:p w14:paraId="2FFCB471" w14:textId="77777777" w:rsidR="00446E96" w:rsidRDefault="00446E96" w:rsidP="002E45F7">
      <w:pPr>
        <w:pStyle w:val="ListParagraph"/>
        <w:numPr>
          <w:ilvl w:val="2"/>
          <w:numId w:val="1"/>
        </w:numPr>
        <w:outlineLvl w:val="2"/>
        <w:rPr>
          <w:rFonts w:cstheme="minorHAnsi"/>
          <w:b/>
        </w:rPr>
      </w:pPr>
      <w:bookmarkStart w:id="27" w:name="_Toc489888049"/>
      <w:r w:rsidRPr="003C29DA">
        <w:rPr>
          <w:rFonts w:cstheme="minorHAnsi"/>
          <w:b/>
        </w:rPr>
        <w:t>Pre-clinical laboratory observations</w:t>
      </w:r>
      <w:bookmarkEnd w:id="27"/>
    </w:p>
    <w:p w14:paraId="0CA32699" w14:textId="1D557A4D" w:rsidR="003C29DA" w:rsidRPr="003C29DA" w:rsidRDefault="003C29DA" w:rsidP="003F7A8B">
      <w:pPr>
        <w:rPr>
          <w:rFonts w:cstheme="minorHAnsi"/>
        </w:rPr>
      </w:pPr>
      <w:r w:rsidRPr="003C29DA">
        <w:rPr>
          <w:rFonts w:cstheme="minorHAnsi"/>
        </w:rPr>
        <w:t xml:space="preserve">Our pre-clinical investigations delivered some promising findings. Firstly, we found that vinorelbine was 1,000-10,000 times more effective than methotrexate alone, and still significantly more potent than methotrexate combined with gefitinb, at killing placental cells </w:t>
      </w:r>
      <w:r w:rsidRPr="003C29DA">
        <w:rPr>
          <w:rFonts w:cstheme="minorHAnsi"/>
          <w:i/>
        </w:rPr>
        <w:t>in vitro</w:t>
      </w:r>
      <w:r w:rsidRPr="003C29DA">
        <w:rPr>
          <w:rFonts w:cstheme="minorHAnsi"/>
        </w:rPr>
        <w:t xml:space="preserve"> (combination methotrexate and gefitinib is another proposed medical treatment for ectopic pregnancies, currently being evaluated in a </w:t>
      </w:r>
      <w:r w:rsidRPr="003C29DA">
        <w:rPr>
          <w:rFonts w:cstheme="minorHAnsi"/>
        </w:rPr>
        <w:lastRenderedPageBreak/>
        <w:t xml:space="preserve">phase III clinical trial in the UK). Secondly, our </w:t>
      </w:r>
      <w:r w:rsidRPr="003C29DA">
        <w:rPr>
          <w:rFonts w:cstheme="minorHAnsi"/>
          <w:i/>
        </w:rPr>
        <w:t xml:space="preserve">in vitro </w:t>
      </w:r>
      <w:r w:rsidRPr="003C29DA">
        <w:rPr>
          <w:rFonts w:cstheme="minorHAnsi"/>
        </w:rPr>
        <w:t>studies</w:t>
      </w:r>
      <w:r w:rsidRPr="003C29DA">
        <w:rPr>
          <w:rFonts w:cstheme="minorHAnsi"/>
          <w:i/>
        </w:rPr>
        <w:t xml:space="preserve"> </w:t>
      </w:r>
      <w:r w:rsidRPr="003C29DA">
        <w:rPr>
          <w:rFonts w:cstheme="minorHAnsi"/>
        </w:rPr>
        <w:t>showed that donated human Fallopian tube samples treated with vinorelbine did not display up-regulation of apoptosis molecules (</w:t>
      </w:r>
      <w:r w:rsidR="007A1017">
        <w:rPr>
          <w:rFonts w:cstheme="minorHAnsi"/>
        </w:rPr>
        <w:t>i</w:t>
      </w:r>
      <w:r w:rsidR="00C42857">
        <w:rPr>
          <w:rFonts w:cstheme="minorHAnsi"/>
        </w:rPr>
        <w:t>.</w:t>
      </w:r>
      <w:r w:rsidR="007A1017">
        <w:rPr>
          <w:rFonts w:cstheme="minorHAnsi"/>
        </w:rPr>
        <w:t>e</w:t>
      </w:r>
      <w:r w:rsidR="00C42857">
        <w:rPr>
          <w:rFonts w:cstheme="minorHAnsi"/>
        </w:rPr>
        <w:t>.</w:t>
      </w:r>
      <w:r w:rsidR="007A1017">
        <w:rPr>
          <w:rFonts w:cstheme="minorHAnsi"/>
        </w:rPr>
        <w:t xml:space="preserve"> no </w:t>
      </w:r>
      <w:r w:rsidRPr="003C29DA">
        <w:rPr>
          <w:rFonts w:cstheme="minorHAnsi"/>
        </w:rPr>
        <w:t xml:space="preserve">evidence of Fallopian tube cell death). This means that although vinorelbine was observed to efficaciously kill placental cells, vinorelbine did not appear to induce cell death in human Fallopian tubes </w:t>
      </w:r>
      <w:r w:rsidRPr="003C29DA">
        <w:rPr>
          <w:rFonts w:cstheme="minorHAnsi"/>
          <w:i/>
        </w:rPr>
        <w:t>ex-vivo</w:t>
      </w:r>
      <w:r w:rsidRPr="003C29DA">
        <w:rPr>
          <w:rFonts w:cstheme="minorHAnsi"/>
        </w:rPr>
        <w:t xml:space="preserve">. Importantly, this finding indicates that placental cells may be exquisitely sensitive to vinorelbine. </w:t>
      </w:r>
    </w:p>
    <w:p w14:paraId="6A0C835C" w14:textId="77777777" w:rsidR="003C29DA" w:rsidRDefault="003C29DA" w:rsidP="003F7A8B">
      <w:pPr>
        <w:rPr>
          <w:rFonts w:cstheme="minorHAnsi"/>
        </w:rPr>
      </w:pPr>
      <w:r w:rsidRPr="003C29DA">
        <w:rPr>
          <w:rFonts w:cstheme="minorHAnsi"/>
        </w:rPr>
        <w:t xml:space="preserve">In our </w:t>
      </w:r>
      <w:r w:rsidRPr="003C29DA">
        <w:rPr>
          <w:rFonts w:cstheme="minorHAnsi"/>
          <w:i/>
        </w:rPr>
        <w:t>in vivo</w:t>
      </w:r>
      <w:r w:rsidRPr="003C29DA">
        <w:rPr>
          <w:rFonts w:cstheme="minorHAnsi"/>
        </w:rPr>
        <w:t xml:space="preserve"> mouse studies, vinorelbine was again more efficacious than methotrexate and combination methotrexate and gefitinib at reducing placental xenografts in mice. Additionally, four weeks after exposure to vinorelbine, mice in our </w:t>
      </w:r>
      <w:r w:rsidRPr="003C29DA">
        <w:rPr>
          <w:rFonts w:cstheme="minorHAnsi"/>
          <w:i/>
        </w:rPr>
        <w:t>in vivo</w:t>
      </w:r>
      <w:r w:rsidRPr="003C29DA">
        <w:rPr>
          <w:rFonts w:cstheme="minorHAnsi"/>
        </w:rPr>
        <w:t xml:space="preserve"> studies were allowed to breed. These mice displayed normal fertility, with no difference in serum markers of ovarian reserve, litter size, pup birth weight and placental weight between control and vinorelbine-treated mice. Together, our pre-clinical studies show strong preliminary evidence that the use of vinorelbine may be significantly more efficacious than methotrexate at resolving ectopic pregnancy </w:t>
      </w:r>
      <w:r w:rsidRPr="00FA3F96">
        <w:rPr>
          <w:rFonts w:cstheme="minorHAnsi"/>
          <w:i/>
        </w:rPr>
        <w:t>without affecting future fertility</w:t>
      </w:r>
      <w:r w:rsidRPr="003C29DA">
        <w:rPr>
          <w:rFonts w:cstheme="minorHAnsi"/>
        </w:rPr>
        <w:t xml:space="preserve">. </w:t>
      </w:r>
    </w:p>
    <w:p w14:paraId="7D186112" w14:textId="77777777" w:rsidR="003C29DA" w:rsidRPr="003C29DA" w:rsidRDefault="003C29DA" w:rsidP="003C29DA">
      <w:pPr>
        <w:outlineLvl w:val="2"/>
        <w:rPr>
          <w:rFonts w:cstheme="minorHAnsi"/>
        </w:rPr>
      </w:pPr>
    </w:p>
    <w:p w14:paraId="2B50EB06" w14:textId="77777777" w:rsidR="00446E96" w:rsidRPr="003C29DA" w:rsidRDefault="00446E96" w:rsidP="0067164A">
      <w:pPr>
        <w:pStyle w:val="ListParagraph"/>
        <w:numPr>
          <w:ilvl w:val="2"/>
          <w:numId w:val="1"/>
        </w:numPr>
        <w:ind w:left="2694" w:hanging="709"/>
        <w:outlineLvl w:val="2"/>
        <w:rPr>
          <w:rFonts w:cstheme="minorHAnsi"/>
          <w:b/>
        </w:rPr>
      </w:pPr>
      <w:bookmarkStart w:id="28" w:name="_Toc489888050"/>
      <w:r w:rsidRPr="003C29DA">
        <w:rPr>
          <w:rFonts w:cstheme="minorHAnsi"/>
          <w:b/>
        </w:rPr>
        <w:t>Progressi</w:t>
      </w:r>
      <w:r w:rsidR="000866FF">
        <w:rPr>
          <w:rFonts w:cstheme="minorHAnsi"/>
          <w:b/>
        </w:rPr>
        <w:t>ng the concept of vinorelbine as</w:t>
      </w:r>
      <w:r w:rsidRPr="003C29DA">
        <w:rPr>
          <w:rFonts w:cstheme="minorHAnsi"/>
          <w:b/>
        </w:rPr>
        <w:t xml:space="preserve"> a potential treatment</w:t>
      </w:r>
      <w:bookmarkEnd w:id="28"/>
      <w:r w:rsidRPr="003C29DA">
        <w:rPr>
          <w:rFonts w:cstheme="minorHAnsi"/>
          <w:b/>
        </w:rPr>
        <w:t xml:space="preserve"> </w:t>
      </w:r>
    </w:p>
    <w:p w14:paraId="5A5505D7" w14:textId="77777777" w:rsidR="00446E96" w:rsidRDefault="00446E96" w:rsidP="00446E96">
      <w:pPr>
        <w:rPr>
          <w:rFonts w:cstheme="minorHAnsi"/>
        </w:rPr>
      </w:pPr>
      <w:r w:rsidRPr="00FA2CD4">
        <w:rPr>
          <w:rFonts w:cstheme="minorHAnsi"/>
        </w:rPr>
        <w:t xml:space="preserve">Given the promising </w:t>
      </w:r>
      <w:r w:rsidRPr="00FA2CD4">
        <w:rPr>
          <w:rFonts w:cstheme="minorHAnsi"/>
          <w:i/>
        </w:rPr>
        <w:t>in vitro</w:t>
      </w:r>
      <w:r>
        <w:rPr>
          <w:rFonts w:cstheme="minorHAnsi"/>
        </w:rPr>
        <w:t xml:space="preserve"> and </w:t>
      </w:r>
      <w:r>
        <w:rPr>
          <w:rFonts w:cstheme="minorHAnsi"/>
          <w:i/>
        </w:rPr>
        <w:t>in vivo</w:t>
      </w:r>
      <w:r>
        <w:rPr>
          <w:rFonts w:cstheme="minorHAnsi"/>
        </w:rPr>
        <w:t xml:space="preserve"> data, coupled with</w:t>
      </w:r>
      <w:r w:rsidRPr="00FA2CD4">
        <w:rPr>
          <w:rFonts w:cstheme="minorHAnsi"/>
        </w:rPr>
        <w:t xml:space="preserve"> vinorelbine’s established safety</w:t>
      </w:r>
      <w:r>
        <w:rPr>
          <w:rFonts w:cstheme="minorHAnsi"/>
        </w:rPr>
        <w:t xml:space="preserve"> and tolerability</w:t>
      </w:r>
      <w:r w:rsidRPr="00FA2CD4">
        <w:rPr>
          <w:rFonts w:cstheme="minorHAnsi"/>
        </w:rPr>
        <w:t xml:space="preserve"> profile</w:t>
      </w:r>
      <w:r>
        <w:rPr>
          <w:rFonts w:cstheme="minorHAnsi"/>
        </w:rPr>
        <w:t>s</w:t>
      </w:r>
      <w:r w:rsidRPr="00FA2CD4">
        <w:rPr>
          <w:rFonts w:cstheme="minorHAnsi"/>
        </w:rPr>
        <w:t xml:space="preserve"> in the treatment of </w:t>
      </w:r>
      <w:r>
        <w:rPr>
          <w:rFonts w:cstheme="minorHAnsi"/>
        </w:rPr>
        <w:t xml:space="preserve">human </w:t>
      </w:r>
      <w:r w:rsidRPr="00FA2CD4">
        <w:rPr>
          <w:rFonts w:cstheme="minorHAnsi"/>
        </w:rPr>
        <w:t>oncology patients, we now wish to progress this concept to the clinic. We hope to recruit 20 participants with stable ectopic pregnancies and treat them each with 2 doses of 60mg/m² of oral vinoralbine, spaced one week apart</w:t>
      </w:r>
      <w:r>
        <w:rPr>
          <w:rFonts w:cstheme="minorHAnsi"/>
        </w:rPr>
        <w:t xml:space="preserve">, instead of </w:t>
      </w:r>
      <w:r w:rsidRPr="00FA2CD4">
        <w:rPr>
          <w:rFonts w:cstheme="minorHAnsi"/>
        </w:rPr>
        <w:t>methotrexate. The pri</w:t>
      </w:r>
      <w:r>
        <w:rPr>
          <w:rFonts w:cstheme="minorHAnsi"/>
        </w:rPr>
        <w:t>mary aims of this study are to assess the safety, toxicity and tolerability profiles of vinorelbine when administered exclusively to a cohort of women with stable ectopic pregnancies.</w:t>
      </w:r>
    </w:p>
    <w:p w14:paraId="0ACDFFF2" w14:textId="77777777" w:rsidR="00446E96" w:rsidRDefault="00446E96" w:rsidP="00446E96">
      <w:pPr>
        <w:rPr>
          <w:rFonts w:cstheme="minorHAnsi"/>
        </w:rPr>
      </w:pPr>
      <w:r>
        <w:rPr>
          <w:rFonts w:cstheme="minorHAnsi"/>
        </w:rPr>
        <w:t xml:space="preserve">Secondly, we will assess key clinical and biochemical features of the resolution of an ectopic pregnancy in women receiving vinorelbine therapy. If effective, this will provide the first evidence that vinorelbine may be a safe and efficacious tablet-only treatment for stable ectopic pregnancies in humans. If the data from this study is promising, it will form the basis for a large, randomized controlled trial aiming to establish oral vinorelbine as a standard medical treatment option for stable ectopic pregnancies. </w:t>
      </w:r>
    </w:p>
    <w:p w14:paraId="1BE09D8A" w14:textId="77777777" w:rsidR="00446E96" w:rsidRDefault="00446E96" w:rsidP="00446E96">
      <w:pPr>
        <w:rPr>
          <w:rFonts w:cstheme="minorHAnsi"/>
          <w:color w:val="FF0000"/>
        </w:rPr>
      </w:pPr>
    </w:p>
    <w:p w14:paraId="13087A92" w14:textId="77777777" w:rsidR="003C29DA" w:rsidRPr="003C29DA" w:rsidRDefault="0020750A" w:rsidP="00446E96">
      <w:pPr>
        <w:pStyle w:val="ListParagraph"/>
        <w:numPr>
          <w:ilvl w:val="1"/>
          <w:numId w:val="1"/>
        </w:numPr>
        <w:ind w:hanging="873"/>
        <w:outlineLvl w:val="1"/>
        <w:rPr>
          <w:rFonts w:cstheme="minorHAnsi"/>
          <w:b/>
        </w:rPr>
      </w:pPr>
      <w:bookmarkStart w:id="29" w:name="_Toc473873063"/>
      <w:bookmarkStart w:id="30" w:name="_Toc489888051"/>
      <w:r w:rsidRPr="00446E96">
        <w:rPr>
          <w:rFonts w:cstheme="minorHAnsi"/>
          <w:b/>
        </w:rPr>
        <w:t>POTENTIAL RISKS TO PARTICIPANTS</w:t>
      </w:r>
      <w:bookmarkEnd w:id="29"/>
      <w:bookmarkEnd w:id="30"/>
      <w:r w:rsidRPr="00446E96">
        <w:rPr>
          <w:b/>
        </w:rPr>
        <w:tab/>
      </w:r>
    </w:p>
    <w:p w14:paraId="4752F8CC" w14:textId="77777777" w:rsidR="003C29DA" w:rsidRPr="003C29DA" w:rsidRDefault="003C29DA" w:rsidP="003C29DA">
      <w:pPr>
        <w:pStyle w:val="ListParagraph"/>
        <w:ind w:left="1440"/>
        <w:outlineLvl w:val="1"/>
        <w:rPr>
          <w:rFonts w:cstheme="minorHAnsi"/>
          <w:b/>
        </w:rPr>
      </w:pPr>
    </w:p>
    <w:p w14:paraId="551F8812" w14:textId="77777777" w:rsidR="003C29DA" w:rsidRDefault="0020750A" w:rsidP="003C29DA">
      <w:pPr>
        <w:pStyle w:val="ListParagraph"/>
        <w:numPr>
          <w:ilvl w:val="2"/>
          <w:numId w:val="1"/>
        </w:numPr>
        <w:outlineLvl w:val="2"/>
        <w:rPr>
          <w:rFonts w:cstheme="minorHAnsi"/>
          <w:b/>
        </w:rPr>
      </w:pPr>
      <w:bookmarkStart w:id="31" w:name="_Toc489888052"/>
      <w:r w:rsidRPr="003C29DA">
        <w:rPr>
          <w:rFonts w:cstheme="minorHAnsi"/>
          <w:b/>
        </w:rPr>
        <w:t>Possible maternal risks</w:t>
      </w:r>
      <w:bookmarkEnd w:id="31"/>
    </w:p>
    <w:p w14:paraId="35B3EBD6" w14:textId="77777777" w:rsidR="003C29DA" w:rsidRDefault="0020750A" w:rsidP="003C29DA">
      <w:pPr>
        <w:rPr>
          <w:rFonts w:cstheme="minorHAnsi"/>
        </w:rPr>
      </w:pPr>
      <w:r w:rsidRPr="003C29DA">
        <w:rPr>
          <w:rFonts w:cstheme="minorHAnsi"/>
          <w:b/>
        </w:rPr>
        <w:t xml:space="preserve"> </w:t>
      </w:r>
      <w:r w:rsidR="003C29DA" w:rsidRPr="009D1728">
        <w:rPr>
          <w:rFonts w:cstheme="minorHAnsi"/>
        </w:rPr>
        <w:t>Patients with ectopic pregnancies may experience discomforts or inconveniences relating to their admission to hospital, clinical examinations and blood tests, regardless of whether or not they decide to participate in the study. However, patients recruited to the study would undergo additional examinations and pathology tests that are supplementary to their routine clinical care, and as such, may experience an increase in these discomforts and inconveniences. These additional study requirements will be outlined in detail to all potential participants during the informed consent process.</w:t>
      </w:r>
    </w:p>
    <w:p w14:paraId="526B4DA7" w14:textId="77777777" w:rsidR="003C29DA" w:rsidRDefault="003C29DA" w:rsidP="003C29DA">
      <w:pPr>
        <w:rPr>
          <w:rFonts w:cstheme="minorHAnsi"/>
        </w:rPr>
      </w:pPr>
    </w:p>
    <w:p w14:paraId="798EE27F" w14:textId="77777777" w:rsidR="003C29DA" w:rsidRDefault="003C29DA" w:rsidP="003C29DA">
      <w:pPr>
        <w:rPr>
          <w:rFonts w:cstheme="minorHAnsi"/>
        </w:rPr>
      </w:pPr>
      <w:r w:rsidRPr="008562D0">
        <w:rPr>
          <w:rFonts w:cstheme="minorHAnsi"/>
        </w:rPr>
        <w:lastRenderedPageBreak/>
        <w:t xml:space="preserve">We expect the proposed treatment will be safe and </w:t>
      </w:r>
      <w:r>
        <w:rPr>
          <w:rFonts w:cstheme="minorHAnsi"/>
        </w:rPr>
        <w:t xml:space="preserve">generally </w:t>
      </w:r>
      <w:r w:rsidRPr="008562D0">
        <w:rPr>
          <w:rFonts w:cstheme="minorHAnsi"/>
        </w:rPr>
        <w:t>well tolerated</w:t>
      </w:r>
      <w:r>
        <w:rPr>
          <w:rFonts w:cstheme="minorHAnsi"/>
        </w:rPr>
        <w:t xml:space="preserve"> in this cohort of otherwise-well women</w:t>
      </w:r>
      <w:r w:rsidRPr="008562D0">
        <w:rPr>
          <w:rFonts w:cstheme="minorHAnsi"/>
        </w:rPr>
        <w:t>.</w:t>
      </w:r>
      <w:r>
        <w:rPr>
          <w:rFonts w:cstheme="minorHAnsi"/>
        </w:rPr>
        <w:t xml:space="preserve"> Vinorelbine is a chemotherapeutic drug which is currently taken on a long-term basis by many people with particular cancers, while we propose to administer two doses per participant in totality. However as with any medication, participants may experience allergic reactions or other side effects from taking vinorelbine. Given that the cohort of women who we propose to enrol in this study will not have concomitant cancer diagnoses, are not immunocompromised, and will not be taking the drug on a long term basis, the risk of developing these side effects may be somewhat mitigated. Participants in this study will still be closely monitored to ensure their ongoing safety.</w:t>
      </w:r>
    </w:p>
    <w:p w14:paraId="79941260" w14:textId="77777777" w:rsidR="003C29DA" w:rsidRDefault="003C29DA" w:rsidP="003C29DA">
      <w:pPr>
        <w:rPr>
          <w:rFonts w:cstheme="minorHAnsi"/>
        </w:rPr>
      </w:pPr>
    </w:p>
    <w:p w14:paraId="4091F0F9" w14:textId="630E686D" w:rsidR="003C29DA" w:rsidRDefault="003C29DA" w:rsidP="003C29DA">
      <w:pPr>
        <w:rPr>
          <w:rFonts w:cstheme="minorHAnsi"/>
        </w:rPr>
      </w:pPr>
      <w:r>
        <w:rPr>
          <w:rFonts w:cstheme="minorHAnsi"/>
        </w:rPr>
        <w:t>Known potential side effects of vinorelbine therapy in oncology patients include gastrointestinal symptoms, respiratory distress, agranulocytosis and neutropaenia. The long-term carcinogenic potential in humans of vinorelbine has not been established (nor has it been for the current standard treatment, methotrexate). There is no data about the excretion of vinorelbine into human breast milk, so its use should be avoided in women who are breastfeeding</w:t>
      </w:r>
      <w:r w:rsidR="00B11260">
        <w:rPr>
          <w:rFonts w:cstheme="minorHAnsi"/>
        </w:rPr>
        <w:t xml:space="preserve"> (see </w:t>
      </w:r>
      <w:r w:rsidR="00B11260">
        <w:rPr>
          <w:rFonts w:cstheme="minorHAnsi"/>
          <w:i/>
        </w:rPr>
        <w:t>Appendix 1</w:t>
      </w:r>
      <w:r w:rsidR="00B11260">
        <w:rPr>
          <w:rFonts w:cstheme="minorHAnsi"/>
        </w:rPr>
        <w:t>)</w:t>
      </w:r>
      <w:r>
        <w:rPr>
          <w:rFonts w:cstheme="minorHAnsi"/>
        </w:rPr>
        <w:t>.</w:t>
      </w:r>
    </w:p>
    <w:p w14:paraId="39D6634A" w14:textId="77777777" w:rsidR="003C29DA" w:rsidRDefault="003C29DA" w:rsidP="003C29DA">
      <w:pPr>
        <w:rPr>
          <w:rFonts w:cstheme="minorHAnsi"/>
        </w:rPr>
      </w:pPr>
    </w:p>
    <w:p w14:paraId="70ABD7C2" w14:textId="77777777" w:rsidR="0020750A" w:rsidRPr="003C29DA" w:rsidRDefault="0020750A" w:rsidP="003C29DA">
      <w:pPr>
        <w:pStyle w:val="ListParagraph"/>
        <w:numPr>
          <w:ilvl w:val="2"/>
          <w:numId w:val="1"/>
        </w:numPr>
        <w:outlineLvl w:val="2"/>
        <w:rPr>
          <w:rFonts w:cstheme="minorHAnsi"/>
          <w:b/>
        </w:rPr>
      </w:pPr>
      <w:bookmarkStart w:id="32" w:name="_Toc489888053"/>
      <w:r w:rsidRPr="003C29DA">
        <w:rPr>
          <w:rFonts w:cstheme="minorHAnsi"/>
          <w:b/>
        </w:rPr>
        <w:t>Possible fetal risks (subsequent pregnancies)</w:t>
      </w:r>
      <w:bookmarkEnd w:id="32"/>
    </w:p>
    <w:p w14:paraId="0B81316E" w14:textId="7AB0244F" w:rsidR="0020750A" w:rsidRDefault="0020750A" w:rsidP="0020750A">
      <w:pPr>
        <w:rPr>
          <w:rFonts w:cstheme="minorHAnsi"/>
        </w:rPr>
      </w:pPr>
      <w:r w:rsidRPr="001E35C2">
        <w:rPr>
          <w:rFonts w:cstheme="minorHAnsi"/>
          <w:color w:val="FF0000"/>
        </w:rPr>
        <w:t xml:space="preserve"> </w:t>
      </w:r>
      <w:r>
        <w:rPr>
          <w:rFonts w:cstheme="minorHAnsi"/>
        </w:rPr>
        <w:t>Vinorelbine is a ‘Category D’ drug, which has been shown to cause damage to the developing fetus in animal studies. There are no studies into its effects on human pregnancies, although it is reasonable to infer that vinorelbine carries a significant potential risk of harm to the human fetus</w:t>
      </w:r>
      <w:r w:rsidR="00C84B27">
        <w:rPr>
          <w:rFonts w:cstheme="minorHAnsi"/>
        </w:rPr>
        <w:t xml:space="preserve"> (see </w:t>
      </w:r>
      <w:r w:rsidR="00C84B27">
        <w:rPr>
          <w:rFonts w:cstheme="minorHAnsi"/>
          <w:i/>
        </w:rPr>
        <w:t>Appendix 1</w:t>
      </w:r>
      <w:r w:rsidR="00C84B27">
        <w:rPr>
          <w:rFonts w:cstheme="minorHAnsi"/>
        </w:rPr>
        <w:t>)</w:t>
      </w:r>
      <w:r>
        <w:rPr>
          <w:rFonts w:cstheme="minorHAnsi"/>
        </w:rPr>
        <w:t xml:space="preserve">. Participants who receive any amount of vinorelbine for this study will be counselled about these risks, with the conservative advice that they should avoid a subsequent pregnancy for at least 3 months following their most recent vinorelbine dose. </w:t>
      </w:r>
    </w:p>
    <w:p w14:paraId="7651F77D" w14:textId="42F6A905" w:rsidR="0020750A" w:rsidRPr="00404041" w:rsidRDefault="0020750A" w:rsidP="0020750A">
      <w:pPr>
        <w:rPr>
          <w:rFonts w:cstheme="minorHAnsi"/>
          <w:i/>
        </w:rPr>
      </w:pPr>
      <w:r>
        <w:rPr>
          <w:rFonts w:cstheme="minorHAnsi"/>
          <w:i/>
        </w:rPr>
        <w:t>*</w:t>
      </w:r>
      <w:r w:rsidRPr="008302AF">
        <w:rPr>
          <w:rFonts w:cstheme="minorHAnsi"/>
          <w:i/>
        </w:rPr>
        <w:t>*</w:t>
      </w:r>
      <w:r>
        <w:rPr>
          <w:rFonts w:cstheme="minorHAnsi"/>
          <w:i/>
        </w:rPr>
        <w:t xml:space="preserve">Note - </w:t>
      </w:r>
      <w:r w:rsidRPr="008302AF">
        <w:rPr>
          <w:rFonts w:cstheme="minorHAnsi"/>
          <w:i/>
        </w:rPr>
        <w:t xml:space="preserve">There is no defined, recommended timeframe between ceasing vinorelbine therapy and the </w:t>
      </w:r>
      <w:r>
        <w:rPr>
          <w:rFonts w:cstheme="minorHAnsi"/>
          <w:i/>
        </w:rPr>
        <w:t xml:space="preserve">safe </w:t>
      </w:r>
      <w:r w:rsidRPr="008302AF">
        <w:rPr>
          <w:rFonts w:cstheme="minorHAnsi"/>
          <w:i/>
        </w:rPr>
        <w:t>conception of a subs</w:t>
      </w:r>
      <w:r w:rsidR="00732917">
        <w:rPr>
          <w:rFonts w:cstheme="minorHAnsi"/>
          <w:i/>
        </w:rPr>
        <w:t>equent pregnancy (see Appendix 1</w:t>
      </w:r>
      <w:r w:rsidRPr="008302AF">
        <w:rPr>
          <w:rFonts w:cstheme="minorHAnsi"/>
          <w:i/>
        </w:rPr>
        <w:t>). However, advising a 3 month wait is consistent with the advice currently given to women following methotrexate therapy (a ‘Category X’ chemotherapeutic agent)</w:t>
      </w:r>
      <w:r>
        <w:rPr>
          <w:rFonts w:cstheme="minorHAnsi"/>
          <w:i/>
        </w:rPr>
        <w:t xml:space="preserve"> for the treatment of an ectopic pregnancy</w:t>
      </w:r>
      <w:r w:rsidRPr="008302AF">
        <w:rPr>
          <w:rFonts w:cstheme="minorHAnsi"/>
          <w:i/>
        </w:rPr>
        <w:t xml:space="preserve">. </w:t>
      </w:r>
    </w:p>
    <w:p w14:paraId="41906EE5" w14:textId="77777777" w:rsidR="00DD0560" w:rsidRPr="009D1728" w:rsidRDefault="00DD0560" w:rsidP="00B964A7">
      <w:pPr>
        <w:rPr>
          <w:rFonts w:cstheme="minorHAnsi"/>
        </w:rPr>
      </w:pPr>
    </w:p>
    <w:p w14:paraId="5CFB2407" w14:textId="77777777" w:rsidR="00B964A7" w:rsidRDefault="00B964A7" w:rsidP="00127972">
      <w:pPr>
        <w:pStyle w:val="ListParagraph"/>
        <w:numPr>
          <w:ilvl w:val="1"/>
          <w:numId w:val="1"/>
        </w:numPr>
        <w:ind w:hanging="731"/>
        <w:outlineLvl w:val="1"/>
        <w:rPr>
          <w:rFonts w:cstheme="minorHAnsi"/>
          <w:b/>
        </w:rPr>
      </w:pPr>
      <w:bookmarkStart w:id="33" w:name="_Toc473873064"/>
      <w:bookmarkStart w:id="34" w:name="_Toc489888054"/>
      <w:r w:rsidRPr="00B05FFC">
        <w:rPr>
          <w:rFonts w:cstheme="minorHAnsi"/>
          <w:b/>
        </w:rPr>
        <w:t>POTENTIAL BENEFITS</w:t>
      </w:r>
      <w:bookmarkEnd w:id="33"/>
      <w:bookmarkEnd w:id="34"/>
    </w:p>
    <w:p w14:paraId="29A1FC68" w14:textId="77777777" w:rsidR="00B964A7" w:rsidRDefault="00B964A7" w:rsidP="00B964A7">
      <w:pPr>
        <w:pStyle w:val="ListParagraph"/>
        <w:ind w:left="1440"/>
        <w:outlineLvl w:val="1"/>
        <w:rPr>
          <w:rFonts w:cstheme="minorHAnsi"/>
          <w:b/>
        </w:rPr>
      </w:pPr>
    </w:p>
    <w:p w14:paraId="465CEFC8" w14:textId="77777777" w:rsidR="00B964A7" w:rsidRDefault="00B964A7" w:rsidP="00127972">
      <w:pPr>
        <w:pStyle w:val="ListParagraph"/>
        <w:numPr>
          <w:ilvl w:val="2"/>
          <w:numId w:val="1"/>
        </w:numPr>
        <w:outlineLvl w:val="2"/>
        <w:rPr>
          <w:rFonts w:cstheme="minorHAnsi"/>
          <w:b/>
        </w:rPr>
      </w:pPr>
      <w:bookmarkStart w:id="35" w:name="_Toc489888055"/>
      <w:r w:rsidRPr="00BA4E3E">
        <w:rPr>
          <w:rFonts w:cstheme="minorHAnsi"/>
          <w:b/>
        </w:rPr>
        <w:t>Safe</w:t>
      </w:r>
      <w:r w:rsidR="000D6DEF">
        <w:rPr>
          <w:rFonts w:cstheme="minorHAnsi"/>
          <w:b/>
        </w:rPr>
        <w:t>, effective</w:t>
      </w:r>
      <w:r w:rsidRPr="00BA4E3E">
        <w:rPr>
          <w:rFonts w:cstheme="minorHAnsi"/>
          <w:b/>
        </w:rPr>
        <w:t xml:space="preserve"> treatment</w:t>
      </w:r>
      <w:r w:rsidR="00EF6FE0">
        <w:rPr>
          <w:rFonts w:cstheme="minorHAnsi"/>
          <w:b/>
        </w:rPr>
        <w:t>;</w:t>
      </w:r>
      <w:r w:rsidR="001E35C2">
        <w:rPr>
          <w:rFonts w:cstheme="minorHAnsi"/>
          <w:b/>
        </w:rPr>
        <w:t xml:space="preserve"> better health outcomes for women</w:t>
      </w:r>
      <w:bookmarkEnd w:id="35"/>
    </w:p>
    <w:p w14:paraId="7667A8DD" w14:textId="72327094" w:rsidR="00BA4FB3" w:rsidRDefault="00B964A7" w:rsidP="00B964A7">
      <w:pPr>
        <w:tabs>
          <w:tab w:val="left" w:pos="1380"/>
        </w:tabs>
        <w:rPr>
          <w:rFonts w:cstheme="minorHAnsi"/>
        </w:rPr>
      </w:pPr>
      <w:r w:rsidRPr="005246C4">
        <w:rPr>
          <w:rFonts w:cstheme="minorHAnsi"/>
        </w:rPr>
        <w:t xml:space="preserve">There are some potential benefits for participants related to their participation in the study. </w:t>
      </w:r>
      <w:r w:rsidR="005246C4" w:rsidRPr="005246C4">
        <w:rPr>
          <w:rFonts w:cstheme="minorHAnsi"/>
        </w:rPr>
        <w:t xml:space="preserve">We hope to </w:t>
      </w:r>
      <w:r w:rsidR="00F1341E">
        <w:rPr>
          <w:rFonts w:cstheme="minorHAnsi"/>
        </w:rPr>
        <w:t xml:space="preserve">completely resolve </w:t>
      </w:r>
      <w:r w:rsidR="005246C4" w:rsidRPr="005246C4">
        <w:rPr>
          <w:rFonts w:cstheme="minorHAnsi"/>
        </w:rPr>
        <w:t>ectopic pregnancy using a well-tolerated, orally-available medication with an established low-risk harm profile in humans</w:t>
      </w:r>
      <w:r w:rsidR="005246C4" w:rsidRPr="002745F7">
        <w:rPr>
          <w:rFonts w:cstheme="minorHAnsi"/>
        </w:rPr>
        <w:t xml:space="preserve">. </w:t>
      </w:r>
      <w:r w:rsidR="002D311A" w:rsidRPr="002745F7">
        <w:rPr>
          <w:rFonts w:cstheme="minorHAnsi"/>
        </w:rPr>
        <w:t xml:space="preserve">Potential maternal benefits include disease stabilisation, as well as reductions in </w:t>
      </w:r>
      <w:r w:rsidR="002D311A">
        <w:rPr>
          <w:rFonts w:cstheme="minorHAnsi"/>
        </w:rPr>
        <w:t xml:space="preserve">both </w:t>
      </w:r>
      <w:r w:rsidR="002D311A" w:rsidRPr="002745F7">
        <w:rPr>
          <w:rFonts w:cstheme="minorHAnsi"/>
        </w:rPr>
        <w:t xml:space="preserve">medical management failure and </w:t>
      </w:r>
      <w:r w:rsidR="002D311A">
        <w:rPr>
          <w:rFonts w:cstheme="minorHAnsi"/>
        </w:rPr>
        <w:t xml:space="preserve">the number of </w:t>
      </w:r>
      <w:r w:rsidR="002D311A" w:rsidRPr="002745F7">
        <w:rPr>
          <w:rFonts w:cstheme="minorHAnsi"/>
        </w:rPr>
        <w:t>cases</w:t>
      </w:r>
      <w:r w:rsidR="002745F7" w:rsidRPr="002745F7">
        <w:rPr>
          <w:rFonts w:cstheme="minorHAnsi"/>
        </w:rPr>
        <w:t xml:space="preserve"> that progress to haemodynamic instability, internal bleeding and tubular rupture</w:t>
      </w:r>
      <w:r w:rsidR="00F72443" w:rsidRPr="002745F7">
        <w:rPr>
          <w:rFonts w:cstheme="minorHAnsi"/>
        </w:rPr>
        <w:t xml:space="preserve">. </w:t>
      </w:r>
      <w:r w:rsidR="00C2700E">
        <w:rPr>
          <w:rFonts w:cstheme="minorHAnsi"/>
        </w:rPr>
        <w:t>This would ultimately reduce the number of women</w:t>
      </w:r>
      <w:r w:rsidR="00D85591">
        <w:rPr>
          <w:rFonts w:cstheme="minorHAnsi"/>
        </w:rPr>
        <w:t xml:space="preserve"> </w:t>
      </w:r>
      <w:r w:rsidR="00383F01">
        <w:rPr>
          <w:rFonts w:cstheme="minorHAnsi"/>
        </w:rPr>
        <w:t>having operative treatment for</w:t>
      </w:r>
      <w:r w:rsidR="00C2700E">
        <w:rPr>
          <w:rFonts w:cstheme="minorHAnsi"/>
        </w:rPr>
        <w:t xml:space="preserve"> their ectopic pregnancies</w:t>
      </w:r>
      <w:r w:rsidR="00D85591">
        <w:rPr>
          <w:rFonts w:cstheme="minorHAnsi"/>
        </w:rPr>
        <w:t>,</w:t>
      </w:r>
      <w:r w:rsidR="000E7D9F">
        <w:rPr>
          <w:rFonts w:cstheme="minorHAnsi"/>
        </w:rPr>
        <w:t xml:space="preserve"> lowering community exposure</w:t>
      </w:r>
      <w:r w:rsidR="00D85591">
        <w:rPr>
          <w:rFonts w:cstheme="minorHAnsi"/>
        </w:rPr>
        <w:t xml:space="preserve"> to the potential </w:t>
      </w:r>
      <w:r w:rsidR="000E7D9F">
        <w:rPr>
          <w:rFonts w:cstheme="minorHAnsi"/>
        </w:rPr>
        <w:t xml:space="preserve">inherent </w:t>
      </w:r>
      <w:r w:rsidR="00D85591">
        <w:rPr>
          <w:rFonts w:cstheme="minorHAnsi"/>
        </w:rPr>
        <w:t>risks associated with anaesthesia and surgery.</w:t>
      </w:r>
      <w:r w:rsidR="005738A7">
        <w:rPr>
          <w:rFonts w:cstheme="minorHAnsi"/>
        </w:rPr>
        <w:t xml:space="preserve"> Additionally, reductions in the number of salpingectomy/salpingo</w:t>
      </w:r>
      <w:r w:rsidR="005C1BD2">
        <w:rPr>
          <w:rFonts w:cstheme="minorHAnsi"/>
        </w:rPr>
        <w:t>s</w:t>
      </w:r>
      <w:r w:rsidR="005738A7">
        <w:rPr>
          <w:rFonts w:cstheme="minorHAnsi"/>
        </w:rPr>
        <w:t>tomy pro</w:t>
      </w:r>
      <w:r w:rsidR="00BA4FB3">
        <w:rPr>
          <w:rFonts w:cstheme="minorHAnsi"/>
        </w:rPr>
        <w:t>cedures being performed may have a positive influence on future fertility preservation for women with ectopic pregnancies.</w:t>
      </w:r>
    </w:p>
    <w:p w14:paraId="2985DDBF" w14:textId="77777777" w:rsidR="003B0BC6" w:rsidRDefault="005246C4" w:rsidP="00B964A7">
      <w:pPr>
        <w:tabs>
          <w:tab w:val="left" w:pos="1380"/>
        </w:tabs>
        <w:rPr>
          <w:rFonts w:cstheme="minorHAnsi"/>
        </w:rPr>
      </w:pPr>
      <w:r w:rsidRPr="005246C4">
        <w:rPr>
          <w:rFonts w:cstheme="minorHAnsi"/>
        </w:rPr>
        <w:lastRenderedPageBreak/>
        <w:t xml:space="preserve">If </w:t>
      </w:r>
      <w:r>
        <w:rPr>
          <w:rFonts w:cstheme="minorHAnsi"/>
        </w:rPr>
        <w:t>we are successful at</w:t>
      </w:r>
      <w:r w:rsidR="00A71D20">
        <w:rPr>
          <w:rFonts w:cstheme="minorHAnsi"/>
        </w:rPr>
        <w:t xml:space="preserve"> gaining preliminary evidence that</w:t>
      </w:r>
      <w:r>
        <w:rPr>
          <w:rFonts w:cstheme="minorHAnsi"/>
        </w:rPr>
        <w:t xml:space="preserve"> </w:t>
      </w:r>
      <w:r w:rsidR="00A71D20">
        <w:rPr>
          <w:rFonts w:cstheme="minorHAnsi"/>
        </w:rPr>
        <w:t>vinorelbine is</w:t>
      </w:r>
      <w:r>
        <w:rPr>
          <w:rFonts w:cstheme="minorHAnsi"/>
        </w:rPr>
        <w:t xml:space="preserve"> a</w:t>
      </w:r>
      <w:r w:rsidR="003B0BC6">
        <w:rPr>
          <w:rFonts w:cstheme="minorHAnsi"/>
        </w:rPr>
        <w:t xml:space="preserve"> </w:t>
      </w:r>
      <w:r w:rsidR="0020750A">
        <w:rPr>
          <w:rFonts w:cstheme="minorHAnsi"/>
        </w:rPr>
        <w:t>safe, efficacious,</w:t>
      </w:r>
      <w:r w:rsidR="00A11023">
        <w:rPr>
          <w:rFonts w:cstheme="minorHAnsi"/>
        </w:rPr>
        <w:t xml:space="preserve"> </w:t>
      </w:r>
      <w:r w:rsidR="003B0BC6">
        <w:rPr>
          <w:rFonts w:cstheme="minorHAnsi"/>
        </w:rPr>
        <w:t>non-surgical</w:t>
      </w:r>
      <w:r w:rsidR="00B964A7" w:rsidRPr="003B6443">
        <w:rPr>
          <w:rFonts w:cstheme="minorHAnsi"/>
        </w:rPr>
        <w:t xml:space="preserve"> opti</w:t>
      </w:r>
      <w:r w:rsidR="00A11023">
        <w:rPr>
          <w:rFonts w:cstheme="minorHAnsi"/>
        </w:rPr>
        <w:t>on for the treatment of</w:t>
      </w:r>
      <w:r w:rsidR="00EF6FE0">
        <w:rPr>
          <w:rFonts w:cstheme="minorHAnsi"/>
        </w:rPr>
        <w:t xml:space="preserve"> </w:t>
      </w:r>
      <w:r w:rsidR="00A71D20">
        <w:rPr>
          <w:rFonts w:cstheme="minorHAnsi"/>
        </w:rPr>
        <w:t xml:space="preserve">women with </w:t>
      </w:r>
      <w:r w:rsidR="00EF6FE0">
        <w:rPr>
          <w:rFonts w:cstheme="minorHAnsi"/>
        </w:rPr>
        <w:t>ectopic pregnancies</w:t>
      </w:r>
      <w:r w:rsidR="00B964A7" w:rsidRPr="003B6443">
        <w:rPr>
          <w:rFonts w:cstheme="minorHAnsi"/>
        </w:rPr>
        <w:t>,</w:t>
      </w:r>
      <w:r w:rsidR="00EF6FE0">
        <w:rPr>
          <w:rFonts w:cstheme="minorHAnsi"/>
        </w:rPr>
        <w:t xml:space="preserve"> </w:t>
      </w:r>
      <w:r w:rsidR="0020750A">
        <w:rPr>
          <w:rFonts w:cstheme="minorHAnsi"/>
        </w:rPr>
        <w:t>the impact on reducing</w:t>
      </w:r>
      <w:r w:rsidR="00445621">
        <w:rPr>
          <w:rFonts w:cstheme="minorHAnsi"/>
        </w:rPr>
        <w:t xml:space="preserve"> the numbers of surgical interventions</w:t>
      </w:r>
      <w:r w:rsidR="00A71D20">
        <w:rPr>
          <w:rFonts w:cstheme="minorHAnsi"/>
        </w:rPr>
        <w:t xml:space="preserve"> could be two-fold. </w:t>
      </w:r>
      <w:r w:rsidR="008C524B">
        <w:rPr>
          <w:rFonts w:cstheme="minorHAnsi"/>
        </w:rPr>
        <w:t>Firstly, w</w:t>
      </w:r>
      <w:r w:rsidR="00A71D20">
        <w:rPr>
          <w:rFonts w:cstheme="minorHAnsi"/>
        </w:rPr>
        <w:t>e anticipate that</w:t>
      </w:r>
      <w:r w:rsidR="001C64C4">
        <w:rPr>
          <w:rFonts w:cstheme="minorHAnsi"/>
        </w:rPr>
        <w:t xml:space="preserve"> we</w:t>
      </w:r>
      <w:r w:rsidR="00A71D20">
        <w:rPr>
          <w:rFonts w:cstheme="minorHAnsi"/>
        </w:rPr>
        <w:t xml:space="preserve"> may see a major </w:t>
      </w:r>
      <w:r w:rsidR="008E27E7">
        <w:rPr>
          <w:rFonts w:cstheme="minorHAnsi"/>
        </w:rPr>
        <w:t>d</w:t>
      </w:r>
      <w:r w:rsidR="00DA2EF1">
        <w:rPr>
          <w:rFonts w:cstheme="minorHAnsi"/>
        </w:rPr>
        <w:t xml:space="preserve">ecrease </w:t>
      </w:r>
      <w:r w:rsidR="001C64C4">
        <w:rPr>
          <w:rFonts w:cstheme="minorHAnsi"/>
        </w:rPr>
        <w:t xml:space="preserve">in </w:t>
      </w:r>
      <w:r w:rsidR="00DA2EF1">
        <w:rPr>
          <w:rFonts w:cstheme="minorHAnsi"/>
        </w:rPr>
        <w:t xml:space="preserve">the incidence of </w:t>
      </w:r>
      <w:r w:rsidR="001C64C4">
        <w:rPr>
          <w:rFonts w:cstheme="minorHAnsi"/>
        </w:rPr>
        <w:t>failed</w:t>
      </w:r>
      <w:r w:rsidR="00A71D20">
        <w:rPr>
          <w:rFonts w:cstheme="minorHAnsi"/>
        </w:rPr>
        <w:t xml:space="preserve"> </w:t>
      </w:r>
      <w:r w:rsidR="008E27E7">
        <w:rPr>
          <w:rFonts w:cstheme="minorHAnsi"/>
        </w:rPr>
        <w:t>medical management</w:t>
      </w:r>
      <w:r w:rsidR="00A71D20">
        <w:rPr>
          <w:rFonts w:cstheme="minorHAnsi"/>
        </w:rPr>
        <w:t xml:space="preserve"> of ectopic pregnancies</w:t>
      </w:r>
      <w:r w:rsidR="008E27E7">
        <w:rPr>
          <w:rFonts w:cstheme="minorHAnsi"/>
        </w:rPr>
        <w:t>, reducing the number of women who</w:t>
      </w:r>
      <w:r w:rsidR="00A71D20">
        <w:rPr>
          <w:rFonts w:cstheme="minorHAnsi"/>
        </w:rPr>
        <w:t xml:space="preserve"> will then</w:t>
      </w:r>
      <w:r w:rsidR="008E27E7">
        <w:rPr>
          <w:rFonts w:cstheme="minorHAnsi"/>
        </w:rPr>
        <w:t xml:space="preserve"> require</w:t>
      </w:r>
      <w:r w:rsidR="00966016">
        <w:rPr>
          <w:rFonts w:cstheme="minorHAnsi"/>
        </w:rPr>
        <w:t xml:space="preserve"> a subsequent</w:t>
      </w:r>
      <w:r w:rsidR="008E27E7">
        <w:rPr>
          <w:rFonts w:cstheme="minorHAnsi"/>
        </w:rPr>
        <w:t xml:space="preserve"> </w:t>
      </w:r>
      <w:r w:rsidR="00121D84">
        <w:rPr>
          <w:rFonts w:cstheme="minorHAnsi"/>
        </w:rPr>
        <w:t>salvage surgery</w:t>
      </w:r>
      <w:r w:rsidR="008E27E7">
        <w:rPr>
          <w:rFonts w:cstheme="minorHAnsi"/>
        </w:rPr>
        <w:t>. Additionally, if we</w:t>
      </w:r>
      <w:r w:rsidR="002B4815">
        <w:rPr>
          <w:rFonts w:cstheme="minorHAnsi"/>
        </w:rPr>
        <w:t xml:space="preserve"> can show that vinorelbine has a higher success rate than </w:t>
      </w:r>
      <w:r w:rsidR="00A64984">
        <w:rPr>
          <w:rFonts w:cstheme="minorHAnsi"/>
        </w:rPr>
        <w:t>methotrexate</w:t>
      </w:r>
      <w:r w:rsidR="00A11023">
        <w:rPr>
          <w:rFonts w:cstheme="minorHAnsi"/>
        </w:rPr>
        <w:t xml:space="preserve">, </w:t>
      </w:r>
      <w:r w:rsidR="000D2B56">
        <w:rPr>
          <w:rFonts w:cstheme="minorHAnsi"/>
        </w:rPr>
        <w:t>there may be a greater uptake of wome</w:t>
      </w:r>
      <w:r w:rsidR="00A64984">
        <w:rPr>
          <w:rFonts w:cstheme="minorHAnsi"/>
        </w:rPr>
        <w:t>n electing to have their ectopic pregnancies medically managed</w:t>
      </w:r>
      <w:r w:rsidR="001C64C4">
        <w:rPr>
          <w:rFonts w:cstheme="minorHAnsi"/>
        </w:rPr>
        <w:t xml:space="preserve"> in the first place</w:t>
      </w:r>
      <w:r w:rsidR="00DA2EF1">
        <w:rPr>
          <w:rFonts w:cstheme="minorHAnsi"/>
        </w:rPr>
        <w:t>.</w:t>
      </w:r>
      <w:r w:rsidR="003D59BC">
        <w:rPr>
          <w:rFonts w:cstheme="minorHAnsi"/>
        </w:rPr>
        <w:t xml:space="preserve"> Given the relative frequency of ectopic pregnancies, even a slight</w:t>
      </w:r>
      <w:r w:rsidR="00246AEA">
        <w:rPr>
          <w:rFonts w:cstheme="minorHAnsi"/>
        </w:rPr>
        <w:t xml:space="preserve"> reduction in the proportion</w:t>
      </w:r>
      <w:r w:rsidR="000D2B56">
        <w:rPr>
          <w:rFonts w:cstheme="minorHAnsi"/>
        </w:rPr>
        <w:t xml:space="preserve"> of cases requiring surgical intervention </w:t>
      </w:r>
      <w:r w:rsidR="007A1252">
        <w:rPr>
          <w:rFonts w:cstheme="minorHAnsi"/>
        </w:rPr>
        <w:t>could carry</w:t>
      </w:r>
      <w:r w:rsidR="00F5488C">
        <w:rPr>
          <w:rFonts w:cstheme="minorHAnsi"/>
        </w:rPr>
        <w:t xml:space="preserve"> significant </w:t>
      </w:r>
      <w:r w:rsidR="00A54119">
        <w:rPr>
          <w:rFonts w:cstheme="minorHAnsi"/>
        </w:rPr>
        <w:t>latent</w:t>
      </w:r>
      <w:r w:rsidR="00F5488C">
        <w:rPr>
          <w:rFonts w:cstheme="minorHAnsi"/>
        </w:rPr>
        <w:t xml:space="preserve"> benefits</w:t>
      </w:r>
      <w:r w:rsidR="0043509D">
        <w:rPr>
          <w:rFonts w:cstheme="minorHAnsi"/>
        </w:rPr>
        <w:t xml:space="preserve">. </w:t>
      </w:r>
      <w:r w:rsidR="005A548C">
        <w:rPr>
          <w:rFonts w:cstheme="minorHAnsi"/>
        </w:rPr>
        <w:t xml:space="preserve">Broadly, vinorelbine treatment has the potential to reduce </w:t>
      </w:r>
      <w:r w:rsidR="00821D92">
        <w:rPr>
          <w:rFonts w:cstheme="minorHAnsi"/>
        </w:rPr>
        <w:t xml:space="preserve">the </w:t>
      </w:r>
      <w:r w:rsidR="00BA4FB3">
        <w:rPr>
          <w:rFonts w:cstheme="minorHAnsi"/>
        </w:rPr>
        <w:t xml:space="preserve">surgical and anaesthetic </w:t>
      </w:r>
      <w:r w:rsidR="003D59BC">
        <w:rPr>
          <w:rFonts w:cstheme="minorHAnsi"/>
        </w:rPr>
        <w:t>risk</w:t>
      </w:r>
      <w:r w:rsidR="00821D92">
        <w:rPr>
          <w:rFonts w:cstheme="minorHAnsi"/>
        </w:rPr>
        <w:t xml:space="preserve"> profile</w:t>
      </w:r>
      <w:r w:rsidR="00BA4FB3">
        <w:rPr>
          <w:rFonts w:cstheme="minorHAnsi"/>
        </w:rPr>
        <w:t>s</w:t>
      </w:r>
      <w:r w:rsidR="00821D92">
        <w:rPr>
          <w:rFonts w:cstheme="minorHAnsi"/>
        </w:rPr>
        <w:t xml:space="preserve"> in</w:t>
      </w:r>
      <w:r w:rsidR="003D59BC">
        <w:rPr>
          <w:rFonts w:cstheme="minorHAnsi"/>
        </w:rPr>
        <w:t xml:space="preserve"> the population of women who experience ectopic pregnancies</w:t>
      </w:r>
      <w:r w:rsidR="00BA4FB3">
        <w:rPr>
          <w:rFonts w:cstheme="minorHAnsi"/>
        </w:rPr>
        <w:t xml:space="preserve">; may preserve their future fertility in relation to Fallopian tube </w:t>
      </w:r>
      <w:r w:rsidR="004A63F5">
        <w:rPr>
          <w:rFonts w:cstheme="minorHAnsi"/>
        </w:rPr>
        <w:t>conservation</w:t>
      </w:r>
      <w:r w:rsidR="0063399A">
        <w:rPr>
          <w:rFonts w:cstheme="minorHAnsi"/>
        </w:rPr>
        <w:t xml:space="preserve">; and have significant impacts on reducing surgery and inpatient-related costs incurred by </w:t>
      </w:r>
      <w:r w:rsidR="00072F0A">
        <w:rPr>
          <w:rFonts w:cstheme="minorHAnsi"/>
        </w:rPr>
        <w:t xml:space="preserve">individuals, families, </w:t>
      </w:r>
      <w:r w:rsidR="0063399A">
        <w:rPr>
          <w:rFonts w:cstheme="minorHAnsi"/>
        </w:rPr>
        <w:t xml:space="preserve">health services and health systems. </w:t>
      </w:r>
      <w:r w:rsidR="000D2B56">
        <w:rPr>
          <w:rFonts w:cstheme="minorHAnsi"/>
        </w:rPr>
        <w:t xml:space="preserve"> </w:t>
      </w:r>
      <w:r w:rsidR="00DA2EF1">
        <w:rPr>
          <w:rFonts w:cstheme="minorHAnsi"/>
        </w:rPr>
        <w:t xml:space="preserve"> </w:t>
      </w:r>
    </w:p>
    <w:p w14:paraId="0F98A815" w14:textId="77777777" w:rsidR="00B964A7" w:rsidRDefault="00B964A7" w:rsidP="00D91174">
      <w:pPr>
        <w:pStyle w:val="ListParagraph"/>
        <w:ind w:left="2160"/>
        <w:outlineLvl w:val="2"/>
        <w:rPr>
          <w:rFonts w:cstheme="minorHAnsi"/>
          <w:b/>
        </w:rPr>
      </w:pPr>
    </w:p>
    <w:p w14:paraId="6E74E0E1" w14:textId="77777777" w:rsidR="00B964A7" w:rsidRDefault="00B964A7" w:rsidP="00D91174">
      <w:pPr>
        <w:pStyle w:val="ListParagraph"/>
        <w:numPr>
          <w:ilvl w:val="2"/>
          <w:numId w:val="1"/>
        </w:numPr>
        <w:outlineLvl w:val="2"/>
        <w:rPr>
          <w:rFonts w:cstheme="minorHAnsi"/>
          <w:b/>
        </w:rPr>
      </w:pPr>
      <w:r w:rsidRPr="00BA4E3E">
        <w:rPr>
          <w:rFonts w:cstheme="minorHAnsi"/>
          <w:b/>
        </w:rPr>
        <w:t xml:space="preserve"> </w:t>
      </w:r>
      <w:bookmarkStart w:id="36" w:name="_Toc489888056"/>
      <w:r w:rsidRPr="00BA4E3E">
        <w:rPr>
          <w:rFonts w:cstheme="minorHAnsi"/>
          <w:b/>
        </w:rPr>
        <w:t>Cost benefits</w:t>
      </w:r>
      <w:bookmarkEnd w:id="36"/>
    </w:p>
    <w:p w14:paraId="14E3FADF" w14:textId="74FFAD3F" w:rsidR="00197AA2" w:rsidRDefault="007442DD" w:rsidP="006F09C0">
      <w:pPr>
        <w:spacing w:before="120"/>
        <w:rPr>
          <w:rFonts w:cstheme="minorHAnsi"/>
        </w:rPr>
      </w:pPr>
      <w:r>
        <w:rPr>
          <w:rFonts w:cstheme="minorHAnsi"/>
        </w:rPr>
        <w:t>The s</w:t>
      </w:r>
      <w:r w:rsidR="003053C2">
        <w:rPr>
          <w:rFonts w:cstheme="minorHAnsi"/>
        </w:rPr>
        <w:t xml:space="preserve">urgical management </w:t>
      </w:r>
      <w:r>
        <w:rPr>
          <w:rFonts w:cstheme="minorHAnsi"/>
        </w:rPr>
        <w:t>of an ectopic pregnancy</w:t>
      </w:r>
      <w:r w:rsidR="00DC687F">
        <w:rPr>
          <w:rFonts w:cstheme="minorHAnsi"/>
        </w:rPr>
        <w:t xml:space="preserve"> </w:t>
      </w:r>
      <w:r>
        <w:rPr>
          <w:rFonts w:cstheme="minorHAnsi"/>
        </w:rPr>
        <w:t>incurs</w:t>
      </w:r>
      <w:r w:rsidR="00DC687F">
        <w:rPr>
          <w:rFonts w:cstheme="minorHAnsi"/>
        </w:rPr>
        <w:t xml:space="preserve"> </w:t>
      </w:r>
      <w:r>
        <w:rPr>
          <w:rFonts w:cstheme="minorHAnsi"/>
        </w:rPr>
        <w:t>a range</w:t>
      </w:r>
      <w:r w:rsidR="00DC687F">
        <w:rPr>
          <w:rFonts w:cstheme="minorHAnsi"/>
        </w:rPr>
        <w:t xml:space="preserve"> of dire</w:t>
      </w:r>
      <w:r>
        <w:rPr>
          <w:rFonts w:cstheme="minorHAnsi"/>
        </w:rPr>
        <w:t>ct and indirect costs, making them an expensive use of health care resources</w:t>
      </w:r>
      <w:r w:rsidR="00EE5AB7">
        <w:rPr>
          <w:rFonts w:cstheme="minorHAnsi"/>
        </w:rPr>
        <w:t xml:space="preserve"> </w:t>
      </w:r>
      <w:r w:rsidR="00EE5AB7">
        <w:rPr>
          <w:rFonts w:cstheme="minorHAnsi"/>
        </w:rPr>
        <w:fldChar w:fldCharType="begin"/>
      </w:r>
      <w:r w:rsidR="00EE5AB7">
        <w:rPr>
          <w:rFonts w:cstheme="minorHAnsi"/>
        </w:rPr>
        <w:instrText xml:space="preserve"> ADDIN EN.CITE &lt;EndNote&gt;&lt;Cite&gt;&lt;Author&gt;Farquhar&lt;/Author&gt;&lt;Year&gt;2005&lt;/Year&gt;&lt;RecNum&gt;1&lt;/RecNum&gt;&lt;DisplayText&gt;[1]&lt;/DisplayText&gt;&lt;record&gt;&lt;rec-number&gt;1&lt;/rec-number&gt;&lt;foreign-keys&gt;&lt;key app="EN" db-id="wazxt5z5d50z29ewex8xaasdd02vw2waeed0" timestamp="0"&gt;1&lt;/key&gt;&lt;/foreign-keys&gt;&lt;ref-type name="Journal Article"&gt;17&lt;/ref-type&gt;&lt;contributors&gt;&lt;authors&gt;&lt;author&gt;Farquhar, C.M.&lt;/author&gt;&lt;/authors&gt;&lt;/contributors&gt;&lt;titles&gt;&lt;title&gt;Ectopic pregnancy&lt;/title&gt;&lt;secondary-title&gt;Lancet&lt;/secondary-title&gt;&lt;/titles&gt;&lt;periodical&gt;&lt;full-title&gt;Lancet&lt;/full-title&gt;&lt;/periodical&gt;&lt;pages&gt;9&lt;/pages&gt;&lt;volume&gt;366&lt;/volume&gt;&lt;number&gt;9485&lt;/number&gt;&lt;section&gt;583&lt;/section&gt;&lt;dates&gt;&lt;year&gt;2005&lt;/year&gt;&lt;/dates&gt;&lt;urls&gt;&lt;/urls&gt;&lt;/record&gt;&lt;/Cite&gt;&lt;/EndNote&gt;</w:instrText>
      </w:r>
      <w:r w:rsidR="00EE5AB7">
        <w:rPr>
          <w:rFonts w:cstheme="minorHAnsi"/>
        </w:rPr>
        <w:fldChar w:fldCharType="separate"/>
      </w:r>
      <w:r w:rsidR="00EE5AB7">
        <w:rPr>
          <w:rFonts w:cstheme="minorHAnsi"/>
          <w:noProof/>
        </w:rPr>
        <w:t>[1]</w:t>
      </w:r>
      <w:r w:rsidR="00EE5AB7">
        <w:rPr>
          <w:rFonts w:cstheme="minorHAnsi"/>
        </w:rPr>
        <w:fldChar w:fldCharType="end"/>
      </w:r>
      <w:r>
        <w:rPr>
          <w:rFonts w:cstheme="minorHAnsi"/>
        </w:rPr>
        <w:t xml:space="preserve">. These expenses are substantial regardless of the surgical technique, with the costs of the </w:t>
      </w:r>
      <w:r w:rsidR="00F43F50">
        <w:rPr>
          <w:rFonts w:cstheme="minorHAnsi"/>
        </w:rPr>
        <w:t>specialised instruments used for a</w:t>
      </w:r>
      <w:r>
        <w:rPr>
          <w:rFonts w:cstheme="minorHAnsi"/>
        </w:rPr>
        <w:t xml:space="preserve"> laparoscopic proce</w:t>
      </w:r>
      <w:r w:rsidR="00F43F50">
        <w:rPr>
          <w:rFonts w:cstheme="minorHAnsi"/>
        </w:rPr>
        <w:t>dure</w:t>
      </w:r>
      <w:r>
        <w:rPr>
          <w:rFonts w:cstheme="minorHAnsi"/>
        </w:rPr>
        <w:t xml:space="preserve"> rivalling the costs associated with multi-day</w:t>
      </w:r>
      <w:r w:rsidR="00FA1433">
        <w:rPr>
          <w:rFonts w:cstheme="minorHAnsi"/>
        </w:rPr>
        <w:t xml:space="preserve"> patient admissions</w:t>
      </w:r>
      <w:r w:rsidR="00F43F50">
        <w:rPr>
          <w:rFonts w:cstheme="minorHAnsi"/>
        </w:rPr>
        <w:t xml:space="preserve"> following an</w:t>
      </w:r>
      <w:r>
        <w:rPr>
          <w:rFonts w:cstheme="minorHAnsi"/>
        </w:rPr>
        <w:t xml:space="preserve"> open laparotomy</w:t>
      </w:r>
      <w:r w:rsidR="00FA1433">
        <w:rPr>
          <w:rFonts w:cstheme="minorHAnsi"/>
        </w:rPr>
        <w:t xml:space="preserve"> procedure</w:t>
      </w:r>
      <w:r>
        <w:rPr>
          <w:rFonts w:cstheme="minorHAnsi"/>
        </w:rPr>
        <w:t>.</w:t>
      </w:r>
      <w:r w:rsidR="00DC687F">
        <w:rPr>
          <w:rFonts w:cstheme="minorHAnsi"/>
        </w:rPr>
        <w:t xml:space="preserve"> </w:t>
      </w:r>
    </w:p>
    <w:p w14:paraId="091BFC7B" w14:textId="77777777" w:rsidR="00F43F50" w:rsidRDefault="00F43F50" w:rsidP="006F09C0">
      <w:pPr>
        <w:spacing w:before="120"/>
        <w:rPr>
          <w:rFonts w:cstheme="minorHAnsi"/>
        </w:rPr>
      </w:pPr>
    </w:p>
    <w:p w14:paraId="11B1A865" w14:textId="754DBF79" w:rsidR="003A304E" w:rsidRDefault="000B6F14" w:rsidP="004126C4">
      <w:pPr>
        <w:spacing w:before="120"/>
        <w:rPr>
          <w:rFonts w:cstheme="minorHAnsi"/>
        </w:rPr>
      </w:pPr>
      <w:r>
        <w:rPr>
          <w:rFonts w:cstheme="minorHAnsi"/>
        </w:rPr>
        <w:t xml:space="preserve">A specific economic modelling or cost-benefit analysis of offering methotrexate as a medical treatment for ectopic pregnancies has not been performed for the Oceania region in recent years. This type of assessment would be useful to better inform health services of resource allocation and budgetary considerations when offering methotrexate therapy to this cohort of women. </w:t>
      </w:r>
      <w:r w:rsidR="00775289">
        <w:rPr>
          <w:rFonts w:cstheme="minorHAnsi"/>
        </w:rPr>
        <w:t>When successful, the medical manag</w:t>
      </w:r>
      <w:r w:rsidR="00504750">
        <w:rPr>
          <w:rFonts w:cstheme="minorHAnsi"/>
        </w:rPr>
        <w:t>ement of an ectopic pregnancy has been shown to be a cost-effective alternative when compared directly to surgery</w:t>
      </w:r>
      <w:r w:rsidR="00EE5AB7">
        <w:rPr>
          <w:rFonts w:cstheme="minorHAnsi"/>
        </w:rPr>
        <w:t xml:space="preserve"> </w:t>
      </w:r>
      <w:r w:rsidR="00EE5AB7">
        <w:rPr>
          <w:rFonts w:cstheme="minorHAnsi"/>
        </w:rPr>
        <w:fldChar w:fldCharType="begin"/>
      </w:r>
      <w:r w:rsidR="00EE5AB7">
        <w:rPr>
          <w:rFonts w:cstheme="minorHAnsi"/>
        </w:rPr>
        <w:instrText xml:space="preserve"> ADDIN EN.CITE &lt;EndNote&gt;&lt;Cite&gt;&lt;Author&gt;Farquhar&lt;/Author&gt;&lt;Year&gt;2005&lt;/Year&gt;&lt;RecNum&gt;1&lt;/RecNum&gt;&lt;DisplayText&gt;[1]&lt;/DisplayText&gt;&lt;record&gt;&lt;rec-number&gt;1&lt;/rec-number&gt;&lt;foreign-keys&gt;&lt;key app="EN" db-id="wazxt5z5d50z29ewex8xaasdd02vw2waeed0" timestamp="0"&gt;1&lt;/key&gt;&lt;/foreign-keys&gt;&lt;ref-type name="Journal Article"&gt;17&lt;/ref-type&gt;&lt;contributors&gt;&lt;authors&gt;&lt;author&gt;Farquhar, C.M.&lt;/author&gt;&lt;/authors&gt;&lt;/contributors&gt;&lt;titles&gt;&lt;title&gt;Ectopic pregnancy&lt;/title&gt;&lt;secondary-title&gt;Lancet&lt;/secondary-title&gt;&lt;/titles&gt;&lt;periodical&gt;&lt;full-title&gt;Lancet&lt;/full-title&gt;&lt;/periodical&gt;&lt;pages&gt;9&lt;/pages&gt;&lt;volume&gt;366&lt;/volume&gt;&lt;number&gt;9485&lt;/number&gt;&lt;section&gt;583&lt;/section&gt;&lt;dates&gt;&lt;year&gt;2005&lt;/year&gt;&lt;/dates&gt;&lt;urls&gt;&lt;/urls&gt;&lt;/record&gt;&lt;/Cite&gt;&lt;/EndNote&gt;</w:instrText>
      </w:r>
      <w:r w:rsidR="00EE5AB7">
        <w:rPr>
          <w:rFonts w:cstheme="minorHAnsi"/>
        </w:rPr>
        <w:fldChar w:fldCharType="separate"/>
      </w:r>
      <w:r w:rsidR="00EE5AB7">
        <w:rPr>
          <w:rFonts w:cstheme="minorHAnsi"/>
          <w:noProof/>
        </w:rPr>
        <w:t>[1]</w:t>
      </w:r>
      <w:r w:rsidR="00EE5AB7">
        <w:rPr>
          <w:rFonts w:cstheme="minorHAnsi"/>
        </w:rPr>
        <w:fldChar w:fldCharType="end"/>
      </w:r>
      <w:r w:rsidR="00775289">
        <w:rPr>
          <w:rFonts w:cstheme="minorHAnsi"/>
        </w:rPr>
        <w:t xml:space="preserve">. </w:t>
      </w:r>
      <w:r w:rsidR="004B0427">
        <w:rPr>
          <w:rFonts w:cstheme="minorHAnsi"/>
        </w:rPr>
        <w:t>However</w:t>
      </w:r>
      <w:r w:rsidR="006F09C0">
        <w:rPr>
          <w:rFonts w:cstheme="minorHAnsi"/>
        </w:rPr>
        <w:t>, given the</w:t>
      </w:r>
      <w:r w:rsidR="00775289">
        <w:rPr>
          <w:rFonts w:cstheme="minorHAnsi"/>
        </w:rPr>
        <w:t xml:space="preserve"> relatively</w:t>
      </w:r>
      <w:r w:rsidR="006F09C0">
        <w:rPr>
          <w:rFonts w:cstheme="minorHAnsi"/>
        </w:rPr>
        <w:t xml:space="preserve"> high number of methotrexate recipients who then go on to require subsequent surgical</w:t>
      </w:r>
      <w:r w:rsidR="004B0427">
        <w:rPr>
          <w:rFonts w:cstheme="minorHAnsi"/>
        </w:rPr>
        <w:t xml:space="preserve"> intervention</w:t>
      </w:r>
      <w:r w:rsidR="00504750">
        <w:rPr>
          <w:rFonts w:cstheme="minorHAnsi"/>
        </w:rPr>
        <w:t xml:space="preserve"> after an intensive period of specialist outpatient follow-up</w:t>
      </w:r>
      <w:r w:rsidR="004B0427">
        <w:rPr>
          <w:rFonts w:cstheme="minorHAnsi"/>
        </w:rPr>
        <w:t>,</w:t>
      </w:r>
      <w:r w:rsidR="00504750">
        <w:rPr>
          <w:rFonts w:cstheme="minorHAnsi"/>
        </w:rPr>
        <w:t xml:space="preserve"> this comparison is perhaps </w:t>
      </w:r>
      <w:r w:rsidR="0075732E">
        <w:rPr>
          <w:rFonts w:cstheme="minorHAnsi"/>
        </w:rPr>
        <w:t>not quite so clear</w:t>
      </w:r>
      <w:r w:rsidR="00504750">
        <w:rPr>
          <w:rFonts w:cstheme="minorHAnsi"/>
        </w:rPr>
        <w:t>. T</w:t>
      </w:r>
      <w:r w:rsidR="004B0427">
        <w:rPr>
          <w:rFonts w:cstheme="minorHAnsi"/>
        </w:rPr>
        <w:t xml:space="preserve">he total cost </w:t>
      </w:r>
      <w:r w:rsidR="00504750">
        <w:rPr>
          <w:rFonts w:cstheme="minorHAnsi"/>
        </w:rPr>
        <w:t xml:space="preserve">of inevitably treating a </w:t>
      </w:r>
      <w:r w:rsidR="0075732E">
        <w:rPr>
          <w:rFonts w:cstheme="minorHAnsi"/>
        </w:rPr>
        <w:t xml:space="preserve">certain </w:t>
      </w:r>
      <w:r w:rsidR="00504750">
        <w:rPr>
          <w:rFonts w:cstheme="minorHAnsi"/>
        </w:rPr>
        <w:t>number of</w:t>
      </w:r>
      <w:r w:rsidR="00775289">
        <w:rPr>
          <w:rFonts w:cstheme="minorHAnsi"/>
        </w:rPr>
        <w:t xml:space="preserve"> women</w:t>
      </w:r>
      <w:r w:rsidR="00504750">
        <w:rPr>
          <w:rFonts w:cstheme="minorHAnsi"/>
        </w:rPr>
        <w:t xml:space="preserve"> every year with both failed methotrexate</w:t>
      </w:r>
      <w:r w:rsidR="00F43F50">
        <w:rPr>
          <w:rFonts w:cstheme="minorHAnsi"/>
        </w:rPr>
        <w:t xml:space="preserve"> and</w:t>
      </w:r>
      <w:r w:rsidR="00671827">
        <w:rPr>
          <w:rFonts w:cstheme="minorHAnsi"/>
        </w:rPr>
        <w:t xml:space="preserve"> a salvage</w:t>
      </w:r>
      <w:r w:rsidR="00F43F50">
        <w:rPr>
          <w:rFonts w:cstheme="minorHAnsi"/>
        </w:rPr>
        <w:t xml:space="preserve"> surgery</w:t>
      </w:r>
      <w:r w:rsidR="0046050F">
        <w:rPr>
          <w:rFonts w:cstheme="minorHAnsi"/>
        </w:rPr>
        <w:t xml:space="preserve"> significantly</w:t>
      </w:r>
      <w:r w:rsidR="00BB0114">
        <w:rPr>
          <w:rFonts w:cstheme="minorHAnsi"/>
        </w:rPr>
        <w:t xml:space="preserve"> reduces</w:t>
      </w:r>
      <w:r w:rsidR="0055057B">
        <w:rPr>
          <w:rFonts w:cstheme="minorHAnsi"/>
        </w:rPr>
        <w:t xml:space="preserve"> any economic benefits gained in the first place</w:t>
      </w:r>
      <w:r w:rsidR="006F09C0">
        <w:rPr>
          <w:rFonts w:cstheme="minorHAnsi"/>
        </w:rPr>
        <w:t>.</w:t>
      </w:r>
      <w:r w:rsidR="00F43F50">
        <w:rPr>
          <w:rFonts w:cstheme="minorHAnsi"/>
        </w:rPr>
        <w:t xml:space="preserve"> </w:t>
      </w:r>
    </w:p>
    <w:p w14:paraId="6795D686" w14:textId="77777777" w:rsidR="003A304E" w:rsidRDefault="003A304E" w:rsidP="004126C4">
      <w:pPr>
        <w:spacing w:before="120"/>
        <w:rPr>
          <w:rFonts w:cstheme="minorHAnsi"/>
        </w:rPr>
      </w:pPr>
    </w:p>
    <w:p w14:paraId="7A53B67B" w14:textId="02FB147D" w:rsidR="006F09C0" w:rsidRPr="004126C4" w:rsidRDefault="005A49E9" w:rsidP="004126C4">
      <w:pPr>
        <w:spacing w:before="120"/>
        <w:rPr>
          <w:rFonts w:cstheme="minorHAnsi"/>
        </w:rPr>
      </w:pPr>
      <w:r>
        <w:rPr>
          <w:rFonts w:cstheme="minorHAnsi"/>
        </w:rPr>
        <w:t>A</w:t>
      </w:r>
      <w:r w:rsidR="00002EA5">
        <w:rPr>
          <w:rFonts w:cstheme="minorHAnsi"/>
        </w:rPr>
        <w:t xml:space="preserve"> medical therapy that has a higher success rate than methotrexate </w:t>
      </w:r>
      <w:r w:rsidR="003272D4">
        <w:rPr>
          <w:rFonts w:cstheme="minorHAnsi"/>
        </w:rPr>
        <w:t>at resolving ectopic pregnancies</w:t>
      </w:r>
      <w:r>
        <w:rPr>
          <w:rFonts w:cstheme="minorHAnsi"/>
        </w:rPr>
        <w:t xml:space="preserve"> therefore</w:t>
      </w:r>
      <w:r w:rsidR="003272D4">
        <w:rPr>
          <w:rFonts w:cstheme="minorHAnsi"/>
        </w:rPr>
        <w:t xml:space="preserve"> has the potential to save significant costs</w:t>
      </w:r>
      <w:r w:rsidR="001C0C9D">
        <w:rPr>
          <w:rFonts w:cstheme="minorHAnsi"/>
        </w:rPr>
        <w:t>, reducing the economic impact and</w:t>
      </w:r>
      <w:r w:rsidR="003A304E">
        <w:rPr>
          <w:rFonts w:cstheme="minorHAnsi"/>
        </w:rPr>
        <w:t xml:space="preserve"> pressure on</w:t>
      </w:r>
      <w:r w:rsidR="001C0C9D">
        <w:rPr>
          <w:rFonts w:cstheme="minorHAnsi"/>
        </w:rPr>
        <w:t xml:space="preserve"> finite resources within</w:t>
      </w:r>
      <w:r w:rsidR="003A304E">
        <w:rPr>
          <w:rFonts w:cstheme="minorHAnsi"/>
        </w:rPr>
        <w:t xml:space="preserve"> individual health ser</w:t>
      </w:r>
      <w:r w:rsidR="001C0C9D">
        <w:rPr>
          <w:rFonts w:cstheme="minorHAnsi"/>
        </w:rPr>
        <w:t>vices</w:t>
      </w:r>
      <w:r>
        <w:rPr>
          <w:rFonts w:cstheme="minorHAnsi"/>
        </w:rPr>
        <w:t xml:space="preserve"> and national health systems</w:t>
      </w:r>
      <w:r w:rsidR="001C0C9D">
        <w:rPr>
          <w:rFonts w:cstheme="minorHAnsi"/>
        </w:rPr>
        <w:t xml:space="preserve"> from treating this cohort of women</w:t>
      </w:r>
      <w:r w:rsidR="003A304E">
        <w:rPr>
          <w:rFonts w:cstheme="minorHAnsi"/>
        </w:rPr>
        <w:t>.</w:t>
      </w:r>
    </w:p>
    <w:p w14:paraId="788C8AC9" w14:textId="77777777" w:rsidR="00B964A7" w:rsidRDefault="00B964A7" w:rsidP="00B964A7">
      <w:pPr>
        <w:tabs>
          <w:tab w:val="left" w:pos="1380"/>
        </w:tabs>
        <w:rPr>
          <w:rFonts w:cstheme="minorHAnsi"/>
        </w:rPr>
      </w:pPr>
    </w:p>
    <w:p w14:paraId="6E8CA80D" w14:textId="77777777" w:rsidR="00F5300A" w:rsidRDefault="00F5300A" w:rsidP="00B964A7">
      <w:pPr>
        <w:tabs>
          <w:tab w:val="left" w:pos="1380"/>
        </w:tabs>
        <w:rPr>
          <w:rFonts w:cstheme="minorHAnsi"/>
        </w:rPr>
      </w:pPr>
    </w:p>
    <w:p w14:paraId="2517DBD5" w14:textId="77777777" w:rsidR="00F5300A" w:rsidRPr="00956B0B" w:rsidRDefault="00F5300A" w:rsidP="00B964A7">
      <w:pPr>
        <w:tabs>
          <w:tab w:val="left" w:pos="1380"/>
        </w:tabs>
        <w:rPr>
          <w:rFonts w:cstheme="minorHAnsi"/>
        </w:rPr>
      </w:pPr>
    </w:p>
    <w:p w14:paraId="42B535D5" w14:textId="77777777" w:rsidR="00B964A7" w:rsidRPr="003A4635" w:rsidRDefault="00814EB4" w:rsidP="00D91174">
      <w:pPr>
        <w:pStyle w:val="ListParagraph"/>
        <w:numPr>
          <w:ilvl w:val="2"/>
          <w:numId w:val="1"/>
        </w:numPr>
        <w:outlineLvl w:val="2"/>
        <w:rPr>
          <w:rFonts w:cstheme="minorHAnsi"/>
          <w:b/>
        </w:rPr>
      </w:pPr>
      <w:bookmarkStart w:id="37" w:name="_Toc489888057"/>
      <w:r>
        <w:rPr>
          <w:rFonts w:cstheme="minorHAnsi"/>
          <w:b/>
        </w:rPr>
        <w:lastRenderedPageBreak/>
        <w:t>Reduction of maternal</w:t>
      </w:r>
      <w:r w:rsidR="00B964A7" w:rsidRPr="00BA4E3E">
        <w:rPr>
          <w:rFonts w:cstheme="minorHAnsi"/>
          <w:b/>
        </w:rPr>
        <w:t xml:space="preserve"> mortality in developing countries</w:t>
      </w:r>
      <w:bookmarkEnd w:id="37"/>
    </w:p>
    <w:p w14:paraId="3CDF0D1D" w14:textId="42B76A6A" w:rsidR="007A0101" w:rsidRDefault="00837983" w:rsidP="00B964A7">
      <w:pPr>
        <w:tabs>
          <w:tab w:val="left" w:pos="1380"/>
        </w:tabs>
        <w:rPr>
          <w:rFonts w:cstheme="minorHAnsi"/>
        </w:rPr>
      </w:pPr>
      <w:r>
        <w:rPr>
          <w:rFonts w:cstheme="minorHAnsi"/>
        </w:rPr>
        <w:t>Continued global efforts to promote women’s agency and ongoing increases in women’s and girls’ access to healthcare, education, contraception, and legal</w:t>
      </w:r>
      <w:r w:rsidR="000B6F14">
        <w:rPr>
          <w:rFonts w:cstheme="minorHAnsi"/>
        </w:rPr>
        <w:t xml:space="preserve"> and governmental</w:t>
      </w:r>
      <w:r>
        <w:rPr>
          <w:rFonts w:cstheme="minorHAnsi"/>
        </w:rPr>
        <w:t xml:space="preserve"> representation remain the most effective way to improve global maternal morbidity and mortality outcomes. However, research into new</w:t>
      </w:r>
      <w:r w:rsidR="00236B38">
        <w:rPr>
          <w:rFonts w:cstheme="minorHAnsi"/>
        </w:rPr>
        <w:t xml:space="preserve"> treatments for ectopic pregnancies could </w:t>
      </w:r>
      <w:r w:rsidR="005D6CC7">
        <w:rPr>
          <w:rFonts w:cstheme="minorHAnsi"/>
        </w:rPr>
        <w:t xml:space="preserve">also </w:t>
      </w:r>
      <w:r w:rsidR="00236B38">
        <w:rPr>
          <w:rFonts w:cstheme="minorHAnsi"/>
        </w:rPr>
        <w:t>make a significant</w:t>
      </w:r>
      <w:r>
        <w:rPr>
          <w:rFonts w:cstheme="minorHAnsi"/>
        </w:rPr>
        <w:t xml:space="preserve"> </w:t>
      </w:r>
      <w:r w:rsidR="00236B38">
        <w:rPr>
          <w:rFonts w:cstheme="minorHAnsi"/>
        </w:rPr>
        <w:t xml:space="preserve">contribution, especially if </w:t>
      </w:r>
      <w:r w:rsidR="002519B8">
        <w:rPr>
          <w:rFonts w:cstheme="minorHAnsi"/>
        </w:rPr>
        <w:t>these treatments</w:t>
      </w:r>
      <w:r w:rsidR="00236B38">
        <w:rPr>
          <w:rFonts w:cstheme="minorHAnsi"/>
        </w:rPr>
        <w:t xml:space="preserve"> could be translated into a </w:t>
      </w:r>
      <w:r w:rsidR="002519B8">
        <w:rPr>
          <w:rFonts w:cstheme="minorHAnsi"/>
        </w:rPr>
        <w:t>variety</w:t>
      </w:r>
      <w:r w:rsidR="00236B38">
        <w:rPr>
          <w:rFonts w:cstheme="minorHAnsi"/>
        </w:rPr>
        <w:t xml:space="preserve"> of different economic settings. </w:t>
      </w:r>
      <w:r w:rsidR="000C16DA">
        <w:rPr>
          <w:rFonts w:cstheme="minorHAnsi"/>
        </w:rPr>
        <w:t xml:space="preserve">There is a distinct shortage of available epidemiological data examining the global burden of disease of ectopic pregnancies, and information that is available </w:t>
      </w:r>
      <w:r w:rsidR="008B6052">
        <w:rPr>
          <w:rFonts w:cstheme="minorHAnsi"/>
        </w:rPr>
        <w:t>is often presented inconsistently, making the</w:t>
      </w:r>
      <w:r w:rsidR="000C16DA">
        <w:rPr>
          <w:rFonts w:cstheme="minorHAnsi"/>
        </w:rPr>
        <w:t xml:space="preserve"> drawing </w:t>
      </w:r>
      <w:r w:rsidR="008B6052">
        <w:rPr>
          <w:rFonts w:cstheme="minorHAnsi"/>
        </w:rPr>
        <w:t xml:space="preserve">of </w:t>
      </w:r>
      <w:r w:rsidR="000C16DA">
        <w:rPr>
          <w:rFonts w:cstheme="minorHAnsi"/>
        </w:rPr>
        <w:t xml:space="preserve">comparisons and accurate conclusions </w:t>
      </w:r>
      <w:r w:rsidR="008B6052">
        <w:rPr>
          <w:rFonts w:cstheme="minorHAnsi"/>
        </w:rPr>
        <w:t xml:space="preserve">about the effects of the disease on population health somewhat </w:t>
      </w:r>
      <w:r w:rsidR="000C16DA">
        <w:rPr>
          <w:rFonts w:cstheme="minorHAnsi"/>
        </w:rPr>
        <w:t xml:space="preserve">difficult </w:t>
      </w:r>
      <w:r w:rsidR="00EE5AB7">
        <w:rPr>
          <w:rFonts w:cstheme="minorHAnsi"/>
        </w:rPr>
        <w:t xml:space="preserve"> </w:t>
      </w:r>
      <w:r w:rsidR="00EE5AB7">
        <w:rPr>
          <w:rFonts w:cstheme="minorHAnsi"/>
        </w:rPr>
        <w:fldChar w:fldCharType="begin"/>
      </w:r>
      <w:r w:rsidR="002D7824">
        <w:rPr>
          <w:rFonts w:cstheme="minorHAnsi"/>
        </w:rPr>
        <w:instrText xml:space="preserve"> ADDIN EN.CITE &lt;EndNote&gt;&lt;Cite&gt;&lt;Author&gt;Farquhar&lt;/Author&gt;&lt;Year&gt;2005&lt;/Year&gt;&lt;RecNum&gt;1&lt;/RecNum&gt;&lt;DisplayText&gt;[1, 4]&lt;/DisplayText&gt;&lt;record&gt;&lt;rec-number&gt;1&lt;/rec-number&gt;&lt;foreign-keys&gt;&lt;key app="EN" db-id="wazxt5z5d50z29ewex8xaasdd02vw2waeed0" timestamp="0"&gt;1&lt;/key&gt;&lt;/foreign-keys&gt;&lt;ref-type name="Journal Article"&gt;17&lt;/ref-type&gt;&lt;contributors&gt;&lt;authors&gt;&lt;author&gt;Farquhar, C.M.&lt;/author&gt;&lt;/authors&gt;&lt;/contributors&gt;&lt;titles&gt;&lt;title&gt;Ectopic pregnancy&lt;/title&gt;&lt;secondary-title&gt;Lancet&lt;/secondary-title&gt;&lt;/titles&gt;&lt;periodical&gt;&lt;full-title&gt;Lancet&lt;/full-title&gt;&lt;/periodical&gt;&lt;pages&gt;9&lt;/pages&gt;&lt;volume&gt;366&lt;/volume&gt;&lt;number&gt;9485&lt;/number&gt;&lt;section&gt;583&lt;/section&gt;&lt;dates&gt;&lt;year&gt;2005&lt;/year&gt;&lt;/dates&gt;&lt;urls&gt;&lt;/urls&gt;&lt;/record&gt;&lt;/Cite&gt;&lt;Cite&gt;&lt;Author&gt;Åhman&lt;/Author&gt;&lt;Year&gt;2000&lt;/Year&gt;&lt;RecNum&gt;29&lt;/RecNum&gt;&lt;record&gt;&lt;rec-number&gt;29&lt;/rec-number&gt;&lt;foreign-keys&gt;&lt;key app="EN" db-id="wazxt5z5d50z29ewex8xaasdd02vw2waeed0" timestamp="1502071209"&gt;29&lt;/key&gt;&lt;/foreign-keys&gt;&lt;ref-type name="Report"&gt;27&lt;/ref-type&gt;&lt;contributors&gt;&lt;authors&gt;&lt;author&gt;Åhman, E., Dolea, C. and Shah, I.&lt;/author&gt;&lt;/authors&gt;&lt;/contributors&gt;&lt;titles&gt;&lt;title&gt;The global burden of unsafe abortion in the year 2000&lt;/title&gt;&lt;secondary-title&gt;Global Burden of Disease and Injury 2000&lt;/secondary-title&gt;&lt;/titles&gt;&lt;dates&gt;&lt;year&gt;2000&lt;/year&gt;&lt;/dates&gt;&lt;pub-location&gt;Geneva&lt;/pub-location&gt;&lt;publisher&gt;World Health Organization&lt;/publisher&gt;&lt;urls&gt;&lt;related-urls&gt;&lt;url&gt;&lt;style face="underline" font="default" size="100%"&gt;http://www.who.int/healthinfo/statistics/bod_abortions.pdf&lt;/style&gt;&lt;/url&gt;&lt;/related-urls&gt;&lt;/urls&gt;&lt;/record&gt;&lt;/Cite&gt;&lt;/EndNote&gt;</w:instrText>
      </w:r>
      <w:r w:rsidR="00EE5AB7">
        <w:rPr>
          <w:rFonts w:cstheme="minorHAnsi"/>
        </w:rPr>
        <w:fldChar w:fldCharType="separate"/>
      </w:r>
      <w:r w:rsidR="002D7824">
        <w:rPr>
          <w:rFonts w:cstheme="minorHAnsi"/>
          <w:noProof/>
        </w:rPr>
        <w:t>[1, 4]</w:t>
      </w:r>
      <w:r w:rsidR="00EE5AB7">
        <w:rPr>
          <w:rFonts w:cstheme="minorHAnsi"/>
        </w:rPr>
        <w:fldChar w:fldCharType="end"/>
      </w:r>
      <w:r w:rsidR="000C16DA">
        <w:rPr>
          <w:rFonts w:cstheme="minorHAnsi"/>
        </w:rPr>
        <w:t>.</w:t>
      </w:r>
      <w:r w:rsidR="004F5150">
        <w:rPr>
          <w:rFonts w:cstheme="minorHAnsi"/>
        </w:rPr>
        <w:t xml:space="preserve"> Published data and statistics that attempt to capture</w:t>
      </w:r>
      <w:r w:rsidR="00513ECC">
        <w:rPr>
          <w:rFonts w:cstheme="minorHAnsi"/>
        </w:rPr>
        <w:t xml:space="preserve"> </w:t>
      </w:r>
      <w:r w:rsidR="008B6052">
        <w:rPr>
          <w:rFonts w:cstheme="minorHAnsi"/>
        </w:rPr>
        <w:t>epidemiological information about ectopic</w:t>
      </w:r>
      <w:r w:rsidR="00513ECC">
        <w:rPr>
          <w:rFonts w:cstheme="minorHAnsi"/>
        </w:rPr>
        <w:t xml:space="preserve"> pregnancies</w:t>
      </w:r>
      <w:r w:rsidR="004F5150">
        <w:rPr>
          <w:rFonts w:cstheme="minorHAnsi"/>
        </w:rPr>
        <w:t xml:space="preserve"> </w:t>
      </w:r>
      <w:r w:rsidR="00513ECC">
        <w:rPr>
          <w:rFonts w:cstheme="minorHAnsi"/>
        </w:rPr>
        <w:t>may be</w:t>
      </w:r>
      <w:r w:rsidR="004F5150">
        <w:rPr>
          <w:rFonts w:cstheme="minorHAnsi"/>
        </w:rPr>
        <w:t xml:space="preserve"> interchangeably</w:t>
      </w:r>
      <w:r w:rsidR="00513ECC">
        <w:rPr>
          <w:rFonts w:cstheme="minorHAnsi"/>
        </w:rPr>
        <w:t xml:space="preserve"> presented as</w:t>
      </w:r>
      <w:r w:rsidR="006D4BE4">
        <w:rPr>
          <w:rFonts w:cstheme="minorHAnsi"/>
        </w:rPr>
        <w:t xml:space="preserve"> a yearly incidence rate; as</w:t>
      </w:r>
      <w:r w:rsidR="00513ECC">
        <w:rPr>
          <w:rFonts w:cstheme="minorHAnsi"/>
        </w:rPr>
        <w:t xml:space="preserve"> a </w:t>
      </w:r>
      <w:r w:rsidR="000D3CEC">
        <w:rPr>
          <w:rFonts w:cstheme="minorHAnsi"/>
        </w:rPr>
        <w:t xml:space="preserve">proportion of all live births; </w:t>
      </w:r>
      <w:r w:rsidR="00513ECC">
        <w:rPr>
          <w:rFonts w:cstheme="minorHAnsi"/>
        </w:rPr>
        <w:t>as a proportion of all stillbirths, miscarriages and live births combined; or</w:t>
      </w:r>
      <w:r w:rsidR="008B6052">
        <w:rPr>
          <w:rFonts w:cstheme="minorHAnsi"/>
        </w:rPr>
        <w:t xml:space="preserve"> simply</w:t>
      </w:r>
      <w:r w:rsidR="00513ECC">
        <w:rPr>
          <w:rFonts w:cstheme="minorHAnsi"/>
        </w:rPr>
        <w:t xml:space="preserve"> </w:t>
      </w:r>
      <w:r w:rsidR="008B6052">
        <w:rPr>
          <w:rFonts w:cstheme="minorHAnsi"/>
        </w:rPr>
        <w:t>commented on as a potential</w:t>
      </w:r>
      <w:r w:rsidR="00513ECC">
        <w:rPr>
          <w:rFonts w:cstheme="minorHAnsi"/>
        </w:rPr>
        <w:t xml:space="preserve"> outcome of</w:t>
      </w:r>
      <w:r w:rsidR="005C1BD2">
        <w:rPr>
          <w:rFonts w:cstheme="minorHAnsi"/>
        </w:rPr>
        <w:t xml:space="preserve"> STIs</w:t>
      </w:r>
      <w:r w:rsidR="00513ECC">
        <w:rPr>
          <w:rFonts w:cstheme="minorHAnsi"/>
        </w:rPr>
        <w:t xml:space="preserve"> </w:t>
      </w:r>
      <w:r w:rsidR="008B6052">
        <w:rPr>
          <w:rFonts w:cstheme="minorHAnsi"/>
        </w:rPr>
        <w:t>and</w:t>
      </w:r>
      <w:r w:rsidR="005C1BD2">
        <w:rPr>
          <w:rFonts w:cstheme="minorHAnsi"/>
        </w:rPr>
        <w:t xml:space="preserve"> PID </w:t>
      </w:r>
      <w:r w:rsidR="005C1BD2">
        <w:rPr>
          <w:rFonts w:cstheme="minorHAnsi"/>
        </w:rPr>
        <w:fldChar w:fldCharType="begin"/>
      </w:r>
      <w:r w:rsidR="002D7824">
        <w:rPr>
          <w:rFonts w:cstheme="minorHAnsi"/>
        </w:rPr>
        <w:instrText xml:space="preserve"> ADDIN EN.CITE &lt;EndNote&gt;&lt;Cite&gt;&lt;Author&gt;Åhman&lt;/Author&gt;&lt;Year&gt;2000&lt;/Year&gt;&lt;RecNum&gt;29&lt;/RecNum&gt;&lt;DisplayText&gt;[4]&lt;/DisplayText&gt;&lt;record&gt;&lt;rec-number&gt;29&lt;/rec-number&gt;&lt;foreign-keys&gt;&lt;key app="EN" db-id="wazxt5z5d50z29ewex8xaasdd02vw2waeed0" timestamp="1502071209"&gt;29&lt;/key&gt;&lt;/foreign-keys&gt;&lt;ref-type name="Report"&gt;27&lt;/ref-type&gt;&lt;contributors&gt;&lt;authors&gt;&lt;author&gt;Åhman, E., Dolea, C. and Shah, I.&lt;/author&gt;&lt;/authors&gt;&lt;/contributors&gt;&lt;titles&gt;&lt;title&gt;The global burden of unsafe abortion in the year 2000&lt;/title&gt;&lt;secondary-title&gt;Global Burden of Disease and Injury 2000&lt;/secondary-title&gt;&lt;/titles&gt;&lt;dates&gt;&lt;year&gt;2000&lt;/year&gt;&lt;/dates&gt;&lt;pub-location&gt;Geneva&lt;/pub-location&gt;&lt;publisher&gt;World Health Organization&lt;/publisher&gt;&lt;urls&gt;&lt;related-urls&gt;&lt;url&gt;&lt;style face="underline" font="default" size="100%"&gt;http://www.who.int/healthinfo/statistics/bod_abortions.pdf&lt;/style&gt;&lt;/url&gt;&lt;/related-urls&gt;&lt;/urls&gt;&lt;/record&gt;&lt;/Cite&gt;&lt;/EndNote&gt;</w:instrText>
      </w:r>
      <w:r w:rsidR="005C1BD2">
        <w:rPr>
          <w:rFonts w:cstheme="minorHAnsi"/>
        </w:rPr>
        <w:fldChar w:fldCharType="separate"/>
      </w:r>
      <w:r w:rsidR="002D7824">
        <w:rPr>
          <w:rFonts w:cstheme="minorHAnsi"/>
          <w:noProof/>
        </w:rPr>
        <w:t>[4]</w:t>
      </w:r>
      <w:r w:rsidR="005C1BD2">
        <w:rPr>
          <w:rFonts w:cstheme="minorHAnsi"/>
        </w:rPr>
        <w:fldChar w:fldCharType="end"/>
      </w:r>
      <w:r w:rsidR="00513ECC">
        <w:rPr>
          <w:rFonts w:cstheme="minorHAnsi"/>
        </w:rPr>
        <w:t>. Despite these ambiguities</w:t>
      </w:r>
      <w:r w:rsidR="0053118D">
        <w:rPr>
          <w:rFonts w:cstheme="minorHAnsi"/>
        </w:rPr>
        <w:t>, it has been established</w:t>
      </w:r>
      <w:r w:rsidR="00513ECC">
        <w:rPr>
          <w:rFonts w:cstheme="minorHAnsi"/>
        </w:rPr>
        <w:t xml:space="preserve"> that:</w:t>
      </w:r>
    </w:p>
    <w:p w14:paraId="5406D81E" w14:textId="6F1C13D9" w:rsidR="00B964A7" w:rsidRPr="006D7790" w:rsidRDefault="0053118D" w:rsidP="00B964A7">
      <w:pPr>
        <w:pStyle w:val="ListParagraph"/>
        <w:numPr>
          <w:ilvl w:val="0"/>
          <w:numId w:val="35"/>
        </w:numPr>
        <w:tabs>
          <w:tab w:val="left" w:pos="1380"/>
        </w:tabs>
        <w:rPr>
          <w:rFonts w:cstheme="minorHAnsi"/>
        </w:rPr>
      </w:pPr>
      <w:r>
        <w:rPr>
          <w:rFonts w:cstheme="minorHAnsi"/>
        </w:rPr>
        <w:t>Each day, t</w:t>
      </w:r>
      <w:r w:rsidR="00B964A7" w:rsidRPr="006D7790">
        <w:rPr>
          <w:rFonts w:cstheme="minorHAnsi"/>
        </w:rPr>
        <w:t>here are approximately 830 mat</w:t>
      </w:r>
      <w:r>
        <w:rPr>
          <w:rFonts w:cstheme="minorHAnsi"/>
        </w:rPr>
        <w:t>ernal deaths globally attributed to</w:t>
      </w:r>
      <w:r w:rsidR="00B964A7" w:rsidRPr="006D7790">
        <w:rPr>
          <w:rFonts w:cstheme="minorHAnsi"/>
        </w:rPr>
        <w:t xml:space="preserve"> preventable cau</w:t>
      </w:r>
      <w:r w:rsidR="00BC7C8D">
        <w:rPr>
          <w:rFonts w:cstheme="minorHAnsi"/>
        </w:rPr>
        <w:t xml:space="preserve">ses in pregnancy and childbirth </w:t>
      </w:r>
      <w:r w:rsidR="00BC7C8D">
        <w:rPr>
          <w:rFonts w:cstheme="minorHAnsi"/>
        </w:rPr>
        <w:fldChar w:fldCharType="begin"/>
      </w:r>
      <w:r w:rsidR="00BC7C8D">
        <w:rPr>
          <w:rFonts w:cstheme="minorHAnsi"/>
        </w:rPr>
        <w:instrText xml:space="preserve"> ADDIN EN.CITE &lt;EndNote&gt;&lt;Cite&gt;&lt;Author&gt;Organization.&lt;/Author&gt;&lt;Year&gt;2016&lt;/Year&gt;&lt;RecNum&gt;34&lt;/RecNum&gt;&lt;DisplayText&gt;[12]&lt;/DisplayText&gt;&lt;record&gt;&lt;rec-number&gt;34&lt;/rec-number&gt;&lt;foreign-keys&gt;&lt;key app="EN" db-id="wazxt5z5d50z29ewex8xaasdd02vw2waeed0" timestamp="1502084375"&gt;34&lt;/key&gt;&lt;/foreign-keys&gt;&lt;ref-type name="Book Section"&gt;5&lt;/ref-type&gt;&lt;contributors&gt;&lt;authors&gt;&lt;author&gt;World Health Organization.&lt;/author&gt;&lt;/authors&gt;&lt;/contributors&gt;&lt;titles&gt;&lt;title&gt;Maternal mortality.&lt;/title&gt;&lt;/titles&gt;&lt;volume&gt;2017&lt;/volume&gt;&lt;dates&gt;&lt;year&gt;2016&lt;/year&gt;&lt;/dates&gt;&lt;pub-location&gt;Geneva&lt;/pub-location&gt;&lt;publisher&gt;World Health Organization.&lt;/publisher&gt;&lt;urls&gt;&lt;related-urls&gt;&lt;url&gt;&lt;style face="underline" font="default" size="100%"&gt;http://www.who.int/mediacentre/contacts/en/&lt;/style&gt;&lt;/url&gt;&lt;/related-urls&gt;&lt;/urls&gt;&lt;/record&gt;&lt;/Cite&gt;&lt;/EndNote&gt;</w:instrText>
      </w:r>
      <w:r w:rsidR="00BC7C8D">
        <w:rPr>
          <w:rFonts w:cstheme="minorHAnsi"/>
        </w:rPr>
        <w:fldChar w:fldCharType="separate"/>
      </w:r>
      <w:r w:rsidR="00BC7C8D">
        <w:rPr>
          <w:rFonts w:cstheme="minorHAnsi"/>
          <w:noProof/>
        </w:rPr>
        <w:t>[12]</w:t>
      </w:r>
      <w:r w:rsidR="00BC7C8D">
        <w:rPr>
          <w:rFonts w:cstheme="minorHAnsi"/>
        </w:rPr>
        <w:fldChar w:fldCharType="end"/>
      </w:r>
    </w:p>
    <w:p w14:paraId="259DD4C9" w14:textId="00AEE550" w:rsidR="00B964A7" w:rsidRDefault="00B964A7" w:rsidP="00B964A7">
      <w:pPr>
        <w:pStyle w:val="ListParagraph"/>
        <w:numPr>
          <w:ilvl w:val="0"/>
          <w:numId w:val="35"/>
        </w:numPr>
        <w:tabs>
          <w:tab w:val="left" w:pos="1380"/>
        </w:tabs>
        <w:rPr>
          <w:rFonts w:cstheme="minorHAnsi"/>
        </w:rPr>
      </w:pPr>
      <w:r w:rsidRPr="006D7790">
        <w:rPr>
          <w:rFonts w:cstheme="minorHAnsi"/>
        </w:rPr>
        <w:t>Approximately 99% of maternal deaths occur in developing countries</w:t>
      </w:r>
      <w:r w:rsidR="00BC7C8D">
        <w:rPr>
          <w:rFonts w:cstheme="minorHAnsi"/>
        </w:rPr>
        <w:t xml:space="preserve"> </w:t>
      </w:r>
      <w:r w:rsidR="00BC7C8D">
        <w:rPr>
          <w:rFonts w:cstheme="minorHAnsi"/>
        </w:rPr>
        <w:fldChar w:fldCharType="begin"/>
      </w:r>
      <w:r w:rsidR="00BC7C8D">
        <w:rPr>
          <w:rFonts w:cstheme="minorHAnsi"/>
        </w:rPr>
        <w:instrText xml:space="preserve"> ADDIN EN.CITE &lt;EndNote&gt;&lt;Cite&gt;&lt;Author&gt;Organization.&lt;/Author&gt;&lt;Year&gt;2016&lt;/Year&gt;&lt;RecNum&gt;34&lt;/RecNum&gt;&lt;DisplayText&gt;[12]&lt;/DisplayText&gt;&lt;record&gt;&lt;rec-number&gt;34&lt;/rec-number&gt;&lt;foreign-keys&gt;&lt;key app="EN" db-id="wazxt5z5d50z29ewex8xaasdd02vw2waeed0" timestamp="1502084375"&gt;34&lt;/key&gt;&lt;/foreign-keys&gt;&lt;ref-type name="Book Section"&gt;5&lt;/ref-type&gt;&lt;contributors&gt;&lt;authors&gt;&lt;author&gt;World Health Organization.&lt;/author&gt;&lt;/authors&gt;&lt;/contributors&gt;&lt;titles&gt;&lt;title&gt;Maternal mortality.&lt;/title&gt;&lt;/titles&gt;&lt;volume&gt;2017&lt;/volume&gt;&lt;dates&gt;&lt;year&gt;2016&lt;/year&gt;&lt;/dates&gt;&lt;pub-location&gt;Geneva&lt;/pub-location&gt;&lt;publisher&gt;World Health Organization.&lt;/publisher&gt;&lt;urls&gt;&lt;related-urls&gt;&lt;url&gt;&lt;style face="underline" font="default" size="100%"&gt;http://www.who.int/mediacentre/contacts/en/&lt;/style&gt;&lt;/url&gt;&lt;/related-urls&gt;&lt;/urls&gt;&lt;/record&gt;&lt;/Cite&gt;&lt;/EndNote&gt;</w:instrText>
      </w:r>
      <w:r w:rsidR="00BC7C8D">
        <w:rPr>
          <w:rFonts w:cstheme="minorHAnsi"/>
        </w:rPr>
        <w:fldChar w:fldCharType="separate"/>
      </w:r>
      <w:r w:rsidR="00BC7C8D">
        <w:rPr>
          <w:rFonts w:cstheme="minorHAnsi"/>
          <w:noProof/>
        </w:rPr>
        <w:t>[12]</w:t>
      </w:r>
      <w:r w:rsidR="00BC7C8D">
        <w:rPr>
          <w:rFonts w:cstheme="minorHAnsi"/>
        </w:rPr>
        <w:fldChar w:fldCharType="end"/>
      </w:r>
    </w:p>
    <w:p w14:paraId="32F8ED59" w14:textId="2D66FEB3" w:rsidR="00513ECC" w:rsidRDefault="0053118D" w:rsidP="00B964A7">
      <w:pPr>
        <w:pStyle w:val="ListParagraph"/>
        <w:numPr>
          <w:ilvl w:val="0"/>
          <w:numId w:val="35"/>
        </w:numPr>
        <w:tabs>
          <w:tab w:val="left" w:pos="1380"/>
        </w:tabs>
        <w:rPr>
          <w:rFonts w:cstheme="minorHAnsi"/>
        </w:rPr>
      </w:pPr>
      <w:r>
        <w:rPr>
          <w:rFonts w:cstheme="minorHAnsi"/>
        </w:rPr>
        <w:t>Ectopic pregnancy is a leading cause of maternal death and illness in the first trimester</w:t>
      </w:r>
      <w:r w:rsidR="00BC7C8D">
        <w:rPr>
          <w:rFonts w:cstheme="minorHAnsi"/>
        </w:rPr>
        <w:t xml:space="preserve"> </w:t>
      </w:r>
      <w:r w:rsidR="00BC7C8D">
        <w:rPr>
          <w:rFonts w:cstheme="minorHAnsi"/>
        </w:rPr>
        <w:fldChar w:fldCharType="begin"/>
      </w:r>
      <w:r w:rsidR="00BC7C8D">
        <w:rPr>
          <w:rFonts w:cstheme="minorHAnsi"/>
        </w:rPr>
        <w:instrText xml:space="preserve"> ADDIN EN.CITE &lt;EndNote&gt;&lt;Cite&gt;&lt;Author&gt;Farquhar&lt;/Author&gt;&lt;Year&gt;2005&lt;/Year&gt;&lt;RecNum&gt;1&lt;/RecNum&gt;&lt;DisplayText&gt;[1]&lt;/DisplayText&gt;&lt;record&gt;&lt;rec-number&gt;1&lt;/rec-number&gt;&lt;foreign-keys&gt;&lt;key app="EN" db-id="wazxt5z5d50z29ewex8xaasdd02vw2waeed0" timestamp="0"&gt;1&lt;/key&gt;&lt;/foreign-keys&gt;&lt;ref-type name="Journal Article"&gt;17&lt;/ref-type&gt;&lt;contributors&gt;&lt;authors&gt;&lt;author&gt;Farquhar, C.M.&lt;/author&gt;&lt;/authors&gt;&lt;/contributors&gt;&lt;titles&gt;&lt;title&gt;Ectopic pregnancy&lt;/title&gt;&lt;secondary-title&gt;Lancet&lt;/secondary-title&gt;&lt;/titles&gt;&lt;periodical&gt;&lt;full-title&gt;Lancet&lt;/full-title&gt;&lt;/periodical&gt;&lt;pages&gt;9&lt;/pages&gt;&lt;volume&gt;366&lt;/volume&gt;&lt;number&gt;9485&lt;/number&gt;&lt;section&gt;583&lt;/section&gt;&lt;dates&gt;&lt;year&gt;2005&lt;/year&gt;&lt;/dates&gt;&lt;urls&gt;&lt;/urls&gt;&lt;/record&gt;&lt;/Cite&gt;&lt;/EndNote&gt;</w:instrText>
      </w:r>
      <w:r w:rsidR="00BC7C8D">
        <w:rPr>
          <w:rFonts w:cstheme="minorHAnsi"/>
        </w:rPr>
        <w:fldChar w:fldCharType="separate"/>
      </w:r>
      <w:r w:rsidR="00BC7C8D">
        <w:rPr>
          <w:rFonts w:cstheme="minorHAnsi"/>
          <w:noProof/>
        </w:rPr>
        <w:t>[1]</w:t>
      </w:r>
      <w:r w:rsidR="00BC7C8D">
        <w:rPr>
          <w:rFonts w:cstheme="minorHAnsi"/>
        </w:rPr>
        <w:fldChar w:fldCharType="end"/>
      </w:r>
    </w:p>
    <w:p w14:paraId="12B6505E" w14:textId="3D219B34" w:rsidR="00FB0597" w:rsidRDefault="00FB0597" w:rsidP="00B964A7">
      <w:pPr>
        <w:pStyle w:val="ListParagraph"/>
        <w:numPr>
          <w:ilvl w:val="0"/>
          <w:numId w:val="35"/>
        </w:numPr>
        <w:tabs>
          <w:tab w:val="left" w:pos="1380"/>
        </w:tabs>
        <w:rPr>
          <w:rFonts w:cstheme="minorHAnsi"/>
        </w:rPr>
      </w:pPr>
      <w:r>
        <w:rPr>
          <w:rFonts w:cstheme="minorHAnsi"/>
        </w:rPr>
        <w:t xml:space="preserve">Women who do not have ready access to specialist medical and surgical health care to treat ectopic pregnancies are more at risk of </w:t>
      </w:r>
      <w:r w:rsidR="007A3169">
        <w:rPr>
          <w:rFonts w:cstheme="minorHAnsi"/>
        </w:rPr>
        <w:t xml:space="preserve">becoming ill or </w:t>
      </w:r>
      <w:r>
        <w:rPr>
          <w:rFonts w:cstheme="minorHAnsi"/>
        </w:rPr>
        <w:t>dying than women with better access to</w:t>
      </w:r>
      <w:r w:rsidR="009B2D90">
        <w:rPr>
          <w:rFonts w:cstheme="minorHAnsi"/>
        </w:rPr>
        <w:t xml:space="preserve"> specialist</w:t>
      </w:r>
      <w:r>
        <w:rPr>
          <w:rFonts w:cstheme="minorHAnsi"/>
        </w:rPr>
        <w:t xml:space="preserve"> health resources</w:t>
      </w:r>
      <w:r w:rsidR="00BC7C8D">
        <w:rPr>
          <w:rFonts w:cstheme="minorHAnsi"/>
        </w:rPr>
        <w:t xml:space="preserve"> </w:t>
      </w:r>
      <w:r w:rsidR="00BC7C8D">
        <w:rPr>
          <w:rFonts w:cstheme="minorHAnsi"/>
        </w:rPr>
        <w:fldChar w:fldCharType="begin"/>
      </w:r>
      <w:r w:rsidR="00BC7C8D">
        <w:rPr>
          <w:rFonts w:cstheme="minorHAnsi"/>
        </w:rPr>
        <w:instrText xml:space="preserve"> ADDIN EN.CITE &lt;EndNote&gt;&lt;Cite&gt;&lt;Author&gt;Organization.&lt;/Author&gt;&lt;Year&gt;2016&lt;/Year&gt;&lt;RecNum&gt;34&lt;/RecNum&gt;&lt;DisplayText&gt;[4, 12]&lt;/DisplayText&gt;&lt;record&gt;&lt;rec-number&gt;34&lt;/rec-number&gt;&lt;foreign-keys&gt;&lt;key app="EN" db-id="wazxt5z5d50z29ewex8xaasdd02vw2waeed0" timestamp="1502084375"&gt;34&lt;/key&gt;&lt;/foreign-keys&gt;&lt;ref-type name="Book Section"&gt;5&lt;/ref-type&gt;&lt;contributors&gt;&lt;authors&gt;&lt;author&gt;World Health Organization.&lt;/author&gt;&lt;/authors&gt;&lt;/contributors&gt;&lt;titles&gt;&lt;title&gt;Maternal mortality.&lt;/title&gt;&lt;/titles&gt;&lt;volume&gt;2017&lt;/volume&gt;&lt;dates&gt;&lt;year&gt;2016&lt;/year&gt;&lt;/dates&gt;&lt;pub-location&gt;Geneva&lt;/pub-location&gt;&lt;publisher&gt;World Health Organization.&lt;/publisher&gt;&lt;urls&gt;&lt;related-urls&gt;&lt;url&gt;&lt;style face="underline" font="default" size="100%"&gt;http://www.who.int/mediacentre/contacts/en/&lt;/style&gt;&lt;/url&gt;&lt;/related-urls&gt;&lt;/urls&gt;&lt;/record&gt;&lt;/Cite&gt;&lt;Cite&gt;&lt;Author&gt;Åhman&lt;/Author&gt;&lt;Year&gt;2000&lt;/Year&gt;&lt;RecNum&gt;29&lt;/RecNum&gt;&lt;record&gt;&lt;rec-number&gt;29&lt;/rec-number&gt;&lt;foreign-keys&gt;&lt;key app="EN" db-id="wazxt5z5d50z29ewex8xaasdd02vw2waeed0" timestamp="1502071209"&gt;29&lt;/key&gt;&lt;/foreign-keys&gt;&lt;ref-type name="Report"&gt;27&lt;/ref-type&gt;&lt;contributors&gt;&lt;authors&gt;&lt;author&gt;Åhman, E., Dolea, C. and Shah, I.&lt;/author&gt;&lt;/authors&gt;&lt;/contributors&gt;&lt;titles&gt;&lt;title&gt;The global burden of unsafe abortion in the year 2000&lt;/title&gt;&lt;secondary-title&gt;Global Burden of Disease and Injury 2000&lt;/secondary-title&gt;&lt;/titles&gt;&lt;dates&gt;&lt;year&gt;2000&lt;/year&gt;&lt;/dates&gt;&lt;pub-location&gt;Geneva&lt;/pub-location&gt;&lt;publisher&gt;World Health Organization&lt;/publisher&gt;&lt;urls&gt;&lt;related-urls&gt;&lt;url&gt;&lt;style face="underline" font="default" size="100%"&gt;http://www.who.int/healthinfo/statistics/bod_abortions.pdf&lt;/style&gt;&lt;/url&gt;&lt;/related-urls&gt;&lt;/urls&gt;&lt;/record&gt;&lt;/Cite&gt;&lt;/EndNote&gt;</w:instrText>
      </w:r>
      <w:r w:rsidR="00BC7C8D">
        <w:rPr>
          <w:rFonts w:cstheme="minorHAnsi"/>
        </w:rPr>
        <w:fldChar w:fldCharType="separate"/>
      </w:r>
      <w:r w:rsidR="00BC7C8D">
        <w:rPr>
          <w:rFonts w:cstheme="minorHAnsi"/>
          <w:noProof/>
        </w:rPr>
        <w:t>[4, 12]</w:t>
      </w:r>
      <w:r w:rsidR="00BC7C8D">
        <w:rPr>
          <w:rFonts w:cstheme="minorHAnsi"/>
        </w:rPr>
        <w:fldChar w:fldCharType="end"/>
      </w:r>
    </w:p>
    <w:p w14:paraId="7735E23D" w14:textId="64099BC7" w:rsidR="00B964A7" w:rsidRPr="00513ECC" w:rsidRDefault="003524BD" w:rsidP="00513ECC">
      <w:pPr>
        <w:pStyle w:val="ListParagraph"/>
        <w:numPr>
          <w:ilvl w:val="0"/>
          <w:numId w:val="35"/>
        </w:numPr>
        <w:tabs>
          <w:tab w:val="left" w:pos="1380"/>
        </w:tabs>
        <w:rPr>
          <w:rFonts w:cstheme="minorHAnsi"/>
        </w:rPr>
      </w:pPr>
      <w:r>
        <w:rPr>
          <w:rFonts w:cstheme="minorHAnsi"/>
        </w:rPr>
        <w:t xml:space="preserve">Women in </w:t>
      </w:r>
      <w:r w:rsidR="00F451BE">
        <w:rPr>
          <w:rFonts w:cstheme="minorHAnsi"/>
        </w:rPr>
        <w:t xml:space="preserve">remote communities or </w:t>
      </w:r>
      <w:r>
        <w:rPr>
          <w:rFonts w:cstheme="minorHAnsi"/>
        </w:rPr>
        <w:t>developing countries who have difficulty accessing</w:t>
      </w:r>
      <w:r w:rsidR="00F451BE">
        <w:rPr>
          <w:rFonts w:cstheme="minorHAnsi"/>
        </w:rPr>
        <w:t xml:space="preserve"> medical assessment,</w:t>
      </w:r>
      <w:r>
        <w:rPr>
          <w:rFonts w:cstheme="minorHAnsi"/>
        </w:rPr>
        <w:t xml:space="preserve"> diagnosis and treatment for sexually transmitted diseases </w:t>
      </w:r>
      <w:r w:rsidR="00F451BE">
        <w:rPr>
          <w:rFonts w:cstheme="minorHAnsi"/>
        </w:rPr>
        <w:t>(</w:t>
      </w:r>
      <w:r>
        <w:rPr>
          <w:rFonts w:cstheme="minorHAnsi"/>
        </w:rPr>
        <w:t>such as gonorrhoea, chlamydia and syphilis</w:t>
      </w:r>
      <w:r w:rsidR="00F451BE">
        <w:rPr>
          <w:rFonts w:cstheme="minorHAnsi"/>
        </w:rPr>
        <w:t>) are more at risk of developing pelvic inflammatory disease, and subsequently experience a higher burden of ectopic pregnancy</w:t>
      </w:r>
      <w:r w:rsidR="00BC7C8D">
        <w:rPr>
          <w:rFonts w:cstheme="minorHAnsi"/>
        </w:rPr>
        <w:t xml:space="preserve"> </w:t>
      </w:r>
      <w:r w:rsidR="00BC7C8D">
        <w:rPr>
          <w:rFonts w:cstheme="minorHAnsi"/>
        </w:rPr>
        <w:fldChar w:fldCharType="begin"/>
      </w:r>
      <w:r w:rsidR="00BC7C8D">
        <w:rPr>
          <w:rFonts w:cstheme="minorHAnsi"/>
        </w:rPr>
        <w:instrText xml:space="preserve"> ADDIN EN.CITE &lt;EndNote&gt;&lt;Cite&gt;&lt;Author&gt;Åhman&lt;/Author&gt;&lt;Year&gt;2000&lt;/Year&gt;&lt;RecNum&gt;29&lt;/RecNum&gt;&lt;DisplayText&gt;[4]&lt;/DisplayText&gt;&lt;record&gt;&lt;rec-number&gt;29&lt;/rec-number&gt;&lt;foreign-keys&gt;&lt;key app="EN" db-id="wazxt5z5d50z29ewex8xaasdd02vw2waeed0" timestamp="1502071209"&gt;29&lt;/key&gt;&lt;/foreign-keys&gt;&lt;ref-type name="Report"&gt;27&lt;/ref-type&gt;&lt;contributors&gt;&lt;authors&gt;&lt;author&gt;Åhman, E., Dolea, C. and Shah, I.&lt;/author&gt;&lt;/authors&gt;&lt;/contributors&gt;&lt;titles&gt;&lt;title&gt;The global burden of unsafe abortion in the year 2000&lt;/title&gt;&lt;secondary-title&gt;Global Burden of Disease and Injury 2000&lt;/secondary-title&gt;&lt;/titles&gt;&lt;dates&gt;&lt;year&gt;2000&lt;/year&gt;&lt;/dates&gt;&lt;pub-location&gt;Geneva&lt;/pub-location&gt;&lt;publisher&gt;World Health Organization&lt;/publisher&gt;&lt;urls&gt;&lt;related-urls&gt;&lt;url&gt;&lt;style face="underline" font="default" size="100%"&gt;http://www.who.int/healthinfo/statistics/bod_abortions.pdf&lt;/style&gt;&lt;/url&gt;&lt;/related-urls&gt;&lt;/urls&gt;&lt;/record&gt;&lt;/Cite&gt;&lt;/EndNote&gt;</w:instrText>
      </w:r>
      <w:r w:rsidR="00BC7C8D">
        <w:rPr>
          <w:rFonts w:cstheme="minorHAnsi"/>
        </w:rPr>
        <w:fldChar w:fldCharType="separate"/>
      </w:r>
      <w:r w:rsidR="00BC7C8D">
        <w:rPr>
          <w:rFonts w:cstheme="minorHAnsi"/>
          <w:noProof/>
        </w:rPr>
        <w:t>[4]</w:t>
      </w:r>
      <w:r w:rsidR="00BC7C8D">
        <w:rPr>
          <w:rFonts w:cstheme="minorHAnsi"/>
        </w:rPr>
        <w:fldChar w:fldCharType="end"/>
      </w:r>
    </w:p>
    <w:p w14:paraId="693531EC" w14:textId="77777777" w:rsidR="00B964A7" w:rsidRPr="00080B6D" w:rsidRDefault="00B964A7" w:rsidP="00B964A7">
      <w:pPr>
        <w:tabs>
          <w:tab w:val="left" w:pos="1380"/>
        </w:tabs>
        <w:rPr>
          <w:rFonts w:cstheme="minorHAnsi"/>
        </w:rPr>
      </w:pPr>
      <w:r w:rsidRPr="00BA2ABA">
        <w:rPr>
          <w:rFonts w:cstheme="minorHAnsi"/>
        </w:rPr>
        <w:t>It is an important aspect of publically-funded research for the investigators to consider how any positive findings might be equitably translated for use into different</w:t>
      </w:r>
      <w:r w:rsidR="00820912">
        <w:rPr>
          <w:rFonts w:cstheme="minorHAnsi"/>
        </w:rPr>
        <w:t xml:space="preserve"> populations and across various</w:t>
      </w:r>
      <w:r w:rsidRPr="00BA2ABA">
        <w:rPr>
          <w:rFonts w:cstheme="minorHAnsi"/>
        </w:rPr>
        <w:t xml:space="preserve"> health care contexts, such as in rural and remote </w:t>
      </w:r>
      <w:r w:rsidRPr="00F01F94">
        <w:rPr>
          <w:rFonts w:cstheme="minorHAnsi"/>
        </w:rPr>
        <w:t>communities, developing countries and other resource-poor settings.</w:t>
      </w:r>
      <w:r w:rsidR="00F01F94">
        <w:rPr>
          <w:rFonts w:cstheme="minorHAnsi"/>
        </w:rPr>
        <w:t xml:space="preserve"> </w:t>
      </w:r>
      <w:r w:rsidR="008C3844" w:rsidRPr="00F01F94">
        <w:rPr>
          <w:rFonts w:cstheme="minorHAnsi"/>
        </w:rPr>
        <w:t>Vinorelbine</w:t>
      </w:r>
      <w:r w:rsidRPr="00F01F94">
        <w:rPr>
          <w:rFonts w:cstheme="minorHAnsi"/>
        </w:rPr>
        <w:t xml:space="preserve"> is a medication already known to have a lo</w:t>
      </w:r>
      <w:r w:rsidR="008C3844" w:rsidRPr="00F01F94">
        <w:rPr>
          <w:rFonts w:cstheme="minorHAnsi"/>
        </w:rPr>
        <w:t>w-risk harm profile</w:t>
      </w:r>
      <w:r w:rsidRPr="00F01F94">
        <w:rPr>
          <w:rFonts w:cstheme="minorHAnsi"/>
        </w:rPr>
        <w:t xml:space="preserve">; is generally </w:t>
      </w:r>
      <w:r w:rsidR="00F01F94" w:rsidRPr="00F01F94">
        <w:rPr>
          <w:rFonts w:cstheme="minorHAnsi"/>
        </w:rPr>
        <w:t xml:space="preserve">well-tolerated; and is readily </w:t>
      </w:r>
      <w:r w:rsidR="00F01F94" w:rsidRPr="00D84DA6">
        <w:rPr>
          <w:rFonts w:cstheme="minorHAnsi"/>
        </w:rPr>
        <w:t>available. V</w:t>
      </w:r>
      <w:r w:rsidRPr="00D84DA6">
        <w:rPr>
          <w:rFonts w:cstheme="minorHAnsi"/>
        </w:rPr>
        <w:t xml:space="preserve">itally, for resource-poor or remote settings, </w:t>
      </w:r>
      <w:r w:rsidR="00F01F94" w:rsidRPr="00D84DA6">
        <w:rPr>
          <w:rFonts w:cstheme="minorHAnsi"/>
        </w:rPr>
        <w:t>vinorelbine</w:t>
      </w:r>
      <w:r w:rsidR="004621DA">
        <w:rPr>
          <w:rFonts w:cstheme="minorHAnsi"/>
        </w:rPr>
        <w:t xml:space="preserve"> is also produced generically</w:t>
      </w:r>
      <w:r w:rsidR="00F01F94" w:rsidRPr="00D84DA6">
        <w:rPr>
          <w:rFonts w:cstheme="minorHAnsi"/>
        </w:rPr>
        <w:t xml:space="preserve"> in an</w:t>
      </w:r>
      <w:r w:rsidR="00694AC6">
        <w:rPr>
          <w:rFonts w:cstheme="minorHAnsi"/>
        </w:rPr>
        <w:t xml:space="preserve"> intravenously injectable form, which</w:t>
      </w:r>
      <w:r w:rsidR="00F01F94" w:rsidRPr="00D84DA6">
        <w:rPr>
          <w:rFonts w:cstheme="minorHAnsi"/>
        </w:rPr>
        <w:t xml:space="preserve"> </w:t>
      </w:r>
      <w:r w:rsidRPr="00D84DA6">
        <w:rPr>
          <w:rFonts w:cstheme="minorHAnsi"/>
        </w:rPr>
        <w:t>does not require refrigeration to maintain its molecular stability</w:t>
      </w:r>
      <w:r w:rsidR="00101DDF">
        <w:rPr>
          <w:rFonts w:cstheme="minorHAnsi"/>
        </w:rPr>
        <w:t>.</w:t>
      </w:r>
      <w:r w:rsidR="004621DA">
        <w:rPr>
          <w:rFonts w:cstheme="minorHAnsi"/>
        </w:rPr>
        <w:t xml:space="preserve"> </w:t>
      </w:r>
      <w:r w:rsidRPr="00080B6D">
        <w:rPr>
          <w:rFonts w:cstheme="minorHAnsi"/>
        </w:rPr>
        <w:t xml:space="preserve">If </w:t>
      </w:r>
      <w:r w:rsidR="00BD2B46" w:rsidRPr="00080B6D">
        <w:rPr>
          <w:rFonts w:cstheme="minorHAnsi"/>
        </w:rPr>
        <w:t>vinorelbine</w:t>
      </w:r>
      <w:r w:rsidRPr="00080B6D">
        <w:rPr>
          <w:rFonts w:cstheme="minorHAnsi"/>
        </w:rPr>
        <w:t xml:space="preserve"> can be established as a safe and effe</w:t>
      </w:r>
      <w:r w:rsidR="007C5FFB">
        <w:rPr>
          <w:rFonts w:cstheme="minorHAnsi"/>
        </w:rPr>
        <w:t>ctive treatment for stable ectopic pregnancies</w:t>
      </w:r>
      <w:r w:rsidRPr="00080B6D">
        <w:rPr>
          <w:rFonts w:cstheme="minorHAnsi"/>
        </w:rPr>
        <w:t>, it could be realistically translated into use in isola</w:t>
      </w:r>
      <w:r w:rsidR="00080B6D">
        <w:rPr>
          <w:rFonts w:cstheme="minorHAnsi"/>
        </w:rPr>
        <w:t>ted communities within the Oceania region</w:t>
      </w:r>
      <w:r w:rsidRPr="00080B6D">
        <w:rPr>
          <w:rFonts w:cstheme="minorHAnsi"/>
        </w:rPr>
        <w:t xml:space="preserve">, as well as being potentially appropriate for use in developing countries. </w:t>
      </w:r>
      <w:r w:rsidR="00817F76">
        <w:rPr>
          <w:rFonts w:cstheme="minorHAnsi"/>
        </w:rPr>
        <w:t>However, more</w:t>
      </w:r>
      <w:r w:rsidR="008C3844">
        <w:rPr>
          <w:rFonts w:cstheme="minorHAnsi"/>
        </w:rPr>
        <w:t xml:space="preserve"> standardised epidemiological research into the impacts of ectopic pregnan</w:t>
      </w:r>
      <w:r w:rsidR="00ED7D7B">
        <w:rPr>
          <w:rFonts w:cstheme="minorHAnsi"/>
        </w:rPr>
        <w:t xml:space="preserve">cies is needed to </w:t>
      </w:r>
      <w:r w:rsidR="00F14123">
        <w:rPr>
          <w:rFonts w:cstheme="minorHAnsi"/>
        </w:rPr>
        <w:t xml:space="preserve">truly </w:t>
      </w:r>
      <w:r w:rsidR="00ED7D7B">
        <w:rPr>
          <w:rFonts w:cstheme="minorHAnsi"/>
        </w:rPr>
        <w:t xml:space="preserve">capture the magnitude of any </w:t>
      </w:r>
      <w:r w:rsidR="00181D3F">
        <w:rPr>
          <w:rFonts w:cstheme="minorHAnsi"/>
        </w:rPr>
        <w:t xml:space="preserve">health </w:t>
      </w:r>
      <w:r w:rsidR="00ED7D7B">
        <w:rPr>
          <w:rFonts w:cstheme="minorHAnsi"/>
        </w:rPr>
        <w:t>improvements</w:t>
      </w:r>
      <w:r w:rsidR="00181D3F">
        <w:rPr>
          <w:rFonts w:cstheme="minorHAnsi"/>
        </w:rPr>
        <w:t xml:space="preserve"> achieved through the introduction of new medical therapies. </w:t>
      </w:r>
    </w:p>
    <w:p w14:paraId="38C91D00" w14:textId="77777777" w:rsidR="00B964A7" w:rsidRPr="00B05FFC" w:rsidRDefault="00B964A7" w:rsidP="00D91174">
      <w:pPr>
        <w:tabs>
          <w:tab w:val="left" w:pos="1380"/>
        </w:tabs>
        <w:jc w:val="center"/>
        <w:rPr>
          <w:rFonts w:cstheme="minorHAnsi"/>
          <w:b/>
        </w:rPr>
      </w:pPr>
    </w:p>
    <w:p w14:paraId="166A62EB" w14:textId="77777777" w:rsidR="00B964A7" w:rsidRPr="00B05FFC" w:rsidRDefault="00B964A7" w:rsidP="00127972">
      <w:pPr>
        <w:pStyle w:val="ListParagraph"/>
        <w:numPr>
          <w:ilvl w:val="0"/>
          <w:numId w:val="1"/>
        </w:numPr>
        <w:outlineLvl w:val="0"/>
        <w:rPr>
          <w:rFonts w:cstheme="minorHAnsi"/>
          <w:b/>
        </w:rPr>
      </w:pPr>
      <w:bookmarkStart w:id="38" w:name="_Toc473873065"/>
      <w:bookmarkStart w:id="39" w:name="_Toc489888058"/>
      <w:r w:rsidRPr="00B05FFC">
        <w:rPr>
          <w:rFonts w:cstheme="minorHAnsi"/>
          <w:b/>
        </w:rPr>
        <w:t>STUDY OBJECTIVES</w:t>
      </w:r>
      <w:bookmarkStart w:id="40" w:name="_Toc482015355"/>
      <w:bookmarkEnd w:id="38"/>
      <w:bookmarkEnd w:id="39"/>
      <w:bookmarkEnd w:id="40"/>
    </w:p>
    <w:p w14:paraId="0A6183A7" w14:textId="77777777" w:rsidR="00B964A7" w:rsidRPr="00E53E73" w:rsidRDefault="00B964A7" w:rsidP="00B964A7">
      <w:pPr>
        <w:pStyle w:val="ListParagraph"/>
        <w:outlineLvl w:val="0"/>
        <w:rPr>
          <w:rFonts w:cstheme="minorHAnsi"/>
          <w:b/>
        </w:rPr>
      </w:pPr>
    </w:p>
    <w:p w14:paraId="5A044C92" w14:textId="43901AE5" w:rsidR="00B964A7" w:rsidRDefault="00BC7C8D" w:rsidP="00B964A7">
      <w:pPr>
        <w:pStyle w:val="ListParagraph"/>
        <w:ind w:left="0"/>
        <w:rPr>
          <w:rFonts w:cstheme="minorHAnsi"/>
        </w:rPr>
      </w:pPr>
      <w:r>
        <w:rPr>
          <w:rFonts w:cstheme="minorHAnsi"/>
        </w:rPr>
        <w:t>Currently, there are</w:t>
      </w:r>
      <w:r w:rsidR="00A452AB">
        <w:rPr>
          <w:rFonts w:cstheme="minorHAnsi"/>
        </w:rPr>
        <w:t xml:space="preserve"> both a medical and a su</w:t>
      </w:r>
      <w:r w:rsidR="00107AEB">
        <w:rPr>
          <w:rFonts w:cstheme="minorHAnsi"/>
        </w:rPr>
        <w:t>rgical treatment option</w:t>
      </w:r>
      <w:r w:rsidR="00A452AB">
        <w:rPr>
          <w:rFonts w:cstheme="minorHAnsi"/>
        </w:rPr>
        <w:t xml:space="preserve"> </w:t>
      </w:r>
      <w:r w:rsidR="002B3A78">
        <w:rPr>
          <w:rFonts w:cstheme="minorHAnsi"/>
        </w:rPr>
        <w:t xml:space="preserve">available to women </w:t>
      </w:r>
      <w:r w:rsidR="00A452AB">
        <w:rPr>
          <w:rFonts w:cstheme="minorHAnsi"/>
        </w:rPr>
        <w:t>to resolve a stable ectopic pregnancy</w:t>
      </w:r>
      <w:r w:rsidR="00B964A7" w:rsidRPr="00A452AB">
        <w:rPr>
          <w:rFonts w:cstheme="minorHAnsi"/>
        </w:rPr>
        <w:t>.</w:t>
      </w:r>
      <w:r w:rsidR="00A452AB">
        <w:rPr>
          <w:rFonts w:cstheme="minorHAnsi"/>
        </w:rPr>
        <w:t xml:space="preserve"> The surgical option involves the removal of all or</w:t>
      </w:r>
      <w:r w:rsidR="00257BFC">
        <w:rPr>
          <w:rFonts w:cstheme="minorHAnsi"/>
        </w:rPr>
        <w:t xml:space="preserve"> a</w:t>
      </w:r>
      <w:r w:rsidR="00A452AB">
        <w:rPr>
          <w:rFonts w:cstheme="minorHAnsi"/>
        </w:rPr>
        <w:t xml:space="preserve"> part of the affected </w:t>
      </w:r>
      <w:r w:rsidR="00A452AB">
        <w:rPr>
          <w:rFonts w:cstheme="minorHAnsi"/>
        </w:rPr>
        <w:lastRenderedPageBreak/>
        <w:t>Fallopian tube</w:t>
      </w:r>
      <w:r w:rsidR="007E3F7C">
        <w:rPr>
          <w:rFonts w:cstheme="minorHAnsi"/>
        </w:rPr>
        <w:t xml:space="preserve"> (salpingectomy and salpingo</w:t>
      </w:r>
      <w:r>
        <w:rPr>
          <w:rFonts w:cstheme="minorHAnsi"/>
        </w:rPr>
        <w:t>s</w:t>
      </w:r>
      <w:r w:rsidR="007E3F7C">
        <w:rPr>
          <w:rFonts w:cstheme="minorHAnsi"/>
        </w:rPr>
        <w:t>tomy, respectively)</w:t>
      </w:r>
      <w:r w:rsidR="00027E2D">
        <w:rPr>
          <w:rFonts w:cstheme="minorHAnsi"/>
        </w:rPr>
        <w:t>; is a costly treatment;</w:t>
      </w:r>
      <w:r w:rsidR="00A452AB">
        <w:rPr>
          <w:rFonts w:cstheme="minorHAnsi"/>
        </w:rPr>
        <w:t xml:space="preserve"> and exposes women to the inherent risks involved with having an anaesthetic and a surgery. The current medical treatment option has a</w:t>
      </w:r>
      <w:r w:rsidR="00F1341E">
        <w:rPr>
          <w:rFonts w:cstheme="minorHAnsi"/>
        </w:rPr>
        <w:t xml:space="preserve"> reasonably</w:t>
      </w:r>
      <w:r w:rsidR="00A452AB">
        <w:rPr>
          <w:rFonts w:cstheme="minorHAnsi"/>
        </w:rPr>
        <w:t xml:space="preserve"> high failure rate of around 30%</w:t>
      </w:r>
      <w:r>
        <w:rPr>
          <w:rFonts w:cstheme="minorHAnsi"/>
        </w:rPr>
        <w:t xml:space="preserve"> </w:t>
      </w:r>
      <w:r>
        <w:rPr>
          <w:rFonts w:cstheme="minorHAnsi"/>
        </w:rPr>
        <w:fldChar w:fldCharType="begin"/>
      </w:r>
      <w:r>
        <w:rPr>
          <w:rFonts w:cstheme="minorHAnsi"/>
        </w:rPr>
        <w:instrText xml:space="preserve"> ADDIN EN.CITE &lt;EndNote&gt;&lt;Cite&gt;&lt;Author&gt;Skubisz&lt;/Author&gt;&lt;Year&gt;2013&lt;/Year&gt;&lt;RecNum&gt;30&lt;/RecNum&gt;&lt;DisplayText&gt;[9]&lt;/DisplayText&gt;&lt;record&gt;&lt;rec-number&gt;30&lt;/rec-number&gt;&lt;foreign-keys&gt;&lt;key app="EN" db-id="wazxt5z5d50z29ewex8xaasdd02vw2waeed0" timestamp="1502078035"&gt;30&lt;/key&gt;&lt;/foreign-keys&gt;&lt;ref-type name="Journal Article"&gt;17&lt;/ref-type&gt;&lt;contributors&gt;&lt;authors&gt;&lt;author&gt;Skubisz, M., Dutton, P., Duncan, W.C., Horne, A.W. and Tong, S.&lt;/author&gt;&lt;/authors&gt;&lt;/contributors&gt;&lt;titles&gt;&lt;title&gt;Using a decline in serum hCG between days 0-4 to predict ectopic pregnancy treatment success after single-dose methotrexate: A retrospective cohort study.&lt;/title&gt;&lt;secondary-title&gt;BMC Pregnancy and Childbirth&lt;/secondary-title&gt;&lt;/titles&gt;&lt;periodical&gt;&lt;full-title&gt;BMC Pregnancy and Childbirth&lt;/full-title&gt;&lt;/periodical&gt;&lt;volume&gt;13&lt;/volume&gt;&lt;number&gt;30&lt;/number&gt;&lt;dates&gt;&lt;year&gt;2013&lt;/year&gt;&lt;/dates&gt;&lt;urls&gt;&lt;/urls&gt;&lt;/record&gt;&lt;/Cite&gt;&lt;/EndNote&gt;</w:instrText>
      </w:r>
      <w:r>
        <w:rPr>
          <w:rFonts w:cstheme="minorHAnsi"/>
        </w:rPr>
        <w:fldChar w:fldCharType="separate"/>
      </w:r>
      <w:r>
        <w:rPr>
          <w:rFonts w:cstheme="minorHAnsi"/>
          <w:noProof/>
        </w:rPr>
        <w:t>[9]</w:t>
      </w:r>
      <w:r>
        <w:rPr>
          <w:rFonts w:cstheme="minorHAnsi"/>
        </w:rPr>
        <w:fldChar w:fldCharType="end"/>
      </w:r>
      <w:r w:rsidR="00A452AB">
        <w:rPr>
          <w:rFonts w:cstheme="minorHAnsi"/>
        </w:rPr>
        <w:t>.</w:t>
      </w:r>
      <w:r w:rsidR="00B964A7" w:rsidRPr="00A452AB">
        <w:rPr>
          <w:rFonts w:cstheme="minorHAnsi"/>
        </w:rPr>
        <w:t xml:space="preserve"> An </w:t>
      </w:r>
      <w:r w:rsidR="00B964A7" w:rsidRPr="00954B6F">
        <w:rPr>
          <w:rFonts w:cstheme="minorHAnsi"/>
        </w:rPr>
        <w:t>early (phase II) clinical trial assessin</w:t>
      </w:r>
      <w:r w:rsidR="00954B6F">
        <w:rPr>
          <w:rFonts w:cstheme="minorHAnsi"/>
        </w:rPr>
        <w:t>g the safety, toxicity and tolerability</w:t>
      </w:r>
      <w:r w:rsidR="00B964A7" w:rsidRPr="00954B6F">
        <w:rPr>
          <w:rFonts w:cstheme="minorHAnsi"/>
        </w:rPr>
        <w:t xml:space="preserve"> profile</w:t>
      </w:r>
      <w:r w:rsidR="00954B6F">
        <w:rPr>
          <w:rFonts w:cstheme="minorHAnsi"/>
        </w:rPr>
        <w:t>s of vinorelbine in patients with ectopic pregnancies</w:t>
      </w:r>
      <w:r w:rsidR="00B964A7" w:rsidRPr="00954B6F">
        <w:rPr>
          <w:rFonts w:cstheme="minorHAnsi"/>
        </w:rPr>
        <w:t xml:space="preserve"> is required to assess</w:t>
      </w:r>
      <w:r w:rsidR="00954B6F">
        <w:rPr>
          <w:rFonts w:cstheme="minorHAnsi"/>
        </w:rPr>
        <w:t xml:space="preserve"> the </w:t>
      </w:r>
      <w:r w:rsidR="00A452AB">
        <w:rPr>
          <w:rFonts w:cstheme="minorHAnsi"/>
        </w:rPr>
        <w:t xml:space="preserve">potential </w:t>
      </w:r>
      <w:r w:rsidR="00954B6F">
        <w:rPr>
          <w:rFonts w:cstheme="minorHAnsi"/>
        </w:rPr>
        <w:t>suitability of vinorelbine</w:t>
      </w:r>
      <w:r w:rsidR="00E70013">
        <w:rPr>
          <w:rFonts w:cstheme="minorHAnsi"/>
        </w:rPr>
        <w:t xml:space="preserve"> as a </w:t>
      </w:r>
      <w:r w:rsidR="00A452AB">
        <w:rPr>
          <w:rFonts w:cstheme="minorHAnsi"/>
        </w:rPr>
        <w:t>new,</w:t>
      </w:r>
      <w:r w:rsidR="009F0207">
        <w:rPr>
          <w:rFonts w:cstheme="minorHAnsi"/>
        </w:rPr>
        <w:t xml:space="preserve"> safe,</w:t>
      </w:r>
      <w:r w:rsidR="00A452AB">
        <w:rPr>
          <w:rFonts w:cstheme="minorHAnsi"/>
        </w:rPr>
        <w:t xml:space="preserve"> efficacious and cost-effective</w:t>
      </w:r>
      <w:r w:rsidR="00E70013">
        <w:rPr>
          <w:rFonts w:cstheme="minorHAnsi"/>
        </w:rPr>
        <w:t xml:space="preserve"> therapeutic treatment option for</w:t>
      </w:r>
      <w:r w:rsidR="00954B6F">
        <w:rPr>
          <w:rFonts w:cstheme="minorHAnsi"/>
        </w:rPr>
        <w:t xml:space="preserve"> women with stable ectopic pregnancies</w:t>
      </w:r>
      <w:r w:rsidR="00B964A7" w:rsidRPr="00954B6F">
        <w:rPr>
          <w:rFonts w:cstheme="minorHAnsi"/>
        </w:rPr>
        <w:t>.</w:t>
      </w:r>
    </w:p>
    <w:p w14:paraId="71FA7200" w14:textId="77777777" w:rsidR="00A132F2" w:rsidRPr="007661FC" w:rsidRDefault="00A132F2" w:rsidP="00B964A7">
      <w:pPr>
        <w:pStyle w:val="ListParagraph"/>
        <w:ind w:left="0"/>
        <w:rPr>
          <w:rFonts w:cstheme="minorHAnsi"/>
          <w:b/>
          <w:color w:val="FF0000"/>
        </w:rPr>
      </w:pPr>
    </w:p>
    <w:p w14:paraId="2FF45898" w14:textId="77777777" w:rsidR="00B964A7" w:rsidRPr="00B05FFC" w:rsidRDefault="00B964A7" w:rsidP="00B964A7">
      <w:pPr>
        <w:pStyle w:val="ListParagraph"/>
        <w:rPr>
          <w:rFonts w:cstheme="minorHAnsi"/>
          <w:b/>
        </w:rPr>
      </w:pPr>
    </w:p>
    <w:p w14:paraId="4BF79CF4" w14:textId="77777777" w:rsidR="00B964A7" w:rsidRDefault="00B964A7" w:rsidP="00127972">
      <w:pPr>
        <w:pStyle w:val="ListParagraph"/>
        <w:numPr>
          <w:ilvl w:val="1"/>
          <w:numId w:val="1"/>
        </w:numPr>
        <w:outlineLvl w:val="1"/>
        <w:rPr>
          <w:rFonts w:cstheme="minorHAnsi"/>
          <w:b/>
        </w:rPr>
      </w:pPr>
      <w:bookmarkStart w:id="41" w:name="_Toc473873066"/>
      <w:bookmarkStart w:id="42" w:name="_Toc489888059"/>
      <w:r w:rsidRPr="00B05FFC">
        <w:rPr>
          <w:rFonts w:cstheme="minorHAnsi"/>
          <w:b/>
        </w:rPr>
        <w:t>OBJECTIVES</w:t>
      </w:r>
      <w:bookmarkEnd w:id="41"/>
      <w:bookmarkEnd w:id="42"/>
    </w:p>
    <w:p w14:paraId="754D1F65" w14:textId="77777777" w:rsidR="00B964A7" w:rsidRPr="00B05FFC" w:rsidRDefault="00B964A7" w:rsidP="00127972">
      <w:pPr>
        <w:pStyle w:val="ListParagraph"/>
        <w:ind w:left="1440"/>
        <w:outlineLvl w:val="2"/>
        <w:rPr>
          <w:rFonts w:cstheme="minorHAnsi"/>
          <w:b/>
        </w:rPr>
      </w:pPr>
    </w:p>
    <w:p w14:paraId="2ABA4EF8" w14:textId="77777777" w:rsidR="00B964A7" w:rsidRDefault="00B964A7" w:rsidP="00127972">
      <w:pPr>
        <w:pStyle w:val="ListParagraph"/>
        <w:numPr>
          <w:ilvl w:val="2"/>
          <w:numId w:val="1"/>
        </w:numPr>
        <w:outlineLvl w:val="2"/>
        <w:rPr>
          <w:rFonts w:cstheme="minorHAnsi"/>
          <w:b/>
        </w:rPr>
      </w:pPr>
      <w:bookmarkStart w:id="43" w:name="_Toc473873067"/>
      <w:bookmarkStart w:id="44" w:name="_Toc489888060"/>
      <w:r w:rsidRPr="00B05FFC">
        <w:rPr>
          <w:rFonts w:cstheme="minorHAnsi"/>
          <w:b/>
        </w:rPr>
        <w:t>Primary objective</w:t>
      </w:r>
      <w:bookmarkEnd w:id="43"/>
      <w:r>
        <w:rPr>
          <w:rFonts w:cstheme="minorHAnsi"/>
          <w:b/>
        </w:rPr>
        <w:t>s</w:t>
      </w:r>
      <w:bookmarkEnd w:id="44"/>
    </w:p>
    <w:p w14:paraId="48743B83" w14:textId="77777777" w:rsidR="00B964A7" w:rsidRPr="005450C2" w:rsidRDefault="00B964A7" w:rsidP="00B964A7">
      <w:pPr>
        <w:rPr>
          <w:rFonts w:cstheme="minorHAnsi"/>
        </w:rPr>
      </w:pPr>
      <w:r w:rsidRPr="005450C2">
        <w:rPr>
          <w:rFonts w:cstheme="minorHAnsi"/>
        </w:rPr>
        <w:t>The primary objectives of this study are to establis</w:t>
      </w:r>
      <w:r w:rsidR="00C94944" w:rsidRPr="005450C2">
        <w:rPr>
          <w:rFonts w:cstheme="minorHAnsi"/>
        </w:rPr>
        <w:t>h the safety, toxicity and tolerability profiles of vinorelbine</w:t>
      </w:r>
      <w:r w:rsidRPr="005450C2">
        <w:rPr>
          <w:rFonts w:cstheme="minorHAnsi"/>
        </w:rPr>
        <w:t>, specifically in pa</w:t>
      </w:r>
      <w:r w:rsidR="00C94944" w:rsidRPr="005450C2">
        <w:rPr>
          <w:rFonts w:cstheme="minorHAnsi"/>
        </w:rPr>
        <w:t>tients with stable ectopic pregnancies</w:t>
      </w:r>
      <w:r w:rsidRPr="005450C2">
        <w:rPr>
          <w:rFonts w:cstheme="minorHAnsi"/>
        </w:rPr>
        <w:t>. In particular, we will be examining:</w:t>
      </w:r>
    </w:p>
    <w:p w14:paraId="2E1BEC01" w14:textId="77777777" w:rsidR="005450C2" w:rsidRDefault="00B964A7" w:rsidP="00B964A7">
      <w:pPr>
        <w:pStyle w:val="ListParagraph"/>
        <w:numPr>
          <w:ilvl w:val="0"/>
          <w:numId w:val="5"/>
        </w:numPr>
        <w:rPr>
          <w:rFonts w:cstheme="minorHAnsi"/>
        </w:rPr>
      </w:pPr>
      <w:r w:rsidRPr="005450C2">
        <w:rPr>
          <w:rFonts w:cstheme="minorHAnsi"/>
        </w:rPr>
        <w:t>Any adver</w:t>
      </w:r>
      <w:r w:rsidR="005450C2" w:rsidRPr="005450C2">
        <w:rPr>
          <w:rFonts w:cstheme="minorHAnsi"/>
        </w:rPr>
        <w:t>se effects in the treated participants</w:t>
      </w:r>
      <w:r w:rsidRPr="005450C2">
        <w:rPr>
          <w:rFonts w:cstheme="minorHAnsi"/>
        </w:rPr>
        <w:t xml:space="preserve"> (safety data)</w:t>
      </w:r>
    </w:p>
    <w:p w14:paraId="0039ACEC" w14:textId="77777777" w:rsidR="00961DD7" w:rsidRDefault="005450C2" w:rsidP="00B964A7">
      <w:pPr>
        <w:pStyle w:val="ListParagraph"/>
        <w:numPr>
          <w:ilvl w:val="0"/>
          <w:numId w:val="5"/>
        </w:numPr>
        <w:rPr>
          <w:rFonts w:cstheme="minorHAnsi"/>
        </w:rPr>
      </w:pPr>
      <w:r>
        <w:rPr>
          <w:rFonts w:cstheme="minorHAnsi"/>
        </w:rPr>
        <w:t>Participants’ s</w:t>
      </w:r>
      <w:r w:rsidR="00961DD7">
        <w:rPr>
          <w:rFonts w:cstheme="minorHAnsi"/>
        </w:rPr>
        <w:t>erial blood tests, including Full Blood Examinations (FBE); Urea and Electrolytes (U&amp;Es); and Liver Function Tests (LFTs) (safety and toxicity data)</w:t>
      </w:r>
    </w:p>
    <w:p w14:paraId="3FAB82F2" w14:textId="77777777" w:rsidR="00B964A7" w:rsidRPr="00B57E3C" w:rsidRDefault="00961DD7" w:rsidP="00B964A7">
      <w:pPr>
        <w:pStyle w:val="ListParagraph"/>
        <w:numPr>
          <w:ilvl w:val="0"/>
          <w:numId w:val="5"/>
        </w:numPr>
        <w:rPr>
          <w:rFonts w:cstheme="minorHAnsi"/>
        </w:rPr>
      </w:pPr>
      <w:r>
        <w:rPr>
          <w:rFonts w:cstheme="minorHAnsi"/>
        </w:rPr>
        <w:t>Participants’ evaluations on the acceptability of vinorelbine treatment, including its administration, side effects and follow up requirements (tolerability data)</w:t>
      </w:r>
      <w:r w:rsidR="00B964A7" w:rsidRPr="005450C2">
        <w:rPr>
          <w:rFonts w:cstheme="minorHAnsi"/>
        </w:rPr>
        <w:t xml:space="preserve"> </w:t>
      </w:r>
    </w:p>
    <w:p w14:paraId="31CB5402" w14:textId="77777777" w:rsidR="00B964A7" w:rsidRPr="007D70A2" w:rsidRDefault="00B964A7" w:rsidP="00B964A7">
      <w:pPr>
        <w:rPr>
          <w:rFonts w:cstheme="minorHAnsi"/>
        </w:rPr>
      </w:pPr>
    </w:p>
    <w:p w14:paraId="6062ADA3" w14:textId="77777777" w:rsidR="00B964A7" w:rsidRDefault="00B964A7" w:rsidP="00127972">
      <w:pPr>
        <w:pStyle w:val="ListParagraph"/>
        <w:numPr>
          <w:ilvl w:val="2"/>
          <w:numId w:val="1"/>
        </w:numPr>
        <w:outlineLvl w:val="2"/>
        <w:rPr>
          <w:rFonts w:cstheme="minorHAnsi"/>
          <w:b/>
        </w:rPr>
      </w:pPr>
      <w:bookmarkStart w:id="45" w:name="_Toc473873068"/>
      <w:bookmarkStart w:id="46" w:name="_Toc489888061"/>
      <w:r w:rsidRPr="00B05FFC">
        <w:rPr>
          <w:rFonts w:cstheme="minorHAnsi"/>
          <w:b/>
        </w:rPr>
        <w:t>Secondary objectives</w:t>
      </w:r>
      <w:bookmarkEnd w:id="45"/>
      <w:bookmarkEnd w:id="46"/>
    </w:p>
    <w:p w14:paraId="44AC290C" w14:textId="77777777" w:rsidR="00B964A7" w:rsidRPr="00194C9D" w:rsidRDefault="00B964A7" w:rsidP="00B964A7">
      <w:pPr>
        <w:rPr>
          <w:rFonts w:cstheme="minorHAnsi"/>
        </w:rPr>
      </w:pPr>
      <w:r w:rsidRPr="00194C9D">
        <w:rPr>
          <w:rFonts w:cstheme="minorHAnsi"/>
        </w:rPr>
        <w:t xml:space="preserve">To determine the effects of </w:t>
      </w:r>
      <w:r w:rsidR="00194C9D" w:rsidRPr="00194C9D">
        <w:rPr>
          <w:rFonts w:cstheme="minorHAnsi"/>
        </w:rPr>
        <w:t>vinorelbine</w:t>
      </w:r>
      <w:r w:rsidR="00875EE8">
        <w:rPr>
          <w:rFonts w:cstheme="minorHAnsi"/>
        </w:rPr>
        <w:t xml:space="preserve"> therapy on the clinical outcomes,</w:t>
      </w:r>
      <w:r w:rsidRPr="00194C9D">
        <w:rPr>
          <w:rFonts w:cstheme="minorHAnsi"/>
        </w:rPr>
        <w:t xml:space="preserve"> biochemical markers</w:t>
      </w:r>
      <w:r w:rsidR="00875EE8">
        <w:rPr>
          <w:rFonts w:cstheme="minorHAnsi"/>
        </w:rPr>
        <w:t xml:space="preserve"> and subsequent fertility of participants</w:t>
      </w:r>
      <w:r w:rsidRPr="00194C9D">
        <w:rPr>
          <w:rFonts w:cstheme="minorHAnsi"/>
        </w:rPr>
        <w:t xml:space="preserve"> by assessing for:</w:t>
      </w:r>
    </w:p>
    <w:p w14:paraId="1BAF7B3E" w14:textId="5AC1D978" w:rsidR="00194C9D" w:rsidRDefault="00BB210C" w:rsidP="00194C9D">
      <w:pPr>
        <w:pStyle w:val="ListParagraph"/>
        <w:numPr>
          <w:ilvl w:val="0"/>
          <w:numId w:val="5"/>
        </w:numPr>
        <w:spacing w:before="240"/>
        <w:rPr>
          <w:rFonts w:cstheme="minorHAnsi"/>
        </w:rPr>
      </w:pPr>
      <w:r>
        <w:rPr>
          <w:rFonts w:cstheme="minorHAnsi"/>
        </w:rPr>
        <w:t xml:space="preserve">Length of time from </w:t>
      </w:r>
      <w:r w:rsidR="00194C9D" w:rsidRPr="00194C9D">
        <w:rPr>
          <w:rFonts w:cstheme="minorHAnsi"/>
        </w:rPr>
        <w:t xml:space="preserve">treatment </w:t>
      </w:r>
      <w:r>
        <w:rPr>
          <w:rFonts w:cstheme="minorHAnsi"/>
        </w:rPr>
        <w:t xml:space="preserve">initiation </w:t>
      </w:r>
      <w:r w:rsidR="00194C9D" w:rsidRPr="00194C9D">
        <w:rPr>
          <w:rFonts w:cstheme="minorHAnsi"/>
        </w:rPr>
        <w:t xml:space="preserve">to resolution of ectopic pregnancy </w:t>
      </w:r>
      <w:r w:rsidR="002E0FDB">
        <w:rPr>
          <w:rFonts w:cstheme="minorHAnsi"/>
        </w:rPr>
        <w:t>(</w:t>
      </w:r>
      <w:r w:rsidR="00214CFD">
        <w:rPr>
          <w:rFonts w:cstheme="minorHAnsi"/>
        </w:rPr>
        <w:t>defined as hCG &lt;5IU/L or requiring surgical removal of fallopian tube</w:t>
      </w:r>
      <w:r w:rsidR="002E0FDB">
        <w:rPr>
          <w:rFonts w:cstheme="minorHAnsi"/>
        </w:rPr>
        <w:t>)</w:t>
      </w:r>
      <w:r w:rsidR="00214CFD">
        <w:rPr>
          <w:rFonts w:cstheme="minorHAnsi"/>
        </w:rPr>
        <w:t xml:space="preserve">. </w:t>
      </w:r>
    </w:p>
    <w:p w14:paraId="3617B0BF" w14:textId="566943A9" w:rsidR="00194C9D" w:rsidRDefault="00194C9D" w:rsidP="00194C9D">
      <w:pPr>
        <w:pStyle w:val="ListParagraph"/>
        <w:numPr>
          <w:ilvl w:val="0"/>
          <w:numId w:val="5"/>
        </w:numPr>
        <w:spacing w:before="240"/>
        <w:rPr>
          <w:rFonts w:cstheme="minorHAnsi"/>
        </w:rPr>
      </w:pPr>
      <w:r>
        <w:rPr>
          <w:rFonts w:cstheme="minorHAnsi"/>
        </w:rPr>
        <w:t xml:space="preserve">Occurrence of clinical symptoms of medical management failure; i.e. evolving tubular rupture (haemodynamic instability; abdominal pain; </w:t>
      </w:r>
      <w:r w:rsidR="002B6357">
        <w:rPr>
          <w:rFonts w:cstheme="minorHAnsi"/>
        </w:rPr>
        <w:t>or a persis</w:t>
      </w:r>
      <w:r w:rsidR="004451AB">
        <w:rPr>
          <w:rFonts w:cstheme="minorHAnsi"/>
        </w:rPr>
        <w:t>tently raised hCG after D</w:t>
      </w:r>
      <w:r w:rsidR="003937BF">
        <w:rPr>
          <w:rFonts w:cstheme="minorHAnsi"/>
        </w:rPr>
        <w:t>ay 7</w:t>
      </w:r>
      <w:r w:rsidR="004451AB">
        <w:rPr>
          <w:rFonts w:cstheme="minorHAnsi"/>
        </w:rPr>
        <w:t>)</w:t>
      </w:r>
      <w:r w:rsidR="003937BF">
        <w:rPr>
          <w:rFonts w:cstheme="minorHAnsi"/>
        </w:rPr>
        <w:t>.</w:t>
      </w:r>
    </w:p>
    <w:p w14:paraId="45E46435" w14:textId="77777777" w:rsidR="00194C9D" w:rsidRDefault="00875EE8" w:rsidP="00194C9D">
      <w:pPr>
        <w:pStyle w:val="ListParagraph"/>
        <w:numPr>
          <w:ilvl w:val="0"/>
          <w:numId w:val="5"/>
        </w:numPr>
        <w:spacing w:before="240"/>
        <w:rPr>
          <w:rFonts w:cstheme="minorHAnsi"/>
        </w:rPr>
      </w:pPr>
      <w:r>
        <w:rPr>
          <w:rFonts w:cstheme="minorHAnsi"/>
        </w:rPr>
        <w:t>Length of time from vinorelbine treatment to participants’ return to normal menses</w:t>
      </w:r>
    </w:p>
    <w:p w14:paraId="65E51068" w14:textId="77777777" w:rsidR="00875EE8" w:rsidRDefault="00875EE8" w:rsidP="00194C9D">
      <w:pPr>
        <w:pStyle w:val="ListParagraph"/>
        <w:numPr>
          <w:ilvl w:val="0"/>
          <w:numId w:val="5"/>
        </w:numPr>
        <w:spacing w:before="240"/>
        <w:rPr>
          <w:rFonts w:cstheme="minorHAnsi"/>
        </w:rPr>
      </w:pPr>
      <w:r>
        <w:rPr>
          <w:rFonts w:cstheme="minorHAnsi"/>
        </w:rPr>
        <w:t xml:space="preserve">Subsequent </w:t>
      </w:r>
      <w:r w:rsidR="00CB3632">
        <w:rPr>
          <w:rFonts w:cstheme="minorHAnsi"/>
        </w:rPr>
        <w:t xml:space="preserve">fertility, </w:t>
      </w:r>
      <w:r>
        <w:rPr>
          <w:rFonts w:cstheme="minorHAnsi"/>
        </w:rPr>
        <w:t>pregnancy and birth outcomes for participants (limited to a two year follow-up period</w:t>
      </w:r>
      <w:r w:rsidR="00F1341E">
        <w:rPr>
          <w:rFonts w:cstheme="minorHAnsi"/>
        </w:rPr>
        <w:t xml:space="preserve"> from recruitment of the first participant</w:t>
      </w:r>
      <w:r>
        <w:rPr>
          <w:rFonts w:cstheme="minorHAnsi"/>
        </w:rPr>
        <w:t>)</w:t>
      </w:r>
    </w:p>
    <w:p w14:paraId="1FB346BE" w14:textId="77777777" w:rsidR="00875EE8" w:rsidRPr="00194C9D" w:rsidRDefault="00875EE8" w:rsidP="00875EE8">
      <w:pPr>
        <w:pStyle w:val="ListParagraph"/>
        <w:spacing w:before="240"/>
        <w:rPr>
          <w:rFonts w:cstheme="minorHAnsi"/>
        </w:rPr>
      </w:pPr>
    </w:p>
    <w:p w14:paraId="3BAD9C26" w14:textId="77777777" w:rsidR="00B964A7" w:rsidRPr="00B05FFC" w:rsidRDefault="00B964A7" w:rsidP="00B964A7">
      <w:pPr>
        <w:pStyle w:val="ListParagraph"/>
        <w:ind w:left="2160"/>
        <w:rPr>
          <w:rFonts w:cstheme="minorHAnsi"/>
          <w:b/>
        </w:rPr>
      </w:pPr>
    </w:p>
    <w:p w14:paraId="0E4C2F54" w14:textId="77777777" w:rsidR="00B964A7" w:rsidRPr="00B05FFC" w:rsidRDefault="00B964A7" w:rsidP="00127972">
      <w:pPr>
        <w:pStyle w:val="ListParagraph"/>
        <w:numPr>
          <w:ilvl w:val="1"/>
          <w:numId w:val="1"/>
        </w:numPr>
        <w:outlineLvl w:val="1"/>
        <w:rPr>
          <w:rFonts w:cstheme="minorHAnsi"/>
          <w:b/>
        </w:rPr>
      </w:pPr>
      <w:bookmarkStart w:id="47" w:name="_Toc473873069"/>
      <w:bookmarkStart w:id="48" w:name="_Toc489888062"/>
      <w:r w:rsidRPr="00B05FFC">
        <w:rPr>
          <w:rFonts w:cstheme="minorHAnsi"/>
          <w:b/>
        </w:rPr>
        <w:t>ENDPOINTS</w:t>
      </w:r>
      <w:bookmarkEnd w:id="47"/>
      <w:bookmarkEnd w:id="48"/>
    </w:p>
    <w:p w14:paraId="1BC074F9" w14:textId="77777777" w:rsidR="00B964A7" w:rsidRPr="00B05FFC" w:rsidRDefault="00B964A7" w:rsidP="00B964A7">
      <w:pPr>
        <w:pStyle w:val="ListParagraph"/>
        <w:ind w:left="1440"/>
        <w:rPr>
          <w:rFonts w:cstheme="minorHAnsi"/>
          <w:b/>
        </w:rPr>
      </w:pPr>
    </w:p>
    <w:p w14:paraId="41542490" w14:textId="77777777" w:rsidR="00B964A7" w:rsidRPr="00B05FFC" w:rsidRDefault="00B964A7" w:rsidP="00127972">
      <w:pPr>
        <w:pStyle w:val="ListParagraph"/>
        <w:numPr>
          <w:ilvl w:val="2"/>
          <w:numId w:val="1"/>
        </w:numPr>
        <w:tabs>
          <w:tab w:val="left" w:pos="2925"/>
        </w:tabs>
        <w:outlineLvl w:val="2"/>
        <w:rPr>
          <w:rFonts w:cstheme="minorHAnsi"/>
          <w:b/>
        </w:rPr>
      </w:pPr>
      <w:bookmarkStart w:id="49" w:name="_Toc473873070"/>
      <w:bookmarkStart w:id="50" w:name="_Toc489888063"/>
      <w:r w:rsidRPr="00B05FFC">
        <w:rPr>
          <w:rFonts w:cstheme="minorHAnsi"/>
          <w:b/>
        </w:rPr>
        <w:t>Primary endpoint</w:t>
      </w:r>
      <w:bookmarkEnd w:id="49"/>
      <w:bookmarkEnd w:id="50"/>
    </w:p>
    <w:p w14:paraId="540B7351" w14:textId="2D157DB2" w:rsidR="00B964A7" w:rsidRPr="002B4815" w:rsidRDefault="00980B79" w:rsidP="00E0619C">
      <w:pPr>
        <w:tabs>
          <w:tab w:val="left" w:pos="2925"/>
        </w:tabs>
        <w:spacing w:before="240"/>
        <w:rPr>
          <w:rFonts w:cstheme="minorHAnsi"/>
        </w:rPr>
      </w:pPr>
      <w:r>
        <w:rPr>
          <w:rFonts w:cstheme="minorHAnsi"/>
        </w:rPr>
        <w:t>The end (r</w:t>
      </w:r>
      <w:r w:rsidR="00E0619C">
        <w:rPr>
          <w:rFonts w:cstheme="minorHAnsi"/>
        </w:rPr>
        <w:t>esol</w:t>
      </w:r>
      <w:r w:rsidR="002B4815">
        <w:rPr>
          <w:rFonts w:cstheme="minorHAnsi"/>
        </w:rPr>
        <w:t>ution</w:t>
      </w:r>
      <w:r>
        <w:rPr>
          <w:rFonts w:cstheme="minorHAnsi"/>
        </w:rPr>
        <w:t>)</w:t>
      </w:r>
      <w:r w:rsidR="002B4815">
        <w:rPr>
          <w:rFonts w:cstheme="minorHAnsi"/>
        </w:rPr>
        <w:t xml:space="preserve"> of the ectopic pregnancy – either when serum hCG levels return </w:t>
      </w:r>
      <w:r w:rsidR="002B4815" w:rsidRPr="002E0FDB">
        <w:rPr>
          <w:rFonts w:cstheme="minorHAnsi"/>
        </w:rPr>
        <w:t xml:space="preserve">to </w:t>
      </w:r>
      <w:r w:rsidR="002B6357" w:rsidRPr="002E0FDB">
        <w:rPr>
          <w:rFonts w:cstheme="minorHAnsi"/>
        </w:rPr>
        <w:t>&lt;5</w:t>
      </w:r>
      <w:r w:rsidR="002E0FDB" w:rsidRPr="002E0FDB">
        <w:rPr>
          <w:rFonts w:cstheme="minorHAnsi"/>
        </w:rPr>
        <w:t xml:space="preserve"> IU/L</w:t>
      </w:r>
      <w:r w:rsidR="002B4815" w:rsidRPr="002E0FDB">
        <w:rPr>
          <w:rFonts w:cstheme="minorHAnsi"/>
        </w:rPr>
        <w:t xml:space="preserve"> or</w:t>
      </w:r>
      <w:r w:rsidR="00044440" w:rsidRPr="002E0FDB">
        <w:rPr>
          <w:rFonts w:cstheme="minorHAnsi"/>
        </w:rPr>
        <w:t xml:space="preserve"> </w:t>
      </w:r>
      <w:r w:rsidR="00044440">
        <w:rPr>
          <w:rFonts w:cstheme="minorHAnsi"/>
        </w:rPr>
        <w:t>when</w:t>
      </w:r>
      <w:r w:rsidR="009D4337">
        <w:rPr>
          <w:rFonts w:cstheme="minorHAnsi"/>
        </w:rPr>
        <w:t xml:space="preserve"> the pregnancy</w:t>
      </w:r>
      <w:r w:rsidR="002B4815">
        <w:rPr>
          <w:rFonts w:cstheme="minorHAnsi"/>
        </w:rPr>
        <w:t xml:space="preserve"> is surgically excised.</w:t>
      </w:r>
    </w:p>
    <w:p w14:paraId="5653BD72" w14:textId="77777777" w:rsidR="00B964A7" w:rsidRDefault="00B964A7" w:rsidP="00B964A7">
      <w:pPr>
        <w:tabs>
          <w:tab w:val="left" w:pos="2925"/>
        </w:tabs>
        <w:rPr>
          <w:rFonts w:cstheme="minorHAnsi"/>
          <w:i/>
          <w:color w:val="FF0000"/>
        </w:rPr>
      </w:pPr>
    </w:p>
    <w:p w14:paraId="1F593D71" w14:textId="77777777" w:rsidR="00F5300A" w:rsidRPr="006F43F6" w:rsidRDefault="00F5300A" w:rsidP="00B964A7">
      <w:pPr>
        <w:tabs>
          <w:tab w:val="left" w:pos="2925"/>
        </w:tabs>
        <w:rPr>
          <w:rFonts w:cstheme="minorHAnsi"/>
          <w:i/>
          <w:color w:val="FF0000"/>
        </w:rPr>
      </w:pPr>
    </w:p>
    <w:p w14:paraId="6597A224" w14:textId="77777777" w:rsidR="00B964A7" w:rsidRPr="009C75B9" w:rsidRDefault="00B964A7" w:rsidP="00127972">
      <w:pPr>
        <w:pStyle w:val="ListParagraph"/>
        <w:numPr>
          <w:ilvl w:val="2"/>
          <w:numId w:val="1"/>
        </w:numPr>
        <w:tabs>
          <w:tab w:val="left" w:pos="2925"/>
        </w:tabs>
        <w:outlineLvl w:val="2"/>
        <w:rPr>
          <w:rFonts w:cstheme="minorHAnsi"/>
          <w:b/>
        </w:rPr>
      </w:pPr>
      <w:bookmarkStart w:id="51" w:name="_Toc473873071"/>
      <w:bookmarkStart w:id="52" w:name="_Toc489888064"/>
      <w:r w:rsidRPr="009C75B9">
        <w:rPr>
          <w:rFonts w:cstheme="minorHAnsi"/>
          <w:b/>
        </w:rPr>
        <w:lastRenderedPageBreak/>
        <w:t>Secondary endpoints</w:t>
      </w:r>
      <w:bookmarkEnd w:id="51"/>
      <w:bookmarkEnd w:id="52"/>
      <w:r w:rsidRPr="009C75B9">
        <w:rPr>
          <w:rFonts w:cstheme="minorHAnsi"/>
          <w:b/>
        </w:rPr>
        <w:tab/>
      </w:r>
    </w:p>
    <w:p w14:paraId="05343638" w14:textId="77777777" w:rsidR="00B964A7" w:rsidRPr="009C75B9" w:rsidRDefault="00B964A7" w:rsidP="00B964A7">
      <w:pPr>
        <w:rPr>
          <w:rFonts w:cstheme="minorHAnsi"/>
          <w:u w:val="single"/>
        </w:rPr>
      </w:pPr>
      <w:r w:rsidRPr="009C75B9">
        <w:rPr>
          <w:rFonts w:cstheme="minorHAnsi"/>
          <w:u w:val="single"/>
        </w:rPr>
        <w:t>Laboratory endpoints/measures of interest:</w:t>
      </w:r>
    </w:p>
    <w:p w14:paraId="3F10AE7A" w14:textId="77777777" w:rsidR="00B964A7" w:rsidRPr="009C75B9" w:rsidRDefault="00B964A7" w:rsidP="00B964A7">
      <w:pPr>
        <w:pStyle w:val="ListParagraph"/>
        <w:numPr>
          <w:ilvl w:val="0"/>
          <w:numId w:val="28"/>
        </w:numPr>
        <w:rPr>
          <w:rFonts w:cstheme="minorHAnsi"/>
        </w:rPr>
      </w:pPr>
      <w:r w:rsidRPr="009C75B9">
        <w:rPr>
          <w:rFonts w:cstheme="minorHAnsi"/>
        </w:rPr>
        <w:t>Serum biomarke</w:t>
      </w:r>
      <w:r w:rsidR="00980B79" w:rsidRPr="009C75B9">
        <w:rPr>
          <w:rFonts w:cstheme="minorHAnsi"/>
        </w:rPr>
        <w:t>rs of ectopic pregnancy</w:t>
      </w:r>
      <w:r w:rsidRPr="009C75B9">
        <w:rPr>
          <w:rFonts w:cstheme="minorHAnsi"/>
        </w:rPr>
        <w:t xml:space="preserve"> during disease progression</w:t>
      </w:r>
      <w:r w:rsidR="00980B79" w:rsidRPr="009C75B9">
        <w:rPr>
          <w:rFonts w:cstheme="minorHAnsi"/>
        </w:rPr>
        <w:t xml:space="preserve"> (serial hCG measurements)</w:t>
      </w:r>
    </w:p>
    <w:p w14:paraId="7E0257A2" w14:textId="77777777" w:rsidR="00B964A7" w:rsidRPr="009C75B9" w:rsidRDefault="00980B79" w:rsidP="00B964A7">
      <w:pPr>
        <w:pStyle w:val="ListParagraph"/>
        <w:numPr>
          <w:ilvl w:val="0"/>
          <w:numId w:val="28"/>
        </w:numPr>
        <w:rPr>
          <w:rFonts w:cstheme="minorHAnsi"/>
        </w:rPr>
      </w:pPr>
      <w:r w:rsidRPr="009C75B9">
        <w:rPr>
          <w:rFonts w:cstheme="minorHAnsi"/>
        </w:rPr>
        <w:t>Biochemical indices</w:t>
      </w:r>
      <w:r w:rsidR="00012E98">
        <w:rPr>
          <w:rFonts w:cstheme="minorHAnsi"/>
        </w:rPr>
        <w:t xml:space="preserve"> of liver and renal function (Urea and Electrolytes (U&amp;Es)</w:t>
      </w:r>
      <w:r w:rsidRPr="009C75B9">
        <w:rPr>
          <w:rFonts w:cstheme="minorHAnsi"/>
        </w:rPr>
        <w:t xml:space="preserve"> and</w:t>
      </w:r>
      <w:r w:rsidR="00F00120">
        <w:rPr>
          <w:rFonts w:cstheme="minorHAnsi"/>
        </w:rPr>
        <w:t xml:space="preserve"> </w:t>
      </w:r>
      <w:r w:rsidR="00012E98">
        <w:rPr>
          <w:rFonts w:cstheme="minorHAnsi"/>
        </w:rPr>
        <w:t>Liver Function Tests</w:t>
      </w:r>
      <w:r w:rsidRPr="009C75B9">
        <w:rPr>
          <w:rFonts w:cstheme="minorHAnsi"/>
        </w:rPr>
        <w:t xml:space="preserve"> </w:t>
      </w:r>
      <w:r w:rsidR="00012E98">
        <w:rPr>
          <w:rFonts w:cstheme="minorHAnsi"/>
        </w:rPr>
        <w:t>(</w:t>
      </w:r>
      <w:r w:rsidRPr="009C75B9">
        <w:rPr>
          <w:rFonts w:cstheme="minorHAnsi"/>
        </w:rPr>
        <w:t>LFTs</w:t>
      </w:r>
      <w:r w:rsidR="00012E98">
        <w:rPr>
          <w:rFonts w:cstheme="minorHAnsi"/>
        </w:rPr>
        <w:t>)</w:t>
      </w:r>
      <w:r w:rsidRPr="009C75B9">
        <w:rPr>
          <w:rFonts w:cstheme="minorHAnsi"/>
        </w:rPr>
        <w:t>)</w:t>
      </w:r>
    </w:p>
    <w:p w14:paraId="3AE8CF79" w14:textId="77777777" w:rsidR="00980B79" w:rsidRPr="009C75B9" w:rsidRDefault="00980B79" w:rsidP="00B964A7">
      <w:pPr>
        <w:pStyle w:val="ListParagraph"/>
        <w:numPr>
          <w:ilvl w:val="0"/>
          <w:numId w:val="28"/>
        </w:numPr>
        <w:rPr>
          <w:rFonts w:cstheme="minorHAnsi"/>
        </w:rPr>
      </w:pPr>
      <w:r w:rsidRPr="009C75B9">
        <w:rPr>
          <w:rFonts w:cstheme="minorHAnsi"/>
        </w:rPr>
        <w:t>Measures of</w:t>
      </w:r>
      <w:r w:rsidR="00512E77">
        <w:rPr>
          <w:rFonts w:cstheme="minorHAnsi"/>
        </w:rPr>
        <w:t xml:space="preserve"> haematological</w:t>
      </w:r>
      <w:r w:rsidRPr="009C75B9">
        <w:rPr>
          <w:rFonts w:cstheme="minorHAnsi"/>
        </w:rPr>
        <w:t xml:space="preserve"> toxicity (e.g. neutr</w:t>
      </w:r>
      <w:r w:rsidR="00F00120">
        <w:rPr>
          <w:rFonts w:cstheme="minorHAnsi"/>
        </w:rPr>
        <w:t>opaenia</w:t>
      </w:r>
      <w:r w:rsidRPr="009C75B9">
        <w:rPr>
          <w:rFonts w:cstheme="minorHAnsi"/>
        </w:rPr>
        <w:t>) on FBE</w:t>
      </w:r>
    </w:p>
    <w:p w14:paraId="106C24E9" w14:textId="77777777" w:rsidR="00B964A7" w:rsidRPr="00B736E6" w:rsidRDefault="00B964A7" w:rsidP="00B964A7">
      <w:pPr>
        <w:rPr>
          <w:rFonts w:cstheme="minorHAnsi"/>
          <w:u w:val="single"/>
        </w:rPr>
      </w:pPr>
      <w:r w:rsidRPr="00B736E6">
        <w:rPr>
          <w:rFonts w:cstheme="minorHAnsi"/>
          <w:u w:val="single"/>
        </w:rPr>
        <w:t>Clinical endpoints/measures of interest:</w:t>
      </w:r>
    </w:p>
    <w:p w14:paraId="1FD0AADB" w14:textId="77777777" w:rsidR="00B964A7" w:rsidRPr="00B736E6" w:rsidRDefault="00B964A7" w:rsidP="00B964A7">
      <w:pPr>
        <w:pStyle w:val="ListParagraph"/>
        <w:numPr>
          <w:ilvl w:val="0"/>
          <w:numId w:val="27"/>
        </w:numPr>
        <w:rPr>
          <w:rFonts w:cstheme="minorHAnsi"/>
        </w:rPr>
      </w:pPr>
      <w:r w:rsidRPr="00B736E6">
        <w:rPr>
          <w:rFonts w:cstheme="minorHAnsi"/>
        </w:rPr>
        <w:t>Adverse Events (AEs) in</w:t>
      </w:r>
      <w:r w:rsidR="00980B79" w:rsidRPr="00B736E6">
        <w:rPr>
          <w:rFonts w:cstheme="minorHAnsi"/>
        </w:rPr>
        <w:t xml:space="preserve"> the participants</w:t>
      </w:r>
      <w:r w:rsidRPr="00B736E6">
        <w:rPr>
          <w:rFonts w:cstheme="minorHAnsi"/>
        </w:rPr>
        <w:t xml:space="preserve"> </w:t>
      </w:r>
    </w:p>
    <w:p w14:paraId="23374D7B" w14:textId="77777777" w:rsidR="00B964A7" w:rsidRDefault="00B964A7" w:rsidP="00B964A7">
      <w:pPr>
        <w:pStyle w:val="ListParagraph"/>
        <w:numPr>
          <w:ilvl w:val="0"/>
          <w:numId w:val="27"/>
        </w:numPr>
        <w:rPr>
          <w:rFonts w:cstheme="minorHAnsi"/>
        </w:rPr>
      </w:pPr>
      <w:r w:rsidRPr="00B736E6">
        <w:rPr>
          <w:rFonts w:cstheme="minorHAnsi"/>
        </w:rPr>
        <w:t>Time (days</w:t>
      </w:r>
      <w:r w:rsidR="00A46DC3">
        <w:rPr>
          <w:rFonts w:cstheme="minorHAnsi"/>
        </w:rPr>
        <w:t>/weeks</w:t>
      </w:r>
      <w:r w:rsidRPr="00B736E6">
        <w:rPr>
          <w:rFonts w:cstheme="minorHAnsi"/>
        </w:rPr>
        <w:t xml:space="preserve">) to </w:t>
      </w:r>
      <w:r w:rsidR="00B736E6" w:rsidRPr="00B736E6">
        <w:rPr>
          <w:rFonts w:cstheme="minorHAnsi"/>
        </w:rPr>
        <w:t>resolution of ectopic pregnancy following</w:t>
      </w:r>
      <w:r w:rsidR="00932FC8">
        <w:rPr>
          <w:rFonts w:cstheme="minorHAnsi"/>
        </w:rPr>
        <w:t xml:space="preserve"> administration of vinorelbine</w:t>
      </w:r>
    </w:p>
    <w:p w14:paraId="1BA42AD2" w14:textId="77777777" w:rsidR="00B964A7" w:rsidRPr="00B736E6" w:rsidRDefault="00B736E6" w:rsidP="00B736E6">
      <w:pPr>
        <w:pStyle w:val="ListParagraph"/>
        <w:numPr>
          <w:ilvl w:val="0"/>
          <w:numId w:val="27"/>
        </w:numPr>
        <w:rPr>
          <w:rFonts w:cstheme="minorHAnsi"/>
        </w:rPr>
      </w:pPr>
      <w:r>
        <w:rPr>
          <w:rFonts w:cstheme="minorHAnsi"/>
        </w:rPr>
        <w:t>Incidence of failed medical management reverting to surgical management</w:t>
      </w:r>
    </w:p>
    <w:p w14:paraId="040B8A8B" w14:textId="77777777" w:rsidR="00B964A7" w:rsidRPr="00B736E6" w:rsidRDefault="00A46DC3" w:rsidP="00B964A7">
      <w:pPr>
        <w:pStyle w:val="ListParagraph"/>
        <w:numPr>
          <w:ilvl w:val="0"/>
          <w:numId w:val="27"/>
        </w:numPr>
        <w:rPr>
          <w:rFonts w:cstheme="minorHAnsi"/>
        </w:rPr>
      </w:pPr>
      <w:r>
        <w:rPr>
          <w:rFonts w:cstheme="minorHAnsi"/>
        </w:rPr>
        <w:t xml:space="preserve">Emergence of or </w:t>
      </w:r>
      <w:r w:rsidR="00B736E6">
        <w:rPr>
          <w:rFonts w:cstheme="minorHAnsi"/>
        </w:rPr>
        <w:t xml:space="preserve">change in </w:t>
      </w:r>
      <w:r w:rsidR="00B964A7" w:rsidRPr="00B736E6">
        <w:rPr>
          <w:rFonts w:cstheme="minorHAnsi"/>
        </w:rPr>
        <w:t xml:space="preserve">clinical symptoms of </w:t>
      </w:r>
      <w:r w:rsidR="00B736E6" w:rsidRPr="00B736E6">
        <w:rPr>
          <w:rFonts w:cstheme="minorHAnsi"/>
        </w:rPr>
        <w:t>ectopic pregnancy</w:t>
      </w:r>
      <w:r w:rsidR="00B736E6">
        <w:rPr>
          <w:rFonts w:cstheme="minorHAnsi"/>
        </w:rPr>
        <w:t xml:space="preserve"> (increased pain, hypotension, etc.)</w:t>
      </w:r>
    </w:p>
    <w:p w14:paraId="49CE9837" w14:textId="77777777" w:rsidR="00B964A7" w:rsidRDefault="00B964A7" w:rsidP="00B964A7">
      <w:pPr>
        <w:pStyle w:val="ListParagraph"/>
        <w:numPr>
          <w:ilvl w:val="0"/>
          <w:numId w:val="27"/>
        </w:numPr>
        <w:rPr>
          <w:rFonts w:cstheme="minorHAnsi"/>
        </w:rPr>
      </w:pPr>
      <w:r w:rsidRPr="00B736E6">
        <w:rPr>
          <w:rFonts w:cstheme="minorHAnsi"/>
        </w:rPr>
        <w:t>Acceptability of treatment and side effects to participants</w:t>
      </w:r>
    </w:p>
    <w:p w14:paraId="15B245C8" w14:textId="77777777" w:rsidR="00A46DC3" w:rsidRDefault="00A46DC3" w:rsidP="00B964A7">
      <w:pPr>
        <w:pStyle w:val="ListParagraph"/>
        <w:numPr>
          <w:ilvl w:val="0"/>
          <w:numId w:val="27"/>
        </w:numPr>
        <w:rPr>
          <w:rFonts w:cstheme="minorHAnsi"/>
        </w:rPr>
      </w:pPr>
      <w:r>
        <w:rPr>
          <w:rFonts w:cstheme="minorHAnsi"/>
        </w:rPr>
        <w:t xml:space="preserve">Time (weeks/months) for participants to return to normal menses </w:t>
      </w:r>
    </w:p>
    <w:p w14:paraId="732BCE4A" w14:textId="77777777" w:rsidR="00A46DC3" w:rsidRPr="00B736E6" w:rsidRDefault="00A46DC3" w:rsidP="00B964A7">
      <w:pPr>
        <w:pStyle w:val="ListParagraph"/>
        <w:numPr>
          <w:ilvl w:val="0"/>
          <w:numId w:val="27"/>
        </w:numPr>
        <w:rPr>
          <w:rFonts w:cstheme="minorHAnsi"/>
        </w:rPr>
      </w:pPr>
      <w:r>
        <w:rPr>
          <w:rFonts w:cstheme="minorHAnsi"/>
        </w:rPr>
        <w:t xml:space="preserve">Subsequent fertility, pregnancy and birth outcomes for participants </w:t>
      </w:r>
    </w:p>
    <w:p w14:paraId="7295D568" w14:textId="77777777" w:rsidR="00B964A7" w:rsidRPr="00FA7DCA" w:rsidRDefault="00B964A7" w:rsidP="00B964A7">
      <w:pPr>
        <w:rPr>
          <w:rFonts w:cstheme="minorHAnsi"/>
          <w:b/>
        </w:rPr>
      </w:pPr>
    </w:p>
    <w:p w14:paraId="7928DF9A" w14:textId="77777777" w:rsidR="00B964A7" w:rsidRPr="00B05FFC" w:rsidRDefault="00B964A7" w:rsidP="00127972">
      <w:pPr>
        <w:pStyle w:val="ListParagraph"/>
        <w:numPr>
          <w:ilvl w:val="0"/>
          <w:numId w:val="1"/>
        </w:numPr>
        <w:outlineLvl w:val="0"/>
        <w:rPr>
          <w:rFonts w:cstheme="minorHAnsi"/>
          <w:b/>
        </w:rPr>
      </w:pPr>
      <w:bookmarkStart w:id="53" w:name="_Toc473873072"/>
      <w:bookmarkStart w:id="54" w:name="_Toc489888065"/>
      <w:r w:rsidRPr="00B05FFC">
        <w:rPr>
          <w:rFonts w:cstheme="minorHAnsi"/>
          <w:b/>
        </w:rPr>
        <w:t>STUDY DESIGN</w:t>
      </w:r>
      <w:bookmarkEnd w:id="53"/>
      <w:bookmarkEnd w:id="54"/>
    </w:p>
    <w:p w14:paraId="30171BA5" w14:textId="77777777" w:rsidR="00B964A7" w:rsidRPr="00E36FFD" w:rsidRDefault="00B964A7" w:rsidP="00B964A7">
      <w:pPr>
        <w:rPr>
          <w:rFonts w:cstheme="minorHAnsi"/>
        </w:rPr>
      </w:pPr>
      <w:r w:rsidRPr="00E36FFD">
        <w:rPr>
          <w:rFonts w:cstheme="minorHAnsi"/>
        </w:rPr>
        <w:t>This study is an early (phase II</w:t>
      </w:r>
      <w:r w:rsidR="00E36FFD" w:rsidRPr="00E36FFD">
        <w:rPr>
          <w:rFonts w:cstheme="minorHAnsi"/>
        </w:rPr>
        <w:t>), unblinded, single-arm, proof-of-</w:t>
      </w:r>
      <w:r w:rsidRPr="00E36FFD">
        <w:rPr>
          <w:rFonts w:cstheme="minorHAnsi"/>
        </w:rPr>
        <w:t>concept clinical intervention tr</w:t>
      </w:r>
      <w:r w:rsidR="00A46DC3" w:rsidRPr="00E36FFD">
        <w:rPr>
          <w:rFonts w:cstheme="minorHAnsi"/>
        </w:rPr>
        <w:t>ial aiming to assess the sa</w:t>
      </w:r>
      <w:r w:rsidR="00A41E7E">
        <w:rPr>
          <w:rFonts w:cstheme="minorHAnsi"/>
        </w:rPr>
        <w:t>fety, toxicity and tolerability</w:t>
      </w:r>
      <w:r w:rsidR="00A46DC3" w:rsidRPr="00E36FFD">
        <w:rPr>
          <w:rFonts w:cstheme="minorHAnsi"/>
        </w:rPr>
        <w:t xml:space="preserve"> </w:t>
      </w:r>
      <w:r w:rsidRPr="00E36FFD">
        <w:rPr>
          <w:rFonts w:cstheme="minorHAnsi"/>
        </w:rPr>
        <w:t>profile</w:t>
      </w:r>
      <w:r w:rsidR="00A46DC3" w:rsidRPr="00E36FFD">
        <w:rPr>
          <w:rFonts w:cstheme="minorHAnsi"/>
        </w:rPr>
        <w:t>s of vinorelbine</w:t>
      </w:r>
      <w:r w:rsidRPr="00E36FFD">
        <w:rPr>
          <w:rFonts w:cstheme="minorHAnsi"/>
        </w:rPr>
        <w:t xml:space="preserve"> as a</w:t>
      </w:r>
      <w:r w:rsidR="00A46DC3" w:rsidRPr="00E36FFD">
        <w:rPr>
          <w:rFonts w:cstheme="minorHAnsi"/>
        </w:rPr>
        <w:t xml:space="preserve"> medical</w:t>
      </w:r>
      <w:r w:rsidRPr="00E36FFD">
        <w:rPr>
          <w:rFonts w:cstheme="minorHAnsi"/>
        </w:rPr>
        <w:t xml:space="preserve"> treatment </w:t>
      </w:r>
      <w:r w:rsidR="00A46DC3" w:rsidRPr="00E36FFD">
        <w:rPr>
          <w:rFonts w:cstheme="minorHAnsi"/>
        </w:rPr>
        <w:t xml:space="preserve">option </w:t>
      </w:r>
      <w:r w:rsidRPr="00E36FFD">
        <w:rPr>
          <w:rFonts w:cstheme="minorHAnsi"/>
        </w:rPr>
        <w:t>for</w:t>
      </w:r>
      <w:r w:rsidR="00E36FFD" w:rsidRPr="00E36FFD">
        <w:rPr>
          <w:rFonts w:cstheme="minorHAnsi"/>
        </w:rPr>
        <w:t xml:space="preserve"> women with</w:t>
      </w:r>
      <w:r w:rsidR="00A46DC3" w:rsidRPr="00E36FFD">
        <w:rPr>
          <w:rFonts w:cstheme="minorHAnsi"/>
        </w:rPr>
        <w:t xml:space="preserve"> stable</w:t>
      </w:r>
      <w:r w:rsidRPr="00E36FFD">
        <w:rPr>
          <w:rFonts w:cstheme="minorHAnsi"/>
        </w:rPr>
        <w:t xml:space="preserve"> </w:t>
      </w:r>
      <w:r w:rsidR="00A46DC3" w:rsidRPr="00E36FFD">
        <w:rPr>
          <w:rFonts w:cstheme="minorHAnsi"/>
        </w:rPr>
        <w:t>ectopic pregnancies.</w:t>
      </w:r>
    </w:p>
    <w:p w14:paraId="018C56CC" w14:textId="77777777" w:rsidR="00B964A7" w:rsidRPr="00E36FFD" w:rsidRDefault="00B964A7" w:rsidP="00B964A7">
      <w:pPr>
        <w:rPr>
          <w:rFonts w:cstheme="minorHAnsi"/>
        </w:rPr>
      </w:pPr>
      <w:r w:rsidRPr="00E36FFD">
        <w:rPr>
          <w:rFonts w:cstheme="minorHAnsi"/>
        </w:rPr>
        <w:t>20 participants with singleton</w:t>
      </w:r>
      <w:r w:rsidR="00E36FFD" w:rsidRPr="00E36FFD">
        <w:rPr>
          <w:rFonts w:cstheme="minorHAnsi"/>
        </w:rPr>
        <w:t>, tubular ectopic pregnancies</w:t>
      </w:r>
      <w:r w:rsidRPr="00E36FFD">
        <w:rPr>
          <w:rFonts w:cstheme="minorHAnsi"/>
        </w:rPr>
        <w:t xml:space="preserve"> </w:t>
      </w:r>
      <w:r w:rsidR="00E36FFD" w:rsidRPr="00E36FFD">
        <w:rPr>
          <w:rFonts w:cstheme="minorHAnsi"/>
        </w:rPr>
        <w:t>will be recruited over a</w:t>
      </w:r>
      <w:r w:rsidR="001C1FAF">
        <w:rPr>
          <w:rFonts w:cstheme="minorHAnsi"/>
        </w:rPr>
        <w:t>n estimated</w:t>
      </w:r>
      <w:r w:rsidR="00E36FFD" w:rsidRPr="00E36FFD">
        <w:rPr>
          <w:rFonts w:cstheme="minorHAnsi"/>
        </w:rPr>
        <w:t xml:space="preserve"> 12-18 month period from the EPC at North Shore Hospital in Auckland</w:t>
      </w:r>
      <w:r w:rsidRPr="00E36FFD">
        <w:rPr>
          <w:rFonts w:cstheme="minorHAnsi"/>
        </w:rPr>
        <w:t xml:space="preserve">. </w:t>
      </w:r>
    </w:p>
    <w:p w14:paraId="7FEA7904" w14:textId="3A50D93C" w:rsidR="008567E3" w:rsidRPr="007134C9" w:rsidRDefault="00B964A7" w:rsidP="00B964A7">
      <w:pPr>
        <w:rPr>
          <w:rFonts w:cstheme="minorHAnsi"/>
        </w:rPr>
      </w:pPr>
      <w:r w:rsidRPr="007134C9">
        <w:rPr>
          <w:rFonts w:cstheme="minorHAnsi"/>
        </w:rPr>
        <w:t xml:space="preserve">All recruited participants will receive </w:t>
      </w:r>
      <w:r w:rsidR="008567E3" w:rsidRPr="007134C9">
        <w:rPr>
          <w:rFonts w:cstheme="minorHAnsi"/>
        </w:rPr>
        <w:t>an initial dose of 60mg/m² of oral vinorelbine</w:t>
      </w:r>
      <w:r w:rsidRPr="007134C9">
        <w:rPr>
          <w:rFonts w:cstheme="minorHAnsi"/>
        </w:rPr>
        <w:t>.</w:t>
      </w:r>
      <w:r w:rsidR="008567E3" w:rsidRPr="007134C9">
        <w:rPr>
          <w:rFonts w:cstheme="minorHAnsi"/>
        </w:rPr>
        <w:t xml:space="preserve"> Participants will receive a second, identical dose one week later.</w:t>
      </w:r>
      <w:r w:rsidRPr="007134C9">
        <w:rPr>
          <w:rFonts w:cstheme="minorHAnsi"/>
        </w:rPr>
        <w:t xml:space="preserve"> </w:t>
      </w:r>
      <w:r w:rsidR="006861D5">
        <w:rPr>
          <w:rFonts w:cstheme="minorHAnsi"/>
        </w:rPr>
        <w:t xml:space="preserve"> The dose will be rounded to the nearest whole </w:t>
      </w:r>
      <w:r w:rsidR="006861D5" w:rsidRPr="00A073BE">
        <w:rPr>
          <w:rFonts w:cstheme="minorHAnsi"/>
        </w:rPr>
        <w:t>number</w:t>
      </w:r>
      <w:r w:rsidR="009E3D46" w:rsidRPr="00A073BE">
        <w:rPr>
          <w:rFonts w:cstheme="minorHAnsi"/>
        </w:rPr>
        <w:t xml:space="preserve">. The tablets </w:t>
      </w:r>
      <w:r w:rsidR="00A74A3E" w:rsidRPr="00A073BE">
        <w:rPr>
          <w:rFonts w:cstheme="minorHAnsi"/>
        </w:rPr>
        <w:t xml:space="preserve">are available in 20 mg and 30 mg preparations in New Zealand (see </w:t>
      </w:r>
      <w:r w:rsidR="00A74A3E" w:rsidRPr="00A073BE">
        <w:rPr>
          <w:rFonts w:cstheme="minorHAnsi"/>
          <w:i/>
        </w:rPr>
        <w:t>Appendix 1</w:t>
      </w:r>
      <w:r w:rsidR="00A74A3E" w:rsidRPr="00A073BE">
        <w:rPr>
          <w:rFonts w:cstheme="minorHAnsi"/>
        </w:rPr>
        <w:t>)</w:t>
      </w:r>
      <w:r w:rsidR="009E3D46" w:rsidRPr="00A073BE">
        <w:rPr>
          <w:rFonts w:cstheme="minorHAnsi"/>
        </w:rPr>
        <w:t>.</w:t>
      </w:r>
    </w:p>
    <w:p w14:paraId="61319566" w14:textId="7E49B282" w:rsidR="00B964A7" w:rsidRPr="007134C9" w:rsidRDefault="00B964A7" w:rsidP="00B964A7">
      <w:pPr>
        <w:rPr>
          <w:rFonts w:cstheme="minorHAnsi"/>
        </w:rPr>
      </w:pPr>
      <w:r w:rsidRPr="007134C9">
        <w:rPr>
          <w:rFonts w:cstheme="minorHAnsi"/>
        </w:rPr>
        <w:t xml:space="preserve">The following </w:t>
      </w:r>
      <w:r w:rsidR="00601450">
        <w:rPr>
          <w:rFonts w:cstheme="minorHAnsi"/>
        </w:rPr>
        <w:t>treatment and pathology collection schedule will be followed</w:t>
      </w:r>
      <w:r w:rsidR="007134C9" w:rsidRPr="007134C9">
        <w:rPr>
          <w:rFonts w:cstheme="minorHAnsi"/>
        </w:rPr>
        <w:t xml:space="preserve"> </w:t>
      </w:r>
      <w:r w:rsidR="007134C9">
        <w:rPr>
          <w:rFonts w:cstheme="minorHAnsi"/>
        </w:rPr>
        <w:t>during</w:t>
      </w:r>
      <w:r w:rsidR="007134C9" w:rsidRPr="007134C9">
        <w:rPr>
          <w:rFonts w:cstheme="minorHAnsi"/>
        </w:rPr>
        <w:t xml:space="preserve"> </w:t>
      </w:r>
      <w:r w:rsidR="007134C9">
        <w:rPr>
          <w:rFonts w:cstheme="minorHAnsi"/>
        </w:rPr>
        <w:t xml:space="preserve">the course of </w:t>
      </w:r>
      <w:r w:rsidR="007134C9" w:rsidRPr="007134C9">
        <w:rPr>
          <w:rFonts w:cstheme="minorHAnsi"/>
        </w:rPr>
        <w:t>participants’ trea</w:t>
      </w:r>
      <w:r w:rsidR="007134C9">
        <w:rPr>
          <w:rFonts w:cstheme="minorHAnsi"/>
        </w:rPr>
        <w:t>tment of their ectopic pregnancies</w:t>
      </w:r>
      <w:r w:rsidRPr="007134C9">
        <w:rPr>
          <w:rFonts w:cstheme="minorHAnsi"/>
        </w:rPr>
        <w:t xml:space="preserve">: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96"/>
        <w:gridCol w:w="253"/>
      </w:tblGrid>
      <w:tr w:rsidR="00590E79" w14:paraId="21E172AB" w14:textId="77777777" w:rsidTr="005B78AB">
        <w:trPr>
          <w:jc w:val="center"/>
        </w:trPr>
        <w:tc>
          <w:tcPr>
            <w:tcW w:w="4503" w:type="dxa"/>
          </w:tcPr>
          <w:p w14:paraId="5286524F" w14:textId="6B5C1A32" w:rsidR="00590E79" w:rsidRDefault="005B5348" w:rsidP="00B964A7">
            <w:pPr>
              <w:pStyle w:val="ListParagraph"/>
              <w:ind w:left="0"/>
              <w:rPr>
                <w:rFonts w:cstheme="minorHAnsi"/>
                <w:u w:val="single"/>
              </w:rPr>
            </w:pPr>
            <w:r>
              <w:rPr>
                <w:noProof/>
                <w:lang w:val="en-US"/>
              </w:rPr>
              <w:lastRenderedPageBreak/>
              <w:drawing>
                <wp:inline distT="0" distB="0" distL="0" distR="0" wp14:anchorId="4765EFD7" wp14:editId="28B90571">
                  <wp:extent cx="5673823" cy="6275851"/>
                  <wp:effectExtent l="50800" t="25400" r="41275" b="48895"/>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tc>
        <w:tc>
          <w:tcPr>
            <w:tcW w:w="4326" w:type="dxa"/>
            <w:vMerge w:val="restart"/>
            <w:vAlign w:val="center"/>
          </w:tcPr>
          <w:p w14:paraId="13403943" w14:textId="77777777" w:rsidR="00590E79" w:rsidRPr="00590E79" w:rsidRDefault="00590E79" w:rsidP="00590E79">
            <w:pPr>
              <w:pStyle w:val="ListParagraph"/>
              <w:ind w:left="0"/>
              <w:jc w:val="center"/>
              <w:rPr>
                <w:rFonts w:cstheme="minorHAnsi"/>
                <w:i/>
                <w:sz w:val="18"/>
                <w:szCs w:val="18"/>
                <w:u w:val="single"/>
              </w:rPr>
            </w:pPr>
          </w:p>
        </w:tc>
      </w:tr>
      <w:tr w:rsidR="00590E79" w14:paraId="7F3DBDB3" w14:textId="77777777" w:rsidTr="00601450">
        <w:trPr>
          <w:jc w:val="center"/>
        </w:trPr>
        <w:tc>
          <w:tcPr>
            <w:tcW w:w="4503" w:type="dxa"/>
            <w:tcBorders>
              <w:bottom w:val="single" w:sz="4" w:space="0" w:color="auto"/>
            </w:tcBorders>
          </w:tcPr>
          <w:p w14:paraId="55A636AE" w14:textId="77777777" w:rsidR="00590E79" w:rsidRDefault="00590E79" w:rsidP="00B964A7">
            <w:pPr>
              <w:pStyle w:val="ListParagraph"/>
              <w:ind w:left="0"/>
              <w:rPr>
                <w:rFonts w:cstheme="minorHAnsi"/>
                <w:u w:val="single"/>
              </w:rPr>
            </w:pPr>
          </w:p>
        </w:tc>
        <w:tc>
          <w:tcPr>
            <w:tcW w:w="4326" w:type="dxa"/>
            <w:vMerge/>
          </w:tcPr>
          <w:p w14:paraId="648C8E58" w14:textId="77777777" w:rsidR="00590E79" w:rsidRDefault="00590E79" w:rsidP="00B964A7">
            <w:pPr>
              <w:pStyle w:val="ListParagraph"/>
              <w:ind w:left="0"/>
              <w:rPr>
                <w:rFonts w:cstheme="minorHAnsi"/>
                <w:u w:val="single"/>
              </w:rPr>
            </w:pPr>
          </w:p>
        </w:tc>
      </w:tr>
      <w:tr w:rsidR="00590E79" w14:paraId="2944C8FB" w14:textId="77777777" w:rsidTr="00601450">
        <w:trPr>
          <w:jc w:val="center"/>
        </w:trPr>
        <w:tc>
          <w:tcPr>
            <w:tcW w:w="4503" w:type="dxa"/>
            <w:tcBorders>
              <w:top w:val="single" w:sz="4" w:space="0" w:color="auto"/>
              <w:left w:val="single" w:sz="4" w:space="0" w:color="auto"/>
              <w:bottom w:val="single" w:sz="4" w:space="0" w:color="auto"/>
              <w:right w:val="single" w:sz="4" w:space="0" w:color="auto"/>
            </w:tcBorders>
          </w:tcPr>
          <w:p w14:paraId="616BED67" w14:textId="6A4D8A03" w:rsidR="00590E79" w:rsidRPr="00601450" w:rsidRDefault="00601450" w:rsidP="00601450">
            <w:pPr>
              <w:pStyle w:val="ListParagraph"/>
              <w:ind w:left="0"/>
              <w:rPr>
                <w:rFonts w:cstheme="minorHAnsi"/>
                <w:i/>
                <w:sz w:val="20"/>
                <w:szCs w:val="20"/>
              </w:rPr>
            </w:pPr>
            <w:r w:rsidRPr="00601450">
              <w:rPr>
                <w:rFonts w:cstheme="minorHAnsi"/>
                <w:i/>
                <w:sz w:val="20"/>
                <w:szCs w:val="20"/>
              </w:rPr>
              <w:t xml:space="preserve">*Note: the treatment schedule above mirrors normal clinical management of women undergoing medical management of an ectopic pregnancy, with the exception of </w:t>
            </w:r>
            <w:r w:rsidR="00E808DB">
              <w:rPr>
                <w:rFonts w:cstheme="minorHAnsi"/>
                <w:i/>
                <w:sz w:val="20"/>
                <w:szCs w:val="20"/>
              </w:rPr>
              <w:t>some protocol-specific blood tests</w:t>
            </w:r>
            <w:r w:rsidRPr="00601450">
              <w:rPr>
                <w:rFonts w:cstheme="minorHAnsi"/>
                <w:i/>
                <w:sz w:val="20"/>
                <w:szCs w:val="20"/>
              </w:rPr>
              <w:t xml:space="preserve"> </w:t>
            </w:r>
            <w:r w:rsidR="00E808DB">
              <w:rPr>
                <w:rFonts w:cstheme="minorHAnsi"/>
                <w:i/>
                <w:sz w:val="20"/>
                <w:szCs w:val="20"/>
              </w:rPr>
              <w:t>(</w:t>
            </w:r>
            <w:r w:rsidRPr="00601450">
              <w:rPr>
                <w:rFonts w:cstheme="minorHAnsi"/>
                <w:i/>
                <w:sz w:val="20"/>
                <w:szCs w:val="20"/>
              </w:rPr>
              <w:t>FBE, U</w:t>
            </w:r>
            <w:r w:rsidR="00E808DB">
              <w:rPr>
                <w:rFonts w:cstheme="minorHAnsi"/>
                <w:i/>
                <w:sz w:val="20"/>
                <w:szCs w:val="20"/>
              </w:rPr>
              <w:t>&amp;Es and LFTs collected on Day 4</w:t>
            </w:r>
            <w:r w:rsidRPr="00601450">
              <w:rPr>
                <w:rFonts w:cstheme="minorHAnsi"/>
                <w:i/>
                <w:sz w:val="20"/>
                <w:szCs w:val="20"/>
              </w:rPr>
              <w:t xml:space="preserve"> and the potential additional serum hCG level on Day 11</w:t>
            </w:r>
            <w:r w:rsidR="00E808DB">
              <w:rPr>
                <w:rFonts w:cstheme="minorHAnsi"/>
                <w:i/>
                <w:sz w:val="20"/>
                <w:szCs w:val="20"/>
              </w:rPr>
              <w:t>)</w:t>
            </w:r>
            <w:r w:rsidRPr="00601450">
              <w:rPr>
                <w:rFonts w:cstheme="minorHAnsi"/>
                <w:i/>
                <w:sz w:val="20"/>
                <w:szCs w:val="20"/>
              </w:rPr>
              <w:t>. These additional tests have been added to the treatment protocol as an extra safeguard for women participating in this study, given that this treatment is still under investigation.</w:t>
            </w:r>
          </w:p>
        </w:tc>
        <w:tc>
          <w:tcPr>
            <w:tcW w:w="4326" w:type="dxa"/>
            <w:vMerge/>
            <w:tcBorders>
              <w:left w:val="single" w:sz="4" w:space="0" w:color="auto"/>
            </w:tcBorders>
          </w:tcPr>
          <w:p w14:paraId="047F78AA" w14:textId="77777777" w:rsidR="00590E79" w:rsidRDefault="00590E79" w:rsidP="00B964A7">
            <w:pPr>
              <w:pStyle w:val="ListParagraph"/>
              <w:ind w:left="0"/>
              <w:rPr>
                <w:rFonts w:cstheme="minorHAnsi"/>
                <w:u w:val="single"/>
              </w:rPr>
            </w:pPr>
          </w:p>
        </w:tc>
      </w:tr>
    </w:tbl>
    <w:p w14:paraId="4EDF1A00" w14:textId="77777777" w:rsidR="00CD50B6" w:rsidRDefault="00CD50B6" w:rsidP="00B964A7">
      <w:pPr>
        <w:pStyle w:val="ListParagraph"/>
        <w:ind w:left="0"/>
        <w:rPr>
          <w:rFonts w:cstheme="minorHAnsi"/>
          <w:color w:val="FF0000"/>
        </w:rPr>
      </w:pPr>
    </w:p>
    <w:p w14:paraId="15E248A1" w14:textId="69550A6D" w:rsidR="00601450" w:rsidRPr="00ED05A7" w:rsidRDefault="002F5285" w:rsidP="00B964A7">
      <w:pPr>
        <w:pStyle w:val="ListParagraph"/>
        <w:ind w:left="0"/>
        <w:rPr>
          <w:rFonts w:cstheme="minorHAnsi"/>
        </w:rPr>
      </w:pPr>
      <w:r w:rsidRPr="00ED05A7">
        <w:rPr>
          <w:rFonts w:cstheme="minorHAnsi"/>
        </w:rPr>
        <w:t>The decision to admit a participant</w:t>
      </w:r>
      <w:r w:rsidR="00366165" w:rsidRPr="00ED05A7">
        <w:rPr>
          <w:rFonts w:cstheme="minorHAnsi"/>
        </w:rPr>
        <w:t xml:space="preserve"> to hospital for inpatient observation, to withdraw a participant from the trial and revert to surgical management, or to continue with medical management will be assessed at every point of contact that the participants have with North Shore Hospital. These decisions will be made by the treating physician in charge of the EPC (Dr Prathima Chowdary or Dr Ngaire Anderson), in consultation with their EPC clinical colleagues (as indicated)</w:t>
      </w:r>
      <w:r w:rsidR="00ED05A7">
        <w:rPr>
          <w:rFonts w:cstheme="minorHAnsi"/>
        </w:rPr>
        <w:t>,</w:t>
      </w:r>
      <w:r w:rsidR="00366165" w:rsidRPr="00ED05A7">
        <w:rPr>
          <w:rFonts w:cstheme="minorHAnsi"/>
        </w:rPr>
        <w:t xml:space="preserve"> and</w:t>
      </w:r>
      <w:r w:rsidR="00ED05A7">
        <w:rPr>
          <w:rFonts w:cstheme="minorHAnsi"/>
        </w:rPr>
        <w:t xml:space="preserve"> following discussion</w:t>
      </w:r>
      <w:r w:rsidR="00366165" w:rsidRPr="00ED05A7">
        <w:rPr>
          <w:rFonts w:cstheme="minorHAnsi"/>
        </w:rPr>
        <w:t xml:space="preserve"> with the</w:t>
      </w:r>
      <w:r w:rsidR="00D86ED7">
        <w:rPr>
          <w:rFonts w:cstheme="minorHAnsi"/>
        </w:rPr>
        <w:t xml:space="preserve"> participant</w:t>
      </w:r>
      <w:r w:rsidR="00366165" w:rsidRPr="00ED05A7">
        <w:rPr>
          <w:rFonts w:cstheme="minorHAnsi"/>
        </w:rPr>
        <w:t xml:space="preserve">. </w:t>
      </w:r>
    </w:p>
    <w:p w14:paraId="0FD89EE1" w14:textId="77777777" w:rsidR="0082381B" w:rsidRPr="00ED05A7" w:rsidRDefault="0082381B" w:rsidP="00B964A7">
      <w:pPr>
        <w:pStyle w:val="ListParagraph"/>
        <w:ind w:left="0"/>
        <w:rPr>
          <w:rFonts w:cstheme="minorHAnsi"/>
        </w:rPr>
      </w:pPr>
    </w:p>
    <w:p w14:paraId="5FF56384" w14:textId="77777777" w:rsidR="00B964A7" w:rsidRPr="00287D2F" w:rsidRDefault="00B964A7" w:rsidP="00B964A7">
      <w:pPr>
        <w:pStyle w:val="ListParagraph"/>
        <w:ind w:left="0"/>
        <w:rPr>
          <w:rFonts w:cstheme="minorHAnsi"/>
        </w:rPr>
      </w:pPr>
      <w:r w:rsidRPr="00287D2F">
        <w:rPr>
          <w:rFonts w:cstheme="minorHAnsi"/>
        </w:rPr>
        <w:t xml:space="preserve">The </w:t>
      </w:r>
      <w:r w:rsidR="00CC2E7A" w:rsidRPr="00287D2F">
        <w:rPr>
          <w:rFonts w:cstheme="minorHAnsi"/>
        </w:rPr>
        <w:t>NSH’s guidelines, protocols and</w:t>
      </w:r>
      <w:r w:rsidRPr="00287D2F">
        <w:rPr>
          <w:rFonts w:cstheme="minorHAnsi"/>
        </w:rPr>
        <w:t xml:space="preserve"> local Standard Operating Procedures (SOP) of </w:t>
      </w:r>
      <w:r w:rsidR="00287D2F">
        <w:rPr>
          <w:rFonts w:cstheme="minorHAnsi"/>
        </w:rPr>
        <w:t xml:space="preserve">the medical </w:t>
      </w:r>
      <w:r w:rsidRPr="00287D2F">
        <w:rPr>
          <w:rFonts w:cstheme="minorHAnsi"/>
        </w:rPr>
        <w:t>mana</w:t>
      </w:r>
      <w:r w:rsidR="00287D2F">
        <w:rPr>
          <w:rFonts w:cstheme="minorHAnsi"/>
        </w:rPr>
        <w:t>gement of</w:t>
      </w:r>
      <w:r w:rsidRPr="00287D2F">
        <w:rPr>
          <w:rFonts w:cstheme="minorHAnsi"/>
        </w:rPr>
        <w:t xml:space="preserve"> </w:t>
      </w:r>
      <w:r w:rsidR="00CC2E7A" w:rsidRPr="00287D2F">
        <w:rPr>
          <w:rFonts w:cstheme="minorHAnsi"/>
        </w:rPr>
        <w:t>women with stable ectopic pregnancies</w:t>
      </w:r>
      <w:r w:rsidRPr="00287D2F">
        <w:rPr>
          <w:rFonts w:cstheme="minorHAnsi"/>
        </w:rPr>
        <w:t xml:space="preserve"> (</w:t>
      </w:r>
      <w:r w:rsidR="00287D2F">
        <w:rPr>
          <w:rFonts w:cstheme="minorHAnsi"/>
        </w:rPr>
        <w:t>including serial blood tests and transvaginal ultrasounds</w:t>
      </w:r>
      <w:r w:rsidRPr="00287D2F">
        <w:rPr>
          <w:rFonts w:cstheme="minorHAnsi"/>
        </w:rPr>
        <w:t>) - or management as otherwis</w:t>
      </w:r>
      <w:r w:rsidR="00287D2F" w:rsidRPr="00287D2F">
        <w:rPr>
          <w:rFonts w:cstheme="minorHAnsi"/>
        </w:rPr>
        <w:t>e ordered by the treating clinicians</w:t>
      </w:r>
      <w:r w:rsidRPr="00287D2F">
        <w:rPr>
          <w:rFonts w:cstheme="minorHAnsi"/>
        </w:rPr>
        <w:t xml:space="preserve"> – will be followed. </w:t>
      </w:r>
    </w:p>
    <w:p w14:paraId="63F79FE9" w14:textId="77777777" w:rsidR="00B964A7" w:rsidRPr="007661FC" w:rsidRDefault="00B964A7" w:rsidP="00B964A7">
      <w:pPr>
        <w:pStyle w:val="ListParagraph"/>
        <w:ind w:left="0"/>
        <w:rPr>
          <w:rFonts w:cstheme="minorHAnsi"/>
          <w:color w:val="FF0000"/>
        </w:rPr>
      </w:pPr>
    </w:p>
    <w:p w14:paraId="2DBE8922" w14:textId="77777777" w:rsidR="00471BF5" w:rsidRPr="00471BF5" w:rsidRDefault="00B964A7" w:rsidP="00B964A7">
      <w:pPr>
        <w:pStyle w:val="ListParagraph"/>
        <w:ind w:left="0"/>
        <w:rPr>
          <w:rFonts w:cstheme="minorHAnsi"/>
        </w:rPr>
      </w:pPr>
      <w:r w:rsidRPr="00471BF5">
        <w:rPr>
          <w:rFonts w:cstheme="minorHAnsi"/>
        </w:rPr>
        <w:t>Partic</w:t>
      </w:r>
      <w:r w:rsidR="00287D2F" w:rsidRPr="00471BF5">
        <w:rPr>
          <w:rFonts w:cstheme="minorHAnsi"/>
        </w:rPr>
        <w:t xml:space="preserve">ipants will be actively monitored by members of the research and EPC teams for signs and </w:t>
      </w:r>
      <w:r w:rsidR="007420D8" w:rsidRPr="00471BF5">
        <w:rPr>
          <w:rFonts w:cstheme="minorHAnsi"/>
        </w:rPr>
        <w:t xml:space="preserve">symptoms of </w:t>
      </w:r>
      <w:r w:rsidR="00287D2F" w:rsidRPr="00471BF5">
        <w:rPr>
          <w:rFonts w:cstheme="minorHAnsi"/>
        </w:rPr>
        <w:t>clinical deterioration</w:t>
      </w:r>
      <w:r w:rsidR="007420D8" w:rsidRPr="00471BF5">
        <w:rPr>
          <w:rFonts w:cstheme="minorHAnsi"/>
        </w:rPr>
        <w:t>, adverse outcomes or possible side-effects of vinorelbine during their</w:t>
      </w:r>
      <w:r w:rsidR="00471BF5" w:rsidRPr="00471BF5">
        <w:rPr>
          <w:rFonts w:cstheme="minorHAnsi"/>
        </w:rPr>
        <w:t xml:space="preserve"> time spent in the EPC. The p</w:t>
      </w:r>
      <w:r w:rsidR="007420D8" w:rsidRPr="00471BF5">
        <w:rPr>
          <w:rFonts w:cstheme="minorHAnsi"/>
        </w:rPr>
        <w:t>articipants</w:t>
      </w:r>
      <w:r w:rsidR="00471BF5" w:rsidRPr="00471BF5">
        <w:rPr>
          <w:rFonts w:cstheme="minorHAnsi"/>
        </w:rPr>
        <w:t>’</w:t>
      </w:r>
      <w:r w:rsidR="007420D8" w:rsidRPr="00471BF5">
        <w:rPr>
          <w:rFonts w:cstheme="minorHAnsi"/>
        </w:rPr>
        <w:t xml:space="preserve"> ongoing willingness to continue with the study will be verbally confirmed at each point of contact with the research team. </w:t>
      </w:r>
    </w:p>
    <w:p w14:paraId="019FAEE1" w14:textId="77777777" w:rsidR="00471BF5" w:rsidRPr="00471BF5" w:rsidRDefault="00471BF5" w:rsidP="00B964A7">
      <w:pPr>
        <w:pStyle w:val="ListParagraph"/>
        <w:ind w:left="0"/>
        <w:rPr>
          <w:rFonts w:cstheme="minorHAnsi"/>
        </w:rPr>
      </w:pPr>
    </w:p>
    <w:p w14:paraId="660492D3" w14:textId="77777777" w:rsidR="00B964A7" w:rsidRPr="00471BF5" w:rsidRDefault="00B964A7" w:rsidP="00B964A7">
      <w:pPr>
        <w:pStyle w:val="ListParagraph"/>
        <w:ind w:left="0"/>
        <w:rPr>
          <w:rFonts w:cstheme="minorHAnsi"/>
        </w:rPr>
      </w:pPr>
      <w:r w:rsidRPr="00471BF5">
        <w:rPr>
          <w:rFonts w:cstheme="minorHAnsi"/>
        </w:rPr>
        <w:t xml:space="preserve">A member of the research team will be on call to attend or for advice relating to concerns raised by the participants or the clinicians providing their direct care. </w:t>
      </w:r>
      <w:r w:rsidR="007420D8" w:rsidRPr="00471BF5">
        <w:rPr>
          <w:rFonts w:cstheme="minorHAnsi"/>
        </w:rPr>
        <w:t>Additionally, participants will be given a 24 hour contact number of the on-call</w:t>
      </w:r>
      <w:r w:rsidR="0072531D">
        <w:rPr>
          <w:rFonts w:cstheme="minorHAnsi"/>
        </w:rPr>
        <w:t xml:space="preserve"> EPC</w:t>
      </w:r>
      <w:r w:rsidR="007420D8" w:rsidRPr="00471BF5">
        <w:rPr>
          <w:rFonts w:cstheme="minorHAnsi"/>
        </w:rPr>
        <w:t xml:space="preserve"> doctor in case of a clinical deterioration outside of hospital, which is a standard safety measure for all </w:t>
      </w:r>
      <w:r w:rsidR="003920DB">
        <w:rPr>
          <w:rFonts w:cstheme="minorHAnsi"/>
        </w:rPr>
        <w:t>women while they are receiving</w:t>
      </w:r>
      <w:r w:rsidR="007420D8" w:rsidRPr="00471BF5">
        <w:rPr>
          <w:rFonts w:cstheme="minorHAnsi"/>
        </w:rPr>
        <w:t xml:space="preserve"> medical</w:t>
      </w:r>
      <w:r w:rsidR="003920DB">
        <w:rPr>
          <w:rFonts w:cstheme="minorHAnsi"/>
        </w:rPr>
        <w:t xml:space="preserve"> or expectant</w:t>
      </w:r>
      <w:r w:rsidR="007420D8" w:rsidRPr="00471BF5">
        <w:rPr>
          <w:rFonts w:cstheme="minorHAnsi"/>
        </w:rPr>
        <w:t xml:space="preserve"> treatment for an ectopic pregnancy.</w:t>
      </w:r>
    </w:p>
    <w:p w14:paraId="5881A57C" w14:textId="77777777" w:rsidR="00471BF5" w:rsidRPr="00471BF5" w:rsidRDefault="00471BF5" w:rsidP="00B964A7">
      <w:pPr>
        <w:pStyle w:val="ListParagraph"/>
        <w:ind w:left="0"/>
        <w:rPr>
          <w:rFonts w:cstheme="minorHAnsi"/>
        </w:rPr>
      </w:pPr>
    </w:p>
    <w:p w14:paraId="00B65C85" w14:textId="77777777" w:rsidR="00471BF5" w:rsidRDefault="00471BF5" w:rsidP="00B964A7">
      <w:pPr>
        <w:pStyle w:val="ListParagraph"/>
        <w:ind w:left="0"/>
        <w:rPr>
          <w:rFonts w:cstheme="minorHAnsi"/>
        </w:rPr>
      </w:pPr>
      <w:r w:rsidRPr="00471BF5">
        <w:rPr>
          <w:rFonts w:cstheme="minorHAnsi"/>
        </w:rPr>
        <w:t>Blood tests and other pathology results</w:t>
      </w:r>
      <w:r w:rsidR="00B964A7" w:rsidRPr="00471BF5">
        <w:rPr>
          <w:rFonts w:cstheme="minorHAnsi"/>
        </w:rPr>
        <w:t xml:space="preserve"> will be monitored </w:t>
      </w:r>
      <w:r w:rsidRPr="00471BF5">
        <w:rPr>
          <w:rFonts w:cstheme="minorHAnsi"/>
        </w:rPr>
        <w:t>by clinicians as a part of routine</w:t>
      </w:r>
      <w:r w:rsidR="00B964A7" w:rsidRPr="00471BF5">
        <w:rPr>
          <w:rFonts w:cstheme="minorHAnsi"/>
        </w:rPr>
        <w:t xml:space="preserve"> care. The researchers will also have access to </w:t>
      </w:r>
      <w:r w:rsidR="00D32E72">
        <w:rPr>
          <w:rFonts w:cstheme="minorHAnsi"/>
        </w:rPr>
        <w:t xml:space="preserve">and review </w:t>
      </w:r>
      <w:r w:rsidR="00B964A7" w:rsidRPr="00471BF5">
        <w:rPr>
          <w:rFonts w:cstheme="minorHAnsi"/>
        </w:rPr>
        <w:t>these routine pathology results – this data forms some of the se</w:t>
      </w:r>
      <w:r>
        <w:rPr>
          <w:rFonts w:cstheme="minorHAnsi"/>
        </w:rPr>
        <w:t xml:space="preserve">condary outcomes of the study. </w:t>
      </w:r>
    </w:p>
    <w:p w14:paraId="6F07FEF4" w14:textId="77777777" w:rsidR="00471BF5" w:rsidRDefault="00471BF5" w:rsidP="00B964A7">
      <w:pPr>
        <w:pStyle w:val="ListParagraph"/>
        <w:ind w:left="0"/>
        <w:rPr>
          <w:rFonts w:cstheme="minorHAnsi"/>
        </w:rPr>
      </w:pPr>
    </w:p>
    <w:p w14:paraId="20CCD007" w14:textId="77777777" w:rsidR="00B964A7" w:rsidRDefault="00287D2F" w:rsidP="00B964A7">
      <w:pPr>
        <w:pStyle w:val="ListParagraph"/>
        <w:ind w:left="0"/>
        <w:rPr>
          <w:rFonts w:cstheme="minorHAnsi"/>
        </w:rPr>
      </w:pPr>
      <w:r w:rsidRPr="00287D2F">
        <w:rPr>
          <w:rFonts w:cstheme="minorHAnsi"/>
        </w:rPr>
        <w:t>A</w:t>
      </w:r>
      <w:r w:rsidR="00B964A7" w:rsidRPr="00287D2F">
        <w:rPr>
          <w:rFonts w:cstheme="minorHAnsi"/>
        </w:rPr>
        <w:t>ny deviations from routine clinical care will be determined by the treating cl</w:t>
      </w:r>
      <w:r w:rsidRPr="00287D2F">
        <w:rPr>
          <w:rFonts w:cstheme="minorHAnsi"/>
        </w:rPr>
        <w:t>inician or unit</w:t>
      </w:r>
      <w:r w:rsidR="00B964A7" w:rsidRPr="00287D2F">
        <w:rPr>
          <w:rFonts w:cstheme="minorHAnsi"/>
        </w:rPr>
        <w:t>. In the case where a member of the research team is also acting as the treating clinician, these decisions will be made in consultation with other m</w:t>
      </w:r>
      <w:r w:rsidRPr="00287D2F">
        <w:rPr>
          <w:rFonts w:cstheme="minorHAnsi"/>
        </w:rPr>
        <w:t>embers of the clinical care team</w:t>
      </w:r>
      <w:r w:rsidR="00B964A7" w:rsidRPr="00287D2F">
        <w:rPr>
          <w:rFonts w:cstheme="minorHAnsi"/>
        </w:rPr>
        <w:t>, with the be</w:t>
      </w:r>
      <w:r w:rsidR="00693F2E">
        <w:rPr>
          <w:rFonts w:cstheme="minorHAnsi"/>
        </w:rPr>
        <w:t xml:space="preserve">st interests of participant </w:t>
      </w:r>
      <w:r w:rsidR="00B964A7" w:rsidRPr="00287D2F">
        <w:rPr>
          <w:rFonts w:cstheme="minorHAnsi"/>
        </w:rPr>
        <w:t>as the paramount consideration.</w:t>
      </w:r>
    </w:p>
    <w:p w14:paraId="6C556572" w14:textId="77777777" w:rsidR="00471BF5" w:rsidRDefault="00471BF5" w:rsidP="00B964A7">
      <w:pPr>
        <w:pStyle w:val="ListParagraph"/>
        <w:ind w:left="0"/>
        <w:rPr>
          <w:rFonts w:cstheme="minorHAnsi"/>
        </w:rPr>
      </w:pPr>
    </w:p>
    <w:p w14:paraId="2321BC81" w14:textId="77777777" w:rsidR="00471BF5" w:rsidRPr="00287D2F" w:rsidRDefault="00471BF5" w:rsidP="00B964A7">
      <w:pPr>
        <w:pStyle w:val="ListParagraph"/>
        <w:ind w:left="0"/>
        <w:rPr>
          <w:rFonts w:cstheme="minorHAnsi"/>
        </w:rPr>
      </w:pPr>
      <w:r>
        <w:rPr>
          <w:rFonts w:cstheme="minorHAnsi"/>
        </w:rPr>
        <w:t>Researchers will contact participants by phone at 3, 6, 12, 18 and 24 months following the completion of their course of vinorelbine to assess for their return to normal menses, to collect subsequent fertility, pregnancy and birth data, and to assess the long-term acceptability of vinorelbine therapy as a medical treatment option for stable ectopic pregnancies.</w:t>
      </w:r>
    </w:p>
    <w:p w14:paraId="60495E87" w14:textId="77777777" w:rsidR="00B964A7" w:rsidRDefault="00B964A7" w:rsidP="00B964A7">
      <w:pPr>
        <w:pStyle w:val="ListParagraph"/>
        <w:ind w:left="0"/>
        <w:rPr>
          <w:rFonts w:cstheme="minorHAnsi"/>
          <w:color w:val="FF0000"/>
        </w:rPr>
      </w:pPr>
    </w:p>
    <w:p w14:paraId="79BC4DB0" w14:textId="77777777" w:rsidR="00CD50B6" w:rsidRPr="007661FC" w:rsidRDefault="00CD50B6" w:rsidP="00B964A7">
      <w:pPr>
        <w:pStyle w:val="ListParagraph"/>
        <w:ind w:left="0"/>
        <w:rPr>
          <w:rFonts w:cstheme="minorHAnsi"/>
          <w:color w:val="FF0000"/>
        </w:rPr>
      </w:pPr>
    </w:p>
    <w:p w14:paraId="47FD4150" w14:textId="77777777" w:rsidR="00B964A7" w:rsidRPr="007661FC" w:rsidRDefault="00B964A7" w:rsidP="00B964A7">
      <w:pPr>
        <w:pStyle w:val="ListParagraph"/>
        <w:ind w:left="0"/>
        <w:rPr>
          <w:color w:val="FF0000"/>
        </w:rPr>
      </w:pPr>
    </w:p>
    <w:p w14:paraId="59BF74F3" w14:textId="77777777" w:rsidR="00B964A7" w:rsidRDefault="00B964A7" w:rsidP="00127972">
      <w:pPr>
        <w:pStyle w:val="ListParagraph"/>
        <w:numPr>
          <w:ilvl w:val="0"/>
          <w:numId w:val="1"/>
        </w:numPr>
        <w:outlineLvl w:val="0"/>
        <w:rPr>
          <w:rFonts w:cstheme="minorHAnsi"/>
          <w:b/>
        </w:rPr>
      </w:pPr>
      <w:bookmarkStart w:id="55" w:name="_Toc473873073"/>
      <w:bookmarkStart w:id="56" w:name="_Toc489888066"/>
      <w:r w:rsidRPr="00B05FFC">
        <w:rPr>
          <w:rFonts w:cstheme="minorHAnsi"/>
          <w:b/>
        </w:rPr>
        <w:t>STUDY POPULATION</w:t>
      </w:r>
      <w:bookmarkEnd w:id="55"/>
      <w:bookmarkEnd w:id="56"/>
    </w:p>
    <w:p w14:paraId="20F674C8" w14:textId="77777777" w:rsidR="00B964A7" w:rsidRPr="001539CC" w:rsidRDefault="00B964A7" w:rsidP="00B964A7">
      <w:pPr>
        <w:pStyle w:val="ListParagraph"/>
        <w:outlineLvl w:val="0"/>
        <w:rPr>
          <w:rFonts w:cstheme="minorHAnsi"/>
          <w:b/>
        </w:rPr>
      </w:pPr>
    </w:p>
    <w:p w14:paraId="29EAE2B7" w14:textId="77777777" w:rsidR="00B964A7" w:rsidRPr="00B05FFC" w:rsidRDefault="00B964A7" w:rsidP="00127972">
      <w:pPr>
        <w:pStyle w:val="ListParagraph"/>
        <w:numPr>
          <w:ilvl w:val="1"/>
          <w:numId w:val="1"/>
        </w:numPr>
        <w:outlineLvl w:val="1"/>
        <w:rPr>
          <w:rFonts w:cstheme="minorHAnsi"/>
          <w:b/>
        </w:rPr>
      </w:pPr>
      <w:bookmarkStart w:id="57" w:name="_Toc473873074"/>
      <w:bookmarkStart w:id="58" w:name="_Toc489888067"/>
      <w:r w:rsidRPr="00B05FFC">
        <w:rPr>
          <w:rFonts w:cstheme="minorHAnsi"/>
          <w:b/>
        </w:rPr>
        <w:t>NUMBER OF PARTICIPANTS</w:t>
      </w:r>
      <w:bookmarkEnd w:id="57"/>
      <w:bookmarkEnd w:id="58"/>
    </w:p>
    <w:p w14:paraId="330859F4" w14:textId="77777777" w:rsidR="00B964A7" w:rsidRPr="004E3F12" w:rsidRDefault="00B964A7" w:rsidP="00B964A7">
      <w:pPr>
        <w:pStyle w:val="MediumGrid21"/>
        <w:spacing w:line="276" w:lineRule="auto"/>
        <w:rPr>
          <w:rFonts w:asciiTheme="minorHAnsi" w:hAnsiTheme="minorHAnsi" w:cstheme="minorHAnsi"/>
        </w:rPr>
      </w:pPr>
      <w:r>
        <w:rPr>
          <w:rFonts w:asciiTheme="minorHAnsi" w:hAnsiTheme="minorHAnsi" w:cstheme="minorHAnsi"/>
        </w:rPr>
        <w:t>The researchers plan</w:t>
      </w:r>
      <w:r w:rsidRPr="00A47DA5">
        <w:rPr>
          <w:rFonts w:asciiTheme="minorHAnsi" w:hAnsiTheme="minorHAnsi" w:cstheme="minorHAnsi"/>
        </w:rPr>
        <w:t xml:space="preserve"> to recruit 20</w:t>
      </w:r>
      <w:r>
        <w:rPr>
          <w:rFonts w:asciiTheme="minorHAnsi" w:hAnsiTheme="minorHAnsi" w:cstheme="minorHAnsi"/>
        </w:rPr>
        <w:t xml:space="preserve"> </w:t>
      </w:r>
      <w:r w:rsidR="007661FC">
        <w:rPr>
          <w:rFonts w:asciiTheme="minorHAnsi" w:hAnsiTheme="minorHAnsi" w:cstheme="minorHAnsi"/>
        </w:rPr>
        <w:t xml:space="preserve">women with stable ectopic pregnancies over a period of </w:t>
      </w:r>
      <w:r w:rsidR="00593B0C">
        <w:rPr>
          <w:rFonts w:asciiTheme="minorHAnsi" w:hAnsiTheme="minorHAnsi" w:cstheme="minorHAnsi"/>
        </w:rPr>
        <w:t>12-</w:t>
      </w:r>
      <w:r w:rsidR="007661FC">
        <w:rPr>
          <w:rFonts w:asciiTheme="minorHAnsi" w:hAnsiTheme="minorHAnsi" w:cstheme="minorHAnsi"/>
        </w:rPr>
        <w:t>18 months</w:t>
      </w:r>
      <w:r>
        <w:rPr>
          <w:rFonts w:asciiTheme="minorHAnsi" w:hAnsiTheme="minorHAnsi" w:cstheme="minorHAnsi"/>
        </w:rPr>
        <w:t>. The researchers believe that this</w:t>
      </w:r>
      <w:r w:rsidRPr="00A47DA5">
        <w:rPr>
          <w:rFonts w:asciiTheme="minorHAnsi" w:hAnsiTheme="minorHAnsi" w:cstheme="minorHAnsi"/>
        </w:rPr>
        <w:t xml:space="preserve"> sample size is justified</w:t>
      </w:r>
      <w:r>
        <w:rPr>
          <w:rFonts w:asciiTheme="minorHAnsi" w:hAnsiTheme="minorHAnsi" w:cstheme="minorHAnsi"/>
        </w:rPr>
        <w:t xml:space="preserve">, as outlined in </w:t>
      </w:r>
      <w:r>
        <w:rPr>
          <w:rFonts w:asciiTheme="minorHAnsi" w:hAnsiTheme="minorHAnsi" w:cstheme="minorHAnsi"/>
          <w:i/>
        </w:rPr>
        <w:t>Section 9.1</w:t>
      </w:r>
      <w:r>
        <w:rPr>
          <w:rFonts w:asciiTheme="minorHAnsi" w:hAnsiTheme="minorHAnsi" w:cstheme="minorHAnsi"/>
        </w:rPr>
        <w:t xml:space="preserve"> of this document.</w:t>
      </w:r>
    </w:p>
    <w:p w14:paraId="626FA674" w14:textId="77777777" w:rsidR="00B964A7" w:rsidRDefault="00B964A7" w:rsidP="00B964A7">
      <w:pPr>
        <w:rPr>
          <w:rFonts w:cstheme="minorHAnsi"/>
          <w:b/>
        </w:rPr>
      </w:pPr>
    </w:p>
    <w:p w14:paraId="70518E8C" w14:textId="77777777" w:rsidR="00CD50B6" w:rsidRDefault="00CD50B6" w:rsidP="00B964A7">
      <w:pPr>
        <w:rPr>
          <w:rFonts w:cstheme="minorHAnsi"/>
          <w:b/>
        </w:rPr>
      </w:pPr>
    </w:p>
    <w:p w14:paraId="03D68BF8" w14:textId="77777777" w:rsidR="00CD50B6" w:rsidRDefault="00CD50B6" w:rsidP="00B964A7">
      <w:pPr>
        <w:rPr>
          <w:rFonts w:cstheme="minorHAnsi"/>
          <w:b/>
        </w:rPr>
      </w:pPr>
    </w:p>
    <w:p w14:paraId="58C46D5A" w14:textId="77777777" w:rsidR="00CD50B6" w:rsidRPr="00B05FFC" w:rsidRDefault="00CD50B6" w:rsidP="00B964A7">
      <w:pPr>
        <w:rPr>
          <w:rFonts w:cstheme="minorHAnsi"/>
          <w:b/>
        </w:rPr>
      </w:pPr>
    </w:p>
    <w:p w14:paraId="02A401BF" w14:textId="77777777" w:rsidR="00B964A7" w:rsidRDefault="00B964A7" w:rsidP="00127972">
      <w:pPr>
        <w:pStyle w:val="ListParagraph"/>
        <w:numPr>
          <w:ilvl w:val="1"/>
          <w:numId w:val="1"/>
        </w:numPr>
        <w:outlineLvl w:val="1"/>
        <w:rPr>
          <w:rFonts w:cstheme="minorHAnsi"/>
          <w:b/>
        </w:rPr>
      </w:pPr>
      <w:bookmarkStart w:id="59" w:name="_Toc473873075"/>
      <w:bookmarkStart w:id="60" w:name="_Toc489888068"/>
      <w:r w:rsidRPr="00B05FFC">
        <w:rPr>
          <w:rFonts w:cstheme="minorHAnsi"/>
          <w:b/>
        </w:rPr>
        <w:lastRenderedPageBreak/>
        <w:t>INCLUSION CRITERIA</w:t>
      </w:r>
      <w:bookmarkEnd w:id="59"/>
      <w:bookmarkEnd w:id="60"/>
    </w:p>
    <w:p w14:paraId="0120B61A" w14:textId="77777777" w:rsidR="00F6210D" w:rsidRDefault="00F6210D" w:rsidP="00F6210D">
      <w:pPr>
        <w:rPr>
          <w:rFonts w:cstheme="minorHAnsi"/>
          <w:b/>
        </w:rPr>
      </w:pPr>
      <w:r>
        <w:rPr>
          <w:rFonts w:cstheme="minorHAnsi"/>
          <w:b/>
        </w:rPr>
        <w:t>INCLUSION CRITERIA FOR THE STUDY:</w:t>
      </w:r>
    </w:p>
    <w:p w14:paraId="5EF6B6C5" w14:textId="77777777" w:rsidR="00F6210D" w:rsidRDefault="00F6210D" w:rsidP="00F6210D">
      <w:pPr>
        <w:rPr>
          <w:rFonts w:cstheme="minorHAnsi"/>
        </w:rPr>
      </w:pPr>
      <w:r>
        <w:rPr>
          <w:rFonts w:cstheme="minorHAnsi"/>
        </w:rPr>
        <w:t>Women who have/who are:</w:t>
      </w:r>
    </w:p>
    <w:p w14:paraId="39CE8DAB" w14:textId="77777777" w:rsidR="00F6210D" w:rsidRPr="006A5A20" w:rsidRDefault="00F6210D" w:rsidP="00F6210D">
      <w:pPr>
        <w:pStyle w:val="ListParagraph"/>
        <w:numPr>
          <w:ilvl w:val="0"/>
          <w:numId w:val="39"/>
        </w:numPr>
        <w:rPr>
          <w:rFonts w:cstheme="minorHAnsi"/>
          <w:b/>
        </w:rPr>
      </w:pPr>
      <w:r>
        <w:rPr>
          <w:rFonts w:cstheme="minorHAnsi"/>
        </w:rPr>
        <w:t>Aged 18-50 years old</w:t>
      </w:r>
    </w:p>
    <w:p w14:paraId="441D9FDA" w14:textId="77777777" w:rsidR="00F6210D" w:rsidRPr="006A5A20" w:rsidRDefault="00F6210D" w:rsidP="00F6210D">
      <w:pPr>
        <w:pStyle w:val="ListParagraph"/>
        <w:numPr>
          <w:ilvl w:val="0"/>
          <w:numId w:val="39"/>
        </w:numPr>
        <w:rPr>
          <w:rFonts w:cstheme="minorHAnsi"/>
          <w:b/>
        </w:rPr>
      </w:pPr>
      <w:r>
        <w:rPr>
          <w:rFonts w:cstheme="minorHAnsi"/>
        </w:rPr>
        <w:t>English speaking</w:t>
      </w:r>
    </w:p>
    <w:p w14:paraId="3F8A5A04" w14:textId="77777777" w:rsidR="00F6210D" w:rsidRPr="006A5A20" w:rsidRDefault="00F6210D" w:rsidP="00F6210D">
      <w:pPr>
        <w:pStyle w:val="ListParagraph"/>
        <w:numPr>
          <w:ilvl w:val="0"/>
          <w:numId w:val="39"/>
        </w:numPr>
        <w:rPr>
          <w:rFonts w:cstheme="minorHAnsi"/>
          <w:b/>
        </w:rPr>
      </w:pPr>
      <w:r>
        <w:rPr>
          <w:rFonts w:cstheme="minorHAnsi"/>
        </w:rPr>
        <w:t>Able to provide informed consent to participate</w:t>
      </w:r>
    </w:p>
    <w:p w14:paraId="39AC33E7" w14:textId="77777777" w:rsidR="00F6210D" w:rsidRPr="009A1E7D" w:rsidRDefault="00F6210D" w:rsidP="00F6210D">
      <w:pPr>
        <w:pStyle w:val="ListParagraph"/>
        <w:numPr>
          <w:ilvl w:val="0"/>
          <w:numId w:val="39"/>
        </w:numPr>
        <w:rPr>
          <w:rFonts w:cstheme="minorHAnsi"/>
          <w:b/>
        </w:rPr>
      </w:pPr>
      <w:r>
        <w:rPr>
          <w:rFonts w:cstheme="minorHAnsi"/>
        </w:rPr>
        <w:t>A diagnosis of a tubal ectopic pregnancy on transvaginal ultrasound</w:t>
      </w:r>
    </w:p>
    <w:p w14:paraId="1E5006B4" w14:textId="77777777" w:rsidR="00F6210D" w:rsidRPr="009A1E7D" w:rsidRDefault="00F6210D" w:rsidP="00F6210D">
      <w:pPr>
        <w:pStyle w:val="ListParagraph"/>
        <w:numPr>
          <w:ilvl w:val="0"/>
          <w:numId w:val="39"/>
        </w:numPr>
        <w:rPr>
          <w:rFonts w:cstheme="minorHAnsi"/>
          <w:b/>
        </w:rPr>
      </w:pPr>
      <w:r>
        <w:rPr>
          <w:rFonts w:cstheme="minorHAnsi"/>
        </w:rPr>
        <w:t>A clinically stable ectopic pregnancy (no evidence of bleeding or rupture)</w:t>
      </w:r>
    </w:p>
    <w:p w14:paraId="7F1DDC70" w14:textId="15F9ABDC" w:rsidR="00F6210D" w:rsidRPr="006A5A20" w:rsidRDefault="00F6210D" w:rsidP="00F6210D">
      <w:pPr>
        <w:pStyle w:val="ListParagraph"/>
        <w:numPr>
          <w:ilvl w:val="0"/>
          <w:numId w:val="39"/>
        </w:numPr>
        <w:rPr>
          <w:rFonts w:cstheme="minorHAnsi"/>
          <w:b/>
        </w:rPr>
      </w:pPr>
      <w:r>
        <w:rPr>
          <w:rFonts w:cstheme="minorHAnsi"/>
        </w:rPr>
        <w:t xml:space="preserve">A pre-treatment serum Human Chorionic Gonadotrophin (hCG) level of </w:t>
      </w:r>
      <w:r w:rsidR="00566FE3">
        <w:rPr>
          <w:rFonts w:cstheme="minorHAnsi"/>
        </w:rPr>
        <w:t>300</w:t>
      </w:r>
      <w:r>
        <w:rPr>
          <w:rFonts w:cstheme="minorHAnsi"/>
        </w:rPr>
        <w:t xml:space="preserve"> – 3,000 IU/L</w:t>
      </w:r>
    </w:p>
    <w:p w14:paraId="568B9D93" w14:textId="77777777" w:rsidR="00122AD1" w:rsidRPr="00122AD1" w:rsidRDefault="00F6210D" w:rsidP="00F6210D">
      <w:pPr>
        <w:pStyle w:val="ListParagraph"/>
        <w:numPr>
          <w:ilvl w:val="0"/>
          <w:numId w:val="39"/>
        </w:numPr>
        <w:rPr>
          <w:rFonts w:cstheme="minorHAnsi"/>
          <w:b/>
        </w:rPr>
      </w:pPr>
      <w:r>
        <w:rPr>
          <w:rFonts w:cstheme="minorHAnsi"/>
        </w:rPr>
        <w:t>Adnexal mass ≤3.5</w:t>
      </w:r>
      <w:r w:rsidR="00122AD1">
        <w:rPr>
          <w:rFonts w:cstheme="minorHAnsi"/>
        </w:rPr>
        <w:t xml:space="preserve"> cm </w:t>
      </w:r>
    </w:p>
    <w:p w14:paraId="379EA59B" w14:textId="43BDFB25" w:rsidR="00F6210D" w:rsidRPr="00B81EFA" w:rsidRDefault="00122AD1" w:rsidP="00F6210D">
      <w:pPr>
        <w:pStyle w:val="ListParagraph"/>
        <w:numPr>
          <w:ilvl w:val="0"/>
          <w:numId w:val="39"/>
        </w:numPr>
        <w:rPr>
          <w:rFonts w:cstheme="minorHAnsi"/>
          <w:b/>
        </w:rPr>
      </w:pPr>
      <w:r>
        <w:rPr>
          <w:rFonts w:cstheme="minorHAnsi"/>
        </w:rPr>
        <w:t>N</w:t>
      </w:r>
      <w:r w:rsidR="00F6210D">
        <w:rPr>
          <w:rFonts w:cstheme="minorHAnsi"/>
        </w:rPr>
        <w:t>o fetal cardiac activity</w:t>
      </w:r>
      <w:r>
        <w:rPr>
          <w:rFonts w:cstheme="minorHAnsi"/>
        </w:rPr>
        <w:t xml:space="preserve"> detected on ultrasound</w:t>
      </w:r>
    </w:p>
    <w:p w14:paraId="5C43FAF5" w14:textId="77777777" w:rsidR="00F6210D" w:rsidRPr="006A5A20" w:rsidRDefault="00F6210D" w:rsidP="00F6210D">
      <w:pPr>
        <w:pStyle w:val="ListParagraph"/>
        <w:rPr>
          <w:rFonts w:cstheme="minorHAnsi"/>
          <w:b/>
        </w:rPr>
      </w:pPr>
    </w:p>
    <w:p w14:paraId="67EE8FB5" w14:textId="77777777" w:rsidR="002E45F7" w:rsidRPr="00B81EFA" w:rsidRDefault="002E45F7" w:rsidP="002E45F7">
      <w:pPr>
        <w:pStyle w:val="ListParagraph"/>
        <w:ind w:left="709"/>
        <w:rPr>
          <w:rFonts w:cstheme="minorHAnsi"/>
          <w:b/>
        </w:rPr>
      </w:pPr>
    </w:p>
    <w:p w14:paraId="460BF369" w14:textId="77777777" w:rsidR="008742E8" w:rsidRPr="00127972" w:rsidRDefault="008742E8" w:rsidP="00B02582">
      <w:pPr>
        <w:pStyle w:val="ListParagraph"/>
        <w:numPr>
          <w:ilvl w:val="1"/>
          <w:numId w:val="1"/>
        </w:numPr>
        <w:outlineLvl w:val="1"/>
        <w:rPr>
          <w:rFonts w:cstheme="minorHAnsi"/>
          <w:b/>
        </w:rPr>
      </w:pPr>
      <w:bookmarkStart w:id="61" w:name="_Toc489888069"/>
      <w:r w:rsidRPr="00127972">
        <w:rPr>
          <w:rFonts w:cstheme="minorHAnsi"/>
          <w:b/>
        </w:rPr>
        <w:t>EXCLUSION CRITERIA</w:t>
      </w:r>
      <w:bookmarkEnd w:id="61"/>
    </w:p>
    <w:p w14:paraId="2CCD0915" w14:textId="77777777" w:rsidR="00F6210D" w:rsidRDefault="00F6210D" w:rsidP="00F6210D">
      <w:pPr>
        <w:rPr>
          <w:rFonts w:cstheme="minorHAnsi"/>
          <w:b/>
        </w:rPr>
      </w:pPr>
      <w:r>
        <w:rPr>
          <w:rFonts w:cstheme="minorHAnsi"/>
          <w:b/>
        </w:rPr>
        <w:t>EXCLUSION CRITERIA FOR THE STUDY:</w:t>
      </w:r>
    </w:p>
    <w:p w14:paraId="50E23854" w14:textId="77777777" w:rsidR="00F6210D" w:rsidRPr="00A46BBD" w:rsidRDefault="00F6210D" w:rsidP="00F6210D">
      <w:pPr>
        <w:rPr>
          <w:rFonts w:cstheme="minorHAnsi"/>
        </w:rPr>
      </w:pPr>
      <w:r>
        <w:rPr>
          <w:rFonts w:cstheme="minorHAnsi"/>
        </w:rPr>
        <w:t>Women who have/who are:</w:t>
      </w:r>
    </w:p>
    <w:p w14:paraId="1197D638" w14:textId="77777777" w:rsidR="00F6210D" w:rsidRDefault="00F6210D" w:rsidP="00F6210D">
      <w:pPr>
        <w:pStyle w:val="ListParagraph"/>
        <w:numPr>
          <w:ilvl w:val="0"/>
          <w:numId w:val="3"/>
        </w:numPr>
        <w:rPr>
          <w:rFonts w:cstheme="minorHAnsi"/>
        </w:rPr>
      </w:pPr>
      <w:r>
        <w:rPr>
          <w:rFonts w:cstheme="minorHAnsi"/>
        </w:rPr>
        <w:t>Unable to provide informed consent to participate</w:t>
      </w:r>
    </w:p>
    <w:p w14:paraId="0901E4CF" w14:textId="5BE27BF5" w:rsidR="00F6210D" w:rsidRDefault="00F6210D" w:rsidP="00F6210D">
      <w:pPr>
        <w:pStyle w:val="ListParagraph"/>
        <w:numPr>
          <w:ilvl w:val="0"/>
          <w:numId w:val="3"/>
        </w:numPr>
        <w:rPr>
          <w:rFonts w:cstheme="minorHAnsi"/>
        </w:rPr>
      </w:pPr>
      <w:r>
        <w:rPr>
          <w:rFonts w:cstheme="minorHAnsi"/>
        </w:rPr>
        <w:t>Women with a pregnancy of unknown location (PUL)</w:t>
      </w:r>
      <w:r w:rsidR="008F0405">
        <w:rPr>
          <w:rFonts w:cstheme="minorHAnsi"/>
        </w:rPr>
        <w:t xml:space="preserve"> or heterotopic pregnancy</w:t>
      </w:r>
    </w:p>
    <w:p w14:paraId="28B39119" w14:textId="77777777" w:rsidR="00F6210D" w:rsidRDefault="00F6210D" w:rsidP="00F6210D">
      <w:pPr>
        <w:pStyle w:val="ListParagraph"/>
        <w:numPr>
          <w:ilvl w:val="0"/>
          <w:numId w:val="3"/>
        </w:numPr>
        <w:rPr>
          <w:rFonts w:cstheme="minorHAnsi"/>
        </w:rPr>
      </w:pPr>
      <w:r>
        <w:rPr>
          <w:rFonts w:cstheme="minorHAnsi"/>
        </w:rPr>
        <w:t>Evidence of significant intra-abdominal bleed on ultrasound, defined by echogenic free fluid above the uterine fundus or surrounding ovary.</w:t>
      </w:r>
    </w:p>
    <w:p w14:paraId="0BD232E5" w14:textId="77777777" w:rsidR="00F6210D" w:rsidRDefault="00F6210D" w:rsidP="00F6210D">
      <w:pPr>
        <w:pStyle w:val="ListParagraph"/>
        <w:numPr>
          <w:ilvl w:val="0"/>
          <w:numId w:val="3"/>
        </w:numPr>
        <w:rPr>
          <w:rFonts w:cstheme="minorHAnsi"/>
        </w:rPr>
      </w:pPr>
      <w:r>
        <w:rPr>
          <w:rFonts w:cstheme="minorHAnsi"/>
        </w:rPr>
        <w:t>Contraindication(s) to vinorelbine or to medical management of ectopic pregnancy</w:t>
      </w:r>
    </w:p>
    <w:p w14:paraId="19F72142" w14:textId="77777777" w:rsidR="00F6210D" w:rsidRDefault="00F6210D" w:rsidP="00F6210D">
      <w:pPr>
        <w:pStyle w:val="ListParagraph"/>
        <w:numPr>
          <w:ilvl w:val="0"/>
          <w:numId w:val="3"/>
        </w:numPr>
        <w:rPr>
          <w:rFonts w:cstheme="minorHAnsi"/>
        </w:rPr>
      </w:pPr>
      <w:r>
        <w:rPr>
          <w:rFonts w:cstheme="minorHAnsi"/>
        </w:rPr>
        <w:t>Immunodeficiency disorder(s)</w:t>
      </w:r>
    </w:p>
    <w:p w14:paraId="38C39EF1" w14:textId="77777777" w:rsidR="00F6210D" w:rsidRDefault="00F6210D" w:rsidP="00F6210D">
      <w:pPr>
        <w:pStyle w:val="ListParagraph"/>
        <w:numPr>
          <w:ilvl w:val="0"/>
          <w:numId w:val="3"/>
        </w:numPr>
        <w:rPr>
          <w:rFonts w:cstheme="minorHAnsi"/>
        </w:rPr>
      </w:pPr>
      <w:r>
        <w:rPr>
          <w:rFonts w:cstheme="minorHAnsi"/>
        </w:rPr>
        <w:t>A c</w:t>
      </w:r>
      <w:r w:rsidRPr="007F65F7">
        <w:rPr>
          <w:rFonts w:cstheme="minorHAnsi"/>
        </w:rPr>
        <w:t>urrent malignancy</w:t>
      </w:r>
    </w:p>
    <w:p w14:paraId="43B565B5" w14:textId="77777777" w:rsidR="00F6210D" w:rsidRPr="007F65F7" w:rsidRDefault="00F6210D" w:rsidP="00F6210D">
      <w:pPr>
        <w:pStyle w:val="ListParagraph"/>
        <w:numPr>
          <w:ilvl w:val="0"/>
          <w:numId w:val="3"/>
        </w:numPr>
        <w:rPr>
          <w:rFonts w:cstheme="minorHAnsi"/>
        </w:rPr>
      </w:pPr>
      <w:r>
        <w:rPr>
          <w:rFonts w:cstheme="minorHAnsi"/>
        </w:rPr>
        <w:t>Received chemotherapy or radiation therapy in the previous five years</w:t>
      </w:r>
    </w:p>
    <w:p w14:paraId="210BA8A6" w14:textId="77777777" w:rsidR="00F6210D" w:rsidRPr="007F65F7" w:rsidRDefault="00F6210D" w:rsidP="00F6210D">
      <w:pPr>
        <w:pStyle w:val="ListParagraph"/>
        <w:numPr>
          <w:ilvl w:val="0"/>
          <w:numId w:val="3"/>
        </w:numPr>
        <w:rPr>
          <w:rFonts w:cstheme="minorHAnsi"/>
        </w:rPr>
      </w:pPr>
      <w:r w:rsidRPr="007F65F7">
        <w:rPr>
          <w:rFonts w:cstheme="minorHAnsi"/>
        </w:rPr>
        <w:t>Concomitant disease which could significantly impair gastric absorption (Inflammatory bowel disease, coeliac, etc.)</w:t>
      </w:r>
    </w:p>
    <w:p w14:paraId="57519E41" w14:textId="77777777" w:rsidR="00F6210D" w:rsidRPr="007F65F7" w:rsidRDefault="00F6210D" w:rsidP="00F6210D">
      <w:pPr>
        <w:pStyle w:val="ListParagraph"/>
        <w:numPr>
          <w:ilvl w:val="0"/>
          <w:numId w:val="3"/>
        </w:numPr>
        <w:rPr>
          <w:rFonts w:cstheme="minorHAnsi"/>
        </w:rPr>
      </w:pPr>
      <w:r w:rsidRPr="007F65F7">
        <w:rPr>
          <w:rFonts w:cstheme="minorHAnsi"/>
        </w:rPr>
        <w:t>History of surgical resection of the stomach/small bowel</w:t>
      </w:r>
    </w:p>
    <w:p w14:paraId="7130F50F" w14:textId="77777777" w:rsidR="00F6210D" w:rsidRDefault="00F6210D" w:rsidP="00F6210D">
      <w:pPr>
        <w:pStyle w:val="ListParagraph"/>
        <w:numPr>
          <w:ilvl w:val="0"/>
          <w:numId w:val="3"/>
        </w:numPr>
        <w:rPr>
          <w:rFonts w:cstheme="minorHAnsi"/>
        </w:rPr>
      </w:pPr>
      <w:r w:rsidRPr="007F65F7">
        <w:rPr>
          <w:rFonts w:cstheme="minorHAnsi"/>
        </w:rPr>
        <w:t>Breastfeeding</w:t>
      </w:r>
    </w:p>
    <w:p w14:paraId="5AB8C564" w14:textId="0C51753B" w:rsidR="000A6F71" w:rsidRDefault="008742E8" w:rsidP="008742E8">
      <w:pPr>
        <w:pStyle w:val="ListParagraph"/>
        <w:numPr>
          <w:ilvl w:val="0"/>
          <w:numId w:val="3"/>
        </w:numPr>
        <w:rPr>
          <w:rFonts w:cstheme="minorHAnsi"/>
        </w:rPr>
      </w:pPr>
      <w:r w:rsidRPr="008742E8">
        <w:rPr>
          <w:rFonts w:cstheme="minorHAnsi"/>
        </w:rPr>
        <w:t>Hepatic i</w:t>
      </w:r>
      <w:r w:rsidR="007C79CB">
        <w:rPr>
          <w:rFonts w:cstheme="minorHAnsi"/>
        </w:rPr>
        <w:t xml:space="preserve">mpairment, renal impairment, </w:t>
      </w:r>
      <w:r w:rsidRPr="008742E8">
        <w:rPr>
          <w:rFonts w:cstheme="minorHAnsi"/>
        </w:rPr>
        <w:t>haematological toxicity</w:t>
      </w:r>
      <w:r w:rsidR="007C79CB">
        <w:rPr>
          <w:rFonts w:cstheme="minorHAnsi"/>
        </w:rPr>
        <w:t>, or other clinically significant abnormality detected in pre-treatment blood tests</w:t>
      </w:r>
    </w:p>
    <w:p w14:paraId="7D798489" w14:textId="77777777" w:rsidR="00B02582" w:rsidRPr="008742E8" w:rsidRDefault="00B02582" w:rsidP="00B02582">
      <w:pPr>
        <w:pStyle w:val="ListParagraph"/>
        <w:rPr>
          <w:rFonts w:cstheme="minorHAnsi"/>
        </w:rPr>
      </w:pPr>
    </w:p>
    <w:p w14:paraId="39DE7B99" w14:textId="77777777" w:rsidR="008742E8" w:rsidRPr="000A473F" w:rsidRDefault="008742E8" w:rsidP="008742E8">
      <w:pPr>
        <w:pStyle w:val="ListParagraph"/>
        <w:tabs>
          <w:tab w:val="left" w:pos="4202"/>
        </w:tabs>
        <w:rPr>
          <w:rFonts w:cstheme="minorHAnsi"/>
          <w:b/>
          <w:color w:val="FF0000"/>
        </w:rPr>
      </w:pPr>
    </w:p>
    <w:p w14:paraId="273871ED" w14:textId="77777777" w:rsidR="00B964A7" w:rsidRPr="00B05FFC" w:rsidRDefault="00B964A7" w:rsidP="00B02582">
      <w:pPr>
        <w:pStyle w:val="ListParagraph"/>
        <w:numPr>
          <w:ilvl w:val="1"/>
          <w:numId w:val="1"/>
        </w:numPr>
        <w:outlineLvl w:val="1"/>
        <w:rPr>
          <w:rFonts w:cstheme="minorHAnsi"/>
          <w:b/>
        </w:rPr>
      </w:pPr>
      <w:bookmarkStart w:id="62" w:name="_Toc473873077"/>
      <w:bookmarkStart w:id="63" w:name="_Toc489888070"/>
      <w:r w:rsidRPr="00B05FFC">
        <w:rPr>
          <w:rFonts w:cstheme="minorHAnsi"/>
          <w:b/>
        </w:rPr>
        <w:t>CO-ENROLMENT</w:t>
      </w:r>
      <w:bookmarkEnd w:id="62"/>
      <w:bookmarkEnd w:id="63"/>
    </w:p>
    <w:p w14:paraId="3B7766AB" w14:textId="77777777" w:rsidR="00B964A7" w:rsidRPr="000A28DE" w:rsidRDefault="00B964A7" w:rsidP="00B964A7">
      <w:pPr>
        <w:rPr>
          <w:rFonts w:cstheme="minorHAnsi"/>
        </w:rPr>
      </w:pPr>
      <w:r>
        <w:rPr>
          <w:rFonts w:cstheme="minorHAnsi"/>
        </w:rPr>
        <w:t>Participants will not be eligible to take part in any other inter</w:t>
      </w:r>
      <w:r w:rsidR="00F654AC">
        <w:rPr>
          <w:rFonts w:cstheme="minorHAnsi"/>
        </w:rPr>
        <w:t>vention trials from the time of giving their informed consent until their ectopic pregnancy has resolved</w:t>
      </w:r>
      <w:r>
        <w:rPr>
          <w:rFonts w:cstheme="minorHAnsi"/>
        </w:rPr>
        <w:t>. Participants may elect to take part in other observational research (e.g. tissue bank donations, questionnaire studies, etc.)</w:t>
      </w:r>
      <w:r w:rsidR="00F654AC">
        <w:rPr>
          <w:rFonts w:cstheme="minorHAnsi"/>
        </w:rPr>
        <w:t xml:space="preserve"> any time,</w:t>
      </w:r>
      <w:r>
        <w:rPr>
          <w:rFonts w:cstheme="minorHAnsi"/>
        </w:rPr>
        <w:t xml:space="preserve"> as they wish. </w:t>
      </w:r>
    </w:p>
    <w:p w14:paraId="6EAA723A" w14:textId="77777777" w:rsidR="00B964A7" w:rsidRDefault="00B964A7" w:rsidP="00B964A7">
      <w:pPr>
        <w:rPr>
          <w:rFonts w:cstheme="minorHAnsi"/>
          <w:b/>
        </w:rPr>
      </w:pPr>
    </w:p>
    <w:p w14:paraId="3D96E155" w14:textId="77777777" w:rsidR="00F5300A" w:rsidRPr="0065557C" w:rsidRDefault="00F5300A" w:rsidP="00B964A7">
      <w:pPr>
        <w:rPr>
          <w:rFonts w:cstheme="minorHAnsi"/>
          <w:b/>
        </w:rPr>
      </w:pPr>
    </w:p>
    <w:p w14:paraId="1BED1F8C" w14:textId="77777777" w:rsidR="00B964A7" w:rsidRDefault="00B964A7" w:rsidP="00B02582">
      <w:pPr>
        <w:pStyle w:val="ListParagraph"/>
        <w:numPr>
          <w:ilvl w:val="0"/>
          <w:numId w:val="1"/>
        </w:numPr>
        <w:outlineLvl w:val="0"/>
        <w:rPr>
          <w:rFonts w:cstheme="minorHAnsi"/>
          <w:b/>
        </w:rPr>
      </w:pPr>
      <w:bookmarkStart w:id="64" w:name="_Toc473873078"/>
      <w:bookmarkStart w:id="65" w:name="_Toc489888071"/>
      <w:r w:rsidRPr="00B05FFC">
        <w:rPr>
          <w:rFonts w:cstheme="minorHAnsi"/>
          <w:b/>
        </w:rPr>
        <w:lastRenderedPageBreak/>
        <w:t>PARTICIPANT SELECTION AND ENROLMENT</w:t>
      </w:r>
      <w:bookmarkEnd w:id="64"/>
      <w:bookmarkEnd w:id="65"/>
      <w:r w:rsidRPr="00B05FFC">
        <w:rPr>
          <w:rFonts w:cstheme="minorHAnsi"/>
          <w:b/>
        </w:rPr>
        <w:t xml:space="preserve"> </w:t>
      </w:r>
    </w:p>
    <w:p w14:paraId="72DFF6BA" w14:textId="77777777" w:rsidR="00B02582" w:rsidRPr="00F638BC" w:rsidRDefault="00B02582" w:rsidP="00B02582">
      <w:pPr>
        <w:pStyle w:val="ListParagraph"/>
        <w:outlineLvl w:val="0"/>
        <w:rPr>
          <w:rFonts w:cstheme="minorHAnsi"/>
          <w:b/>
        </w:rPr>
      </w:pPr>
    </w:p>
    <w:p w14:paraId="1509389B" w14:textId="77777777" w:rsidR="00B964A7" w:rsidRPr="00B05FFC" w:rsidRDefault="00B964A7" w:rsidP="00B02582">
      <w:pPr>
        <w:pStyle w:val="ListParagraph"/>
        <w:numPr>
          <w:ilvl w:val="1"/>
          <w:numId w:val="1"/>
        </w:numPr>
        <w:outlineLvl w:val="1"/>
        <w:rPr>
          <w:rFonts w:cstheme="minorHAnsi"/>
          <w:b/>
        </w:rPr>
      </w:pPr>
      <w:bookmarkStart w:id="66" w:name="_Toc473873079"/>
      <w:bookmarkStart w:id="67" w:name="_Toc489888072"/>
      <w:r w:rsidRPr="00B05FFC">
        <w:rPr>
          <w:rFonts w:cstheme="minorHAnsi"/>
          <w:b/>
        </w:rPr>
        <w:t>IDENTIFYING PARTICIPANTS</w:t>
      </w:r>
      <w:bookmarkEnd w:id="66"/>
      <w:bookmarkEnd w:id="67"/>
    </w:p>
    <w:p w14:paraId="6876709E" w14:textId="1561D893" w:rsidR="00B964A7" w:rsidRDefault="00B964A7" w:rsidP="00B964A7">
      <w:pPr>
        <w:rPr>
          <w:rFonts w:cstheme="minorHAnsi"/>
        </w:rPr>
      </w:pPr>
      <w:r w:rsidRPr="002B16DC">
        <w:rPr>
          <w:rFonts w:cstheme="minorHAnsi"/>
        </w:rPr>
        <w:t xml:space="preserve">Women </w:t>
      </w:r>
      <w:r w:rsidR="002B16DC" w:rsidRPr="002B16DC">
        <w:rPr>
          <w:rFonts w:cstheme="minorHAnsi"/>
        </w:rPr>
        <w:t xml:space="preserve">who are diagnosed </w:t>
      </w:r>
      <w:r w:rsidRPr="002B16DC">
        <w:rPr>
          <w:rFonts w:cstheme="minorHAnsi"/>
        </w:rPr>
        <w:t xml:space="preserve">with a </w:t>
      </w:r>
      <w:r w:rsidR="007270E8">
        <w:rPr>
          <w:rFonts w:cstheme="minorHAnsi"/>
        </w:rPr>
        <w:t xml:space="preserve">clinically </w:t>
      </w:r>
      <w:r w:rsidR="002B16DC" w:rsidRPr="002B16DC">
        <w:rPr>
          <w:rFonts w:cstheme="minorHAnsi"/>
        </w:rPr>
        <w:t xml:space="preserve">stable, </w:t>
      </w:r>
      <w:r w:rsidRPr="002B16DC">
        <w:rPr>
          <w:rFonts w:cstheme="minorHAnsi"/>
        </w:rPr>
        <w:t>singleton</w:t>
      </w:r>
      <w:r w:rsidR="002B16DC" w:rsidRPr="002B16DC">
        <w:rPr>
          <w:rFonts w:cstheme="minorHAnsi"/>
        </w:rPr>
        <w:t xml:space="preserve"> ectopic</w:t>
      </w:r>
      <w:r w:rsidRPr="002B16DC">
        <w:rPr>
          <w:rFonts w:cstheme="minorHAnsi"/>
        </w:rPr>
        <w:t xml:space="preserve"> pregnancy </w:t>
      </w:r>
      <w:r w:rsidR="002B16DC" w:rsidRPr="002B16DC">
        <w:rPr>
          <w:rFonts w:cstheme="minorHAnsi"/>
        </w:rPr>
        <w:t>who present to North Shore Hospital</w:t>
      </w:r>
      <w:r w:rsidRPr="002B16DC">
        <w:rPr>
          <w:rFonts w:cstheme="minorHAnsi"/>
        </w:rPr>
        <w:t xml:space="preserve"> </w:t>
      </w:r>
      <w:r w:rsidR="00DD2CCB">
        <w:rPr>
          <w:rFonts w:cstheme="minorHAnsi"/>
        </w:rPr>
        <w:t xml:space="preserve">for treatment </w:t>
      </w:r>
      <w:r w:rsidRPr="002B16DC">
        <w:rPr>
          <w:rFonts w:cstheme="minorHAnsi"/>
        </w:rPr>
        <w:t xml:space="preserve">will be identified by the research team from hospital admission data sources or referred by clinical staff </w:t>
      </w:r>
      <w:r w:rsidR="002B16DC" w:rsidRPr="002B16DC">
        <w:rPr>
          <w:rFonts w:cstheme="minorHAnsi"/>
        </w:rPr>
        <w:t>in the EPC</w:t>
      </w:r>
      <w:r w:rsidRPr="002B16DC">
        <w:rPr>
          <w:rFonts w:cstheme="minorHAnsi"/>
        </w:rPr>
        <w:t xml:space="preserve"> to the research team.</w:t>
      </w:r>
    </w:p>
    <w:p w14:paraId="22CB5643" w14:textId="77777777" w:rsidR="00CD50B6" w:rsidRPr="002E0DB1" w:rsidRDefault="00CD50B6" w:rsidP="00B964A7">
      <w:pPr>
        <w:rPr>
          <w:rFonts w:cstheme="minorHAnsi"/>
        </w:rPr>
      </w:pPr>
    </w:p>
    <w:p w14:paraId="6DB8FB4A" w14:textId="77777777" w:rsidR="00B964A7" w:rsidRPr="00B01DF7" w:rsidRDefault="00B964A7" w:rsidP="00B02582">
      <w:pPr>
        <w:pStyle w:val="ListParagraph"/>
        <w:numPr>
          <w:ilvl w:val="1"/>
          <w:numId w:val="1"/>
        </w:numPr>
        <w:outlineLvl w:val="1"/>
        <w:rPr>
          <w:rFonts w:cstheme="minorHAnsi"/>
          <w:b/>
        </w:rPr>
      </w:pPr>
      <w:bookmarkStart w:id="68" w:name="_Toc473873080"/>
      <w:bookmarkStart w:id="69" w:name="_Toc489888073"/>
      <w:r w:rsidRPr="00B05FFC">
        <w:rPr>
          <w:rFonts w:cstheme="minorHAnsi"/>
          <w:b/>
        </w:rPr>
        <w:t>CONSENTING PARTICIPANTS</w:t>
      </w:r>
      <w:bookmarkEnd w:id="68"/>
      <w:bookmarkEnd w:id="69"/>
    </w:p>
    <w:p w14:paraId="6C8D3380" w14:textId="77777777" w:rsidR="009C0DFA" w:rsidRDefault="00B964A7" w:rsidP="00B964A7">
      <w:pPr>
        <w:rPr>
          <w:rFonts w:cstheme="minorHAnsi"/>
        </w:rPr>
      </w:pPr>
      <w:r w:rsidRPr="00DD2CCB">
        <w:rPr>
          <w:rFonts w:cstheme="minorHAnsi"/>
        </w:rPr>
        <w:t xml:space="preserve">Eligible participants will be identified by their clinical care team and referred to the research team or identified by the researchers from hospital admission data. A member of the research team will approach potential participants and provide them with a verbal explanation of the study, as well as a written or electronic copy of the </w:t>
      </w:r>
      <w:r w:rsidRPr="00DD2CCB">
        <w:rPr>
          <w:rFonts w:cstheme="minorHAnsi"/>
          <w:i/>
        </w:rPr>
        <w:t>Patient Information and Consent Form</w:t>
      </w:r>
      <w:r w:rsidR="008E65D1">
        <w:rPr>
          <w:rFonts w:cstheme="minorHAnsi"/>
        </w:rPr>
        <w:t xml:space="preserve"> (PICF). </w:t>
      </w:r>
    </w:p>
    <w:p w14:paraId="41B51D35" w14:textId="5140F707" w:rsidR="009C0DFA" w:rsidRDefault="008E65D1" w:rsidP="00B964A7">
      <w:pPr>
        <w:rPr>
          <w:rFonts w:cstheme="minorHAnsi"/>
        </w:rPr>
      </w:pPr>
      <w:r>
        <w:rPr>
          <w:rFonts w:cstheme="minorHAnsi"/>
        </w:rPr>
        <w:t>Prior to consenting, a</w:t>
      </w:r>
      <w:r w:rsidR="00B964A7" w:rsidRPr="00DD2CCB">
        <w:rPr>
          <w:rFonts w:cstheme="minorHAnsi"/>
        </w:rPr>
        <w:t xml:space="preserve">ll eligible women will have the opportunity to discuss and ask questions about the study with a member of the research team </w:t>
      </w:r>
      <w:r>
        <w:rPr>
          <w:rFonts w:cstheme="minorHAnsi"/>
        </w:rPr>
        <w:t>who is also a</w:t>
      </w:r>
      <w:r w:rsidR="00B964A7" w:rsidRPr="00DD2CCB">
        <w:rPr>
          <w:rFonts w:cstheme="minorHAnsi"/>
        </w:rPr>
        <w:t xml:space="preserve"> </w:t>
      </w:r>
      <w:r>
        <w:rPr>
          <w:rFonts w:cstheme="minorHAnsi"/>
        </w:rPr>
        <w:t>gynaecology/</w:t>
      </w:r>
      <w:r w:rsidR="00DD2CCB" w:rsidRPr="00DD2CCB">
        <w:rPr>
          <w:rFonts w:cstheme="minorHAnsi"/>
        </w:rPr>
        <w:t>e</w:t>
      </w:r>
      <w:r>
        <w:rPr>
          <w:rFonts w:cstheme="minorHAnsi"/>
        </w:rPr>
        <w:t>ndosurgery doctor</w:t>
      </w:r>
      <w:r w:rsidR="00B964A7" w:rsidRPr="00DD2CCB">
        <w:rPr>
          <w:rFonts w:cstheme="minorHAnsi"/>
        </w:rPr>
        <w:t>. Informed, written consent will only be collected once the patient has had adequate time to read and refl</w:t>
      </w:r>
      <w:r w:rsidR="00C15DD4">
        <w:rPr>
          <w:rFonts w:cstheme="minorHAnsi"/>
        </w:rPr>
        <w:t xml:space="preserve">ect upon the study information, </w:t>
      </w:r>
      <w:r w:rsidR="00B964A7" w:rsidRPr="00DD2CCB">
        <w:rPr>
          <w:rFonts w:cstheme="minorHAnsi"/>
        </w:rPr>
        <w:t>had all questions answered to her satisfaction</w:t>
      </w:r>
      <w:r w:rsidR="00C15DD4">
        <w:rPr>
          <w:rFonts w:cstheme="minorHAnsi"/>
        </w:rPr>
        <w:t>, and had the opportunity to discuss participation with chosen friends or family members</w:t>
      </w:r>
      <w:r w:rsidR="00B964A7" w:rsidRPr="00DD2CCB">
        <w:rPr>
          <w:rFonts w:cstheme="minorHAnsi"/>
        </w:rPr>
        <w:t>.</w:t>
      </w:r>
      <w:r w:rsidR="00C15DD4">
        <w:rPr>
          <w:rFonts w:cstheme="minorHAnsi"/>
        </w:rPr>
        <w:t xml:space="preserve"> </w:t>
      </w:r>
      <w:r w:rsidR="00A45272">
        <w:rPr>
          <w:rFonts w:cstheme="minorHAnsi"/>
        </w:rPr>
        <w:t>Women from Maori and Pasifika communities</w:t>
      </w:r>
      <w:r w:rsidR="00C15DD4">
        <w:rPr>
          <w:rFonts w:cstheme="minorHAnsi"/>
        </w:rPr>
        <w:t xml:space="preserve"> who are considering participation will additionally have the opportunity to discuss the study details with a Maori</w:t>
      </w:r>
      <w:r w:rsidR="00A82EFC">
        <w:rPr>
          <w:rFonts w:cstheme="minorHAnsi"/>
        </w:rPr>
        <w:t xml:space="preserve"> Health Liaison worker prior</w:t>
      </w:r>
      <w:r w:rsidR="001461B0">
        <w:rPr>
          <w:rFonts w:cstheme="minorHAnsi"/>
        </w:rPr>
        <w:t xml:space="preserve"> to being asked to provide</w:t>
      </w:r>
      <w:r w:rsidR="00A82EFC">
        <w:rPr>
          <w:rFonts w:cstheme="minorHAnsi"/>
        </w:rPr>
        <w:t xml:space="preserve"> consent</w:t>
      </w:r>
      <w:r w:rsidR="00C15DD4">
        <w:rPr>
          <w:rFonts w:cstheme="minorHAnsi"/>
        </w:rPr>
        <w:t>.</w:t>
      </w:r>
      <w:r w:rsidR="00B964A7" w:rsidRPr="00DD2CCB">
        <w:rPr>
          <w:rFonts w:cstheme="minorHAnsi"/>
        </w:rPr>
        <w:t xml:space="preserve"> </w:t>
      </w:r>
    </w:p>
    <w:p w14:paraId="5C2E6194" w14:textId="77777777" w:rsidR="00B964A7" w:rsidRPr="000A473F" w:rsidRDefault="00B964A7" w:rsidP="00B964A7">
      <w:pPr>
        <w:rPr>
          <w:rFonts w:cstheme="minorHAnsi"/>
          <w:b/>
          <w:color w:val="FF0000"/>
        </w:rPr>
      </w:pPr>
      <w:r w:rsidRPr="00DD2CCB">
        <w:rPr>
          <w:rFonts w:cstheme="minorHAnsi"/>
        </w:rPr>
        <w:t>Recruited participants will retain their copy of the PICF and be given a copy of their signed consent form for their personal records.</w:t>
      </w:r>
      <w:r w:rsidR="006D265C">
        <w:rPr>
          <w:rFonts w:cstheme="minorHAnsi"/>
        </w:rPr>
        <w:t xml:space="preserve"> Participants will be assigned a unique study code following their recruitment so that documents and results can be de-identified of their personal information to protect their privacy.</w:t>
      </w:r>
    </w:p>
    <w:p w14:paraId="7A62571C" w14:textId="77777777" w:rsidR="00B964A7" w:rsidRDefault="00B964A7" w:rsidP="00B964A7">
      <w:pPr>
        <w:pStyle w:val="ListParagraph"/>
        <w:ind w:left="1440"/>
        <w:outlineLvl w:val="1"/>
        <w:rPr>
          <w:rFonts w:cstheme="minorHAnsi"/>
          <w:b/>
        </w:rPr>
      </w:pPr>
      <w:bookmarkStart w:id="70" w:name="_Toc473873081"/>
    </w:p>
    <w:p w14:paraId="29B4C00A" w14:textId="77777777" w:rsidR="00B964A7" w:rsidRDefault="00B964A7" w:rsidP="00B02582">
      <w:pPr>
        <w:pStyle w:val="ListParagraph"/>
        <w:numPr>
          <w:ilvl w:val="1"/>
          <w:numId w:val="1"/>
        </w:numPr>
        <w:outlineLvl w:val="1"/>
        <w:rPr>
          <w:rFonts w:cstheme="minorHAnsi"/>
          <w:b/>
        </w:rPr>
      </w:pPr>
      <w:bookmarkStart w:id="71" w:name="_Toc489888074"/>
      <w:r w:rsidRPr="00B05FFC">
        <w:rPr>
          <w:rFonts w:cstheme="minorHAnsi"/>
          <w:b/>
        </w:rPr>
        <w:t>SCREENING FOR ELIGIBILITY</w:t>
      </w:r>
      <w:bookmarkEnd w:id="70"/>
      <w:bookmarkEnd w:id="71"/>
    </w:p>
    <w:p w14:paraId="163804A5" w14:textId="77777777" w:rsidR="00B964A7" w:rsidRPr="009011C8" w:rsidRDefault="00B964A7" w:rsidP="00B964A7">
      <w:pPr>
        <w:rPr>
          <w:rFonts w:cstheme="minorHAnsi"/>
        </w:rPr>
      </w:pPr>
      <w:r w:rsidRPr="0018531C">
        <w:rPr>
          <w:rFonts w:cstheme="minorHAnsi"/>
        </w:rPr>
        <w:t>To be eligible for</w:t>
      </w:r>
      <w:r w:rsidR="0097197E">
        <w:rPr>
          <w:rFonts w:cstheme="minorHAnsi"/>
        </w:rPr>
        <w:t xml:space="preserve"> the study, a woman must have a</w:t>
      </w:r>
      <w:r w:rsidR="0018531C" w:rsidRPr="0018531C">
        <w:rPr>
          <w:rFonts w:cstheme="minorHAnsi"/>
        </w:rPr>
        <w:t xml:space="preserve"> </w:t>
      </w:r>
      <w:r w:rsidRPr="0018531C">
        <w:rPr>
          <w:rFonts w:cstheme="minorHAnsi"/>
        </w:rPr>
        <w:t>singleton</w:t>
      </w:r>
      <w:r w:rsidR="0097197E">
        <w:rPr>
          <w:rFonts w:cstheme="minorHAnsi"/>
        </w:rPr>
        <w:t xml:space="preserve"> tubular</w:t>
      </w:r>
      <w:r w:rsidRPr="0018531C">
        <w:rPr>
          <w:rFonts w:cstheme="minorHAnsi"/>
        </w:rPr>
        <w:t xml:space="preserve"> </w:t>
      </w:r>
      <w:r w:rsidR="0018531C" w:rsidRPr="0018531C">
        <w:rPr>
          <w:rFonts w:cstheme="minorHAnsi"/>
        </w:rPr>
        <w:t>ectopic pregnancy,</w:t>
      </w:r>
      <w:r w:rsidRPr="0018531C">
        <w:rPr>
          <w:rFonts w:cstheme="minorHAnsi"/>
        </w:rPr>
        <w:t xml:space="preserve"> </w:t>
      </w:r>
      <w:r w:rsidR="000A6145">
        <w:rPr>
          <w:rFonts w:cstheme="minorHAnsi"/>
        </w:rPr>
        <w:t>diagno</w:t>
      </w:r>
      <w:r w:rsidR="0097197E">
        <w:rPr>
          <w:rFonts w:cstheme="minorHAnsi"/>
        </w:rPr>
        <w:t>sed by transvaginal ultrasound.</w:t>
      </w:r>
      <w:r w:rsidRPr="00573F36">
        <w:rPr>
          <w:rFonts w:cstheme="minorHAnsi"/>
        </w:rPr>
        <w:t xml:space="preserve"> </w:t>
      </w:r>
      <w:r w:rsidRPr="00ED4997">
        <w:rPr>
          <w:rFonts w:cstheme="minorHAnsi"/>
        </w:rPr>
        <w:t>Additional</w:t>
      </w:r>
      <w:r w:rsidR="00ED4997" w:rsidRPr="00ED4997">
        <w:rPr>
          <w:rFonts w:cstheme="minorHAnsi"/>
        </w:rPr>
        <w:t xml:space="preserve">ly, the woman must </w:t>
      </w:r>
      <w:r w:rsidR="00034933">
        <w:rPr>
          <w:rFonts w:cstheme="minorHAnsi"/>
        </w:rPr>
        <w:t xml:space="preserve">meet strict inclusion and exclusion criteria, </w:t>
      </w:r>
      <w:r w:rsidR="009C0DFA">
        <w:rPr>
          <w:rFonts w:cstheme="minorHAnsi"/>
        </w:rPr>
        <w:t xml:space="preserve">as </w:t>
      </w:r>
      <w:r w:rsidR="00034933">
        <w:rPr>
          <w:rFonts w:cstheme="minorHAnsi"/>
        </w:rPr>
        <w:t xml:space="preserve">outlined in </w:t>
      </w:r>
      <w:r w:rsidR="00034933">
        <w:rPr>
          <w:rFonts w:cstheme="minorHAnsi"/>
          <w:i/>
        </w:rPr>
        <w:t xml:space="preserve">Sections 4.2 </w:t>
      </w:r>
      <w:r w:rsidR="00034933">
        <w:rPr>
          <w:rFonts w:cstheme="minorHAnsi"/>
        </w:rPr>
        <w:t xml:space="preserve">and </w:t>
      </w:r>
      <w:r w:rsidR="00034933">
        <w:rPr>
          <w:rFonts w:cstheme="minorHAnsi"/>
          <w:i/>
        </w:rPr>
        <w:t>4.3</w:t>
      </w:r>
      <w:r w:rsidR="00034933">
        <w:rPr>
          <w:rFonts w:cstheme="minorHAnsi"/>
        </w:rPr>
        <w:t>.</w:t>
      </w:r>
      <w:r w:rsidR="009011C8">
        <w:rPr>
          <w:rFonts w:cstheme="minorHAnsi"/>
        </w:rPr>
        <w:t xml:space="preserve"> </w:t>
      </w:r>
      <w:r w:rsidRPr="00ED6752">
        <w:rPr>
          <w:rFonts w:cstheme="minorHAnsi"/>
        </w:rPr>
        <w:t>These parameters will be applied to determine eligibility for the study for all women referred to or identified by the research team</w:t>
      </w:r>
      <w:r w:rsidR="009011C8">
        <w:rPr>
          <w:rFonts w:cstheme="minorHAnsi"/>
        </w:rPr>
        <w:t xml:space="preserve"> as being potentially appropriate for this study</w:t>
      </w:r>
      <w:r w:rsidRPr="00ED6752">
        <w:rPr>
          <w:rFonts w:cstheme="minorHAnsi"/>
        </w:rPr>
        <w:t>. Eligi</w:t>
      </w:r>
      <w:r w:rsidR="00B456F9">
        <w:rPr>
          <w:rFonts w:cstheme="minorHAnsi"/>
        </w:rPr>
        <w:t>bility (or non-eligibility) should</w:t>
      </w:r>
      <w:r w:rsidRPr="00ED6752">
        <w:rPr>
          <w:rFonts w:cstheme="minorHAnsi"/>
        </w:rPr>
        <w:t xml:space="preserve"> be documented by a member of the research team in the medical history of all patients screened for inclusion in the study. </w:t>
      </w:r>
    </w:p>
    <w:p w14:paraId="7E16EC94" w14:textId="77777777" w:rsidR="00B964A7" w:rsidRPr="00B05FFC" w:rsidRDefault="00B964A7" w:rsidP="00B964A7">
      <w:pPr>
        <w:rPr>
          <w:rFonts w:cstheme="minorHAnsi"/>
          <w:b/>
        </w:rPr>
      </w:pPr>
    </w:p>
    <w:p w14:paraId="507EE446" w14:textId="77777777" w:rsidR="00B964A7" w:rsidRDefault="00B964A7" w:rsidP="00B02582">
      <w:pPr>
        <w:pStyle w:val="ListParagraph"/>
        <w:numPr>
          <w:ilvl w:val="1"/>
          <w:numId w:val="1"/>
        </w:numPr>
        <w:outlineLvl w:val="1"/>
        <w:rPr>
          <w:rFonts w:cstheme="minorHAnsi"/>
          <w:b/>
        </w:rPr>
      </w:pPr>
      <w:bookmarkStart w:id="72" w:name="_Toc473873082"/>
      <w:bookmarkStart w:id="73" w:name="_Toc489888075"/>
      <w:r w:rsidRPr="00B05FFC">
        <w:rPr>
          <w:rFonts w:cstheme="minorHAnsi"/>
          <w:b/>
        </w:rPr>
        <w:t>INELIGIBLE AND NON-RECRUITED PARTICIPANTS</w:t>
      </w:r>
      <w:bookmarkEnd w:id="72"/>
      <w:bookmarkEnd w:id="73"/>
    </w:p>
    <w:p w14:paraId="2F082AAC" w14:textId="7CD09E66" w:rsidR="00B964A7" w:rsidRPr="001F629E" w:rsidRDefault="00B964A7" w:rsidP="00B964A7">
      <w:pPr>
        <w:rPr>
          <w:rFonts w:cstheme="minorHAnsi"/>
        </w:rPr>
      </w:pPr>
      <w:r w:rsidRPr="001F629E">
        <w:rPr>
          <w:rFonts w:cstheme="minorHAnsi"/>
        </w:rPr>
        <w:t>No further information will be collected on women once they are deemed to be ineligible to participate in the study, or once they decline or withdraw consent for their inclusion. Anonymised information will be collected on a password protected, online screening log</w:t>
      </w:r>
      <w:r w:rsidR="00354E9E">
        <w:rPr>
          <w:rFonts w:cstheme="minorHAnsi"/>
        </w:rPr>
        <w:t xml:space="preserve"> (using REDCap software</w:t>
      </w:r>
      <w:r w:rsidR="00E53D18">
        <w:rPr>
          <w:rFonts w:cstheme="minorHAnsi"/>
        </w:rPr>
        <w:t xml:space="preserve"> via the University of Melbourne online portal</w:t>
      </w:r>
      <w:r w:rsidR="00354E9E">
        <w:rPr>
          <w:rFonts w:cstheme="minorHAnsi"/>
        </w:rPr>
        <w:t>)</w:t>
      </w:r>
      <w:r w:rsidRPr="001F629E">
        <w:rPr>
          <w:rFonts w:cstheme="minorHAnsi"/>
        </w:rPr>
        <w:t xml:space="preserve"> to capture all patients assessed for their eligibility, whether or not they are recruited. Those women who are not recruited into the study or who withdraw their consent to </w:t>
      </w:r>
      <w:r w:rsidRPr="001F629E">
        <w:rPr>
          <w:rFonts w:cstheme="minorHAnsi"/>
        </w:rPr>
        <w:lastRenderedPageBreak/>
        <w:t>participate will continue with standard clinical care for the</w:t>
      </w:r>
      <w:r w:rsidR="001F629E" w:rsidRPr="001F629E">
        <w:rPr>
          <w:rFonts w:cstheme="minorHAnsi"/>
        </w:rPr>
        <w:t xml:space="preserve"> treatment of their stable ectopic pregnancy</w:t>
      </w:r>
      <w:r w:rsidR="00EA2B24">
        <w:rPr>
          <w:rFonts w:cstheme="minorHAnsi"/>
        </w:rPr>
        <w:t>, as per NSH guidelines</w:t>
      </w:r>
      <w:r w:rsidR="001F629E" w:rsidRPr="001F629E">
        <w:rPr>
          <w:rFonts w:cstheme="minorHAnsi"/>
        </w:rPr>
        <w:t xml:space="preserve"> and </w:t>
      </w:r>
      <w:r w:rsidR="00EA2B24">
        <w:rPr>
          <w:rFonts w:cstheme="minorHAnsi"/>
        </w:rPr>
        <w:t xml:space="preserve">the </w:t>
      </w:r>
      <w:r w:rsidR="001F629E" w:rsidRPr="001F629E">
        <w:rPr>
          <w:rFonts w:cstheme="minorHAnsi"/>
        </w:rPr>
        <w:t>treating medical</w:t>
      </w:r>
      <w:r w:rsidRPr="001F629E">
        <w:rPr>
          <w:rFonts w:cstheme="minorHAnsi"/>
        </w:rPr>
        <w:t xml:space="preserve"> unit</w:t>
      </w:r>
      <w:r w:rsidR="00EA2B24">
        <w:rPr>
          <w:rFonts w:cstheme="minorHAnsi"/>
        </w:rPr>
        <w:t>’s</w:t>
      </w:r>
      <w:r w:rsidRPr="001F629E">
        <w:rPr>
          <w:rFonts w:cstheme="minorHAnsi"/>
        </w:rPr>
        <w:t xml:space="preserve"> instruction</w:t>
      </w:r>
      <w:r w:rsidR="00EA2B24">
        <w:rPr>
          <w:rFonts w:cstheme="minorHAnsi"/>
        </w:rPr>
        <w:t>s</w:t>
      </w:r>
      <w:r w:rsidRPr="001F629E">
        <w:rPr>
          <w:rFonts w:cstheme="minorHAnsi"/>
        </w:rPr>
        <w:t>.</w:t>
      </w:r>
    </w:p>
    <w:p w14:paraId="6759C8C5" w14:textId="77777777" w:rsidR="00B964A7" w:rsidRPr="00B05FFC" w:rsidRDefault="00B964A7" w:rsidP="00B964A7">
      <w:pPr>
        <w:pStyle w:val="ListParagraph"/>
        <w:rPr>
          <w:rFonts w:cstheme="minorHAnsi"/>
          <w:b/>
        </w:rPr>
      </w:pPr>
    </w:p>
    <w:p w14:paraId="7A7827EC" w14:textId="77777777" w:rsidR="00B964A7" w:rsidRDefault="00B964A7" w:rsidP="00B02582">
      <w:pPr>
        <w:pStyle w:val="ListParagraph"/>
        <w:numPr>
          <w:ilvl w:val="1"/>
          <w:numId w:val="1"/>
        </w:numPr>
        <w:outlineLvl w:val="1"/>
        <w:rPr>
          <w:rFonts w:cstheme="minorHAnsi"/>
          <w:b/>
        </w:rPr>
      </w:pPr>
      <w:bookmarkStart w:id="74" w:name="_Toc489888076"/>
      <w:bookmarkStart w:id="75" w:name="_Toc473873083"/>
      <w:r>
        <w:rPr>
          <w:rFonts w:cstheme="minorHAnsi"/>
          <w:b/>
        </w:rPr>
        <w:t>RANDOMISATION</w:t>
      </w:r>
      <w:bookmarkEnd w:id="74"/>
    </w:p>
    <w:p w14:paraId="6EA07A53" w14:textId="77777777" w:rsidR="00B964A7" w:rsidRDefault="00B964A7" w:rsidP="00B964A7">
      <w:pPr>
        <w:rPr>
          <w:rFonts w:cstheme="minorHAnsi"/>
        </w:rPr>
      </w:pPr>
      <w:r>
        <w:rPr>
          <w:rFonts w:cstheme="minorHAnsi"/>
        </w:rPr>
        <w:t>Not applicable – this is a single arm, unblinded study.</w:t>
      </w:r>
    </w:p>
    <w:p w14:paraId="1D81AA15" w14:textId="77777777" w:rsidR="00B964A7" w:rsidRPr="00F638BC" w:rsidRDefault="00B964A7" w:rsidP="00B964A7">
      <w:pPr>
        <w:rPr>
          <w:rFonts w:cstheme="minorHAnsi"/>
        </w:rPr>
      </w:pPr>
    </w:p>
    <w:p w14:paraId="126698B6" w14:textId="77777777" w:rsidR="00B964A7" w:rsidRDefault="00B964A7" w:rsidP="00B02582">
      <w:pPr>
        <w:pStyle w:val="ListParagraph"/>
        <w:numPr>
          <w:ilvl w:val="2"/>
          <w:numId w:val="1"/>
        </w:numPr>
        <w:outlineLvl w:val="2"/>
        <w:rPr>
          <w:rFonts w:cstheme="minorHAnsi"/>
          <w:b/>
        </w:rPr>
      </w:pPr>
      <w:bookmarkStart w:id="76" w:name="_Toc489888077"/>
      <w:r>
        <w:rPr>
          <w:rFonts w:cstheme="minorHAnsi"/>
          <w:b/>
        </w:rPr>
        <w:t>Treatment Allocation</w:t>
      </w:r>
      <w:bookmarkEnd w:id="76"/>
    </w:p>
    <w:p w14:paraId="04FD309F" w14:textId="77777777" w:rsidR="00B964A7" w:rsidRDefault="00B964A7" w:rsidP="00B964A7">
      <w:pPr>
        <w:rPr>
          <w:rFonts w:cstheme="minorHAnsi"/>
        </w:rPr>
      </w:pPr>
      <w:r>
        <w:rPr>
          <w:rFonts w:cstheme="minorHAnsi"/>
        </w:rPr>
        <w:t>Not applicable.</w:t>
      </w:r>
    </w:p>
    <w:p w14:paraId="003F0793" w14:textId="77777777" w:rsidR="00B964A7" w:rsidRPr="00F638BC" w:rsidRDefault="00B964A7" w:rsidP="00B964A7">
      <w:pPr>
        <w:rPr>
          <w:rFonts w:cstheme="minorHAnsi"/>
        </w:rPr>
      </w:pPr>
    </w:p>
    <w:p w14:paraId="0D1254A4" w14:textId="77777777" w:rsidR="00B964A7" w:rsidRDefault="00B964A7" w:rsidP="00B02582">
      <w:pPr>
        <w:pStyle w:val="ListParagraph"/>
        <w:numPr>
          <w:ilvl w:val="2"/>
          <w:numId w:val="1"/>
        </w:numPr>
        <w:outlineLvl w:val="2"/>
        <w:rPr>
          <w:rFonts w:cstheme="minorHAnsi"/>
          <w:b/>
        </w:rPr>
      </w:pPr>
      <w:bookmarkStart w:id="77" w:name="_Toc489888078"/>
      <w:r>
        <w:rPr>
          <w:rFonts w:cstheme="minorHAnsi"/>
          <w:b/>
        </w:rPr>
        <w:t>Emergency Unblinding Procedures</w:t>
      </w:r>
      <w:bookmarkEnd w:id="77"/>
    </w:p>
    <w:p w14:paraId="1345E0F0" w14:textId="77777777" w:rsidR="00B964A7" w:rsidRDefault="00B964A7" w:rsidP="00B964A7">
      <w:pPr>
        <w:rPr>
          <w:rFonts w:cstheme="minorHAnsi"/>
        </w:rPr>
      </w:pPr>
      <w:r>
        <w:rPr>
          <w:rFonts w:cstheme="minorHAnsi"/>
        </w:rPr>
        <w:t>Not applicable.</w:t>
      </w:r>
    </w:p>
    <w:p w14:paraId="7AD3125E" w14:textId="77777777" w:rsidR="00B964A7" w:rsidRPr="00F638BC" w:rsidRDefault="00B964A7" w:rsidP="00B964A7">
      <w:pPr>
        <w:outlineLvl w:val="1"/>
        <w:rPr>
          <w:rFonts w:cstheme="minorHAnsi"/>
        </w:rPr>
      </w:pPr>
    </w:p>
    <w:p w14:paraId="0E74A423" w14:textId="77777777" w:rsidR="00B964A7" w:rsidRPr="00B05FFC" w:rsidRDefault="00B964A7" w:rsidP="00B02582">
      <w:pPr>
        <w:pStyle w:val="ListParagraph"/>
        <w:numPr>
          <w:ilvl w:val="1"/>
          <w:numId w:val="1"/>
        </w:numPr>
        <w:outlineLvl w:val="1"/>
        <w:rPr>
          <w:rFonts w:cstheme="minorHAnsi"/>
          <w:b/>
        </w:rPr>
      </w:pPr>
      <w:bookmarkStart w:id="78" w:name="_Toc489888079"/>
      <w:r w:rsidRPr="00B05FFC">
        <w:rPr>
          <w:rFonts w:cstheme="minorHAnsi"/>
          <w:b/>
        </w:rPr>
        <w:t>WITHDRAWAL OF STUDY PARTICIPANTS</w:t>
      </w:r>
      <w:bookmarkEnd w:id="75"/>
      <w:bookmarkEnd w:id="78"/>
    </w:p>
    <w:p w14:paraId="2BC997E0" w14:textId="5F19DD1A" w:rsidR="00B964A7" w:rsidRPr="004C24A8" w:rsidRDefault="00B964A7" w:rsidP="00B964A7">
      <w:pPr>
        <w:rPr>
          <w:rFonts w:cstheme="minorHAnsi"/>
        </w:rPr>
      </w:pPr>
      <w:r w:rsidRPr="004C24A8">
        <w:rPr>
          <w:rFonts w:cstheme="minorHAnsi"/>
        </w:rPr>
        <w:t xml:space="preserve">Participation in the study is completely voluntary. Participants will be made aware of their ongoing right to </w:t>
      </w:r>
      <w:r w:rsidR="004C24A8" w:rsidRPr="004C24A8">
        <w:rPr>
          <w:rFonts w:cstheme="minorHAnsi"/>
        </w:rPr>
        <w:t>discontinue taking vinorelbine</w:t>
      </w:r>
      <w:r w:rsidRPr="004C24A8">
        <w:rPr>
          <w:rFonts w:cstheme="minorHAnsi"/>
        </w:rPr>
        <w:t xml:space="preserve"> or to withdraw entirely from the study at any time, and for any reason. The research team also retains the right to discontinue a parti</w:t>
      </w:r>
      <w:r w:rsidR="004C24A8" w:rsidRPr="004C24A8">
        <w:rPr>
          <w:rFonts w:cstheme="minorHAnsi"/>
        </w:rPr>
        <w:t>cipant from receiving vinorelbine</w:t>
      </w:r>
      <w:r w:rsidRPr="004C24A8">
        <w:rPr>
          <w:rFonts w:cstheme="minorHAnsi"/>
        </w:rPr>
        <w:t xml:space="preserve"> and initiating their withdrawal from the study at any time, if it is deemed by </w:t>
      </w:r>
      <w:r w:rsidR="0079614E">
        <w:rPr>
          <w:rFonts w:cstheme="minorHAnsi"/>
        </w:rPr>
        <w:t>the PI or lead clinician</w:t>
      </w:r>
      <w:r w:rsidRPr="004C24A8">
        <w:rPr>
          <w:rFonts w:cstheme="minorHAnsi"/>
        </w:rPr>
        <w:t xml:space="preserve"> to be in</w:t>
      </w:r>
      <w:r w:rsidR="00C17EF3">
        <w:rPr>
          <w:rFonts w:cstheme="minorHAnsi"/>
        </w:rPr>
        <w:t xml:space="preserve"> the participant</w:t>
      </w:r>
      <w:r w:rsidR="004C24A8" w:rsidRPr="004C24A8">
        <w:rPr>
          <w:rFonts w:cstheme="minorHAnsi"/>
        </w:rPr>
        <w:t>’s</w:t>
      </w:r>
      <w:r w:rsidRPr="004C24A8">
        <w:rPr>
          <w:rFonts w:cstheme="minorHAnsi"/>
        </w:rPr>
        <w:t xml:space="preserve"> best interest(s).</w:t>
      </w:r>
    </w:p>
    <w:p w14:paraId="6FD438F3" w14:textId="7EFBE380" w:rsidR="00B964A7" w:rsidRPr="004C24A8" w:rsidRDefault="00B964A7" w:rsidP="00B964A7">
      <w:pPr>
        <w:rPr>
          <w:rFonts w:cstheme="minorHAnsi"/>
        </w:rPr>
      </w:pPr>
      <w:r w:rsidRPr="004C24A8">
        <w:rPr>
          <w:rFonts w:cstheme="minorHAnsi"/>
        </w:rPr>
        <w:t xml:space="preserve">If a participant is withdrawn from the study by a researcher due to a </w:t>
      </w:r>
      <w:r w:rsidRPr="004C24A8">
        <w:rPr>
          <w:rFonts w:cstheme="minorHAnsi"/>
          <w:i/>
        </w:rPr>
        <w:t xml:space="preserve">Serious Adverse Event </w:t>
      </w:r>
      <w:r w:rsidR="004E6331">
        <w:rPr>
          <w:rFonts w:cstheme="minorHAnsi"/>
        </w:rPr>
        <w:t xml:space="preserve">(SAE), the </w:t>
      </w:r>
      <w:r w:rsidR="0079614E">
        <w:rPr>
          <w:rFonts w:cstheme="minorHAnsi"/>
        </w:rPr>
        <w:t>PI</w:t>
      </w:r>
      <w:r w:rsidRPr="004C24A8">
        <w:rPr>
          <w:rFonts w:cstheme="minorHAnsi"/>
        </w:rPr>
        <w:t xml:space="preserve"> will arrange for medical follow-up visits or other contact with the treating hospital until the event has been resolved or stabilised. Any data collected from the participant up until their removal from the study will still be used in statistical analyses, unless this is specifically refused by the participant.</w:t>
      </w:r>
    </w:p>
    <w:p w14:paraId="3B99B48B" w14:textId="77777777" w:rsidR="00B964A7" w:rsidRPr="004C24A8" w:rsidRDefault="00B964A7" w:rsidP="00B964A7">
      <w:pPr>
        <w:rPr>
          <w:rFonts w:cstheme="minorHAnsi"/>
        </w:rPr>
      </w:pPr>
      <w:r w:rsidRPr="004C24A8">
        <w:rPr>
          <w:rFonts w:cstheme="minorHAnsi"/>
        </w:rPr>
        <w:t>If a participant withdraws their consent to the study at any point, no further data will be collected about them by the research team. However, permission will be sought to continue using anonymised data and research samples collected from the participant up until the point of withdrawal. The research team will attempt to identify with the participant the reason/s for their withdrawal, in case a study protocol amendment and/or medical follow-up visits are warranted.</w:t>
      </w:r>
    </w:p>
    <w:p w14:paraId="12B0127D" w14:textId="77777777" w:rsidR="00B964A7" w:rsidRPr="004C24A8" w:rsidRDefault="00B964A7" w:rsidP="00B964A7">
      <w:pPr>
        <w:rPr>
          <w:rFonts w:cstheme="minorHAnsi"/>
        </w:rPr>
      </w:pPr>
      <w:r w:rsidRPr="004C24A8">
        <w:rPr>
          <w:rFonts w:cstheme="minorHAnsi"/>
        </w:rPr>
        <w:t xml:space="preserve">The research team will make reasonable attempts (i.e. attempting to make contact on </w:t>
      </w:r>
      <w:r w:rsidRPr="004C24A8">
        <w:rPr>
          <w:rFonts w:ascii="Bell MT" w:hAnsi="Bell MT" w:cstheme="minorHAnsi"/>
        </w:rPr>
        <w:t>≥</w:t>
      </w:r>
      <w:r w:rsidRPr="004C24A8">
        <w:rPr>
          <w:rFonts w:cstheme="minorHAnsi"/>
        </w:rPr>
        <w:t>3 occasions, using more than one mode of communication) to locate a participant before they are deemed to be ‘lost to follow-up’. If a participant is deemed to be lost to follow-up, but has not indicated to the research team that they wish to be withdrawn from the study, their anonymised data and any collected samples will still be used in the final analysis.</w:t>
      </w:r>
    </w:p>
    <w:p w14:paraId="07C1FEA9" w14:textId="77777777" w:rsidR="00B964A7" w:rsidRDefault="00B964A7" w:rsidP="00B964A7">
      <w:pPr>
        <w:rPr>
          <w:rFonts w:cstheme="minorHAnsi"/>
          <w:b/>
        </w:rPr>
      </w:pPr>
    </w:p>
    <w:p w14:paraId="604F4614" w14:textId="77777777" w:rsidR="00F5300A" w:rsidRPr="00B05FFC" w:rsidRDefault="00F5300A" w:rsidP="00B964A7">
      <w:pPr>
        <w:rPr>
          <w:rFonts w:cstheme="minorHAnsi"/>
          <w:b/>
        </w:rPr>
      </w:pPr>
    </w:p>
    <w:p w14:paraId="3853442E" w14:textId="77777777" w:rsidR="00B964A7" w:rsidRDefault="00B964A7" w:rsidP="00B02582">
      <w:pPr>
        <w:pStyle w:val="ListParagraph"/>
        <w:numPr>
          <w:ilvl w:val="0"/>
          <w:numId w:val="1"/>
        </w:numPr>
        <w:outlineLvl w:val="0"/>
        <w:rPr>
          <w:rFonts w:cstheme="minorHAnsi"/>
          <w:b/>
        </w:rPr>
      </w:pPr>
      <w:bookmarkStart w:id="79" w:name="_Toc473873084"/>
      <w:bookmarkStart w:id="80" w:name="_Toc489888080"/>
      <w:r w:rsidRPr="00B05FFC">
        <w:rPr>
          <w:rFonts w:cstheme="minorHAnsi"/>
          <w:b/>
        </w:rPr>
        <w:lastRenderedPageBreak/>
        <w:t>INVESTIGATIONAL MEDICINAL PRODUCT</w:t>
      </w:r>
      <w:bookmarkEnd w:id="79"/>
      <w:bookmarkEnd w:id="80"/>
      <w:r w:rsidRPr="00B05FFC">
        <w:rPr>
          <w:rFonts w:cstheme="minorHAnsi"/>
          <w:b/>
        </w:rPr>
        <w:t xml:space="preserve"> </w:t>
      </w:r>
    </w:p>
    <w:p w14:paraId="6D6B67AF" w14:textId="77777777" w:rsidR="00B02582" w:rsidRPr="0000522B" w:rsidRDefault="00B02582" w:rsidP="00B02582">
      <w:pPr>
        <w:pStyle w:val="ListParagraph"/>
        <w:outlineLvl w:val="0"/>
        <w:rPr>
          <w:rFonts w:cstheme="minorHAnsi"/>
          <w:b/>
        </w:rPr>
      </w:pPr>
    </w:p>
    <w:p w14:paraId="4C758FA5" w14:textId="77777777" w:rsidR="00B964A7" w:rsidRPr="00B05FFC" w:rsidRDefault="00B964A7" w:rsidP="00B02582">
      <w:pPr>
        <w:pStyle w:val="ListParagraph"/>
        <w:numPr>
          <w:ilvl w:val="1"/>
          <w:numId w:val="1"/>
        </w:numPr>
        <w:outlineLvl w:val="1"/>
        <w:rPr>
          <w:rFonts w:cstheme="minorHAnsi"/>
          <w:b/>
        </w:rPr>
      </w:pPr>
      <w:bookmarkStart w:id="81" w:name="_Toc473873085"/>
      <w:bookmarkStart w:id="82" w:name="_Toc489888081"/>
      <w:r w:rsidRPr="00B05FFC">
        <w:rPr>
          <w:rFonts w:cstheme="minorHAnsi"/>
          <w:b/>
        </w:rPr>
        <w:t>STUDY DRUG</w:t>
      </w:r>
      <w:bookmarkEnd w:id="81"/>
      <w:bookmarkEnd w:id="82"/>
    </w:p>
    <w:p w14:paraId="55149C82" w14:textId="77777777" w:rsidR="00B964A7" w:rsidRDefault="000A473F" w:rsidP="00B964A7">
      <w:pPr>
        <w:rPr>
          <w:rFonts w:cstheme="minorHAnsi"/>
        </w:rPr>
      </w:pPr>
      <w:r>
        <w:rPr>
          <w:rFonts w:cstheme="minorHAnsi"/>
        </w:rPr>
        <w:t>Generic: Vinorelbine</w:t>
      </w:r>
    </w:p>
    <w:p w14:paraId="12C512D4" w14:textId="2771742D" w:rsidR="00B964A7" w:rsidRDefault="008215AD" w:rsidP="00B964A7">
      <w:pPr>
        <w:rPr>
          <w:rFonts w:cstheme="minorHAnsi"/>
        </w:rPr>
      </w:pPr>
      <w:r>
        <w:rPr>
          <w:rFonts w:cstheme="minorHAnsi"/>
        </w:rPr>
        <w:t>Traded as: Navelbine</w:t>
      </w:r>
      <w:r>
        <w:rPr>
          <w:rFonts w:ascii="Bell MT" w:hAnsi="Bell MT" w:cstheme="minorHAnsi"/>
        </w:rPr>
        <w:t>®</w:t>
      </w:r>
      <w:r w:rsidR="0093752F">
        <w:rPr>
          <w:rFonts w:cstheme="minorHAnsi"/>
        </w:rPr>
        <w:t xml:space="preserve"> </w:t>
      </w:r>
      <w:r w:rsidR="0093752F" w:rsidRPr="00284E9A">
        <w:rPr>
          <w:rFonts w:cstheme="minorHAnsi"/>
        </w:rPr>
        <w:t>O</w:t>
      </w:r>
      <w:r w:rsidRPr="00284E9A">
        <w:rPr>
          <w:rFonts w:cstheme="minorHAnsi"/>
        </w:rPr>
        <w:t>ral</w:t>
      </w:r>
      <w:r w:rsidR="0093752F" w:rsidRPr="00284E9A">
        <w:rPr>
          <w:rFonts w:cstheme="minorHAnsi"/>
        </w:rPr>
        <w:t xml:space="preserve"> 20 </w:t>
      </w:r>
      <w:r w:rsidR="00284E9A" w:rsidRPr="00284E9A">
        <w:rPr>
          <w:rFonts w:cstheme="minorHAnsi"/>
        </w:rPr>
        <w:t>mg and</w:t>
      </w:r>
      <w:r w:rsidR="00284E9A">
        <w:rPr>
          <w:rFonts w:cstheme="minorHAnsi"/>
        </w:rPr>
        <w:t xml:space="preserve"> Navelbine</w:t>
      </w:r>
      <w:r w:rsidR="00284E9A">
        <w:rPr>
          <w:rFonts w:ascii="Bell MT" w:hAnsi="Bell MT" w:cstheme="minorHAnsi"/>
        </w:rPr>
        <w:t>®</w:t>
      </w:r>
      <w:r w:rsidR="00284E9A">
        <w:rPr>
          <w:rFonts w:cstheme="minorHAnsi"/>
        </w:rPr>
        <w:t xml:space="preserve"> Oral 30 mg </w:t>
      </w:r>
      <w:r>
        <w:rPr>
          <w:rFonts w:cstheme="minorHAnsi"/>
        </w:rPr>
        <w:t xml:space="preserve">(Pierre Fabre </w:t>
      </w:r>
      <w:r w:rsidR="00B964A7">
        <w:rPr>
          <w:rFonts w:cstheme="minorHAnsi"/>
        </w:rPr>
        <w:t>Ltd.)</w:t>
      </w:r>
    </w:p>
    <w:p w14:paraId="2D6FFC33" w14:textId="77777777" w:rsidR="00FD1CA1" w:rsidRPr="00B05FFC" w:rsidRDefault="00FD1CA1" w:rsidP="00B964A7">
      <w:pPr>
        <w:rPr>
          <w:rFonts w:cstheme="minorHAnsi"/>
        </w:rPr>
      </w:pPr>
      <w:r>
        <w:rPr>
          <w:rFonts w:cstheme="minorHAnsi"/>
        </w:rPr>
        <w:t>Schedule: S4</w:t>
      </w:r>
    </w:p>
    <w:p w14:paraId="3C2AF84F" w14:textId="77777777" w:rsidR="00B964A7" w:rsidRPr="00B05FFC" w:rsidRDefault="00B964A7" w:rsidP="00B964A7">
      <w:pPr>
        <w:rPr>
          <w:rFonts w:cstheme="minorHAnsi"/>
        </w:rPr>
      </w:pPr>
    </w:p>
    <w:p w14:paraId="5784C8FD" w14:textId="1A1FCB5D" w:rsidR="00B964A7" w:rsidRPr="00B05FFC" w:rsidRDefault="00B964A7" w:rsidP="00B02582">
      <w:pPr>
        <w:pStyle w:val="ListParagraph"/>
        <w:numPr>
          <w:ilvl w:val="2"/>
          <w:numId w:val="1"/>
        </w:numPr>
        <w:outlineLvl w:val="2"/>
        <w:rPr>
          <w:rFonts w:cstheme="minorHAnsi"/>
          <w:b/>
        </w:rPr>
      </w:pPr>
      <w:bookmarkStart w:id="83" w:name="_Toc473873086"/>
      <w:bookmarkStart w:id="84" w:name="_Toc489888082"/>
      <w:r w:rsidRPr="00B05FFC">
        <w:rPr>
          <w:rFonts w:cstheme="minorHAnsi"/>
          <w:b/>
        </w:rPr>
        <w:t>Study drug identification</w:t>
      </w:r>
      <w:bookmarkEnd w:id="83"/>
      <w:r w:rsidR="00284E9A">
        <w:rPr>
          <w:rFonts w:cstheme="minorHAnsi"/>
          <w:b/>
        </w:rPr>
        <w:t xml:space="preserve"> and presentation</w:t>
      </w:r>
      <w:bookmarkEnd w:id="84"/>
    </w:p>
    <w:p w14:paraId="1C1F6708" w14:textId="77777777" w:rsidR="00B964A7" w:rsidRPr="00284E9A" w:rsidRDefault="00FD1CA1" w:rsidP="00B964A7">
      <w:pPr>
        <w:rPr>
          <w:rFonts w:cstheme="minorHAnsi"/>
          <w:color w:val="FF0000"/>
        </w:rPr>
      </w:pPr>
      <w:r>
        <w:rPr>
          <w:rFonts w:cstheme="minorHAnsi"/>
        </w:rPr>
        <w:t>Navelbine</w:t>
      </w:r>
      <w:r>
        <w:rPr>
          <w:rFonts w:ascii="Bell MT" w:hAnsi="Bell MT" w:cstheme="minorHAnsi"/>
        </w:rPr>
        <w:t>®</w:t>
      </w:r>
      <w:r>
        <w:rPr>
          <w:rFonts w:cstheme="minorHAnsi"/>
        </w:rPr>
        <w:t xml:space="preserve"> oral</w:t>
      </w:r>
      <w:r>
        <w:rPr>
          <w:rFonts w:cstheme="minorHAnsi"/>
          <w:color w:val="FF0000"/>
        </w:rPr>
        <w:t xml:space="preserve"> </w:t>
      </w:r>
      <w:r w:rsidRPr="0093752F">
        <w:rPr>
          <w:rFonts w:cstheme="minorHAnsi"/>
        </w:rPr>
        <w:t>(</w:t>
      </w:r>
      <w:r w:rsidRPr="00284E9A">
        <w:rPr>
          <w:rFonts w:cstheme="minorHAnsi"/>
        </w:rPr>
        <w:t xml:space="preserve">vinorelbine tartrate) </w:t>
      </w:r>
      <w:r w:rsidR="0093752F" w:rsidRPr="00284E9A">
        <w:rPr>
          <w:rFonts w:cstheme="minorHAnsi"/>
        </w:rPr>
        <w:t>– supplied in blister packs of 1 tablet</w:t>
      </w:r>
      <w:r w:rsidR="00B964A7" w:rsidRPr="00284E9A">
        <w:rPr>
          <w:rFonts w:cstheme="minorHAnsi"/>
        </w:rPr>
        <w:t xml:space="preserve">. </w:t>
      </w:r>
    </w:p>
    <w:p w14:paraId="664903B3" w14:textId="77777777" w:rsidR="00284E9A" w:rsidRDefault="00284E9A" w:rsidP="00B964A7">
      <w:pPr>
        <w:rPr>
          <w:rFonts w:cstheme="minorHAnsi"/>
        </w:rPr>
      </w:pPr>
    </w:p>
    <w:p w14:paraId="2B7C0F22" w14:textId="77777777" w:rsidR="00284E9A" w:rsidRDefault="00B964A7" w:rsidP="00B964A7">
      <w:pPr>
        <w:rPr>
          <w:rFonts w:cstheme="minorHAnsi"/>
        </w:rPr>
      </w:pPr>
      <w:r w:rsidRPr="00284E9A">
        <w:rPr>
          <w:rFonts w:cstheme="minorHAnsi"/>
        </w:rPr>
        <w:t xml:space="preserve">Physical description: </w:t>
      </w:r>
    </w:p>
    <w:p w14:paraId="7BC05E91" w14:textId="023471B3" w:rsidR="00B964A7" w:rsidRDefault="00284E9A" w:rsidP="00B964A7">
      <w:pPr>
        <w:rPr>
          <w:rFonts w:cstheme="minorHAnsi"/>
        </w:rPr>
      </w:pPr>
      <w:r>
        <w:rPr>
          <w:rFonts w:cstheme="minorHAnsi"/>
        </w:rPr>
        <w:t xml:space="preserve">20 mg tablets - </w:t>
      </w:r>
      <w:r w:rsidR="0093752F" w:rsidRPr="00284E9A">
        <w:rPr>
          <w:rFonts w:cstheme="minorHAnsi"/>
        </w:rPr>
        <w:t>Light brown, soft</w:t>
      </w:r>
      <w:r w:rsidR="006307F3" w:rsidRPr="00284E9A">
        <w:rPr>
          <w:rFonts w:cstheme="minorHAnsi"/>
        </w:rPr>
        <w:t xml:space="preserve"> gelatine</w:t>
      </w:r>
      <w:r w:rsidR="0093752F" w:rsidRPr="00284E9A">
        <w:rPr>
          <w:rFonts w:cstheme="minorHAnsi"/>
        </w:rPr>
        <w:t xml:space="preserve"> capsule, printed with ‘</w:t>
      </w:r>
      <w:r w:rsidR="0093752F" w:rsidRPr="00284E9A">
        <w:rPr>
          <w:rFonts w:cstheme="minorHAnsi"/>
          <w:i/>
        </w:rPr>
        <w:t>N20’.</w:t>
      </w:r>
      <w:r w:rsidR="0093752F" w:rsidRPr="006307F3">
        <w:rPr>
          <w:rFonts w:cstheme="minorHAnsi"/>
        </w:rPr>
        <w:t xml:space="preserve"> </w:t>
      </w:r>
    </w:p>
    <w:p w14:paraId="1727B6FB" w14:textId="4450AEA7" w:rsidR="00284E9A" w:rsidRDefault="00284E9A" w:rsidP="00B964A7">
      <w:pPr>
        <w:rPr>
          <w:rFonts w:cstheme="minorHAnsi"/>
        </w:rPr>
      </w:pPr>
      <w:r>
        <w:rPr>
          <w:rFonts w:cstheme="minorHAnsi"/>
        </w:rPr>
        <w:t xml:space="preserve">30mg tablets – Pink, soft gelatine capsule, printed with </w:t>
      </w:r>
      <w:r>
        <w:rPr>
          <w:rFonts w:cstheme="minorHAnsi"/>
          <w:i/>
        </w:rPr>
        <w:t>‘N30’</w:t>
      </w:r>
      <w:r>
        <w:rPr>
          <w:rFonts w:cstheme="minorHAnsi"/>
        </w:rPr>
        <w:t>.</w:t>
      </w:r>
    </w:p>
    <w:p w14:paraId="50C96063" w14:textId="3BE4E4E0" w:rsidR="00284E9A" w:rsidRPr="00284E9A" w:rsidRDefault="00284E9A" w:rsidP="00B964A7">
      <w:pPr>
        <w:rPr>
          <w:rFonts w:cstheme="minorHAnsi"/>
        </w:rPr>
      </w:pPr>
      <w:r>
        <w:rPr>
          <w:rFonts w:cstheme="minorHAnsi"/>
        </w:rPr>
        <w:t xml:space="preserve">(see </w:t>
      </w:r>
      <w:r>
        <w:rPr>
          <w:rFonts w:cstheme="minorHAnsi"/>
          <w:i/>
        </w:rPr>
        <w:t>Appen</w:t>
      </w:r>
      <w:r w:rsidR="000A2CEC">
        <w:rPr>
          <w:rFonts w:cstheme="minorHAnsi"/>
          <w:i/>
        </w:rPr>
        <w:t>dix 1</w:t>
      </w:r>
      <w:r>
        <w:rPr>
          <w:rFonts w:cstheme="minorHAnsi"/>
        </w:rPr>
        <w:t>).</w:t>
      </w:r>
    </w:p>
    <w:p w14:paraId="1DF8D784" w14:textId="77777777" w:rsidR="006307F3" w:rsidRPr="006307F3" w:rsidRDefault="006307F3" w:rsidP="00B964A7">
      <w:pPr>
        <w:rPr>
          <w:rFonts w:cstheme="minorHAnsi"/>
        </w:rPr>
      </w:pPr>
    </w:p>
    <w:p w14:paraId="6E7099B9" w14:textId="77777777" w:rsidR="00B964A7" w:rsidRDefault="00B964A7" w:rsidP="00B02582">
      <w:pPr>
        <w:pStyle w:val="ListParagraph"/>
        <w:numPr>
          <w:ilvl w:val="2"/>
          <w:numId w:val="1"/>
        </w:numPr>
        <w:outlineLvl w:val="2"/>
        <w:rPr>
          <w:rFonts w:cstheme="minorHAnsi"/>
          <w:b/>
        </w:rPr>
      </w:pPr>
      <w:bookmarkStart w:id="85" w:name="_Toc473873087"/>
      <w:bookmarkStart w:id="86" w:name="_Toc489888083"/>
      <w:r w:rsidRPr="00B05FFC">
        <w:rPr>
          <w:rFonts w:cstheme="minorHAnsi"/>
          <w:b/>
        </w:rPr>
        <w:t>Study drug manufacturer</w:t>
      </w:r>
      <w:bookmarkEnd w:id="85"/>
      <w:bookmarkEnd w:id="86"/>
    </w:p>
    <w:p w14:paraId="70C645F1" w14:textId="77777777" w:rsidR="00B964A7" w:rsidRPr="004A6D84" w:rsidRDefault="00122D42" w:rsidP="00B964A7">
      <w:pPr>
        <w:rPr>
          <w:rFonts w:cstheme="minorHAnsi"/>
        </w:rPr>
      </w:pPr>
      <w:r w:rsidRPr="004A6D84">
        <w:rPr>
          <w:rFonts w:cstheme="minorHAnsi"/>
        </w:rPr>
        <w:t>Pierre Fabre Médicament – Plantes et Industrie</w:t>
      </w:r>
    </w:p>
    <w:p w14:paraId="01761296" w14:textId="77777777" w:rsidR="00B964A7" w:rsidRPr="004A6D84" w:rsidRDefault="004A6D84" w:rsidP="00B964A7">
      <w:pPr>
        <w:rPr>
          <w:rFonts w:cstheme="minorHAnsi"/>
        </w:rPr>
      </w:pPr>
      <w:r w:rsidRPr="004A6D84">
        <w:rPr>
          <w:rFonts w:cstheme="minorHAnsi"/>
        </w:rPr>
        <w:t>16 Rue Jean Rostand</w:t>
      </w:r>
    </w:p>
    <w:p w14:paraId="29B3A47D" w14:textId="77777777" w:rsidR="00B964A7" w:rsidRPr="004A6D84" w:rsidRDefault="004A6D84" w:rsidP="00B964A7">
      <w:pPr>
        <w:rPr>
          <w:rFonts w:cstheme="minorHAnsi"/>
        </w:rPr>
      </w:pPr>
      <w:r w:rsidRPr="004A6D84">
        <w:rPr>
          <w:rFonts w:cstheme="minorHAnsi"/>
        </w:rPr>
        <w:t>Gaillac</w:t>
      </w:r>
    </w:p>
    <w:p w14:paraId="6BBA1864" w14:textId="77777777" w:rsidR="00B964A7" w:rsidRPr="004A6D84" w:rsidRDefault="004A6D84" w:rsidP="00B964A7">
      <w:pPr>
        <w:rPr>
          <w:rFonts w:cstheme="minorHAnsi"/>
        </w:rPr>
      </w:pPr>
      <w:r w:rsidRPr="004A6D84">
        <w:rPr>
          <w:rFonts w:cstheme="minorHAnsi"/>
        </w:rPr>
        <w:t>FRANCE          81600</w:t>
      </w:r>
    </w:p>
    <w:p w14:paraId="5D469685" w14:textId="77777777" w:rsidR="00B964A7" w:rsidRPr="004A6D84" w:rsidRDefault="00B964A7" w:rsidP="00B964A7">
      <w:pPr>
        <w:rPr>
          <w:rFonts w:cstheme="minorHAnsi"/>
        </w:rPr>
      </w:pPr>
      <w:r w:rsidRPr="004A6D84">
        <w:rPr>
          <w:rFonts w:cstheme="minorHAnsi"/>
        </w:rPr>
        <w:t>Tel: +</w:t>
      </w:r>
      <w:r w:rsidR="004A6D84" w:rsidRPr="004A6D84">
        <w:rPr>
          <w:rFonts w:cstheme="minorHAnsi"/>
        </w:rPr>
        <w:t>33 5 6381 2400</w:t>
      </w:r>
    </w:p>
    <w:p w14:paraId="78095AFB" w14:textId="77777777" w:rsidR="00B964A7" w:rsidRPr="004A6D84" w:rsidRDefault="004A6D84" w:rsidP="00B964A7">
      <w:pPr>
        <w:rPr>
          <w:rFonts w:cstheme="minorHAnsi"/>
        </w:rPr>
      </w:pPr>
      <w:r w:rsidRPr="004A6D84">
        <w:rPr>
          <w:rFonts w:cstheme="minorHAnsi"/>
        </w:rPr>
        <w:t xml:space="preserve">Web: </w:t>
      </w:r>
      <w:hyperlink r:id="rId24" w:history="1">
        <w:r w:rsidRPr="00FB5EBD">
          <w:rPr>
            <w:rStyle w:val="Hyperlink"/>
            <w:rFonts w:cstheme="minorHAnsi"/>
          </w:rPr>
          <w:t>https://www.pierre-fabre.com/en</w:t>
        </w:r>
      </w:hyperlink>
      <w:r>
        <w:rPr>
          <w:rFonts w:cstheme="minorHAnsi"/>
        </w:rPr>
        <w:t xml:space="preserve"> </w:t>
      </w:r>
      <w:r w:rsidRPr="004A6D84">
        <w:rPr>
          <w:rFonts w:cstheme="minorHAnsi"/>
        </w:rPr>
        <w:t xml:space="preserve"> </w:t>
      </w:r>
    </w:p>
    <w:p w14:paraId="19F45A41" w14:textId="77777777" w:rsidR="00B964A7" w:rsidRPr="00D35066" w:rsidRDefault="00B964A7" w:rsidP="00D35066">
      <w:pPr>
        <w:rPr>
          <w:rFonts w:cstheme="minorHAnsi"/>
        </w:rPr>
      </w:pPr>
    </w:p>
    <w:p w14:paraId="4E3727E2" w14:textId="77777777" w:rsidR="00B964A7" w:rsidRDefault="00B964A7" w:rsidP="00B964A7">
      <w:pPr>
        <w:pStyle w:val="ListParagraph"/>
        <w:ind w:left="0" w:firstLine="284"/>
        <w:rPr>
          <w:rFonts w:cstheme="minorHAnsi"/>
        </w:rPr>
      </w:pPr>
    </w:p>
    <w:p w14:paraId="11F5DFA7" w14:textId="77777777" w:rsidR="00D9066F" w:rsidRDefault="00D9066F" w:rsidP="00B964A7">
      <w:pPr>
        <w:pStyle w:val="ListParagraph"/>
        <w:ind w:left="0" w:firstLine="284"/>
        <w:rPr>
          <w:rFonts w:cstheme="minorHAnsi"/>
        </w:rPr>
      </w:pPr>
    </w:p>
    <w:p w14:paraId="2091D619" w14:textId="77777777" w:rsidR="00D9066F" w:rsidRDefault="00D9066F" w:rsidP="00B964A7">
      <w:pPr>
        <w:pStyle w:val="ListParagraph"/>
        <w:ind w:left="0" w:firstLine="284"/>
        <w:rPr>
          <w:rFonts w:cstheme="minorHAnsi"/>
        </w:rPr>
      </w:pPr>
    </w:p>
    <w:p w14:paraId="15CF3B0D" w14:textId="77777777" w:rsidR="00D9066F" w:rsidRDefault="00D9066F" w:rsidP="00B964A7">
      <w:pPr>
        <w:pStyle w:val="ListParagraph"/>
        <w:ind w:left="0" w:firstLine="284"/>
        <w:rPr>
          <w:rFonts w:cstheme="minorHAnsi"/>
        </w:rPr>
      </w:pPr>
    </w:p>
    <w:p w14:paraId="4A191D84" w14:textId="77777777" w:rsidR="00D9066F" w:rsidRDefault="00D9066F" w:rsidP="00B964A7">
      <w:pPr>
        <w:pStyle w:val="ListParagraph"/>
        <w:ind w:left="0" w:firstLine="284"/>
        <w:rPr>
          <w:rFonts w:cstheme="minorHAnsi"/>
        </w:rPr>
      </w:pPr>
    </w:p>
    <w:p w14:paraId="408E28D8" w14:textId="77777777" w:rsidR="00D9066F" w:rsidRDefault="00D9066F" w:rsidP="00B964A7">
      <w:pPr>
        <w:pStyle w:val="ListParagraph"/>
        <w:ind w:left="0" w:firstLine="284"/>
        <w:rPr>
          <w:rFonts w:cstheme="minorHAnsi"/>
        </w:rPr>
      </w:pPr>
    </w:p>
    <w:p w14:paraId="28C1C2C8" w14:textId="77777777" w:rsidR="00D9066F" w:rsidRPr="00193163" w:rsidRDefault="00D9066F" w:rsidP="00B964A7">
      <w:pPr>
        <w:pStyle w:val="ListParagraph"/>
        <w:ind w:left="0" w:firstLine="284"/>
        <w:rPr>
          <w:rFonts w:cstheme="minorHAnsi"/>
        </w:rPr>
      </w:pPr>
    </w:p>
    <w:p w14:paraId="3501F2C0" w14:textId="77777777" w:rsidR="00B964A7" w:rsidRDefault="00494CE2" w:rsidP="00B02582">
      <w:pPr>
        <w:pStyle w:val="ListParagraph"/>
        <w:numPr>
          <w:ilvl w:val="2"/>
          <w:numId w:val="1"/>
        </w:numPr>
        <w:outlineLvl w:val="2"/>
        <w:rPr>
          <w:rFonts w:cstheme="minorHAnsi"/>
          <w:b/>
        </w:rPr>
      </w:pPr>
      <w:bookmarkStart w:id="87" w:name="_Toc489888084"/>
      <w:r>
        <w:rPr>
          <w:rFonts w:cstheme="minorHAnsi"/>
          <w:b/>
        </w:rPr>
        <w:lastRenderedPageBreak/>
        <w:t>Medsafe</w:t>
      </w:r>
      <w:r w:rsidR="00522DE4">
        <w:rPr>
          <w:rFonts w:cstheme="minorHAnsi"/>
          <w:b/>
        </w:rPr>
        <w:t xml:space="preserve"> (NZ)</w:t>
      </w:r>
      <w:r w:rsidR="00114E14">
        <w:rPr>
          <w:rFonts w:cstheme="minorHAnsi"/>
          <w:b/>
        </w:rPr>
        <w:t xml:space="preserve"> and A</w:t>
      </w:r>
      <w:r w:rsidR="00522DE4">
        <w:rPr>
          <w:rFonts w:cstheme="minorHAnsi"/>
          <w:b/>
        </w:rPr>
        <w:t xml:space="preserve">ustralian </w:t>
      </w:r>
      <w:r w:rsidR="00114E14">
        <w:rPr>
          <w:rFonts w:cstheme="minorHAnsi"/>
          <w:b/>
        </w:rPr>
        <w:t>R</w:t>
      </w:r>
      <w:r w:rsidR="00522DE4">
        <w:rPr>
          <w:rFonts w:cstheme="minorHAnsi"/>
          <w:b/>
        </w:rPr>
        <w:t xml:space="preserve">egister of </w:t>
      </w:r>
      <w:r w:rsidR="00114E14">
        <w:rPr>
          <w:rFonts w:cstheme="minorHAnsi"/>
          <w:b/>
        </w:rPr>
        <w:t>T</w:t>
      </w:r>
      <w:r w:rsidR="00522DE4">
        <w:rPr>
          <w:rFonts w:cstheme="minorHAnsi"/>
          <w:b/>
        </w:rPr>
        <w:t xml:space="preserve">herapeutic </w:t>
      </w:r>
      <w:r w:rsidR="00114E14">
        <w:rPr>
          <w:rFonts w:cstheme="minorHAnsi"/>
          <w:b/>
        </w:rPr>
        <w:t>G</w:t>
      </w:r>
      <w:r w:rsidR="00522DE4">
        <w:rPr>
          <w:rFonts w:cstheme="minorHAnsi"/>
          <w:b/>
        </w:rPr>
        <w:t>oods (ARTG)</w:t>
      </w:r>
      <w:r w:rsidR="00B964A7">
        <w:rPr>
          <w:rFonts w:cstheme="minorHAnsi"/>
          <w:b/>
        </w:rPr>
        <w:t xml:space="preserve"> </w:t>
      </w:r>
      <w:r>
        <w:rPr>
          <w:rFonts w:cstheme="minorHAnsi"/>
          <w:b/>
        </w:rPr>
        <w:t>product detail</w:t>
      </w:r>
      <w:bookmarkEnd w:id="87"/>
    </w:p>
    <w:p w14:paraId="43B3F007" w14:textId="77777777" w:rsidR="0054450F" w:rsidRPr="00B05FFC" w:rsidRDefault="0054450F" w:rsidP="0054450F">
      <w:pPr>
        <w:pStyle w:val="ListParagraph"/>
        <w:ind w:left="2989"/>
        <w:outlineLvl w:val="2"/>
        <w:rPr>
          <w:rFonts w:cstheme="minorHAnsi"/>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4"/>
        <w:gridCol w:w="4775"/>
      </w:tblGrid>
      <w:tr w:rsidR="0054450F" w14:paraId="2B31CD86" w14:textId="77777777" w:rsidTr="00630EFC">
        <w:trPr>
          <w:trHeight w:val="3090"/>
        </w:trPr>
        <w:tc>
          <w:tcPr>
            <w:tcW w:w="4774" w:type="dxa"/>
            <w:tcBorders>
              <w:right w:val="single" w:sz="4" w:space="0" w:color="auto"/>
            </w:tcBorders>
          </w:tcPr>
          <w:p w14:paraId="690C0D17" w14:textId="77777777" w:rsidR="0054450F" w:rsidRPr="0054450F" w:rsidRDefault="0054450F" w:rsidP="0054450F">
            <w:pPr>
              <w:spacing w:line="276" w:lineRule="auto"/>
              <w:rPr>
                <w:rFonts w:cstheme="minorHAnsi"/>
              </w:rPr>
            </w:pPr>
            <w:r w:rsidRPr="0054450F">
              <w:rPr>
                <w:rFonts w:cstheme="minorHAnsi"/>
              </w:rPr>
              <w:t>Medsafe file reference: TT50-5769/1</w:t>
            </w:r>
          </w:p>
          <w:p w14:paraId="0E5F0F50" w14:textId="77777777" w:rsidR="00DE41BE" w:rsidRDefault="00DE41BE" w:rsidP="0054450F">
            <w:pPr>
              <w:spacing w:line="276" w:lineRule="auto"/>
              <w:rPr>
                <w:rFonts w:cstheme="minorHAnsi"/>
              </w:rPr>
            </w:pPr>
          </w:p>
          <w:p w14:paraId="6FDB2F60" w14:textId="77777777" w:rsidR="0054450F" w:rsidRPr="0054450F" w:rsidRDefault="0054450F" w:rsidP="0054450F">
            <w:pPr>
              <w:spacing w:line="276" w:lineRule="auto"/>
              <w:rPr>
                <w:rFonts w:cstheme="minorHAnsi"/>
              </w:rPr>
            </w:pPr>
            <w:r w:rsidRPr="0054450F">
              <w:rPr>
                <w:rFonts w:cstheme="minorHAnsi"/>
              </w:rPr>
              <w:t>Drug sponsor:</w:t>
            </w:r>
          </w:p>
          <w:p w14:paraId="46B5625F" w14:textId="77777777" w:rsidR="0054450F" w:rsidRPr="0054450F" w:rsidRDefault="0054450F" w:rsidP="0054450F">
            <w:pPr>
              <w:spacing w:line="276" w:lineRule="auto"/>
              <w:rPr>
                <w:rFonts w:cstheme="minorHAnsi"/>
              </w:rPr>
            </w:pPr>
            <w:r w:rsidRPr="0054450F">
              <w:rPr>
                <w:rFonts w:cstheme="minorHAnsi"/>
              </w:rPr>
              <w:t>New Zealand Medical and Scientific Ltd.</w:t>
            </w:r>
          </w:p>
          <w:p w14:paraId="378BB0F3" w14:textId="77777777" w:rsidR="0054450F" w:rsidRPr="0054450F" w:rsidRDefault="0054450F" w:rsidP="0054450F">
            <w:pPr>
              <w:spacing w:line="276" w:lineRule="auto"/>
              <w:rPr>
                <w:rFonts w:cstheme="minorHAnsi"/>
              </w:rPr>
            </w:pPr>
            <w:r w:rsidRPr="0054450F">
              <w:rPr>
                <w:rFonts w:cstheme="minorHAnsi"/>
              </w:rPr>
              <w:t>PO Box 132400</w:t>
            </w:r>
          </w:p>
          <w:p w14:paraId="05103D56" w14:textId="77777777" w:rsidR="0054450F" w:rsidRPr="0054450F" w:rsidRDefault="0054450F" w:rsidP="0054450F">
            <w:pPr>
              <w:spacing w:line="276" w:lineRule="auto"/>
              <w:rPr>
                <w:rFonts w:cstheme="minorHAnsi"/>
              </w:rPr>
            </w:pPr>
            <w:r w:rsidRPr="0054450F">
              <w:rPr>
                <w:rFonts w:cstheme="minorHAnsi"/>
              </w:rPr>
              <w:t>Sylvia Park</w:t>
            </w:r>
          </w:p>
          <w:p w14:paraId="5B0DC4A9" w14:textId="77777777" w:rsidR="00E62149" w:rsidRDefault="0054450F" w:rsidP="0054450F">
            <w:pPr>
              <w:spacing w:line="276" w:lineRule="auto"/>
              <w:rPr>
                <w:rFonts w:cstheme="minorHAnsi"/>
              </w:rPr>
            </w:pPr>
            <w:r w:rsidRPr="0054450F">
              <w:rPr>
                <w:rFonts w:cstheme="minorHAnsi"/>
              </w:rPr>
              <w:t>Auckland</w:t>
            </w:r>
            <w:r w:rsidR="00E62149">
              <w:rPr>
                <w:rFonts w:cstheme="minorHAnsi"/>
              </w:rPr>
              <w:t xml:space="preserve"> </w:t>
            </w:r>
          </w:p>
          <w:p w14:paraId="3A3E7EFB" w14:textId="77777777" w:rsidR="0054450F" w:rsidRPr="0054450F" w:rsidRDefault="00E62149" w:rsidP="0054450F">
            <w:pPr>
              <w:spacing w:line="276" w:lineRule="auto"/>
              <w:rPr>
                <w:rFonts w:cstheme="minorHAnsi"/>
              </w:rPr>
            </w:pPr>
            <w:r>
              <w:rPr>
                <w:rFonts w:cstheme="minorHAnsi"/>
              </w:rPr>
              <w:t xml:space="preserve">NEW ZEALAND          </w:t>
            </w:r>
            <w:r w:rsidR="0054450F" w:rsidRPr="0054450F">
              <w:rPr>
                <w:rFonts w:cstheme="minorHAnsi"/>
              </w:rPr>
              <w:t>1644</w:t>
            </w:r>
          </w:p>
          <w:p w14:paraId="0A9A3921" w14:textId="77777777" w:rsidR="0054450F" w:rsidRPr="0054450F" w:rsidRDefault="0054450F" w:rsidP="0054450F">
            <w:pPr>
              <w:spacing w:line="276" w:lineRule="auto"/>
              <w:rPr>
                <w:rFonts w:cstheme="minorHAnsi"/>
              </w:rPr>
            </w:pPr>
            <w:r w:rsidRPr="0054450F">
              <w:rPr>
                <w:rFonts w:cstheme="minorHAnsi"/>
              </w:rPr>
              <w:t>Tel: +64 9 259 4062</w:t>
            </w:r>
          </w:p>
          <w:p w14:paraId="598E6793" w14:textId="77777777" w:rsidR="0054450F" w:rsidRPr="0054450F" w:rsidRDefault="0054450F" w:rsidP="00630EFC">
            <w:pPr>
              <w:spacing w:line="276" w:lineRule="auto"/>
              <w:rPr>
                <w:rFonts w:cstheme="minorHAnsi"/>
              </w:rPr>
            </w:pPr>
            <w:r w:rsidRPr="0054450F">
              <w:rPr>
                <w:rFonts w:cstheme="minorHAnsi"/>
              </w:rPr>
              <w:t xml:space="preserve">Web: </w:t>
            </w:r>
            <w:hyperlink r:id="rId25" w:history="1">
              <w:r w:rsidRPr="00FB5EBD">
                <w:rPr>
                  <w:rStyle w:val="Hyperlink"/>
                </w:rPr>
                <w:t>http://www.nzms.co.nz/</w:t>
              </w:r>
            </w:hyperlink>
            <w:r>
              <w:t xml:space="preserve"> </w:t>
            </w:r>
            <w:r w:rsidRPr="00494CE2">
              <w:t xml:space="preserve"> </w:t>
            </w:r>
          </w:p>
        </w:tc>
        <w:tc>
          <w:tcPr>
            <w:tcW w:w="4775" w:type="dxa"/>
            <w:tcBorders>
              <w:left w:val="single" w:sz="4" w:space="0" w:color="auto"/>
            </w:tcBorders>
          </w:tcPr>
          <w:p w14:paraId="47286245" w14:textId="77777777" w:rsidR="0054450F" w:rsidRDefault="0031452D" w:rsidP="008A5085">
            <w:pPr>
              <w:spacing w:line="276" w:lineRule="auto"/>
              <w:ind w:left="188"/>
              <w:rPr>
                <w:rFonts w:cstheme="minorHAnsi"/>
              </w:rPr>
            </w:pPr>
            <w:r>
              <w:rPr>
                <w:rFonts w:cstheme="minorHAnsi"/>
              </w:rPr>
              <w:t>ARTG ID: 99557</w:t>
            </w:r>
          </w:p>
          <w:p w14:paraId="734ED22C" w14:textId="77777777" w:rsidR="00DE41BE" w:rsidRDefault="00DE41BE" w:rsidP="008A5085">
            <w:pPr>
              <w:spacing w:line="276" w:lineRule="auto"/>
              <w:ind w:left="188"/>
              <w:rPr>
                <w:rFonts w:cstheme="minorHAnsi"/>
              </w:rPr>
            </w:pPr>
          </w:p>
          <w:p w14:paraId="31E1CB69" w14:textId="27C006D3" w:rsidR="0031452D" w:rsidRDefault="00284E9A" w:rsidP="008A5085">
            <w:pPr>
              <w:spacing w:line="276" w:lineRule="auto"/>
              <w:ind w:left="188"/>
              <w:rPr>
                <w:rFonts w:cstheme="minorHAnsi"/>
              </w:rPr>
            </w:pPr>
            <w:r>
              <w:rPr>
                <w:rFonts w:cstheme="minorHAnsi"/>
              </w:rPr>
              <w:t>Drug s</w:t>
            </w:r>
            <w:r w:rsidR="0031452D">
              <w:rPr>
                <w:rFonts w:cstheme="minorHAnsi"/>
              </w:rPr>
              <w:t>ponsor:</w:t>
            </w:r>
          </w:p>
          <w:p w14:paraId="3E454480" w14:textId="77777777" w:rsidR="0031452D" w:rsidRDefault="00E62149" w:rsidP="008A5085">
            <w:pPr>
              <w:spacing w:line="276" w:lineRule="auto"/>
              <w:ind w:left="188"/>
              <w:rPr>
                <w:rFonts w:cstheme="minorHAnsi"/>
              </w:rPr>
            </w:pPr>
            <w:r>
              <w:rPr>
                <w:rFonts w:cstheme="minorHAnsi"/>
              </w:rPr>
              <w:t>Pierre Fabre Australia Pty. Ltd.</w:t>
            </w:r>
          </w:p>
          <w:p w14:paraId="0261B5AD" w14:textId="77777777" w:rsidR="00E62149" w:rsidRDefault="00E62149" w:rsidP="008A5085">
            <w:pPr>
              <w:spacing w:line="276" w:lineRule="auto"/>
              <w:ind w:left="188"/>
              <w:rPr>
                <w:rFonts w:cstheme="minorHAnsi"/>
              </w:rPr>
            </w:pPr>
            <w:r>
              <w:rPr>
                <w:rFonts w:cstheme="minorHAnsi"/>
              </w:rPr>
              <w:t>PO Box 6493</w:t>
            </w:r>
          </w:p>
          <w:p w14:paraId="798352C9" w14:textId="77777777" w:rsidR="00E62149" w:rsidRDefault="00E62149" w:rsidP="008A5085">
            <w:pPr>
              <w:spacing w:line="276" w:lineRule="auto"/>
              <w:ind w:left="188"/>
              <w:rPr>
                <w:rFonts w:cstheme="minorHAnsi"/>
              </w:rPr>
            </w:pPr>
            <w:r>
              <w:rPr>
                <w:rFonts w:cstheme="minorHAnsi"/>
              </w:rPr>
              <w:t>North Sydney</w:t>
            </w:r>
          </w:p>
          <w:p w14:paraId="3E0BD7EB" w14:textId="77777777" w:rsidR="00E62149" w:rsidRDefault="00E62149" w:rsidP="008A5085">
            <w:pPr>
              <w:spacing w:line="276" w:lineRule="auto"/>
              <w:ind w:left="188"/>
              <w:rPr>
                <w:rFonts w:cstheme="minorHAnsi"/>
              </w:rPr>
            </w:pPr>
            <w:r>
              <w:rPr>
                <w:rFonts w:cstheme="minorHAnsi"/>
              </w:rPr>
              <w:t>NSW</w:t>
            </w:r>
          </w:p>
          <w:p w14:paraId="67671654" w14:textId="77777777" w:rsidR="00E62149" w:rsidRDefault="00E62149" w:rsidP="008A5085">
            <w:pPr>
              <w:spacing w:line="276" w:lineRule="auto"/>
              <w:ind w:left="188"/>
              <w:rPr>
                <w:rFonts w:cstheme="minorHAnsi"/>
              </w:rPr>
            </w:pPr>
            <w:r>
              <w:rPr>
                <w:rFonts w:cstheme="minorHAnsi"/>
              </w:rPr>
              <w:t>AUSTRALIA          2059</w:t>
            </w:r>
          </w:p>
          <w:p w14:paraId="78D08B0D" w14:textId="77777777" w:rsidR="00E62149" w:rsidRDefault="00E62149" w:rsidP="008A5085">
            <w:pPr>
              <w:spacing w:line="276" w:lineRule="auto"/>
              <w:ind w:left="188"/>
              <w:rPr>
                <w:rFonts w:cstheme="minorHAnsi"/>
              </w:rPr>
            </w:pPr>
            <w:r>
              <w:rPr>
                <w:rFonts w:cstheme="minorHAnsi"/>
              </w:rPr>
              <w:t xml:space="preserve">Tel: +61 2 9195 </w:t>
            </w:r>
            <w:r w:rsidR="001C335A">
              <w:rPr>
                <w:rFonts w:cstheme="minorHAnsi"/>
              </w:rPr>
              <w:t>6200</w:t>
            </w:r>
            <w:r>
              <w:rPr>
                <w:rFonts w:cstheme="minorHAnsi"/>
              </w:rPr>
              <w:t xml:space="preserve"> </w:t>
            </w:r>
          </w:p>
          <w:p w14:paraId="73735932" w14:textId="77777777" w:rsidR="00E62149" w:rsidRDefault="00E62149" w:rsidP="008A5085">
            <w:pPr>
              <w:spacing w:line="276" w:lineRule="auto"/>
              <w:ind w:left="188"/>
              <w:rPr>
                <w:rFonts w:cstheme="minorHAnsi"/>
              </w:rPr>
            </w:pPr>
            <w:r>
              <w:rPr>
                <w:rFonts w:cstheme="minorHAnsi"/>
              </w:rPr>
              <w:t xml:space="preserve">Web: </w:t>
            </w:r>
            <w:hyperlink r:id="rId26" w:history="1">
              <w:r w:rsidRPr="00FB5EBD">
                <w:rPr>
                  <w:rStyle w:val="Hyperlink"/>
                  <w:rFonts w:cstheme="minorHAnsi"/>
                </w:rPr>
                <w:t>https://www.pierre-fabre.com/en/implantations/australia</w:t>
              </w:r>
            </w:hyperlink>
            <w:r>
              <w:rPr>
                <w:rFonts w:cstheme="minorHAnsi"/>
              </w:rPr>
              <w:t xml:space="preserve"> </w:t>
            </w:r>
          </w:p>
        </w:tc>
      </w:tr>
    </w:tbl>
    <w:p w14:paraId="78B08413" w14:textId="2C5A441B" w:rsidR="00630EFC" w:rsidRDefault="00B964A7" w:rsidP="00B964A7">
      <w:pPr>
        <w:rPr>
          <w:rFonts w:cstheme="minorHAnsi"/>
          <w:b/>
        </w:rPr>
      </w:pPr>
      <w:r w:rsidRPr="000A28C5">
        <w:rPr>
          <w:rFonts w:cstheme="minorHAnsi"/>
          <w:b/>
        </w:rPr>
        <w:t xml:space="preserve">    </w:t>
      </w:r>
    </w:p>
    <w:p w14:paraId="1DF3844C" w14:textId="77777777" w:rsidR="00D9066F" w:rsidRPr="00B05FFC" w:rsidRDefault="00D9066F" w:rsidP="00B964A7">
      <w:pPr>
        <w:rPr>
          <w:rFonts w:cstheme="minorHAnsi"/>
          <w:b/>
        </w:rPr>
      </w:pPr>
    </w:p>
    <w:p w14:paraId="26C7C683" w14:textId="77777777" w:rsidR="00B964A7" w:rsidRDefault="00B964A7" w:rsidP="00B02582">
      <w:pPr>
        <w:pStyle w:val="ListParagraph"/>
        <w:numPr>
          <w:ilvl w:val="2"/>
          <w:numId w:val="1"/>
        </w:numPr>
        <w:outlineLvl w:val="2"/>
        <w:rPr>
          <w:rFonts w:cstheme="minorHAnsi"/>
          <w:b/>
        </w:rPr>
      </w:pPr>
      <w:bookmarkStart w:id="88" w:name="_Toc489888085"/>
      <w:bookmarkStart w:id="89" w:name="_Toc473873089"/>
      <w:r>
        <w:rPr>
          <w:rFonts w:cstheme="minorHAnsi"/>
          <w:b/>
        </w:rPr>
        <w:t>Supply</w:t>
      </w:r>
      <w:bookmarkEnd w:id="88"/>
    </w:p>
    <w:p w14:paraId="591761EF" w14:textId="77777777" w:rsidR="00B964A7" w:rsidRDefault="00381596" w:rsidP="00B964A7">
      <w:pPr>
        <w:rPr>
          <w:rFonts w:cstheme="minorHAnsi"/>
        </w:rPr>
      </w:pPr>
      <w:r w:rsidRPr="00381596">
        <w:rPr>
          <w:rFonts w:cstheme="minorHAnsi"/>
        </w:rPr>
        <w:t>The NSH clinical trials pharmacy</w:t>
      </w:r>
      <w:r w:rsidR="00A539D9">
        <w:rPr>
          <w:rFonts w:cstheme="minorHAnsi"/>
        </w:rPr>
        <w:t xml:space="preserve"> will supply</w:t>
      </w:r>
      <w:r w:rsidRPr="00381596">
        <w:rPr>
          <w:rFonts w:cstheme="minorHAnsi"/>
        </w:rPr>
        <w:t xml:space="preserve"> vinorelbine</w:t>
      </w:r>
      <w:r w:rsidR="00A539D9">
        <w:rPr>
          <w:rFonts w:cstheme="minorHAnsi"/>
        </w:rPr>
        <w:t xml:space="preserve"> to the EPC for use during this trial</w:t>
      </w:r>
      <w:r w:rsidRPr="00381596">
        <w:rPr>
          <w:rFonts w:cstheme="minorHAnsi"/>
        </w:rPr>
        <w:t xml:space="preserve"> </w:t>
      </w:r>
      <w:r w:rsidR="00B964A7" w:rsidRPr="00381596">
        <w:rPr>
          <w:rFonts w:cstheme="minorHAnsi"/>
        </w:rPr>
        <w:t xml:space="preserve">with project funds. </w:t>
      </w:r>
      <w:r w:rsidRPr="00381596">
        <w:rPr>
          <w:rFonts w:cstheme="minorHAnsi"/>
        </w:rPr>
        <w:t>A small stock will be securely kept in the refrigerator in th</w:t>
      </w:r>
      <w:r w:rsidR="00DC152A">
        <w:rPr>
          <w:rFonts w:cstheme="minorHAnsi"/>
        </w:rPr>
        <w:t>e EPC, so that it is quickly accessible when required for administration to a trial participant</w:t>
      </w:r>
      <w:r w:rsidRPr="00381596">
        <w:rPr>
          <w:rFonts w:cstheme="minorHAnsi"/>
        </w:rPr>
        <w:t xml:space="preserve">. </w:t>
      </w:r>
      <w:r>
        <w:rPr>
          <w:rFonts w:cstheme="minorHAnsi"/>
        </w:rPr>
        <w:t>After each administration, the researchers will send a notificat</w:t>
      </w:r>
      <w:r w:rsidR="00A539D9">
        <w:rPr>
          <w:rFonts w:cstheme="minorHAnsi"/>
        </w:rPr>
        <w:t>ion to the pharmacy, requesting that the dispensed stock be replaced. It is anticipated that this system will assist with pharmacy record keeping, keep wastage of stock to a minimum, be minimally disruptive to the normal operations of the EPC</w:t>
      </w:r>
      <w:r w:rsidR="00C10D61">
        <w:rPr>
          <w:rFonts w:cstheme="minorHAnsi"/>
        </w:rPr>
        <w:t xml:space="preserve"> and pharmacy</w:t>
      </w:r>
      <w:r w:rsidR="00A539D9">
        <w:rPr>
          <w:rFonts w:cstheme="minorHAnsi"/>
        </w:rPr>
        <w:t xml:space="preserve">, as well as allowing for the trial medication to be readily available if it is needed outside of the pharmacists’ normal working hours. </w:t>
      </w:r>
    </w:p>
    <w:p w14:paraId="7114FF90" w14:textId="77777777" w:rsidR="00DC152A" w:rsidRPr="009D2BF1" w:rsidRDefault="00DC152A" w:rsidP="00B964A7">
      <w:pPr>
        <w:rPr>
          <w:rFonts w:cstheme="minorHAnsi"/>
        </w:rPr>
      </w:pPr>
    </w:p>
    <w:p w14:paraId="4D9D2D2D" w14:textId="77777777" w:rsidR="00B964A7" w:rsidRPr="00B05FFC" w:rsidRDefault="00B964A7" w:rsidP="00B02582">
      <w:pPr>
        <w:pStyle w:val="ListParagraph"/>
        <w:numPr>
          <w:ilvl w:val="2"/>
          <w:numId w:val="1"/>
        </w:numPr>
        <w:outlineLvl w:val="2"/>
        <w:rPr>
          <w:rFonts w:cstheme="minorHAnsi"/>
          <w:b/>
        </w:rPr>
      </w:pPr>
      <w:bookmarkStart w:id="90" w:name="_Toc489888086"/>
      <w:r w:rsidRPr="00B05FFC">
        <w:rPr>
          <w:rFonts w:cstheme="minorHAnsi"/>
          <w:b/>
        </w:rPr>
        <w:t>Labelling and packaging</w:t>
      </w:r>
      <w:bookmarkEnd w:id="89"/>
      <w:bookmarkEnd w:id="90"/>
    </w:p>
    <w:p w14:paraId="21DAE68D" w14:textId="77777777" w:rsidR="00B964A7" w:rsidRPr="00D74608" w:rsidRDefault="00D74608" w:rsidP="00B964A7">
      <w:pPr>
        <w:rPr>
          <w:rFonts w:cstheme="minorHAnsi"/>
        </w:rPr>
      </w:pPr>
      <w:r>
        <w:rPr>
          <w:rFonts w:cstheme="minorHAnsi"/>
        </w:rPr>
        <w:t>Vinorelbine</w:t>
      </w:r>
      <w:r w:rsidR="00B964A7" w:rsidRPr="00D74608">
        <w:rPr>
          <w:rFonts w:cstheme="minorHAnsi"/>
        </w:rPr>
        <w:t xml:space="preserve"> will be supplied to the </w:t>
      </w:r>
      <w:r>
        <w:rPr>
          <w:rFonts w:cstheme="minorHAnsi"/>
        </w:rPr>
        <w:t>EPC</w:t>
      </w:r>
      <w:r w:rsidR="00B964A7" w:rsidRPr="00D74608">
        <w:rPr>
          <w:rFonts w:cstheme="minorHAnsi"/>
        </w:rPr>
        <w:t xml:space="preserve"> in accordance with </w:t>
      </w:r>
      <w:r>
        <w:rPr>
          <w:rFonts w:cstheme="minorHAnsi"/>
        </w:rPr>
        <w:t>the local hospital SOP</w:t>
      </w:r>
      <w:r w:rsidR="00B964A7" w:rsidRPr="00D74608">
        <w:rPr>
          <w:rFonts w:cstheme="minorHAnsi"/>
        </w:rPr>
        <w:t xml:space="preserve"> </w:t>
      </w:r>
      <w:r>
        <w:rPr>
          <w:rFonts w:cstheme="minorHAnsi"/>
        </w:rPr>
        <w:t xml:space="preserve">and any relevant NZ legislation </w:t>
      </w:r>
      <w:r w:rsidR="00B964A7" w:rsidRPr="00D74608">
        <w:rPr>
          <w:rFonts w:cstheme="minorHAnsi"/>
        </w:rPr>
        <w:t>for prescription study medication labelling and packaging. As this is no</w:t>
      </w:r>
      <w:r>
        <w:rPr>
          <w:rFonts w:cstheme="minorHAnsi"/>
        </w:rPr>
        <w:t>t a blinded study, vinorelbine</w:t>
      </w:r>
      <w:r w:rsidR="00B964A7" w:rsidRPr="00D74608">
        <w:rPr>
          <w:rFonts w:cstheme="minorHAnsi"/>
        </w:rPr>
        <w:t xml:space="preserve"> can still be identified by its generic name, trade name and dose on the packaging/label. </w:t>
      </w:r>
    </w:p>
    <w:p w14:paraId="65CB6279" w14:textId="77777777" w:rsidR="00B964A7" w:rsidRPr="00B05FFC" w:rsidRDefault="00B964A7" w:rsidP="00B964A7">
      <w:pPr>
        <w:rPr>
          <w:rFonts w:cstheme="minorHAnsi"/>
          <w:b/>
        </w:rPr>
      </w:pPr>
    </w:p>
    <w:p w14:paraId="468D9F16" w14:textId="77777777" w:rsidR="00B964A7" w:rsidRDefault="00B964A7" w:rsidP="00B02582">
      <w:pPr>
        <w:pStyle w:val="ListParagraph"/>
        <w:numPr>
          <w:ilvl w:val="2"/>
          <w:numId w:val="1"/>
        </w:numPr>
        <w:outlineLvl w:val="2"/>
        <w:rPr>
          <w:rFonts w:cstheme="minorHAnsi"/>
          <w:b/>
        </w:rPr>
      </w:pPr>
      <w:bookmarkStart w:id="91" w:name="_Toc473873090"/>
      <w:bookmarkStart w:id="92" w:name="_Toc489888087"/>
      <w:r w:rsidRPr="00B05FFC">
        <w:rPr>
          <w:rFonts w:cstheme="minorHAnsi"/>
          <w:b/>
        </w:rPr>
        <w:t>Storage</w:t>
      </w:r>
      <w:bookmarkEnd w:id="91"/>
      <w:bookmarkEnd w:id="92"/>
    </w:p>
    <w:p w14:paraId="6BE6107C" w14:textId="22270BD6" w:rsidR="000E554F" w:rsidRPr="000E554F" w:rsidRDefault="00FD1D26" w:rsidP="00B964A7">
      <w:pPr>
        <w:rPr>
          <w:rFonts w:cstheme="minorHAnsi"/>
        </w:rPr>
      </w:pPr>
      <w:r>
        <w:rPr>
          <w:rFonts w:cstheme="minorHAnsi"/>
        </w:rPr>
        <w:t xml:space="preserve">Vinorelbine will be securely stored </w:t>
      </w:r>
      <w:r w:rsidR="00697B58">
        <w:rPr>
          <w:rFonts w:cstheme="minorHAnsi"/>
        </w:rPr>
        <w:t>onsite at NSH</w:t>
      </w:r>
      <w:r>
        <w:rPr>
          <w:rFonts w:cstheme="minorHAnsi"/>
        </w:rPr>
        <w:t xml:space="preserve"> as per local SOP. </w:t>
      </w:r>
      <w:r w:rsidR="002A44B4">
        <w:rPr>
          <w:rFonts w:cstheme="minorHAnsi"/>
        </w:rPr>
        <w:t>The NSH ph</w:t>
      </w:r>
      <w:r w:rsidR="00697B58">
        <w:rPr>
          <w:rFonts w:cstheme="minorHAnsi"/>
        </w:rPr>
        <w:t>armacy may elect to keep dispensing logs</w:t>
      </w:r>
      <w:r w:rsidR="002A44B4">
        <w:rPr>
          <w:rFonts w:cstheme="minorHAnsi"/>
        </w:rPr>
        <w:t xml:space="preserve">. </w:t>
      </w:r>
      <w:r>
        <w:rPr>
          <w:rFonts w:cstheme="minorHAnsi"/>
        </w:rPr>
        <w:t xml:space="preserve">The vinorelbine will be refrigerated, as per the manufacturer’s instructions (see </w:t>
      </w:r>
      <w:r>
        <w:rPr>
          <w:rFonts w:cstheme="minorHAnsi"/>
          <w:i/>
        </w:rPr>
        <w:t>Appendix 1</w:t>
      </w:r>
      <w:r w:rsidR="00E953D5">
        <w:rPr>
          <w:rFonts w:cstheme="minorHAnsi"/>
        </w:rPr>
        <w:t xml:space="preserve">) between 2˚ to </w:t>
      </w:r>
      <w:r>
        <w:rPr>
          <w:rFonts w:cstheme="minorHAnsi"/>
        </w:rPr>
        <w:t>8˚ C</w:t>
      </w:r>
      <w:r w:rsidR="004D6FD7">
        <w:rPr>
          <w:rFonts w:cstheme="minorHAnsi"/>
        </w:rPr>
        <w:t xml:space="preserve">, until it is removed for administration </w:t>
      </w:r>
      <w:r w:rsidR="00256889">
        <w:rPr>
          <w:rFonts w:cstheme="minorHAnsi"/>
        </w:rPr>
        <w:t>to a participant</w:t>
      </w:r>
      <w:r>
        <w:rPr>
          <w:rFonts w:cstheme="minorHAnsi"/>
        </w:rPr>
        <w:t xml:space="preserve">. </w:t>
      </w:r>
      <w:r w:rsidR="007714A9">
        <w:rPr>
          <w:rFonts w:cstheme="minorHAnsi"/>
        </w:rPr>
        <w:t xml:space="preserve">The EPC will keep a log of the date, time, dosage and number of tablets administered to the relevant participant’s unique study code, which can be compared with pharmacy </w:t>
      </w:r>
      <w:r w:rsidR="00697B58">
        <w:rPr>
          <w:rFonts w:cstheme="minorHAnsi"/>
        </w:rPr>
        <w:t>records</w:t>
      </w:r>
      <w:r w:rsidR="007714A9">
        <w:rPr>
          <w:rFonts w:cstheme="minorHAnsi"/>
        </w:rPr>
        <w:t xml:space="preserve"> in case of an internal or regulatory </w:t>
      </w:r>
      <w:r w:rsidR="007714A9" w:rsidRPr="00C16E16">
        <w:rPr>
          <w:rFonts w:cstheme="minorHAnsi"/>
        </w:rPr>
        <w:t>audit.</w:t>
      </w:r>
      <w:r w:rsidR="00C16E16" w:rsidRPr="00C16E16">
        <w:rPr>
          <w:rFonts w:cstheme="minorHAnsi"/>
        </w:rPr>
        <w:t xml:space="preserve"> Any unused vinorelbine from the supply dispensed to the EPC will be returned to the local hospital pharmacy at the conclusion of the study, or when the medication expires. </w:t>
      </w:r>
    </w:p>
    <w:p w14:paraId="741361BA" w14:textId="77777777" w:rsidR="00B964A7" w:rsidRPr="00B05FFC" w:rsidRDefault="00B964A7" w:rsidP="00B02582">
      <w:pPr>
        <w:pStyle w:val="ListParagraph"/>
        <w:numPr>
          <w:ilvl w:val="2"/>
          <w:numId w:val="1"/>
        </w:numPr>
        <w:outlineLvl w:val="2"/>
        <w:rPr>
          <w:rFonts w:cstheme="minorHAnsi"/>
          <w:b/>
        </w:rPr>
      </w:pPr>
      <w:bookmarkStart w:id="93" w:name="_Toc473873091"/>
      <w:bookmarkStart w:id="94" w:name="_Toc489888088"/>
      <w:r>
        <w:rPr>
          <w:rFonts w:cstheme="minorHAnsi"/>
          <w:b/>
        </w:rPr>
        <w:lastRenderedPageBreak/>
        <w:t>Manufacturer’s Product Information/</w:t>
      </w:r>
      <w:r w:rsidRPr="00B05FFC">
        <w:rPr>
          <w:rFonts w:cstheme="minorHAnsi"/>
          <w:b/>
        </w:rPr>
        <w:t>Investigators Brochure</w:t>
      </w:r>
      <w:bookmarkEnd w:id="93"/>
      <w:r>
        <w:rPr>
          <w:rFonts w:cstheme="minorHAnsi"/>
          <w:b/>
        </w:rPr>
        <w:t xml:space="preserve"> (IB)</w:t>
      </w:r>
      <w:bookmarkEnd w:id="94"/>
    </w:p>
    <w:p w14:paraId="26990001" w14:textId="77777777" w:rsidR="00B964A7" w:rsidRPr="00B96DC3" w:rsidRDefault="00B96DC3" w:rsidP="00B964A7">
      <w:pPr>
        <w:rPr>
          <w:rFonts w:cstheme="minorHAnsi"/>
        </w:rPr>
      </w:pPr>
      <w:r>
        <w:rPr>
          <w:rFonts w:cstheme="minorHAnsi"/>
        </w:rPr>
        <w:t>Madsafe’s reviewed summary of the</w:t>
      </w:r>
      <w:r w:rsidR="00B964A7" w:rsidRPr="00B96DC3">
        <w:rPr>
          <w:rFonts w:cstheme="minorHAnsi"/>
        </w:rPr>
        <w:t xml:space="preserve"> manufacturer’s Product Information for </w:t>
      </w:r>
      <w:r>
        <w:rPr>
          <w:rFonts w:cstheme="minorHAnsi"/>
        </w:rPr>
        <w:t>vinorelbine (traded as Navelbine</w:t>
      </w:r>
      <w:r>
        <w:rPr>
          <w:rFonts w:ascii="Bell MT" w:hAnsi="Bell MT" w:cstheme="minorHAnsi"/>
        </w:rPr>
        <w:t>®</w:t>
      </w:r>
      <w:r>
        <w:rPr>
          <w:rFonts w:cstheme="minorHAnsi"/>
        </w:rPr>
        <w:t xml:space="preserve"> Oral</w:t>
      </w:r>
      <w:r w:rsidR="00B964A7" w:rsidRPr="00B96DC3">
        <w:rPr>
          <w:rFonts w:cstheme="minorHAnsi"/>
        </w:rPr>
        <w:t xml:space="preserve">) is given in </w:t>
      </w:r>
      <w:r w:rsidR="00B964A7" w:rsidRPr="00B96DC3">
        <w:rPr>
          <w:rFonts w:cstheme="minorHAnsi"/>
          <w:i/>
        </w:rPr>
        <w:t>Appendix 1</w:t>
      </w:r>
      <w:r w:rsidR="00B964A7" w:rsidRPr="00B96DC3">
        <w:rPr>
          <w:rFonts w:cstheme="minorHAnsi"/>
        </w:rPr>
        <w:t>.</w:t>
      </w:r>
    </w:p>
    <w:p w14:paraId="56A1DB56" w14:textId="77777777" w:rsidR="00B964A7" w:rsidRPr="00FA7DCA" w:rsidRDefault="00B964A7" w:rsidP="00B964A7">
      <w:pPr>
        <w:rPr>
          <w:rFonts w:cstheme="minorHAnsi"/>
        </w:rPr>
      </w:pPr>
    </w:p>
    <w:p w14:paraId="1A685C32" w14:textId="77777777" w:rsidR="00B964A7" w:rsidRDefault="00B964A7" w:rsidP="00B02582">
      <w:pPr>
        <w:pStyle w:val="ListParagraph"/>
        <w:numPr>
          <w:ilvl w:val="1"/>
          <w:numId w:val="1"/>
        </w:numPr>
        <w:outlineLvl w:val="1"/>
        <w:rPr>
          <w:rFonts w:cstheme="minorHAnsi"/>
          <w:b/>
        </w:rPr>
      </w:pPr>
      <w:bookmarkStart w:id="95" w:name="_Toc473873092"/>
      <w:bookmarkStart w:id="96" w:name="_Toc489888089"/>
      <w:r w:rsidRPr="00B05FFC">
        <w:rPr>
          <w:rFonts w:cstheme="minorHAnsi"/>
          <w:b/>
        </w:rPr>
        <w:t>DOSING REGIME</w:t>
      </w:r>
      <w:bookmarkEnd w:id="95"/>
      <w:bookmarkEnd w:id="96"/>
    </w:p>
    <w:p w14:paraId="2134F10D" w14:textId="77777777" w:rsidR="0091418B" w:rsidRDefault="004C24A8" w:rsidP="00B964A7">
      <w:pPr>
        <w:rPr>
          <w:rFonts w:cstheme="minorHAnsi"/>
        </w:rPr>
      </w:pPr>
      <w:r>
        <w:rPr>
          <w:rFonts w:cstheme="minorHAnsi"/>
        </w:rPr>
        <w:t>Each trial particip</w:t>
      </w:r>
      <w:r w:rsidR="00697B58">
        <w:rPr>
          <w:rFonts w:cstheme="minorHAnsi"/>
        </w:rPr>
        <w:t>ant is expected to</w:t>
      </w:r>
      <w:r w:rsidRPr="00060F5D">
        <w:rPr>
          <w:rFonts w:cstheme="minorHAnsi"/>
        </w:rPr>
        <w:t xml:space="preserve"> receive a total of 2 doses of 60mg/m² of oral vinorelbine,</w:t>
      </w:r>
      <w:r w:rsidR="00B964A7" w:rsidRPr="00060F5D">
        <w:rPr>
          <w:rFonts w:cstheme="minorHAnsi"/>
        </w:rPr>
        <w:t xml:space="preserve"> to be administere</w:t>
      </w:r>
      <w:r w:rsidRPr="00060F5D">
        <w:rPr>
          <w:rFonts w:cstheme="minorHAnsi"/>
        </w:rPr>
        <w:t>d one week apart</w:t>
      </w:r>
      <w:r w:rsidR="00B964A7" w:rsidRPr="00060F5D">
        <w:rPr>
          <w:rFonts w:cstheme="minorHAnsi"/>
        </w:rPr>
        <w:t xml:space="preserve">. </w:t>
      </w:r>
      <w:r w:rsidR="008431BD">
        <w:rPr>
          <w:rFonts w:cstheme="minorHAnsi"/>
        </w:rPr>
        <w:t>A repeat serum hCG level will be performed on Day 7 prior to the administration of the second dose</w:t>
      </w:r>
      <w:r w:rsidR="009F0DD2">
        <w:rPr>
          <w:rFonts w:cstheme="minorHAnsi"/>
        </w:rPr>
        <w:t xml:space="preserve"> of vinorelbine</w:t>
      </w:r>
      <w:r w:rsidR="008431BD">
        <w:rPr>
          <w:rFonts w:cstheme="minorHAnsi"/>
        </w:rPr>
        <w:t xml:space="preserve">, in case the ectopic pregnancy has resolved and the second dose is not required. </w:t>
      </w:r>
    </w:p>
    <w:p w14:paraId="30A5977F" w14:textId="07104CAE" w:rsidR="00B964A7" w:rsidRPr="004C24A8" w:rsidRDefault="00060F5D" w:rsidP="00B964A7">
      <w:pPr>
        <w:rPr>
          <w:rFonts w:cstheme="minorHAnsi"/>
          <w:i/>
        </w:rPr>
      </w:pPr>
      <w:r w:rsidRPr="00060F5D">
        <w:rPr>
          <w:rFonts w:cstheme="minorHAnsi"/>
        </w:rPr>
        <w:t>Navelbine</w:t>
      </w:r>
      <w:r w:rsidRPr="00060F5D">
        <w:rPr>
          <w:rFonts w:ascii="Bell MT" w:hAnsi="Bell MT" w:cstheme="minorHAnsi"/>
        </w:rPr>
        <w:t>®</w:t>
      </w:r>
      <w:r w:rsidRPr="00060F5D">
        <w:rPr>
          <w:rFonts w:cstheme="minorHAnsi"/>
        </w:rPr>
        <w:t xml:space="preserve"> Oral</w:t>
      </w:r>
      <w:r w:rsidR="00B964A7" w:rsidRPr="00060F5D">
        <w:rPr>
          <w:rFonts w:cstheme="minorHAnsi"/>
        </w:rPr>
        <w:t xml:space="preserve"> </w:t>
      </w:r>
      <w:r w:rsidRPr="00060F5D">
        <w:rPr>
          <w:rFonts w:cstheme="minorHAnsi"/>
        </w:rPr>
        <w:t>capsules</w:t>
      </w:r>
      <w:r>
        <w:rPr>
          <w:rFonts w:cstheme="minorHAnsi"/>
        </w:rPr>
        <w:t xml:space="preserve"> should be swallowed</w:t>
      </w:r>
      <w:r w:rsidRPr="00060F5D">
        <w:rPr>
          <w:rFonts w:cstheme="minorHAnsi"/>
        </w:rPr>
        <w:t xml:space="preserve"> whole, </w:t>
      </w:r>
      <w:r>
        <w:rPr>
          <w:rFonts w:cstheme="minorHAnsi"/>
        </w:rPr>
        <w:t>with a full glass of water and</w:t>
      </w:r>
      <w:r w:rsidRPr="00060F5D">
        <w:rPr>
          <w:rFonts w:cstheme="minorHAnsi"/>
        </w:rPr>
        <w:t xml:space="preserve"> </w:t>
      </w:r>
      <w:r>
        <w:rPr>
          <w:rFonts w:cstheme="minorHAnsi"/>
        </w:rPr>
        <w:t xml:space="preserve">with </w:t>
      </w:r>
      <w:r w:rsidRPr="00060F5D">
        <w:rPr>
          <w:rFonts w:cstheme="minorHAnsi"/>
        </w:rPr>
        <w:t>food</w:t>
      </w:r>
      <w:r w:rsidR="00B964A7" w:rsidRPr="00060F5D">
        <w:rPr>
          <w:rFonts w:cstheme="minorHAnsi"/>
        </w:rPr>
        <w:t xml:space="preserve">. </w:t>
      </w:r>
      <w:r w:rsidRPr="00060F5D">
        <w:rPr>
          <w:rFonts w:cstheme="minorHAnsi"/>
        </w:rPr>
        <w:t>As vinorelbine is a mucosal irritant, the capsules should not be chewed, sucked, or taken if visibly damaged.</w:t>
      </w:r>
      <w:r w:rsidR="00B964A7" w:rsidRPr="00060F5D">
        <w:rPr>
          <w:rFonts w:cstheme="minorHAnsi"/>
        </w:rPr>
        <w:t xml:space="preserve"> </w:t>
      </w:r>
    </w:p>
    <w:p w14:paraId="5BB1B8DA" w14:textId="77777777" w:rsidR="00B964A7" w:rsidRPr="00BF47BB" w:rsidRDefault="00B964A7" w:rsidP="00B964A7">
      <w:pPr>
        <w:rPr>
          <w:rFonts w:cstheme="minorHAnsi"/>
          <w:b/>
          <w:color w:val="000000" w:themeColor="text1"/>
        </w:rPr>
      </w:pPr>
    </w:p>
    <w:p w14:paraId="4C0D7B9B" w14:textId="77777777" w:rsidR="00B964A7" w:rsidRPr="00BF47BB" w:rsidRDefault="00B964A7" w:rsidP="00B02582">
      <w:pPr>
        <w:pStyle w:val="ListParagraph"/>
        <w:numPr>
          <w:ilvl w:val="1"/>
          <w:numId w:val="1"/>
        </w:numPr>
        <w:outlineLvl w:val="1"/>
        <w:rPr>
          <w:rFonts w:cstheme="minorHAnsi"/>
          <w:b/>
          <w:color w:val="000000" w:themeColor="text1"/>
        </w:rPr>
      </w:pPr>
      <w:bookmarkStart w:id="97" w:name="_Toc473873093"/>
      <w:bookmarkStart w:id="98" w:name="_Toc489888090"/>
      <w:r w:rsidRPr="00BF47BB">
        <w:rPr>
          <w:rFonts w:cstheme="minorHAnsi"/>
          <w:b/>
          <w:color w:val="000000" w:themeColor="text1"/>
        </w:rPr>
        <w:t>DOSAGE CHANGES</w:t>
      </w:r>
      <w:bookmarkEnd w:id="97"/>
      <w:bookmarkEnd w:id="98"/>
    </w:p>
    <w:p w14:paraId="24EBA9EA" w14:textId="6E9D06CF" w:rsidR="0091418B" w:rsidRDefault="0091418B" w:rsidP="00B964A7">
      <w:pPr>
        <w:rPr>
          <w:rFonts w:cstheme="minorHAnsi"/>
        </w:rPr>
      </w:pPr>
      <w:r>
        <w:rPr>
          <w:rFonts w:cstheme="minorHAnsi"/>
        </w:rPr>
        <w:t xml:space="preserve">A dose reduction may be appropriate in this study (i.e. the second dose will not be required if the Day 7 serum hCG level is &lt;5 IU/L), however total dosage of vinorelbine will not exceed 2 weekly doses of 60 </w:t>
      </w:r>
      <w:r w:rsidRPr="00897442">
        <w:rPr>
          <w:rFonts w:cstheme="minorHAnsi"/>
        </w:rPr>
        <w:t>mg/m²</w:t>
      </w:r>
      <w:r>
        <w:rPr>
          <w:rFonts w:cstheme="minorHAnsi"/>
        </w:rPr>
        <w:t xml:space="preserve"> per participant. </w:t>
      </w:r>
    </w:p>
    <w:p w14:paraId="3C4BBF2D" w14:textId="5D41B6BF" w:rsidR="006176F8" w:rsidRPr="006176F8" w:rsidRDefault="0091418B" w:rsidP="00B964A7">
      <w:pPr>
        <w:rPr>
          <w:rFonts w:cstheme="minorHAnsi"/>
        </w:rPr>
      </w:pPr>
      <w:r>
        <w:rPr>
          <w:rFonts w:cstheme="minorHAnsi"/>
        </w:rPr>
        <w:t>I</w:t>
      </w:r>
      <w:r w:rsidR="006176F8" w:rsidRPr="006176F8">
        <w:rPr>
          <w:rFonts w:cstheme="minorHAnsi"/>
        </w:rPr>
        <w:t xml:space="preserve">n the event that a participant </w:t>
      </w:r>
      <w:r>
        <w:rPr>
          <w:rFonts w:cstheme="minorHAnsi"/>
        </w:rPr>
        <w:t>withdraws from the study or is lost-to-follow up prior to taking the second dose of vinorelbine</w:t>
      </w:r>
      <w:r w:rsidR="006176F8" w:rsidRPr="006176F8">
        <w:rPr>
          <w:rFonts w:cstheme="minorHAnsi"/>
        </w:rPr>
        <w:t xml:space="preserve">, </w:t>
      </w:r>
      <w:r w:rsidR="006176F8">
        <w:rPr>
          <w:rFonts w:cstheme="minorHAnsi"/>
        </w:rPr>
        <w:t>the participant’s anonymised data and samples already collected for the study will still be included in the final analysis</w:t>
      </w:r>
      <w:r w:rsidR="00247A55">
        <w:rPr>
          <w:rFonts w:cstheme="minorHAnsi"/>
        </w:rPr>
        <w:t xml:space="preserve"> (unless this is specifically refused by the participant)</w:t>
      </w:r>
      <w:r w:rsidR="00B9632E">
        <w:rPr>
          <w:rFonts w:cstheme="minorHAnsi"/>
        </w:rPr>
        <w:t>. A comment will be made on any</w:t>
      </w:r>
      <w:r w:rsidR="006176F8">
        <w:rPr>
          <w:rFonts w:cstheme="minorHAnsi"/>
        </w:rPr>
        <w:t xml:space="preserve"> missing data, including the reason for discontinuing with the study protocol, if it is known (e.g. participant lost to follow up;</w:t>
      </w:r>
      <w:r w:rsidR="00A06A3F">
        <w:rPr>
          <w:rFonts w:cstheme="minorHAnsi"/>
        </w:rPr>
        <w:t xml:space="preserve"> d</w:t>
      </w:r>
      <w:r w:rsidR="002B3FAF">
        <w:rPr>
          <w:rFonts w:cstheme="minorHAnsi"/>
        </w:rPr>
        <w:t>iscontinued due to allergic reaction</w:t>
      </w:r>
      <w:r w:rsidR="00247A55">
        <w:rPr>
          <w:rFonts w:cstheme="minorHAnsi"/>
        </w:rPr>
        <w:t xml:space="preserve">, etc.). </w:t>
      </w:r>
    </w:p>
    <w:p w14:paraId="40F20155" w14:textId="77777777" w:rsidR="00B964A7" w:rsidRPr="008215AD" w:rsidRDefault="00B964A7" w:rsidP="00B964A7">
      <w:pPr>
        <w:rPr>
          <w:rFonts w:cstheme="minorHAnsi"/>
          <w:color w:val="FF0000"/>
        </w:rPr>
      </w:pPr>
      <w:r w:rsidRPr="006176F8">
        <w:rPr>
          <w:rFonts w:cstheme="minorHAnsi"/>
        </w:rPr>
        <w:t>Any participants who experience severe side effec</w:t>
      </w:r>
      <w:r w:rsidR="00B9632E">
        <w:rPr>
          <w:rFonts w:cstheme="minorHAnsi"/>
        </w:rPr>
        <w:t>ts associated with vinorelbine</w:t>
      </w:r>
      <w:r w:rsidRPr="006176F8">
        <w:rPr>
          <w:rFonts w:cstheme="minorHAnsi"/>
        </w:rPr>
        <w:t xml:space="preserve"> therapy will be withdrawn from the study</w:t>
      </w:r>
      <w:r w:rsidR="006176F8" w:rsidRPr="006176F8">
        <w:rPr>
          <w:rFonts w:cstheme="minorHAnsi"/>
        </w:rPr>
        <w:t xml:space="preserve"> and revert to standard</w:t>
      </w:r>
      <w:r w:rsidR="002660F1">
        <w:rPr>
          <w:rFonts w:cstheme="minorHAnsi"/>
        </w:rPr>
        <w:t xml:space="preserve"> </w:t>
      </w:r>
      <w:r w:rsidRPr="006176F8">
        <w:rPr>
          <w:rFonts w:cstheme="minorHAnsi"/>
        </w:rPr>
        <w:t xml:space="preserve">management of </w:t>
      </w:r>
      <w:r w:rsidR="006176F8" w:rsidRPr="006176F8">
        <w:rPr>
          <w:rFonts w:cstheme="minorHAnsi"/>
        </w:rPr>
        <w:t>their ectopic pregnancy</w:t>
      </w:r>
      <w:r w:rsidRPr="006176F8">
        <w:rPr>
          <w:rFonts w:cstheme="minorHAnsi"/>
        </w:rPr>
        <w:t xml:space="preserve">. See </w:t>
      </w:r>
      <w:r w:rsidRPr="006176F8">
        <w:rPr>
          <w:rFonts w:cstheme="minorHAnsi"/>
          <w:i/>
        </w:rPr>
        <w:t>Section 10.4.4</w:t>
      </w:r>
      <w:r w:rsidRPr="006176F8">
        <w:rPr>
          <w:rFonts w:cstheme="minorHAnsi"/>
        </w:rPr>
        <w:t xml:space="preserve"> for definitions of event severity. </w:t>
      </w:r>
    </w:p>
    <w:p w14:paraId="1F29E782" w14:textId="77777777" w:rsidR="00B964A7" w:rsidRPr="00B05FFC" w:rsidRDefault="00B964A7" w:rsidP="00B964A7">
      <w:pPr>
        <w:rPr>
          <w:rFonts w:cstheme="minorHAnsi"/>
          <w:b/>
        </w:rPr>
      </w:pPr>
    </w:p>
    <w:p w14:paraId="25A32099" w14:textId="77777777" w:rsidR="00B964A7" w:rsidRPr="00B05FFC" w:rsidRDefault="00B964A7" w:rsidP="00B02582">
      <w:pPr>
        <w:pStyle w:val="ListParagraph"/>
        <w:numPr>
          <w:ilvl w:val="1"/>
          <w:numId w:val="1"/>
        </w:numPr>
        <w:outlineLvl w:val="1"/>
        <w:rPr>
          <w:rFonts w:cstheme="minorHAnsi"/>
          <w:b/>
        </w:rPr>
      </w:pPr>
      <w:bookmarkStart w:id="99" w:name="_Toc473873094"/>
      <w:bookmarkStart w:id="100" w:name="_Toc489888091"/>
      <w:r>
        <w:rPr>
          <w:rFonts w:cstheme="minorHAnsi"/>
          <w:b/>
        </w:rPr>
        <w:t xml:space="preserve">MEDICATION PRESCRIPTION AND </w:t>
      </w:r>
      <w:r w:rsidRPr="00B05FFC">
        <w:rPr>
          <w:rFonts w:cstheme="minorHAnsi"/>
          <w:b/>
        </w:rPr>
        <w:t>PARTICIPANT COMPLIANCE</w:t>
      </w:r>
      <w:bookmarkEnd w:id="99"/>
      <w:bookmarkEnd w:id="100"/>
    </w:p>
    <w:p w14:paraId="7E265429" w14:textId="77777777" w:rsidR="000E554F" w:rsidRPr="00897442" w:rsidRDefault="009B07BC" w:rsidP="00B964A7">
      <w:pPr>
        <w:rPr>
          <w:rFonts w:cstheme="minorHAnsi"/>
        </w:rPr>
      </w:pPr>
      <w:r>
        <w:rPr>
          <w:rFonts w:cstheme="minorHAnsi"/>
        </w:rPr>
        <w:t>All partici</w:t>
      </w:r>
      <w:r w:rsidR="00D63A9F">
        <w:rPr>
          <w:rFonts w:cstheme="minorHAnsi"/>
        </w:rPr>
        <w:t xml:space="preserve">pants in this study will be </w:t>
      </w:r>
      <w:r>
        <w:rPr>
          <w:rFonts w:cstheme="minorHAnsi"/>
        </w:rPr>
        <w:t xml:space="preserve">admitted </w:t>
      </w:r>
      <w:r w:rsidR="00D63A9F">
        <w:rPr>
          <w:rFonts w:cstheme="minorHAnsi"/>
        </w:rPr>
        <w:t xml:space="preserve">as day-stay </w:t>
      </w:r>
      <w:r>
        <w:rPr>
          <w:rFonts w:cstheme="minorHAnsi"/>
        </w:rPr>
        <w:t>to the EPC for their serial medication administrations and check-ups. Vinorelbine will be ordered on the participants’ inpatient medication char</w:t>
      </w:r>
      <w:r w:rsidRPr="00897442">
        <w:rPr>
          <w:rFonts w:cstheme="minorHAnsi"/>
        </w:rPr>
        <w:t>ts, as per the study protocol</w:t>
      </w:r>
      <w:r w:rsidR="009A6CB3" w:rsidRPr="00897442">
        <w:rPr>
          <w:rFonts w:cstheme="minorHAnsi"/>
        </w:rPr>
        <w:t xml:space="preserve"> (60 mg/m² o</w:t>
      </w:r>
      <w:r w:rsidR="00B85962">
        <w:rPr>
          <w:rFonts w:cstheme="minorHAnsi"/>
        </w:rPr>
        <w:t>f oral vinorelbine, weekly,</w:t>
      </w:r>
      <w:r w:rsidR="009A6CB3" w:rsidRPr="00897442">
        <w:rPr>
          <w:rFonts w:cstheme="minorHAnsi"/>
        </w:rPr>
        <w:t xml:space="preserve"> for 2 doses only)</w:t>
      </w:r>
      <w:r w:rsidRPr="00897442">
        <w:rPr>
          <w:rFonts w:cstheme="minorHAnsi"/>
        </w:rPr>
        <w:t>.</w:t>
      </w:r>
      <w:r w:rsidR="00897442" w:rsidRPr="00897442">
        <w:rPr>
          <w:rFonts w:cstheme="minorHAnsi"/>
        </w:rPr>
        <w:t xml:space="preserve"> </w:t>
      </w:r>
      <w:r w:rsidR="00E67B02">
        <w:rPr>
          <w:rFonts w:cstheme="minorHAnsi"/>
        </w:rPr>
        <w:t>Participants will be given food</w:t>
      </w:r>
      <w:r w:rsidR="00897442" w:rsidRPr="00897442">
        <w:rPr>
          <w:rFonts w:cstheme="minorHAnsi"/>
        </w:rPr>
        <w:t xml:space="preserve"> and instructed to swallow the tablets whole with adequate water</w:t>
      </w:r>
      <w:r w:rsidRPr="00897442">
        <w:rPr>
          <w:rFonts w:cstheme="minorHAnsi"/>
        </w:rPr>
        <w:t xml:space="preserve"> </w:t>
      </w:r>
      <w:r w:rsidR="00897442" w:rsidRPr="00897442">
        <w:rPr>
          <w:rFonts w:cstheme="minorHAnsi"/>
        </w:rPr>
        <w:t xml:space="preserve">(as per </w:t>
      </w:r>
      <w:r w:rsidR="00897442" w:rsidRPr="00897442">
        <w:rPr>
          <w:rFonts w:cstheme="minorHAnsi"/>
          <w:i/>
        </w:rPr>
        <w:t>Appendix 1</w:t>
      </w:r>
      <w:r w:rsidR="00897442" w:rsidRPr="00897442">
        <w:rPr>
          <w:rFonts w:cstheme="minorHAnsi"/>
        </w:rPr>
        <w:t xml:space="preserve">). The timing or refusal of vinorelbine doses will be documented on the participant’s medication chart by the treating </w:t>
      </w:r>
      <w:r w:rsidR="0039749F">
        <w:rPr>
          <w:rFonts w:cstheme="minorHAnsi"/>
        </w:rPr>
        <w:t xml:space="preserve">EPC </w:t>
      </w:r>
      <w:r w:rsidR="00897442" w:rsidRPr="00897442">
        <w:rPr>
          <w:rFonts w:cstheme="minorHAnsi"/>
        </w:rPr>
        <w:t>nurse</w:t>
      </w:r>
      <w:r w:rsidR="0039749F">
        <w:rPr>
          <w:rFonts w:cstheme="minorHAnsi"/>
        </w:rPr>
        <w:t xml:space="preserve"> specialist</w:t>
      </w:r>
      <w:r w:rsidR="00897442" w:rsidRPr="00897442">
        <w:rPr>
          <w:rFonts w:cstheme="minorHAnsi"/>
        </w:rPr>
        <w:t xml:space="preserve"> or other clinician, as per the hospital’s local SOP for medication administration and documentation.</w:t>
      </w:r>
    </w:p>
    <w:p w14:paraId="1F77AD25" w14:textId="77777777" w:rsidR="000E554F" w:rsidRDefault="00C16E16" w:rsidP="000E554F">
      <w:pPr>
        <w:rPr>
          <w:rFonts w:cstheme="minorHAnsi"/>
        </w:rPr>
      </w:pPr>
      <w:r w:rsidRPr="00C16E16">
        <w:rPr>
          <w:rFonts w:cstheme="minorHAnsi"/>
        </w:rPr>
        <w:t>A member of the research team will review the patient’s medication chart to assess for compliance or deviations from the study protocol of vinorelbine administration</w:t>
      </w:r>
      <w:r>
        <w:rPr>
          <w:rFonts w:cstheme="minorHAnsi"/>
        </w:rPr>
        <w:t xml:space="preserve"> after each relevant admission. This can </w:t>
      </w:r>
      <w:r>
        <w:rPr>
          <w:rFonts w:cstheme="minorHAnsi"/>
        </w:rPr>
        <w:lastRenderedPageBreak/>
        <w:t>be completed easily, as v</w:t>
      </w:r>
      <w:r w:rsidR="000E554F">
        <w:rPr>
          <w:rFonts w:cstheme="minorHAnsi"/>
        </w:rPr>
        <w:t>inorelbine will only be administered within the hospital</w:t>
      </w:r>
      <w:r>
        <w:rPr>
          <w:rFonts w:cstheme="minorHAnsi"/>
        </w:rPr>
        <w:t xml:space="preserve"> for this study. N</w:t>
      </w:r>
      <w:r w:rsidR="000E554F">
        <w:rPr>
          <w:rFonts w:cstheme="minorHAnsi"/>
        </w:rPr>
        <w:t xml:space="preserve">o take home supplies of the drug or participant medication diaries will be required. </w:t>
      </w:r>
    </w:p>
    <w:p w14:paraId="4D3A2ED8" w14:textId="77777777" w:rsidR="009E4F37" w:rsidRDefault="009E4F37" w:rsidP="000E554F">
      <w:pPr>
        <w:rPr>
          <w:rFonts w:cstheme="minorHAnsi"/>
        </w:rPr>
      </w:pPr>
    </w:p>
    <w:p w14:paraId="4C23FC78" w14:textId="77777777" w:rsidR="00B964A7" w:rsidRPr="00C37BE6" w:rsidRDefault="00B964A7" w:rsidP="00B02582">
      <w:pPr>
        <w:pStyle w:val="ListParagraph"/>
        <w:numPr>
          <w:ilvl w:val="1"/>
          <w:numId w:val="1"/>
        </w:numPr>
        <w:outlineLvl w:val="1"/>
        <w:rPr>
          <w:rFonts w:cstheme="minorHAnsi"/>
          <w:b/>
        </w:rPr>
      </w:pPr>
      <w:bookmarkStart w:id="101" w:name="_Toc473873095"/>
      <w:bookmarkStart w:id="102" w:name="_Toc489888092"/>
      <w:r w:rsidRPr="00B05FFC">
        <w:rPr>
          <w:rFonts w:cstheme="minorHAnsi"/>
          <w:b/>
        </w:rPr>
        <w:t>OVERDOSE</w:t>
      </w:r>
      <w:bookmarkEnd w:id="101"/>
      <w:bookmarkEnd w:id="102"/>
    </w:p>
    <w:p w14:paraId="1B9965EE" w14:textId="77777777" w:rsidR="00B964A7" w:rsidRPr="00CC1D82" w:rsidRDefault="00B964A7" w:rsidP="00B964A7">
      <w:pPr>
        <w:rPr>
          <w:rFonts w:cstheme="minorHAnsi"/>
        </w:rPr>
      </w:pPr>
      <w:r w:rsidRPr="003E04D0">
        <w:rPr>
          <w:rFonts w:cstheme="minorHAnsi"/>
        </w:rPr>
        <w:t>There is no spe</w:t>
      </w:r>
      <w:r w:rsidR="003E04D0" w:rsidRPr="003E04D0">
        <w:rPr>
          <w:rFonts w:cstheme="minorHAnsi"/>
        </w:rPr>
        <w:t>cific antidote for vinorelbine overdose. Overdoses of up to 10 x the recommended dose hav</w:t>
      </w:r>
      <w:r w:rsidR="00EA2473">
        <w:rPr>
          <w:rFonts w:cstheme="minorHAnsi"/>
        </w:rPr>
        <w:t>e been reported, with symptoms of toxicity</w:t>
      </w:r>
      <w:r w:rsidR="003E04D0" w:rsidRPr="003E04D0">
        <w:rPr>
          <w:rFonts w:cstheme="minorHAnsi"/>
        </w:rPr>
        <w:t xml:space="preserve"> </w:t>
      </w:r>
      <w:r w:rsidR="004E3463">
        <w:rPr>
          <w:rFonts w:cstheme="minorHAnsi"/>
        </w:rPr>
        <w:t xml:space="preserve">consistent with </w:t>
      </w:r>
      <w:r w:rsidR="003E04D0" w:rsidRPr="003E04D0">
        <w:rPr>
          <w:rFonts w:cstheme="minorHAnsi"/>
        </w:rPr>
        <w:t>known potential adverse drug reactions of vinorelbine therapy (including paralytic ileus; stomatitis; oesophagitis; bone marrow aplasia, sepsis and paresis).</w:t>
      </w:r>
      <w:r w:rsidR="003E04D0">
        <w:rPr>
          <w:rFonts w:cstheme="minorHAnsi"/>
        </w:rPr>
        <w:t xml:space="preserve"> Fatalities following an overdose of vinorelbine have also been reported</w:t>
      </w:r>
      <w:r w:rsidR="004E3463">
        <w:rPr>
          <w:rFonts w:cstheme="minorHAnsi"/>
        </w:rPr>
        <w:t xml:space="preserve"> in oncology patients</w:t>
      </w:r>
      <w:r w:rsidR="003E04D0">
        <w:rPr>
          <w:rFonts w:cstheme="minorHAnsi"/>
        </w:rPr>
        <w:t>. Any adverse drug reactions of vinorelbine should be treated symptomatically and</w:t>
      </w:r>
      <w:r w:rsidR="00EA2473">
        <w:rPr>
          <w:rFonts w:cstheme="minorHAnsi"/>
        </w:rPr>
        <w:t xml:space="preserve"> supportively, with appropriate treatments (blood transfusions, antibiotics, etc.) insti</w:t>
      </w:r>
      <w:r w:rsidR="00727CE7">
        <w:rPr>
          <w:rFonts w:cstheme="minorHAnsi"/>
        </w:rPr>
        <w:t>gated at the discretion of the senior treating</w:t>
      </w:r>
      <w:r w:rsidR="007C4477">
        <w:rPr>
          <w:rFonts w:cstheme="minorHAnsi"/>
        </w:rPr>
        <w:t xml:space="preserve"> </w:t>
      </w:r>
      <w:r w:rsidR="00EA2473">
        <w:rPr>
          <w:rFonts w:cstheme="minorHAnsi"/>
        </w:rPr>
        <w:t>physician.</w:t>
      </w:r>
      <w:r w:rsidR="003E04D0">
        <w:rPr>
          <w:rFonts w:cstheme="minorHAnsi"/>
        </w:rPr>
        <w:t xml:space="preserve"> </w:t>
      </w:r>
      <w:r w:rsidRPr="00CC1D82">
        <w:rPr>
          <w:rFonts w:cstheme="minorHAnsi"/>
        </w:rPr>
        <w:t xml:space="preserve">The </w:t>
      </w:r>
      <w:r w:rsidR="00CC1D82">
        <w:rPr>
          <w:rFonts w:cstheme="minorHAnsi"/>
          <w:i/>
        </w:rPr>
        <w:t>New Zealand National Poisons Centre</w:t>
      </w:r>
      <w:r w:rsidRPr="00CC1D82">
        <w:rPr>
          <w:rFonts w:cstheme="minorHAnsi"/>
        </w:rPr>
        <w:t xml:space="preserve"> </w:t>
      </w:r>
      <w:r w:rsidR="00CC1D82">
        <w:rPr>
          <w:rFonts w:cstheme="minorHAnsi"/>
        </w:rPr>
        <w:t xml:space="preserve">(NZNPC) </w:t>
      </w:r>
      <w:r w:rsidRPr="00CC1D82">
        <w:rPr>
          <w:rFonts w:cstheme="minorHAnsi"/>
        </w:rPr>
        <w:t>can b</w:t>
      </w:r>
      <w:r w:rsidR="00CC1D82">
        <w:rPr>
          <w:rFonts w:cstheme="minorHAnsi"/>
        </w:rPr>
        <w:t>e contacted any time by phone on 0800 764 766</w:t>
      </w:r>
      <w:r w:rsidRPr="00CC1D82">
        <w:rPr>
          <w:rFonts w:cstheme="minorHAnsi"/>
        </w:rPr>
        <w:t xml:space="preserve"> for advice</w:t>
      </w:r>
      <w:r w:rsidR="00CC1D82">
        <w:rPr>
          <w:rFonts w:cstheme="minorHAnsi"/>
        </w:rPr>
        <w:t xml:space="preserve"> or information</w:t>
      </w:r>
      <w:r w:rsidRPr="00CC1D82">
        <w:rPr>
          <w:rFonts w:cstheme="minorHAnsi"/>
        </w:rPr>
        <w:t xml:space="preserve"> in the event of a </w:t>
      </w:r>
      <w:r w:rsidR="00CC1D82">
        <w:rPr>
          <w:rFonts w:cstheme="minorHAnsi"/>
        </w:rPr>
        <w:t xml:space="preserve">known or </w:t>
      </w:r>
      <w:r w:rsidRPr="00CC1D82">
        <w:rPr>
          <w:rFonts w:cstheme="minorHAnsi"/>
        </w:rPr>
        <w:t>suspected overdose.</w:t>
      </w:r>
      <w:r w:rsidR="00CC1D82">
        <w:rPr>
          <w:rFonts w:cstheme="minorHAnsi"/>
        </w:rPr>
        <w:t xml:space="preserve"> Additionally, </w:t>
      </w:r>
      <w:r w:rsidR="00762E53">
        <w:rPr>
          <w:rFonts w:cstheme="minorHAnsi"/>
        </w:rPr>
        <w:t>information can be found on</w:t>
      </w:r>
      <w:r w:rsidR="00CC6CC6">
        <w:rPr>
          <w:rFonts w:cstheme="minorHAnsi"/>
        </w:rPr>
        <w:t xml:space="preserve"> </w:t>
      </w:r>
      <w:r w:rsidR="00CC1D82">
        <w:rPr>
          <w:rFonts w:cstheme="minorHAnsi"/>
        </w:rPr>
        <w:t>the NZNPC’s</w:t>
      </w:r>
      <w:r w:rsidR="00762E53">
        <w:rPr>
          <w:rFonts w:cstheme="minorHAnsi"/>
        </w:rPr>
        <w:t xml:space="preserve"> online database</w:t>
      </w:r>
      <w:r w:rsidR="00CC1D82">
        <w:rPr>
          <w:rFonts w:cstheme="minorHAnsi"/>
        </w:rPr>
        <w:t xml:space="preserve"> </w:t>
      </w:r>
      <w:r w:rsidR="00762E53">
        <w:rPr>
          <w:rFonts w:cstheme="minorHAnsi"/>
        </w:rPr>
        <w:t>(</w:t>
      </w:r>
      <w:hyperlink r:id="rId27" w:history="1">
        <w:r w:rsidR="00CC1D82" w:rsidRPr="003A54CF">
          <w:rPr>
            <w:rStyle w:val="Hyperlink"/>
            <w:rFonts w:cstheme="minorHAnsi"/>
          </w:rPr>
          <w:t>www.toxinz.com</w:t>
        </w:r>
      </w:hyperlink>
      <w:r w:rsidR="00762E53">
        <w:rPr>
          <w:rFonts w:cstheme="minorHAnsi"/>
        </w:rPr>
        <w:t>)</w:t>
      </w:r>
      <w:r w:rsidR="00CC1D82">
        <w:rPr>
          <w:rFonts w:cstheme="minorHAnsi"/>
        </w:rPr>
        <w:t xml:space="preserve">.  </w:t>
      </w:r>
    </w:p>
    <w:p w14:paraId="66E8293C" w14:textId="77777777" w:rsidR="00B964A7" w:rsidRPr="008215AD" w:rsidRDefault="00B964A7" w:rsidP="00B964A7">
      <w:pPr>
        <w:rPr>
          <w:rFonts w:cstheme="minorHAnsi"/>
          <w:color w:val="FF0000"/>
        </w:rPr>
      </w:pPr>
      <w:r w:rsidRPr="008215AD">
        <w:rPr>
          <w:rFonts w:cstheme="minorHAnsi"/>
          <w:color w:val="FF0000"/>
        </w:rPr>
        <w:t xml:space="preserve"> </w:t>
      </w:r>
    </w:p>
    <w:p w14:paraId="7382D177" w14:textId="77777777" w:rsidR="00B964A7" w:rsidRDefault="00B964A7" w:rsidP="00B02582">
      <w:pPr>
        <w:pStyle w:val="ListParagraph"/>
        <w:numPr>
          <w:ilvl w:val="1"/>
          <w:numId w:val="1"/>
        </w:numPr>
        <w:outlineLvl w:val="1"/>
        <w:rPr>
          <w:rFonts w:cstheme="minorHAnsi"/>
          <w:b/>
        </w:rPr>
      </w:pPr>
      <w:bookmarkStart w:id="103" w:name="_Toc473873096"/>
      <w:bookmarkStart w:id="104" w:name="_Toc489888093"/>
      <w:r w:rsidRPr="00B05FFC">
        <w:rPr>
          <w:rFonts w:cstheme="minorHAnsi"/>
          <w:b/>
        </w:rPr>
        <w:t>OTHER MEDICATIONS</w:t>
      </w:r>
      <w:bookmarkEnd w:id="103"/>
      <w:bookmarkEnd w:id="104"/>
    </w:p>
    <w:p w14:paraId="7CAAA6EE" w14:textId="77777777" w:rsidR="00B964A7" w:rsidRPr="00682C49" w:rsidRDefault="00B964A7" w:rsidP="00B964A7">
      <w:pPr>
        <w:pStyle w:val="ListParagraph"/>
        <w:ind w:left="1440"/>
        <w:outlineLvl w:val="1"/>
        <w:rPr>
          <w:rFonts w:cstheme="minorHAnsi"/>
          <w:b/>
        </w:rPr>
      </w:pPr>
    </w:p>
    <w:p w14:paraId="39D2FD76" w14:textId="77777777" w:rsidR="00B964A7" w:rsidRPr="00B05FFC" w:rsidRDefault="00B964A7" w:rsidP="00B02582">
      <w:pPr>
        <w:pStyle w:val="ListParagraph"/>
        <w:numPr>
          <w:ilvl w:val="2"/>
          <w:numId w:val="1"/>
        </w:numPr>
        <w:outlineLvl w:val="2"/>
        <w:rPr>
          <w:rFonts w:cstheme="minorHAnsi"/>
          <w:b/>
        </w:rPr>
      </w:pPr>
      <w:bookmarkStart w:id="105" w:name="_Toc473873097"/>
      <w:bookmarkStart w:id="106" w:name="_Toc489888094"/>
      <w:r w:rsidRPr="00B05FFC">
        <w:rPr>
          <w:rFonts w:cstheme="minorHAnsi"/>
          <w:b/>
        </w:rPr>
        <w:t>Non-investigational medicinal products</w:t>
      </w:r>
      <w:bookmarkEnd w:id="105"/>
      <w:bookmarkEnd w:id="106"/>
    </w:p>
    <w:p w14:paraId="6E525B3A" w14:textId="77777777" w:rsidR="00B964A7" w:rsidRDefault="00F8473A" w:rsidP="00CD50B6">
      <w:pPr>
        <w:rPr>
          <w:rFonts w:cstheme="minorHAnsi"/>
        </w:rPr>
      </w:pPr>
      <w:r w:rsidRPr="00B06D19">
        <w:rPr>
          <w:rFonts w:cstheme="minorHAnsi"/>
        </w:rPr>
        <w:t>Analgesia and other medications</w:t>
      </w:r>
      <w:r w:rsidR="00B964A7" w:rsidRPr="00B06D19">
        <w:rPr>
          <w:rFonts w:cstheme="minorHAnsi"/>
        </w:rPr>
        <w:t xml:space="preserve"> will be concurrently ordered </w:t>
      </w:r>
      <w:r w:rsidRPr="00B06D19">
        <w:rPr>
          <w:rFonts w:cstheme="minorHAnsi"/>
        </w:rPr>
        <w:t xml:space="preserve">(as appropriate) </w:t>
      </w:r>
      <w:r w:rsidR="00B964A7" w:rsidRPr="00B06D19">
        <w:rPr>
          <w:rFonts w:cstheme="minorHAnsi"/>
        </w:rPr>
        <w:t>for the management of this patient cohort</w:t>
      </w:r>
      <w:r w:rsidRPr="00B06D19">
        <w:rPr>
          <w:rFonts w:cstheme="minorHAnsi"/>
        </w:rPr>
        <w:t xml:space="preserve">, </w:t>
      </w:r>
      <w:r w:rsidR="00B06D19" w:rsidRPr="00B06D19">
        <w:rPr>
          <w:rFonts w:cstheme="minorHAnsi"/>
        </w:rPr>
        <w:t>taking into account any medications that are contraindicated during vinorelbine therapy</w:t>
      </w:r>
      <w:r w:rsidR="00E93806">
        <w:rPr>
          <w:rFonts w:cstheme="minorHAnsi"/>
        </w:rPr>
        <w:t xml:space="preserve"> (see </w:t>
      </w:r>
      <w:r w:rsidR="00E93806">
        <w:rPr>
          <w:rFonts w:cstheme="minorHAnsi"/>
          <w:i/>
        </w:rPr>
        <w:t>Section 6.3.3</w:t>
      </w:r>
      <w:r w:rsidR="00E93806">
        <w:rPr>
          <w:rFonts w:cstheme="minorHAnsi"/>
        </w:rPr>
        <w:t>)</w:t>
      </w:r>
      <w:r w:rsidR="00B964A7" w:rsidRPr="00B06D19">
        <w:rPr>
          <w:rFonts w:cstheme="minorHAnsi"/>
        </w:rPr>
        <w:t>.</w:t>
      </w:r>
    </w:p>
    <w:p w14:paraId="4EFDDB5F" w14:textId="77777777" w:rsidR="00D9066F" w:rsidRPr="00BF49EC" w:rsidRDefault="00D9066F" w:rsidP="00CD50B6">
      <w:pPr>
        <w:rPr>
          <w:rFonts w:cstheme="minorHAnsi"/>
        </w:rPr>
      </w:pPr>
    </w:p>
    <w:p w14:paraId="6882A539" w14:textId="77777777" w:rsidR="00B964A7" w:rsidRPr="00B05FFC" w:rsidRDefault="00B964A7" w:rsidP="00B02582">
      <w:pPr>
        <w:pStyle w:val="ListParagraph"/>
        <w:numPr>
          <w:ilvl w:val="2"/>
          <w:numId w:val="1"/>
        </w:numPr>
        <w:outlineLvl w:val="2"/>
        <w:rPr>
          <w:rFonts w:cstheme="minorHAnsi"/>
          <w:b/>
        </w:rPr>
      </w:pPr>
      <w:bookmarkStart w:id="107" w:name="_Toc473873098"/>
      <w:bookmarkStart w:id="108" w:name="_Toc489888095"/>
      <w:r w:rsidRPr="00B05FFC">
        <w:rPr>
          <w:rFonts w:cstheme="minorHAnsi"/>
          <w:b/>
        </w:rPr>
        <w:t>Permitted medications</w:t>
      </w:r>
      <w:bookmarkEnd w:id="107"/>
      <w:bookmarkEnd w:id="108"/>
    </w:p>
    <w:p w14:paraId="77095DEF" w14:textId="77777777" w:rsidR="00B964A7" w:rsidRPr="00395623" w:rsidRDefault="00395623" w:rsidP="00B964A7">
      <w:pPr>
        <w:rPr>
          <w:rFonts w:cstheme="minorHAnsi"/>
        </w:rPr>
      </w:pPr>
      <w:r>
        <w:rPr>
          <w:rFonts w:cstheme="minorHAnsi"/>
        </w:rPr>
        <w:t>As outlined in Medsafe’s Information for Healthcare Professionals</w:t>
      </w:r>
      <w:r w:rsidR="00B964A7" w:rsidRPr="00395623">
        <w:rPr>
          <w:rFonts w:cstheme="minorHAnsi"/>
          <w:i/>
        </w:rPr>
        <w:t xml:space="preserve"> </w:t>
      </w:r>
      <w:r w:rsidR="004C24A8">
        <w:rPr>
          <w:rFonts w:cstheme="minorHAnsi"/>
          <w:i/>
        </w:rPr>
        <w:t xml:space="preserve">- </w:t>
      </w:r>
      <w:r w:rsidR="004C24A8" w:rsidRPr="004C24A8">
        <w:rPr>
          <w:rFonts w:cstheme="minorHAnsi"/>
        </w:rPr>
        <w:t>Navelbine</w:t>
      </w:r>
      <w:r w:rsidR="004C24A8">
        <w:rPr>
          <w:rFonts w:ascii="Bell MT" w:hAnsi="Bell MT" w:cstheme="minorHAnsi"/>
          <w:i/>
        </w:rPr>
        <w:t>®</w:t>
      </w:r>
      <w:r w:rsidR="004C24A8">
        <w:rPr>
          <w:rFonts w:cstheme="minorHAnsi"/>
          <w:i/>
        </w:rPr>
        <w:t xml:space="preserve"> </w:t>
      </w:r>
      <w:r w:rsidR="006C4468">
        <w:rPr>
          <w:rFonts w:cstheme="minorHAnsi"/>
        </w:rPr>
        <w:t xml:space="preserve">Oral </w:t>
      </w:r>
      <w:r w:rsidR="00B964A7" w:rsidRPr="00395623">
        <w:rPr>
          <w:rFonts w:cstheme="minorHAnsi"/>
          <w:i/>
        </w:rPr>
        <w:t>(Appendix 1)</w:t>
      </w:r>
      <w:r w:rsidR="00B964A7" w:rsidRPr="00395623">
        <w:rPr>
          <w:rFonts w:cstheme="minorHAnsi"/>
        </w:rPr>
        <w:t>.</w:t>
      </w:r>
    </w:p>
    <w:p w14:paraId="3D659F0C" w14:textId="77777777" w:rsidR="00B964A7" w:rsidRPr="00B05FFC" w:rsidRDefault="00B964A7" w:rsidP="00B964A7">
      <w:pPr>
        <w:rPr>
          <w:rFonts w:cstheme="minorHAnsi"/>
          <w:b/>
        </w:rPr>
      </w:pPr>
    </w:p>
    <w:p w14:paraId="7E9367B2" w14:textId="77777777" w:rsidR="00B964A7" w:rsidRPr="00B05FFC" w:rsidRDefault="00CD50B6" w:rsidP="00B02582">
      <w:pPr>
        <w:pStyle w:val="ListParagraph"/>
        <w:numPr>
          <w:ilvl w:val="2"/>
          <w:numId w:val="1"/>
        </w:numPr>
        <w:outlineLvl w:val="2"/>
        <w:rPr>
          <w:rFonts w:cstheme="minorHAnsi"/>
          <w:b/>
        </w:rPr>
      </w:pPr>
      <w:bookmarkStart w:id="109" w:name="_Toc473873099"/>
      <w:bookmarkStart w:id="110" w:name="_Toc489888096"/>
      <w:r>
        <w:rPr>
          <w:rFonts w:cstheme="minorHAnsi"/>
          <w:b/>
        </w:rPr>
        <w:t>Other considerations and contraindicated</w:t>
      </w:r>
      <w:r w:rsidR="00B964A7" w:rsidRPr="00B05FFC">
        <w:rPr>
          <w:rFonts w:cstheme="minorHAnsi"/>
          <w:b/>
        </w:rPr>
        <w:t xml:space="preserve"> medications</w:t>
      </w:r>
      <w:bookmarkEnd w:id="109"/>
      <w:bookmarkEnd w:id="110"/>
    </w:p>
    <w:p w14:paraId="77FE1DC8" w14:textId="77777777" w:rsidR="00B964A7" w:rsidRDefault="00B964A7" w:rsidP="00B964A7">
      <w:pPr>
        <w:rPr>
          <w:rFonts w:cstheme="minorHAnsi"/>
        </w:rPr>
      </w:pPr>
      <w:r w:rsidRPr="00B06D19">
        <w:rPr>
          <w:rFonts w:cstheme="minorHAnsi"/>
        </w:rPr>
        <w:t xml:space="preserve">For full information, see </w:t>
      </w:r>
      <w:r w:rsidR="00B06D19" w:rsidRPr="00B06D19">
        <w:rPr>
          <w:rFonts w:cstheme="minorHAnsi"/>
        </w:rPr>
        <w:t>Medsafe’s Information for Healthcare Professionals</w:t>
      </w:r>
      <w:r w:rsidRPr="00B06D19">
        <w:rPr>
          <w:rFonts w:cstheme="minorHAnsi"/>
          <w:i/>
        </w:rPr>
        <w:t xml:space="preserve"> (Appendix 1)</w:t>
      </w:r>
      <w:r w:rsidRPr="00B06D19">
        <w:rPr>
          <w:rFonts w:cstheme="minorHAnsi"/>
        </w:rPr>
        <w:t>. Co</w:t>
      </w:r>
      <w:r w:rsidR="00BC5440">
        <w:rPr>
          <w:rFonts w:cstheme="minorHAnsi"/>
        </w:rPr>
        <w:t>nsideration should be taken when deciding on</w:t>
      </w:r>
      <w:r w:rsidRPr="00B06D19">
        <w:rPr>
          <w:rFonts w:cstheme="minorHAnsi"/>
        </w:rPr>
        <w:t xml:space="preserve"> the co</w:t>
      </w:r>
      <w:r w:rsidR="00B06D19" w:rsidRPr="00B06D19">
        <w:rPr>
          <w:rFonts w:cstheme="minorHAnsi"/>
        </w:rPr>
        <w:t>-administration of vinorelbine</w:t>
      </w:r>
      <w:r w:rsidRPr="00B06D19">
        <w:rPr>
          <w:rFonts w:cstheme="minorHAnsi"/>
        </w:rPr>
        <w:t xml:space="preserve"> with the following drugs:</w:t>
      </w:r>
    </w:p>
    <w:p w14:paraId="6AC98740" w14:textId="77777777" w:rsidR="000014CD" w:rsidRDefault="00BC5440" w:rsidP="000014CD">
      <w:pPr>
        <w:pStyle w:val="ListParagraph"/>
        <w:numPr>
          <w:ilvl w:val="0"/>
          <w:numId w:val="53"/>
        </w:numPr>
        <w:rPr>
          <w:rFonts w:cstheme="minorHAnsi"/>
        </w:rPr>
      </w:pPr>
      <w:r w:rsidRPr="00D36BE4">
        <w:rPr>
          <w:rFonts w:cstheme="minorHAnsi"/>
          <w:b/>
          <w:u w:val="single"/>
        </w:rPr>
        <w:t>Mitomycin</w:t>
      </w:r>
      <w:r w:rsidRPr="00D36BE4">
        <w:rPr>
          <w:rFonts w:cstheme="minorHAnsi"/>
          <w:b/>
        </w:rPr>
        <w:t>:</w:t>
      </w:r>
      <w:r>
        <w:rPr>
          <w:rFonts w:cstheme="minorHAnsi"/>
        </w:rPr>
        <w:t xml:space="preserve"> Acute pulmonary reactions</w:t>
      </w:r>
      <w:r w:rsidR="00B5041A">
        <w:rPr>
          <w:rFonts w:cstheme="minorHAnsi"/>
        </w:rPr>
        <w:t xml:space="preserve"> have been</w:t>
      </w:r>
      <w:r>
        <w:rPr>
          <w:rFonts w:cstheme="minorHAnsi"/>
        </w:rPr>
        <w:t xml:space="preserve"> documented with the co-administration of mitomycin and vinca alkaloids (including vinorelbine)</w:t>
      </w:r>
      <w:r w:rsidR="00182A39">
        <w:rPr>
          <w:rFonts w:cstheme="minorHAnsi"/>
        </w:rPr>
        <w:t>.</w:t>
      </w:r>
    </w:p>
    <w:p w14:paraId="50569D5B" w14:textId="77777777" w:rsidR="00D36BE4" w:rsidRDefault="00D36BE4" w:rsidP="00D36BE4">
      <w:pPr>
        <w:pStyle w:val="ListParagraph"/>
        <w:rPr>
          <w:rFonts w:cstheme="minorHAnsi"/>
        </w:rPr>
      </w:pPr>
    </w:p>
    <w:p w14:paraId="25DF96AF" w14:textId="77777777" w:rsidR="00D36BE4" w:rsidRPr="00D36BE4" w:rsidRDefault="00BC5440" w:rsidP="00D36BE4">
      <w:pPr>
        <w:pStyle w:val="ListParagraph"/>
        <w:numPr>
          <w:ilvl w:val="0"/>
          <w:numId w:val="53"/>
        </w:numPr>
        <w:rPr>
          <w:rFonts w:cstheme="minorHAnsi"/>
        </w:rPr>
      </w:pPr>
      <w:r w:rsidRPr="00D36BE4">
        <w:rPr>
          <w:rFonts w:cstheme="minorHAnsi"/>
          <w:b/>
          <w:u w:val="single"/>
        </w:rPr>
        <w:t>Drugs with known bone marrow toxicity</w:t>
      </w:r>
      <w:r w:rsidRPr="00D36BE4">
        <w:rPr>
          <w:rFonts w:cstheme="minorHAnsi"/>
          <w:b/>
        </w:rPr>
        <w:t>:</w:t>
      </w:r>
      <w:r>
        <w:rPr>
          <w:rFonts w:cstheme="minorHAnsi"/>
        </w:rPr>
        <w:t xml:space="preserve"> Co-administration of vinorelbine may exacerbate myelosuppressive adverse effects</w:t>
      </w:r>
      <w:r w:rsidR="00182A39">
        <w:rPr>
          <w:rFonts w:cstheme="minorHAnsi"/>
        </w:rPr>
        <w:t>.</w:t>
      </w:r>
    </w:p>
    <w:p w14:paraId="0DA47D43" w14:textId="77777777" w:rsidR="00D36BE4" w:rsidRDefault="00D36BE4" w:rsidP="00D36BE4">
      <w:pPr>
        <w:pStyle w:val="ListParagraph"/>
        <w:rPr>
          <w:rFonts w:cstheme="minorHAnsi"/>
        </w:rPr>
      </w:pPr>
    </w:p>
    <w:p w14:paraId="7A6623F7" w14:textId="77777777" w:rsidR="00BC5440" w:rsidRDefault="00BC5440" w:rsidP="000014CD">
      <w:pPr>
        <w:pStyle w:val="ListParagraph"/>
        <w:numPr>
          <w:ilvl w:val="0"/>
          <w:numId w:val="53"/>
        </w:numPr>
        <w:rPr>
          <w:rFonts w:cstheme="minorHAnsi"/>
        </w:rPr>
      </w:pPr>
      <w:r w:rsidRPr="00D36BE4">
        <w:rPr>
          <w:rFonts w:cstheme="minorHAnsi"/>
          <w:b/>
          <w:u w:val="single"/>
        </w:rPr>
        <w:t>Warfarin</w:t>
      </w:r>
      <w:r w:rsidRPr="00D36BE4">
        <w:rPr>
          <w:rFonts w:cstheme="minorHAnsi"/>
          <w:b/>
        </w:rPr>
        <w:t>:</w:t>
      </w:r>
      <w:r>
        <w:rPr>
          <w:rFonts w:cstheme="minorHAnsi"/>
        </w:rPr>
        <w:t xml:space="preserve"> </w:t>
      </w:r>
      <w:r w:rsidR="00D82E8C">
        <w:rPr>
          <w:rFonts w:cstheme="minorHAnsi"/>
        </w:rPr>
        <w:t>The interaction profile of warfarin and vinorelbine are unknown. Participants who are co-administered both drugs should be monitored closely for adverse events and toxicities</w:t>
      </w:r>
      <w:r w:rsidR="00182A39">
        <w:rPr>
          <w:rFonts w:cstheme="minorHAnsi"/>
        </w:rPr>
        <w:t>.</w:t>
      </w:r>
    </w:p>
    <w:p w14:paraId="3B7EB683" w14:textId="77777777" w:rsidR="00D36BE4" w:rsidRDefault="00D36BE4" w:rsidP="00D36BE4">
      <w:pPr>
        <w:pStyle w:val="ListParagraph"/>
        <w:rPr>
          <w:rFonts w:cstheme="minorHAnsi"/>
        </w:rPr>
      </w:pPr>
    </w:p>
    <w:p w14:paraId="072C9C21" w14:textId="77777777" w:rsidR="00D36BE4" w:rsidRPr="00D36BE4" w:rsidRDefault="00D36BE4" w:rsidP="00D36BE4">
      <w:pPr>
        <w:pStyle w:val="ListParagraph"/>
        <w:numPr>
          <w:ilvl w:val="0"/>
          <w:numId w:val="53"/>
        </w:numPr>
        <w:rPr>
          <w:rFonts w:cstheme="minorHAnsi"/>
        </w:rPr>
      </w:pPr>
      <w:r w:rsidRPr="00D36BE4">
        <w:rPr>
          <w:rFonts w:cstheme="minorHAnsi"/>
          <w:b/>
          <w:u w:val="single"/>
        </w:rPr>
        <w:lastRenderedPageBreak/>
        <w:t>Cisplatin</w:t>
      </w:r>
      <w:r w:rsidRPr="00D36BE4">
        <w:rPr>
          <w:rFonts w:cstheme="minorHAnsi"/>
          <w:b/>
        </w:rPr>
        <w:t>:</w:t>
      </w:r>
      <w:r>
        <w:rPr>
          <w:rFonts w:cstheme="minorHAnsi"/>
        </w:rPr>
        <w:t xml:space="preserve"> An increase in the incidence of granulocytopaenia has been observed with the co-administration of cisplatin and vinorelbine</w:t>
      </w:r>
      <w:r w:rsidR="00182A39">
        <w:rPr>
          <w:rFonts w:cstheme="minorHAnsi"/>
        </w:rPr>
        <w:t>.</w:t>
      </w:r>
    </w:p>
    <w:p w14:paraId="556E5DFA" w14:textId="77777777" w:rsidR="00D36BE4" w:rsidRPr="00D36BE4" w:rsidRDefault="00D36BE4" w:rsidP="00D36BE4">
      <w:pPr>
        <w:pStyle w:val="ListParagraph"/>
        <w:rPr>
          <w:rFonts w:cstheme="minorHAnsi"/>
        </w:rPr>
      </w:pPr>
    </w:p>
    <w:p w14:paraId="06181E4F" w14:textId="77777777" w:rsidR="00D36BE4" w:rsidRPr="000014CD" w:rsidRDefault="00D36BE4" w:rsidP="000014CD">
      <w:pPr>
        <w:pStyle w:val="ListParagraph"/>
        <w:numPr>
          <w:ilvl w:val="0"/>
          <w:numId w:val="53"/>
        </w:numPr>
        <w:rPr>
          <w:rFonts w:cstheme="minorHAnsi"/>
        </w:rPr>
      </w:pPr>
      <w:r w:rsidRPr="00D36BE4">
        <w:rPr>
          <w:rFonts w:cstheme="minorHAnsi"/>
          <w:b/>
          <w:u w:val="single"/>
        </w:rPr>
        <w:t>CYP3A4 Inducers and Inhibitors</w:t>
      </w:r>
      <w:r w:rsidRPr="00D36BE4">
        <w:rPr>
          <w:rFonts w:cstheme="minorHAnsi"/>
          <w:b/>
        </w:rPr>
        <w:t>:</w:t>
      </w:r>
      <w:r>
        <w:rPr>
          <w:rFonts w:cstheme="minorHAnsi"/>
        </w:rPr>
        <w:t xml:space="preserve"> Vinorelbine is metabolised by cytochrome CYP3A4. The magnitude of any inducing or inhibitive effects of the co-administration of vinorelbine with CYP3A4 inducers (e.g. phenytoin) </w:t>
      </w:r>
      <w:r w:rsidR="003E77C3">
        <w:rPr>
          <w:rFonts w:cstheme="minorHAnsi"/>
        </w:rPr>
        <w:t>or inhibitors (e.g. ketoconazole) are</w:t>
      </w:r>
      <w:r>
        <w:rPr>
          <w:rFonts w:cstheme="minorHAnsi"/>
        </w:rPr>
        <w:t xml:space="preserve"> unknown and should be avoided.</w:t>
      </w:r>
    </w:p>
    <w:p w14:paraId="664F720C" w14:textId="77777777" w:rsidR="00B964A7" w:rsidRPr="00B05FFC" w:rsidRDefault="00B964A7" w:rsidP="00B964A7">
      <w:pPr>
        <w:rPr>
          <w:rFonts w:cstheme="minorHAnsi"/>
          <w:b/>
        </w:rPr>
      </w:pPr>
    </w:p>
    <w:p w14:paraId="10D71CCA" w14:textId="77777777" w:rsidR="00B964A7" w:rsidRPr="00B05FFC" w:rsidRDefault="00B964A7" w:rsidP="00B02582">
      <w:pPr>
        <w:pStyle w:val="ListParagraph"/>
        <w:numPr>
          <w:ilvl w:val="0"/>
          <w:numId w:val="1"/>
        </w:numPr>
        <w:outlineLvl w:val="0"/>
        <w:rPr>
          <w:rFonts w:cstheme="minorHAnsi"/>
          <w:b/>
        </w:rPr>
      </w:pPr>
      <w:bookmarkStart w:id="111" w:name="_Toc473873100"/>
      <w:bookmarkStart w:id="112" w:name="_Toc489888097"/>
      <w:r w:rsidRPr="00B05FFC">
        <w:rPr>
          <w:rFonts w:cstheme="minorHAnsi"/>
          <w:b/>
        </w:rPr>
        <w:t>STUDY ASSESSMENTS</w:t>
      </w:r>
      <w:bookmarkEnd w:id="111"/>
      <w:bookmarkEnd w:id="112"/>
    </w:p>
    <w:p w14:paraId="27783079" w14:textId="77777777" w:rsidR="00B964A7" w:rsidRPr="00210326" w:rsidRDefault="00B964A7" w:rsidP="00B964A7">
      <w:pPr>
        <w:rPr>
          <w:rFonts w:cstheme="minorHAnsi"/>
          <w:u w:val="single"/>
        </w:rPr>
      </w:pPr>
      <w:r w:rsidRPr="00210326">
        <w:rPr>
          <w:rFonts w:cstheme="minorHAnsi"/>
          <w:u w:val="single"/>
        </w:rPr>
        <w:t>STUDY ASSESSMENTS PRIOR TO TREATMENT</w:t>
      </w:r>
    </w:p>
    <w:p w14:paraId="48E8698C" w14:textId="77777777" w:rsidR="00B964A7" w:rsidRPr="00210326" w:rsidRDefault="00B964A7" w:rsidP="00B964A7">
      <w:pPr>
        <w:rPr>
          <w:rFonts w:cstheme="minorHAnsi"/>
        </w:rPr>
      </w:pPr>
      <w:r w:rsidRPr="00210326">
        <w:rPr>
          <w:rFonts w:cstheme="minorHAnsi"/>
        </w:rPr>
        <w:t>As part of routine clinical care, exami</w:t>
      </w:r>
      <w:r w:rsidR="00210326">
        <w:rPr>
          <w:rFonts w:cstheme="minorHAnsi"/>
        </w:rPr>
        <w:t>nations and pathology tests may</w:t>
      </w:r>
      <w:r w:rsidRPr="00210326">
        <w:rPr>
          <w:rFonts w:cstheme="minorHAnsi"/>
        </w:rPr>
        <w:t xml:space="preserve"> have</w:t>
      </w:r>
      <w:r w:rsidR="00210326">
        <w:rPr>
          <w:rFonts w:cstheme="minorHAnsi"/>
        </w:rPr>
        <w:t xml:space="preserve"> already</w:t>
      </w:r>
      <w:r w:rsidRPr="00210326">
        <w:rPr>
          <w:rFonts w:cstheme="minorHAnsi"/>
        </w:rPr>
        <w:t xml:space="preserve"> been carried out prior to a participant’s screening for recruitment. The results of these tests and examinations </w:t>
      </w:r>
      <w:r w:rsidR="00210326">
        <w:rPr>
          <w:rFonts w:cstheme="minorHAnsi"/>
        </w:rPr>
        <w:t xml:space="preserve">may </w:t>
      </w:r>
      <w:r w:rsidRPr="00210326">
        <w:rPr>
          <w:rFonts w:cstheme="minorHAnsi"/>
        </w:rPr>
        <w:t xml:space="preserve">help to establish a patient’s suitability for the study and give additional details that may be pertinent to the study analysis for stratification purposes. The following test and examination results will be transcribed </w:t>
      </w:r>
      <w:r w:rsidR="00A054E8">
        <w:rPr>
          <w:rFonts w:cstheme="minorHAnsi"/>
        </w:rPr>
        <w:t>(</w:t>
      </w:r>
      <w:r w:rsidRPr="00210326">
        <w:rPr>
          <w:rFonts w:cstheme="minorHAnsi"/>
        </w:rPr>
        <w:t>as appropriate</w:t>
      </w:r>
      <w:r w:rsidR="00A054E8">
        <w:rPr>
          <w:rFonts w:cstheme="minorHAnsi"/>
        </w:rPr>
        <w:t>)</w:t>
      </w:r>
      <w:r w:rsidRPr="00210326">
        <w:rPr>
          <w:rFonts w:cstheme="minorHAnsi"/>
        </w:rPr>
        <w:t xml:space="preserve"> into the </w:t>
      </w:r>
      <w:r w:rsidRPr="00210326">
        <w:rPr>
          <w:rFonts w:cstheme="minorHAnsi"/>
          <w:i/>
        </w:rPr>
        <w:t>Case Report Form</w:t>
      </w:r>
      <w:r w:rsidRPr="00210326">
        <w:rPr>
          <w:rFonts w:cstheme="minorHAnsi"/>
        </w:rPr>
        <w:t xml:space="preserve"> (CRF), following a participant consenting for inclusion in the study:</w:t>
      </w:r>
    </w:p>
    <w:p w14:paraId="172606AA" w14:textId="77777777" w:rsidR="00B964A7" w:rsidRDefault="00B964A7" w:rsidP="00B964A7">
      <w:pPr>
        <w:pStyle w:val="ListParagraph"/>
        <w:numPr>
          <w:ilvl w:val="0"/>
          <w:numId w:val="11"/>
        </w:numPr>
        <w:rPr>
          <w:rFonts w:cstheme="minorHAnsi"/>
        </w:rPr>
      </w:pPr>
      <w:r w:rsidRPr="00210326">
        <w:rPr>
          <w:rFonts w:cstheme="minorHAnsi"/>
        </w:rPr>
        <w:t xml:space="preserve">Gravida and parity </w:t>
      </w:r>
    </w:p>
    <w:p w14:paraId="28DA6354" w14:textId="77777777" w:rsidR="00C664DE" w:rsidRPr="00210326" w:rsidRDefault="00C664DE" w:rsidP="00B964A7">
      <w:pPr>
        <w:pStyle w:val="ListParagraph"/>
        <w:numPr>
          <w:ilvl w:val="0"/>
          <w:numId w:val="11"/>
        </w:numPr>
        <w:rPr>
          <w:rFonts w:cstheme="minorHAnsi"/>
        </w:rPr>
      </w:pPr>
      <w:r>
        <w:rPr>
          <w:rFonts w:cstheme="minorHAnsi"/>
        </w:rPr>
        <w:t>Last normal menstrual period</w:t>
      </w:r>
    </w:p>
    <w:p w14:paraId="5D215080" w14:textId="77777777" w:rsidR="00B964A7" w:rsidRPr="00210326" w:rsidRDefault="00B964A7" w:rsidP="00B964A7">
      <w:pPr>
        <w:pStyle w:val="ListParagraph"/>
        <w:numPr>
          <w:ilvl w:val="0"/>
          <w:numId w:val="11"/>
        </w:numPr>
        <w:rPr>
          <w:rFonts w:cstheme="minorHAnsi"/>
        </w:rPr>
      </w:pPr>
      <w:r w:rsidRPr="00210326">
        <w:rPr>
          <w:rFonts w:cstheme="minorHAnsi"/>
        </w:rPr>
        <w:t>Height, weight and B</w:t>
      </w:r>
      <w:r w:rsidR="00210326" w:rsidRPr="00210326">
        <w:rPr>
          <w:rFonts w:cstheme="minorHAnsi"/>
        </w:rPr>
        <w:t>MI</w:t>
      </w:r>
    </w:p>
    <w:p w14:paraId="621A272C" w14:textId="77777777" w:rsidR="00B964A7" w:rsidRPr="00210326" w:rsidRDefault="00B964A7" w:rsidP="00B964A7">
      <w:pPr>
        <w:pStyle w:val="ListParagraph"/>
        <w:numPr>
          <w:ilvl w:val="0"/>
          <w:numId w:val="11"/>
        </w:numPr>
        <w:rPr>
          <w:rFonts w:cstheme="minorHAnsi"/>
        </w:rPr>
      </w:pPr>
      <w:r w:rsidRPr="00210326">
        <w:rPr>
          <w:rFonts w:cstheme="minorHAnsi"/>
        </w:rPr>
        <w:t>Blood pressur</w:t>
      </w:r>
      <w:r w:rsidR="00210326" w:rsidRPr="00210326">
        <w:rPr>
          <w:rFonts w:cstheme="minorHAnsi"/>
        </w:rPr>
        <w:t>e readings</w:t>
      </w:r>
      <w:r w:rsidR="003062C7">
        <w:rPr>
          <w:rFonts w:cstheme="minorHAnsi"/>
        </w:rPr>
        <w:t xml:space="preserve"> and other observations of vital signs</w:t>
      </w:r>
      <w:r w:rsidR="00210326" w:rsidRPr="00210326">
        <w:rPr>
          <w:rFonts w:cstheme="minorHAnsi"/>
        </w:rPr>
        <w:t xml:space="preserve"> </w:t>
      </w:r>
    </w:p>
    <w:p w14:paraId="205DB9AC" w14:textId="77777777" w:rsidR="00B964A7" w:rsidRPr="00210326" w:rsidRDefault="00B964A7" w:rsidP="00B964A7">
      <w:pPr>
        <w:pStyle w:val="ListParagraph"/>
        <w:numPr>
          <w:ilvl w:val="0"/>
          <w:numId w:val="11"/>
        </w:numPr>
        <w:rPr>
          <w:rFonts w:cstheme="minorHAnsi"/>
        </w:rPr>
      </w:pPr>
      <w:r w:rsidRPr="00210326">
        <w:rPr>
          <w:rFonts w:cstheme="minorHAnsi"/>
        </w:rPr>
        <w:t>Medical prog</w:t>
      </w:r>
      <w:r w:rsidR="00210326" w:rsidRPr="00210326">
        <w:rPr>
          <w:rFonts w:cstheme="minorHAnsi"/>
        </w:rPr>
        <w:t>ress notes tracking the history of the ectopic pregnancy and its diagnosis</w:t>
      </w:r>
    </w:p>
    <w:p w14:paraId="46A8CA89" w14:textId="77777777" w:rsidR="00B964A7" w:rsidRPr="00210326" w:rsidRDefault="00B964A7" w:rsidP="00B964A7">
      <w:pPr>
        <w:pStyle w:val="ListParagraph"/>
        <w:numPr>
          <w:ilvl w:val="0"/>
          <w:numId w:val="11"/>
        </w:numPr>
        <w:rPr>
          <w:rFonts w:cstheme="minorHAnsi"/>
        </w:rPr>
      </w:pPr>
      <w:r w:rsidRPr="00210326">
        <w:rPr>
          <w:rFonts w:cstheme="minorHAnsi"/>
        </w:rPr>
        <w:t xml:space="preserve">Pathology tests (including but not limited to </w:t>
      </w:r>
      <w:r w:rsidR="005450C2">
        <w:rPr>
          <w:rFonts w:cstheme="minorHAnsi"/>
        </w:rPr>
        <w:t>FBE</w:t>
      </w:r>
      <w:r w:rsidRPr="00210326">
        <w:rPr>
          <w:rFonts w:cstheme="minorHAnsi"/>
        </w:rPr>
        <w:t xml:space="preserve">; </w:t>
      </w:r>
      <w:r w:rsidR="005450C2">
        <w:rPr>
          <w:rFonts w:cstheme="minorHAnsi"/>
        </w:rPr>
        <w:t>U&amp;Es</w:t>
      </w:r>
      <w:r w:rsidR="00210326" w:rsidRPr="00210326">
        <w:rPr>
          <w:rFonts w:cstheme="minorHAnsi"/>
        </w:rPr>
        <w:t>; LFTs</w:t>
      </w:r>
      <w:r w:rsidRPr="00210326">
        <w:rPr>
          <w:rFonts w:cstheme="minorHAnsi"/>
        </w:rPr>
        <w:t>;</w:t>
      </w:r>
      <w:r w:rsidR="004A685B">
        <w:rPr>
          <w:rFonts w:cstheme="minorHAnsi"/>
        </w:rPr>
        <w:t xml:space="preserve"> </w:t>
      </w:r>
      <w:r w:rsidR="00210326" w:rsidRPr="00210326">
        <w:rPr>
          <w:rFonts w:cstheme="minorHAnsi"/>
        </w:rPr>
        <w:t>hCG levels;</w:t>
      </w:r>
      <w:r w:rsidRPr="00210326">
        <w:rPr>
          <w:rFonts w:cstheme="minorHAnsi"/>
        </w:rPr>
        <w:t xml:space="preserve"> etc.)  </w:t>
      </w:r>
    </w:p>
    <w:p w14:paraId="546EB572" w14:textId="77777777" w:rsidR="00667817" w:rsidRPr="00CD50B6" w:rsidRDefault="00210326" w:rsidP="00B964A7">
      <w:pPr>
        <w:pStyle w:val="ListParagraph"/>
        <w:numPr>
          <w:ilvl w:val="0"/>
          <w:numId w:val="11"/>
        </w:numPr>
        <w:rPr>
          <w:rFonts w:cstheme="minorHAnsi"/>
        </w:rPr>
      </w:pPr>
      <w:r w:rsidRPr="00210326">
        <w:rPr>
          <w:rFonts w:cstheme="minorHAnsi"/>
        </w:rPr>
        <w:t>Transvaginal u</w:t>
      </w:r>
      <w:r w:rsidR="00B964A7" w:rsidRPr="00210326">
        <w:rPr>
          <w:rFonts w:cstheme="minorHAnsi"/>
        </w:rPr>
        <w:t>ltrasound</w:t>
      </w:r>
      <w:r w:rsidRPr="00210326">
        <w:rPr>
          <w:rFonts w:cstheme="minorHAnsi"/>
        </w:rPr>
        <w:t>s</w:t>
      </w:r>
      <w:r w:rsidR="00B964A7" w:rsidRPr="00210326">
        <w:rPr>
          <w:rFonts w:cstheme="minorHAnsi"/>
        </w:rPr>
        <w:t xml:space="preserve"> </w:t>
      </w:r>
      <w:r w:rsidR="00064555">
        <w:rPr>
          <w:rFonts w:cstheme="minorHAnsi"/>
        </w:rPr>
        <w:t>– including location, size and gestational age of ectopic pregnancy</w:t>
      </w:r>
    </w:p>
    <w:p w14:paraId="3633C1CA" w14:textId="77777777" w:rsidR="00B964A7" w:rsidRDefault="00667817" w:rsidP="00B964A7">
      <w:pPr>
        <w:rPr>
          <w:rFonts w:cstheme="minorHAnsi"/>
          <w:u w:val="single"/>
        </w:rPr>
      </w:pPr>
      <w:r>
        <w:rPr>
          <w:rFonts w:cstheme="minorHAnsi"/>
          <w:u w:val="single"/>
        </w:rPr>
        <w:t>STUDY ASSESSMENTS DURING TREATMENT COURSE</w:t>
      </w:r>
    </w:p>
    <w:p w14:paraId="7A9E2105" w14:textId="77777777" w:rsidR="00667817" w:rsidRPr="007A370B" w:rsidRDefault="00667817" w:rsidP="00667817">
      <w:pPr>
        <w:rPr>
          <w:rFonts w:cstheme="minorHAnsi"/>
        </w:rPr>
      </w:pPr>
      <w:r w:rsidRPr="007A370B">
        <w:rPr>
          <w:rFonts w:cstheme="minorHAnsi"/>
        </w:rPr>
        <w:t>A member of the research team will visit the participants at each of their day admissions to the EPC during their study to perform an assessment of the participant’s wellbeing, communicate with the EPC clinicians and review the participant’s medic</w:t>
      </w:r>
      <w:r>
        <w:rPr>
          <w:rFonts w:cstheme="minorHAnsi"/>
        </w:rPr>
        <w:t xml:space="preserve">al history. The researcher will update </w:t>
      </w:r>
      <w:r w:rsidRPr="007A370B">
        <w:rPr>
          <w:rFonts w:cstheme="minorHAnsi"/>
        </w:rPr>
        <w:t>the CRF detailing:</w:t>
      </w:r>
    </w:p>
    <w:p w14:paraId="1F65B754" w14:textId="77777777" w:rsidR="00667817" w:rsidRPr="007A370B" w:rsidRDefault="00667817" w:rsidP="00667817">
      <w:pPr>
        <w:pStyle w:val="ListParagraph"/>
        <w:numPr>
          <w:ilvl w:val="0"/>
          <w:numId w:val="13"/>
        </w:numPr>
        <w:rPr>
          <w:rFonts w:cstheme="minorHAnsi"/>
        </w:rPr>
      </w:pPr>
      <w:r w:rsidRPr="007A370B">
        <w:rPr>
          <w:rFonts w:cstheme="minorHAnsi"/>
        </w:rPr>
        <w:t xml:space="preserve">Any AEs experienced by the participant </w:t>
      </w:r>
    </w:p>
    <w:p w14:paraId="1C36C465" w14:textId="77777777" w:rsidR="00667817" w:rsidRPr="007A370B" w:rsidRDefault="00667817" w:rsidP="00667817">
      <w:pPr>
        <w:pStyle w:val="ListParagraph"/>
        <w:numPr>
          <w:ilvl w:val="0"/>
          <w:numId w:val="13"/>
        </w:numPr>
        <w:rPr>
          <w:rFonts w:cstheme="minorHAnsi"/>
        </w:rPr>
      </w:pPr>
      <w:r w:rsidRPr="007A370B">
        <w:rPr>
          <w:rFonts w:cstheme="minorHAnsi"/>
        </w:rPr>
        <w:t xml:space="preserve">Any changes in </w:t>
      </w:r>
      <w:r>
        <w:rPr>
          <w:rFonts w:cstheme="minorHAnsi"/>
        </w:rPr>
        <w:t>participant condition (</w:t>
      </w:r>
      <w:r w:rsidR="00EA5BD1">
        <w:rPr>
          <w:rFonts w:cstheme="minorHAnsi"/>
        </w:rPr>
        <w:t xml:space="preserve">e.g. increased </w:t>
      </w:r>
      <w:r>
        <w:rPr>
          <w:rFonts w:cstheme="minorHAnsi"/>
        </w:rPr>
        <w:t>abdominal pain)</w:t>
      </w:r>
    </w:p>
    <w:p w14:paraId="7C1916FA" w14:textId="77777777" w:rsidR="00667817" w:rsidRPr="007912C5" w:rsidRDefault="00667817" w:rsidP="00667817">
      <w:pPr>
        <w:pStyle w:val="ListParagraph"/>
        <w:numPr>
          <w:ilvl w:val="0"/>
          <w:numId w:val="13"/>
        </w:numPr>
        <w:rPr>
          <w:rFonts w:cstheme="minorHAnsi"/>
        </w:rPr>
      </w:pPr>
      <w:r w:rsidRPr="007912C5">
        <w:rPr>
          <w:rFonts w:cstheme="minorHAnsi"/>
        </w:rPr>
        <w:t>Any pathology tests undertaken since the last study visit</w:t>
      </w:r>
    </w:p>
    <w:p w14:paraId="69936F2D" w14:textId="77777777" w:rsidR="00667817" w:rsidRPr="007912C5" w:rsidRDefault="00667817" w:rsidP="00667817">
      <w:pPr>
        <w:pStyle w:val="ListParagraph"/>
        <w:numPr>
          <w:ilvl w:val="0"/>
          <w:numId w:val="13"/>
        </w:numPr>
        <w:rPr>
          <w:rFonts w:cstheme="minorHAnsi"/>
        </w:rPr>
      </w:pPr>
      <w:r w:rsidRPr="007912C5">
        <w:rPr>
          <w:rFonts w:cstheme="minorHAnsi"/>
        </w:rPr>
        <w:t>Compliance with treatment regime</w:t>
      </w:r>
    </w:p>
    <w:p w14:paraId="581D0303" w14:textId="77777777" w:rsidR="00667817" w:rsidRPr="007912C5" w:rsidRDefault="00667817" w:rsidP="00667817">
      <w:pPr>
        <w:pStyle w:val="ListParagraph"/>
        <w:numPr>
          <w:ilvl w:val="0"/>
          <w:numId w:val="13"/>
        </w:numPr>
        <w:rPr>
          <w:rFonts w:cstheme="minorHAnsi"/>
        </w:rPr>
      </w:pPr>
      <w:r w:rsidRPr="007912C5">
        <w:rPr>
          <w:rFonts w:cstheme="minorHAnsi"/>
        </w:rPr>
        <w:t>Participant wellbeing</w:t>
      </w:r>
    </w:p>
    <w:p w14:paraId="6C0978FB" w14:textId="77777777" w:rsidR="00667817" w:rsidRDefault="00667817" w:rsidP="00667817">
      <w:pPr>
        <w:pStyle w:val="ListParagraph"/>
        <w:numPr>
          <w:ilvl w:val="0"/>
          <w:numId w:val="13"/>
        </w:numPr>
        <w:rPr>
          <w:rFonts w:cstheme="minorHAnsi"/>
        </w:rPr>
      </w:pPr>
      <w:r w:rsidRPr="007912C5">
        <w:rPr>
          <w:rFonts w:cstheme="minorHAnsi"/>
        </w:rPr>
        <w:t>The participant’s stated willingness to continue with the study</w:t>
      </w:r>
    </w:p>
    <w:p w14:paraId="42732ECB" w14:textId="77777777" w:rsidR="00667817" w:rsidRPr="007A370B" w:rsidRDefault="00667817" w:rsidP="00667817">
      <w:pPr>
        <w:rPr>
          <w:rFonts w:cstheme="minorHAnsi"/>
        </w:rPr>
      </w:pPr>
      <w:r w:rsidRPr="007A370B">
        <w:rPr>
          <w:rFonts w:cstheme="minorHAnsi"/>
        </w:rPr>
        <w:t xml:space="preserve">Other relevant information (such as earlier or subsequent blood test and ultrasound results) will be transcribed </w:t>
      </w:r>
      <w:r>
        <w:rPr>
          <w:rFonts w:cstheme="minorHAnsi"/>
        </w:rPr>
        <w:t xml:space="preserve">as appropriate </w:t>
      </w:r>
      <w:r w:rsidRPr="007A370B">
        <w:rPr>
          <w:rFonts w:cstheme="minorHAnsi"/>
        </w:rPr>
        <w:t xml:space="preserve">into the CRF from patient files for the duration of the participant’s enrolment in the study. </w:t>
      </w:r>
    </w:p>
    <w:p w14:paraId="57D6F417" w14:textId="77777777" w:rsidR="00667817" w:rsidRPr="00667817" w:rsidRDefault="00667817" w:rsidP="00B964A7">
      <w:pPr>
        <w:rPr>
          <w:rFonts w:cstheme="minorHAnsi"/>
          <w:u w:val="single"/>
        </w:rPr>
      </w:pPr>
    </w:p>
    <w:p w14:paraId="6C5F0818" w14:textId="3079ACBB" w:rsidR="00B964A7" w:rsidRPr="004A685B" w:rsidRDefault="00B964A7" w:rsidP="00B964A7">
      <w:pPr>
        <w:rPr>
          <w:rFonts w:cstheme="minorHAnsi"/>
          <w:u w:val="single"/>
        </w:rPr>
      </w:pPr>
      <w:r w:rsidRPr="004A685B">
        <w:rPr>
          <w:rFonts w:cstheme="minorHAnsi"/>
          <w:u w:val="single"/>
        </w:rPr>
        <w:lastRenderedPageBreak/>
        <w:t xml:space="preserve">STUDY ASSESSMENTS </w:t>
      </w:r>
      <w:r w:rsidR="00D9066F">
        <w:rPr>
          <w:rFonts w:cstheme="minorHAnsi"/>
          <w:u w:val="single"/>
        </w:rPr>
        <w:t>–</w:t>
      </w:r>
      <w:r w:rsidRPr="004A685B">
        <w:rPr>
          <w:rFonts w:cstheme="minorHAnsi"/>
          <w:u w:val="single"/>
        </w:rPr>
        <w:t xml:space="preserve"> DAY</w:t>
      </w:r>
      <w:r w:rsidR="004C6E0B">
        <w:rPr>
          <w:rFonts w:cstheme="minorHAnsi"/>
          <w:u w:val="single"/>
        </w:rPr>
        <w:t xml:space="preserve"> 0</w:t>
      </w:r>
      <w:bookmarkStart w:id="113" w:name="_GoBack"/>
      <w:bookmarkEnd w:id="113"/>
      <w:r w:rsidR="008E54A6">
        <w:rPr>
          <w:rFonts w:cstheme="minorHAnsi"/>
          <w:u w:val="single"/>
        </w:rPr>
        <w:t xml:space="preserve"> </w:t>
      </w:r>
      <w:r w:rsidR="00D9066F">
        <w:rPr>
          <w:rFonts w:cstheme="minorHAnsi"/>
          <w:u w:val="single"/>
        </w:rPr>
        <w:t>(DAY OF FIRST</w:t>
      </w:r>
      <w:r w:rsidRPr="004A685B">
        <w:rPr>
          <w:rFonts w:cstheme="minorHAnsi"/>
          <w:u w:val="single"/>
        </w:rPr>
        <w:t xml:space="preserve"> TREATMENT DOSE</w:t>
      </w:r>
      <w:r w:rsidR="00D9066F">
        <w:rPr>
          <w:rFonts w:cstheme="minorHAnsi"/>
          <w:u w:val="single"/>
        </w:rPr>
        <w:t>)</w:t>
      </w:r>
      <w:r w:rsidRPr="004A685B">
        <w:rPr>
          <w:rFonts w:cstheme="minorHAnsi"/>
          <w:u w:val="single"/>
        </w:rPr>
        <w:t xml:space="preserve"> </w:t>
      </w:r>
    </w:p>
    <w:p w14:paraId="14C67695" w14:textId="77777777" w:rsidR="00452AAF" w:rsidRDefault="00452AAF" w:rsidP="00B964A7">
      <w:pPr>
        <w:pStyle w:val="ListParagraph"/>
        <w:numPr>
          <w:ilvl w:val="0"/>
          <w:numId w:val="12"/>
        </w:numPr>
        <w:rPr>
          <w:rFonts w:cstheme="minorHAnsi"/>
        </w:rPr>
      </w:pPr>
      <w:r>
        <w:rPr>
          <w:rFonts w:cstheme="minorHAnsi"/>
        </w:rPr>
        <w:t xml:space="preserve">Clinical assessment – </w:t>
      </w:r>
      <w:r w:rsidR="003062C7">
        <w:rPr>
          <w:rFonts w:cstheme="minorHAnsi"/>
        </w:rPr>
        <w:t>confirm the</w:t>
      </w:r>
      <w:r w:rsidR="00064555">
        <w:rPr>
          <w:rFonts w:cstheme="minorHAnsi"/>
        </w:rPr>
        <w:t xml:space="preserve"> participant</w:t>
      </w:r>
      <w:r w:rsidR="003062C7">
        <w:rPr>
          <w:rFonts w:cstheme="minorHAnsi"/>
        </w:rPr>
        <w:t xml:space="preserve"> is </w:t>
      </w:r>
      <w:r>
        <w:rPr>
          <w:rFonts w:cstheme="minorHAnsi"/>
        </w:rPr>
        <w:t>no</w:t>
      </w:r>
      <w:r w:rsidR="003062C7">
        <w:rPr>
          <w:rFonts w:cstheme="minorHAnsi"/>
        </w:rPr>
        <w:t>t exhibiting</w:t>
      </w:r>
      <w:r w:rsidR="00EC2A20">
        <w:rPr>
          <w:rFonts w:cstheme="minorHAnsi"/>
        </w:rPr>
        <w:t xml:space="preserve"> signs or symptoms </w:t>
      </w:r>
      <w:r>
        <w:rPr>
          <w:rFonts w:cstheme="minorHAnsi"/>
        </w:rPr>
        <w:t>of evolving rupture, bleeding or haemodynamic instability</w:t>
      </w:r>
    </w:p>
    <w:p w14:paraId="1CC00155" w14:textId="77777777" w:rsidR="004A685B" w:rsidRDefault="004A685B" w:rsidP="00B964A7">
      <w:pPr>
        <w:pStyle w:val="ListParagraph"/>
        <w:numPr>
          <w:ilvl w:val="0"/>
          <w:numId w:val="12"/>
        </w:numPr>
        <w:rPr>
          <w:rFonts w:cstheme="minorHAnsi"/>
        </w:rPr>
      </w:pPr>
      <w:r>
        <w:rPr>
          <w:rFonts w:cstheme="minorHAnsi"/>
        </w:rPr>
        <w:t>Ensure standard of care pre-medica</w:t>
      </w:r>
      <w:r w:rsidR="00A05622">
        <w:rPr>
          <w:rFonts w:cstheme="minorHAnsi"/>
        </w:rPr>
        <w:t>tion blood tests completed (FBE, U&amp;Es,</w:t>
      </w:r>
      <w:r>
        <w:rPr>
          <w:rFonts w:cstheme="minorHAnsi"/>
        </w:rPr>
        <w:t xml:space="preserve"> LFTs and serum hCG levels)</w:t>
      </w:r>
    </w:p>
    <w:p w14:paraId="0CFFCD22" w14:textId="77777777" w:rsidR="00B964A7" w:rsidRPr="004A685B" w:rsidRDefault="00B964A7" w:rsidP="00B964A7">
      <w:pPr>
        <w:pStyle w:val="ListParagraph"/>
        <w:numPr>
          <w:ilvl w:val="0"/>
          <w:numId w:val="12"/>
        </w:numPr>
        <w:rPr>
          <w:rFonts w:cstheme="minorHAnsi"/>
        </w:rPr>
      </w:pPr>
      <w:r w:rsidRPr="004A685B">
        <w:rPr>
          <w:rFonts w:cstheme="minorHAnsi"/>
        </w:rPr>
        <w:t>Written, informed consent obtained</w:t>
      </w:r>
    </w:p>
    <w:p w14:paraId="4C6D4E1E" w14:textId="77777777" w:rsidR="00B964A7" w:rsidRPr="004A685B" w:rsidRDefault="00B964A7" w:rsidP="00B964A7">
      <w:pPr>
        <w:pStyle w:val="ListParagraph"/>
        <w:numPr>
          <w:ilvl w:val="0"/>
          <w:numId w:val="12"/>
        </w:numPr>
        <w:rPr>
          <w:rFonts w:cstheme="minorHAnsi"/>
        </w:rPr>
      </w:pPr>
      <w:r w:rsidRPr="004A685B">
        <w:rPr>
          <w:rFonts w:cstheme="minorHAnsi"/>
        </w:rPr>
        <w:t xml:space="preserve">Medical history review </w:t>
      </w:r>
    </w:p>
    <w:p w14:paraId="185ABAA7" w14:textId="77777777" w:rsidR="00B964A7" w:rsidRPr="004A685B" w:rsidRDefault="00B964A7" w:rsidP="00B964A7">
      <w:pPr>
        <w:pStyle w:val="ListParagraph"/>
        <w:numPr>
          <w:ilvl w:val="0"/>
          <w:numId w:val="12"/>
        </w:numPr>
        <w:rPr>
          <w:rFonts w:cstheme="minorHAnsi"/>
        </w:rPr>
      </w:pPr>
      <w:r w:rsidRPr="004A685B">
        <w:rPr>
          <w:rFonts w:cstheme="minorHAnsi"/>
        </w:rPr>
        <w:t>Discussion with pa</w:t>
      </w:r>
      <w:r w:rsidR="004A685B" w:rsidRPr="004A685B">
        <w:rPr>
          <w:rFonts w:cstheme="minorHAnsi"/>
        </w:rPr>
        <w:t>rticipant’s</w:t>
      </w:r>
      <w:r w:rsidR="001D0454">
        <w:rPr>
          <w:rFonts w:cstheme="minorHAnsi"/>
        </w:rPr>
        <w:t xml:space="preserve"> treating doctors, nurses and</w:t>
      </w:r>
      <w:r w:rsidRPr="004A685B">
        <w:rPr>
          <w:rFonts w:cstheme="minorHAnsi"/>
        </w:rPr>
        <w:t xml:space="preserve"> midwives</w:t>
      </w:r>
    </w:p>
    <w:p w14:paraId="6BB765C4" w14:textId="77777777" w:rsidR="00B964A7" w:rsidRPr="004A685B" w:rsidRDefault="00B964A7" w:rsidP="00B964A7">
      <w:pPr>
        <w:pStyle w:val="ListParagraph"/>
        <w:numPr>
          <w:ilvl w:val="0"/>
          <w:numId w:val="12"/>
        </w:numPr>
        <w:rPr>
          <w:rFonts w:cstheme="minorHAnsi"/>
        </w:rPr>
      </w:pPr>
      <w:r w:rsidRPr="004A685B">
        <w:rPr>
          <w:rFonts w:cstheme="minorHAnsi"/>
        </w:rPr>
        <w:t>Eligibility confirmed by senior member of the research team</w:t>
      </w:r>
    </w:p>
    <w:p w14:paraId="75C80CE1" w14:textId="77777777" w:rsidR="004A685B" w:rsidRDefault="004A685B" w:rsidP="00B964A7">
      <w:pPr>
        <w:pStyle w:val="ListParagraph"/>
        <w:numPr>
          <w:ilvl w:val="0"/>
          <w:numId w:val="12"/>
        </w:numPr>
        <w:rPr>
          <w:rFonts w:cstheme="minorHAnsi"/>
        </w:rPr>
      </w:pPr>
      <w:r w:rsidRPr="004A685B">
        <w:rPr>
          <w:rFonts w:cstheme="minorHAnsi"/>
        </w:rPr>
        <w:t>Vinorelbine</w:t>
      </w:r>
      <w:r w:rsidR="00B964A7" w:rsidRPr="004A685B">
        <w:rPr>
          <w:rFonts w:cstheme="minorHAnsi"/>
        </w:rPr>
        <w:t xml:space="preserve"> prescribed on </w:t>
      </w:r>
      <w:r w:rsidR="00DD3BF2">
        <w:rPr>
          <w:rFonts w:cstheme="minorHAnsi"/>
        </w:rPr>
        <w:t>medication chart by an O&amp;G</w:t>
      </w:r>
      <w:r w:rsidR="00B964A7" w:rsidRPr="004A685B">
        <w:rPr>
          <w:rFonts w:cstheme="minorHAnsi"/>
        </w:rPr>
        <w:t xml:space="preserve"> doctor</w:t>
      </w:r>
      <w:r w:rsidR="00DD3BF2">
        <w:rPr>
          <w:rFonts w:cstheme="minorHAnsi"/>
        </w:rPr>
        <w:t xml:space="preserve"> (who is also a listed researcher)</w:t>
      </w:r>
      <w:r>
        <w:rPr>
          <w:rFonts w:cstheme="minorHAnsi"/>
        </w:rPr>
        <w:t xml:space="preserve"> </w:t>
      </w:r>
    </w:p>
    <w:p w14:paraId="16A31D89" w14:textId="77777777" w:rsidR="00B964A7" w:rsidRPr="004A685B" w:rsidRDefault="004A685B" w:rsidP="00B964A7">
      <w:pPr>
        <w:pStyle w:val="ListParagraph"/>
        <w:numPr>
          <w:ilvl w:val="0"/>
          <w:numId w:val="12"/>
        </w:numPr>
        <w:rPr>
          <w:rFonts w:cstheme="minorHAnsi"/>
        </w:rPr>
      </w:pPr>
      <w:r>
        <w:rPr>
          <w:rFonts w:cstheme="minorHAnsi"/>
        </w:rPr>
        <w:t xml:space="preserve">Vinorelbine to be administered by an </w:t>
      </w:r>
      <w:r w:rsidR="00857854">
        <w:rPr>
          <w:rFonts w:cstheme="minorHAnsi"/>
        </w:rPr>
        <w:t>appropriately qualified EPC nurse,</w:t>
      </w:r>
      <w:r>
        <w:rPr>
          <w:rFonts w:cstheme="minorHAnsi"/>
        </w:rPr>
        <w:t xml:space="preserve"> midwife</w:t>
      </w:r>
      <w:r w:rsidR="00857854">
        <w:rPr>
          <w:rFonts w:cstheme="minorHAnsi"/>
        </w:rPr>
        <w:t xml:space="preserve"> or doctor</w:t>
      </w:r>
      <w:r w:rsidR="00B964A7" w:rsidRPr="004A685B">
        <w:rPr>
          <w:rFonts w:cstheme="minorHAnsi"/>
        </w:rPr>
        <w:t xml:space="preserve"> </w:t>
      </w:r>
    </w:p>
    <w:p w14:paraId="0AB0C5BF" w14:textId="77777777" w:rsidR="00B964A7" w:rsidRPr="004A685B" w:rsidRDefault="00B964A7" w:rsidP="00B964A7">
      <w:pPr>
        <w:pStyle w:val="ListParagraph"/>
        <w:numPr>
          <w:ilvl w:val="0"/>
          <w:numId w:val="12"/>
        </w:numPr>
      </w:pPr>
      <w:r w:rsidRPr="004A685B">
        <w:rPr>
          <w:rFonts w:cstheme="minorHAnsi"/>
        </w:rPr>
        <w:t xml:space="preserve">Assess for </w:t>
      </w:r>
      <w:r w:rsidRPr="004A685B">
        <w:rPr>
          <w:rFonts w:cstheme="minorHAnsi"/>
          <w:i/>
        </w:rPr>
        <w:t>Adverse Drug Reaction</w:t>
      </w:r>
      <w:r w:rsidRPr="004A685B">
        <w:rPr>
          <w:rFonts w:cstheme="minorHAnsi"/>
        </w:rPr>
        <w:t xml:space="preserve"> (ADR) 30-180 minutes following administration of the initial dose</w:t>
      </w:r>
    </w:p>
    <w:p w14:paraId="3A9EF3F9" w14:textId="77777777" w:rsidR="00DD3BF2" w:rsidRPr="004A685B" w:rsidRDefault="00D630F6" w:rsidP="00DD3BF2">
      <w:pPr>
        <w:pStyle w:val="ListParagraph"/>
        <w:numPr>
          <w:ilvl w:val="0"/>
          <w:numId w:val="12"/>
        </w:numPr>
        <w:rPr>
          <w:rFonts w:cstheme="minorHAnsi"/>
        </w:rPr>
      </w:pPr>
      <w:r>
        <w:rPr>
          <w:rFonts w:cstheme="minorHAnsi"/>
        </w:rPr>
        <w:t xml:space="preserve">Complete CRF </w:t>
      </w:r>
      <w:r w:rsidR="00653162">
        <w:rPr>
          <w:rFonts w:cstheme="minorHAnsi"/>
        </w:rPr>
        <w:t xml:space="preserve">data </w:t>
      </w:r>
      <w:r>
        <w:rPr>
          <w:rFonts w:cstheme="minorHAnsi"/>
        </w:rPr>
        <w:t>entry</w:t>
      </w:r>
    </w:p>
    <w:p w14:paraId="7F026B26" w14:textId="77777777" w:rsidR="00B964A7" w:rsidRPr="008215AD" w:rsidRDefault="00B964A7" w:rsidP="00B964A7">
      <w:pPr>
        <w:pStyle w:val="ListParagraph"/>
        <w:rPr>
          <w:rFonts w:cstheme="minorHAnsi"/>
          <w:color w:val="FF0000"/>
          <w:u w:val="single"/>
        </w:rPr>
      </w:pPr>
    </w:p>
    <w:p w14:paraId="1AD58CE3" w14:textId="77777777" w:rsidR="00B964A7" w:rsidRPr="008215AD" w:rsidRDefault="00B964A7" w:rsidP="00B964A7">
      <w:pPr>
        <w:rPr>
          <w:rFonts w:cstheme="minorHAnsi"/>
          <w:color w:val="FF0000"/>
          <w:u w:val="single"/>
        </w:rPr>
      </w:pPr>
      <w:r w:rsidRPr="00452AAF">
        <w:rPr>
          <w:rFonts w:cstheme="minorHAnsi"/>
          <w:u w:val="single"/>
        </w:rPr>
        <w:t xml:space="preserve">STUDY ASSESSMENTS - </w:t>
      </w:r>
      <w:r w:rsidR="004A685B" w:rsidRPr="00452AAF">
        <w:rPr>
          <w:rFonts w:cstheme="minorHAnsi"/>
          <w:u w:val="single"/>
        </w:rPr>
        <w:t>DAY 4 POST</w:t>
      </w:r>
      <w:r w:rsidR="004A685B">
        <w:rPr>
          <w:rFonts w:cstheme="minorHAnsi"/>
          <w:u w:val="single"/>
        </w:rPr>
        <w:t>-INITIAL TREATMENT DOSE</w:t>
      </w:r>
      <w:r w:rsidRPr="004A685B">
        <w:rPr>
          <w:rFonts w:cstheme="minorHAnsi"/>
          <w:u w:val="single"/>
        </w:rPr>
        <w:t xml:space="preserve">  </w:t>
      </w:r>
    </w:p>
    <w:p w14:paraId="0D8AB284" w14:textId="77777777" w:rsidR="00452AAF" w:rsidRPr="00452AAF" w:rsidRDefault="00452AAF" w:rsidP="00452AAF">
      <w:pPr>
        <w:pStyle w:val="ListParagraph"/>
        <w:numPr>
          <w:ilvl w:val="0"/>
          <w:numId w:val="45"/>
        </w:numPr>
        <w:rPr>
          <w:rFonts w:cstheme="minorHAnsi"/>
        </w:rPr>
      </w:pPr>
      <w:r>
        <w:rPr>
          <w:rFonts w:cstheme="minorHAnsi"/>
        </w:rPr>
        <w:t>Clinical assessment – no</w:t>
      </w:r>
      <w:r w:rsidR="00DD5471">
        <w:rPr>
          <w:rFonts w:cstheme="minorHAnsi"/>
        </w:rPr>
        <w:t>t displaying signs or symptoms</w:t>
      </w:r>
      <w:r>
        <w:rPr>
          <w:rFonts w:cstheme="minorHAnsi"/>
        </w:rPr>
        <w:t xml:space="preserve"> of evolving rupture, bleeding or haemodynamic instability</w:t>
      </w:r>
    </w:p>
    <w:p w14:paraId="1CEF2176" w14:textId="77777777" w:rsidR="00B964A7" w:rsidRDefault="00452AAF" w:rsidP="00452AAF">
      <w:pPr>
        <w:pStyle w:val="ListParagraph"/>
        <w:numPr>
          <w:ilvl w:val="0"/>
          <w:numId w:val="45"/>
        </w:numPr>
        <w:rPr>
          <w:rFonts w:cstheme="minorHAnsi"/>
        </w:rPr>
      </w:pPr>
      <w:r>
        <w:rPr>
          <w:rFonts w:cstheme="minorHAnsi"/>
        </w:rPr>
        <w:t>Standard of care post-medical management blood test (serum hCG level)</w:t>
      </w:r>
    </w:p>
    <w:p w14:paraId="1CE3657D" w14:textId="77777777" w:rsidR="00452AAF" w:rsidRDefault="00452AAF" w:rsidP="00452AAF">
      <w:pPr>
        <w:pStyle w:val="ListParagraph"/>
        <w:numPr>
          <w:ilvl w:val="0"/>
          <w:numId w:val="45"/>
        </w:numPr>
        <w:rPr>
          <w:rFonts w:cstheme="minorHAnsi"/>
        </w:rPr>
      </w:pPr>
      <w:r>
        <w:rPr>
          <w:rFonts w:cstheme="minorHAnsi"/>
        </w:rPr>
        <w:t>Additional study-specific blood test</w:t>
      </w:r>
      <w:r w:rsidR="00DD3BF2">
        <w:rPr>
          <w:rFonts w:cstheme="minorHAnsi"/>
        </w:rPr>
        <w:t>s</w:t>
      </w:r>
      <w:r>
        <w:rPr>
          <w:rFonts w:cstheme="minorHAnsi"/>
        </w:rPr>
        <w:t xml:space="preserve"> (FBE; U&amp;Es; LFTs</w:t>
      </w:r>
      <w:r w:rsidR="00DD3BF2">
        <w:rPr>
          <w:rFonts w:cstheme="minorHAnsi"/>
        </w:rPr>
        <w:t>)</w:t>
      </w:r>
      <w:r>
        <w:rPr>
          <w:rFonts w:cstheme="minorHAnsi"/>
        </w:rPr>
        <w:t xml:space="preserve"> to be taken co</w:t>
      </w:r>
      <w:r w:rsidR="00DD3BF2">
        <w:rPr>
          <w:rFonts w:cstheme="minorHAnsi"/>
        </w:rPr>
        <w:t>ncurrently with serum hCG level</w:t>
      </w:r>
    </w:p>
    <w:p w14:paraId="5AB93A09" w14:textId="77777777" w:rsidR="00452AAF" w:rsidRDefault="00DD3BF2" w:rsidP="00452AAF">
      <w:pPr>
        <w:pStyle w:val="ListParagraph"/>
        <w:numPr>
          <w:ilvl w:val="0"/>
          <w:numId w:val="45"/>
        </w:numPr>
        <w:rPr>
          <w:rFonts w:cstheme="minorHAnsi"/>
        </w:rPr>
      </w:pPr>
      <w:r>
        <w:rPr>
          <w:rFonts w:cstheme="minorHAnsi"/>
        </w:rPr>
        <w:t>Participant verbally expresses ongoing agreement to</w:t>
      </w:r>
      <w:r w:rsidR="00452AAF">
        <w:rPr>
          <w:rFonts w:cstheme="minorHAnsi"/>
        </w:rPr>
        <w:t xml:space="preserve"> </w:t>
      </w:r>
      <w:r>
        <w:rPr>
          <w:rFonts w:cstheme="minorHAnsi"/>
        </w:rPr>
        <w:t>continue participation in the study</w:t>
      </w:r>
    </w:p>
    <w:p w14:paraId="0EF44C01" w14:textId="77777777" w:rsidR="00DD3BF2" w:rsidRDefault="00DD3BF2" w:rsidP="00452AAF">
      <w:pPr>
        <w:pStyle w:val="ListParagraph"/>
        <w:numPr>
          <w:ilvl w:val="0"/>
          <w:numId w:val="45"/>
        </w:numPr>
        <w:rPr>
          <w:rFonts w:cstheme="minorHAnsi"/>
        </w:rPr>
      </w:pPr>
      <w:r>
        <w:rPr>
          <w:rFonts w:cstheme="minorHAnsi"/>
        </w:rPr>
        <w:t>Senior researcher confirms no changes to participant’s ongoing eligibility</w:t>
      </w:r>
    </w:p>
    <w:p w14:paraId="4D1488F2" w14:textId="77777777" w:rsidR="00DD3BF2" w:rsidRDefault="00DD3BF2" w:rsidP="00452AAF">
      <w:pPr>
        <w:pStyle w:val="ListParagraph"/>
        <w:numPr>
          <w:ilvl w:val="0"/>
          <w:numId w:val="45"/>
        </w:numPr>
        <w:rPr>
          <w:rFonts w:cstheme="minorHAnsi"/>
        </w:rPr>
      </w:pPr>
      <w:r>
        <w:rPr>
          <w:rFonts w:cstheme="minorHAnsi"/>
        </w:rPr>
        <w:t>CRF</w:t>
      </w:r>
      <w:r w:rsidR="00CB0066">
        <w:rPr>
          <w:rFonts w:cstheme="minorHAnsi"/>
        </w:rPr>
        <w:t xml:space="preserve"> entry</w:t>
      </w:r>
      <w:r>
        <w:rPr>
          <w:rFonts w:cstheme="minorHAnsi"/>
        </w:rPr>
        <w:t xml:space="preserve"> completed, including assessment for ADRs/AEs</w:t>
      </w:r>
    </w:p>
    <w:p w14:paraId="27D689CD" w14:textId="77777777" w:rsidR="00DD3BF2" w:rsidRDefault="00DD3BF2" w:rsidP="00DD3BF2">
      <w:pPr>
        <w:pStyle w:val="ListParagraph"/>
        <w:rPr>
          <w:rFonts w:cstheme="minorHAnsi"/>
        </w:rPr>
      </w:pPr>
    </w:p>
    <w:p w14:paraId="6C7147CD" w14:textId="77777777" w:rsidR="00DD3BF2" w:rsidRDefault="00BD070F" w:rsidP="00DD3BF2">
      <w:pPr>
        <w:rPr>
          <w:rFonts w:cstheme="minorHAnsi"/>
          <w:u w:val="single"/>
        </w:rPr>
      </w:pPr>
      <w:r>
        <w:rPr>
          <w:rFonts w:cstheme="minorHAnsi"/>
          <w:u w:val="single"/>
        </w:rPr>
        <w:t>STUDY ASSESSMENTS</w:t>
      </w:r>
      <w:r w:rsidR="00DD3BF2">
        <w:rPr>
          <w:rFonts w:cstheme="minorHAnsi"/>
          <w:u w:val="single"/>
        </w:rPr>
        <w:t xml:space="preserve"> – DAY 7 POST-INITIAL TREATMENT DOSE</w:t>
      </w:r>
    </w:p>
    <w:p w14:paraId="50DC6481" w14:textId="77777777" w:rsidR="00DD3BF2" w:rsidRPr="00452AAF" w:rsidRDefault="00A51957" w:rsidP="00DD3BF2">
      <w:pPr>
        <w:pStyle w:val="ListParagraph"/>
        <w:numPr>
          <w:ilvl w:val="0"/>
          <w:numId w:val="45"/>
        </w:numPr>
        <w:rPr>
          <w:rFonts w:cstheme="minorHAnsi"/>
        </w:rPr>
      </w:pPr>
      <w:r>
        <w:rPr>
          <w:rFonts w:cstheme="minorHAnsi"/>
        </w:rPr>
        <w:t xml:space="preserve">Clinical assessment – no signs or symptoms </w:t>
      </w:r>
      <w:r w:rsidR="00DD3BF2">
        <w:rPr>
          <w:rFonts w:cstheme="minorHAnsi"/>
        </w:rPr>
        <w:t>of evolving rupture, bleeding or haemodynamic instability</w:t>
      </w:r>
    </w:p>
    <w:p w14:paraId="32088B65" w14:textId="77777777" w:rsidR="00DD3BF2" w:rsidRDefault="00DD3BF2" w:rsidP="00DD3BF2">
      <w:pPr>
        <w:pStyle w:val="ListParagraph"/>
        <w:numPr>
          <w:ilvl w:val="0"/>
          <w:numId w:val="45"/>
        </w:numPr>
        <w:rPr>
          <w:rFonts w:cstheme="minorHAnsi"/>
        </w:rPr>
      </w:pPr>
      <w:r>
        <w:rPr>
          <w:rFonts w:cstheme="minorHAnsi"/>
        </w:rPr>
        <w:t>Standard of care post-medical management blood tests (FBE; U&amp;Es; LFTs and serum hCG level)</w:t>
      </w:r>
    </w:p>
    <w:p w14:paraId="0CD87610" w14:textId="77777777" w:rsidR="00DD3BF2" w:rsidRDefault="00DD3BF2" w:rsidP="00DD3BF2">
      <w:pPr>
        <w:pStyle w:val="ListParagraph"/>
        <w:numPr>
          <w:ilvl w:val="0"/>
          <w:numId w:val="45"/>
        </w:numPr>
        <w:rPr>
          <w:rFonts w:cstheme="minorHAnsi"/>
        </w:rPr>
      </w:pPr>
      <w:r>
        <w:rPr>
          <w:rFonts w:cstheme="minorHAnsi"/>
        </w:rPr>
        <w:t>Participant verbally expresses ongoing agreement to continue participation in the study</w:t>
      </w:r>
    </w:p>
    <w:p w14:paraId="67360B84" w14:textId="77777777" w:rsidR="00DD3BF2" w:rsidRDefault="00DD3BF2" w:rsidP="00DD3BF2">
      <w:pPr>
        <w:pStyle w:val="ListParagraph"/>
        <w:numPr>
          <w:ilvl w:val="0"/>
          <w:numId w:val="45"/>
        </w:numPr>
        <w:rPr>
          <w:rFonts w:cstheme="minorHAnsi"/>
        </w:rPr>
      </w:pPr>
      <w:r>
        <w:rPr>
          <w:rFonts w:cstheme="minorHAnsi"/>
        </w:rPr>
        <w:t>Senior researcher confirms no changes to participant’s ongoing eligibility</w:t>
      </w:r>
    </w:p>
    <w:p w14:paraId="1F64C0A4" w14:textId="77777777" w:rsidR="00DD3BF2" w:rsidRDefault="00DD3BF2" w:rsidP="00DD3BF2">
      <w:pPr>
        <w:pStyle w:val="ListParagraph"/>
        <w:numPr>
          <w:ilvl w:val="0"/>
          <w:numId w:val="45"/>
        </w:numPr>
        <w:rPr>
          <w:rFonts w:cstheme="minorHAnsi"/>
        </w:rPr>
      </w:pPr>
      <w:r>
        <w:rPr>
          <w:rFonts w:cstheme="minorHAnsi"/>
        </w:rPr>
        <w:t>CRF completed, including assessment for ADRs/AEs</w:t>
      </w:r>
    </w:p>
    <w:p w14:paraId="773F0674" w14:textId="4785D47E" w:rsidR="00DD3BF2" w:rsidRPr="00DD3BF2" w:rsidRDefault="00DD3BF2" w:rsidP="00DD3BF2">
      <w:pPr>
        <w:pStyle w:val="ListParagraph"/>
        <w:numPr>
          <w:ilvl w:val="0"/>
          <w:numId w:val="45"/>
        </w:numPr>
        <w:rPr>
          <w:rFonts w:cstheme="minorHAnsi"/>
        </w:rPr>
      </w:pPr>
      <w:r w:rsidRPr="00DD3BF2">
        <w:rPr>
          <w:rFonts w:cstheme="minorHAnsi"/>
        </w:rPr>
        <w:t>Vinorelbine</w:t>
      </w:r>
      <w:r>
        <w:rPr>
          <w:rFonts w:cstheme="minorHAnsi"/>
        </w:rPr>
        <w:t xml:space="preserve"> (2</w:t>
      </w:r>
      <w:r w:rsidRPr="00DD3BF2">
        <w:rPr>
          <w:rFonts w:cstheme="minorHAnsi"/>
          <w:vertAlign w:val="superscript"/>
        </w:rPr>
        <w:t>nd</w:t>
      </w:r>
      <w:r>
        <w:rPr>
          <w:rFonts w:cstheme="minorHAnsi"/>
        </w:rPr>
        <w:t xml:space="preserve"> dose)</w:t>
      </w:r>
      <w:r w:rsidRPr="00DD3BF2">
        <w:rPr>
          <w:rFonts w:cstheme="minorHAnsi"/>
        </w:rPr>
        <w:t xml:space="preserve"> prescribed on </w:t>
      </w:r>
      <w:r>
        <w:rPr>
          <w:rFonts w:cstheme="minorHAnsi"/>
        </w:rPr>
        <w:t>medication chart by an O&amp;G</w:t>
      </w:r>
      <w:r w:rsidRPr="00DD3BF2">
        <w:rPr>
          <w:rFonts w:cstheme="minorHAnsi"/>
        </w:rPr>
        <w:t xml:space="preserve"> doctor</w:t>
      </w:r>
      <w:r>
        <w:rPr>
          <w:rFonts w:cstheme="minorHAnsi"/>
        </w:rPr>
        <w:t xml:space="preserve"> (who is also a listed researcher)</w:t>
      </w:r>
      <w:r w:rsidR="00B70F52">
        <w:rPr>
          <w:rFonts w:cstheme="minorHAnsi"/>
        </w:rPr>
        <w:t xml:space="preserve">, if serum hCG level </w:t>
      </w:r>
      <w:r w:rsidR="00B70F52">
        <w:rPr>
          <w:rFonts w:ascii="Bell MT" w:hAnsi="Bell MT" w:cstheme="minorHAnsi"/>
        </w:rPr>
        <w:t>≥</w:t>
      </w:r>
      <w:r w:rsidR="00B70F52">
        <w:rPr>
          <w:rFonts w:cstheme="minorHAnsi"/>
        </w:rPr>
        <w:t>5 IU/L</w:t>
      </w:r>
    </w:p>
    <w:p w14:paraId="47E776CB" w14:textId="77777777" w:rsidR="00DD3BF2" w:rsidRPr="004A685B" w:rsidRDefault="00DD3BF2" w:rsidP="00DD3BF2">
      <w:pPr>
        <w:pStyle w:val="ListParagraph"/>
        <w:numPr>
          <w:ilvl w:val="0"/>
          <w:numId w:val="45"/>
        </w:numPr>
        <w:rPr>
          <w:rFonts w:cstheme="minorHAnsi"/>
        </w:rPr>
      </w:pPr>
      <w:r>
        <w:rPr>
          <w:rFonts w:cstheme="minorHAnsi"/>
        </w:rPr>
        <w:t>Vinorelbine to be administered by an appropriately qualified EPC nurse, midwife or doctor</w:t>
      </w:r>
      <w:r w:rsidRPr="004A685B">
        <w:rPr>
          <w:rFonts w:cstheme="minorHAnsi"/>
        </w:rPr>
        <w:t xml:space="preserve"> </w:t>
      </w:r>
    </w:p>
    <w:p w14:paraId="15C51DE5" w14:textId="77777777" w:rsidR="00DD3BF2" w:rsidRPr="004A685B" w:rsidRDefault="00DD3BF2" w:rsidP="00DD3BF2">
      <w:pPr>
        <w:pStyle w:val="ListParagraph"/>
        <w:numPr>
          <w:ilvl w:val="0"/>
          <w:numId w:val="45"/>
        </w:numPr>
      </w:pPr>
      <w:r w:rsidRPr="004A685B">
        <w:rPr>
          <w:rFonts w:cstheme="minorHAnsi"/>
        </w:rPr>
        <w:t xml:space="preserve">Assess for </w:t>
      </w:r>
      <w:r w:rsidRPr="004A685B">
        <w:rPr>
          <w:rFonts w:cstheme="minorHAnsi"/>
          <w:i/>
        </w:rPr>
        <w:t>Adverse Drug Reaction</w:t>
      </w:r>
      <w:r w:rsidRPr="004A685B">
        <w:rPr>
          <w:rFonts w:cstheme="minorHAnsi"/>
        </w:rPr>
        <w:t xml:space="preserve"> (ADR) 30-180 minutes followin</w:t>
      </w:r>
      <w:r w:rsidR="006E08C9">
        <w:rPr>
          <w:rFonts w:cstheme="minorHAnsi"/>
        </w:rPr>
        <w:t xml:space="preserve">g administration of the </w:t>
      </w:r>
      <w:r w:rsidRPr="004A685B">
        <w:rPr>
          <w:rFonts w:cstheme="minorHAnsi"/>
        </w:rPr>
        <w:t>dose</w:t>
      </w:r>
    </w:p>
    <w:p w14:paraId="46188CFE" w14:textId="77777777" w:rsidR="006E08C9" w:rsidRPr="006B1847" w:rsidRDefault="006B1847" w:rsidP="00DD3BF2">
      <w:pPr>
        <w:pStyle w:val="ListParagraph"/>
        <w:numPr>
          <w:ilvl w:val="0"/>
          <w:numId w:val="45"/>
        </w:numPr>
        <w:rPr>
          <w:rFonts w:cstheme="minorHAnsi"/>
          <w:u w:val="single"/>
        </w:rPr>
      </w:pPr>
      <w:r>
        <w:rPr>
          <w:rFonts w:cstheme="minorHAnsi"/>
        </w:rPr>
        <w:t>CRFs entry completed</w:t>
      </w:r>
    </w:p>
    <w:p w14:paraId="36E5CBF5" w14:textId="77777777" w:rsidR="00BD070F" w:rsidRPr="00D9066F" w:rsidRDefault="006B1847" w:rsidP="00BD070F">
      <w:pPr>
        <w:pStyle w:val="ListParagraph"/>
        <w:numPr>
          <w:ilvl w:val="0"/>
          <w:numId w:val="45"/>
        </w:numPr>
        <w:rPr>
          <w:rFonts w:cstheme="minorHAnsi"/>
          <w:u w:val="single"/>
        </w:rPr>
      </w:pPr>
      <w:r>
        <w:rPr>
          <w:rFonts w:cstheme="minorHAnsi"/>
        </w:rPr>
        <w:t>Confirm participant contact details for follow up phone calls</w:t>
      </w:r>
    </w:p>
    <w:p w14:paraId="2302969F" w14:textId="77777777" w:rsidR="00D9066F" w:rsidRPr="00D9066F" w:rsidRDefault="00D9066F" w:rsidP="00D9066F">
      <w:pPr>
        <w:rPr>
          <w:rFonts w:cstheme="minorHAnsi"/>
          <w:u w:val="single"/>
        </w:rPr>
      </w:pPr>
    </w:p>
    <w:p w14:paraId="75529086" w14:textId="1A7857C3" w:rsidR="00B70F52" w:rsidRDefault="00B70F52" w:rsidP="00D9066F">
      <w:pPr>
        <w:spacing w:line="240" w:lineRule="auto"/>
        <w:rPr>
          <w:rFonts w:cstheme="minorHAnsi"/>
          <w:u w:val="single"/>
        </w:rPr>
      </w:pPr>
      <w:r>
        <w:rPr>
          <w:rFonts w:cstheme="minorHAnsi"/>
          <w:u w:val="single"/>
        </w:rPr>
        <w:lastRenderedPageBreak/>
        <w:t xml:space="preserve">STUDY ASSESSMENTS - DAY 11 (IF SERUM hCG RISES BETWEEN DAYS 4-7) </w:t>
      </w:r>
    </w:p>
    <w:p w14:paraId="0863D54C" w14:textId="77777777" w:rsidR="00B70F52" w:rsidRDefault="00B70F52" w:rsidP="00D9066F">
      <w:pPr>
        <w:pStyle w:val="ListParagraph"/>
        <w:numPr>
          <w:ilvl w:val="0"/>
          <w:numId w:val="45"/>
        </w:numPr>
        <w:spacing w:line="240" w:lineRule="auto"/>
        <w:rPr>
          <w:rFonts w:cstheme="minorHAnsi"/>
        </w:rPr>
      </w:pPr>
      <w:r>
        <w:rPr>
          <w:rFonts w:cstheme="minorHAnsi"/>
        </w:rPr>
        <w:t>Clinical assessment – no signs or symptoms of evolving rupture, bleeding or haemodynamic instability</w:t>
      </w:r>
    </w:p>
    <w:p w14:paraId="507AC880" w14:textId="666DA09E" w:rsidR="00B70F52" w:rsidRPr="00D9066F" w:rsidRDefault="00B70F52" w:rsidP="00D9066F">
      <w:pPr>
        <w:pStyle w:val="ListParagraph"/>
        <w:numPr>
          <w:ilvl w:val="0"/>
          <w:numId w:val="45"/>
        </w:numPr>
        <w:spacing w:line="240" w:lineRule="auto"/>
        <w:rPr>
          <w:rFonts w:cstheme="minorHAnsi"/>
        </w:rPr>
      </w:pPr>
      <w:r>
        <w:rPr>
          <w:rFonts w:cstheme="minorHAnsi"/>
        </w:rPr>
        <w:t>Additional serum hCG level</w:t>
      </w:r>
    </w:p>
    <w:p w14:paraId="2057D3C9" w14:textId="45635216" w:rsidR="00B70F52" w:rsidRDefault="00B70F52" w:rsidP="00D9066F">
      <w:pPr>
        <w:tabs>
          <w:tab w:val="left" w:pos="7182"/>
        </w:tabs>
        <w:spacing w:line="240" w:lineRule="auto"/>
        <w:rPr>
          <w:rFonts w:cstheme="minorHAnsi"/>
          <w:u w:val="single"/>
        </w:rPr>
      </w:pPr>
      <w:r>
        <w:rPr>
          <w:rFonts w:cstheme="minorHAnsi"/>
          <w:u w:val="single"/>
        </w:rPr>
        <w:t>STUDY ASSESSMENTS – DAY 14 (IF 2</w:t>
      </w:r>
      <w:r w:rsidRPr="00B70F52">
        <w:rPr>
          <w:rFonts w:cstheme="minorHAnsi"/>
          <w:u w:val="single"/>
          <w:vertAlign w:val="superscript"/>
        </w:rPr>
        <w:t>ND</w:t>
      </w:r>
      <w:r>
        <w:rPr>
          <w:rFonts w:cstheme="minorHAnsi"/>
          <w:u w:val="single"/>
        </w:rPr>
        <w:t xml:space="preserve"> VINORELBINE DOSE ADMINISTERED)</w:t>
      </w:r>
    </w:p>
    <w:p w14:paraId="05E8CAA1" w14:textId="77777777" w:rsidR="00D9066F" w:rsidRDefault="00D44C65" w:rsidP="00D9066F">
      <w:pPr>
        <w:numPr>
          <w:ilvl w:val="0"/>
          <w:numId w:val="60"/>
        </w:numPr>
        <w:tabs>
          <w:tab w:val="left" w:pos="7182"/>
        </w:tabs>
        <w:spacing w:line="240" w:lineRule="auto"/>
        <w:rPr>
          <w:rFonts w:cstheme="minorHAnsi"/>
        </w:rPr>
      </w:pPr>
      <w:r w:rsidRPr="00B70F52">
        <w:rPr>
          <w:rFonts w:cstheme="minorHAnsi"/>
        </w:rPr>
        <w:t>Perform clinical examination to assess for signs of evolving tubular rupture or haemodynamic instability, or other compromise</w:t>
      </w:r>
    </w:p>
    <w:p w14:paraId="5C018E61" w14:textId="77777777" w:rsidR="00D44C65" w:rsidRPr="00D9066F" w:rsidRDefault="00D44C65" w:rsidP="00D9066F">
      <w:pPr>
        <w:numPr>
          <w:ilvl w:val="0"/>
          <w:numId w:val="60"/>
        </w:numPr>
        <w:tabs>
          <w:tab w:val="left" w:pos="7182"/>
        </w:tabs>
        <w:spacing w:line="240" w:lineRule="auto"/>
        <w:rPr>
          <w:rFonts w:cstheme="minorHAnsi"/>
        </w:rPr>
      </w:pPr>
      <w:r w:rsidRPr="00D9066F">
        <w:rPr>
          <w:rFonts w:cstheme="minorHAnsi"/>
        </w:rPr>
        <w:t>Serum hCG</w:t>
      </w:r>
    </w:p>
    <w:p w14:paraId="42BFFFBF" w14:textId="77777777" w:rsidR="00D44C65" w:rsidRPr="00B70F52" w:rsidRDefault="00D44C65" w:rsidP="00D9066F">
      <w:pPr>
        <w:numPr>
          <w:ilvl w:val="0"/>
          <w:numId w:val="60"/>
        </w:numPr>
        <w:tabs>
          <w:tab w:val="left" w:pos="7182"/>
        </w:tabs>
        <w:spacing w:line="240" w:lineRule="auto"/>
        <w:rPr>
          <w:rFonts w:cstheme="minorHAnsi"/>
        </w:rPr>
      </w:pPr>
      <w:r w:rsidRPr="00B70F52">
        <w:rPr>
          <w:rFonts w:cstheme="minorHAnsi"/>
        </w:rPr>
        <w:t>FBE, U&amp;Es and LFTs</w:t>
      </w:r>
    </w:p>
    <w:p w14:paraId="7435C707" w14:textId="3FA6D9C2" w:rsidR="00B70F52" w:rsidRPr="00D9066F" w:rsidRDefault="00D44C65" w:rsidP="00B70F52">
      <w:pPr>
        <w:numPr>
          <w:ilvl w:val="0"/>
          <w:numId w:val="60"/>
        </w:numPr>
        <w:tabs>
          <w:tab w:val="left" w:pos="7182"/>
        </w:tabs>
        <w:spacing w:line="240" w:lineRule="auto"/>
        <w:rPr>
          <w:rFonts w:cstheme="minorHAnsi"/>
        </w:rPr>
      </w:pPr>
      <w:r w:rsidRPr="00B70F52">
        <w:rPr>
          <w:rFonts w:cstheme="minorHAnsi"/>
        </w:rPr>
        <w:t>Repeat U/S (if indicated)</w:t>
      </w:r>
    </w:p>
    <w:p w14:paraId="28CE4E1F" w14:textId="77777777" w:rsidR="00BD070F" w:rsidRDefault="00BD070F" w:rsidP="00BD070F">
      <w:pPr>
        <w:rPr>
          <w:rFonts w:cstheme="minorHAnsi"/>
          <w:u w:val="single"/>
        </w:rPr>
      </w:pPr>
      <w:r>
        <w:rPr>
          <w:rFonts w:cstheme="minorHAnsi"/>
          <w:u w:val="single"/>
        </w:rPr>
        <w:t>PHONE CALL FOLLOW UP</w:t>
      </w:r>
    </w:p>
    <w:p w14:paraId="0D97C61E" w14:textId="245E181F" w:rsidR="00BD070F" w:rsidRPr="003C1A7B" w:rsidRDefault="00A32973" w:rsidP="00395623">
      <w:pPr>
        <w:pStyle w:val="ListParagraph"/>
        <w:numPr>
          <w:ilvl w:val="0"/>
          <w:numId w:val="52"/>
        </w:numPr>
        <w:rPr>
          <w:rFonts w:cstheme="minorHAnsi"/>
        </w:rPr>
      </w:pPr>
      <w:r>
        <w:rPr>
          <w:rFonts w:cstheme="minorHAnsi"/>
        </w:rPr>
        <w:t xml:space="preserve">Regular </w:t>
      </w:r>
      <w:r w:rsidR="00395623">
        <w:rPr>
          <w:rFonts w:cstheme="minorHAnsi"/>
        </w:rPr>
        <w:t>post-treatment</w:t>
      </w:r>
      <w:r>
        <w:rPr>
          <w:rFonts w:cstheme="minorHAnsi"/>
        </w:rPr>
        <w:t xml:space="preserve"> phone calls</w:t>
      </w:r>
      <w:r w:rsidR="00395623">
        <w:rPr>
          <w:rFonts w:cstheme="minorHAnsi"/>
        </w:rPr>
        <w:t xml:space="preserve"> to assess for participants’ return to menses</w:t>
      </w:r>
      <w:r w:rsidR="004F54D7">
        <w:rPr>
          <w:rFonts w:cstheme="minorHAnsi"/>
        </w:rPr>
        <w:t>, the participant’s assessment of the acceptability of vinorelbine therapy (including treatment side effects, admission and follow up requirements)</w:t>
      </w:r>
      <w:r w:rsidR="00395623">
        <w:rPr>
          <w:rFonts w:cstheme="minorHAnsi"/>
        </w:rPr>
        <w:t xml:space="preserve"> and subsequent </w:t>
      </w:r>
      <w:r w:rsidR="00371C1C">
        <w:rPr>
          <w:rFonts w:cstheme="minorHAnsi"/>
        </w:rPr>
        <w:t xml:space="preserve">fertility, </w:t>
      </w:r>
      <w:r w:rsidR="00395623">
        <w:rPr>
          <w:rFonts w:cstheme="minorHAnsi"/>
        </w:rPr>
        <w:t>pregnancy and/or birth data</w:t>
      </w:r>
      <w:r>
        <w:rPr>
          <w:rFonts w:cstheme="minorHAnsi"/>
        </w:rPr>
        <w:t xml:space="preserve"> will be made by the researchers for 2 years.</w:t>
      </w:r>
    </w:p>
    <w:p w14:paraId="129831FC" w14:textId="77777777" w:rsidR="00B964A7" w:rsidRPr="0072229F" w:rsidRDefault="00B964A7" w:rsidP="00B964A7">
      <w:pPr>
        <w:rPr>
          <w:rFonts w:cstheme="minorHAnsi"/>
          <w:b/>
          <w:u w:val="single"/>
        </w:rPr>
      </w:pPr>
    </w:p>
    <w:p w14:paraId="73C25627" w14:textId="77777777" w:rsidR="00B964A7" w:rsidRPr="00CD50B6" w:rsidRDefault="00B964A7" w:rsidP="00CD50B6">
      <w:pPr>
        <w:pStyle w:val="ListParagraph"/>
        <w:numPr>
          <w:ilvl w:val="1"/>
          <w:numId w:val="1"/>
        </w:numPr>
        <w:outlineLvl w:val="1"/>
        <w:rPr>
          <w:rFonts w:cstheme="minorHAnsi"/>
          <w:b/>
        </w:rPr>
      </w:pPr>
      <w:bookmarkStart w:id="114" w:name="_Toc473873101"/>
      <w:bookmarkStart w:id="115" w:name="_Toc489888098"/>
      <w:r w:rsidRPr="00B05FFC">
        <w:rPr>
          <w:rFonts w:cstheme="minorHAnsi"/>
          <w:b/>
        </w:rPr>
        <w:t>SAFETY ASSESSMENTS</w:t>
      </w:r>
      <w:bookmarkEnd w:id="114"/>
      <w:bookmarkEnd w:id="115"/>
    </w:p>
    <w:p w14:paraId="01700C8F" w14:textId="77777777" w:rsidR="00B31DC1" w:rsidRPr="000904BA" w:rsidRDefault="00411396" w:rsidP="000904BA">
      <w:pPr>
        <w:rPr>
          <w:rFonts w:cstheme="minorHAnsi"/>
        </w:rPr>
      </w:pPr>
      <w:r w:rsidRPr="000904BA">
        <w:rPr>
          <w:rFonts w:cstheme="minorHAnsi"/>
        </w:rPr>
        <w:t xml:space="preserve">All participants will be </w:t>
      </w:r>
      <w:r w:rsidR="003C1A7B" w:rsidRPr="000904BA">
        <w:rPr>
          <w:rFonts w:cstheme="minorHAnsi"/>
        </w:rPr>
        <w:t>admitted to NSH</w:t>
      </w:r>
      <w:r w:rsidRPr="000904BA">
        <w:rPr>
          <w:rFonts w:cstheme="minorHAnsi"/>
        </w:rPr>
        <w:t xml:space="preserve"> for </w:t>
      </w:r>
      <w:r w:rsidR="00B31DC1" w:rsidRPr="000904BA">
        <w:rPr>
          <w:rFonts w:cstheme="minorHAnsi"/>
        </w:rPr>
        <w:t>the</w:t>
      </w:r>
      <w:r w:rsidRPr="000904BA">
        <w:rPr>
          <w:rFonts w:cstheme="minorHAnsi"/>
        </w:rPr>
        <w:t xml:space="preserve"> initial phase</w:t>
      </w:r>
      <w:r w:rsidR="00B31DC1" w:rsidRPr="000904BA">
        <w:rPr>
          <w:rFonts w:cstheme="minorHAnsi"/>
        </w:rPr>
        <w:t>s</w:t>
      </w:r>
      <w:r w:rsidRPr="000904BA">
        <w:rPr>
          <w:rFonts w:cstheme="minorHAnsi"/>
        </w:rPr>
        <w:t xml:space="preserve"> of their </w:t>
      </w:r>
      <w:r w:rsidR="00B31DC1" w:rsidRPr="000904BA">
        <w:rPr>
          <w:rFonts w:cstheme="minorHAnsi"/>
        </w:rPr>
        <w:t>treatment and for several hours following the administration of the</w:t>
      </w:r>
      <w:r w:rsidR="003C1A7B" w:rsidRPr="000904BA">
        <w:rPr>
          <w:rFonts w:cstheme="minorHAnsi"/>
        </w:rPr>
        <w:t>ir vinorelbine doses. Within</w:t>
      </w:r>
      <w:r w:rsidR="00B31DC1" w:rsidRPr="000904BA">
        <w:rPr>
          <w:rFonts w:cstheme="minorHAnsi"/>
        </w:rPr>
        <w:t xml:space="preserve"> NSH, there is</w:t>
      </w:r>
      <w:r w:rsidRPr="000904BA">
        <w:rPr>
          <w:rFonts w:cstheme="minorHAnsi"/>
        </w:rPr>
        <w:t xml:space="preserve"> 24 hour </w:t>
      </w:r>
      <w:r w:rsidR="00B31DC1" w:rsidRPr="000904BA">
        <w:rPr>
          <w:rFonts w:cstheme="minorHAnsi"/>
        </w:rPr>
        <w:t xml:space="preserve">specialist </w:t>
      </w:r>
      <w:r w:rsidR="003C1A7B" w:rsidRPr="000904BA">
        <w:rPr>
          <w:rFonts w:cstheme="minorHAnsi"/>
        </w:rPr>
        <w:t xml:space="preserve">medical and nursing (including gynaecology, surgical, </w:t>
      </w:r>
      <w:r w:rsidR="00B31DC1" w:rsidRPr="000904BA">
        <w:rPr>
          <w:rFonts w:cstheme="minorHAnsi"/>
        </w:rPr>
        <w:t xml:space="preserve">anaesthetic and </w:t>
      </w:r>
      <w:r w:rsidRPr="000904BA">
        <w:rPr>
          <w:rFonts w:cstheme="minorHAnsi"/>
        </w:rPr>
        <w:t>critical care staff</w:t>
      </w:r>
      <w:r w:rsidR="003C1A7B" w:rsidRPr="000904BA">
        <w:rPr>
          <w:rFonts w:cstheme="minorHAnsi"/>
        </w:rPr>
        <w:t>)</w:t>
      </w:r>
      <w:r w:rsidRPr="000904BA">
        <w:rPr>
          <w:rFonts w:cstheme="minorHAnsi"/>
        </w:rPr>
        <w:t xml:space="preserve"> available in case of a serious medical event</w:t>
      </w:r>
      <w:r w:rsidR="009F5C81" w:rsidRPr="000904BA">
        <w:rPr>
          <w:rFonts w:cstheme="minorHAnsi"/>
        </w:rPr>
        <w:t xml:space="preserve"> or allergic reaction</w:t>
      </w:r>
      <w:r w:rsidR="00696C62" w:rsidRPr="000904BA">
        <w:rPr>
          <w:rFonts w:cstheme="minorHAnsi"/>
        </w:rPr>
        <w:t>.</w:t>
      </w:r>
      <w:r w:rsidR="00B31DC1" w:rsidRPr="000904BA">
        <w:rPr>
          <w:rFonts w:cstheme="minorHAnsi"/>
        </w:rPr>
        <w:t xml:space="preserve"> </w:t>
      </w:r>
    </w:p>
    <w:p w14:paraId="429E7D20" w14:textId="77777777" w:rsidR="00411396" w:rsidRPr="000904BA" w:rsidRDefault="00B31DC1" w:rsidP="000904BA">
      <w:pPr>
        <w:rPr>
          <w:rFonts w:cstheme="minorHAnsi"/>
        </w:rPr>
      </w:pPr>
      <w:r w:rsidRPr="000904BA">
        <w:rPr>
          <w:rFonts w:cstheme="minorHAnsi"/>
        </w:rPr>
        <w:t>As a part of the routine management for women with ectopic pregnancies, participants will undergo frequent, multimodal monitoring until their pregnancy is resolved. This management and these test results will be overseen by the participants’ treating clinicians, with additional reviews performed by the research team during the collation of results into the CRF.</w:t>
      </w:r>
    </w:p>
    <w:p w14:paraId="553310C9" w14:textId="77777777" w:rsidR="00B964A7" w:rsidRPr="000904BA" w:rsidRDefault="00B964A7" w:rsidP="000904BA">
      <w:pPr>
        <w:rPr>
          <w:rFonts w:cstheme="minorHAnsi"/>
        </w:rPr>
      </w:pPr>
      <w:r w:rsidRPr="000904BA">
        <w:rPr>
          <w:rFonts w:cstheme="minorHAnsi"/>
        </w:rPr>
        <w:t>Trial participants will have baseline observations performed prior to the administration of the 1</w:t>
      </w:r>
      <w:r w:rsidRPr="000904BA">
        <w:rPr>
          <w:rFonts w:cstheme="minorHAnsi"/>
          <w:vertAlign w:val="superscript"/>
        </w:rPr>
        <w:t>st</w:t>
      </w:r>
      <w:r w:rsidR="00B31DC1" w:rsidRPr="000904BA">
        <w:rPr>
          <w:rFonts w:cstheme="minorHAnsi"/>
        </w:rPr>
        <w:t xml:space="preserve"> dose of vinorelbine</w:t>
      </w:r>
      <w:r w:rsidRPr="000904BA">
        <w:rPr>
          <w:rFonts w:cstheme="minorHAnsi"/>
        </w:rPr>
        <w:t>, and will have their wellbeing reassessed</w:t>
      </w:r>
      <w:r w:rsidR="00B31DC1" w:rsidRPr="000904BA">
        <w:rPr>
          <w:rFonts w:cstheme="minorHAnsi"/>
        </w:rPr>
        <w:t xml:space="preserve"> (as well as an assessment for any adverse events)</w:t>
      </w:r>
      <w:r w:rsidR="005C0082" w:rsidRPr="000904BA">
        <w:rPr>
          <w:rFonts w:cstheme="minorHAnsi"/>
        </w:rPr>
        <w:t xml:space="preserve"> </w:t>
      </w:r>
      <w:r w:rsidRPr="000904BA">
        <w:rPr>
          <w:rFonts w:cstheme="minorHAnsi"/>
        </w:rPr>
        <w:t>within 3 hours of taking the 1</w:t>
      </w:r>
      <w:r w:rsidRPr="000904BA">
        <w:rPr>
          <w:rFonts w:cstheme="minorHAnsi"/>
          <w:vertAlign w:val="superscript"/>
        </w:rPr>
        <w:t>st</w:t>
      </w:r>
      <w:r w:rsidRPr="000904BA">
        <w:rPr>
          <w:rFonts w:cstheme="minorHAnsi"/>
        </w:rPr>
        <w:t xml:space="preserve"> dose. </w:t>
      </w:r>
    </w:p>
    <w:p w14:paraId="2317E45C" w14:textId="77777777" w:rsidR="00B964A7" w:rsidRPr="000904BA" w:rsidRDefault="00696C62" w:rsidP="000904BA">
      <w:pPr>
        <w:rPr>
          <w:rFonts w:cstheme="minorHAnsi"/>
        </w:rPr>
      </w:pPr>
      <w:r w:rsidRPr="000904BA">
        <w:rPr>
          <w:rFonts w:cstheme="minorHAnsi"/>
        </w:rPr>
        <w:t>Trial participants will be closely monitored for the progress or resolution of their ectopic pregnancy</w:t>
      </w:r>
      <w:r w:rsidR="003F648A" w:rsidRPr="000904BA">
        <w:rPr>
          <w:rFonts w:cstheme="minorHAnsi"/>
        </w:rPr>
        <w:t>; serum hCG levels; and biochemical indices of haematological toxicities, hepatic and renal impairment</w:t>
      </w:r>
      <w:r w:rsidRPr="000904BA">
        <w:rPr>
          <w:rFonts w:cstheme="minorHAnsi"/>
        </w:rPr>
        <w:t xml:space="preserve"> before, during and after their treatment course of vinorelbine.</w:t>
      </w:r>
    </w:p>
    <w:p w14:paraId="66A06221" w14:textId="77777777" w:rsidR="00B964A7" w:rsidRPr="000904BA" w:rsidRDefault="003F648A" w:rsidP="000904BA">
      <w:pPr>
        <w:rPr>
          <w:rFonts w:cstheme="minorHAnsi"/>
        </w:rPr>
      </w:pPr>
      <w:r w:rsidRPr="000904BA">
        <w:rPr>
          <w:rFonts w:cstheme="minorHAnsi"/>
        </w:rPr>
        <w:t xml:space="preserve">Participants will have the 24 hour phone number to the on call emergency gynaecology doctor at NSH, in case of a clinical deterioration after their discharge from hospital. </w:t>
      </w:r>
    </w:p>
    <w:p w14:paraId="31E17B7C" w14:textId="77777777" w:rsidR="008B031D" w:rsidRPr="000904BA" w:rsidRDefault="00B964A7" w:rsidP="000904BA">
      <w:pPr>
        <w:rPr>
          <w:rFonts w:cstheme="minorHAnsi"/>
        </w:rPr>
      </w:pPr>
      <w:r w:rsidRPr="000904BA">
        <w:rPr>
          <w:rFonts w:cstheme="minorHAnsi"/>
        </w:rPr>
        <w:t>Following any AE involving a participant, an obstetrician</w:t>
      </w:r>
      <w:r w:rsidR="00DD6E13" w:rsidRPr="000904BA">
        <w:rPr>
          <w:rFonts w:cstheme="minorHAnsi"/>
        </w:rPr>
        <w:t>/</w:t>
      </w:r>
      <w:r w:rsidR="003F648A" w:rsidRPr="000904BA">
        <w:rPr>
          <w:rFonts w:cstheme="minorHAnsi"/>
        </w:rPr>
        <w:t>gynaecologist</w:t>
      </w:r>
      <w:r w:rsidRPr="000904BA">
        <w:rPr>
          <w:rFonts w:cstheme="minorHAnsi"/>
        </w:rPr>
        <w:t xml:space="preserve"> who is also a member of the research team will review the patient and the history of the AE to establish severity and causality of the </w:t>
      </w:r>
      <w:r w:rsidRPr="000904BA">
        <w:rPr>
          <w:rFonts w:cstheme="minorHAnsi"/>
        </w:rPr>
        <w:lastRenderedPageBreak/>
        <w:t xml:space="preserve">event (see </w:t>
      </w:r>
      <w:r w:rsidRPr="000904BA">
        <w:rPr>
          <w:rFonts w:cstheme="minorHAnsi"/>
          <w:i/>
        </w:rPr>
        <w:t>Section 10</w:t>
      </w:r>
      <w:r w:rsidRPr="000904BA">
        <w:rPr>
          <w:rFonts w:cstheme="minorHAnsi"/>
        </w:rPr>
        <w:t>), determining whether or not the event was li</w:t>
      </w:r>
      <w:r w:rsidR="003F648A" w:rsidRPr="000904BA">
        <w:rPr>
          <w:rFonts w:cstheme="minorHAnsi"/>
        </w:rPr>
        <w:t>kely attributed to vinorelbine</w:t>
      </w:r>
      <w:r w:rsidRPr="000904BA">
        <w:rPr>
          <w:rFonts w:cstheme="minorHAnsi"/>
        </w:rPr>
        <w:t xml:space="preserve">. They will also arrange for any necessary follow up with the patient in an attempt to ensure that the AE is resolved satisfactorily.  </w:t>
      </w:r>
    </w:p>
    <w:p w14:paraId="324B0250" w14:textId="77777777" w:rsidR="00B964A7" w:rsidRPr="008215AD" w:rsidRDefault="00B964A7" w:rsidP="0028361A">
      <w:pPr>
        <w:pStyle w:val="ListParagraph"/>
        <w:ind w:left="284"/>
        <w:rPr>
          <w:rFonts w:cstheme="minorHAnsi"/>
          <w:color w:val="FF0000"/>
        </w:rPr>
      </w:pPr>
    </w:p>
    <w:p w14:paraId="02A48EBC" w14:textId="77777777" w:rsidR="00B964A7" w:rsidRPr="00C83D19" w:rsidRDefault="00B964A7" w:rsidP="00B02582">
      <w:pPr>
        <w:pStyle w:val="ListParagraph"/>
        <w:numPr>
          <w:ilvl w:val="1"/>
          <w:numId w:val="1"/>
        </w:numPr>
        <w:outlineLvl w:val="1"/>
        <w:rPr>
          <w:rFonts w:cstheme="minorHAnsi"/>
          <w:b/>
        </w:rPr>
      </w:pPr>
      <w:bookmarkStart w:id="116" w:name="_Toc473873102"/>
      <w:bookmarkStart w:id="117" w:name="_Toc489888099"/>
      <w:r>
        <w:rPr>
          <w:rFonts w:cstheme="minorHAnsi"/>
          <w:b/>
        </w:rPr>
        <w:t xml:space="preserve">SUMMARY TABLE OF </w:t>
      </w:r>
      <w:r w:rsidRPr="00B05FFC">
        <w:rPr>
          <w:rFonts w:cstheme="minorHAnsi"/>
          <w:b/>
        </w:rPr>
        <w:t>STUDY ASSESSMENTS</w:t>
      </w:r>
      <w:bookmarkEnd w:id="116"/>
      <w:bookmarkEnd w:id="117"/>
    </w:p>
    <w:p w14:paraId="0963DE6C" w14:textId="77777777" w:rsidR="00B964A7" w:rsidRDefault="00B964A7" w:rsidP="00A32973">
      <w:pPr>
        <w:pStyle w:val="Heading3"/>
        <w:pBdr>
          <w:top w:val="single" w:sz="4" w:space="1" w:color="auto"/>
        </w:pBdr>
        <w:rPr>
          <w:rFonts w:asciiTheme="minorHAnsi" w:hAnsiTheme="minorHAnsi" w:cstheme="minorHAnsi"/>
          <w:color w:val="auto"/>
        </w:rPr>
      </w:pPr>
      <w:bookmarkStart w:id="118" w:name="_Toc489888100"/>
      <w:r w:rsidRPr="00FB2DCD">
        <w:rPr>
          <w:rFonts w:asciiTheme="minorHAnsi" w:hAnsiTheme="minorHAnsi" w:cstheme="minorHAnsi"/>
          <w:color w:val="auto"/>
        </w:rPr>
        <w:t>TABLE 2: Summary of study assessments</w:t>
      </w:r>
      <w:bookmarkEnd w:id="118"/>
      <w:r w:rsidRPr="00FB2DCD">
        <w:rPr>
          <w:rFonts w:asciiTheme="minorHAnsi" w:hAnsiTheme="minorHAnsi" w:cstheme="minorHAnsi"/>
          <w:color w:val="auto"/>
        </w:rPr>
        <w:t xml:space="preserve"> </w:t>
      </w:r>
    </w:p>
    <w:p w14:paraId="5758894F" w14:textId="77777777" w:rsidR="004D4907" w:rsidRPr="004D4907" w:rsidRDefault="004D4907" w:rsidP="004D4907"/>
    <w:tbl>
      <w:tblPr>
        <w:tblStyle w:val="TableGrid"/>
        <w:tblW w:w="9640" w:type="dxa"/>
        <w:tblInd w:w="-176" w:type="dxa"/>
        <w:tblLayout w:type="fixed"/>
        <w:tblLook w:val="04A0" w:firstRow="1" w:lastRow="0" w:firstColumn="1" w:lastColumn="0" w:noHBand="0" w:noVBand="1"/>
      </w:tblPr>
      <w:tblGrid>
        <w:gridCol w:w="1418"/>
        <w:gridCol w:w="1701"/>
        <w:gridCol w:w="1134"/>
        <w:gridCol w:w="993"/>
        <w:gridCol w:w="1134"/>
        <w:gridCol w:w="1134"/>
        <w:gridCol w:w="1134"/>
        <w:gridCol w:w="992"/>
      </w:tblGrid>
      <w:tr w:rsidR="000904BA" w:rsidRPr="008215AD" w14:paraId="6DCA4980" w14:textId="77777777" w:rsidTr="00A32973">
        <w:tc>
          <w:tcPr>
            <w:tcW w:w="1418" w:type="dxa"/>
            <w:tcBorders>
              <w:top w:val="nil"/>
              <w:left w:val="nil"/>
              <w:bottom w:val="single" w:sz="4" w:space="0" w:color="auto"/>
              <w:right w:val="single" w:sz="4" w:space="0" w:color="auto"/>
            </w:tcBorders>
            <w:vAlign w:val="center"/>
          </w:tcPr>
          <w:p w14:paraId="7A987EC0" w14:textId="77777777" w:rsidR="000904BA" w:rsidRPr="008215AD" w:rsidRDefault="000904BA" w:rsidP="004474B2">
            <w:pPr>
              <w:pStyle w:val="ListParagraph"/>
              <w:ind w:left="0"/>
              <w:jc w:val="center"/>
              <w:rPr>
                <w:rFonts w:cstheme="minorHAnsi"/>
                <w:b/>
                <w:color w:val="FF0000"/>
              </w:rPr>
            </w:pPr>
          </w:p>
        </w:tc>
        <w:tc>
          <w:tcPr>
            <w:tcW w:w="1701" w:type="dxa"/>
            <w:tcBorders>
              <w:left w:val="single" w:sz="4" w:space="0" w:color="auto"/>
            </w:tcBorders>
            <w:shd w:val="clear" w:color="auto" w:fill="F2F2F2" w:themeFill="background1" w:themeFillShade="F2"/>
            <w:vAlign w:val="center"/>
          </w:tcPr>
          <w:p w14:paraId="474390E6" w14:textId="4DB85ED1" w:rsidR="000904BA" w:rsidRDefault="000904BA" w:rsidP="004474B2">
            <w:pPr>
              <w:pStyle w:val="ListParagraph"/>
              <w:ind w:left="0"/>
              <w:jc w:val="center"/>
              <w:rPr>
                <w:rFonts w:cstheme="minorHAnsi"/>
                <w:b/>
              </w:rPr>
            </w:pPr>
            <w:r w:rsidRPr="00447936">
              <w:rPr>
                <w:rFonts w:cstheme="minorHAnsi"/>
                <w:b/>
              </w:rPr>
              <w:t xml:space="preserve">Day </w:t>
            </w:r>
            <w:r w:rsidR="00BA2754">
              <w:rPr>
                <w:rFonts w:cstheme="minorHAnsi"/>
                <w:b/>
              </w:rPr>
              <w:t>1</w:t>
            </w:r>
          </w:p>
          <w:p w14:paraId="061A98DB" w14:textId="77777777" w:rsidR="000904BA" w:rsidRPr="00447936" w:rsidRDefault="000904BA" w:rsidP="004474B2">
            <w:pPr>
              <w:pStyle w:val="ListParagraph"/>
              <w:ind w:left="0"/>
              <w:jc w:val="center"/>
              <w:rPr>
                <w:rFonts w:cstheme="minorHAnsi"/>
                <w:b/>
              </w:rPr>
            </w:pPr>
            <w:r>
              <w:rPr>
                <w:rFonts w:cstheme="minorHAnsi"/>
                <w:b/>
              </w:rPr>
              <w:t xml:space="preserve">(day </w:t>
            </w:r>
            <w:r w:rsidRPr="00447936">
              <w:rPr>
                <w:rFonts w:cstheme="minorHAnsi"/>
                <w:b/>
              </w:rPr>
              <w:t>of 1</w:t>
            </w:r>
            <w:r w:rsidRPr="00447936">
              <w:rPr>
                <w:rFonts w:cstheme="minorHAnsi"/>
                <w:b/>
                <w:vertAlign w:val="superscript"/>
              </w:rPr>
              <w:t>st</w:t>
            </w:r>
            <w:r w:rsidRPr="00447936">
              <w:rPr>
                <w:rFonts w:cstheme="minorHAnsi"/>
                <w:b/>
              </w:rPr>
              <w:t xml:space="preserve"> treatment</w:t>
            </w:r>
            <w:r>
              <w:rPr>
                <w:rFonts w:cstheme="minorHAnsi"/>
                <w:b/>
              </w:rPr>
              <w:t>)</w:t>
            </w:r>
            <w:r w:rsidRPr="00447936">
              <w:rPr>
                <w:rFonts w:cstheme="minorHAnsi"/>
                <w:b/>
              </w:rPr>
              <w:t xml:space="preserve">, prior to </w:t>
            </w:r>
            <w:r>
              <w:rPr>
                <w:rFonts w:cstheme="minorHAnsi"/>
                <w:b/>
              </w:rPr>
              <w:t>dose</w:t>
            </w:r>
            <w:r w:rsidRPr="00447936">
              <w:rPr>
                <w:rFonts w:cstheme="minorHAnsi"/>
                <w:b/>
              </w:rPr>
              <w:t xml:space="preserve"> administration</w:t>
            </w:r>
          </w:p>
        </w:tc>
        <w:tc>
          <w:tcPr>
            <w:tcW w:w="1134" w:type="dxa"/>
            <w:shd w:val="clear" w:color="auto" w:fill="F2F2F2" w:themeFill="background1" w:themeFillShade="F2"/>
            <w:vAlign w:val="center"/>
          </w:tcPr>
          <w:p w14:paraId="4566C01B" w14:textId="77777777" w:rsidR="000904BA" w:rsidRDefault="000904BA" w:rsidP="004474B2">
            <w:pPr>
              <w:pStyle w:val="ListParagraph"/>
              <w:ind w:left="0"/>
              <w:jc w:val="center"/>
              <w:rPr>
                <w:rFonts w:cstheme="minorHAnsi"/>
                <w:b/>
              </w:rPr>
            </w:pPr>
          </w:p>
          <w:p w14:paraId="11E4AEA4" w14:textId="0ECE559C" w:rsidR="000904BA" w:rsidRPr="00447936" w:rsidRDefault="00194C0A" w:rsidP="00A32973">
            <w:pPr>
              <w:pStyle w:val="ListParagraph"/>
              <w:ind w:left="0"/>
              <w:jc w:val="center"/>
              <w:rPr>
                <w:rFonts w:cstheme="minorHAnsi"/>
                <w:b/>
              </w:rPr>
            </w:pPr>
            <w:r>
              <w:rPr>
                <w:rFonts w:cstheme="minorHAnsi"/>
                <w:b/>
              </w:rPr>
              <w:t>Day 1</w:t>
            </w:r>
            <w:r w:rsidR="000904BA">
              <w:rPr>
                <w:rFonts w:cstheme="minorHAnsi"/>
                <w:b/>
              </w:rPr>
              <w:t xml:space="preserve">, following </w:t>
            </w:r>
            <w:r w:rsidR="00A32973">
              <w:rPr>
                <w:rFonts w:cstheme="minorHAnsi"/>
                <w:b/>
              </w:rPr>
              <w:t>1</w:t>
            </w:r>
            <w:r w:rsidR="00A32973" w:rsidRPr="00A32973">
              <w:rPr>
                <w:rFonts w:cstheme="minorHAnsi"/>
                <w:b/>
                <w:vertAlign w:val="superscript"/>
              </w:rPr>
              <w:t>st</w:t>
            </w:r>
            <w:r w:rsidR="00A32973">
              <w:rPr>
                <w:rFonts w:cstheme="minorHAnsi"/>
                <w:b/>
              </w:rPr>
              <w:t xml:space="preserve"> </w:t>
            </w:r>
            <w:r w:rsidR="000904BA">
              <w:rPr>
                <w:rFonts w:cstheme="minorHAnsi"/>
                <w:b/>
              </w:rPr>
              <w:t xml:space="preserve">dose </w:t>
            </w:r>
          </w:p>
        </w:tc>
        <w:tc>
          <w:tcPr>
            <w:tcW w:w="993" w:type="dxa"/>
            <w:shd w:val="clear" w:color="auto" w:fill="F2F2F2" w:themeFill="background1" w:themeFillShade="F2"/>
            <w:vAlign w:val="center"/>
          </w:tcPr>
          <w:p w14:paraId="0D0C9376" w14:textId="5C8F21BC" w:rsidR="000904BA" w:rsidRPr="00447936" w:rsidRDefault="000904BA" w:rsidP="00A32973">
            <w:pPr>
              <w:pStyle w:val="ListParagraph"/>
              <w:ind w:left="0"/>
              <w:jc w:val="center"/>
              <w:rPr>
                <w:rFonts w:cstheme="minorHAnsi"/>
                <w:b/>
              </w:rPr>
            </w:pPr>
            <w:r w:rsidRPr="00447936">
              <w:rPr>
                <w:rFonts w:cstheme="minorHAnsi"/>
                <w:b/>
              </w:rPr>
              <w:t xml:space="preserve">Day 4 </w:t>
            </w:r>
          </w:p>
        </w:tc>
        <w:tc>
          <w:tcPr>
            <w:tcW w:w="1134" w:type="dxa"/>
            <w:shd w:val="clear" w:color="auto" w:fill="F2F2F2" w:themeFill="background1" w:themeFillShade="F2"/>
            <w:vAlign w:val="center"/>
          </w:tcPr>
          <w:p w14:paraId="3681CD17" w14:textId="3A7DA2FF" w:rsidR="000904BA" w:rsidRPr="00447936" w:rsidRDefault="00A32973" w:rsidP="00A32973">
            <w:pPr>
              <w:pStyle w:val="ListParagraph"/>
              <w:ind w:left="0"/>
              <w:jc w:val="center"/>
              <w:rPr>
                <w:rFonts w:cstheme="minorHAnsi"/>
                <w:b/>
              </w:rPr>
            </w:pPr>
            <w:r>
              <w:rPr>
                <w:rFonts w:cstheme="minorHAnsi"/>
                <w:b/>
              </w:rPr>
              <w:t>Day 7, prior to 2</w:t>
            </w:r>
            <w:r w:rsidRPr="00A32973">
              <w:rPr>
                <w:rFonts w:cstheme="minorHAnsi"/>
                <w:b/>
                <w:vertAlign w:val="superscript"/>
              </w:rPr>
              <w:t>nd</w:t>
            </w:r>
            <w:r>
              <w:rPr>
                <w:rFonts w:cstheme="minorHAnsi"/>
                <w:b/>
              </w:rPr>
              <w:t xml:space="preserve"> dose</w:t>
            </w:r>
          </w:p>
        </w:tc>
        <w:tc>
          <w:tcPr>
            <w:tcW w:w="1134" w:type="dxa"/>
            <w:shd w:val="clear" w:color="auto" w:fill="F2F2F2" w:themeFill="background1" w:themeFillShade="F2"/>
            <w:vAlign w:val="center"/>
          </w:tcPr>
          <w:p w14:paraId="4ADFE977" w14:textId="77777777" w:rsidR="000904BA" w:rsidRDefault="000904BA" w:rsidP="004474B2">
            <w:pPr>
              <w:pStyle w:val="ListParagraph"/>
              <w:ind w:left="0"/>
              <w:jc w:val="center"/>
              <w:rPr>
                <w:rFonts w:cstheme="minorHAnsi"/>
                <w:b/>
              </w:rPr>
            </w:pPr>
            <w:r>
              <w:rPr>
                <w:rFonts w:cstheme="minorHAnsi"/>
                <w:b/>
              </w:rPr>
              <w:t>Day 11</w:t>
            </w:r>
          </w:p>
          <w:p w14:paraId="41B8595A" w14:textId="764192E5" w:rsidR="000904BA" w:rsidRPr="00447936" w:rsidRDefault="000904BA" w:rsidP="004474B2">
            <w:pPr>
              <w:pStyle w:val="ListParagraph"/>
              <w:ind w:left="0"/>
              <w:jc w:val="center"/>
              <w:rPr>
                <w:rFonts w:cstheme="minorHAnsi"/>
                <w:b/>
              </w:rPr>
            </w:pPr>
            <w:r>
              <w:rPr>
                <w:rFonts w:cstheme="minorHAnsi"/>
                <w:b/>
              </w:rPr>
              <w:t>(</w:t>
            </w:r>
            <w:r w:rsidR="004474B2">
              <w:rPr>
                <w:rFonts w:cstheme="minorHAnsi"/>
                <w:b/>
              </w:rPr>
              <w:t>only if required</w:t>
            </w:r>
            <w:r>
              <w:rPr>
                <w:rFonts w:cstheme="minorHAnsi"/>
                <w:b/>
              </w:rPr>
              <w:t>)</w:t>
            </w:r>
          </w:p>
        </w:tc>
        <w:tc>
          <w:tcPr>
            <w:tcW w:w="1134" w:type="dxa"/>
            <w:shd w:val="clear" w:color="auto" w:fill="F2F2F2" w:themeFill="background1" w:themeFillShade="F2"/>
            <w:vAlign w:val="center"/>
          </w:tcPr>
          <w:p w14:paraId="74079C70" w14:textId="77777777" w:rsidR="000904BA" w:rsidRDefault="000904BA" w:rsidP="004474B2">
            <w:pPr>
              <w:pStyle w:val="ListParagraph"/>
              <w:ind w:left="0"/>
              <w:jc w:val="center"/>
              <w:rPr>
                <w:rFonts w:cstheme="minorHAnsi"/>
                <w:b/>
              </w:rPr>
            </w:pPr>
            <w:r>
              <w:rPr>
                <w:rFonts w:cstheme="minorHAnsi"/>
                <w:b/>
              </w:rPr>
              <w:t>Day 14</w:t>
            </w:r>
          </w:p>
          <w:p w14:paraId="04B9B33F" w14:textId="244E9953" w:rsidR="000904BA" w:rsidRPr="00447936" w:rsidRDefault="000904BA" w:rsidP="004474B2">
            <w:pPr>
              <w:pStyle w:val="ListParagraph"/>
              <w:ind w:left="0"/>
              <w:jc w:val="center"/>
              <w:rPr>
                <w:rFonts w:cstheme="minorHAnsi"/>
                <w:b/>
              </w:rPr>
            </w:pPr>
            <w:r>
              <w:rPr>
                <w:rFonts w:cstheme="minorHAnsi"/>
                <w:b/>
              </w:rPr>
              <w:t>(</w:t>
            </w:r>
            <w:r w:rsidR="004474B2">
              <w:rPr>
                <w:rFonts w:cstheme="minorHAnsi"/>
                <w:b/>
              </w:rPr>
              <w:t xml:space="preserve">only </w:t>
            </w:r>
            <w:r>
              <w:rPr>
                <w:rFonts w:cstheme="minorHAnsi"/>
                <w:b/>
              </w:rPr>
              <w:t>if 2</w:t>
            </w:r>
            <w:r w:rsidRPr="000904BA">
              <w:rPr>
                <w:rFonts w:cstheme="minorHAnsi"/>
                <w:b/>
                <w:vertAlign w:val="superscript"/>
              </w:rPr>
              <w:t>nd</w:t>
            </w:r>
            <w:r w:rsidR="00A32973">
              <w:rPr>
                <w:rFonts w:cstheme="minorHAnsi"/>
                <w:b/>
              </w:rPr>
              <w:t xml:space="preserve"> dose given</w:t>
            </w:r>
            <w:r>
              <w:rPr>
                <w:rFonts w:cstheme="minorHAnsi"/>
                <w:b/>
              </w:rPr>
              <w:t>)</w:t>
            </w:r>
          </w:p>
        </w:tc>
        <w:tc>
          <w:tcPr>
            <w:tcW w:w="992" w:type="dxa"/>
            <w:shd w:val="clear" w:color="auto" w:fill="F2F2F2" w:themeFill="background1" w:themeFillShade="F2"/>
            <w:vAlign w:val="center"/>
          </w:tcPr>
          <w:p w14:paraId="2CA5C02D" w14:textId="02CCD1BC" w:rsidR="000904BA" w:rsidRPr="00447936" w:rsidRDefault="000904BA" w:rsidP="004474B2">
            <w:pPr>
              <w:pStyle w:val="ListParagraph"/>
              <w:ind w:left="0"/>
              <w:jc w:val="center"/>
              <w:rPr>
                <w:rFonts w:cstheme="minorHAnsi"/>
                <w:b/>
              </w:rPr>
            </w:pPr>
            <w:r w:rsidRPr="00447936">
              <w:rPr>
                <w:rFonts w:cstheme="minorHAnsi"/>
                <w:b/>
              </w:rPr>
              <w:t>Follow up phone calls</w:t>
            </w:r>
          </w:p>
        </w:tc>
      </w:tr>
      <w:tr w:rsidR="000904BA" w:rsidRPr="008215AD" w14:paraId="34CF8826" w14:textId="77777777" w:rsidTr="00D9066F">
        <w:trPr>
          <w:trHeight w:val="657"/>
        </w:trPr>
        <w:tc>
          <w:tcPr>
            <w:tcW w:w="1418" w:type="dxa"/>
            <w:tcBorders>
              <w:top w:val="single" w:sz="4" w:space="0" w:color="auto"/>
            </w:tcBorders>
            <w:shd w:val="clear" w:color="auto" w:fill="F2F2F2" w:themeFill="background1" w:themeFillShade="F2"/>
            <w:vAlign w:val="center"/>
          </w:tcPr>
          <w:p w14:paraId="04729476" w14:textId="77777777" w:rsidR="000904BA" w:rsidRPr="000F6DB7" w:rsidRDefault="000904BA" w:rsidP="004474B2">
            <w:pPr>
              <w:pStyle w:val="ListParagraph"/>
              <w:ind w:left="0"/>
              <w:jc w:val="center"/>
              <w:rPr>
                <w:rFonts w:cstheme="minorHAnsi"/>
                <w:b/>
              </w:rPr>
            </w:pPr>
          </w:p>
          <w:p w14:paraId="3AB62824" w14:textId="77777777" w:rsidR="000904BA" w:rsidRPr="000F6DB7" w:rsidRDefault="000904BA" w:rsidP="004474B2">
            <w:pPr>
              <w:pStyle w:val="ListParagraph"/>
              <w:ind w:left="0"/>
              <w:jc w:val="center"/>
              <w:rPr>
                <w:rFonts w:cstheme="minorHAnsi"/>
                <w:b/>
              </w:rPr>
            </w:pPr>
            <w:r w:rsidRPr="000F6DB7">
              <w:rPr>
                <w:rFonts w:cstheme="minorHAnsi"/>
                <w:b/>
              </w:rPr>
              <w:t>Consent</w:t>
            </w:r>
          </w:p>
          <w:p w14:paraId="792ECC89" w14:textId="77777777" w:rsidR="000904BA" w:rsidRPr="000F6DB7" w:rsidRDefault="000904BA" w:rsidP="004474B2">
            <w:pPr>
              <w:pStyle w:val="ListParagraph"/>
              <w:ind w:left="0"/>
              <w:jc w:val="center"/>
              <w:rPr>
                <w:rFonts w:cstheme="minorHAnsi"/>
                <w:b/>
              </w:rPr>
            </w:pPr>
          </w:p>
        </w:tc>
        <w:tc>
          <w:tcPr>
            <w:tcW w:w="1701" w:type="dxa"/>
            <w:shd w:val="clear" w:color="auto" w:fill="92D050"/>
            <w:vAlign w:val="center"/>
          </w:tcPr>
          <w:p w14:paraId="13698D59" w14:textId="77777777" w:rsidR="000904BA" w:rsidRPr="000F6DB7" w:rsidRDefault="000904BA" w:rsidP="004474B2">
            <w:pPr>
              <w:pStyle w:val="ListParagraph"/>
              <w:ind w:left="0"/>
              <w:jc w:val="center"/>
              <w:rPr>
                <w:rFonts w:ascii="Wingdings" w:hAnsi="Wingdings" w:cstheme="minorHAnsi"/>
                <w:b/>
              </w:rPr>
            </w:pPr>
            <w:r w:rsidRPr="000F6DB7">
              <w:rPr>
                <w:rFonts w:ascii="MS Gothic" w:eastAsia="MS Gothic" w:hAnsi="MS Gothic" w:cs="MS Gothic" w:hint="eastAsia"/>
                <w:lang w:val="en"/>
              </w:rPr>
              <w:t>✔</w:t>
            </w:r>
          </w:p>
        </w:tc>
        <w:tc>
          <w:tcPr>
            <w:tcW w:w="1134" w:type="dxa"/>
            <w:shd w:val="clear" w:color="auto" w:fill="92D050"/>
            <w:vAlign w:val="center"/>
          </w:tcPr>
          <w:p w14:paraId="53604042" w14:textId="77777777" w:rsidR="000904BA" w:rsidRPr="000F6DB7" w:rsidRDefault="000904BA" w:rsidP="004474B2">
            <w:pPr>
              <w:pStyle w:val="ListParagraph"/>
              <w:ind w:left="0"/>
              <w:jc w:val="center"/>
              <w:rPr>
                <w:rFonts w:ascii="MS Mincho" w:eastAsia="MS Mincho" w:hAnsi="MS Mincho" w:cs="MS Mincho"/>
                <w:lang w:val="en"/>
              </w:rPr>
            </w:pPr>
            <w:r w:rsidRPr="000F6DB7">
              <w:rPr>
                <w:rFonts w:ascii="MS Mincho" w:eastAsia="MS Mincho" w:hAnsi="MS Mincho" w:cs="MS Mincho" w:hint="eastAsia"/>
                <w:lang w:val="en"/>
              </w:rPr>
              <w:t>✔</w:t>
            </w:r>
            <w:r w:rsidRPr="000F6DB7">
              <w:rPr>
                <w:rFonts w:ascii="MS Mincho" w:eastAsia="MS Mincho" w:hAnsi="MS Mincho" w:cs="MS Mincho"/>
                <w:lang w:val="en"/>
              </w:rPr>
              <w:t>*</w:t>
            </w:r>
          </w:p>
        </w:tc>
        <w:tc>
          <w:tcPr>
            <w:tcW w:w="993" w:type="dxa"/>
            <w:shd w:val="clear" w:color="auto" w:fill="92D050"/>
            <w:vAlign w:val="center"/>
          </w:tcPr>
          <w:p w14:paraId="2E8E1545" w14:textId="77777777" w:rsidR="000904BA" w:rsidRPr="000F6DB7" w:rsidRDefault="000904BA" w:rsidP="004474B2">
            <w:pPr>
              <w:pStyle w:val="ListParagraph"/>
              <w:ind w:left="0"/>
              <w:jc w:val="center"/>
              <w:rPr>
                <w:rFonts w:cstheme="minorHAnsi"/>
                <w:b/>
              </w:rPr>
            </w:pPr>
            <w:r w:rsidRPr="000F6DB7">
              <w:rPr>
                <w:rFonts w:ascii="MS Mincho" w:eastAsia="MS Mincho" w:hAnsi="MS Mincho" w:cs="MS Mincho" w:hint="eastAsia"/>
                <w:lang w:val="en"/>
              </w:rPr>
              <w:t>✔</w:t>
            </w:r>
            <w:r w:rsidRPr="000F6DB7">
              <w:rPr>
                <w:rFonts w:ascii="MS Mincho" w:eastAsia="MS Mincho" w:hAnsi="MS Mincho" w:cs="MS Mincho"/>
                <w:lang w:val="en"/>
              </w:rPr>
              <w:t>*</w:t>
            </w:r>
          </w:p>
        </w:tc>
        <w:tc>
          <w:tcPr>
            <w:tcW w:w="1134" w:type="dxa"/>
            <w:shd w:val="clear" w:color="auto" w:fill="92D050"/>
            <w:vAlign w:val="center"/>
          </w:tcPr>
          <w:p w14:paraId="1BD2C41F" w14:textId="77777777" w:rsidR="000904BA" w:rsidRPr="000F6DB7" w:rsidRDefault="000904BA" w:rsidP="004474B2">
            <w:pPr>
              <w:pStyle w:val="ListParagraph"/>
              <w:ind w:left="0"/>
              <w:jc w:val="center"/>
              <w:rPr>
                <w:rFonts w:cstheme="minorHAnsi"/>
                <w:b/>
              </w:rPr>
            </w:pPr>
            <w:r w:rsidRPr="000F6DB7">
              <w:rPr>
                <w:rFonts w:ascii="MS Mincho" w:eastAsia="MS Mincho" w:hAnsi="MS Mincho" w:cs="MS Mincho" w:hint="eastAsia"/>
                <w:lang w:val="en"/>
              </w:rPr>
              <w:t>✔</w:t>
            </w:r>
            <w:r w:rsidRPr="000F6DB7">
              <w:rPr>
                <w:rFonts w:ascii="MS Mincho" w:eastAsia="MS Mincho" w:hAnsi="MS Mincho" w:cs="MS Mincho"/>
                <w:lang w:val="en"/>
              </w:rPr>
              <w:t>*</w:t>
            </w:r>
          </w:p>
        </w:tc>
        <w:tc>
          <w:tcPr>
            <w:tcW w:w="1134" w:type="dxa"/>
            <w:shd w:val="clear" w:color="auto" w:fill="92D050"/>
            <w:vAlign w:val="center"/>
          </w:tcPr>
          <w:p w14:paraId="7642BFF0" w14:textId="05945549" w:rsidR="000904BA" w:rsidRPr="000F6DB7" w:rsidRDefault="000904BA" w:rsidP="004474B2">
            <w:pPr>
              <w:pStyle w:val="ListParagraph"/>
              <w:ind w:left="0"/>
              <w:jc w:val="center"/>
              <w:rPr>
                <w:rFonts w:ascii="MS Mincho" w:eastAsia="MS Mincho" w:hAnsi="MS Mincho" w:cs="MS Mincho"/>
                <w:lang w:val="en"/>
              </w:rPr>
            </w:pPr>
            <w:r w:rsidRPr="000F6DB7">
              <w:rPr>
                <w:rFonts w:ascii="MS Mincho" w:eastAsia="MS Mincho" w:hAnsi="MS Mincho" w:cs="MS Mincho" w:hint="eastAsia"/>
                <w:lang w:val="en"/>
              </w:rPr>
              <w:t>✔</w:t>
            </w:r>
            <w:r w:rsidRPr="000F6DB7">
              <w:rPr>
                <w:rFonts w:ascii="MS Mincho" w:eastAsia="MS Mincho" w:hAnsi="MS Mincho" w:cs="MS Mincho"/>
                <w:lang w:val="en"/>
              </w:rPr>
              <w:t>*</w:t>
            </w:r>
          </w:p>
        </w:tc>
        <w:tc>
          <w:tcPr>
            <w:tcW w:w="1134" w:type="dxa"/>
            <w:shd w:val="clear" w:color="auto" w:fill="92D050"/>
            <w:vAlign w:val="center"/>
          </w:tcPr>
          <w:p w14:paraId="1791FF0A" w14:textId="2698769C" w:rsidR="000904BA" w:rsidRPr="000F6DB7" w:rsidRDefault="000904BA" w:rsidP="004474B2">
            <w:pPr>
              <w:pStyle w:val="ListParagraph"/>
              <w:ind w:left="0"/>
              <w:jc w:val="center"/>
              <w:rPr>
                <w:rFonts w:ascii="MS Mincho" w:eastAsia="MS Mincho" w:hAnsi="MS Mincho" w:cs="MS Mincho"/>
                <w:lang w:val="en"/>
              </w:rPr>
            </w:pPr>
            <w:r w:rsidRPr="000F6DB7">
              <w:rPr>
                <w:rFonts w:ascii="MS Mincho" w:eastAsia="MS Mincho" w:hAnsi="MS Mincho" w:cs="MS Mincho" w:hint="eastAsia"/>
                <w:lang w:val="en"/>
              </w:rPr>
              <w:t>✔</w:t>
            </w:r>
            <w:r w:rsidRPr="000F6DB7">
              <w:rPr>
                <w:rFonts w:ascii="MS Mincho" w:eastAsia="MS Mincho" w:hAnsi="MS Mincho" w:cs="MS Mincho"/>
                <w:lang w:val="en"/>
              </w:rPr>
              <w:t>*</w:t>
            </w:r>
          </w:p>
        </w:tc>
        <w:tc>
          <w:tcPr>
            <w:tcW w:w="992" w:type="dxa"/>
            <w:shd w:val="clear" w:color="auto" w:fill="92D050"/>
            <w:vAlign w:val="center"/>
          </w:tcPr>
          <w:p w14:paraId="7FBA9ABF" w14:textId="631E2C2F" w:rsidR="000904BA" w:rsidRPr="000F6DB7" w:rsidRDefault="000904BA" w:rsidP="004474B2">
            <w:pPr>
              <w:pStyle w:val="ListParagraph"/>
              <w:ind w:left="0"/>
              <w:jc w:val="center"/>
              <w:rPr>
                <w:rFonts w:cstheme="minorHAnsi"/>
                <w:b/>
              </w:rPr>
            </w:pPr>
            <w:r w:rsidRPr="000F6DB7">
              <w:rPr>
                <w:rFonts w:ascii="MS Mincho" w:eastAsia="MS Mincho" w:hAnsi="MS Mincho" w:cs="MS Mincho" w:hint="eastAsia"/>
                <w:lang w:val="en"/>
              </w:rPr>
              <w:t>✔</w:t>
            </w:r>
            <w:r w:rsidRPr="000F6DB7">
              <w:rPr>
                <w:rFonts w:ascii="MS Mincho" w:eastAsia="MS Mincho" w:hAnsi="MS Mincho" w:cs="MS Mincho"/>
                <w:lang w:val="en"/>
              </w:rPr>
              <w:t>*</w:t>
            </w:r>
          </w:p>
        </w:tc>
      </w:tr>
      <w:tr w:rsidR="000904BA" w:rsidRPr="008215AD" w14:paraId="7B424EC8" w14:textId="77777777" w:rsidTr="00D9066F">
        <w:trPr>
          <w:trHeight w:val="839"/>
        </w:trPr>
        <w:tc>
          <w:tcPr>
            <w:tcW w:w="1418" w:type="dxa"/>
            <w:shd w:val="clear" w:color="auto" w:fill="F2F2F2" w:themeFill="background1" w:themeFillShade="F2"/>
            <w:vAlign w:val="center"/>
          </w:tcPr>
          <w:p w14:paraId="574E1914" w14:textId="16B7BE2B" w:rsidR="000904BA" w:rsidRPr="00447936" w:rsidRDefault="00D9066F" w:rsidP="00D9066F">
            <w:pPr>
              <w:pStyle w:val="ListParagraph"/>
              <w:ind w:left="0"/>
              <w:jc w:val="center"/>
              <w:rPr>
                <w:rFonts w:cstheme="minorHAnsi"/>
                <w:b/>
              </w:rPr>
            </w:pPr>
            <w:r>
              <w:rPr>
                <w:rFonts w:cstheme="minorHAnsi"/>
                <w:b/>
              </w:rPr>
              <w:t>Medical history review</w:t>
            </w:r>
          </w:p>
        </w:tc>
        <w:tc>
          <w:tcPr>
            <w:tcW w:w="1701" w:type="dxa"/>
            <w:shd w:val="clear" w:color="auto" w:fill="92D050"/>
            <w:vAlign w:val="center"/>
          </w:tcPr>
          <w:p w14:paraId="6A24FBE4" w14:textId="77777777" w:rsidR="000904BA" w:rsidRPr="00447936" w:rsidRDefault="000904BA" w:rsidP="004474B2">
            <w:pPr>
              <w:pStyle w:val="ListParagraph"/>
              <w:ind w:left="0"/>
              <w:jc w:val="center"/>
              <w:rPr>
                <w:rFonts w:cstheme="minorHAnsi"/>
                <w:b/>
              </w:rPr>
            </w:pPr>
            <w:r w:rsidRPr="00447936">
              <w:rPr>
                <w:rFonts w:ascii="MS Mincho" w:eastAsia="MS Mincho" w:hAnsi="MS Mincho" w:cs="MS Mincho" w:hint="eastAsia"/>
                <w:lang w:val="en"/>
              </w:rPr>
              <w:t>✔</w:t>
            </w:r>
          </w:p>
        </w:tc>
        <w:tc>
          <w:tcPr>
            <w:tcW w:w="1134" w:type="dxa"/>
            <w:shd w:val="clear" w:color="auto" w:fill="92D050"/>
            <w:vAlign w:val="center"/>
          </w:tcPr>
          <w:p w14:paraId="27E03BB0" w14:textId="77777777" w:rsidR="000904BA" w:rsidRPr="00447936" w:rsidRDefault="000904BA" w:rsidP="004474B2">
            <w:pPr>
              <w:pStyle w:val="ListParagraph"/>
              <w:ind w:left="0"/>
              <w:jc w:val="center"/>
              <w:rPr>
                <w:rFonts w:ascii="MS Gothic" w:eastAsia="MS Gothic" w:hAnsi="MS Gothic" w:cs="MS Gothic"/>
                <w:lang w:val="en"/>
              </w:rPr>
            </w:pPr>
            <w:r w:rsidRPr="000F6DB7">
              <w:rPr>
                <w:rFonts w:ascii="MS Mincho" w:eastAsia="MS Mincho" w:hAnsi="MS Mincho" w:cs="MS Mincho" w:hint="eastAsia"/>
                <w:lang w:val="en"/>
              </w:rPr>
              <w:t>✔</w:t>
            </w:r>
          </w:p>
        </w:tc>
        <w:tc>
          <w:tcPr>
            <w:tcW w:w="993" w:type="dxa"/>
            <w:shd w:val="clear" w:color="auto" w:fill="92D050"/>
            <w:vAlign w:val="center"/>
          </w:tcPr>
          <w:p w14:paraId="605E8AF4" w14:textId="77777777" w:rsidR="000904BA" w:rsidRPr="00447936" w:rsidRDefault="000904BA" w:rsidP="004474B2">
            <w:pPr>
              <w:pStyle w:val="ListParagraph"/>
              <w:ind w:left="0"/>
              <w:jc w:val="center"/>
              <w:rPr>
                <w:rFonts w:cstheme="minorHAnsi"/>
                <w:b/>
              </w:rPr>
            </w:pPr>
            <w:r w:rsidRPr="00447936">
              <w:rPr>
                <w:rFonts w:ascii="MS Gothic" w:eastAsia="MS Gothic" w:hAnsi="MS Gothic" w:cs="MS Gothic" w:hint="eastAsia"/>
                <w:lang w:val="en"/>
              </w:rPr>
              <w:t>✔</w:t>
            </w:r>
          </w:p>
        </w:tc>
        <w:tc>
          <w:tcPr>
            <w:tcW w:w="1134" w:type="dxa"/>
            <w:shd w:val="clear" w:color="auto" w:fill="92D050"/>
            <w:vAlign w:val="center"/>
          </w:tcPr>
          <w:p w14:paraId="26059F70" w14:textId="77777777" w:rsidR="000904BA" w:rsidRPr="00447936" w:rsidRDefault="000904BA" w:rsidP="004474B2">
            <w:pPr>
              <w:pStyle w:val="ListParagraph"/>
              <w:ind w:left="0"/>
              <w:jc w:val="center"/>
              <w:rPr>
                <w:rFonts w:cstheme="minorHAnsi"/>
                <w:b/>
              </w:rPr>
            </w:pPr>
            <w:r w:rsidRPr="00447936">
              <w:rPr>
                <w:rFonts w:ascii="MS Gothic" w:eastAsia="MS Gothic" w:hAnsi="MS Gothic" w:cs="MS Gothic" w:hint="eastAsia"/>
                <w:lang w:val="en"/>
              </w:rPr>
              <w:t>✔</w:t>
            </w:r>
          </w:p>
        </w:tc>
        <w:tc>
          <w:tcPr>
            <w:tcW w:w="1134" w:type="dxa"/>
            <w:shd w:val="clear" w:color="auto" w:fill="92D050"/>
            <w:vAlign w:val="center"/>
          </w:tcPr>
          <w:p w14:paraId="643C7197" w14:textId="5AD54E98" w:rsidR="000904BA" w:rsidRPr="00447936" w:rsidRDefault="000904BA" w:rsidP="004474B2">
            <w:pPr>
              <w:pStyle w:val="ListParagraph"/>
              <w:ind w:left="0"/>
              <w:jc w:val="center"/>
              <w:rPr>
                <w:rFonts w:cstheme="minorHAnsi"/>
                <w:b/>
              </w:rPr>
            </w:pPr>
            <w:r w:rsidRPr="00447936">
              <w:rPr>
                <w:rFonts w:ascii="MS Gothic" w:eastAsia="MS Gothic" w:hAnsi="MS Gothic" w:cs="MS Gothic" w:hint="eastAsia"/>
                <w:lang w:val="en"/>
              </w:rPr>
              <w:t>✔</w:t>
            </w:r>
          </w:p>
        </w:tc>
        <w:tc>
          <w:tcPr>
            <w:tcW w:w="1134" w:type="dxa"/>
            <w:shd w:val="clear" w:color="auto" w:fill="92D050"/>
            <w:vAlign w:val="center"/>
          </w:tcPr>
          <w:p w14:paraId="15932EA6" w14:textId="4435060B" w:rsidR="000904BA" w:rsidRPr="00447936" w:rsidRDefault="000904BA" w:rsidP="004474B2">
            <w:pPr>
              <w:pStyle w:val="ListParagraph"/>
              <w:ind w:left="0"/>
              <w:jc w:val="center"/>
              <w:rPr>
                <w:rFonts w:cstheme="minorHAnsi"/>
                <w:b/>
              </w:rPr>
            </w:pPr>
            <w:r w:rsidRPr="00447936">
              <w:rPr>
                <w:rFonts w:ascii="MS Gothic" w:eastAsia="MS Gothic" w:hAnsi="MS Gothic" w:cs="MS Gothic" w:hint="eastAsia"/>
                <w:lang w:val="en"/>
              </w:rPr>
              <w:t>✔</w:t>
            </w:r>
          </w:p>
        </w:tc>
        <w:tc>
          <w:tcPr>
            <w:tcW w:w="992" w:type="dxa"/>
            <w:shd w:val="clear" w:color="auto" w:fill="BFBFBF" w:themeFill="background1" w:themeFillShade="BF"/>
            <w:vAlign w:val="center"/>
          </w:tcPr>
          <w:p w14:paraId="40C25BA3" w14:textId="56F1CEB1" w:rsidR="000904BA" w:rsidRPr="00447936" w:rsidRDefault="000904BA" w:rsidP="004474B2">
            <w:pPr>
              <w:pStyle w:val="ListParagraph"/>
              <w:ind w:left="0"/>
              <w:jc w:val="center"/>
              <w:rPr>
                <w:rFonts w:cstheme="minorHAnsi"/>
                <w:b/>
              </w:rPr>
            </w:pPr>
          </w:p>
        </w:tc>
      </w:tr>
      <w:tr w:rsidR="000904BA" w:rsidRPr="008215AD" w14:paraId="0B6B0BAA" w14:textId="77777777" w:rsidTr="00A32973">
        <w:tc>
          <w:tcPr>
            <w:tcW w:w="1418" w:type="dxa"/>
            <w:shd w:val="clear" w:color="auto" w:fill="F2F2F2" w:themeFill="background1" w:themeFillShade="F2"/>
            <w:vAlign w:val="center"/>
          </w:tcPr>
          <w:p w14:paraId="39D5554E" w14:textId="77777777" w:rsidR="000904BA" w:rsidRPr="00447936" w:rsidRDefault="000904BA" w:rsidP="004474B2">
            <w:pPr>
              <w:pStyle w:val="ListParagraph"/>
              <w:ind w:left="0"/>
              <w:jc w:val="center"/>
              <w:rPr>
                <w:rFonts w:cstheme="minorHAnsi"/>
                <w:b/>
              </w:rPr>
            </w:pPr>
            <w:r w:rsidRPr="00447936">
              <w:rPr>
                <w:rFonts w:cstheme="minorHAnsi"/>
                <w:b/>
              </w:rPr>
              <w:t xml:space="preserve">Check </w:t>
            </w:r>
            <w:r>
              <w:rPr>
                <w:rFonts w:cstheme="minorHAnsi"/>
                <w:b/>
              </w:rPr>
              <w:t xml:space="preserve">path </w:t>
            </w:r>
            <w:r w:rsidRPr="00447936">
              <w:rPr>
                <w:rFonts w:cstheme="minorHAnsi"/>
                <w:b/>
              </w:rPr>
              <w:t xml:space="preserve">results: </w:t>
            </w:r>
            <w:r>
              <w:rPr>
                <w:rFonts w:cstheme="minorHAnsi"/>
                <w:b/>
              </w:rPr>
              <w:t>hCG/FBE/LFT/ U&amp;E/ Ultrasounds</w:t>
            </w:r>
          </w:p>
        </w:tc>
        <w:tc>
          <w:tcPr>
            <w:tcW w:w="1701" w:type="dxa"/>
            <w:shd w:val="clear" w:color="auto" w:fill="92D050"/>
            <w:vAlign w:val="center"/>
          </w:tcPr>
          <w:p w14:paraId="4836548C" w14:textId="77777777" w:rsidR="000904BA" w:rsidRPr="00447936" w:rsidRDefault="000904BA" w:rsidP="004474B2">
            <w:pPr>
              <w:pStyle w:val="ListParagraph"/>
              <w:ind w:left="0"/>
              <w:jc w:val="center"/>
              <w:rPr>
                <w:rFonts w:cstheme="minorHAnsi"/>
                <w:b/>
              </w:rPr>
            </w:pPr>
            <w:r w:rsidRPr="00447936">
              <w:rPr>
                <w:rFonts w:ascii="MS Mincho" w:eastAsia="MS Mincho" w:hAnsi="MS Mincho" w:cs="MS Mincho" w:hint="eastAsia"/>
                <w:lang w:val="en"/>
              </w:rPr>
              <w:t>✔</w:t>
            </w:r>
          </w:p>
        </w:tc>
        <w:tc>
          <w:tcPr>
            <w:tcW w:w="1134" w:type="dxa"/>
            <w:shd w:val="clear" w:color="auto" w:fill="92D050"/>
            <w:vAlign w:val="center"/>
          </w:tcPr>
          <w:p w14:paraId="67565613" w14:textId="1CB70BA1" w:rsidR="000904BA" w:rsidRPr="00447936" w:rsidRDefault="000904BA" w:rsidP="004474B2">
            <w:pPr>
              <w:pStyle w:val="ListParagraph"/>
              <w:ind w:left="0"/>
              <w:jc w:val="center"/>
              <w:rPr>
                <w:rFonts w:ascii="MS Gothic" w:eastAsia="MS Gothic" w:hAnsi="MS Gothic" w:cs="MS Gothic"/>
                <w:lang w:val="en"/>
              </w:rPr>
            </w:pPr>
          </w:p>
        </w:tc>
        <w:tc>
          <w:tcPr>
            <w:tcW w:w="993" w:type="dxa"/>
            <w:shd w:val="clear" w:color="auto" w:fill="92D050"/>
            <w:vAlign w:val="center"/>
          </w:tcPr>
          <w:p w14:paraId="76310139" w14:textId="77777777" w:rsidR="000904BA" w:rsidRPr="00447936" w:rsidRDefault="000904BA" w:rsidP="004474B2">
            <w:pPr>
              <w:pStyle w:val="ListParagraph"/>
              <w:ind w:left="0"/>
              <w:jc w:val="center"/>
              <w:rPr>
                <w:rFonts w:cstheme="minorHAnsi"/>
                <w:b/>
              </w:rPr>
            </w:pPr>
            <w:r w:rsidRPr="00447936">
              <w:rPr>
                <w:rFonts w:ascii="MS Gothic" w:eastAsia="MS Gothic" w:hAnsi="MS Gothic" w:cs="MS Gothic" w:hint="eastAsia"/>
                <w:lang w:val="en"/>
              </w:rPr>
              <w:t>✔</w:t>
            </w:r>
          </w:p>
        </w:tc>
        <w:tc>
          <w:tcPr>
            <w:tcW w:w="1134" w:type="dxa"/>
            <w:shd w:val="clear" w:color="auto" w:fill="92D050"/>
            <w:vAlign w:val="center"/>
          </w:tcPr>
          <w:p w14:paraId="5108DE3E" w14:textId="77777777" w:rsidR="000904BA" w:rsidRPr="00447936" w:rsidRDefault="000904BA" w:rsidP="004474B2">
            <w:pPr>
              <w:pStyle w:val="ListParagraph"/>
              <w:ind w:left="0"/>
              <w:jc w:val="center"/>
              <w:rPr>
                <w:rFonts w:cstheme="minorHAnsi"/>
                <w:b/>
              </w:rPr>
            </w:pPr>
            <w:r w:rsidRPr="00447936">
              <w:rPr>
                <w:rFonts w:ascii="MS Gothic" w:eastAsia="MS Gothic" w:hAnsi="MS Gothic" w:cs="MS Gothic" w:hint="eastAsia"/>
                <w:lang w:val="en"/>
              </w:rPr>
              <w:t>✔</w:t>
            </w:r>
            <w:r>
              <w:rPr>
                <w:rFonts w:ascii="MS Gothic" w:eastAsia="MS Gothic" w:hAnsi="MS Gothic" w:cs="MS Gothic"/>
                <w:lang w:val="en"/>
              </w:rPr>
              <w:t>**</w:t>
            </w:r>
          </w:p>
        </w:tc>
        <w:tc>
          <w:tcPr>
            <w:tcW w:w="1134" w:type="dxa"/>
            <w:shd w:val="clear" w:color="auto" w:fill="92D050"/>
            <w:vAlign w:val="center"/>
          </w:tcPr>
          <w:p w14:paraId="5DD78006" w14:textId="1E014CBF" w:rsidR="000904BA" w:rsidRPr="00447936" w:rsidRDefault="000904BA" w:rsidP="004474B2">
            <w:pPr>
              <w:pStyle w:val="ListParagraph"/>
              <w:ind w:left="0"/>
              <w:jc w:val="center"/>
              <w:rPr>
                <w:rFonts w:cstheme="minorHAnsi"/>
                <w:b/>
              </w:rPr>
            </w:pPr>
            <w:r w:rsidRPr="00447936">
              <w:rPr>
                <w:rFonts w:ascii="MS Gothic" w:eastAsia="MS Gothic" w:hAnsi="MS Gothic" w:cs="MS Gothic" w:hint="eastAsia"/>
                <w:lang w:val="en"/>
              </w:rPr>
              <w:t>✔</w:t>
            </w:r>
            <w:r>
              <w:rPr>
                <w:rFonts w:ascii="MS Gothic" w:eastAsia="MS Gothic" w:hAnsi="MS Gothic" w:cs="MS Gothic"/>
                <w:lang w:val="en"/>
              </w:rPr>
              <w:t>**</w:t>
            </w:r>
          </w:p>
        </w:tc>
        <w:tc>
          <w:tcPr>
            <w:tcW w:w="1134" w:type="dxa"/>
            <w:shd w:val="clear" w:color="auto" w:fill="92D050"/>
            <w:vAlign w:val="center"/>
          </w:tcPr>
          <w:p w14:paraId="7ABD4612" w14:textId="32E9F741" w:rsidR="000904BA" w:rsidRPr="00447936" w:rsidRDefault="000904BA" w:rsidP="004474B2">
            <w:pPr>
              <w:pStyle w:val="ListParagraph"/>
              <w:ind w:left="0"/>
              <w:jc w:val="center"/>
              <w:rPr>
                <w:rFonts w:cstheme="minorHAnsi"/>
                <w:b/>
              </w:rPr>
            </w:pPr>
            <w:r w:rsidRPr="00447936">
              <w:rPr>
                <w:rFonts w:ascii="MS Gothic" w:eastAsia="MS Gothic" w:hAnsi="MS Gothic" w:cs="MS Gothic" w:hint="eastAsia"/>
                <w:lang w:val="en"/>
              </w:rPr>
              <w:t>✔</w:t>
            </w:r>
            <w:r>
              <w:rPr>
                <w:rFonts w:ascii="MS Gothic" w:eastAsia="MS Gothic" w:hAnsi="MS Gothic" w:cs="MS Gothic"/>
                <w:lang w:val="en"/>
              </w:rPr>
              <w:t>**</w:t>
            </w:r>
          </w:p>
        </w:tc>
        <w:tc>
          <w:tcPr>
            <w:tcW w:w="992" w:type="dxa"/>
            <w:shd w:val="clear" w:color="auto" w:fill="BFBFBF" w:themeFill="background1" w:themeFillShade="BF"/>
            <w:vAlign w:val="center"/>
          </w:tcPr>
          <w:p w14:paraId="5C42D826" w14:textId="4A7161AF" w:rsidR="000904BA" w:rsidRPr="00447936" w:rsidRDefault="000904BA" w:rsidP="004474B2">
            <w:pPr>
              <w:pStyle w:val="ListParagraph"/>
              <w:ind w:left="0"/>
              <w:jc w:val="center"/>
              <w:rPr>
                <w:rFonts w:cstheme="minorHAnsi"/>
                <w:b/>
              </w:rPr>
            </w:pPr>
          </w:p>
        </w:tc>
      </w:tr>
      <w:tr w:rsidR="000904BA" w:rsidRPr="008215AD" w14:paraId="559C538F" w14:textId="77777777" w:rsidTr="00A32973">
        <w:tc>
          <w:tcPr>
            <w:tcW w:w="1418" w:type="dxa"/>
            <w:shd w:val="clear" w:color="auto" w:fill="F2F2F2" w:themeFill="background1" w:themeFillShade="F2"/>
            <w:vAlign w:val="center"/>
          </w:tcPr>
          <w:p w14:paraId="57147CB9" w14:textId="22073943" w:rsidR="000904BA" w:rsidRPr="00447936" w:rsidRDefault="00D9066F" w:rsidP="00D9066F">
            <w:pPr>
              <w:pStyle w:val="ListParagraph"/>
              <w:ind w:left="0"/>
              <w:jc w:val="center"/>
              <w:rPr>
                <w:rFonts w:cstheme="minorHAnsi"/>
                <w:b/>
              </w:rPr>
            </w:pPr>
            <w:r>
              <w:rPr>
                <w:rFonts w:cstheme="minorHAnsi"/>
                <w:b/>
              </w:rPr>
              <w:t>Clinical examination</w:t>
            </w:r>
          </w:p>
        </w:tc>
        <w:tc>
          <w:tcPr>
            <w:tcW w:w="1701" w:type="dxa"/>
            <w:shd w:val="clear" w:color="auto" w:fill="92D050"/>
            <w:vAlign w:val="center"/>
          </w:tcPr>
          <w:p w14:paraId="4801BB85" w14:textId="77777777" w:rsidR="000904BA" w:rsidRPr="00447936" w:rsidRDefault="000904BA" w:rsidP="004474B2">
            <w:pPr>
              <w:pStyle w:val="ListParagraph"/>
              <w:ind w:left="0"/>
              <w:jc w:val="center"/>
              <w:rPr>
                <w:rFonts w:cstheme="minorHAnsi"/>
                <w:b/>
              </w:rPr>
            </w:pPr>
            <w:r w:rsidRPr="00447936">
              <w:rPr>
                <w:rFonts w:ascii="MS Gothic" w:eastAsia="MS Gothic" w:hAnsi="MS Gothic" w:cs="MS Gothic" w:hint="eastAsia"/>
                <w:lang w:val="en"/>
              </w:rPr>
              <w:t>✔</w:t>
            </w:r>
          </w:p>
        </w:tc>
        <w:tc>
          <w:tcPr>
            <w:tcW w:w="1134" w:type="dxa"/>
            <w:shd w:val="clear" w:color="auto" w:fill="92D050"/>
            <w:vAlign w:val="center"/>
          </w:tcPr>
          <w:p w14:paraId="0583AFE4" w14:textId="77777777" w:rsidR="000904BA" w:rsidRPr="00447936" w:rsidRDefault="000904BA" w:rsidP="004474B2">
            <w:pPr>
              <w:pStyle w:val="ListParagraph"/>
              <w:ind w:left="0"/>
              <w:jc w:val="center"/>
              <w:rPr>
                <w:rFonts w:ascii="MS Gothic" w:eastAsia="MS Gothic" w:hAnsi="MS Gothic" w:cs="MS Gothic"/>
                <w:lang w:val="en"/>
              </w:rPr>
            </w:pPr>
            <w:r w:rsidRPr="00447936">
              <w:rPr>
                <w:rFonts w:ascii="MS Gothic" w:eastAsia="MS Gothic" w:hAnsi="MS Gothic" w:cs="MS Gothic" w:hint="eastAsia"/>
                <w:lang w:val="en"/>
              </w:rPr>
              <w:t>✔</w:t>
            </w:r>
          </w:p>
        </w:tc>
        <w:tc>
          <w:tcPr>
            <w:tcW w:w="993" w:type="dxa"/>
            <w:shd w:val="clear" w:color="auto" w:fill="92D050"/>
            <w:vAlign w:val="center"/>
          </w:tcPr>
          <w:p w14:paraId="27FF77C0" w14:textId="77777777" w:rsidR="000904BA" w:rsidRPr="00447936" w:rsidRDefault="000904BA" w:rsidP="004474B2">
            <w:pPr>
              <w:pStyle w:val="ListParagraph"/>
              <w:ind w:left="0"/>
              <w:jc w:val="center"/>
              <w:rPr>
                <w:rFonts w:cstheme="minorHAnsi"/>
                <w:b/>
              </w:rPr>
            </w:pPr>
            <w:r w:rsidRPr="00447936">
              <w:rPr>
                <w:rFonts w:ascii="MS Gothic" w:eastAsia="MS Gothic" w:hAnsi="MS Gothic" w:cs="MS Gothic" w:hint="eastAsia"/>
                <w:lang w:val="en"/>
              </w:rPr>
              <w:t>✔</w:t>
            </w:r>
          </w:p>
        </w:tc>
        <w:tc>
          <w:tcPr>
            <w:tcW w:w="1134" w:type="dxa"/>
            <w:shd w:val="clear" w:color="auto" w:fill="92D050"/>
            <w:vAlign w:val="center"/>
          </w:tcPr>
          <w:p w14:paraId="0EA1C3E4" w14:textId="77777777" w:rsidR="000904BA" w:rsidRPr="00447936" w:rsidRDefault="000904BA" w:rsidP="004474B2">
            <w:pPr>
              <w:pStyle w:val="ListParagraph"/>
              <w:ind w:left="0"/>
              <w:jc w:val="center"/>
              <w:rPr>
                <w:rFonts w:cstheme="minorHAnsi"/>
                <w:b/>
              </w:rPr>
            </w:pPr>
            <w:r w:rsidRPr="00447936">
              <w:rPr>
                <w:rFonts w:ascii="MS Gothic" w:eastAsia="MS Gothic" w:hAnsi="MS Gothic" w:cs="MS Gothic" w:hint="eastAsia"/>
                <w:lang w:val="en"/>
              </w:rPr>
              <w:t>✔</w:t>
            </w:r>
          </w:p>
        </w:tc>
        <w:tc>
          <w:tcPr>
            <w:tcW w:w="1134" w:type="dxa"/>
            <w:shd w:val="clear" w:color="auto" w:fill="92D050"/>
            <w:vAlign w:val="center"/>
          </w:tcPr>
          <w:p w14:paraId="42B580AD" w14:textId="44A3FD20" w:rsidR="000904BA" w:rsidRPr="008215AD" w:rsidRDefault="000904BA" w:rsidP="004474B2">
            <w:pPr>
              <w:pStyle w:val="ListParagraph"/>
              <w:ind w:left="0"/>
              <w:jc w:val="center"/>
              <w:rPr>
                <w:rFonts w:cstheme="minorHAnsi"/>
                <w:b/>
                <w:color w:val="FF0000"/>
              </w:rPr>
            </w:pPr>
            <w:r w:rsidRPr="00447936">
              <w:rPr>
                <w:rFonts w:ascii="MS Gothic" w:eastAsia="MS Gothic" w:hAnsi="MS Gothic" w:cs="MS Gothic" w:hint="eastAsia"/>
                <w:lang w:val="en"/>
              </w:rPr>
              <w:t>✔</w:t>
            </w:r>
          </w:p>
        </w:tc>
        <w:tc>
          <w:tcPr>
            <w:tcW w:w="1134" w:type="dxa"/>
            <w:shd w:val="clear" w:color="auto" w:fill="92D050"/>
            <w:vAlign w:val="center"/>
          </w:tcPr>
          <w:p w14:paraId="17F7DD31" w14:textId="2CDA0DB9" w:rsidR="000904BA" w:rsidRPr="008215AD" w:rsidRDefault="000904BA" w:rsidP="004474B2">
            <w:pPr>
              <w:pStyle w:val="ListParagraph"/>
              <w:ind w:left="0"/>
              <w:jc w:val="center"/>
              <w:rPr>
                <w:rFonts w:cstheme="minorHAnsi"/>
                <w:b/>
                <w:color w:val="FF0000"/>
              </w:rPr>
            </w:pPr>
            <w:r w:rsidRPr="00447936">
              <w:rPr>
                <w:rFonts w:ascii="MS Gothic" w:eastAsia="MS Gothic" w:hAnsi="MS Gothic" w:cs="MS Gothic" w:hint="eastAsia"/>
                <w:lang w:val="en"/>
              </w:rPr>
              <w:t>✔</w:t>
            </w:r>
          </w:p>
        </w:tc>
        <w:tc>
          <w:tcPr>
            <w:tcW w:w="992" w:type="dxa"/>
            <w:shd w:val="clear" w:color="auto" w:fill="BFBFBF" w:themeFill="background1" w:themeFillShade="BF"/>
            <w:vAlign w:val="center"/>
          </w:tcPr>
          <w:p w14:paraId="6EE4ABB6" w14:textId="4A361607" w:rsidR="000904BA" w:rsidRPr="008215AD" w:rsidRDefault="000904BA" w:rsidP="004474B2">
            <w:pPr>
              <w:pStyle w:val="ListParagraph"/>
              <w:ind w:left="0"/>
              <w:jc w:val="center"/>
              <w:rPr>
                <w:rFonts w:cstheme="minorHAnsi"/>
                <w:b/>
                <w:color w:val="FF0000"/>
              </w:rPr>
            </w:pPr>
          </w:p>
        </w:tc>
      </w:tr>
      <w:tr w:rsidR="000904BA" w:rsidRPr="008215AD" w14:paraId="6A8448C1" w14:textId="77777777" w:rsidTr="00A32973">
        <w:tc>
          <w:tcPr>
            <w:tcW w:w="1418" w:type="dxa"/>
            <w:shd w:val="clear" w:color="auto" w:fill="F2F2F2" w:themeFill="background1" w:themeFillShade="F2"/>
            <w:vAlign w:val="center"/>
          </w:tcPr>
          <w:p w14:paraId="1F715BEA" w14:textId="0A2C7751" w:rsidR="000904BA" w:rsidRPr="00447936" w:rsidRDefault="00D9066F" w:rsidP="00D9066F">
            <w:pPr>
              <w:pStyle w:val="ListParagraph"/>
              <w:ind w:left="0"/>
              <w:jc w:val="center"/>
              <w:rPr>
                <w:rFonts w:cstheme="minorHAnsi"/>
                <w:b/>
              </w:rPr>
            </w:pPr>
            <w:r>
              <w:rPr>
                <w:rFonts w:cstheme="minorHAnsi"/>
                <w:b/>
              </w:rPr>
              <w:t>Assess for adverse events</w:t>
            </w:r>
          </w:p>
        </w:tc>
        <w:tc>
          <w:tcPr>
            <w:tcW w:w="1701" w:type="dxa"/>
            <w:shd w:val="clear" w:color="auto" w:fill="BFBFBF" w:themeFill="background1" w:themeFillShade="BF"/>
            <w:vAlign w:val="center"/>
          </w:tcPr>
          <w:p w14:paraId="5ADFD9ED" w14:textId="77777777" w:rsidR="000904BA" w:rsidRPr="00447936" w:rsidRDefault="000904BA" w:rsidP="004474B2">
            <w:pPr>
              <w:pStyle w:val="ListParagraph"/>
              <w:ind w:left="0"/>
              <w:jc w:val="center"/>
              <w:rPr>
                <w:rFonts w:cstheme="minorHAnsi"/>
                <w:b/>
              </w:rPr>
            </w:pPr>
          </w:p>
        </w:tc>
        <w:tc>
          <w:tcPr>
            <w:tcW w:w="1134" w:type="dxa"/>
            <w:shd w:val="clear" w:color="auto" w:fill="92D050"/>
            <w:vAlign w:val="center"/>
          </w:tcPr>
          <w:p w14:paraId="58B84298" w14:textId="77777777" w:rsidR="000904BA" w:rsidRPr="00447936" w:rsidRDefault="000904BA" w:rsidP="004474B2">
            <w:pPr>
              <w:pStyle w:val="ListParagraph"/>
              <w:ind w:left="0"/>
              <w:jc w:val="center"/>
              <w:rPr>
                <w:rFonts w:ascii="MS Gothic" w:eastAsia="MS Gothic" w:hAnsi="MS Gothic" w:cs="MS Gothic"/>
                <w:lang w:val="en"/>
              </w:rPr>
            </w:pPr>
            <w:r w:rsidRPr="00447936">
              <w:rPr>
                <w:rFonts w:ascii="MS Gothic" w:eastAsia="MS Gothic" w:hAnsi="MS Gothic" w:cs="MS Gothic" w:hint="eastAsia"/>
                <w:lang w:val="en"/>
              </w:rPr>
              <w:t>✔</w:t>
            </w:r>
          </w:p>
        </w:tc>
        <w:tc>
          <w:tcPr>
            <w:tcW w:w="993" w:type="dxa"/>
            <w:shd w:val="clear" w:color="auto" w:fill="92D050"/>
            <w:vAlign w:val="center"/>
          </w:tcPr>
          <w:p w14:paraId="2FDFB7D5" w14:textId="77777777" w:rsidR="000904BA" w:rsidRPr="00447936" w:rsidRDefault="000904BA" w:rsidP="004474B2">
            <w:pPr>
              <w:pStyle w:val="ListParagraph"/>
              <w:ind w:left="0"/>
              <w:jc w:val="center"/>
              <w:rPr>
                <w:rFonts w:cstheme="minorHAnsi"/>
                <w:b/>
              </w:rPr>
            </w:pPr>
            <w:r w:rsidRPr="00447936">
              <w:rPr>
                <w:rFonts w:ascii="MS Gothic" w:eastAsia="MS Gothic" w:hAnsi="MS Gothic" w:cs="MS Gothic" w:hint="eastAsia"/>
                <w:lang w:val="en"/>
              </w:rPr>
              <w:t>✔</w:t>
            </w:r>
          </w:p>
        </w:tc>
        <w:tc>
          <w:tcPr>
            <w:tcW w:w="1134" w:type="dxa"/>
            <w:shd w:val="clear" w:color="auto" w:fill="92D050"/>
            <w:vAlign w:val="center"/>
          </w:tcPr>
          <w:p w14:paraId="349C2E76" w14:textId="77777777" w:rsidR="000904BA" w:rsidRPr="00447936" w:rsidRDefault="000904BA" w:rsidP="004474B2">
            <w:pPr>
              <w:pStyle w:val="ListParagraph"/>
              <w:ind w:left="0"/>
              <w:jc w:val="center"/>
              <w:rPr>
                <w:rFonts w:cstheme="minorHAnsi"/>
                <w:b/>
              </w:rPr>
            </w:pPr>
            <w:r w:rsidRPr="00447936">
              <w:rPr>
                <w:rFonts w:ascii="MS Gothic" w:eastAsia="MS Gothic" w:hAnsi="MS Gothic" w:cs="MS Gothic" w:hint="eastAsia"/>
                <w:lang w:val="en"/>
              </w:rPr>
              <w:t>✔</w:t>
            </w:r>
          </w:p>
        </w:tc>
        <w:tc>
          <w:tcPr>
            <w:tcW w:w="1134" w:type="dxa"/>
            <w:shd w:val="clear" w:color="auto" w:fill="92D050"/>
            <w:vAlign w:val="center"/>
          </w:tcPr>
          <w:p w14:paraId="19C51E0F" w14:textId="444D4B5F" w:rsidR="000904BA" w:rsidRPr="00447936" w:rsidRDefault="000904BA" w:rsidP="004474B2">
            <w:pPr>
              <w:pStyle w:val="ListParagraph"/>
              <w:ind w:left="0"/>
              <w:jc w:val="center"/>
              <w:rPr>
                <w:rFonts w:ascii="MS Gothic" w:eastAsia="MS Gothic" w:hAnsi="MS Gothic" w:cs="MS Gothic"/>
                <w:lang w:val="en"/>
              </w:rPr>
            </w:pPr>
            <w:r w:rsidRPr="00447936">
              <w:rPr>
                <w:rFonts w:ascii="MS Gothic" w:eastAsia="MS Gothic" w:hAnsi="MS Gothic" w:cs="MS Gothic" w:hint="eastAsia"/>
                <w:lang w:val="en"/>
              </w:rPr>
              <w:t>✔</w:t>
            </w:r>
          </w:p>
        </w:tc>
        <w:tc>
          <w:tcPr>
            <w:tcW w:w="1134" w:type="dxa"/>
            <w:shd w:val="clear" w:color="auto" w:fill="92D050"/>
            <w:vAlign w:val="center"/>
          </w:tcPr>
          <w:p w14:paraId="1FC98251" w14:textId="64515B31" w:rsidR="000904BA" w:rsidRPr="00447936" w:rsidRDefault="000904BA" w:rsidP="004474B2">
            <w:pPr>
              <w:pStyle w:val="ListParagraph"/>
              <w:ind w:left="0"/>
              <w:jc w:val="center"/>
              <w:rPr>
                <w:rFonts w:ascii="MS Gothic" w:eastAsia="MS Gothic" w:hAnsi="MS Gothic" w:cs="MS Gothic"/>
                <w:lang w:val="en"/>
              </w:rPr>
            </w:pPr>
            <w:r w:rsidRPr="00447936">
              <w:rPr>
                <w:rFonts w:ascii="MS Gothic" w:eastAsia="MS Gothic" w:hAnsi="MS Gothic" w:cs="MS Gothic" w:hint="eastAsia"/>
                <w:lang w:val="en"/>
              </w:rPr>
              <w:t>✔</w:t>
            </w:r>
          </w:p>
        </w:tc>
        <w:tc>
          <w:tcPr>
            <w:tcW w:w="992" w:type="dxa"/>
            <w:shd w:val="clear" w:color="auto" w:fill="92D050"/>
            <w:vAlign w:val="center"/>
          </w:tcPr>
          <w:p w14:paraId="66AF34AA" w14:textId="1AED61B1" w:rsidR="000904BA" w:rsidRPr="00447936" w:rsidRDefault="000904BA" w:rsidP="004474B2">
            <w:pPr>
              <w:pStyle w:val="ListParagraph"/>
              <w:ind w:left="0"/>
              <w:jc w:val="center"/>
              <w:rPr>
                <w:rFonts w:cstheme="minorHAnsi"/>
                <w:b/>
              </w:rPr>
            </w:pPr>
            <w:r w:rsidRPr="00447936">
              <w:rPr>
                <w:rFonts w:ascii="MS Gothic" w:eastAsia="MS Gothic" w:hAnsi="MS Gothic" w:cs="MS Gothic" w:hint="eastAsia"/>
                <w:lang w:val="en"/>
              </w:rPr>
              <w:t>✔</w:t>
            </w:r>
          </w:p>
        </w:tc>
      </w:tr>
      <w:tr w:rsidR="000904BA" w:rsidRPr="008215AD" w14:paraId="62CD9B6E" w14:textId="77777777" w:rsidTr="00A32973">
        <w:tc>
          <w:tcPr>
            <w:tcW w:w="1418" w:type="dxa"/>
            <w:shd w:val="clear" w:color="auto" w:fill="F2F2F2" w:themeFill="background1" w:themeFillShade="F2"/>
            <w:vAlign w:val="center"/>
          </w:tcPr>
          <w:p w14:paraId="2890982C" w14:textId="66EA05D6" w:rsidR="000904BA" w:rsidRPr="00D9066F" w:rsidRDefault="00D9066F" w:rsidP="00D9066F">
            <w:pPr>
              <w:pStyle w:val="ListParagraph"/>
              <w:ind w:left="0"/>
              <w:jc w:val="center"/>
              <w:rPr>
                <w:rFonts w:cstheme="minorHAnsi"/>
                <w:b/>
              </w:rPr>
            </w:pPr>
            <w:r>
              <w:rPr>
                <w:rFonts w:cstheme="minorHAnsi"/>
                <w:b/>
              </w:rPr>
              <w:t>IMP regime compliance</w:t>
            </w:r>
          </w:p>
        </w:tc>
        <w:tc>
          <w:tcPr>
            <w:tcW w:w="1701" w:type="dxa"/>
            <w:shd w:val="clear" w:color="auto" w:fill="BFBFBF" w:themeFill="background1" w:themeFillShade="BF"/>
            <w:vAlign w:val="center"/>
          </w:tcPr>
          <w:p w14:paraId="4E2AA8D9" w14:textId="77777777" w:rsidR="000904BA" w:rsidRPr="008215AD" w:rsidRDefault="000904BA" w:rsidP="004474B2">
            <w:pPr>
              <w:pStyle w:val="ListParagraph"/>
              <w:ind w:left="0"/>
              <w:jc w:val="center"/>
              <w:rPr>
                <w:rFonts w:cstheme="minorHAnsi"/>
                <w:b/>
                <w:color w:val="FF0000"/>
              </w:rPr>
            </w:pPr>
          </w:p>
        </w:tc>
        <w:tc>
          <w:tcPr>
            <w:tcW w:w="1134" w:type="dxa"/>
            <w:shd w:val="clear" w:color="auto" w:fill="92D050"/>
            <w:vAlign w:val="center"/>
          </w:tcPr>
          <w:p w14:paraId="559C7701" w14:textId="77777777" w:rsidR="000904BA" w:rsidRPr="008215AD" w:rsidRDefault="000904BA" w:rsidP="004474B2">
            <w:pPr>
              <w:pStyle w:val="ListParagraph"/>
              <w:ind w:left="0"/>
              <w:jc w:val="center"/>
              <w:rPr>
                <w:rFonts w:ascii="MS Gothic" w:eastAsia="MS Gothic" w:hAnsi="MS Gothic" w:cs="MS Gothic"/>
                <w:color w:val="FF0000"/>
                <w:lang w:val="en"/>
              </w:rPr>
            </w:pPr>
            <w:r w:rsidRPr="00447936">
              <w:rPr>
                <w:rFonts w:ascii="MS Gothic" w:eastAsia="MS Gothic" w:hAnsi="MS Gothic" w:cs="MS Gothic" w:hint="eastAsia"/>
                <w:lang w:val="en"/>
              </w:rPr>
              <w:t>✔</w:t>
            </w:r>
          </w:p>
        </w:tc>
        <w:tc>
          <w:tcPr>
            <w:tcW w:w="993" w:type="dxa"/>
            <w:shd w:val="clear" w:color="auto" w:fill="BFBFBF" w:themeFill="background1" w:themeFillShade="BF"/>
            <w:vAlign w:val="center"/>
          </w:tcPr>
          <w:p w14:paraId="6E8E49F6" w14:textId="77777777" w:rsidR="000904BA" w:rsidRPr="008215AD" w:rsidRDefault="000904BA" w:rsidP="004474B2">
            <w:pPr>
              <w:pStyle w:val="ListParagraph"/>
              <w:ind w:left="0"/>
              <w:jc w:val="center"/>
              <w:rPr>
                <w:rFonts w:cstheme="minorHAnsi"/>
                <w:b/>
                <w:color w:val="FF0000"/>
              </w:rPr>
            </w:pPr>
          </w:p>
        </w:tc>
        <w:tc>
          <w:tcPr>
            <w:tcW w:w="1134" w:type="dxa"/>
            <w:shd w:val="clear" w:color="auto" w:fill="92D050"/>
            <w:vAlign w:val="center"/>
          </w:tcPr>
          <w:p w14:paraId="63B85215" w14:textId="77777777" w:rsidR="000904BA" w:rsidRPr="008215AD" w:rsidRDefault="000904BA" w:rsidP="004474B2">
            <w:pPr>
              <w:pStyle w:val="ListParagraph"/>
              <w:ind w:left="0"/>
              <w:jc w:val="center"/>
              <w:rPr>
                <w:rFonts w:cstheme="minorHAnsi"/>
                <w:b/>
                <w:color w:val="FF0000"/>
              </w:rPr>
            </w:pPr>
            <w:r w:rsidRPr="00447936">
              <w:rPr>
                <w:rFonts w:ascii="MS Gothic" w:eastAsia="MS Gothic" w:hAnsi="MS Gothic" w:cs="MS Gothic" w:hint="eastAsia"/>
                <w:lang w:val="en"/>
              </w:rPr>
              <w:t>✔</w:t>
            </w:r>
          </w:p>
        </w:tc>
        <w:tc>
          <w:tcPr>
            <w:tcW w:w="1134" w:type="dxa"/>
            <w:shd w:val="clear" w:color="auto" w:fill="BFBFBF" w:themeFill="background1" w:themeFillShade="BF"/>
            <w:vAlign w:val="center"/>
          </w:tcPr>
          <w:p w14:paraId="5079DF78" w14:textId="77777777" w:rsidR="000904BA" w:rsidRPr="008215AD" w:rsidRDefault="000904BA" w:rsidP="004474B2">
            <w:pPr>
              <w:pStyle w:val="ListParagraph"/>
              <w:ind w:left="0"/>
              <w:jc w:val="center"/>
              <w:rPr>
                <w:rFonts w:cstheme="minorHAnsi"/>
                <w:b/>
                <w:color w:val="FF0000"/>
              </w:rPr>
            </w:pPr>
          </w:p>
        </w:tc>
        <w:tc>
          <w:tcPr>
            <w:tcW w:w="1134" w:type="dxa"/>
            <w:shd w:val="clear" w:color="auto" w:fill="BFBFBF" w:themeFill="background1" w:themeFillShade="BF"/>
            <w:vAlign w:val="center"/>
          </w:tcPr>
          <w:p w14:paraId="5F886D48" w14:textId="77777777" w:rsidR="000904BA" w:rsidRPr="008215AD" w:rsidRDefault="000904BA" w:rsidP="004474B2">
            <w:pPr>
              <w:pStyle w:val="ListParagraph"/>
              <w:ind w:left="0"/>
              <w:jc w:val="center"/>
              <w:rPr>
                <w:rFonts w:cstheme="minorHAnsi"/>
                <w:b/>
                <w:color w:val="FF0000"/>
              </w:rPr>
            </w:pPr>
          </w:p>
        </w:tc>
        <w:tc>
          <w:tcPr>
            <w:tcW w:w="992" w:type="dxa"/>
            <w:shd w:val="clear" w:color="auto" w:fill="BFBFBF" w:themeFill="background1" w:themeFillShade="BF"/>
            <w:vAlign w:val="center"/>
          </w:tcPr>
          <w:p w14:paraId="3131E93D" w14:textId="10992E0D" w:rsidR="000904BA" w:rsidRPr="008215AD" w:rsidRDefault="000904BA" w:rsidP="004474B2">
            <w:pPr>
              <w:pStyle w:val="ListParagraph"/>
              <w:ind w:left="0"/>
              <w:jc w:val="center"/>
              <w:rPr>
                <w:rFonts w:cstheme="minorHAnsi"/>
                <w:b/>
                <w:color w:val="FF0000"/>
              </w:rPr>
            </w:pPr>
          </w:p>
        </w:tc>
      </w:tr>
      <w:tr w:rsidR="000904BA" w:rsidRPr="008215AD" w14:paraId="27D83E40" w14:textId="77777777" w:rsidTr="00A32973">
        <w:tc>
          <w:tcPr>
            <w:tcW w:w="1418" w:type="dxa"/>
            <w:shd w:val="clear" w:color="auto" w:fill="F2F2F2" w:themeFill="background1" w:themeFillShade="F2"/>
            <w:vAlign w:val="center"/>
          </w:tcPr>
          <w:p w14:paraId="04D0B5BD" w14:textId="77777777" w:rsidR="000904BA" w:rsidRPr="004D4907" w:rsidRDefault="000904BA" w:rsidP="004474B2">
            <w:pPr>
              <w:pStyle w:val="ListParagraph"/>
              <w:ind w:left="0"/>
              <w:jc w:val="center"/>
              <w:rPr>
                <w:rFonts w:cstheme="minorHAnsi"/>
                <w:b/>
              </w:rPr>
            </w:pPr>
            <w:r w:rsidRPr="004D4907">
              <w:rPr>
                <w:rFonts w:cstheme="minorHAnsi"/>
                <w:b/>
              </w:rPr>
              <w:t>Assess for return to menses; subsequent fertility,  pregnancy and birth outcomes</w:t>
            </w:r>
          </w:p>
          <w:p w14:paraId="55D8C0EA" w14:textId="77777777" w:rsidR="000904BA" w:rsidRPr="008215AD" w:rsidRDefault="000904BA" w:rsidP="00A32973">
            <w:pPr>
              <w:pStyle w:val="ListParagraph"/>
              <w:ind w:left="0"/>
              <w:rPr>
                <w:rFonts w:cstheme="minorHAnsi"/>
                <w:b/>
                <w:color w:val="FF0000"/>
              </w:rPr>
            </w:pPr>
          </w:p>
        </w:tc>
        <w:tc>
          <w:tcPr>
            <w:tcW w:w="1701" w:type="dxa"/>
            <w:shd w:val="clear" w:color="auto" w:fill="BFBFBF" w:themeFill="background1" w:themeFillShade="BF"/>
            <w:vAlign w:val="center"/>
          </w:tcPr>
          <w:p w14:paraId="776DC61E" w14:textId="77777777" w:rsidR="000904BA" w:rsidRPr="008215AD" w:rsidRDefault="000904BA" w:rsidP="004474B2">
            <w:pPr>
              <w:pStyle w:val="ListParagraph"/>
              <w:ind w:left="0"/>
              <w:jc w:val="center"/>
              <w:rPr>
                <w:rFonts w:cstheme="minorHAnsi"/>
                <w:b/>
                <w:color w:val="FF0000"/>
              </w:rPr>
            </w:pPr>
          </w:p>
        </w:tc>
        <w:tc>
          <w:tcPr>
            <w:tcW w:w="1134" w:type="dxa"/>
            <w:shd w:val="clear" w:color="auto" w:fill="BFBFBF" w:themeFill="background1" w:themeFillShade="BF"/>
            <w:vAlign w:val="center"/>
          </w:tcPr>
          <w:p w14:paraId="4956696E" w14:textId="77777777" w:rsidR="000904BA" w:rsidRPr="008215AD" w:rsidRDefault="000904BA" w:rsidP="004474B2">
            <w:pPr>
              <w:pStyle w:val="ListParagraph"/>
              <w:ind w:left="0"/>
              <w:jc w:val="center"/>
              <w:rPr>
                <w:rFonts w:cstheme="minorHAnsi"/>
                <w:b/>
                <w:color w:val="FF0000"/>
              </w:rPr>
            </w:pPr>
          </w:p>
        </w:tc>
        <w:tc>
          <w:tcPr>
            <w:tcW w:w="993" w:type="dxa"/>
            <w:shd w:val="clear" w:color="auto" w:fill="BFBFBF" w:themeFill="background1" w:themeFillShade="BF"/>
            <w:vAlign w:val="center"/>
          </w:tcPr>
          <w:p w14:paraId="1317769B" w14:textId="77777777" w:rsidR="000904BA" w:rsidRPr="008215AD" w:rsidRDefault="000904BA" w:rsidP="004474B2">
            <w:pPr>
              <w:pStyle w:val="ListParagraph"/>
              <w:ind w:left="0"/>
              <w:jc w:val="center"/>
              <w:rPr>
                <w:rFonts w:cstheme="minorHAnsi"/>
                <w:b/>
                <w:color w:val="FF0000"/>
              </w:rPr>
            </w:pPr>
          </w:p>
        </w:tc>
        <w:tc>
          <w:tcPr>
            <w:tcW w:w="1134" w:type="dxa"/>
            <w:shd w:val="clear" w:color="auto" w:fill="BFBFBF" w:themeFill="background1" w:themeFillShade="BF"/>
            <w:vAlign w:val="center"/>
          </w:tcPr>
          <w:p w14:paraId="062DE364" w14:textId="77777777" w:rsidR="000904BA" w:rsidRPr="008215AD" w:rsidRDefault="000904BA" w:rsidP="004474B2">
            <w:pPr>
              <w:pStyle w:val="ListParagraph"/>
              <w:ind w:left="0"/>
              <w:jc w:val="center"/>
              <w:rPr>
                <w:rFonts w:cstheme="minorHAnsi"/>
                <w:b/>
                <w:color w:val="FF0000"/>
              </w:rPr>
            </w:pPr>
          </w:p>
        </w:tc>
        <w:tc>
          <w:tcPr>
            <w:tcW w:w="1134" w:type="dxa"/>
            <w:shd w:val="clear" w:color="auto" w:fill="BFBFBF" w:themeFill="background1" w:themeFillShade="BF"/>
            <w:vAlign w:val="center"/>
          </w:tcPr>
          <w:p w14:paraId="164FC8D3" w14:textId="77777777" w:rsidR="000904BA" w:rsidRPr="00447936" w:rsidRDefault="000904BA" w:rsidP="004474B2">
            <w:pPr>
              <w:pStyle w:val="ListParagraph"/>
              <w:ind w:left="0"/>
              <w:jc w:val="center"/>
              <w:rPr>
                <w:rFonts w:ascii="MS Gothic" w:eastAsia="MS Gothic" w:hAnsi="MS Gothic" w:cs="MS Gothic"/>
                <w:lang w:val="en"/>
              </w:rPr>
            </w:pPr>
          </w:p>
        </w:tc>
        <w:tc>
          <w:tcPr>
            <w:tcW w:w="1134" w:type="dxa"/>
            <w:shd w:val="clear" w:color="auto" w:fill="BFBFBF" w:themeFill="background1" w:themeFillShade="BF"/>
            <w:vAlign w:val="center"/>
          </w:tcPr>
          <w:p w14:paraId="03B9E6FE" w14:textId="77777777" w:rsidR="000904BA" w:rsidRPr="00447936" w:rsidRDefault="000904BA" w:rsidP="004474B2">
            <w:pPr>
              <w:pStyle w:val="ListParagraph"/>
              <w:ind w:left="0"/>
              <w:jc w:val="center"/>
              <w:rPr>
                <w:rFonts w:ascii="MS Gothic" w:eastAsia="MS Gothic" w:hAnsi="MS Gothic" w:cs="MS Gothic"/>
                <w:lang w:val="en"/>
              </w:rPr>
            </w:pPr>
          </w:p>
        </w:tc>
        <w:tc>
          <w:tcPr>
            <w:tcW w:w="992" w:type="dxa"/>
            <w:shd w:val="clear" w:color="auto" w:fill="92D050"/>
            <w:vAlign w:val="center"/>
          </w:tcPr>
          <w:p w14:paraId="297926F5" w14:textId="0FD544B7" w:rsidR="000904BA" w:rsidRPr="008215AD" w:rsidRDefault="000904BA" w:rsidP="004474B2">
            <w:pPr>
              <w:pStyle w:val="ListParagraph"/>
              <w:ind w:left="0"/>
              <w:jc w:val="center"/>
              <w:rPr>
                <w:rFonts w:cstheme="minorHAnsi"/>
                <w:b/>
                <w:color w:val="FF0000"/>
              </w:rPr>
            </w:pPr>
            <w:r w:rsidRPr="00447936">
              <w:rPr>
                <w:rFonts w:ascii="MS Gothic" w:eastAsia="MS Gothic" w:hAnsi="MS Gothic" w:cs="MS Gothic" w:hint="eastAsia"/>
                <w:lang w:val="en"/>
              </w:rPr>
              <w:t>✔</w:t>
            </w:r>
          </w:p>
        </w:tc>
      </w:tr>
    </w:tbl>
    <w:p w14:paraId="2DD8EE66" w14:textId="77777777" w:rsidR="00CD50B6" w:rsidRDefault="00B964A7" w:rsidP="00B964A7">
      <w:pPr>
        <w:ind w:left="720"/>
        <w:rPr>
          <w:rFonts w:cstheme="minorHAnsi"/>
          <w:b/>
          <w:color w:val="FF0000"/>
        </w:rPr>
      </w:pPr>
      <w:r w:rsidRPr="008215AD">
        <w:rPr>
          <w:rFonts w:cstheme="minorHAnsi"/>
          <w:b/>
          <w:color w:val="FF0000"/>
        </w:rPr>
        <w:t xml:space="preserve">   </w:t>
      </w:r>
    </w:p>
    <w:p w14:paraId="763E8E07" w14:textId="77777777" w:rsidR="00B964A7" w:rsidRDefault="00B964A7" w:rsidP="00B964A7">
      <w:pPr>
        <w:ind w:left="720"/>
        <w:rPr>
          <w:rFonts w:cstheme="minorHAnsi"/>
          <w:b/>
        </w:rPr>
      </w:pPr>
      <w:r w:rsidRPr="008215AD">
        <w:rPr>
          <w:rFonts w:cstheme="minorHAnsi"/>
          <w:b/>
          <w:color w:val="FF0000"/>
        </w:rPr>
        <w:t xml:space="preserve"> </w:t>
      </w:r>
      <w:r w:rsidRPr="004D4907">
        <w:rPr>
          <w:rFonts w:cstheme="minorHAnsi"/>
          <w:b/>
        </w:rPr>
        <w:t>* = Verbally confirm ongoing consent</w:t>
      </w:r>
    </w:p>
    <w:p w14:paraId="58DB8D9D" w14:textId="77777777" w:rsidR="00DA4390" w:rsidRPr="008215AD" w:rsidRDefault="00DA4390" w:rsidP="00B964A7">
      <w:pPr>
        <w:ind w:left="720"/>
        <w:rPr>
          <w:rFonts w:cstheme="minorHAnsi"/>
          <w:b/>
          <w:color w:val="FF0000"/>
        </w:rPr>
      </w:pPr>
      <w:r>
        <w:rPr>
          <w:rFonts w:cstheme="minorHAnsi"/>
          <w:b/>
        </w:rPr>
        <w:t xml:space="preserve">** = Continue monitoring results until </w:t>
      </w:r>
      <w:r w:rsidR="003062C7">
        <w:rPr>
          <w:rFonts w:cstheme="minorHAnsi"/>
          <w:b/>
        </w:rPr>
        <w:t xml:space="preserve">ectopic </w:t>
      </w:r>
      <w:r>
        <w:rPr>
          <w:rFonts w:cstheme="minorHAnsi"/>
          <w:b/>
        </w:rPr>
        <w:t>pregnancy resolved</w:t>
      </w:r>
    </w:p>
    <w:p w14:paraId="79D4AF9A" w14:textId="77777777" w:rsidR="00B964A7" w:rsidRPr="002257E7" w:rsidRDefault="00B964A7" w:rsidP="00B964A7">
      <w:pPr>
        <w:pBdr>
          <w:bottom w:val="single" w:sz="4" w:space="1" w:color="auto"/>
        </w:pBdr>
        <w:tabs>
          <w:tab w:val="center" w:pos="4873"/>
        </w:tabs>
        <w:ind w:left="720" w:hanging="720"/>
        <w:rPr>
          <w:rFonts w:cstheme="minorHAnsi"/>
          <w:b/>
        </w:rPr>
      </w:pPr>
    </w:p>
    <w:p w14:paraId="6F61928A" w14:textId="77777777" w:rsidR="00B964A7" w:rsidRPr="00B05FFC" w:rsidRDefault="00B964A7" w:rsidP="00B964A7">
      <w:pPr>
        <w:rPr>
          <w:rFonts w:cstheme="minorHAnsi"/>
          <w:b/>
        </w:rPr>
      </w:pPr>
    </w:p>
    <w:p w14:paraId="0D3FB20B" w14:textId="77777777" w:rsidR="00B964A7" w:rsidRPr="00B05FFC" w:rsidRDefault="00B964A7" w:rsidP="00B02582">
      <w:pPr>
        <w:pStyle w:val="ListParagraph"/>
        <w:numPr>
          <w:ilvl w:val="1"/>
          <w:numId w:val="1"/>
        </w:numPr>
        <w:outlineLvl w:val="1"/>
        <w:rPr>
          <w:rFonts w:cstheme="minorHAnsi"/>
          <w:b/>
        </w:rPr>
      </w:pPr>
      <w:bookmarkStart w:id="119" w:name="_Toc473873103"/>
      <w:bookmarkStart w:id="120" w:name="_Toc489888101"/>
      <w:r w:rsidRPr="00B05FFC">
        <w:rPr>
          <w:rFonts w:cstheme="minorHAnsi"/>
          <w:b/>
        </w:rPr>
        <w:lastRenderedPageBreak/>
        <w:t>LONG TERM FOLLOW UP ASSESSMENTS</w:t>
      </w:r>
      <w:bookmarkEnd w:id="119"/>
      <w:bookmarkEnd w:id="120"/>
    </w:p>
    <w:p w14:paraId="5F9E17DA" w14:textId="7FD96AF3" w:rsidR="00B964A7" w:rsidRPr="00DE7EF9" w:rsidRDefault="00B964A7" w:rsidP="00B964A7">
      <w:pPr>
        <w:rPr>
          <w:rFonts w:cstheme="minorHAnsi"/>
        </w:rPr>
      </w:pPr>
      <w:r w:rsidRPr="00DE7EF9">
        <w:rPr>
          <w:rFonts w:cstheme="minorHAnsi"/>
        </w:rPr>
        <w:t xml:space="preserve">At the time of application, </w:t>
      </w:r>
      <w:r w:rsidR="00BD070F">
        <w:rPr>
          <w:rFonts w:cstheme="minorHAnsi"/>
        </w:rPr>
        <w:t xml:space="preserve">the researchers intend to make phone contact </w:t>
      </w:r>
      <w:r w:rsidR="00D9066F">
        <w:rPr>
          <w:rFonts w:cstheme="minorHAnsi"/>
        </w:rPr>
        <w:t xml:space="preserve">on a few occasions </w:t>
      </w:r>
      <w:r w:rsidR="00BD070F">
        <w:rPr>
          <w:rFonts w:cstheme="minorHAnsi"/>
        </w:rPr>
        <w:t xml:space="preserve">with the participants </w:t>
      </w:r>
      <w:r w:rsidR="00D9066F">
        <w:rPr>
          <w:rFonts w:cstheme="minorHAnsi"/>
        </w:rPr>
        <w:t xml:space="preserve">in the </w:t>
      </w:r>
      <w:r w:rsidR="00BD070F">
        <w:rPr>
          <w:rFonts w:cstheme="minorHAnsi"/>
        </w:rPr>
        <w:t>months</w:t>
      </w:r>
      <w:r w:rsidR="008B031D">
        <w:rPr>
          <w:rFonts w:cstheme="minorHAnsi"/>
        </w:rPr>
        <w:t xml:space="preserve"> following </w:t>
      </w:r>
      <w:r w:rsidR="00EF417B">
        <w:rPr>
          <w:rFonts w:cstheme="minorHAnsi"/>
        </w:rPr>
        <w:t>their course of vinorelbine. These follow up calls will give the researchers the opportunity</w:t>
      </w:r>
      <w:r w:rsidR="00BD070F">
        <w:rPr>
          <w:rFonts w:cstheme="minorHAnsi"/>
        </w:rPr>
        <w:t xml:space="preserve"> to gain information regarding participants’ return to </w:t>
      </w:r>
      <w:r w:rsidR="00EF417B">
        <w:rPr>
          <w:rFonts w:cstheme="minorHAnsi"/>
        </w:rPr>
        <w:t xml:space="preserve">normal </w:t>
      </w:r>
      <w:r w:rsidR="00BD070F">
        <w:rPr>
          <w:rFonts w:cstheme="minorHAnsi"/>
        </w:rPr>
        <w:t xml:space="preserve">menses and subsequent </w:t>
      </w:r>
      <w:r w:rsidR="00EF417B">
        <w:rPr>
          <w:rFonts w:cstheme="minorHAnsi"/>
        </w:rPr>
        <w:t xml:space="preserve">fertility, </w:t>
      </w:r>
      <w:r w:rsidR="00BD070F">
        <w:rPr>
          <w:rFonts w:cstheme="minorHAnsi"/>
        </w:rPr>
        <w:t>pregnancy</w:t>
      </w:r>
      <w:r w:rsidR="00EF417B">
        <w:rPr>
          <w:rFonts w:cstheme="minorHAnsi"/>
        </w:rPr>
        <w:t xml:space="preserve"> and birth</w:t>
      </w:r>
      <w:r w:rsidR="00BD070F">
        <w:rPr>
          <w:rFonts w:cstheme="minorHAnsi"/>
        </w:rPr>
        <w:t xml:space="preserve"> outcomes</w:t>
      </w:r>
      <w:r w:rsidRPr="00DE7EF9">
        <w:rPr>
          <w:rFonts w:cstheme="minorHAnsi"/>
        </w:rPr>
        <w:t>.</w:t>
      </w:r>
    </w:p>
    <w:p w14:paraId="4F05E774" w14:textId="77777777" w:rsidR="00B964A7" w:rsidRPr="00E24C30" w:rsidRDefault="00B964A7" w:rsidP="00B964A7">
      <w:pPr>
        <w:rPr>
          <w:rFonts w:cstheme="minorHAnsi"/>
        </w:rPr>
      </w:pPr>
    </w:p>
    <w:p w14:paraId="308D1E24" w14:textId="77777777" w:rsidR="00B964A7" w:rsidRPr="00B05FFC" w:rsidRDefault="00B964A7" w:rsidP="00B02582">
      <w:pPr>
        <w:pStyle w:val="ListParagraph"/>
        <w:numPr>
          <w:ilvl w:val="1"/>
          <w:numId w:val="1"/>
        </w:numPr>
        <w:outlineLvl w:val="1"/>
        <w:rPr>
          <w:rFonts w:cstheme="minorHAnsi"/>
          <w:b/>
        </w:rPr>
      </w:pPr>
      <w:bookmarkStart w:id="121" w:name="_Toc473873104"/>
      <w:bookmarkStart w:id="122" w:name="_Toc489888102"/>
      <w:r w:rsidRPr="00B05FFC">
        <w:rPr>
          <w:rFonts w:cstheme="minorHAnsi"/>
          <w:b/>
        </w:rPr>
        <w:t>STORAGE AND ANALYSIS OF SAMPLES</w:t>
      </w:r>
      <w:bookmarkEnd w:id="121"/>
      <w:bookmarkEnd w:id="122"/>
    </w:p>
    <w:p w14:paraId="30CA0C1E" w14:textId="77777777" w:rsidR="00DF39D0" w:rsidRDefault="00BE2975" w:rsidP="00B964A7">
      <w:pPr>
        <w:rPr>
          <w:rFonts w:cstheme="minorHAnsi"/>
        </w:rPr>
      </w:pPr>
      <w:r>
        <w:rPr>
          <w:rFonts w:cstheme="minorHAnsi"/>
        </w:rPr>
        <w:t>The EPC clinicians will retain responsibility for organising the collection of</w:t>
      </w:r>
      <w:r w:rsidR="00DF39D0">
        <w:rPr>
          <w:rFonts w:cstheme="minorHAnsi"/>
        </w:rPr>
        <w:t xml:space="preserve"> all </w:t>
      </w:r>
      <w:r>
        <w:rPr>
          <w:rFonts w:cstheme="minorHAnsi"/>
        </w:rPr>
        <w:t xml:space="preserve">routine </w:t>
      </w:r>
      <w:r w:rsidR="002145E6">
        <w:rPr>
          <w:rFonts w:cstheme="minorHAnsi"/>
        </w:rPr>
        <w:t>pathology t</w:t>
      </w:r>
      <w:r>
        <w:rPr>
          <w:rFonts w:cstheme="minorHAnsi"/>
        </w:rPr>
        <w:t>ests that area a part of the</w:t>
      </w:r>
      <w:r w:rsidR="002145E6">
        <w:rPr>
          <w:rFonts w:cstheme="minorHAnsi"/>
        </w:rPr>
        <w:t xml:space="preserve"> normal </w:t>
      </w:r>
      <w:r>
        <w:rPr>
          <w:rFonts w:cstheme="minorHAnsi"/>
        </w:rPr>
        <w:t xml:space="preserve">medical </w:t>
      </w:r>
      <w:r w:rsidR="002145E6">
        <w:rPr>
          <w:rFonts w:cstheme="minorHAnsi"/>
        </w:rPr>
        <w:t xml:space="preserve">management of </w:t>
      </w:r>
      <w:r>
        <w:rPr>
          <w:rFonts w:cstheme="minorHAnsi"/>
        </w:rPr>
        <w:t>a stable</w:t>
      </w:r>
      <w:r w:rsidR="002145E6">
        <w:rPr>
          <w:rFonts w:cstheme="minorHAnsi"/>
        </w:rPr>
        <w:t xml:space="preserve"> ectopic pregnancy.</w:t>
      </w:r>
      <w:r>
        <w:rPr>
          <w:rFonts w:cstheme="minorHAnsi"/>
        </w:rPr>
        <w:t xml:space="preserve"> The on-site researchers</w:t>
      </w:r>
      <w:r w:rsidR="00F13110">
        <w:rPr>
          <w:rFonts w:cstheme="minorHAnsi"/>
        </w:rPr>
        <w:t xml:space="preserve"> at NSH</w:t>
      </w:r>
      <w:r>
        <w:rPr>
          <w:rFonts w:cstheme="minorHAnsi"/>
        </w:rPr>
        <w:t xml:space="preserve"> will have responsibility for organising for any supplementary or study-specific tests </w:t>
      </w:r>
      <w:r w:rsidR="00101815">
        <w:rPr>
          <w:rFonts w:cstheme="minorHAnsi"/>
        </w:rPr>
        <w:t>to be added in to the participants’ management plans.</w:t>
      </w:r>
    </w:p>
    <w:p w14:paraId="523FA7D9" w14:textId="77777777" w:rsidR="00101815" w:rsidRPr="00DF39D0" w:rsidRDefault="00101815" w:rsidP="00B964A7">
      <w:pPr>
        <w:rPr>
          <w:rFonts w:cstheme="minorHAnsi"/>
        </w:rPr>
      </w:pPr>
      <w:r>
        <w:rPr>
          <w:rFonts w:cstheme="minorHAnsi"/>
        </w:rPr>
        <w:t xml:space="preserve">All non-routine blood samples (the Day 4 </w:t>
      </w:r>
      <w:r w:rsidR="00493016">
        <w:rPr>
          <w:rFonts w:cstheme="minorHAnsi"/>
        </w:rPr>
        <w:t>FBE/U&amp;Es/LFTs</w:t>
      </w:r>
      <w:r>
        <w:rPr>
          <w:rFonts w:cstheme="minorHAnsi"/>
        </w:rPr>
        <w:t xml:space="preserve">, as outlined in </w:t>
      </w:r>
      <w:r>
        <w:rPr>
          <w:rFonts w:cstheme="minorHAnsi"/>
          <w:i/>
        </w:rPr>
        <w:t>Sections 3</w:t>
      </w:r>
      <w:r>
        <w:rPr>
          <w:rFonts w:cstheme="minorHAnsi"/>
        </w:rPr>
        <w:t xml:space="preserve"> and </w:t>
      </w:r>
      <w:r>
        <w:rPr>
          <w:rFonts w:cstheme="minorHAnsi"/>
          <w:i/>
        </w:rPr>
        <w:t>7</w:t>
      </w:r>
      <w:r>
        <w:rPr>
          <w:rFonts w:cstheme="minorHAnsi"/>
        </w:rPr>
        <w:t>) taken for this study will be analysed by the NSH’s loc</w:t>
      </w:r>
      <w:r w:rsidR="0093456D">
        <w:rPr>
          <w:rFonts w:cstheme="minorHAnsi"/>
        </w:rPr>
        <w:t>al contracted pathology</w:t>
      </w:r>
      <w:r>
        <w:rPr>
          <w:rFonts w:cstheme="minorHAnsi"/>
        </w:rPr>
        <w:t xml:space="preserve"> provider</w:t>
      </w:r>
      <w:r w:rsidR="0093456D">
        <w:rPr>
          <w:rFonts w:cstheme="minorHAnsi"/>
        </w:rPr>
        <w:t xml:space="preserve"> along w</w:t>
      </w:r>
      <w:r w:rsidR="00A83654">
        <w:rPr>
          <w:rFonts w:cstheme="minorHAnsi"/>
        </w:rPr>
        <w:t>ith the concurrent routine hCG test</w:t>
      </w:r>
      <w:r>
        <w:rPr>
          <w:rFonts w:cstheme="minorHAnsi"/>
        </w:rPr>
        <w:t>.</w:t>
      </w:r>
      <w:r w:rsidR="0093456D">
        <w:rPr>
          <w:rFonts w:cstheme="minorHAnsi"/>
        </w:rPr>
        <w:t xml:space="preserve"> The </w:t>
      </w:r>
      <w:r w:rsidR="006E619A">
        <w:rPr>
          <w:rFonts w:cstheme="minorHAnsi"/>
        </w:rPr>
        <w:t xml:space="preserve">handling and </w:t>
      </w:r>
      <w:r w:rsidR="0093456D">
        <w:rPr>
          <w:rFonts w:cstheme="minorHAnsi"/>
        </w:rPr>
        <w:t>analy</w:t>
      </w:r>
      <w:r w:rsidR="00DA26A9">
        <w:rPr>
          <w:rFonts w:cstheme="minorHAnsi"/>
        </w:rPr>
        <w:t>sis of</w:t>
      </w:r>
      <w:r w:rsidR="0051108B">
        <w:rPr>
          <w:rFonts w:cstheme="minorHAnsi"/>
        </w:rPr>
        <w:t xml:space="preserve"> the additional Day 4 blood tests</w:t>
      </w:r>
      <w:r w:rsidR="0093456D">
        <w:rPr>
          <w:rFonts w:cstheme="minorHAnsi"/>
        </w:rPr>
        <w:t xml:space="preserve"> will be paid for out of project funds. These samples will be handled, analysed and disposed by the pathology provider’s staff in accordance with their</w:t>
      </w:r>
      <w:r w:rsidR="00C73DEE">
        <w:rPr>
          <w:rFonts w:cstheme="minorHAnsi"/>
        </w:rPr>
        <w:t xml:space="preserve"> local</w:t>
      </w:r>
      <w:r w:rsidR="0093456D">
        <w:rPr>
          <w:rFonts w:cstheme="minorHAnsi"/>
        </w:rPr>
        <w:t xml:space="preserve"> policies and guidelines. The research team will access the participants’ pathology r</w:t>
      </w:r>
      <w:r w:rsidR="00833FD7">
        <w:rPr>
          <w:rFonts w:cstheme="minorHAnsi"/>
        </w:rPr>
        <w:t>esults and transpose the data</w:t>
      </w:r>
      <w:r w:rsidR="0093456D">
        <w:rPr>
          <w:rFonts w:cstheme="minorHAnsi"/>
        </w:rPr>
        <w:t xml:space="preserve"> into the Case Report Form (CRF).</w:t>
      </w:r>
    </w:p>
    <w:p w14:paraId="6F171E93" w14:textId="77777777" w:rsidR="00B964A7" w:rsidRPr="00B05FFC" w:rsidRDefault="00B964A7" w:rsidP="00B964A7">
      <w:pPr>
        <w:rPr>
          <w:rFonts w:cstheme="minorHAnsi"/>
          <w:b/>
        </w:rPr>
      </w:pPr>
    </w:p>
    <w:p w14:paraId="64FCD913" w14:textId="77777777" w:rsidR="00B964A7" w:rsidRPr="0081331B" w:rsidRDefault="00B964A7" w:rsidP="00B02582">
      <w:pPr>
        <w:pStyle w:val="ListParagraph"/>
        <w:numPr>
          <w:ilvl w:val="0"/>
          <w:numId w:val="1"/>
        </w:numPr>
        <w:outlineLvl w:val="0"/>
        <w:rPr>
          <w:rFonts w:cstheme="minorHAnsi"/>
          <w:b/>
        </w:rPr>
      </w:pPr>
      <w:bookmarkStart w:id="123" w:name="_Toc473873105"/>
      <w:bookmarkStart w:id="124" w:name="_Toc489888103"/>
      <w:r w:rsidRPr="0081331B">
        <w:rPr>
          <w:rFonts w:cstheme="minorHAnsi"/>
          <w:b/>
        </w:rPr>
        <w:t>DATA COLLECTION</w:t>
      </w:r>
      <w:bookmarkEnd w:id="123"/>
      <w:bookmarkEnd w:id="124"/>
    </w:p>
    <w:p w14:paraId="5320887D" w14:textId="77777777" w:rsidR="00B964A7" w:rsidRPr="0081331B" w:rsidRDefault="00B964A7" w:rsidP="00B964A7">
      <w:pPr>
        <w:rPr>
          <w:rFonts w:cstheme="minorHAnsi"/>
        </w:rPr>
      </w:pPr>
      <w:r w:rsidRPr="0081331B">
        <w:rPr>
          <w:rFonts w:cstheme="minorHAnsi"/>
        </w:rPr>
        <w:t xml:space="preserve">The participants’ medical records and pathology results are considered to be source data. Information will be transcribed or copied (with abridgments, where appropriate) into the CRF. Data will be collected and transcribed as it becomes available, at each point of contact that the research team has with the participant. It is anticipated that with a small sample size and multiple Co-Investigators/Associate Researchers, participant follow-up will be well-attended and missing data will be kept to a minimum. Where possible, data will be collected from patients regardless of their compliance with the treatment regime (see </w:t>
      </w:r>
      <w:r w:rsidRPr="0081331B">
        <w:rPr>
          <w:rFonts w:cstheme="minorHAnsi"/>
          <w:i/>
        </w:rPr>
        <w:t>Section 9.2.3</w:t>
      </w:r>
      <w:r w:rsidRPr="0081331B">
        <w:rPr>
          <w:rFonts w:cstheme="minorHAnsi"/>
        </w:rPr>
        <w:t>). Study protocol compliance will be commented on in the study analysis. The researchers will attempt to collect and report on reasons for any missing data or deviations from study medication regime.</w:t>
      </w:r>
    </w:p>
    <w:p w14:paraId="22211467" w14:textId="77777777" w:rsidR="00B964A7" w:rsidRPr="00B05FFC" w:rsidRDefault="00B964A7" w:rsidP="00B964A7">
      <w:pPr>
        <w:rPr>
          <w:rFonts w:cstheme="minorHAnsi"/>
          <w:b/>
        </w:rPr>
      </w:pPr>
    </w:p>
    <w:p w14:paraId="6A1889F5" w14:textId="77777777" w:rsidR="00B964A7" w:rsidRPr="00B05FFC" w:rsidRDefault="00B964A7" w:rsidP="00B02582">
      <w:pPr>
        <w:pStyle w:val="ListParagraph"/>
        <w:numPr>
          <w:ilvl w:val="0"/>
          <w:numId w:val="1"/>
        </w:numPr>
        <w:outlineLvl w:val="0"/>
        <w:rPr>
          <w:rFonts w:cstheme="minorHAnsi"/>
          <w:b/>
        </w:rPr>
      </w:pPr>
      <w:bookmarkStart w:id="125" w:name="_Toc473873106"/>
      <w:bookmarkStart w:id="126" w:name="_Toc489888104"/>
      <w:r w:rsidRPr="00B05FFC">
        <w:rPr>
          <w:rFonts w:cstheme="minorHAnsi"/>
          <w:b/>
        </w:rPr>
        <w:t>STATISTICS AND DATA ANALYSIS</w:t>
      </w:r>
      <w:bookmarkEnd w:id="125"/>
      <w:bookmarkEnd w:id="126"/>
    </w:p>
    <w:p w14:paraId="4A717457" w14:textId="77777777" w:rsidR="00B964A7" w:rsidRPr="00B05FFC" w:rsidRDefault="00B964A7" w:rsidP="00B964A7">
      <w:pPr>
        <w:pStyle w:val="ListParagraph"/>
        <w:rPr>
          <w:rFonts w:cstheme="minorHAnsi"/>
          <w:b/>
        </w:rPr>
      </w:pPr>
    </w:p>
    <w:p w14:paraId="7D88FC80" w14:textId="77777777" w:rsidR="00B964A7" w:rsidRPr="00B05FFC" w:rsidRDefault="00B964A7" w:rsidP="00B02582">
      <w:pPr>
        <w:pStyle w:val="ListParagraph"/>
        <w:numPr>
          <w:ilvl w:val="1"/>
          <w:numId w:val="1"/>
        </w:numPr>
        <w:outlineLvl w:val="1"/>
        <w:rPr>
          <w:rFonts w:cstheme="minorHAnsi"/>
          <w:b/>
        </w:rPr>
      </w:pPr>
      <w:bookmarkStart w:id="127" w:name="_Toc473873107"/>
      <w:bookmarkStart w:id="128" w:name="_Toc489888105"/>
      <w:r w:rsidRPr="00B05FFC">
        <w:rPr>
          <w:rFonts w:cstheme="minorHAnsi"/>
          <w:b/>
        </w:rPr>
        <w:t>SAMPLE SIZE CALCULATION/RATIONALE</w:t>
      </w:r>
      <w:bookmarkEnd w:id="127"/>
      <w:bookmarkEnd w:id="128"/>
    </w:p>
    <w:p w14:paraId="0B4BC4F9" w14:textId="77777777" w:rsidR="00B964A7" w:rsidRPr="0002575A" w:rsidRDefault="00B964A7" w:rsidP="00B964A7">
      <w:pPr>
        <w:pStyle w:val="MediumGrid21"/>
        <w:spacing w:line="276" w:lineRule="auto"/>
        <w:rPr>
          <w:rFonts w:asciiTheme="minorHAnsi" w:hAnsiTheme="minorHAnsi" w:cstheme="minorHAnsi"/>
        </w:rPr>
      </w:pPr>
      <w:r w:rsidRPr="0002575A">
        <w:rPr>
          <w:rFonts w:asciiTheme="minorHAnsi" w:hAnsiTheme="minorHAnsi" w:cstheme="minorHAnsi"/>
        </w:rPr>
        <w:t xml:space="preserve">The researchers plan to recruit 20 women with </w:t>
      </w:r>
      <w:r w:rsidR="00C75012">
        <w:rPr>
          <w:rFonts w:asciiTheme="minorHAnsi" w:hAnsiTheme="minorHAnsi" w:cstheme="minorHAnsi"/>
        </w:rPr>
        <w:t>stable ectopic pregnancies</w:t>
      </w:r>
      <w:r w:rsidR="0002575A" w:rsidRPr="0002575A">
        <w:rPr>
          <w:rFonts w:asciiTheme="minorHAnsi" w:hAnsiTheme="minorHAnsi" w:cstheme="minorHAnsi"/>
        </w:rPr>
        <w:t xml:space="preserve"> over a period of 12-18 months</w:t>
      </w:r>
      <w:r w:rsidRPr="0002575A">
        <w:rPr>
          <w:rFonts w:asciiTheme="minorHAnsi" w:hAnsiTheme="minorHAnsi" w:cstheme="minorHAnsi"/>
        </w:rPr>
        <w:t>. The researchers believe that this sample size is justified as follows:</w:t>
      </w:r>
    </w:p>
    <w:p w14:paraId="74D02B58" w14:textId="77777777" w:rsidR="00B964A7" w:rsidRPr="0002575A" w:rsidRDefault="00B964A7" w:rsidP="00B964A7">
      <w:pPr>
        <w:pStyle w:val="MediumGrid21"/>
        <w:numPr>
          <w:ilvl w:val="0"/>
          <w:numId w:val="7"/>
        </w:numPr>
        <w:spacing w:line="276" w:lineRule="auto"/>
        <w:rPr>
          <w:rFonts w:asciiTheme="minorHAnsi" w:hAnsiTheme="minorHAnsi" w:cstheme="minorHAnsi"/>
        </w:rPr>
      </w:pPr>
      <w:r w:rsidRPr="0002575A">
        <w:rPr>
          <w:rFonts w:asciiTheme="minorHAnsi" w:hAnsiTheme="minorHAnsi" w:cstheme="minorHAnsi"/>
        </w:rPr>
        <w:t>M</w:t>
      </w:r>
      <w:r w:rsidR="0002575A" w:rsidRPr="0002575A">
        <w:rPr>
          <w:rFonts w:asciiTheme="minorHAnsi" w:hAnsiTheme="minorHAnsi" w:cstheme="minorHAnsi"/>
        </w:rPr>
        <w:t xml:space="preserve">any ‘first in man’ studies </w:t>
      </w:r>
      <w:r w:rsidRPr="0002575A">
        <w:rPr>
          <w:rFonts w:asciiTheme="minorHAnsi" w:hAnsiTheme="minorHAnsi" w:cstheme="minorHAnsi"/>
        </w:rPr>
        <w:t xml:space="preserve">recruit 10 to 20 participants. Whilst </w:t>
      </w:r>
      <w:r w:rsidR="0002575A" w:rsidRPr="0002575A">
        <w:rPr>
          <w:rFonts w:asciiTheme="minorHAnsi" w:hAnsiTheme="minorHAnsi" w:cstheme="minorHAnsi"/>
        </w:rPr>
        <w:t>vinorelbine</w:t>
      </w:r>
      <w:r w:rsidRPr="0002575A">
        <w:rPr>
          <w:rFonts w:asciiTheme="minorHAnsi" w:hAnsiTheme="minorHAnsi" w:cstheme="minorHAnsi"/>
        </w:rPr>
        <w:t xml:space="preserve"> is</w:t>
      </w:r>
      <w:r w:rsidR="00C75012">
        <w:rPr>
          <w:rFonts w:asciiTheme="minorHAnsi" w:hAnsiTheme="minorHAnsi" w:cstheme="minorHAnsi"/>
        </w:rPr>
        <w:t xml:space="preserve"> already</w:t>
      </w:r>
      <w:r w:rsidR="0002575A" w:rsidRPr="0002575A">
        <w:rPr>
          <w:rFonts w:asciiTheme="minorHAnsi" w:hAnsiTheme="minorHAnsi" w:cstheme="minorHAnsi"/>
        </w:rPr>
        <w:t xml:space="preserve"> prescribed</w:t>
      </w:r>
      <w:r w:rsidRPr="0002575A">
        <w:rPr>
          <w:rFonts w:asciiTheme="minorHAnsi" w:hAnsiTheme="minorHAnsi" w:cstheme="minorHAnsi"/>
        </w:rPr>
        <w:t xml:space="preserve"> for other treatment indications, it has not yet been a</w:t>
      </w:r>
      <w:r w:rsidR="0002575A" w:rsidRPr="0002575A">
        <w:rPr>
          <w:rFonts w:asciiTheme="minorHAnsi" w:hAnsiTheme="minorHAnsi" w:cstheme="minorHAnsi"/>
        </w:rPr>
        <w:t xml:space="preserve">dministered to an exclusive </w:t>
      </w:r>
      <w:r w:rsidRPr="0002575A">
        <w:rPr>
          <w:rFonts w:asciiTheme="minorHAnsi" w:hAnsiTheme="minorHAnsi" w:cstheme="minorHAnsi"/>
        </w:rPr>
        <w:t>cohort</w:t>
      </w:r>
      <w:r w:rsidR="0002575A" w:rsidRPr="0002575A">
        <w:rPr>
          <w:rFonts w:asciiTheme="minorHAnsi" w:hAnsiTheme="minorHAnsi" w:cstheme="minorHAnsi"/>
        </w:rPr>
        <w:t xml:space="preserve"> of women with ectopic pregnancies</w:t>
      </w:r>
    </w:p>
    <w:p w14:paraId="711BB338" w14:textId="77777777" w:rsidR="00B964A7" w:rsidRDefault="00B964A7" w:rsidP="00B964A7">
      <w:pPr>
        <w:pStyle w:val="MediumGrid21"/>
        <w:numPr>
          <w:ilvl w:val="0"/>
          <w:numId w:val="7"/>
        </w:numPr>
        <w:spacing w:line="276" w:lineRule="auto"/>
        <w:rPr>
          <w:rFonts w:asciiTheme="minorHAnsi" w:hAnsiTheme="minorHAnsi" w:cstheme="minorHAnsi"/>
        </w:rPr>
      </w:pPr>
      <w:r w:rsidRPr="0002575A">
        <w:rPr>
          <w:rFonts w:asciiTheme="minorHAnsi" w:hAnsiTheme="minorHAnsi" w:cstheme="minorHAnsi"/>
        </w:rPr>
        <w:lastRenderedPageBreak/>
        <w:t xml:space="preserve">20 is a modest number, however it will be sufficient to obtain </w:t>
      </w:r>
      <w:r w:rsidR="0002575A">
        <w:rPr>
          <w:rFonts w:asciiTheme="minorHAnsi" w:hAnsiTheme="minorHAnsi" w:cstheme="minorHAnsi"/>
        </w:rPr>
        <w:t xml:space="preserve">drug </w:t>
      </w:r>
      <w:r w:rsidR="0002575A" w:rsidRPr="0002575A">
        <w:rPr>
          <w:rFonts w:asciiTheme="minorHAnsi" w:hAnsiTheme="minorHAnsi" w:cstheme="minorHAnsi"/>
        </w:rPr>
        <w:t xml:space="preserve">safety, toxicity and </w:t>
      </w:r>
      <w:r w:rsidR="0002575A">
        <w:rPr>
          <w:rFonts w:asciiTheme="minorHAnsi" w:hAnsiTheme="minorHAnsi" w:cstheme="minorHAnsi"/>
        </w:rPr>
        <w:t>tolerability information</w:t>
      </w:r>
      <w:r w:rsidRPr="0002575A">
        <w:rPr>
          <w:rFonts w:asciiTheme="minorHAnsi" w:hAnsiTheme="minorHAnsi" w:cstheme="minorHAnsi"/>
        </w:rPr>
        <w:t xml:space="preserve"> and give prel</w:t>
      </w:r>
      <w:r w:rsidR="0002575A" w:rsidRPr="0002575A">
        <w:rPr>
          <w:rFonts w:asciiTheme="minorHAnsi" w:hAnsiTheme="minorHAnsi" w:cstheme="minorHAnsi"/>
        </w:rPr>
        <w:t>iminary data about vinorelbine</w:t>
      </w:r>
      <w:r w:rsidRPr="0002575A">
        <w:rPr>
          <w:rFonts w:asciiTheme="minorHAnsi" w:hAnsiTheme="minorHAnsi" w:cstheme="minorHAnsi"/>
        </w:rPr>
        <w:t xml:space="preserve">’s capacity to </w:t>
      </w:r>
      <w:r w:rsidR="0002575A">
        <w:rPr>
          <w:rFonts w:asciiTheme="minorHAnsi" w:hAnsiTheme="minorHAnsi" w:cstheme="minorHAnsi"/>
        </w:rPr>
        <w:t xml:space="preserve">treat the </w:t>
      </w:r>
      <w:r w:rsidRPr="0002575A">
        <w:rPr>
          <w:rFonts w:asciiTheme="minorHAnsi" w:hAnsiTheme="minorHAnsi" w:cstheme="minorHAnsi"/>
        </w:rPr>
        <w:t>di</w:t>
      </w:r>
      <w:r w:rsidR="0002575A" w:rsidRPr="0002575A">
        <w:rPr>
          <w:rFonts w:asciiTheme="minorHAnsi" w:hAnsiTheme="minorHAnsi" w:cstheme="minorHAnsi"/>
        </w:rPr>
        <w:t>sease mechanisms of ectopic pregnancy</w:t>
      </w:r>
    </w:p>
    <w:p w14:paraId="5BDDB583" w14:textId="231774E3" w:rsidR="00656A9A" w:rsidRPr="0002575A" w:rsidRDefault="00656A9A" w:rsidP="00B964A7">
      <w:pPr>
        <w:pStyle w:val="MediumGrid21"/>
        <w:numPr>
          <w:ilvl w:val="0"/>
          <w:numId w:val="7"/>
        </w:numPr>
        <w:spacing w:line="276" w:lineRule="auto"/>
        <w:rPr>
          <w:rFonts w:asciiTheme="minorHAnsi" w:hAnsiTheme="minorHAnsi" w:cstheme="minorHAnsi"/>
        </w:rPr>
      </w:pPr>
      <w:r>
        <w:rPr>
          <w:rFonts w:asciiTheme="minorHAnsi" w:hAnsiTheme="minorHAnsi" w:cstheme="minorHAnsi"/>
        </w:rPr>
        <w:t xml:space="preserve">A recent phase II clinical trial published in </w:t>
      </w:r>
      <w:r w:rsidRPr="00656A9A">
        <w:rPr>
          <w:rFonts w:asciiTheme="minorHAnsi" w:hAnsiTheme="minorHAnsi" w:cstheme="minorHAnsi"/>
          <w:i/>
        </w:rPr>
        <w:t>BMJ Open</w:t>
      </w:r>
      <w:r>
        <w:rPr>
          <w:rFonts w:asciiTheme="minorHAnsi" w:hAnsiTheme="minorHAnsi" w:cstheme="minorHAnsi"/>
        </w:rPr>
        <w:t xml:space="preserve"> </w:t>
      </w:r>
      <w:r>
        <w:rPr>
          <w:rFonts w:asciiTheme="minorHAnsi" w:hAnsiTheme="minorHAnsi" w:cstheme="minorHAnsi"/>
        </w:rPr>
        <w:fldChar w:fldCharType="begin"/>
      </w:r>
      <w:r>
        <w:rPr>
          <w:rFonts w:asciiTheme="minorHAnsi" w:hAnsiTheme="minorHAnsi" w:cstheme="minorHAnsi"/>
        </w:rPr>
        <w:instrText xml:space="preserve"> ADDIN EN.CITE &lt;EndNote&gt;&lt;Cite&gt;&lt;Author&gt;Horne&lt;/Author&gt;&lt;Year&gt;2013&lt;/Year&gt;&lt;RecNum&gt;35&lt;/RecNum&gt;&lt;DisplayText&gt;[13]&lt;/DisplayText&gt;&lt;record&gt;&lt;rec-number&gt;35&lt;/rec-number&gt;&lt;foreign-keys&gt;&lt;key app="EN" db-id="wazxt5z5d50z29ewex8xaasdd02vw2waeed0" timestamp="1502086756"&gt;35&lt;/key&gt;&lt;/foreign-keys&gt;&lt;ref-type name="Journal Article"&gt;17&lt;/ref-type&gt;&lt;contributors&gt;&lt;authors&gt;&lt;author&gt;Horne, Andrew W&lt;/author&gt;&lt;author&gt;Skubisz, Monika M&lt;/author&gt;&lt;author&gt;Doust, Ann&lt;/author&gt;&lt;author&gt;Duncan, W Colin&lt;/author&gt;&lt;author&gt;Wallace, Euan&lt;/author&gt;&lt;author&gt;Critchley, Hilary O D&lt;/author&gt;&lt;author&gt;Johns, Terrance G&lt;/author&gt;&lt;author&gt;Norman, Jane E&lt;/author&gt;&lt;author&gt;Bhattacharya, Siladitya&lt;/author&gt;&lt;author&gt;Mollison, Jill&lt;/author&gt;&lt;author&gt;Rassmusen, Michael&lt;/author&gt;&lt;author&gt;Tong, Stephen&lt;/author&gt;&lt;/authors&gt;&lt;/contributors&gt;&lt;titles&gt;&lt;title&gt;Phase II single arm open label multicentre clinical trial to evaluate the efficacy and side effects of a combination of gefitinib and methotrexate to treat tubal ectopic pregnancies (GEM II): study protocol&lt;/title&gt;&lt;secondary-title&gt;BMJ Open&lt;/secondary-title&gt;&lt;/titles&gt;&lt;periodical&gt;&lt;full-title&gt;BMJ Open&lt;/full-title&gt;&lt;/periodical&gt;&lt;volume&gt;3&lt;/volume&gt;&lt;number&gt;7&lt;/number&gt;&lt;dates&gt;&lt;year&gt;2013&lt;/year&gt;&lt;/dates&gt;&lt;urls&gt;&lt;/urls&gt;&lt;electronic-resource-num&gt;10.1136/bmjopen-2013-002902&lt;/electronic-resource-num&gt;&lt;/record&gt;&lt;/Cite&gt;&lt;/EndNote&gt;</w:instrText>
      </w:r>
      <w:r>
        <w:rPr>
          <w:rFonts w:asciiTheme="minorHAnsi" w:hAnsiTheme="minorHAnsi" w:cstheme="minorHAnsi"/>
        </w:rPr>
        <w:fldChar w:fldCharType="separate"/>
      </w:r>
      <w:r>
        <w:rPr>
          <w:rFonts w:asciiTheme="minorHAnsi" w:hAnsiTheme="minorHAnsi" w:cstheme="minorHAnsi"/>
          <w:noProof/>
        </w:rPr>
        <w:t>[13]</w:t>
      </w:r>
      <w:r>
        <w:rPr>
          <w:rFonts w:asciiTheme="minorHAnsi" w:hAnsiTheme="minorHAnsi" w:cstheme="minorHAnsi"/>
        </w:rPr>
        <w:fldChar w:fldCharType="end"/>
      </w:r>
      <w:r>
        <w:rPr>
          <w:rFonts w:asciiTheme="minorHAnsi" w:hAnsiTheme="minorHAnsi" w:cstheme="minorHAnsi"/>
        </w:rPr>
        <w:t xml:space="preserve"> investigated the efficacy and side effect profiles of combination met</w:t>
      </w:r>
      <w:r w:rsidR="007E147A">
        <w:rPr>
          <w:rFonts w:asciiTheme="minorHAnsi" w:hAnsiTheme="minorHAnsi" w:cstheme="minorHAnsi"/>
        </w:rPr>
        <w:t xml:space="preserve">hotrexate and gefitinib </w:t>
      </w:r>
      <w:r>
        <w:rPr>
          <w:rFonts w:asciiTheme="minorHAnsi" w:hAnsiTheme="minorHAnsi" w:cstheme="minorHAnsi"/>
        </w:rPr>
        <w:t>t</w:t>
      </w:r>
      <w:r w:rsidR="007E147A">
        <w:rPr>
          <w:rFonts w:asciiTheme="minorHAnsi" w:hAnsiTheme="minorHAnsi" w:cstheme="minorHAnsi"/>
        </w:rPr>
        <w:t>herapy for the medical management</w:t>
      </w:r>
      <w:r>
        <w:rPr>
          <w:rFonts w:asciiTheme="minorHAnsi" w:hAnsiTheme="minorHAnsi" w:cstheme="minorHAnsi"/>
        </w:rPr>
        <w:t xml:space="preserve"> of stable ectopic pregnan</w:t>
      </w:r>
      <w:r w:rsidR="007E147A">
        <w:rPr>
          <w:rFonts w:asciiTheme="minorHAnsi" w:hAnsiTheme="minorHAnsi" w:cstheme="minorHAnsi"/>
        </w:rPr>
        <w:t>cies</w:t>
      </w:r>
      <w:r>
        <w:rPr>
          <w:rFonts w:asciiTheme="minorHAnsi" w:hAnsiTheme="minorHAnsi" w:cstheme="minorHAnsi"/>
        </w:rPr>
        <w:t xml:space="preserve"> with a sample size of 28 participants</w:t>
      </w:r>
    </w:p>
    <w:p w14:paraId="4EB76D0B" w14:textId="2ADD5B52" w:rsidR="00672236" w:rsidRPr="00672236" w:rsidRDefault="00B964A7" w:rsidP="00B964A7">
      <w:pPr>
        <w:pStyle w:val="MediumGrid21"/>
        <w:numPr>
          <w:ilvl w:val="0"/>
          <w:numId w:val="7"/>
        </w:numPr>
        <w:spacing w:line="276" w:lineRule="auto"/>
        <w:rPr>
          <w:rFonts w:asciiTheme="minorHAnsi" w:hAnsiTheme="minorHAnsi" w:cstheme="minorHAnsi"/>
        </w:rPr>
      </w:pPr>
      <w:r w:rsidRPr="00672236">
        <w:rPr>
          <w:rFonts w:asciiTheme="minorHAnsi" w:hAnsiTheme="minorHAnsi" w:cstheme="minorHAnsi"/>
        </w:rPr>
        <w:t>A recent case report published in the American Journa</w:t>
      </w:r>
      <w:r w:rsidR="00366F65">
        <w:rPr>
          <w:rFonts w:asciiTheme="minorHAnsi" w:hAnsiTheme="minorHAnsi" w:cstheme="minorHAnsi"/>
        </w:rPr>
        <w:t xml:space="preserve">l of Obstetrics and Gynaecology </w:t>
      </w:r>
      <w:r w:rsidR="00366F65">
        <w:rPr>
          <w:rFonts w:asciiTheme="minorHAnsi" w:hAnsiTheme="minorHAnsi" w:cstheme="minorHAnsi"/>
        </w:rPr>
        <w:fldChar w:fldCharType="begin"/>
      </w:r>
      <w:r w:rsidR="00366F65">
        <w:rPr>
          <w:rFonts w:asciiTheme="minorHAnsi" w:hAnsiTheme="minorHAnsi" w:cstheme="minorHAnsi"/>
        </w:rPr>
        <w:instrText xml:space="preserve"> ADDIN EN.CITE &lt;EndNote&gt;&lt;Cite&gt;&lt;Author&gt;Costantine&lt;/Author&gt;&lt;Year&gt;2016&lt;/Year&gt;&lt;RecNum&gt;36&lt;/RecNum&gt;&lt;DisplayText&gt;[14]&lt;/DisplayText&gt;&lt;record&gt;&lt;rec-number&gt;36&lt;/rec-number&gt;&lt;foreign-keys&gt;&lt;key app="EN" db-id="wazxt5z5d50z29ewex8xaasdd02vw2waeed0" timestamp="1502086944"&gt;36&lt;/key&gt;&lt;/foreign-keys&gt;&lt;ref-type name="Journal Article"&gt;17&lt;/ref-type&gt;&lt;contributors&gt;&lt;authors&gt;&lt;author&gt;Costantine, M.M., et al.&lt;/author&gt;&lt;/authors&gt;&lt;/contributors&gt;&lt;titles&gt;&lt;title&gt;Safety and pharmacokinetics of pravastatin used for the prevention of preeclampsia in high-risk pregnant women: a pilot randomized controlled trial&lt;/title&gt;&lt;secondary-title&gt;American Journal of Obstetrics and Gynecology&lt;/secondary-title&gt;&lt;/titles&gt;&lt;periodical&gt;&lt;full-title&gt;American Journal of Obstetrics and Gynecology&lt;/full-title&gt;&lt;/periodical&gt;&lt;pages&gt;720 e1 - 720 e17&lt;/pages&gt;&lt;volume&gt;214&lt;/volume&gt;&lt;number&gt;6&lt;/number&gt;&lt;dates&gt;&lt;year&gt;2016&lt;/year&gt;&lt;/dates&gt;&lt;urls&gt;&lt;/urls&gt;&lt;/record&gt;&lt;/Cite&gt;&lt;/EndNote&gt;</w:instrText>
      </w:r>
      <w:r w:rsidR="00366F65">
        <w:rPr>
          <w:rFonts w:asciiTheme="minorHAnsi" w:hAnsiTheme="minorHAnsi" w:cstheme="minorHAnsi"/>
        </w:rPr>
        <w:fldChar w:fldCharType="separate"/>
      </w:r>
      <w:r w:rsidR="00366F65">
        <w:rPr>
          <w:rFonts w:asciiTheme="minorHAnsi" w:hAnsiTheme="minorHAnsi" w:cstheme="minorHAnsi"/>
          <w:noProof/>
        </w:rPr>
        <w:t>[14]</w:t>
      </w:r>
      <w:r w:rsidR="00366F65">
        <w:rPr>
          <w:rFonts w:asciiTheme="minorHAnsi" w:hAnsiTheme="minorHAnsi" w:cstheme="minorHAnsi"/>
        </w:rPr>
        <w:fldChar w:fldCharType="end"/>
      </w:r>
      <w:r w:rsidRPr="0043171F">
        <w:rPr>
          <w:rFonts w:asciiTheme="minorHAnsi" w:hAnsiTheme="minorHAnsi" w:cstheme="minorHAnsi"/>
          <w:color w:val="FF0000"/>
        </w:rPr>
        <w:t xml:space="preserve"> </w:t>
      </w:r>
      <w:r w:rsidRPr="00672236">
        <w:rPr>
          <w:rFonts w:asciiTheme="minorHAnsi" w:hAnsiTheme="minorHAnsi" w:cstheme="minorHAnsi"/>
        </w:rPr>
        <w:t>examined the</w:t>
      </w:r>
      <w:r w:rsidR="00672236">
        <w:rPr>
          <w:rFonts w:asciiTheme="minorHAnsi" w:hAnsiTheme="minorHAnsi" w:cstheme="minorHAnsi"/>
        </w:rPr>
        <w:t xml:space="preserve"> pharmacokinetic profile and</w:t>
      </w:r>
      <w:r w:rsidRPr="00672236">
        <w:rPr>
          <w:rFonts w:asciiTheme="minorHAnsi" w:hAnsiTheme="minorHAnsi" w:cstheme="minorHAnsi"/>
        </w:rPr>
        <w:t xml:space="preserve"> effect</w:t>
      </w:r>
      <w:r w:rsidR="00672236">
        <w:rPr>
          <w:rFonts w:asciiTheme="minorHAnsi" w:hAnsiTheme="minorHAnsi" w:cstheme="minorHAnsi"/>
        </w:rPr>
        <w:t>s</w:t>
      </w:r>
      <w:r w:rsidRPr="00672236">
        <w:rPr>
          <w:rFonts w:asciiTheme="minorHAnsi" w:hAnsiTheme="minorHAnsi" w:cstheme="minorHAnsi"/>
        </w:rPr>
        <w:t xml:space="preserve"> of pravastatin</w:t>
      </w:r>
      <w:r w:rsidR="00672236" w:rsidRPr="00672236">
        <w:rPr>
          <w:rFonts w:asciiTheme="minorHAnsi" w:hAnsiTheme="minorHAnsi" w:cstheme="minorHAnsi"/>
        </w:rPr>
        <w:t xml:space="preserve"> on preeclampsia</w:t>
      </w:r>
      <w:r w:rsidRPr="00672236">
        <w:rPr>
          <w:rFonts w:asciiTheme="minorHAnsi" w:hAnsiTheme="minorHAnsi" w:cstheme="minorHAnsi"/>
        </w:rPr>
        <w:t xml:space="preserve"> in a sampl</w:t>
      </w:r>
      <w:r w:rsidR="00672236" w:rsidRPr="00672236">
        <w:rPr>
          <w:rFonts w:asciiTheme="minorHAnsi" w:hAnsiTheme="minorHAnsi" w:cstheme="minorHAnsi"/>
        </w:rPr>
        <w:t>e size of 20 pregna</w:t>
      </w:r>
      <w:r w:rsidR="00366F65">
        <w:rPr>
          <w:rFonts w:asciiTheme="minorHAnsi" w:hAnsiTheme="minorHAnsi" w:cstheme="minorHAnsi"/>
        </w:rPr>
        <w:t>nt participants</w:t>
      </w:r>
    </w:p>
    <w:p w14:paraId="6DDF2904" w14:textId="04149B9D" w:rsidR="00B964A7" w:rsidRPr="0043171F" w:rsidRDefault="00B964A7" w:rsidP="00B964A7">
      <w:pPr>
        <w:pStyle w:val="MediumGrid21"/>
        <w:numPr>
          <w:ilvl w:val="0"/>
          <w:numId w:val="7"/>
        </w:numPr>
        <w:spacing w:line="276" w:lineRule="auto"/>
        <w:rPr>
          <w:rFonts w:asciiTheme="minorHAnsi" w:hAnsiTheme="minorHAnsi" w:cstheme="minorHAnsi"/>
        </w:rPr>
      </w:pPr>
      <w:r w:rsidRPr="0043171F">
        <w:rPr>
          <w:rFonts w:asciiTheme="minorHAnsi" w:hAnsiTheme="minorHAnsi" w:cstheme="minorHAnsi"/>
        </w:rPr>
        <w:t>The rese</w:t>
      </w:r>
      <w:r w:rsidR="0043171F" w:rsidRPr="0043171F">
        <w:rPr>
          <w:rFonts w:asciiTheme="minorHAnsi" w:hAnsiTheme="minorHAnsi" w:cstheme="minorHAnsi"/>
        </w:rPr>
        <w:t>archers are targeting those women who present with stable ectopic pregnancies who have no other contraindications to medical management</w:t>
      </w:r>
      <w:r w:rsidR="0043171F">
        <w:rPr>
          <w:rFonts w:asciiTheme="minorHAnsi" w:hAnsiTheme="minorHAnsi" w:cstheme="minorHAnsi"/>
        </w:rPr>
        <w:t xml:space="preserve"> of their condition</w:t>
      </w:r>
      <w:r w:rsidR="0043171F" w:rsidRPr="0043171F">
        <w:rPr>
          <w:rFonts w:asciiTheme="minorHAnsi" w:hAnsiTheme="minorHAnsi" w:cstheme="minorHAnsi"/>
        </w:rPr>
        <w:t>. Considering that around 75% of ectopic p</w:t>
      </w:r>
      <w:r w:rsidR="00C75012">
        <w:rPr>
          <w:rFonts w:asciiTheme="minorHAnsi" w:hAnsiTheme="minorHAnsi" w:cstheme="minorHAnsi"/>
        </w:rPr>
        <w:t>regnancies are currently managed</w:t>
      </w:r>
      <w:r w:rsidR="0043171F" w:rsidRPr="0043171F">
        <w:rPr>
          <w:rFonts w:asciiTheme="minorHAnsi" w:hAnsiTheme="minorHAnsi" w:cstheme="minorHAnsi"/>
        </w:rPr>
        <w:t xml:space="preserve"> surgically</w:t>
      </w:r>
      <w:r w:rsidR="00366F65">
        <w:rPr>
          <w:rFonts w:asciiTheme="minorHAnsi" w:hAnsiTheme="minorHAnsi" w:cstheme="minorHAnsi"/>
        </w:rPr>
        <w:t xml:space="preserve"> </w:t>
      </w:r>
      <w:r w:rsidR="00366F65">
        <w:rPr>
          <w:rFonts w:asciiTheme="minorHAnsi" w:hAnsiTheme="minorHAnsi" w:cstheme="minorHAnsi"/>
        </w:rPr>
        <w:fldChar w:fldCharType="begin"/>
      </w:r>
      <w:r w:rsidR="00366F65">
        <w:rPr>
          <w:rFonts w:asciiTheme="minorHAnsi" w:hAnsiTheme="minorHAnsi" w:cstheme="minorHAnsi"/>
        </w:rPr>
        <w:instrText xml:space="preserve"> ADDIN EN.CITE &lt;EndNote&gt;&lt;Cite&gt;&lt;Author&gt;Farquhar&lt;/Author&gt;&lt;Year&gt;2005&lt;/Year&gt;&lt;RecNum&gt;1&lt;/RecNum&gt;&lt;DisplayText&gt;[1, 6]&lt;/DisplayText&gt;&lt;record&gt;&lt;rec-number&gt;1&lt;/rec-number&gt;&lt;foreign-keys&gt;&lt;key app="EN" db-id="wazxt5z5d50z29ewex8xaasdd02vw2waeed0" timestamp="0"&gt;1&lt;/key&gt;&lt;/foreign-keys&gt;&lt;ref-type name="Journal Article"&gt;17&lt;/ref-type&gt;&lt;contributors&gt;&lt;authors&gt;&lt;author&gt;Farquhar, C.M.&lt;/author&gt;&lt;/authors&gt;&lt;/contributors&gt;&lt;titles&gt;&lt;title&gt;Ectopic pregnancy&lt;/title&gt;&lt;secondary-title&gt;Lancet&lt;/secondary-title&gt;&lt;/titles&gt;&lt;periodical&gt;&lt;full-title&gt;Lancet&lt;/full-title&gt;&lt;/periodical&gt;&lt;pages&gt;9&lt;/pages&gt;&lt;volume&gt;366&lt;/volume&gt;&lt;number&gt;9485&lt;/number&gt;&lt;section&gt;583&lt;/section&gt;&lt;dates&gt;&lt;year&gt;2005&lt;/year&gt;&lt;/dates&gt;&lt;urls&gt;&lt;/urls&gt;&lt;/record&gt;&lt;/Cite&gt;&lt;Cite&gt;&lt;Author&gt;Mol F&lt;/Author&gt;&lt;Year&gt;2008&lt;/Year&gt;&lt;RecNum&gt;3&lt;/RecNum&gt;&lt;record&gt;&lt;rec-number&gt;3&lt;/rec-number&gt;&lt;foreign-keys&gt;&lt;key app="EN" db-id="wazxt5z5d50z29ewex8xaasdd02vw2waeed0" timestamp="1501639215"&gt;3&lt;/key&gt;&lt;/foreign-keys&gt;&lt;ref-type name="Journal Article"&gt;17&lt;/ref-type&gt;&lt;contributors&gt;&lt;authors&gt;&lt;author&gt;Mol F, Mol BW, Ankum WM, et al.&lt;/author&gt;&lt;/authors&gt;&lt;/contributors&gt;&lt;titles&gt;&lt;title&gt;Current evidence in surgery, systematic methotrexate and expectant management in the treatment of tubal ectopic pregnancy: A systematic review and meta-analysis.&lt;/title&gt;&lt;secondary-title&gt;Human Reproductive Update&lt;/secondary-title&gt;&lt;/titles&gt;&lt;periodical&gt;&lt;full-title&gt;Human Reproductive Update&lt;/full-title&gt;&lt;/periodical&gt;&lt;pages&gt;309-319&lt;/pages&gt;&lt;volume&gt;14&lt;/volume&gt;&lt;number&gt;4&lt;/number&gt;&lt;dates&gt;&lt;year&gt;2008&lt;/year&gt;&lt;/dates&gt;&lt;urls&gt;&lt;/urls&gt;&lt;/record&gt;&lt;/Cite&gt;&lt;/EndNote&gt;</w:instrText>
      </w:r>
      <w:r w:rsidR="00366F65">
        <w:rPr>
          <w:rFonts w:asciiTheme="minorHAnsi" w:hAnsiTheme="minorHAnsi" w:cstheme="minorHAnsi"/>
        </w:rPr>
        <w:fldChar w:fldCharType="separate"/>
      </w:r>
      <w:r w:rsidR="00366F65">
        <w:rPr>
          <w:rFonts w:asciiTheme="minorHAnsi" w:hAnsiTheme="minorHAnsi" w:cstheme="minorHAnsi"/>
          <w:noProof/>
        </w:rPr>
        <w:t>[1, 6]</w:t>
      </w:r>
      <w:r w:rsidR="00366F65">
        <w:rPr>
          <w:rFonts w:asciiTheme="minorHAnsi" w:hAnsiTheme="minorHAnsi" w:cstheme="minorHAnsi"/>
        </w:rPr>
        <w:fldChar w:fldCharType="end"/>
      </w:r>
      <w:r w:rsidR="0043171F" w:rsidRPr="0043171F">
        <w:rPr>
          <w:rFonts w:asciiTheme="minorHAnsi" w:hAnsiTheme="minorHAnsi" w:cstheme="minorHAnsi"/>
        </w:rPr>
        <w:t xml:space="preserve">, </w:t>
      </w:r>
      <w:r w:rsidRPr="0043171F">
        <w:rPr>
          <w:rFonts w:asciiTheme="minorHAnsi" w:hAnsiTheme="minorHAnsi" w:cstheme="minorHAnsi"/>
        </w:rPr>
        <w:t xml:space="preserve">20 participants is a realistic number that can be recruited </w:t>
      </w:r>
      <w:r w:rsidR="00C06151">
        <w:rPr>
          <w:rFonts w:asciiTheme="minorHAnsi" w:hAnsiTheme="minorHAnsi" w:cstheme="minorHAnsi"/>
        </w:rPr>
        <w:t xml:space="preserve">for medical management with vinorelbine </w:t>
      </w:r>
      <w:r w:rsidRPr="0043171F">
        <w:rPr>
          <w:rFonts w:asciiTheme="minorHAnsi" w:hAnsiTheme="minorHAnsi" w:cstheme="minorHAnsi"/>
        </w:rPr>
        <w:t xml:space="preserve">over </w:t>
      </w:r>
      <w:r w:rsidR="0043171F" w:rsidRPr="0043171F">
        <w:rPr>
          <w:rFonts w:asciiTheme="minorHAnsi" w:hAnsiTheme="minorHAnsi" w:cstheme="minorHAnsi"/>
        </w:rPr>
        <w:t>18 months</w:t>
      </w:r>
      <w:r w:rsidRPr="0043171F">
        <w:rPr>
          <w:rFonts w:asciiTheme="minorHAnsi" w:hAnsiTheme="minorHAnsi" w:cstheme="minorHAnsi"/>
        </w:rPr>
        <w:t xml:space="preserve">, when accounting for those cases who will inevitably decline inclusion or will be otherwise excluded from participating. </w:t>
      </w:r>
    </w:p>
    <w:p w14:paraId="25357F7B" w14:textId="77777777" w:rsidR="00B964A7" w:rsidRPr="00B05FFC" w:rsidRDefault="00B964A7" w:rsidP="00B964A7">
      <w:pPr>
        <w:rPr>
          <w:rFonts w:cstheme="minorHAnsi"/>
          <w:b/>
        </w:rPr>
      </w:pPr>
    </w:p>
    <w:p w14:paraId="1068636F" w14:textId="77777777" w:rsidR="00B964A7" w:rsidRPr="008A78DC" w:rsidRDefault="00B964A7" w:rsidP="00B02582">
      <w:pPr>
        <w:pStyle w:val="ListParagraph"/>
        <w:numPr>
          <w:ilvl w:val="1"/>
          <w:numId w:val="1"/>
        </w:numPr>
        <w:outlineLvl w:val="1"/>
        <w:rPr>
          <w:rFonts w:cstheme="minorHAnsi"/>
          <w:b/>
        </w:rPr>
      </w:pPr>
      <w:bookmarkStart w:id="129" w:name="_Toc473873108"/>
      <w:bookmarkStart w:id="130" w:name="_Toc489888106"/>
      <w:r w:rsidRPr="008A78DC">
        <w:rPr>
          <w:rFonts w:cstheme="minorHAnsi"/>
          <w:b/>
        </w:rPr>
        <w:t>PROPOSED ANALYSES</w:t>
      </w:r>
      <w:bookmarkEnd w:id="129"/>
      <w:bookmarkEnd w:id="130"/>
    </w:p>
    <w:p w14:paraId="0FBB5352" w14:textId="77777777" w:rsidR="00B964A7" w:rsidRPr="00B05FFC" w:rsidRDefault="00B964A7" w:rsidP="00B964A7">
      <w:pPr>
        <w:pStyle w:val="ListParagraph"/>
        <w:rPr>
          <w:rFonts w:cstheme="minorHAnsi"/>
          <w:b/>
        </w:rPr>
      </w:pPr>
    </w:p>
    <w:p w14:paraId="20783AE5" w14:textId="77777777" w:rsidR="00B964A7" w:rsidRPr="001E5A87" w:rsidRDefault="00B964A7" w:rsidP="00B964A7">
      <w:pPr>
        <w:rPr>
          <w:rFonts w:cstheme="minorHAnsi"/>
        </w:rPr>
      </w:pPr>
      <w:r w:rsidRPr="001E5A87">
        <w:rPr>
          <w:rFonts w:cstheme="minorHAnsi"/>
        </w:rPr>
        <w:t xml:space="preserve">Statistical analysis for this study will be performed using </w:t>
      </w:r>
      <w:r w:rsidRPr="00340C00">
        <w:rPr>
          <w:rFonts w:cstheme="minorHAnsi"/>
          <w:i/>
        </w:rPr>
        <w:t>GraphPad Prism 6</w:t>
      </w:r>
      <w:r w:rsidRPr="00340C00">
        <w:rPr>
          <w:rFonts w:cstheme="minorHAnsi"/>
        </w:rPr>
        <w:t xml:space="preserve"> (GraphPad Software, La Jolla, CA)</w:t>
      </w:r>
      <w:r w:rsidRPr="001E5A87">
        <w:rPr>
          <w:rFonts w:cstheme="minorHAnsi"/>
        </w:rPr>
        <w:t>. Given the study design and objectives of this particular trial:</w:t>
      </w:r>
    </w:p>
    <w:p w14:paraId="3F782F52" w14:textId="77777777" w:rsidR="00B964A7" w:rsidRPr="001E5A87" w:rsidRDefault="00B964A7" w:rsidP="00366F65">
      <w:pPr>
        <w:pStyle w:val="ListParagraph"/>
        <w:numPr>
          <w:ilvl w:val="0"/>
          <w:numId w:val="61"/>
        </w:numPr>
        <w:rPr>
          <w:rFonts w:cstheme="minorHAnsi"/>
        </w:rPr>
      </w:pPr>
      <w:r w:rsidRPr="001E5A87">
        <w:rPr>
          <w:rFonts w:cstheme="minorHAnsi"/>
        </w:rPr>
        <w:t>There is no comparison arm, so clinical variables and the clinical course will be presented as descriptive statistics</w:t>
      </w:r>
    </w:p>
    <w:p w14:paraId="00BC2540" w14:textId="77777777" w:rsidR="00B964A7" w:rsidRPr="001E5A87" w:rsidRDefault="00B964A7" w:rsidP="00366F65">
      <w:pPr>
        <w:pStyle w:val="ListParagraph"/>
        <w:numPr>
          <w:ilvl w:val="0"/>
          <w:numId w:val="61"/>
        </w:numPr>
        <w:rPr>
          <w:rFonts w:cstheme="minorHAnsi"/>
        </w:rPr>
      </w:pPr>
      <w:r w:rsidRPr="001E5A87">
        <w:rPr>
          <w:rFonts w:cstheme="minorHAnsi"/>
        </w:rPr>
        <w:t>There is no power calculation to perform</w:t>
      </w:r>
    </w:p>
    <w:p w14:paraId="4CEDAE2A" w14:textId="77777777" w:rsidR="00B964A7" w:rsidRPr="001E5A87" w:rsidRDefault="00873DE6" w:rsidP="00366F65">
      <w:pPr>
        <w:pStyle w:val="ListParagraph"/>
        <w:numPr>
          <w:ilvl w:val="0"/>
          <w:numId w:val="61"/>
        </w:numPr>
        <w:rPr>
          <w:rFonts w:cstheme="minorHAnsi"/>
        </w:rPr>
      </w:pPr>
      <w:r>
        <w:rPr>
          <w:rFonts w:cstheme="minorHAnsi"/>
        </w:rPr>
        <w:t>C</w:t>
      </w:r>
      <w:r w:rsidR="00B964A7" w:rsidRPr="001E5A87">
        <w:rPr>
          <w:rFonts w:cstheme="minorHAnsi"/>
        </w:rPr>
        <w:t>ontinuous variables will be statistically analysed using a t-test (parametric) or a Mann-Whitney test (non-parametric), as appropriate</w:t>
      </w:r>
    </w:p>
    <w:p w14:paraId="553F57A6" w14:textId="77777777" w:rsidR="00B964A7" w:rsidRPr="001E5A87" w:rsidRDefault="00B964A7" w:rsidP="00366F65">
      <w:pPr>
        <w:pStyle w:val="ListParagraph"/>
        <w:numPr>
          <w:ilvl w:val="0"/>
          <w:numId w:val="61"/>
        </w:numPr>
        <w:rPr>
          <w:rFonts w:cstheme="minorHAnsi"/>
        </w:rPr>
      </w:pPr>
      <w:r w:rsidRPr="001E5A87">
        <w:rPr>
          <w:rFonts w:cstheme="minorHAnsi"/>
        </w:rPr>
        <w:t>Categorical variables will be statistically analysed using a chi-squared test or Fisher’s exact test, as appropriate</w:t>
      </w:r>
    </w:p>
    <w:p w14:paraId="7A12712A" w14:textId="77777777" w:rsidR="00B964A7" w:rsidRPr="001E5A87" w:rsidRDefault="00740394" w:rsidP="00366F65">
      <w:pPr>
        <w:pStyle w:val="ListParagraph"/>
        <w:numPr>
          <w:ilvl w:val="0"/>
          <w:numId w:val="61"/>
        </w:numPr>
        <w:rPr>
          <w:rFonts w:cstheme="minorHAnsi"/>
        </w:rPr>
      </w:pPr>
      <w:r>
        <w:rPr>
          <w:rFonts w:cstheme="minorHAnsi"/>
        </w:rPr>
        <w:t>Biochemical pathology results</w:t>
      </w:r>
      <w:r w:rsidR="00B964A7" w:rsidRPr="001E5A87">
        <w:rPr>
          <w:rFonts w:cstheme="minorHAnsi"/>
        </w:rPr>
        <w:t xml:space="preserve"> will be assessed as continuous variables</w:t>
      </w:r>
    </w:p>
    <w:p w14:paraId="308C4DBF" w14:textId="77777777" w:rsidR="00B964A7" w:rsidRPr="001E5A87" w:rsidRDefault="00B964A7" w:rsidP="00366F65">
      <w:pPr>
        <w:pStyle w:val="ListParagraph"/>
        <w:numPr>
          <w:ilvl w:val="0"/>
          <w:numId w:val="61"/>
        </w:numPr>
        <w:rPr>
          <w:rFonts w:cstheme="minorHAnsi"/>
        </w:rPr>
      </w:pPr>
      <w:r w:rsidRPr="001E5A87">
        <w:rPr>
          <w:rFonts w:cstheme="minorHAnsi"/>
        </w:rPr>
        <w:t>A p value of &lt;0.05 will be considered statistically significant.</w:t>
      </w:r>
    </w:p>
    <w:p w14:paraId="118F6B09" w14:textId="77777777" w:rsidR="00B964A7" w:rsidRPr="00C37C6F" w:rsidRDefault="00B964A7" w:rsidP="00B964A7">
      <w:pPr>
        <w:rPr>
          <w:rFonts w:cstheme="minorHAnsi"/>
        </w:rPr>
      </w:pPr>
    </w:p>
    <w:p w14:paraId="4609F928" w14:textId="77777777" w:rsidR="00B964A7" w:rsidRDefault="00B964A7" w:rsidP="00B02582">
      <w:pPr>
        <w:pStyle w:val="ListParagraph"/>
        <w:numPr>
          <w:ilvl w:val="2"/>
          <w:numId w:val="1"/>
        </w:numPr>
        <w:outlineLvl w:val="2"/>
        <w:rPr>
          <w:rFonts w:cstheme="minorHAnsi"/>
          <w:b/>
        </w:rPr>
      </w:pPr>
      <w:bookmarkStart w:id="131" w:name="_Toc473873109"/>
      <w:bookmarkStart w:id="132" w:name="_Toc489888107"/>
      <w:r w:rsidRPr="00B05FFC">
        <w:rPr>
          <w:rFonts w:cstheme="minorHAnsi"/>
          <w:b/>
        </w:rPr>
        <w:t>Primary outcome analysis</w:t>
      </w:r>
      <w:bookmarkEnd w:id="131"/>
      <w:bookmarkEnd w:id="132"/>
    </w:p>
    <w:p w14:paraId="4F0B8CD8" w14:textId="77777777" w:rsidR="00366F65" w:rsidRDefault="00B964A7" w:rsidP="00366F65">
      <w:pPr>
        <w:pStyle w:val="MediumGrid21"/>
        <w:numPr>
          <w:ilvl w:val="0"/>
          <w:numId w:val="62"/>
        </w:numPr>
        <w:spacing w:before="120"/>
        <w:rPr>
          <w:rFonts w:asciiTheme="minorHAnsi" w:hAnsiTheme="minorHAnsi" w:cs="Arial"/>
        </w:rPr>
      </w:pPr>
      <w:r w:rsidRPr="00116DB6">
        <w:rPr>
          <w:rFonts w:asciiTheme="minorHAnsi" w:hAnsiTheme="minorHAnsi" w:cs="Arial"/>
        </w:rPr>
        <w:t>The primary objective of this study is to assess the safety</w:t>
      </w:r>
      <w:r w:rsidR="00116DB6" w:rsidRPr="00116DB6">
        <w:rPr>
          <w:rFonts w:asciiTheme="minorHAnsi" w:hAnsiTheme="minorHAnsi" w:cs="Arial"/>
        </w:rPr>
        <w:t>, toxicity and tolerability</w:t>
      </w:r>
      <w:r w:rsidRPr="00116DB6">
        <w:rPr>
          <w:rFonts w:asciiTheme="minorHAnsi" w:hAnsiTheme="minorHAnsi" w:cs="Arial"/>
        </w:rPr>
        <w:t xml:space="preserve"> of administering </w:t>
      </w:r>
      <w:r w:rsidR="00116DB6" w:rsidRPr="00116DB6">
        <w:rPr>
          <w:rFonts w:asciiTheme="minorHAnsi" w:hAnsiTheme="minorHAnsi" w:cs="Arial"/>
        </w:rPr>
        <w:t>vinorelbine to</w:t>
      </w:r>
      <w:r w:rsidRPr="00116DB6">
        <w:rPr>
          <w:rFonts w:asciiTheme="minorHAnsi" w:hAnsiTheme="minorHAnsi" w:cs="Arial"/>
        </w:rPr>
        <w:t xml:space="preserve"> patient</w:t>
      </w:r>
      <w:r w:rsidR="00116DB6" w:rsidRPr="00116DB6">
        <w:rPr>
          <w:rFonts w:asciiTheme="minorHAnsi" w:hAnsiTheme="minorHAnsi" w:cs="Arial"/>
        </w:rPr>
        <w:t>s with ectopic pregnancies</w:t>
      </w:r>
    </w:p>
    <w:p w14:paraId="503D7B5B" w14:textId="77777777" w:rsidR="00366F65" w:rsidRDefault="00B964A7" w:rsidP="00366F65">
      <w:pPr>
        <w:pStyle w:val="MediumGrid21"/>
        <w:numPr>
          <w:ilvl w:val="0"/>
          <w:numId w:val="62"/>
        </w:numPr>
        <w:spacing w:before="120"/>
        <w:rPr>
          <w:rFonts w:asciiTheme="minorHAnsi" w:hAnsiTheme="minorHAnsi" w:cs="Arial"/>
        </w:rPr>
      </w:pPr>
      <w:r w:rsidRPr="00366F65">
        <w:rPr>
          <w:rFonts w:asciiTheme="minorHAnsi" w:hAnsiTheme="minorHAnsi" w:cs="Arial"/>
        </w:rPr>
        <w:t>We wil</w:t>
      </w:r>
      <w:r w:rsidR="002F1C2F" w:rsidRPr="00366F65">
        <w:rPr>
          <w:rFonts w:asciiTheme="minorHAnsi" w:hAnsiTheme="minorHAnsi" w:cs="Arial"/>
        </w:rPr>
        <w:t xml:space="preserve">l assess and monitor for adverse effects and sensitivity reactions of vinorelbine in the participants (e.g. anaphylaxis; </w:t>
      </w:r>
      <w:r w:rsidR="00BF6EC9" w:rsidRPr="00366F65">
        <w:rPr>
          <w:rFonts w:asciiTheme="minorHAnsi" w:hAnsiTheme="minorHAnsi" w:cs="Arial"/>
        </w:rPr>
        <w:t>gastrointestinal upset; dyspnoea)</w:t>
      </w:r>
      <w:r w:rsidRPr="00366F65">
        <w:rPr>
          <w:rFonts w:asciiTheme="minorHAnsi" w:hAnsiTheme="minorHAnsi" w:cstheme="minorHAnsi"/>
        </w:rPr>
        <w:t xml:space="preserve"> </w:t>
      </w:r>
    </w:p>
    <w:p w14:paraId="0729B9E5" w14:textId="77777777" w:rsidR="00366F65" w:rsidRDefault="002F1C2F" w:rsidP="00366F65">
      <w:pPr>
        <w:pStyle w:val="MediumGrid21"/>
        <w:numPr>
          <w:ilvl w:val="0"/>
          <w:numId w:val="62"/>
        </w:numPr>
        <w:spacing w:before="120"/>
        <w:rPr>
          <w:rFonts w:asciiTheme="minorHAnsi" w:hAnsiTheme="minorHAnsi" w:cs="Arial"/>
        </w:rPr>
      </w:pPr>
      <w:r w:rsidRPr="00366F65">
        <w:rPr>
          <w:rFonts w:asciiTheme="minorHAnsi" w:hAnsiTheme="minorHAnsi" w:cstheme="minorHAnsi"/>
        </w:rPr>
        <w:t xml:space="preserve">We will assess participants’ biochemistry to monitor for possible toxic side effects of vinorelbine (e.g. </w:t>
      </w:r>
      <w:r w:rsidR="00BF6EC9" w:rsidRPr="00366F65">
        <w:rPr>
          <w:rFonts w:asciiTheme="minorHAnsi" w:hAnsiTheme="minorHAnsi" w:cstheme="minorHAnsi"/>
        </w:rPr>
        <w:t>granulocytopaenia)</w:t>
      </w:r>
    </w:p>
    <w:p w14:paraId="2E1E35AF" w14:textId="66CD4A26" w:rsidR="002F1C2F" w:rsidRPr="00366F65" w:rsidRDefault="002F1C2F" w:rsidP="00366F65">
      <w:pPr>
        <w:pStyle w:val="MediumGrid21"/>
        <w:numPr>
          <w:ilvl w:val="0"/>
          <w:numId w:val="62"/>
        </w:numPr>
        <w:spacing w:before="120"/>
        <w:rPr>
          <w:rFonts w:asciiTheme="minorHAnsi" w:hAnsiTheme="minorHAnsi" w:cs="Arial"/>
        </w:rPr>
      </w:pPr>
      <w:r w:rsidRPr="00366F65">
        <w:rPr>
          <w:rFonts w:asciiTheme="minorHAnsi" w:hAnsiTheme="minorHAnsi" w:cstheme="minorHAnsi"/>
        </w:rPr>
        <w:t xml:space="preserve">We will measure the tolerability/acceptability of the treatment regime to the participants </w:t>
      </w:r>
      <w:r w:rsidR="00BF6EC9" w:rsidRPr="00366F65">
        <w:rPr>
          <w:rFonts w:asciiTheme="minorHAnsi" w:hAnsiTheme="minorHAnsi" w:cstheme="minorHAnsi"/>
        </w:rPr>
        <w:t>via questionnaires during the follow-up phone consultations.</w:t>
      </w:r>
    </w:p>
    <w:p w14:paraId="57FE4115" w14:textId="77777777" w:rsidR="002F1C2F" w:rsidRDefault="002F1C2F" w:rsidP="002F1C2F">
      <w:pPr>
        <w:pStyle w:val="MediumGrid21"/>
        <w:spacing w:before="120"/>
        <w:ind w:left="720"/>
        <w:rPr>
          <w:rFonts w:asciiTheme="minorHAnsi" w:hAnsiTheme="minorHAnsi" w:cstheme="minorHAnsi"/>
        </w:rPr>
      </w:pPr>
    </w:p>
    <w:p w14:paraId="5013998C" w14:textId="77777777" w:rsidR="00CD50B6" w:rsidRDefault="00CD50B6" w:rsidP="002F1C2F">
      <w:pPr>
        <w:pStyle w:val="MediumGrid21"/>
        <w:spacing w:before="120"/>
        <w:ind w:left="720"/>
        <w:rPr>
          <w:rFonts w:asciiTheme="minorHAnsi" w:hAnsiTheme="minorHAnsi" w:cstheme="minorHAnsi"/>
        </w:rPr>
      </w:pPr>
    </w:p>
    <w:p w14:paraId="1AF65E50" w14:textId="77777777" w:rsidR="00CD50B6" w:rsidRPr="002F1C2F" w:rsidRDefault="00CD50B6" w:rsidP="002F1C2F">
      <w:pPr>
        <w:pStyle w:val="MediumGrid21"/>
        <w:spacing w:before="120"/>
        <w:ind w:left="720"/>
        <w:rPr>
          <w:rFonts w:asciiTheme="minorHAnsi" w:hAnsiTheme="minorHAnsi" w:cstheme="minorHAnsi"/>
        </w:rPr>
      </w:pPr>
    </w:p>
    <w:p w14:paraId="788CDD5B" w14:textId="77777777" w:rsidR="00B964A7" w:rsidRDefault="00B964A7" w:rsidP="00B02582">
      <w:pPr>
        <w:pStyle w:val="ListParagraph"/>
        <w:numPr>
          <w:ilvl w:val="2"/>
          <w:numId w:val="1"/>
        </w:numPr>
        <w:outlineLvl w:val="2"/>
        <w:rPr>
          <w:rFonts w:cstheme="minorHAnsi"/>
          <w:b/>
        </w:rPr>
      </w:pPr>
      <w:bookmarkStart w:id="133" w:name="_Toc473873110"/>
      <w:bookmarkStart w:id="134" w:name="_Toc489888108"/>
      <w:r w:rsidRPr="00B05FFC">
        <w:rPr>
          <w:rFonts w:cstheme="minorHAnsi"/>
          <w:b/>
        </w:rPr>
        <w:t>Secondary outcome analyses</w:t>
      </w:r>
      <w:bookmarkEnd w:id="133"/>
      <w:bookmarkEnd w:id="134"/>
    </w:p>
    <w:p w14:paraId="4F14D209" w14:textId="77777777" w:rsidR="00B964A7" w:rsidRPr="00BF6EC9" w:rsidRDefault="00B964A7" w:rsidP="00B964A7">
      <w:pPr>
        <w:pStyle w:val="MediumGrid21"/>
        <w:numPr>
          <w:ilvl w:val="0"/>
          <w:numId w:val="31"/>
        </w:numPr>
        <w:spacing w:before="120"/>
        <w:rPr>
          <w:rFonts w:asciiTheme="minorHAnsi" w:hAnsiTheme="minorHAnsi" w:cstheme="minorHAnsi"/>
        </w:rPr>
      </w:pPr>
      <w:r w:rsidRPr="00BF6EC9">
        <w:rPr>
          <w:rFonts w:asciiTheme="minorHAnsi" w:hAnsiTheme="minorHAnsi" w:cstheme="minorHAnsi"/>
        </w:rPr>
        <w:t>The secondary objective will be to determ</w:t>
      </w:r>
      <w:r w:rsidR="00BF6EC9" w:rsidRPr="00BF6EC9">
        <w:rPr>
          <w:rFonts w:asciiTheme="minorHAnsi" w:hAnsiTheme="minorHAnsi" w:cstheme="minorHAnsi"/>
        </w:rPr>
        <w:t>ine the effects of vinorelbine</w:t>
      </w:r>
      <w:r w:rsidRPr="00BF6EC9">
        <w:rPr>
          <w:rFonts w:asciiTheme="minorHAnsi" w:hAnsiTheme="minorHAnsi" w:cstheme="minorHAnsi"/>
        </w:rPr>
        <w:t xml:space="preserve"> on clinical and bio</w:t>
      </w:r>
      <w:r w:rsidR="00BF6EC9" w:rsidRPr="00BF6EC9">
        <w:rPr>
          <w:rFonts w:asciiTheme="minorHAnsi" w:hAnsiTheme="minorHAnsi" w:cstheme="minorHAnsi"/>
        </w:rPr>
        <w:t xml:space="preserve">chemical </w:t>
      </w:r>
      <w:r w:rsidR="00151AFF">
        <w:rPr>
          <w:rFonts w:asciiTheme="minorHAnsi" w:hAnsiTheme="minorHAnsi" w:cstheme="minorHAnsi"/>
        </w:rPr>
        <w:t>markers of ectopic pregnancy re</w:t>
      </w:r>
      <w:r w:rsidR="00BF6EC9" w:rsidRPr="00BF6EC9">
        <w:rPr>
          <w:rFonts w:asciiTheme="minorHAnsi" w:hAnsiTheme="minorHAnsi" w:cstheme="minorHAnsi"/>
        </w:rPr>
        <w:t xml:space="preserve">solution </w:t>
      </w:r>
      <w:r w:rsidR="008969C9">
        <w:rPr>
          <w:rFonts w:asciiTheme="minorHAnsi" w:hAnsiTheme="minorHAnsi" w:cstheme="minorHAnsi"/>
        </w:rPr>
        <w:t>(</w:t>
      </w:r>
      <w:r w:rsidR="00BF6EC9" w:rsidRPr="00BF6EC9">
        <w:rPr>
          <w:rFonts w:asciiTheme="minorHAnsi" w:hAnsiTheme="minorHAnsi" w:cstheme="minorHAnsi"/>
        </w:rPr>
        <w:t>or</w:t>
      </w:r>
      <w:r w:rsidRPr="00BF6EC9">
        <w:rPr>
          <w:rFonts w:asciiTheme="minorHAnsi" w:hAnsiTheme="minorHAnsi" w:cstheme="minorHAnsi"/>
        </w:rPr>
        <w:t xml:space="preserve"> progression</w:t>
      </w:r>
      <w:r w:rsidR="008969C9">
        <w:rPr>
          <w:rFonts w:asciiTheme="minorHAnsi" w:hAnsiTheme="minorHAnsi" w:cstheme="minorHAnsi"/>
        </w:rPr>
        <w:t>)</w:t>
      </w:r>
      <w:r w:rsidRPr="00BF6EC9">
        <w:rPr>
          <w:rFonts w:asciiTheme="minorHAnsi" w:hAnsiTheme="minorHAnsi" w:cstheme="minorHAnsi"/>
        </w:rPr>
        <w:t xml:space="preserve">. </w:t>
      </w:r>
    </w:p>
    <w:p w14:paraId="6CCA8559" w14:textId="77777777" w:rsidR="00B964A7" w:rsidRPr="00734E09" w:rsidRDefault="00734E09" w:rsidP="00B964A7">
      <w:pPr>
        <w:pStyle w:val="MediumGrid21"/>
        <w:numPr>
          <w:ilvl w:val="0"/>
          <w:numId w:val="31"/>
        </w:numPr>
        <w:spacing w:before="120"/>
        <w:rPr>
          <w:rFonts w:asciiTheme="minorHAnsi" w:hAnsiTheme="minorHAnsi" w:cstheme="minorHAnsi"/>
        </w:rPr>
      </w:pPr>
      <w:r w:rsidRPr="00734E09">
        <w:rPr>
          <w:rFonts w:asciiTheme="minorHAnsi" w:hAnsiTheme="minorHAnsi" w:cstheme="minorHAnsi"/>
        </w:rPr>
        <w:t>W</w:t>
      </w:r>
      <w:r w:rsidR="00B964A7" w:rsidRPr="00734E09">
        <w:rPr>
          <w:rFonts w:asciiTheme="minorHAnsi" w:hAnsiTheme="minorHAnsi" w:cstheme="minorHAnsi"/>
        </w:rPr>
        <w:t>e</w:t>
      </w:r>
      <w:r>
        <w:rPr>
          <w:rFonts w:asciiTheme="minorHAnsi" w:hAnsiTheme="minorHAnsi" w:cstheme="minorHAnsi"/>
        </w:rPr>
        <w:t xml:space="preserve"> will asses</w:t>
      </w:r>
      <w:r w:rsidR="00D66B04">
        <w:rPr>
          <w:rFonts w:asciiTheme="minorHAnsi" w:hAnsiTheme="minorHAnsi" w:cstheme="minorHAnsi"/>
        </w:rPr>
        <w:t xml:space="preserve">s the efficacy of </w:t>
      </w:r>
      <w:r w:rsidR="00F36E4C">
        <w:rPr>
          <w:rFonts w:asciiTheme="minorHAnsi" w:hAnsiTheme="minorHAnsi" w:cstheme="minorHAnsi"/>
        </w:rPr>
        <w:t>vinorelbine in resolving ectopic pregnancies</w:t>
      </w:r>
      <w:r w:rsidR="00B964A7" w:rsidRPr="00734E09">
        <w:rPr>
          <w:rFonts w:asciiTheme="minorHAnsi" w:hAnsiTheme="minorHAnsi" w:cstheme="minorHAnsi"/>
        </w:rPr>
        <w:t xml:space="preserve"> </w:t>
      </w:r>
      <w:r>
        <w:rPr>
          <w:rFonts w:asciiTheme="minorHAnsi" w:hAnsiTheme="minorHAnsi" w:cstheme="minorHAnsi"/>
        </w:rPr>
        <w:t>(</w:t>
      </w:r>
      <w:r w:rsidR="00B964A7" w:rsidRPr="00734E09">
        <w:rPr>
          <w:rFonts w:asciiTheme="minorHAnsi" w:hAnsiTheme="minorHAnsi" w:cstheme="minorHAnsi"/>
        </w:rPr>
        <w:t>compared to a contemporaneous cohort</w:t>
      </w:r>
      <w:r>
        <w:rPr>
          <w:rFonts w:asciiTheme="minorHAnsi" w:hAnsiTheme="minorHAnsi" w:cstheme="minorHAnsi"/>
        </w:rPr>
        <w:t xml:space="preserve"> who receive standard methotrexate therapy)</w:t>
      </w:r>
      <w:r w:rsidR="00F36E4C">
        <w:rPr>
          <w:rFonts w:asciiTheme="minorHAnsi" w:hAnsiTheme="minorHAnsi" w:cstheme="minorHAnsi"/>
        </w:rPr>
        <w:t xml:space="preserve"> by looking at the</w:t>
      </w:r>
      <w:r w:rsidR="00B964A7" w:rsidRPr="00734E09">
        <w:rPr>
          <w:rFonts w:asciiTheme="minorHAnsi" w:hAnsiTheme="minorHAnsi" w:cstheme="minorHAnsi"/>
        </w:rPr>
        <w:t xml:space="preserve"> occurrence of clinical symptoms</w:t>
      </w:r>
      <w:r>
        <w:rPr>
          <w:rFonts w:asciiTheme="minorHAnsi" w:hAnsiTheme="minorHAnsi" w:cstheme="minorHAnsi"/>
        </w:rPr>
        <w:t xml:space="preserve"> of a non-resolving ectopic pregnancy (e.g. subsequent tubular rupture)</w:t>
      </w:r>
      <w:r w:rsidR="00B964A7" w:rsidRPr="00734E09">
        <w:rPr>
          <w:rFonts w:asciiTheme="minorHAnsi" w:hAnsiTheme="minorHAnsi" w:cstheme="minorHAnsi"/>
        </w:rPr>
        <w:t>;</w:t>
      </w:r>
      <w:r w:rsidR="00F36E4C">
        <w:rPr>
          <w:rFonts w:asciiTheme="minorHAnsi" w:hAnsiTheme="minorHAnsi" w:cstheme="minorHAnsi"/>
        </w:rPr>
        <w:t xml:space="preserve"> occurrence of ‘failed medical management’ progressing to </w:t>
      </w:r>
      <w:r w:rsidR="0033241F">
        <w:rPr>
          <w:rFonts w:asciiTheme="minorHAnsi" w:hAnsiTheme="minorHAnsi" w:cstheme="minorHAnsi"/>
        </w:rPr>
        <w:t>salvage surgery</w:t>
      </w:r>
      <w:r w:rsidR="00F36E4C">
        <w:rPr>
          <w:rFonts w:asciiTheme="minorHAnsi" w:hAnsiTheme="minorHAnsi" w:cstheme="minorHAnsi"/>
        </w:rPr>
        <w:t>;</w:t>
      </w:r>
      <w:r w:rsidR="00B964A7" w:rsidRPr="00734E09">
        <w:rPr>
          <w:rFonts w:asciiTheme="minorHAnsi" w:hAnsiTheme="minorHAnsi" w:cstheme="minorHAnsi"/>
        </w:rPr>
        <w:t xml:space="preserve"> and the progression</w:t>
      </w:r>
      <w:r w:rsidR="00F36E4C">
        <w:rPr>
          <w:rFonts w:asciiTheme="minorHAnsi" w:hAnsiTheme="minorHAnsi" w:cstheme="minorHAnsi"/>
        </w:rPr>
        <w:t>/regression</w:t>
      </w:r>
      <w:r w:rsidR="00B964A7" w:rsidRPr="00734E09">
        <w:rPr>
          <w:rFonts w:asciiTheme="minorHAnsi" w:hAnsiTheme="minorHAnsi" w:cstheme="minorHAnsi"/>
        </w:rPr>
        <w:t xml:space="preserve"> of biochemical aspects of</w:t>
      </w:r>
      <w:r w:rsidR="00F36E4C">
        <w:rPr>
          <w:rFonts w:asciiTheme="minorHAnsi" w:hAnsiTheme="minorHAnsi" w:cstheme="minorHAnsi"/>
        </w:rPr>
        <w:t xml:space="preserve"> the</w:t>
      </w:r>
      <w:r w:rsidR="00B964A7" w:rsidRPr="00734E09">
        <w:rPr>
          <w:rFonts w:asciiTheme="minorHAnsi" w:hAnsiTheme="minorHAnsi" w:cstheme="minorHAnsi"/>
        </w:rPr>
        <w:t xml:space="preserve"> disease (including</w:t>
      </w:r>
      <w:r w:rsidR="00D66B04">
        <w:rPr>
          <w:rFonts w:asciiTheme="minorHAnsi" w:hAnsiTheme="minorHAnsi" w:cstheme="minorHAnsi"/>
        </w:rPr>
        <w:t xml:space="preserve"> serial serum hCG levels;</w:t>
      </w:r>
      <w:r w:rsidR="00B964A7" w:rsidRPr="00734E09">
        <w:rPr>
          <w:rFonts w:asciiTheme="minorHAnsi" w:hAnsiTheme="minorHAnsi" w:cstheme="minorHAnsi"/>
        </w:rPr>
        <w:t xml:space="preserve"> </w:t>
      </w:r>
      <w:r>
        <w:rPr>
          <w:rFonts w:asciiTheme="minorHAnsi" w:hAnsiTheme="minorHAnsi" w:cstheme="minorHAnsi"/>
        </w:rPr>
        <w:t xml:space="preserve">liver function, renal function </w:t>
      </w:r>
      <w:r w:rsidR="00B964A7" w:rsidRPr="00734E09">
        <w:rPr>
          <w:rFonts w:asciiTheme="minorHAnsi" w:hAnsiTheme="minorHAnsi" w:cstheme="minorHAnsi"/>
        </w:rPr>
        <w:t>and haematological parameters).</w:t>
      </w:r>
    </w:p>
    <w:p w14:paraId="306A9E9F" w14:textId="77777777" w:rsidR="00B964A7" w:rsidRPr="00F36E4C" w:rsidRDefault="00B964A7" w:rsidP="00B964A7">
      <w:pPr>
        <w:pStyle w:val="MediumGrid21"/>
        <w:numPr>
          <w:ilvl w:val="0"/>
          <w:numId w:val="31"/>
        </w:numPr>
        <w:spacing w:before="120"/>
        <w:rPr>
          <w:rFonts w:asciiTheme="minorHAnsi" w:hAnsiTheme="minorHAnsi" w:cstheme="minorHAnsi"/>
        </w:rPr>
      </w:pPr>
      <w:r w:rsidRPr="00F36E4C">
        <w:rPr>
          <w:rFonts w:asciiTheme="minorHAnsi" w:hAnsiTheme="minorHAnsi" w:cstheme="minorHAnsi"/>
        </w:rPr>
        <w:t xml:space="preserve">Furthermore, we will assess </w:t>
      </w:r>
      <w:r w:rsidR="00F36E4C">
        <w:rPr>
          <w:rFonts w:asciiTheme="minorHAnsi" w:hAnsiTheme="minorHAnsi" w:cstheme="minorHAnsi"/>
        </w:rPr>
        <w:t>the participants’ return to menses and subsequent pregnancy and birth data over a two-year period to gather data on the impact of vinorelbine on human fertility</w:t>
      </w:r>
    </w:p>
    <w:p w14:paraId="0553F3D6" w14:textId="77777777" w:rsidR="00B964A7" w:rsidRPr="008215AD" w:rsidRDefault="00B964A7" w:rsidP="00B964A7">
      <w:pPr>
        <w:pStyle w:val="MediumGrid21"/>
        <w:spacing w:before="120"/>
        <w:rPr>
          <w:rFonts w:ascii="Arial" w:hAnsi="Arial" w:cs="Arial"/>
          <w:color w:val="FF0000"/>
        </w:rPr>
      </w:pPr>
    </w:p>
    <w:p w14:paraId="00BE0375" w14:textId="77777777" w:rsidR="00B964A7" w:rsidRDefault="00B964A7" w:rsidP="00B02582">
      <w:pPr>
        <w:pStyle w:val="ListParagraph"/>
        <w:numPr>
          <w:ilvl w:val="2"/>
          <w:numId w:val="1"/>
        </w:numPr>
        <w:outlineLvl w:val="2"/>
        <w:rPr>
          <w:rFonts w:cstheme="minorHAnsi"/>
          <w:b/>
        </w:rPr>
      </w:pPr>
      <w:bookmarkStart w:id="135" w:name="_Toc473873111"/>
      <w:bookmarkStart w:id="136" w:name="_Toc489888109"/>
      <w:r w:rsidRPr="00B05FFC">
        <w:rPr>
          <w:rFonts w:cstheme="minorHAnsi"/>
          <w:b/>
        </w:rPr>
        <w:t>Missing data/sensitivity analyses</w:t>
      </w:r>
      <w:bookmarkEnd w:id="135"/>
      <w:bookmarkEnd w:id="136"/>
    </w:p>
    <w:p w14:paraId="3348F53E" w14:textId="77777777" w:rsidR="00F15EF1" w:rsidRDefault="00B964A7" w:rsidP="00F15EF1">
      <w:pPr>
        <w:tabs>
          <w:tab w:val="center" w:pos="4666"/>
        </w:tabs>
        <w:rPr>
          <w:rFonts w:cstheme="minorHAnsi"/>
        </w:rPr>
      </w:pPr>
      <w:r w:rsidRPr="008A5CD8">
        <w:rPr>
          <w:rFonts w:cstheme="minorHAnsi"/>
        </w:rPr>
        <w:t xml:space="preserve">Missing data will be </w:t>
      </w:r>
      <w:r>
        <w:rPr>
          <w:rFonts w:cstheme="minorHAnsi"/>
        </w:rPr>
        <w:t>presented descriptively.</w:t>
      </w:r>
    </w:p>
    <w:p w14:paraId="14974126" w14:textId="10F51CAD" w:rsidR="00B964A7" w:rsidRPr="008A5CD8" w:rsidRDefault="00F15EF1" w:rsidP="00F15EF1">
      <w:pPr>
        <w:tabs>
          <w:tab w:val="center" w:pos="4666"/>
        </w:tabs>
        <w:rPr>
          <w:rFonts w:cstheme="minorHAnsi"/>
        </w:rPr>
      </w:pPr>
      <w:r>
        <w:rPr>
          <w:rFonts w:cstheme="minorHAnsi"/>
        </w:rPr>
        <w:tab/>
      </w:r>
    </w:p>
    <w:p w14:paraId="09AB17A4" w14:textId="77777777" w:rsidR="00B964A7" w:rsidRPr="000236CA" w:rsidRDefault="00B964A7" w:rsidP="00B02582">
      <w:pPr>
        <w:pStyle w:val="ListParagraph"/>
        <w:numPr>
          <w:ilvl w:val="2"/>
          <w:numId w:val="1"/>
        </w:numPr>
        <w:outlineLvl w:val="2"/>
        <w:rPr>
          <w:rFonts w:cstheme="minorHAnsi"/>
          <w:b/>
        </w:rPr>
      </w:pPr>
      <w:bookmarkStart w:id="137" w:name="_Toc473873112"/>
      <w:bookmarkStart w:id="138" w:name="_Toc489888110"/>
      <w:r w:rsidRPr="00B05FFC">
        <w:rPr>
          <w:rFonts w:cstheme="minorHAnsi"/>
          <w:b/>
        </w:rPr>
        <w:t>Subgroup analyses</w:t>
      </w:r>
      <w:bookmarkEnd w:id="137"/>
      <w:bookmarkEnd w:id="138"/>
    </w:p>
    <w:p w14:paraId="03B69C7A" w14:textId="77777777" w:rsidR="00B964A7" w:rsidRDefault="00B964A7" w:rsidP="00B964A7">
      <w:pPr>
        <w:tabs>
          <w:tab w:val="left" w:pos="2985"/>
        </w:tabs>
        <w:rPr>
          <w:rFonts w:cstheme="minorHAnsi"/>
        </w:rPr>
      </w:pPr>
      <w:r>
        <w:rPr>
          <w:rFonts w:cstheme="minorHAnsi"/>
        </w:rPr>
        <w:t>This study will not be powered to perform subgroup analyses.</w:t>
      </w:r>
    </w:p>
    <w:p w14:paraId="2659C176" w14:textId="77777777" w:rsidR="00F15EF1" w:rsidRPr="008F38F8" w:rsidRDefault="00F15EF1" w:rsidP="00B964A7">
      <w:pPr>
        <w:tabs>
          <w:tab w:val="left" w:pos="2985"/>
        </w:tabs>
        <w:rPr>
          <w:rFonts w:cstheme="minorHAnsi"/>
        </w:rPr>
      </w:pPr>
    </w:p>
    <w:p w14:paraId="0F9D9E65" w14:textId="77777777" w:rsidR="00B964A7" w:rsidRDefault="00B964A7" w:rsidP="00B02582">
      <w:pPr>
        <w:pStyle w:val="ListParagraph"/>
        <w:numPr>
          <w:ilvl w:val="2"/>
          <w:numId w:val="1"/>
        </w:numPr>
        <w:outlineLvl w:val="2"/>
        <w:rPr>
          <w:rFonts w:cstheme="minorHAnsi"/>
          <w:b/>
        </w:rPr>
      </w:pPr>
      <w:bookmarkStart w:id="139" w:name="_Toc473873113"/>
      <w:bookmarkStart w:id="140" w:name="_Toc489888111"/>
      <w:r w:rsidRPr="00B05FFC">
        <w:rPr>
          <w:rFonts w:cstheme="minorHAnsi"/>
          <w:b/>
        </w:rPr>
        <w:t>Interim analysis</w:t>
      </w:r>
      <w:bookmarkEnd w:id="139"/>
      <w:bookmarkEnd w:id="140"/>
    </w:p>
    <w:p w14:paraId="2CD24F03" w14:textId="77777777" w:rsidR="00B964A7" w:rsidRDefault="00B964A7" w:rsidP="00B964A7">
      <w:pPr>
        <w:rPr>
          <w:rFonts w:cstheme="minorHAnsi"/>
        </w:rPr>
      </w:pPr>
      <w:r w:rsidRPr="008A5CD8">
        <w:rPr>
          <w:rFonts w:cstheme="minorHAnsi"/>
        </w:rPr>
        <w:t xml:space="preserve">An interim analysis will not be conducted for this study. </w:t>
      </w:r>
    </w:p>
    <w:p w14:paraId="5C5F9093" w14:textId="77777777" w:rsidR="00F15EF1" w:rsidRPr="008A5CD8" w:rsidRDefault="00F15EF1" w:rsidP="00B964A7">
      <w:pPr>
        <w:rPr>
          <w:rFonts w:cstheme="minorHAnsi"/>
        </w:rPr>
      </w:pPr>
    </w:p>
    <w:p w14:paraId="1B2DFEC5" w14:textId="77777777" w:rsidR="00B964A7" w:rsidRDefault="00B964A7" w:rsidP="00B02582">
      <w:pPr>
        <w:pStyle w:val="ListParagraph"/>
        <w:numPr>
          <w:ilvl w:val="2"/>
          <w:numId w:val="1"/>
        </w:numPr>
        <w:outlineLvl w:val="2"/>
        <w:rPr>
          <w:rFonts w:cstheme="minorHAnsi"/>
          <w:b/>
        </w:rPr>
      </w:pPr>
      <w:bookmarkStart w:id="141" w:name="_Toc473873114"/>
      <w:bookmarkStart w:id="142" w:name="_Toc489888112"/>
      <w:r w:rsidRPr="00B05FFC">
        <w:rPr>
          <w:rFonts w:cstheme="minorHAnsi"/>
          <w:b/>
        </w:rPr>
        <w:t>Final analysis</w:t>
      </w:r>
      <w:bookmarkEnd w:id="141"/>
      <w:bookmarkEnd w:id="142"/>
    </w:p>
    <w:p w14:paraId="4E939123" w14:textId="77777777" w:rsidR="00B964A7" w:rsidRPr="00CD50B6" w:rsidRDefault="00B964A7" w:rsidP="00B964A7">
      <w:pPr>
        <w:rPr>
          <w:rFonts w:cstheme="minorHAnsi"/>
        </w:rPr>
      </w:pPr>
      <w:r>
        <w:rPr>
          <w:rFonts w:cstheme="minorHAnsi"/>
        </w:rPr>
        <w:t>A final analysis will be conducted by the trial Investigators.</w:t>
      </w:r>
    </w:p>
    <w:p w14:paraId="0E33CB70" w14:textId="77777777" w:rsidR="00B964A7" w:rsidRPr="00B05FFC" w:rsidRDefault="00B964A7" w:rsidP="00E14152">
      <w:pPr>
        <w:tabs>
          <w:tab w:val="left" w:pos="2940"/>
        </w:tabs>
        <w:rPr>
          <w:rFonts w:cstheme="minorHAnsi"/>
          <w:b/>
        </w:rPr>
      </w:pPr>
    </w:p>
    <w:p w14:paraId="74105011" w14:textId="77777777" w:rsidR="00B964A7" w:rsidRPr="00A243E9" w:rsidRDefault="00B964A7" w:rsidP="00B02582">
      <w:pPr>
        <w:pStyle w:val="ListParagraph"/>
        <w:numPr>
          <w:ilvl w:val="0"/>
          <w:numId w:val="1"/>
        </w:numPr>
        <w:outlineLvl w:val="0"/>
        <w:rPr>
          <w:rFonts w:cstheme="minorHAnsi"/>
          <w:b/>
        </w:rPr>
      </w:pPr>
      <w:bookmarkStart w:id="143" w:name="_Toc473873115"/>
      <w:bookmarkStart w:id="144" w:name="_Toc489888113"/>
      <w:r w:rsidRPr="00A243E9">
        <w:rPr>
          <w:rFonts w:cstheme="minorHAnsi"/>
          <w:b/>
        </w:rPr>
        <w:t>ADVERSE EVENTS</w:t>
      </w:r>
      <w:bookmarkEnd w:id="143"/>
      <w:bookmarkEnd w:id="144"/>
    </w:p>
    <w:p w14:paraId="30DC87D9" w14:textId="77777777" w:rsidR="00B964A7" w:rsidRPr="00A243E9" w:rsidRDefault="00A243E9" w:rsidP="00B964A7">
      <w:pPr>
        <w:rPr>
          <w:rFonts w:cstheme="minorHAnsi"/>
        </w:rPr>
      </w:pPr>
      <w:r w:rsidRPr="00A243E9">
        <w:rPr>
          <w:rFonts w:cstheme="minorHAnsi"/>
        </w:rPr>
        <w:t>Medsafe’s</w:t>
      </w:r>
      <w:r w:rsidR="00B964A7" w:rsidRPr="00A243E9">
        <w:rPr>
          <w:rFonts w:cstheme="minorHAnsi"/>
        </w:rPr>
        <w:t xml:space="preserve"> </w:t>
      </w:r>
      <w:r w:rsidRPr="00A243E9">
        <w:rPr>
          <w:rFonts w:cstheme="minorHAnsi"/>
        </w:rPr>
        <w:t xml:space="preserve">Information for Health Professionals </w:t>
      </w:r>
      <w:r w:rsidR="00B964A7" w:rsidRPr="00A243E9">
        <w:rPr>
          <w:rFonts w:cstheme="minorHAnsi"/>
        </w:rPr>
        <w:t xml:space="preserve">(see </w:t>
      </w:r>
      <w:r w:rsidR="00B964A7" w:rsidRPr="00A243E9">
        <w:rPr>
          <w:rFonts w:cstheme="minorHAnsi"/>
          <w:i/>
        </w:rPr>
        <w:t>Appendix 1</w:t>
      </w:r>
      <w:r w:rsidRPr="00A243E9">
        <w:rPr>
          <w:rFonts w:cstheme="minorHAnsi"/>
        </w:rPr>
        <w:t>) for Navelbine</w:t>
      </w:r>
      <w:r w:rsidRPr="00A243E9">
        <w:rPr>
          <w:rFonts w:ascii="Bell MT" w:hAnsi="Bell MT" w:cstheme="minorHAnsi"/>
        </w:rPr>
        <w:t>®</w:t>
      </w:r>
      <w:r w:rsidRPr="00A243E9">
        <w:rPr>
          <w:rFonts w:cstheme="minorHAnsi"/>
        </w:rPr>
        <w:t xml:space="preserve"> (vinorelbine)</w:t>
      </w:r>
      <w:r w:rsidR="00B964A7" w:rsidRPr="00A243E9">
        <w:rPr>
          <w:rFonts w:cstheme="minorHAnsi"/>
        </w:rPr>
        <w:t xml:space="preserve"> contains the full details of the known contraindications and side effects that have been reported following the administration.</w:t>
      </w:r>
    </w:p>
    <w:p w14:paraId="17546A6C" w14:textId="77777777" w:rsidR="00B964A7" w:rsidRPr="00A243E9" w:rsidRDefault="00B964A7" w:rsidP="00B964A7">
      <w:pPr>
        <w:rPr>
          <w:rFonts w:cstheme="minorHAnsi"/>
        </w:rPr>
      </w:pPr>
      <w:r w:rsidRPr="00A243E9">
        <w:rPr>
          <w:rFonts w:cstheme="minorHAnsi"/>
        </w:rPr>
        <w:t>Participants who are recruited to the trial will be instructed to inform their direct clinical care team or a member of the research team at any time during their participation if they develop symptoms, whether or not they think these</w:t>
      </w:r>
      <w:r w:rsidR="00A243E9" w:rsidRPr="00A243E9">
        <w:rPr>
          <w:rFonts w:cstheme="minorHAnsi"/>
        </w:rPr>
        <w:t xml:space="preserve"> may be related to vinorelbine</w:t>
      </w:r>
      <w:r w:rsidRPr="00A243E9">
        <w:rPr>
          <w:rFonts w:cstheme="minorHAnsi"/>
        </w:rPr>
        <w:t xml:space="preserve">. All AEs that occur after consenting to the trial must be logged in detail in the CRF or recorded in an AE log. In the case of an AE which may be related </w:t>
      </w:r>
      <w:r w:rsidRPr="00A243E9">
        <w:rPr>
          <w:rFonts w:cstheme="minorHAnsi"/>
        </w:rPr>
        <w:lastRenderedPageBreak/>
        <w:t>to the administration of the</w:t>
      </w:r>
      <w:r w:rsidR="003B0713">
        <w:rPr>
          <w:rFonts w:cstheme="minorHAnsi"/>
        </w:rPr>
        <w:t xml:space="preserve"> Investigational Medical Product</w:t>
      </w:r>
      <w:r w:rsidRPr="00A243E9">
        <w:rPr>
          <w:rFonts w:cstheme="minorHAnsi"/>
        </w:rPr>
        <w:t xml:space="preserve"> </w:t>
      </w:r>
      <w:r w:rsidR="003B0713">
        <w:rPr>
          <w:rFonts w:cstheme="minorHAnsi"/>
        </w:rPr>
        <w:t>(</w:t>
      </w:r>
      <w:r w:rsidRPr="00A243E9">
        <w:rPr>
          <w:rFonts w:cstheme="minorHAnsi"/>
        </w:rPr>
        <w:t>IMP</w:t>
      </w:r>
      <w:r w:rsidR="003B0713">
        <w:rPr>
          <w:rFonts w:cstheme="minorHAnsi"/>
        </w:rPr>
        <w:t>)</w:t>
      </w:r>
      <w:r w:rsidRPr="00A243E9">
        <w:rPr>
          <w:rFonts w:cstheme="minorHAnsi"/>
        </w:rPr>
        <w:t>, a medically-qualified Investigator will initiate any appropriate treatment(s), according to their clinical judgement.</w:t>
      </w:r>
    </w:p>
    <w:p w14:paraId="1C837BDE" w14:textId="77777777" w:rsidR="00B964A7" w:rsidRPr="00A243E9" w:rsidRDefault="00C259D1" w:rsidP="00B964A7">
      <w:pPr>
        <w:rPr>
          <w:rFonts w:cstheme="minorHAnsi"/>
        </w:rPr>
      </w:pPr>
      <w:r>
        <w:rPr>
          <w:rFonts w:cstheme="minorHAnsi"/>
        </w:rPr>
        <w:t>The Site Leader is</w:t>
      </w:r>
      <w:r w:rsidR="00B964A7" w:rsidRPr="00A243E9">
        <w:rPr>
          <w:rFonts w:cstheme="minorHAnsi"/>
        </w:rPr>
        <w:t xml:space="preserve"> responsible for the detection, documentation and follow-up of </w:t>
      </w:r>
      <w:r w:rsidR="001177ED">
        <w:rPr>
          <w:rFonts w:cstheme="minorHAnsi"/>
        </w:rPr>
        <w:t>events experienced by participants</w:t>
      </w:r>
      <w:r w:rsidR="00B964A7" w:rsidRPr="00A243E9">
        <w:rPr>
          <w:rFonts w:cstheme="minorHAnsi"/>
        </w:rPr>
        <w:t xml:space="preserve"> during their </w:t>
      </w:r>
      <w:r w:rsidR="001177ED">
        <w:rPr>
          <w:rFonts w:cstheme="minorHAnsi"/>
        </w:rPr>
        <w:t>enrolment</w:t>
      </w:r>
      <w:r w:rsidR="00B964A7" w:rsidRPr="00A243E9">
        <w:rPr>
          <w:rFonts w:cstheme="minorHAnsi"/>
        </w:rPr>
        <w:t xml:space="preserve"> in the study that meet the criteria and definitions as detailed below.</w:t>
      </w:r>
    </w:p>
    <w:p w14:paraId="0720CDFE" w14:textId="77777777" w:rsidR="00CD50B6" w:rsidRPr="00B05FFC" w:rsidRDefault="00CD50B6" w:rsidP="00B964A7">
      <w:pPr>
        <w:rPr>
          <w:rFonts w:cstheme="minorHAnsi"/>
          <w:b/>
        </w:rPr>
      </w:pPr>
    </w:p>
    <w:p w14:paraId="108B31F6" w14:textId="77777777" w:rsidR="00B964A7" w:rsidRDefault="00B964A7" w:rsidP="00B02582">
      <w:pPr>
        <w:pStyle w:val="ListParagraph"/>
        <w:numPr>
          <w:ilvl w:val="1"/>
          <w:numId w:val="1"/>
        </w:numPr>
        <w:outlineLvl w:val="1"/>
        <w:rPr>
          <w:rFonts w:cstheme="minorHAnsi"/>
          <w:b/>
        </w:rPr>
      </w:pPr>
      <w:bookmarkStart w:id="145" w:name="_Toc473873116"/>
      <w:bookmarkStart w:id="146" w:name="_Toc489888114"/>
      <w:r w:rsidRPr="00B05FFC">
        <w:rPr>
          <w:rFonts w:cstheme="minorHAnsi"/>
          <w:b/>
        </w:rPr>
        <w:t>DEFINITIONS</w:t>
      </w:r>
      <w:bookmarkEnd w:id="145"/>
      <w:bookmarkEnd w:id="146"/>
    </w:p>
    <w:p w14:paraId="4708760B" w14:textId="548E6A1D" w:rsidR="00B964A7" w:rsidRPr="00F43529" w:rsidRDefault="00B964A7" w:rsidP="00B964A7">
      <w:pPr>
        <w:rPr>
          <w:rFonts w:cstheme="minorHAnsi"/>
        </w:rPr>
      </w:pPr>
      <w:r w:rsidRPr="0071586E">
        <w:rPr>
          <w:rFonts w:cstheme="minorHAnsi"/>
        </w:rPr>
        <w:t xml:space="preserve">This trial </w:t>
      </w:r>
      <w:r w:rsidR="0071586E" w:rsidRPr="0071586E">
        <w:rPr>
          <w:rFonts w:cstheme="minorHAnsi"/>
        </w:rPr>
        <w:t>will be</w:t>
      </w:r>
      <w:r w:rsidRPr="0071586E">
        <w:rPr>
          <w:rFonts w:cstheme="minorHAnsi"/>
        </w:rPr>
        <w:t xml:space="preserve"> undertaken with the a</w:t>
      </w:r>
      <w:r w:rsidR="0071586E" w:rsidRPr="0071586E">
        <w:rPr>
          <w:rFonts w:cstheme="minorHAnsi"/>
        </w:rPr>
        <w:t xml:space="preserve">pproval of the </w:t>
      </w:r>
      <w:r w:rsidR="001177ED">
        <w:rPr>
          <w:rFonts w:cstheme="minorHAnsi"/>
        </w:rPr>
        <w:t>HDEC and Maori Research and Ethics Committee</w:t>
      </w:r>
      <w:r w:rsidRPr="001177ED">
        <w:rPr>
          <w:rFonts w:cstheme="minorHAnsi"/>
        </w:rPr>
        <w:t xml:space="preserve">. </w:t>
      </w:r>
      <w:r w:rsidRPr="0071586E">
        <w:rPr>
          <w:rFonts w:cstheme="minorHAnsi"/>
        </w:rPr>
        <w:t>Adverse events will be managed according to the following definitions, recommendations and requirements, guided by IC</w:t>
      </w:r>
      <w:r w:rsidR="00E31090">
        <w:rPr>
          <w:rFonts w:cstheme="minorHAnsi"/>
        </w:rPr>
        <w:t xml:space="preserve">H-GCP principles, Medsafe </w:t>
      </w:r>
      <w:r w:rsidR="00F43529">
        <w:rPr>
          <w:rFonts w:cstheme="minorHAnsi"/>
        </w:rPr>
        <w:t xml:space="preserve">GCP </w:t>
      </w:r>
      <w:r w:rsidR="00E31090">
        <w:rPr>
          <w:rFonts w:cstheme="minorHAnsi"/>
        </w:rPr>
        <w:t>guidelines</w:t>
      </w:r>
      <w:r w:rsidR="00D27059">
        <w:rPr>
          <w:rFonts w:cstheme="minorHAnsi"/>
        </w:rPr>
        <w:t xml:space="preserve"> </w:t>
      </w:r>
      <w:r w:rsidR="00D27059">
        <w:rPr>
          <w:rFonts w:cstheme="minorHAnsi"/>
        </w:rPr>
        <w:fldChar w:fldCharType="begin"/>
      </w:r>
      <w:r w:rsidR="00D27059">
        <w:rPr>
          <w:rFonts w:cstheme="minorHAnsi"/>
        </w:rPr>
        <w:instrText xml:space="preserve"> ADDIN EN.CITE &lt;EndNote&gt;&lt;Cite&gt;&lt;Author&gt;Medsafe&lt;/Author&gt;&lt;Year&gt;2015&lt;/Year&gt;&lt;RecNum&gt;37&lt;/RecNum&gt;&lt;DisplayText&gt;[15]&lt;/DisplayText&gt;&lt;record&gt;&lt;rec-number&gt;37&lt;/rec-number&gt;&lt;foreign-keys&gt;&lt;key app="EN" db-id="wazxt5z5d50z29ewex8xaasdd02vw2waeed0" timestamp="1502087523"&gt;37&lt;/key&gt;&lt;/foreign-keys&gt;&lt;ref-type name="Government Document"&gt;46&lt;/ref-type&gt;&lt;contributors&gt;&lt;authors&gt;&lt;author&gt;Medsafe&lt;/author&gt;&lt;/authors&gt;&lt;secondary-authors&gt;&lt;author&gt;Ministry of Health&lt;/author&gt;&lt;/secondary-authors&gt;&lt;/contributors&gt;&lt;titles&gt;&lt;title&gt;Guideline on the regulation of therapeutic products in New Zealand (Part 11): Clinical trials - regulatory approval and good clinical practice requirements.&lt;/title&gt;&lt;/titles&gt;&lt;edition&gt;1.4&lt;/edition&gt;&lt;dates&gt;&lt;year&gt;2015&lt;/year&gt;&lt;/dates&gt;&lt;pub-location&gt;Auckland, New Zealand&lt;/pub-location&gt;&lt;publisher&gt;Medsafe&lt;/publisher&gt;&lt;urls&gt;&lt;related-urls&gt;&lt;url&gt;&lt;style face="underline" font="default" size="100%"&gt;http://www.medsafe.govt.nz/regulatory/Guideline/GRTPNZ/Part11.pdf&lt;/style&gt;&lt;/url&gt;&lt;/related-urls&gt;&lt;/urls&gt;&lt;/record&gt;&lt;/Cite&gt;&lt;/EndNote&gt;</w:instrText>
      </w:r>
      <w:r w:rsidR="00D27059">
        <w:rPr>
          <w:rFonts w:cstheme="minorHAnsi"/>
        </w:rPr>
        <w:fldChar w:fldCharType="separate"/>
      </w:r>
      <w:r w:rsidR="00D27059">
        <w:rPr>
          <w:rFonts w:cstheme="minorHAnsi"/>
          <w:noProof/>
        </w:rPr>
        <w:t>[15]</w:t>
      </w:r>
      <w:r w:rsidR="00D27059">
        <w:rPr>
          <w:rFonts w:cstheme="minorHAnsi"/>
        </w:rPr>
        <w:fldChar w:fldCharType="end"/>
      </w:r>
      <w:r w:rsidR="00E845A0">
        <w:rPr>
          <w:rFonts w:cstheme="minorHAnsi"/>
        </w:rPr>
        <w:t xml:space="preserve"> </w:t>
      </w:r>
      <w:r w:rsidRPr="0071586E">
        <w:rPr>
          <w:rFonts w:cstheme="minorHAnsi"/>
        </w:rPr>
        <w:t xml:space="preserve">and the National Health and Medical Research Council (NHMRC)’s </w:t>
      </w:r>
      <w:r w:rsidRPr="0071586E">
        <w:rPr>
          <w:rFonts w:cstheme="minorHAnsi"/>
          <w:i/>
        </w:rPr>
        <w:t xml:space="preserve">National </w:t>
      </w:r>
      <w:r w:rsidRPr="00F43529">
        <w:rPr>
          <w:rFonts w:cstheme="minorHAnsi"/>
          <w:i/>
        </w:rPr>
        <w:t xml:space="preserve">Statement </w:t>
      </w:r>
      <w:r w:rsidRPr="00366F65">
        <w:rPr>
          <w:rFonts w:cstheme="minorHAnsi"/>
        </w:rPr>
        <w:fldChar w:fldCharType="begin"/>
      </w:r>
      <w:r w:rsidR="00D27059">
        <w:rPr>
          <w:rFonts w:cstheme="minorHAnsi"/>
        </w:rPr>
        <w:instrText xml:space="preserve"> ADDIN EN.CITE &lt;EndNote&gt;&lt;Cite&gt;&lt;Author&gt;NHMRC&lt;/Author&gt;&lt;RecNum&gt;1836&lt;/RecNum&gt;&lt;DisplayText&gt;[16]&lt;/DisplayText&gt;&lt;record&gt;&lt;rec-number&gt;1836&lt;/rec-number&gt;&lt;foreign-keys&gt;&lt;key app="EN" db-id="5fx5205rswzvwoepf5ypsewz220w5eszx0ft" timestamp="1493940493"&gt;1836&lt;/key&gt;&lt;/foreign-keys&gt;&lt;ref-type name="Journal Article"&gt;17&lt;/ref-type&gt;&lt;contributors&gt;&lt;authors&gt;&lt;author&gt;NHMRC&lt;/author&gt;&lt;/authors&gt;&lt;/contributors&gt;&lt;titles&gt;&lt;title&gt;National statement on ethical conduct in Human Research 2007 [Updated May, 2015]&lt;/title&gt;&lt;secondary-title&gt;Canberra: Commonwealth of Australia – the National Health and Medical Research Council; the Australian Research Council; and the Australian Vice-Chancellors’ Committee. &lt;/secondary-title&gt;&lt;/titles&gt;&lt;periodical&gt;&lt;full-title&gt;Canberra: Commonwealth of Australia – the National Health and Medical Research Council; the Australian Research Council; and the Australian Vice-Chancellors’ Committee.&lt;/full-title&gt;&lt;/periodical&gt;&lt;dates&gt;&lt;/dates&gt;&lt;urls&gt;&lt;/urls&gt;&lt;/record&gt;&lt;/Cite&gt;&lt;/EndNote&gt;</w:instrText>
      </w:r>
      <w:r w:rsidRPr="00366F65">
        <w:rPr>
          <w:rFonts w:cstheme="minorHAnsi"/>
        </w:rPr>
        <w:fldChar w:fldCharType="separate"/>
      </w:r>
      <w:r w:rsidR="00D27059">
        <w:rPr>
          <w:rFonts w:cstheme="minorHAnsi"/>
          <w:noProof/>
        </w:rPr>
        <w:t>[16]</w:t>
      </w:r>
      <w:r w:rsidRPr="00366F65">
        <w:rPr>
          <w:rFonts w:cstheme="minorHAnsi"/>
        </w:rPr>
        <w:fldChar w:fldCharType="end"/>
      </w:r>
      <w:r w:rsidRPr="00366F65">
        <w:rPr>
          <w:rFonts w:cstheme="minorHAnsi"/>
        </w:rPr>
        <w:t>.</w:t>
      </w:r>
    </w:p>
    <w:p w14:paraId="2AA56F5F" w14:textId="77777777" w:rsidR="00B964A7" w:rsidRPr="00F43529" w:rsidRDefault="00B964A7" w:rsidP="00B964A7">
      <w:pPr>
        <w:rPr>
          <w:rFonts w:cstheme="minorHAnsi"/>
        </w:rPr>
      </w:pPr>
      <w:r w:rsidRPr="00F43529">
        <w:rPr>
          <w:rFonts w:cstheme="minorHAnsi"/>
        </w:rPr>
        <w:t xml:space="preserve">An </w:t>
      </w:r>
      <w:r w:rsidRPr="00F43529">
        <w:rPr>
          <w:rFonts w:cstheme="minorHAnsi"/>
          <w:b/>
        </w:rPr>
        <w:t>Adverse Event</w:t>
      </w:r>
      <w:r w:rsidRPr="00F43529">
        <w:rPr>
          <w:rFonts w:cstheme="minorHAnsi"/>
          <w:i/>
        </w:rPr>
        <w:t xml:space="preserve"> </w:t>
      </w:r>
      <w:r w:rsidRPr="00F43529">
        <w:rPr>
          <w:rFonts w:cstheme="minorHAnsi"/>
        </w:rPr>
        <w:t xml:space="preserve">(AE) is any untoward medical occurrence in a study participant who has been administered an IMP. An AE </w:t>
      </w:r>
      <w:r w:rsidRPr="00F43529">
        <w:rPr>
          <w:rFonts w:cstheme="minorHAnsi"/>
          <w:i/>
          <w:u w:val="single"/>
        </w:rPr>
        <w:t>does not necessarily have a causal relationship</w:t>
      </w:r>
      <w:r w:rsidRPr="00F43529">
        <w:rPr>
          <w:rFonts w:cstheme="minorHAnsi"/>
        </w:rPr>
        <w:t xml:space="preserve"> with the IMP in question. </w:t>
      </w:r>
    </w:p>
    <w:p w14:paraId="27AE4E27" w14:textId="77777777" w:rsidR="00B964A7" w:rsidRPr="00F43529" w:rsidRDefault="00B964A7" w:rsidP="00B964A7">
      <w:pPr>
        <w:rPr>
          <w:rFonts w:cstheme="minorHAnsi"/>
        </w:rPr>
      </w:pPr>
      <w:r w:rsidRPr="00F43529">
        <w:rPr>
          <w:rFonts w:cstheme="minorHAnsi"/>
        </w:rPr>
        <w:t xml:space="preserve">An </w:t>
      </w:r>
      <w:r w:rsidRPr="00F43529">
        <w:rPr>
          <w:rFonts w:cstheme="minorHAnsi"/>
          <w:b/>
        </w:rPr>
        <w:t>Adverse Drug Reaction</w:t>
      </w:r>
      <w:r w:rsidRPr="00F43529">
        <w:rPr>
          <w:rFonts w:cstheme="minorHAnsi"/>
          <w:i/>
        </w:rPr>
        <w:t xml:space="preserve"> </w:t>
      </w:r>
      <w:r w:rsidRPr="00F43529">
        <w:rPr>
          <w:rFonts w:cstheme="minorHAnsi"/>
        </w:rPr>
        <w:t xml:space="preserve">(ADR) is any unintended, noxious response to an IMP at any dose, where a causal relationship between the IMP and the reaction </w:t>
      </w:r>
      <w:r w:rsidRPr="00F43529">
        <w:rPr>
          <w:rFonts w:cstheme="minorHAnsi"/>
          <w:i/>
          <w:u w:val="single"/>
        </w:rPr>
        <w:t>cannot be ruled out</w:t>
      </w:r>
      <w:r w:rsidRPr="00F43529">
        <w:rPr>
          <w:rFonts w:cstheme="minorHAnsi"/>
        </w:rPr>
        <w:t>.</w:t>
      </w:r>
    </w:p>
    <w:p w14:paraId="64F9024F" w14:textId="77777777" w:rsidR="00B964A7" w:rsidRPr="00F43529" w:rsidRDefault="00B964A7" w:rsidP="00B964A7">
      <w:pPr>
        <w:rPr>
          <w:rFonts w:cstheme="minorHAnsi"/>
        </w:rPr>
      </w:pPr>
      <w:r w:rsidRPr="00F43529">
        <w:rPr>
          <w:rFonts w:cstheme="minorHAnsi"/>
        </w:rPr>
        <w:t xml:space="preserve">A </w:t>
      </w:r>
      <w:r w:rsidRPr="00F43529">
        <w:rPr>
          <w:rFonts w:cstheme="minorHAnsi"/>
          <w:b/>
        </w:rPr>
        <w:t>Serious Adverse Event</w:t>
      </w:r>
      <w:r w:rsidRPr="00F43529">
        <w:rPr>
          <w:rFonts w:cstheme="minorHAnsi"/>
        </w:rPr>
        <w:t xml:space="preserve"> (SAE) or </w:t>
      </w:r>
      <w:r w:rsidRPr="00F43529">
        <w:rPr>
          <w:rFonts w:cstheme="minorHAnsi"/>
          <w:b/>
        </w:rPr>
        <w:t>Serious Adverse Drug Reaction</w:t>
      </w:r>
      <w:r w:rsidRPr="00F43529">
        <w:rPr>
          <w:rFonts w:cstheme="minorHAnsi"/>
          <w:i/>
        </w:rPr>
        <w:t xml:space="preserve"> </w:t>
      </w:r>
      <w:r w:rsidRPr="00F43529">
        <w:rPr>
          <w:rFonts w:cstheme="minorHAnsi"/>
        </w:rPr>
        <w:t>(SADR) is defined as any AE or ADR that:</w:t>
      </w:r>
    </w:p>
    <w:p w14:paraId="3FDA903A" w14:textId="77777777" w:rsidR="00B964A7" w:rsidRPr="00F43529" w:rsidRDefault="00B964A7" w:rsidP="00B964A7">
      <w:pPr>
        <w:pStyle w:val="ListParagraph"/>
        <w:numPr>
          <w:ilvl w:val="0"/>
          <w:numId w:val="22"/>
        </w:numPr>
        <w:rPr>
          <w:rFonts w:cstheme="minorHAnsi"/>
        </w:rPr>
      </w:pPr>
      <w:r w:rsidRPr="00F43529">
        <w:rPr>
          <w:rFonts w:cstheme="minorHAnsi"/>
        </w:rPr>
        <w:t>Results in the death of a participant;</w:t>
      </w:r>
    </w:p>
    <w:p w14:paraId="3EDBE0C1" w14:textId="77777777" w:rsidR="00B964A7" w:rsidRPr="00F43529" w:rsidRDefault="00B964A7" w:rsidP="00B964A7">
      <w:pPr>
        <w:pStyle w:val="ListParagraph"/>
        <w:numPr>
          <w:ilvl w:val="0"/>
          <w:numId w:val="22"/>
        </w:numPr>
        <w:rPr>
          <w:rFonts w:cstheme="minorHAnsi"/>
        </w:rPr>
      </w:pPr>
      <w:r w:rsidRPr="00F43529">
        <w:rPr>
          <w:rFonts w:cstheme="minorHAnsi"/>
        </w:rPr>
        <w:t>Is life-threatening (puts the participant at risk of death of the time of the event – it does not refer to an event which could have hypothetically ended in death, had the event been more severe);</w:t>
      </w:r>
    </w:p>
    <w:p w14:paraId="144A243B" w14:textId="77777777" w:rsidR="00B964A7" w:rsidRPr="00F43529" w:rsidRDefault="00B964A7" w:rsidP="00B964A7">
      <w:pPr>
        <w:pStyle w:val="ListParagraph"/>
        <w:numPr>
          <w:ilvl w:val="0"/>
          <w:numId w:val="22"/>
        </w:numPr>
        <w:rPr>
          <w:rFonts w:cstheme="minorHAnsi"/>
        </w:rPr>
      </w:pPr>
      <w:r w:rsidRPr="00F43529">
        <w:rPr>
          <w:rFonts w:cstheme="minorHAnsi"/>
        </w:rPr>
        <w:t>Requires inpatient hospitalisation, or prolongation/escalation of existing hospitalisation;</w:t>
      </w:r>
    </w:p>
    <w:p w14:paraId="7B5CB649" w14:textId="77777777" w:rsidR="00B964A7" w:rsidRPr="00F43529" w:rsidRDefault="00B964A7" w:rsidP="00B964A7">
      <w:pPr>
        <w:pStyle w:val="ListParagraph"/>
        <w:numPr>
          <w:ilvl w:val="0"/>
          <w:numId w:val="22"/>
        </w:numPr>
        <w:rPr>
          <w:rFonts w:cstheme="minorHAnsi"/>
        </w:rPr>
      </w:pPr>
      <w:r w:rsidRPr="00F43529">
        <w:rPr>
          <w:rFonts w:cstheme="minorHAnsi"/>
        </w:rPr>
        <w:t>Results in a congenital abnormality or birth defect; or</w:t>
      </w:r>
    </w:p>
    <w:p w14:paraId="2EC9F9F8" w14:textId="77777777" w:rsidR="00B964A7" w:rsidRPr="00F43529" w:rsidRDefault="00B964A7" w:rsidP="00B964A7">
      <w:pPr>
        <w:pStyle w:val="ListParagraph"/>
        <w:numPr>
          <w:ilvl w:val="0"/>
          <w:numId w:val="22"/>
        </w:numPr>
        <w:rPr>
          <w:rFonts w:cstheme="minorHAnsi"/>
        </w:rPr>
      </w:pPr>
      <w:r w:rsidRPr="00F43529">
        <w:rPr>
          <w:rFonts w:cstheme="minorHAnsi"/>
        </w:rPr>
        <w:t>Results in significant or persistent incapacity/disability</w:t>
      </w:r>
    </w:p>
    <w:p w14:paraId="158764DB" w14:textId="77777777" w:rsidR="00B964A7" w:rsidRPr="00CD50B6" w:rsidRDefault="00B964A7" w:rsidP="00B964A7">
      <w:pPr>
        <w:rPr>
          <w:rFonts w:cstheme="minorHAnsi"/>
          <w:i/>
        </w:rPr>
      </w:pPr>
      <w:r w:rsidRPr="00F43529">
        <w:rPr>
          <w:rFonts w:cstheme="minorHAnsi"/>
        </w:rPr>
        <w:t xml:space="preserve">An </w:t>
      </w:r>
      <w:r w:rsidRPr="00F43529">
        <w:rPr>
          <w:rFonts w:cstheme="minorHAnsi"/>
          <w:b/>
        </w:rPr>
        <w:t>Unexpected Adverse Drug Reaction</w:t>
      </w:r>
      <w:r w:rsidRPr="00F43529">
        <w:rPr>
          <w:rFonts w:cstheme="minorHAnsi"/>
        </w:rPr>
        <w:t xml:space="preserve"> (UADR) is an ADR, the nature or severity of which is not consistent with the available manufacturer’s Product Information (</w:t>
      </w:r>
      <w:r w:rsidR="00CD50B6">
        <w:rPr>
          <w:rFonts w:cstheme="minorHAnsi"/>
          <w:i/>
        </w:rPr>
        <w:t>Appendix 1).</w:t>
      </w:r>
    </w:p>
    <w:p w14:paraId="0634DD29" w14:textId="77777777" w:rsidR="00B964A7" w:rsidRPr="00F43529" w:rsidRDefault="00B964A7" w:rsidP="00B964A7">
      <w:pPr>
        <w:rPr>
          <w:rFonts w:cstheme="minorHAnsi"/>
        </w:rPr>
      </w:pPr>
      <w:r w:rsidRPr="00F43529">
        <w:rPr>
          <w:rFonts w:cstheme="minorHAnsi"/>
        </w:rPr>
        <w:t xml:space="preserve">A </w:t>
      </w:r>
      <w:r w:rsidRPr="00F43529">
        <w:rPr>
          <w:rFonts w:cstheme="minorHAnsi"/>
          <w:b/>
        </w:rPr>
        <w:t>Suspected, Unexpected, Serious Adverse Reaction</w:t>
      </w:r>
      <w:r w:rsidRPr="00F43529">
        <w:rPr>
          <w:rFonts w:cstheme="minorHAnsi"/>
        </w:rPr>
        <w:t xml:space="preserve"> (SUSAR) is any ADR that is:</w:t>
      </w:r>
    </w:p>
    <w:p w14:paraId="351518D4" w14:textId="77777777" w:rsidR="00B964A7" w:rsidRPr="00F43529" w:rsidRDefault="00B964A7" w:rsidP="00B964A7">
      <w:pPr>
        <w:pStyle w:val="ListParagraph"/>
        <w:numPr>
          <w:ilvl w:val="0"/>
          <w:numId w:val="23"/>
        </w:numPr>
        <w:rPr>
          <w:rFonts w:cstheme="minorHAnsi"/>
        </w:rPr>
      </w:pPr>
      <w:r w:rsidRPr="00F43529">
        <w:rPr>
          <w:rFonts w:cstheme="minorHAnsi"/>
        </w:rPr>
        <w:t>Classified as serious;</w:t>
      </w:r>
    </w:p>
    <w:p w14:paraId="056659EE" w14:textId="77777777" w:rsidR="00B964A7" w:rsidRPr="00F43529" w:rsidRDefault="00B964A7" w:rsidP="00B964A7">
      <w:pPr>
        <w:pStyle w:val="ListParagraph"/>
        <w:numPr>
          <w:ilvl w:val="0"/>
          <w:numId w:val="23"/>
        </w:numPr>
        <w:rPr>
          <w:rFonts w:cstheme="minorHAnsi"/>
        </w:rPr>
      </w:pPr>
      <w:r w:rsidRPr="00F43529">
        <w:rPr>
          <w:rFonts w:cstheme="minorHAnsi"/>
        </w:rPr>
        <w:t>Suspected to be caused by the IMP; and</w:t>
      </w:r>
    </w:p>
    <w:p w14:paraId="4294BBEE" w14:textId="77777777" w:rsidR="00B964A7" w:rsidRPr="00F43529" w:rsidRDefault="00B964A7" w:rsidP="00B964A7">
      <w:pPr>
        <w:pStyle w:val="ListParagraph"/>
        <w:numPr>
          <w:ilvl w:val="0"/>
          <w:numId w:val="23"/>
        </w:numPr>
        <w:rPr>
          <w:rFonts w:cstheme="minorHAnsi"/>
        </w:rPr>
      </w:pPr>
      <w:r w:rsidRPr="00F43529">
        <w:rPr>
          <w:rFonts w:cstheme="minorHAnsi"/>
        </w:rPr>
        <w:t>Not consistent with the information available in the manufacturer’s Product Information</w:t>
      </w:r>
    </w:p>
    <w:p w14:paraId="5EFA6357" w14:textId="77777777" w:rsidR="00B964A7" w:rsidRDefault="00B964A7" w:rsidP="00B964A7">
      <w:pPr>
        <w:pStyle w:val="ListParagraph"/>
        <w:rPr>
          <w:rFonts w:cstheme="minorHAnsi"/>
          <w:b/>
        </w:rPr>
      </w:pPr>
    </w:p>
    <w:p w14:paraId="46C1DE31" w14:textId="77777777" w:rsidR="00CD50B6" w:rsidRPr="00F43529" w:rsidRDefault="00CD50B6" w:rsidP="00B964A7">
      <w:pPr>
        <w:pStyle w:val="ListParagraph"/>
        <w:rPr>
          <w:rFonts w:cstheme="minorHAnsi"/>
          <w:b/>
        </w:rPr>
      </w:pPr>
    </w:p>
    <w:p w14:paraId="1675D29F" w14:textId="77777777" w:rsidR="00B964A7" w:rsidRPr="00F43529" w:rsidRDefault="00B964A7" w:rsidP="00B02582">
      <w:pPr>
        <w:pStyle w:val="ListParagraph"/>
        <w:numPr>
          <w:ilvl w:val="1"/>
          <w:numId w:val="1"/>
        </w:numPr>
        <w:outlineLvl w:val="1"/>
        <w:rPr>
          <w:rFonts w:cstheme="minorHAnsi"/>
          <w:b/>
        </w:rPr>
      </w:pPr>
      <w:bookmarkStart w:id="147" w:name="_Toc473873117"/>
      <w:bookmarkStart w:id="148" w:name="_Toc489888115"/>
      <w:r w:rsidRPr="00F43529">
        <w:rPr>
          <w:rFonts w:cstheme="minorHAnsi"/>
          <w:b/>
        </w:rPr>
        <w:t>IDENTIFYING AEs AND SAEs</w:t>
      </w:r>
      <w:bookmarkEnd w:id="147"/>
      <w:bookmarkEnd w:id="148"/>
    </w:p>
    <w:p w14:paraId="411DE8EA" w14:textId="77777777" w:rsidR="00B964A7" w:rsidRPr="00F43529" w:rsidRDefault="00B964A7" w:rsidP="00B964A7">
      <w:pPr>
        <w:rPr>
          <w:rFonts w:cstheme="minorHAnsi"/>
        </w:rPr>
      </w:pPr>
      <w:r w:rsidRPr="00F43529">
        <w:rPr>
          <w:rFonts w:cstheme="minorHAnsi"/>
        </w:rPr>
        <w:t>All AEs/SAEs will be recorded from the time a participant signs the consent form until th</w:t>
      </w:r>
      <w:r w:rsidR="00F777D8">
        <w:rPr>
          <w:rFonts w:cstheme="minorHAnsi"/>
        </w:rPr>
        <w:t xml:space="preserve">eir follow up </w:t>
      </w:r>
      <w:r w:rsidRPr="00F43529">
        <w:rPr>
          <w:rFonts w:cstheme="minorHAnsi"/>
        </w:rPr>
        <w:t>phone call</w:t>
      </w:r>
      <w:r w:rsidR="00806D6A">
        <w:rPr>
          <w:rFonts w:cstheme="minorHAnsi"/>
        </w:rPr>
        <w:t>s have</w:t>
      </w:r>
      <w:r w:rsidRPr="00F43529">
        <w:rPr>
          <w:rFonts w:cstheme="minorHAnsi"/>
        </w:rPr>
        <w:t xml:space="preserve"> been completed. Any AE must be recorded on the AE </w:t>
      </w:r>
      <w:r w:rsidR="000E0A40">
        <w:rPr>
          <w:rFonts w:cstheme="minorHAnsi"/>
        </w:rPr>
        <w:t>log page in the CRF. A</w:t>
      </w:r>
      <w:r w:rsidRPr="00F43529">
        <w:rPr>
          <w:rFonts w:cstheme="minorHAnsi"/>
        </w:rPr>
        <w:t>dmission to hospital will not be considere</w:t>
      </w:r>
      <w:r w:rsidR="00CB5AD8">
        <w:rPr>
          <w:rFonts w:cstheme="minorHAnsi"/>
        </w:rPr>
        <w:t>d as an AE/SAE, if</w:t>
      </w:r>
      <w:r w:rsidRPr="00F43529">
        <w:rPr>
          <w:rFonts w:cstheme="minorHAnsi"/>
        </w:rPr>
        <w:t xml:space="preserve"> it follows the course of normal clinical management for this cohort. </w:t>
      </w:r>
      <w:r w:rsidR="00977C45" w:rsidRPr="00F43529">
        <w:rPr>
          <w:rFonts w:cstheme="minorHAnsi"/>
        </w:rPr>
        <w:t>An escalation of hospitalisation (e.g. from general ward to inten</w:t>
      </w:r>
      <w:r w:rsidR="00CB5AD8">
        <w:rPr>
          <w:rFonts w:cstheme="minorHAnsi"/>
        </w:rPr>
        <w:t xml:space="preserve">sive care) as a result of taking the </w:t>
      </w:r>
      <w:r w:rsidR="00A768F6">
        <w:rPr>
          <w:rFonts w:cstheme="minorHAnsi"/>
        </w:rPr>
        <w:t>IMP</w:t>
      </w:r>
      <w:r w:rsidR="00073C4A">
        <w:rPr>
          <w:rFonts w:cstheme="minorHAnsi"/>
        </w:rPr>
        <w:t xml:space="preserve"> (e.g. an anaphylactic reaction)</w:t>
      </w:r>
      <w:r w:rsidR="00977C45" w:rsidRPr="00F43529">
        <w:rPr>
          <w:rFonts w:cstheme="minorHAnsi"/>
        </w:rPr>
        <w:t xml:space="preserve"> will be classified as a SAE/SADR. </w:t>
      </w:r>
      <w:r w:rsidR="0037155B">
        <w:rPr>
          <w:rFonts w:cstheme="minorHAnsi"/>
        </w:rPr>
        <w:t>A tubular rupture</w:t>
      </w:r>
      <w:r w:rsidR="00D72B2C">
        <w:rPr>
          <w:rFonts w:cstheme="minorHAnsi"/>
        </w:rPr>
        <w:t xml:space="preserve"> or </w:t>
      </w:r>
      <w:r w:rsidR="00D72B2C">
        <w:rPr>
          <w:rFonts w:cstheme="minorHAnsi"/>
        </w:rPr>
        <w:lastRenderedPageBreak/>
        <w:t>subsequent surgical management required by the participants</w:t>
      </w:r>
      <w:r w:rsidR="0037155B">
        <w:rPr>
          <w:rFonts w:cstheme="minorHAnsi"/>
        </w:rPr>
        <w:t xml:space="preserve"> will</w:t>
      </w:r>
      <w:r w:rsidR="005B37AD">
        <w:rPr>
          <w:rFonts w:cstheme="minorHAnsi"/>
        </w:rPr>
        <w:t xml:space="preserve"> be noted as a SAE and</w:t>
      </w:r>
      <w:r w:rsidR="0037155B">
        <w:rPr>
          <w:rFonts w:cstheme="minorHAnsi"/>
        </w:rPr>
        <w:t xml:space="preserve"> </w:t>
      </w:r>
      <w:r w:rsidR="005B37AD">
        <w:rPr>
          <w:rFonts w:cstheme="minorHAnsi"/>
        </w:rPr>
        <w:t xml:space="preserve">not as a </w:t>
      </w:r>
      <w:r w:rsidR="0037155B">
        <w:rPr>
          <w:rFonts w:cstheme="minorHAnsi"/>
        </w:rPr>
        <w:t>SADR</w:t>
      </w:r>
      <w:r w:rsidR="00D72B2C">
        <w:rPr>
          <w:rFonts w:cstheme="minorHAnsi"/>
        </w:rPr>
        <w:t>,</w:t>
      </w:r>
      <w:r w:rsidR="0037155B">
        <w:rPr>
          <w:rFonts w:cstheme="minorHAnsi"/>
        </w:rPr>
        <w:t xml:space="preserve"> as it follows the normal disease progression </w:t>
      </w:r>
      <w:r w:rsidR="005B37AD">
        <w:rPr>
          <w:rFonts w:cstheme="minorHAnsi"/>
        </w:rPr>
        <w:t xml:space="preserve">following the failed medical management </w:t>
      </w:r>
      <w:r w:rsidR="0037155B">
        <w:rPr>
          <w:rFonts w:cstheme="minorHAnsi"/>
        </w:rPr>
        <w:t>of an ectopic pregnancy</w:t>
      </w:r>
      <w:r w:rsidR="00907467">
        <w:rPr>
          <w:rFonts w:cstheme="minorHAnsi"/>
        </w:rPr>
        <w:t>.</w:t>
      </w:r>
      <w:r w:rsidR="0037155B">
        <w:rPr>
          <w:rFonts w:cstheme="minorHAnsi"/>
        </w:rPr>
        <w:t xml:space="preserve"> </w:t>
      </w:r>
    </w:p>
    <w:p w14:paraId="337D39F7" w14:textId="77777777" w:rsidR="00B964A7" w:rsidRPr="00F43529" w:rsidRDefault="00B964A7" w:rsidP="00B964A7">
      <w:pPr>
        <w:rPr>
          <w:rFonts w:cstheme="minorHAnsi"/>
        </w:rPr>
      </w:pPr>
    </w:p>
    <w:p w14:paraId="66259437" w14:textId="77777777" w:rsidR="0072065E" w:rsidRPr="005226B4" w:rsidRDefault="00B964A7" w:rsidP="0072065E">
      <w:pPr>
        <w:rPr>
          <w:rFonts w:cstheme="minorHAnsi"/>
        </w:rPr>
      </w:pPr>
      <w:r w:rsidRPr="00F43529">
        <w:rPr>
          <w:rFonts w:cstheme="minorHAnsi"/>
        </w:rPr>
        <w:t xml:space="preserve">Participants will be asked about the occurrence of AEs/SAEs at every research team contact episode during the </w:t>
      </w:r>
      <w:r w:rsidR="009E218B">
        <w:rPr>
          <w:rFonts w:cstheme="minorHAnsi"/>
        </w:rPr>
        <w:t xml:space="preserve">treatment phase of the </w:t>
      </w:r>
      <w:r w:rsidRPr="00F43529">
        <w:rPr>
          <w:rFonts w:cstheme="minorHAnsi"/>
        </w:rPr>
        <w:t xml:space="preserve">study, using open-ended and non-leading questions (e.g. “Tell me about how you’ve been feeling”), as well as specific questions </w:t>
      </w:r>
      <w:r w:rsidRPr="00534345">
        <w:rPr>
          <w:rFonts w:cstheme="minorHAnsi"/>
        </w:rPr>
        <w:t xml:space="preserve">relating to any occurrence of common ADRs (e.g. gastrointestinal symptoms). </w:t>
      </w:r>
      <w:r w:rsidR="0072065E" w:rsidRPr="005226B4">
        <w:rPr>
          <w:rFonts w:cstheme="minorHAnsi"/>
        </w:rPr>
        <w:t xml:space="preserve">Known, common gastrointestinal side effects of vinorelbine (nausea, vomiting, diarrhoea, constipation) will be noted on the CRF but do not need to be recorded as AEs, unless meeting the criteria for a ‘serious’ or ‘severe’ event (see </w:t>
      </w:r>
      <w:r w:rsidR="0072065E" w:rsidRPr="005226B4">
        <w:rPr>
          <w:rFonts w:cstheme="minorHAnsi"/>
          <w:i/>
        </w:rPr>
        <w:t>Section 10.1</w:t>
      </w:r>
      <w:r w:rsidR="0072065E" w:rsidRPr="005226B4">
        <w:rPr>
          <w:rFonts w:cstheme="minorHAnsi"/>
        </w:rPr>
        <w:t xml:space="preserve">). </w:t>
      </w:r>
    </w:p>
    <w:p w14:paraId="4AB3F9DE" w14:textId="77777777" w:rsidR="00B964A7" w:rsidRDefault="00B964A7" w:rsidP="00B964A7">
      <w:pPr>
        <w:rPr>
          <w:rFonts w:cstheme="minorHAnsi"/>
        </w:rPr>
      </w:pPr>
      <w:r w:rsidRPr="00534345">
        <w:rPr>
          <w:rFonts w:cstheme="minorHAnsi"/>
        </w:rPr>
        <w:t>Participants’ medication charts will be reviewed to assess for study protocol compliance,</w:t>
      </w:r>
      <w:r w:rsidR="00534345">
        <w:rPr>
          <w:rFonts w:cstheme="minorHAnsi"/>
        </w:rPr>
        <w:t xml:space="preserve"> as well as to monitor</w:t>
      </w:r>
      <w:r w:rsidRPr="00534345">
        <w:rPr>
          <w:rFonts w:cstheme="minorHAnsi"/>
        </w:rPr>
        <w:t xml:space="preserve"> concomitant medications.</w:t>
      </w:r>
      <w:r w:rsidRPr="008215AD">
        <w:rPr>
          <w:rFonts w:cstheme="minorHAnsi"/>
          <w:color w:val="FF0000"/>
        </w:rPr>
        <w:t xml:space="preserve"> </w:t>
      </w:r>
      <w:r w:rsidRPr="00534345">
        <w:rPr>
          <w:rFonts w:cstheme="minorHAnsi"/>
        </w:rPr>
        <w:t>AEs/SAEs may also be identified via information from the medical history or other source documents (e.g. abnormal pathology test results not consistent with the wo</w:t>
      </w:r>
      <w:r w:rsidR="00534345" w:rsidRPr="00534345">
        <w:rPr>
          <w:rFonts w:cstheme="minorHAnsi"/>
        </w:rPr>
        <w:t>man’s ectopic pregnancy resolving</w:t>
      </w:r>
      <w:r w:rsidRPr="00534345">
        <w:rPr>
          <w:rFonts w:cstheme="minorHAnsi"/>
        </w:rPr>
        <w:t>). If there is any doubt whether or not an event or clinical observation constitutes an AE, the event will be recorded as an AE.</w:t>
      </w:r>
    </w:p>
    <w:p w14:paraId="75858519" w14:textId="77777777" w:rsidR="00BB7CB2" w:rsidRPr="008215AD" w:rsidRDefault="00BB7CB2" w:rsidP="00B964A7">
      <w:pPr>
        <w:rPr>
          <w:rFonts w:cstheme="minorHAnsi"/>
          <w:color w:val="FF0000"/>
        </w:rPr>
      </w:pPr>
    </w:p>
    <w:p w14:paraId="1E500CEA" w14:textId="77777777" w:rsidR="00B964A7" w:rsidRDefault="00B964A7" w:rsidP="00B02582">
      <w:pPr>
        <w:pStyle w:val="ListParagraph"/>
        <w:numPr>
          <w:ilvl w:val="1"/>
          <w:numId w:val="1"/>
        </w:numPr>
        <w:outlineLvl w:val="1"/>
        <w:rPr>
          <w:rFonts w:cstheme="minorHAnsi"/>
          <w:b/>
        </w:rPr>
      </w:pPr>
      <w:bookmarkStart w:id="149" w:name="_Toc473873118"/>
      <w:bookmarkStart w:id="150" w:name="_Toc489888116"/>
      <w:r w:rsidRPr="00B05FFC">
        <w:rPr>
          <w:rFonts w:cstheme="minorHAnsi"/>
          <w:b/>
        </w:rPr>
        <w:t>RECORDING AEs AND SAEs</w:t>
      </w:r>
      <w:bookmarkEnd w:id="149"/>
      <w:bookmarkEnd w:id="150"/>
    </w:p>
    <w:p w14:paraId="000C382A" w14:textId="77777777" w:rsidR="00B964A7" w:rsidRPr="00D83684" w:rsidRDefault="00B964A7" w:rsidP="00B964A7">
      <w:pPr>
        <w:rPr>
          <w:rFonts w:cstheme="minorHAnsi"/>
        </w:rPr>
      </w:pPr>
      <w:r w:rsidRPr="0072065E">
        <w:rPr>
          <w:rFonts w:cstheme="minorHAnsi"/>
        </w:rPr>
        <w:t>Following notification of the occurrence of an AE or SAE, it is th</w:t>
      </w:r>
      <w:r w:rsidR="00D83684">
        <w:rPr>
          <w:rFonts w:cstheme="minorHAnsi"/>
        </w:rPr>
        <w:t>e responsibility of the</w:t>
      </w:r>
      <w:r w:rsidRPr="0072065E">
        <w:rPr>
          <w:rFonts w:cstheme="minorHAnsi"/>
        </w:rPr>
        <w:t xml:space="preserve"> </w:t>
      </w:r>
      <w:r w:rsidR="00B812CE">
        <w:rPr>
          <w:rFonts w:cstheme="minorHAnsi"/>
        </w:rPr>
        <w:t>Site Leader</w:t>
      </w:r>
      <w:r w:rsidR="00D83684">
        <w:rPr>
          <w:rFonts w:cstheme="minorHAnsi"/>
        </w:rPr>
        <w:t xml:space="preserve"> </w:t>
      </w:r>
      <w:r w:rsidRPr="0072065E">
        <w:rPr>
          <w:rFonts w:cstheme="minorHAnsi"/>
        </w:rPr>
        <w:t>to review all documentation and source data related to the incident, as well as recording and reporting the event to the r</w:t>
      </w:r>
      <w:r w:rsidR="0072065E" w:rsidRPr="0072065E">
        <w:rPr>
          <w:rFonts w:cstheme="minorHAnsi"/>
        </w:rPr>
        <w:t xml:space="preserve">elevant body/bodies (i.e. the Co-ordinating Trials Office, HDEC, </w:t>
      </w:r>
      <w:r w:rsidR="0072065E" w:rsidRPr="00D83684">
        <w:rPr>
          <w:rFonts w:cstheme="minorHAnsi"/>
        </w:rPr>
        <w:t>Medsafe, etc.</w:t>
      </w:r>
      <w:r w:rsidRPr="00D83684">
        <w:rPr>
          <w:rFonts w:cstheme="minorHAnsi"/>
        </w:rPr>
        <w:t xml:space="preserve">). </w:t>
      </w:r>
      <w:r w:rsidR="00D83684" w:rsidRPr="00D83684">
        <w:rPr>
          <w:rFonts w:cstheme="minorHAnsi"/>
        </w:rPr>
        <w:t xml:space="preserve">The </w:t>
      </w:r>
      <w:r w:rsidR="00E24F43">
        <w:rPr>
          <w:rFonts w:cstheme="minorHAnsi"/>
        </w:rPr>
        <w:t>Site Leader</w:t>
      </w:r>
      <w:r w:rsidRPr="00D83684">
        <w:rPr>
          <w:rFonts w:cstheme="minorHAnsi"/>
        </w:rPr>
        <w:t xml:space="preserve"> must record all relevant information in the CRF and complete a SAE form, if the event meets the criteria of a ‘serious’ incident (as outlined in </w:t>
      </w:r>
      <w:r w:rsidRPr="00D83684">
        <w:rPr>
          <w:rFonts w:cstheme="minorHAnsi"/>
          <w:i/>
        </w:rPr>
        <w:t>Section 10.1</w:t>
      </w:r>
      <w:r w:rsidRPr="00D83684">
        <w:rPr>
          <w:rFonts w:cstheme="minorHAnsi"/>
        </w:rPr>
        <w:t>). Required information includes:</w:t>
      </w:r>
    </w:p>
    <w:p w14:paraId="6FD35DD9" w14:textId="77777777" w:rsidR="00B964A7" w:rsidRPr="00D83684" w:rsidRDefault="00B964A7" w:rsidP="00B964A7">
      <w:pPr>
        <w:pStyle w:val="ListParagraph"/>
        <w:numPr>
          <w:ilvl w:val="0"/>
          <w:numId w:val="29"/>
        </w:numPr>
        <w:rPr>
          <w:rFonts w:cstheme="minorHAnsi"/>
        </w:rPr>
      </w:pPr>
      <w:r w:rsidRPr="00D83684">
        <w:rPr>
          <w:rFonts w:cstheme="minorHAnsi"/>
        </w:rPr>
        <w:t xml:space="preserve">Date of event onset </w:t>
      </w:r>
    </w:p>
    <w:p w14:paraId="1AC44FB0" w14:textId="77777777" w:rsidR="00B964A7" w:rsidRPr="00D83684" w:rsidRDefault="00B964A7" w:rsidP="00B964A7">
      <w:pPr>
        <w:pStyle w:val="ListParagraph"/>
        <w:numPr>
          <w:ilvl w:val="0"/>
          <w:numId w:val="29"/>
        </w:numPr>
        <w:rPr>
          <w:rFonts w:cstheme="minorHAnsi"/>
        </w:rPr>
      </w:pPr>
      <w:r w:rsidRPr="00D83684">
        <w:rPr>
          <w:rFonts w:cstheme="minorHAnsi"/>
        </w:rPr>
        <w:t>Type of event</w:t>
      </w:r>
    </w:p>
    <w:p w14:paraId="7831CBCE" w14:textId="77777777" w:rsidR="00B964A7" w:rsidRPr="00D83684" w:rsidRDefault="00B964A7" w:rsidP="00B964A7">
      <w:pPr>
        <w:pStyle w:val="ListParagraph"/>
        <w:numPr>
          <w:ilvl w:val="0"/>
          <w:numId w:val="29"/>
        </w:numPr>
        <w:rPr>
          <w:rFonts w:cstheme="minorHAnsi"/>
        </w:rPr>
      </w:pPr>
      <w:r w:rsidRPr="00D83684">
        <w:rPr>
          <w:rFonts w:cstheme="minorHAnsi"/>
        </w:rPr>
        <w:t>Temporality</w:t>
      </w:r>
    </w:p>
    <w:p w14:paraId="296498DF" w14:textId="77777777" w:rsidR="00B964A7" w:rsidRPr="00D83684" w:rsidRDefault="00B964A7" w:rsidP="00B964A7">
      <w:pPr>
        <w:pStyle w:val="ListParagraph"/>
        <w:numPr>
          <w:ilvl w:val="0"/>
          <w:numId w:val="29"/>
        </w:numPr>
        <w:rPr>
          <w:rFonts w:cstheme="minorHAnsi"/>
        </w:rPr>
      </w:pPr>
      <w:r w:rsidRPr="00D83684">
        <w:rPr>
          <w:rFonts w:cstheme="minorHAnsi"/>
        </w:rPr>
        <w:t>Medication dosages</w:t>
      </w:r>
    </w:p>
    <w:p w14:paraId="13496062" w14:textId="77777777" w:rsidR="00B964A7" w:rsidRPr="00D83684" w:rsidRDefault="00D83684" w:rsidP="00B964A7">
      <w:pPr>
        <w:pStyle w:val="ListParagraph"/>
        <w:numPr>
          <w:ilvl w:val="0"/>
          <w:numId w:val="29"/>
        </w:numPr>
        <w:rPr>
          <w:rFonts w:cstheme="minorHAnsi"/>
        </w:rPr>
      </w:pPr>
      <w:r w:rsidRPr="00D83684">
        <w:rPr>
          <w:rFonts w:cstheme="minorHAnsi"/>
        </w:rPr>
        <w:t>A</w:t>
      </w:r>
      <w:r w:rsidR="00B964A7" w:rsidRPr="00D83684">
        <w:rPr>
          <w:rFonts w:cstheme="minorHAnsi"/>
        </w:rPr>
        <w:t xml:space="preserve">ssessment of causality and severity </w:t>
      </w:r>
    </w:p>
    <w:p w14:paraId="01033A04" w14:textId="77777777" w:rsidR="00B964A7" w:rsidRPr="00D83684" w:rsidRDefault="00B964A7" w:rsidP="00B964A7">
      <w:pPr>
        <w:pStyle w:val="ListParagraph"/>
        <w:numPr>
          <w:ilvl w:val="0"/>
          <w:numId w:val="29"/>
        </w:numPr>
        <w:rPr>
          <w:rFonts w:cstheme="minorHAnsi"/>
        </w:rPr>
      </w:pPr>
      <w:r w:rsidRPr="00D83684">
        <w:rPr>
          <w:rFonts w:cstheme="minorHAnsi"/>
        </w:rPr>
        <w:t>Treatments/investigations required</w:t>
      </w:r>
    </w:p>
    <w:p w14:paraId="73D55795" w14:textId="77777777" w:rsidR="00B964A7" w:rsidRPr="00D83684" w:rsidRDefault="00B964A7" w:rsidP="00B964A7">
      <w:pPr>
        <w:pStyle w:val="ListParagraph"/>
        <w:numPr>
          <w:ilvl w:val="0"/>
          <w:numId w:val="29"/>
        </w:numPr>
        <w:rPr>
          <w:rFonts w:cstheme="minorHAnsi"/>
        </w:rPr>
      </w:pPr>
      <w:r w:rsidRPr="00D83684">
        <w:rPr>
          <w:rFonts w:cstheme="minorHAnsi"/>
        </w:rPr>
        <w:t>Time to resolution</w:t>
      </w:r>
    </w:p>
    <w:p w14:paraId="5A8DEECE" w14:textId="77777777" w:rsidR="00B964A7" w:rsidRPr="00D83684" w:rsidRDefault="00B964A7" w:rsidP="00B964A7">
      <w:pPr>
        <w:pStyle w:val="ListParagraph"/>
        <w:numPr>
          <w:ilvl w:val="0"/>
          <w:numId w:val="29"/>
        </w:numPr>
        <w:rPr>
          <w:rFonts w:cstheme="minorHAnsi"/>
        </w:rPr>
      </w:pPr>
      <w:r w:rsidRPr="00D83684">
        <w:rPr>
          <w:rFonts w:cstheme="minorHAnsi"/>
        </w:rPr>
        <w:t>Incident outcome</w:t>
      </w:r>
    </w:p>
    <w:p w14:paraId="120F4E00" w14:textId="77777777" w:rsidR="00B964A7" w:rsidRPr="00D83684" w:rsidRDefault="00B964A7" w:rsidP="00B964A7">
      <w:pPr>
        <w:rPr>
          <w:rFonts w:cstheme="minorHAnsi"/>
        </w:rPr>
      </w:pPr>
      <w:r w:rsidRPr="00D83684">
        <w:rPr>
          <w:rFonts w:cstheme="minorHAnsi"/>
        </w:rPr>
        <w:t>These responsibilities m</w:t>
      </w:r>
      <w:r w:rsidR="00E24F43">
        <w:rPr>
          <w:rFonts w:cstheme="minorHAnsi"/>
        </w:rPr>
        <w:t>ay be delegated by the Site Leader</w:t>
      </w:r>
      <w:r w:rsidRPr="00D83684">
        <w:rPr>
          <w:rFonts w:cstheme="minorHAnsi"/>
        </w:rPr>
        <w:t xml:space="preserve"> to another suitably qualified medical doctor who is also a registered Investigator associated with the study (these responsibilities must be documented on the delegation log).</w:t>
      </w:r>
    </w:p>
    <w:p w14:paraId="702FFE75" w14:textId="77777777" w:rsidR="00B964A7" w:rsidRPr="008215AD" w:rsidRDefault="00B964A7" w:rsidP="00B964A7">
      <w:pPr>
        <w:rPr>
          <w:rFonts w:cstheme="minorHAnsi"/>
          <w:color w:val="FF0000"/>
        </w:rPr>
      </w:pPr>
    </w:p>
    <w:p w14:paraId="7C41D200" w14:textId="77777777" w:rsidR="00B964A7" w:rsidRPr="00B05FFC" w:rsidRDefault="00B964A7" w:rsidP="00B02582">
      <w:pPr>
        <w:pStyle w:val="ListParagraph"/>
        <w:numPr>
          <w:ilvl w:val="1"/>
          <w:numId w:val="1"/>
        </w:numPr>
        <w:outlineLvl w:val="1"/>
        <w:rPr>
          <w:rFonts w:cstheme="minorHAnsi"/>
          <w:b/>
        </w:rPr>
      </w:pPr>
      <w:bookmarkStart w:id="151" w:name="_Toc473873119"/>
      <w:bookmarkStart w:id="152" w:name="_Toc489888117"/>
      <w:r w:rsidRPr="00B05FFC">
        <w:rPr>
          <w:rFonts w:cstheme="minorHAnsi"/>
          <w:b/>
        </w:rPr>
        <w:t>ASSESSMENT OF AEs AND SAEs</w:t>
      </w:r>
      <w:bookmarkEnd w:id="151"/>
      <w:bookmarkEnd w:id="152"/>
    </w:p>
    <w:p w14:paraId="1A272404" w14:textId="34E3E1E1" w:rsidR="00F15EF1" w:rsidRPr="00F15EF1" w:rsidRDefault="00B964A7" w:rsidP="00B964A7">
      <w:pPr>
        <w:rPr>
          <w:rFonts w:cstheme="minorHAnsi"/>
        </w:rPr>
      </w:pPr>
      <w:r w:rsidRPr="003F2FFE">
        <w:rPr>
          <w:rFonts w:cstheme="minorHAnsi"/>
        </w:rPr>
        <w:t xml:space="preserve">A medically-qualified Investigator must assess all AEs/ADRs as they occur for their seriousness, expectedness, causality and severity. As this is a single arm study, all AEs will be assessed knowing that </w:t>
      </w:r>
      <w:r w:rsidRPr="003F2FFE">
        <w:rPr>
          <w:rFonts w:cstheme="minorHAnsi"/>
        </w:rPr>
        <w:lastRenderedPageBreak/>
        <w:t>t</w:t>
      </w:r>
      <w:r w:rsidR="00387C15" w:rsidRPr="003F2FFE">
        <w:rPr>
          <w:rFonts w:cstheme="minorHAnsi"/>
        </w:rPr>
        <w:t>he participant is taking the Investigational Medical Product (IMP)</w:t>
      </w:r>
      <w:r w:rsidRPr="003F2FFE">
        <w:rPr>
          <w:rFonts w:cstheme="minorHAnsi"/>
        </w:rPr>
        <w:t>. Any event that is classified as ‘Serious’ (SAE/SADR/SU</w:t>
      </w:r>
      <w:r w:rsidR="00C24A41">
        <w:rPr>
          <w:rFonts w:cstheme="minorHAnsi"/>
        </w:rPr>
        <w:t>SAR) must be notified to the Site Leader</w:t>
      </w:r>
      <w:r w:rsidRPr="003F2FFE">
        <w:rPr>
          <w:rFonts w:cstheme="minorHAnsi"/>
        </w:rPr>
        <w:t xml:space="preserve"> within 24 hours of a Co-Investigator’</w:t>
      </w:r>
      <w:r w:rsidR="00F15EF1">
        <w:rPr>
          <w:rFonts w:cstheme="minorHAnsi"/>
        </w:rPr>
        <w:t>s first awareness of the event.</w:t>
      </w:r>
    </w:p>
    <w:p w14:paraId="0789BFD2" w14:textId="77777777" w:rsidR="00B964A7" w:rsidRDefault="00C24A41" w:rsidP="00B964A7">
      <w:pPr>
        <w:rPr>
          <w:rFonts w:cstheme="minorHAnsi"/>
        </w:rPr>
      </w:pPr>
      <w:r>
        <w:rPr>
          <w:rFonts w:cstheme="minorHAnsi"/>
        </w:rPr>
        <w:t>The Site Leader</w:t>
      </w:r>
      <w:r w:rsidR="008C14D7" w:rsidRPr="003B0713">
        <w:rPr>
          <w:rFonts w:cstheme="minorHAnsi"/>
        </w:rPr>
        <w:t xml:space="preserve"> or designated medical Co-Investigator</w:t>
      </w:r>
      <w:r w:rsidR="00B964A7" w:rsidRPr="003B0713">
        <w:rPr>
          <w:rFonts w:cstheme="minorHAnsi"/>
        </w:rPr>
        <w:t xml:space="preserve"> will review all AEs that are reported </w:t>
      </w:r>
      <w:r w:rsidR="008C14D7" w:rsidRPr="003B0713">
        <w:rPr>
          <w:rFonts w:cstheme="minorHAnsi"/>
        </w:rPr>
        <w:t>to them by members of the study team</w:t>
      </w:r>
      <w:r w:rsidR="00B964A7" w:rsidRPr="003B0713">
        <w:rPr>
          <w:rFonts w:cstheme="minorHAnsi"/>
        </w:rPr>
        <w:t xml:space="preserve"> as</w:t>
      </w:r>
      <w:r>
        <w:rPr>
          <w:rFonts w:cstheme="minorHAnsi"/>
        </w:rPr>
        <w:t xml:space="preserve"> being ‘Serious’. The Site Leader</w:t>
      </w:r>
      <w:r w:rsidR="00B964A7" w:rsidRPr="003B0713">
        <w:rPr>
          <w:rFonts w:cstheme="minorHAnsi"/>
        </w:rPr>
        <w:t xml:space="preserve"> may not downgrade an event that has been assessed by another Investigator as ‘serious’ (SAE, SADR or SUSAR), but they may upgrade a reported AE/ADR to a ‘serious event’ as they deem </w:t>
      </w:r>
      <w:r w:rsidR="008D01AB">
        <w:rPr>
          <w:rFonts w:cstheme="minorHAnsi"/>
        </w:rPr>
        <w:t>appropriate. The Site Leader</w:t>
      </w:r>
      <w:r w:rsidR="003B0713" w:rsidRPr="003B0713">
        <w:rPr>
          <w:rFonts w:cstheme="minorHAnsi"/>
        </w:rPr>
        <w:t xml:space="preserve"> </w:t>
      </w:r>
      <w:r w:rsidR="00B964A7" w:rsidRPr="003B0713">
        <w:rPr>
          <w:rFonts w:cstheme="minorHAnsi"/>
        </w:rPr>
        <w:t>must also orga</w:t>
      </w:r>
      <w:r w:rsidR="003B0713" w:rsidRPr="003B0713">
        <w:rPr>
          <w:rFonts w:cstheme="minorHAnsi"/>
        </w:rPr>
        <w:t>nise</w:t>
      </w:r>
      <w:r w:rsidR="008D01AB">
        <w:rPr>
          <w:rFonts w:cstheme="minorHAnsi"/>
        </w:rPr>
        <w:t xml:space="preserve"> (or delegate appropriately)</w:t>
      </w:r>
      <w:r w:rsidR="003B0713" w:rsidRPr="003B0713">
        <w:rPr>
          <w:rFonts w:cstheme="minorHAnsi"/>
        </w:rPr>
        <w:t xml:space="preserve"> to inform the HDEC</w:t>
      </w:r>
      <w:r w:rsidR="005F71F4">
        <w:rPr>
          <w:rFonts w:cstheme="minorHAnsi"/>
        </w:rPr>
        <w:t>, TSC and DSMC</w:t>
      </w:r>
      <w:r w:rsidR="00B964A7" w:rsidRPr="003B0713">
        <w:rPr>
          <w:rFonts w:cstheme="minorHAnsi"/>
        </w:rPr>
        <w:t xml:space="preserve"> of any new information or research that comes to light during the trial</w:t>
      </w:r>
      <w:r w:rsidR="003B0713" w:rsidRPr="003B0713">
        <w:rPr>
          <w:rFonts w:cstheme="minorHAnsi"/>
        </w:rPr>
        <w:t xml:space="preserve"> regarding the safety of the drug</w:t>
      </w:r>
      <w:r w:rsidR="00B964A7" w:rsidRPr="003B0713">
        <w:rPr>
          <w:rFonts w:cstheme="minorHAnsi"/>
        </w:rPr>
        <w:t xml:space="preserve"> which could impact on the ethical acceptability of the study’s continuation.</w:t>
      </w:r>
    </w:p>
    <w:p w14:paraId="4A90A1CC" w14:textId="77777777" w:rsidR="003B0713" w:rsidRPr="003B0713" w:rsidRDefault="003B0713" w:rsidP="00B964A7">
      <w:pPr>
        <w:rPr>
          <w:rFonts w:cstheme="minorHAnsi"/>
          <w:b/>
        </w:rPr>
      </w:pPr>
    </w:p>
    <w:p w14:paraId="299BE607" w14:textId="77777777" w:rsidR="00B964A7" w:rsidRPr="00B05FFC" w:rsidRDefault="00B964A7" w:rsidP="00B02582">
      <w:pPr>
        <w:pStyle w:val="ListParagraph"/>
        <w:numPr>
          <w:ilvl w:val="2"/>
          <w:numId w:val="1"/>
        </w:numPr>
        <w:outlineLvl w:val="2"/>
        <w:rPr>
          <w:rFonts w:cstheme="minorHAnsi"/>
          <w:b/>
        </w:rPr>
      </w:pPr>
      <w:bookmarkStart w:id="153" w:name="_Toc473873120"/>
      <w:bookmarkStart w:id="154" w:name="_Toc489888118"/>
      <w:r w:rsidRPr="00B05FFC">
        <w:rPr>
          <w:rFonts w:cstheme="minorHAnsi"/>
          <w:b/>
        </w:rPr>
        <w:t>Assessment of seriousness</w:t>
      </w:r>
      <w:bookmarkEnd w:id="153"/>
      <w:bookmarkEnd w:id="154"/>
    </w:p>
    <w:p w14:paraId="5CD468FE" w14:textId="77777777" w:rsidR="00B964A7" w:rsidRDefault="00B964A7" w:rsidP="00B964A7">
      <w:pPr>
        <w:rPr>
          <w:rFonts w:cstheme="minorHAnsi"/>
        </w:rPr>
      </w:pPr>
      <w:r w:rsidRPr="003B0713">
        <w:rPr>
          <w:rFonts w:cstheme="minorHAnsi"/>
        </w:rPr>
        <w:t xml:space="preserve">A medically-qualified Investigator who is named on the delegation log will make an assessment of any reported event’s seriousness (as defined in </w:t>
      </w:r>
      <w:r w:rsidRPr="003B0713">
        <w:rPr>
          <w:rFonts w:cstheme="minorHAnsi"/>
          <w:i/>
        </w:rPr>
        <w:t>Section 10.1)</w:t>
      </w:r>
      <w:r w:rsidR="00CD50B6">
        <w:rPr>
          <w:rFonts w:cstheme="minorHAnsi"/>
        </w:rPr>
        <w:t>.</w:t>
      </w:r>
    </w:p>
    <w:p w14:paraId="5BCCB8EE" w14:textId="77777777" w:rsidR="00CD50B6" w:rsidRPr="007762FC" w:rsidRDefault="00CD50B6" w:rsidP="00B964A7">
      <w:pPr>
        <w:rPr>
          <w:rFonts w:cstheme="minorHAnsi"/>
        </w:rPr>
      </w:pPr>
    </w:p>
    <w:p w14:paraId="57DF6870" w14:textId="77777777" w:rsidR="00B964A7" w:rsidRPr="00B05FFC" w:rsidRDefault="00B964A7" w:rsidP="00B02582">
      <w:pPr>
        <w:pStyle w:val="ListParagraph"/>
        <w:numPr>
          <w:ilvl w:val="2"/>
          <w:numId w:val="1"/>
        </w:numPr>
        <w:outlineLvl w:val="2"/>
        <w:rPr>
          <w:rFonts w:cstheme="minorHAnsi"/>
          <w:b/>
        </w:rPr>
      </w:pPr>
      <w:bookmarkStart w:id="155" w:name="_Toc473873121"/>
      <w:bookmarkStart w:id="156" w:name="_Toc489888119"/>
      <w:r w:rsidRPr="00B05FFC">
        <w:rPr>
          <w:rFonts w:cstheme="minorHAnsi"/>
          <w:b/>
        </w:rPr>
        <w:t>Assessment of causality</w:t>
      </w:r>
      <w:bookmarkEnd w:id="155"/>
      <w:bookmarkEnd w:id="156"/>
    </w:p>
    <w:p w14:paraId="30B672B2" w14:textId="77777777" w:rsidR="00B964A7" w:rsidRPr="003B0713" w:rsidRDefault="00B964A7" w:rsidP="00B964A7">
      <w:pPr>
        <w:rPr>
          <w:rFonts w:cstheme="minorHAnsi"/>
        </w:rPr>
      </w:pPr>
      <w:r w:rsidRPr="003B0713">
        <w:rPr>
          <w:rFonts w:cstheme="minorHAnsi"/>
        </w:rPr>
        <w:t>A medically-qualified Investigator will make an assessment of the likelihood of an AE/SAE being related to the IMP according to these definitions:</w:t>
      </w:r>
    </w:p>
    <w:p w14:paraId="625AE09E" w14:textId="77777777" w:rsidR="00B964A7" w:rsidRPr="003B0713" w:rsidRDefault="00B964A7" w:rsidP="00B964A7">
      <w:pPr>
        <w:pStyle w:val="ListParagraph"/>
        <w:numPr>
          <w:ilvl w:val="0"/>
          <w:numId w:val="17"/>
        </w:numPr>
        <w:rPr>
          <w:rFonts w:cstheme="minorHAnsi"/>
        </w:rPr>
      </w:pPr>
      <w:r w:rsidRPr="003B0713">
        <w:rPr>
          <w:rFonts w:cstheme="minorHAnsi"/>
          <w:u w:val="single"/>
        </w:rPr>
        <w:t>‘Unrelated’</w:t>
      </w:r>
      <w:r w:rsidRPr="003B0713">
        <w:rPr>
          <w:rFonts w:cstheme="minorHAnsi"/>
        </w:rPr>
        <w:t>: Where an event is assessed as being not causally related to the administration of the IMP</w:t>
      </w:r>
    </w:p>
    <w:p w14:paraId="5367F1F4" w14:textId="77777777" w:rsidR="003B0713" w:rsidRPr="003B0713" w:rsidRDefault="00B964A7" w:rsidP="00B964A7">
      <w:pPr>
        <w:pStyle w:val="ListParagraph"/>
        <w:numPr>
          <w:ilvl w:val="0"/>
          <w:numId w:val="17"/>
        </w:numPr>
        <w:rPr>
          <w:rFonts w:cstheme="minorHAnsi"/>
        </w:rPr>
      </w:pPr>
      <w:r w:rsidRPr="003B0713">
        <w:rPr>
          <w:rFonts w:cstheme="minorHAnsi"/>
          <w:u w:val="single"/>
        </w:rPr>
        <w:t>‘Possibly related’</w:t>
      </w:r>
      <w:r w:rsidRPr="003B0713">
        <w:rPr>
          <w:rFonts w:cstheme="minorHAnsi"/>
        </w:rPr>
        <w:t xml:space="preserve">: The AE is assessed as being possibly causally related to the IMP (based on the nature of the event, temporal relationship between AE and IMP dosing, concomitant medications, or the underlying medical condition). </w:t>
      </w:r>
    </w:p>
    <w:p w14:paraId="55B9EE56" w14:textId="77777777" w:rsidR="00B964A7" w:rsidRPr="003B0713" w:rsidRDefault="00B964A7" w:rsidP="003B0713">
      <w:pPr>
        <w:rPr>
          <w:rFonts w:cstheme="minorHAnsi"/>
        </w:rPr>
      </w:pPr>
      <w:r w:rsidRPr="003B0713">
        <w:rPr>
          <w:rFonts w:cstheme="minorHAnsi"/>
        </w:rPr>
        <w:t xml:space="preserve">This assessment of causality will be referenced against the safety </w:t>
      </w:r>
      <w:r w:rsidR="003B0713" w:rsidRPr="003B0713">
        <w:rPr>
          <w:rFonts w:cstheme="minorHAnsi"/>
        </w:rPr>
        <w:t xml:space="preserve">information detailed in </w:t>
      </w:r>
      <w:r w:rsidRPr="003B0713">
        <w:rPr>
          <w:rFonts w:cstheme="minorHAnsi"/>
          <w:i/>
        </w:rPr>
        <w:t>Appendix 1</w:t>
      </w:r>
      <w:r w:rsidRPr="003B0713">
        <w:rPr>
          <w:rFonts w:cstheme="minorHAnsi"/>
        </w:rPr>
        <w:t>. The Investigator may further sub-classify this assessment as ‘unlikely, but possibly related’, or ‘likely to be related’, according to their assessment of the event</w:t>
      </w:r>
    </w:p>
    <w:p w14:paraId="58F94B22" w14:textId="77777777" w:rsidR="00B964A7" w:rsidRPr="003B0713" w:rsidRDefault="00B964A7" w:rsidP="00B964A7">
      <w:pPr>
        <w:rPr>
          <w:rFonts w:cstheme="minorHAnsi"/>
        </w:rPr>
      </w:pPr>
      <w:r w:rsidRPr="003B0713">
        <w:rPr>
          <w:rFonts w:cstheme="minorHAnsi"/>
          <w:i/>
          <w:u w:val="single"/>
        </w:rPr>
        <w:t>Note:</w:t>
      </w:r>
      <w:r w:rsidRPr="003B0713">
        <w:rPr>
          <w:rFonts w:cstheme="minorHAnsi"/>
        </w:rPr>
        <w:t xml:space="preserve"> If an AE is considered to be attributed to the interaction between the IMP </w:t>
      </w:r>
      <w:r w:rsidRPr="003B0713">
        <w:rPr>
          <w:rFonts w:cstheme="minorHAnsi"/>
          <w:i/>
          <w:u w:val="single"/>
        </w:rPr>
        <w:t>and</w:t>
      </w:r>
      <w:r w:rsidRPr="003B0713">
        <w:rPr>
          <w:rFonts w:cstheme="minorHAnsi"/>
        </w:rPr>
        <w:t xml:space="preserve"> another concomitant medication - or where an AE could be linked to </w:t>
      </w:r>
      <w:r w:rsidRPr="003B0713">
        <w:rPr>
          <w:rFonts w:cstheme="minorHAnsi"/>
          <w:i/>
          <w:u w:val="single"/>
        </w:rPr>
        <w:t>either</w:t>
      </w:r>
      <w:r w:rsidRPr="003B0713">
        <w:rPr>
          <w:rFonts w:cstheme="minorHAnsi"/>
          <w:b/>
        </w:rPr>
        <w:t xml:space="preserve"> </w:t>
      </w:r>
      <w:r w:rsidRPr="003B0713">
        <w:rPr>
          <w:rFonts w:cstheme="minorHAnsi"/>
        </w:rPr>
        <w:t>the IMP or a concomitant medication - the AE must be catego</w:t>
      </w:r>
      <w:r w:rsidR="003B0713" w:rsidRPr="003B0713">
        <w:rPr>
          <w:rFonts w:cstheme="minorHAnsi"/>
        </w:rPr>
        <w:t>rised as an ADR of vinorelbine</w:t>
      </w:r>
      <w:r w:rsidRPr="003B0713">
        <w:rPr>
          <w:rFonts w:cstheme="minorHAnsi"/>
        </w:rPr>
        <w:t>.</w:t>
      </w:r>
    </w:p>
    <w:p w14:paraId="6EC434C9" w14:textId="77777777" w:rsidR="00B964A7" w:rsidRPr="00B05FFC" w:rsidRDefault="00B964A7" w:rsidP="00B964A7">
      <w:pPr>
        <w:rPr>
          <w:rFonts w:cstheme="minorHAnsi"/>
          <w:b/>
        </w:rPr>
      </w:pPr>
    </w:p>
    <w:p w14:paraId="7829F043" w14:textId="77777777" w:rsidR="00B964A7" w:rsidRPr="00FF36C0" w:rsidRDefault="00B964A7" w:rsidP="00B02582">
      <w:pPr>
        <w:pStyle w:val="ListParagraph"/>
        <w:numPr>
          <w:ilvl w:val="2"/>
          <w:numId w:val="1"/>
        </w:numPr>
        <w:outlineLvl w:val="2"/>
        <w:rPr>
          <w:rFonts w:cstheme="minorHAnsi"/>
          <w:b/>
        </w:rPr>
      </w:pPr>
      <w:bookmarkStart w:id="157" w:name="_Toc473873122"/>
      <w:bookmarkStart w:id="158" w:name="_Toc489888120"/>
      <w:r w:rsidRPr="00FF36C0">
        <w:rPr>
          <w:rFonts w:cstheme="minorHAnsi"/>
          <w:b/>
        </w:rPr>
        <w:t>Assessment of expectedness</w:t>
      </w:r>
      <w:bookmarkEnd w:id="157"/>
      <w:bookmarkEnd w:id="158"/>
    </w:p>
    <w:p w14:paraId="7BF3343F" w14:textId="77777777" w:rsidR="00B964A7" w:rsidRPr="00FF36C0" w:rsidRDefault="00B964A7" w:rsidP="00B964A7">
      <w:pPr>
        <w:rPr>
          <w:rFonts w:cstheme="minorHAnsi"/>
        </w:rPr>
      </w:pPr>
      <w:r w:rsidRPr="00FF36C0">
        <w:rPr>
          <w:rFonts w:cstheme="minorHAnsi"/>
        </w:rPr>
        <w:t>If an event is classified as an ADR, the assessing Investigator must use the information in the manufacturer’s Product Information to assign a level of expectedness to the ADR, based on existing knowledge of the drug’s potential to cause that particular event. The ADR must be termed as either:</w:t>
      </w:r>
    </w:p>
    <w:p w14:paraId="3C28431B" w14:textId="77777777" w:rsidR="00B964A7" w:rsidRPr="00FF36C0" w:rsidRDefault="00B964A7" w:rsidP="00B964A7">
      <w:pPr>
        <w:pStyle w:val="ListParagraph"/>
        <w:numPr>
          <w:ilvl w:val="0"/>
          <w:numId w:val="18"/>
        </w:numPr>
        <w:rPr>
          <w:rFonts w:cstheme="minorHAnsi"/>
        </w:rPr>
      </w:pPr>
      <w:r w:rsidRPr="00E722D6">
        <w:rPr>
          <w:rFonts w:cstheme="minorHAnsi"/>
          <w:u w:val="single"/>
        </w:rPr>
        <w:lastRenderedPageBreak/>
        <w:t>‘Expected’</w:t>
      </w:r>
      <w:r w:rsidRPr="00FF36C0">
        <w:rPr>
          <w:rFonts w:cstheme="minorHAnsi"/>
        </w:rPr>
        <w:t xml:space="preserve">: The ADR is consistent with the known toxicity profile of the </w:t>
      </w:r>
      <w:r w:rsidR="00FF36C0" w:rsidRPr="00FF36C0">
        <w:rPr>
          <w:rFonts w:cstheme="minorHAnsi"/>
        </w:rPr>
        <w:t xml:space="preserve">IMP, as outlined in </w:t>
      </w:r>
      <w:r w:rsidRPr="00FF36C0">
        <w:rPr>
          <w:rFonts w:cstheme="minorHAnsi"/>
          <w:i/>
        </w:rPr>
        <w:t>Appendix 1</w:t>
      </w:r>
      <w:r w:rsidRPr="00FF36C0">
        <w:rPr>
          <w:rFonts w:cstheme="minorHAnsi"/>
        </w:rPr>
        <w:t>; or</w:t>
      </w:r>
    </w:p>
    <w:p w14:paraId="6FA34423" w14:textId="77777777" w:rsidR="00B964A7" w:rsidRPr="00FF36C0" w:rsidRDefault="00B964A7" w:rsidP="00B964A7">
      <w:pPr>
        <w:pStyle w:val="ListParagraph"/>
        <w:numPr>
          <w:ilvl w:val="0"/>
          <w:numId w:val="18"/>
        </w:numPr>
        <w:rPr>
          <w:rFonts w:cstheme="minorHAnsi"/>
        </w:rPr>
      </w:pPr>
      <w:r w:rsidRPr="00E722D6">
        <w:rPr>
          <w:rFonts w:cstheme="minorHAnsi"/>
          <w:u w:val="single"/>
        </w:rPr>
        <w:t>‘Unexpected’</w:t>
      </w:r>
      <w:r w:rsidRPr="00FF36C0">
        <w:rPr>
          <w:rFonts w:cstheme="minorHAnsi"/>
        </w:rPr>
        <w:t>: The ADR is not consistent with the known toxicity profile of the IMP</w:t>
      </w:r>
    </w:p>
    <w:p w14:paraId="6579F10B" w14:textId="77777777" w:rsidR="00B964A7" w:rsidRPr="00B05FFC" w:rsidRDefault="00B964A7" w:rsidP="00B964A7">
      <w:pPr>
        <w:rPr>
          <w:rFonts w:cstheme="minorHAnsi"/>
          <w:b/>
        </w:rPr>
      </w:pPr>
    </w:p>
    <w:p w14:paraId="1221166E" w14:textId="77777777" w:rsidR="00B964A7" w:rsidRPr="00B05FFC" w:rsidRDefault="00B964A7" w:rsidP="00B02582">
      <w:pPr>
        <w:pStyle w:val="ListParagraph"/>
        <w:numPr>
          <w:ilvl w:val="2"/>
          <w:numId w:val="1"/>
        </w:numPr>
        <w:outlineLvl w:val="2"/>
        <w:rPr>
          <w:rFonts w:cstheme="minorHAnsi"/>
          <w:b/>
        </w:rPr>
      </w:pPr>
      <w:bookmarkStart w:id="159" w:name="_Toc473873123"/>
      <w:bookmarkStart w:id="160" w:name="_Toc489888121"/>
      <w:r w:rsidRPr="00B05FFC">
        <w:rPr>
          <w:rFonts w:cstheme="minorHAnsi"/>
          <w:b/>
        </w:rPr>
        <w:t>Assessment of severity</w:t>
      </w:r>
      <w:bookmarkEnd w:id="159"/>
      <w:bookmarkEnd w:id="160"/>
    </w:p>
    <w:p w14:paraId="1A662EDD" w14:textId="77777777" w:rsidR="00B964A7" w:rsidRPr="00FF36C0" w:rsidRDefault="00B964A7" w:rsidP="00B964A7">
      <w:pPr>
        <w:rPr>
          <w:rFonts w:cstheme="minorHAnsi"/>
        </w:rPr>
      </w:pPr>
      <w:r w:rsidRPr="00FF36C0">
        <w:rPr>
          <w:rFonts w:cstheme="minorHAnsi"/>
        </w:rPr>
        <w:t>The assessing Investigator will assign one of the three following categories of severity for each AE/SAE, and record their findings on the CRF/AE form:</w:t>
      </w:r>
    </w:p>
    <w:p w14:paraId="5D2090E7" w14:textId="77777777" w:rsidR="00B964A7" w:rsidRPr="00FF36C0" w:rsidRDefault="00B964A7" w:rsidP="00B964A7">
      <w:pPr>
        <w:pStyle w:val="ListParagraph"/>
        <w:numPr>
          <w:ilvl w:val="0"/>
          <w:numId w:val="19"/>
        </w:numPr>
        <w:rPr>
          <w:rFonts w:cstheme="minorHAnsi"/>
        </w:rPr>
      </w:pPr>
      <w:r w:rsidRPr="00FF36C0">
        <w:rPr>
          <w:rFonts w:cstheme="minorHAnsi"/>
          <w:u w:val="single"/>
        </w:rPr>
        <w:t>‘Mild’</w:t>
      </w:r>
      <w:r w:rsidRPr="00FF36C0">
        <w:rPr>
          <w:rFonts w:cstheme="minorHAnsi"/>
        </w:rPr>
        <w:t>: An AE that is easily tolerated by the participant, causing minimal discomfort and does not interfere with normal, daily activities</w:t>
      </w:r>
    </w:p>
    <w:p w14:paraId="4563C5BC" w14:textId="77777777" w:rsidR="00B964A7" w:rsidRPr="00FF36C0" w:rsidRDefault="00B964A7" w:rsidP="00B964A7">
      <w:pPr>
        <w:pStyle w:val="ListParagraph"/>
        <w:numPr>
          <w:ilvl w:val="0"/>
          <w:numId w:val="19"/>
        </w:numPr>
        <w:rPr>
          <w:rFonts w:cstheme="minorHAnsi"/>
        </w:rPr>
      </w:pPr>
      <w:r w:rsidRPr="00FF36C0">
        <w:rPr>
          <w:rFonts w:cstheme="minorHAnsi"/>
          <w:u w:val="single"/>
        </w:rPr>
        <w:t>‘Moderate’</w:t>
      </w:r>
      <w:r w:rsidRPr="00FF36C0">
        <w:rPr>
          <w:rFonts w:cstheme="minorHAnsi"/>
        </w:rPr>
        <w:t>: An AE that causes sufficient discomfort and interferes with the participant’s normal, daily activities</w:t>
      </w:r>
    </w:p>
    <w:p w14:paraId="1FA592A4" w14:textId="77777777" w:rsidR="00B964A7" w:rsidRPr="00FF36C0" w:rsidRDefault="00B964A7" w:rsidP="00B964A7">
      <w:pPr>
        <w:pStyle w:val="ListParagraph"/>
        <w:numPr>
          <w:ilvl w:val="0"/>
          <w:numId w:val="19"/>
        </w:numPr>
        <w:rPr>
          <w:rFonts w:cstheme="minorHAnsi"/>
        </w:rPr>
      </w:pPr>
      <w:r w:rsidRPr="00FF36C0">
        <w:rPr>
          <w:rFonts w:cstheme="minorHAnsi"/>
          <w:u w:val="single"/>
        </w:rPr>
        <w:t>‘Severe’</w:t>
      </w:r>
      <w:r w:rsidRPr="00FF36C0">
        <w:rPr>
          <w:rFonts w:cstheme="minorHAnsi"/>
        </w:rPr>
        <w:t>: An AE that prevents the participants from being able to perform their normal daily activities</w:t>
      </w:r>
    </w:p>
    <w:p w14:paraId="2DF77326" w14:textId="77777777" w:rsidR="00B964A7" w:rsidRPr="00FF36C0" w:rsidRDefault="00B964A7" w:rsidP="00B964A7">
      <w:pPr>
        <w:rPr>
          <w:rFonts w:cstheme="minorHAnsi"/>
        </w:rPr>
      </w:pPr>
      <w:r w:rsidRPr="00FF36C0">
        <w:rPr>
          <w:rFonts w:cstheme="minorHAnsi"/>
          <w:i/>
          <w:u w:val="single"/>
        </w:rPr>
        <w:t>Note:</w:t>
      </w:r>
      <w:r w:rsidRPr="00FF36C0">
        <w:rPr>
          <w:rFonts w:cstheme="minorHAnsi"/>
        </w:rPr>
        <w:t xml:space="preserve"> ‘Severity’ and ‘seriousness’ should not be confused – a severity rating is used to describe the intensity of an event, while seriousness is a regulatory definition based on participant or event outcome (see </w:t>
      </w:r>
      <w:r w:rsidRPr="00FF36C0">
        <w:rPr>
          <w:rFonts w:cstheme="minorHAnsi"/>
          <w:i/>
        </w:rPr>
        <w:t>Section 10.1</w:t>
      </w:r>
      <w:r w:rsidRPr="00FF36C0">
        <w:rPr>
          <w:rFonts w:cstheme="minorHAnsi"/>
        </w:rPr>
        <w:t>). One AE might be serious but no</w:t>
      </w:r>
      <w:r w:rsidR="00A77FE5">
        <w:rPr>
          <w:rFonts w:cstheme="minorHAnsi"/>
        </w:rPr>
        <w:t>t severe (e.g. Grade 1 neutropaenia</w:t>
      </w:r>
      <w:r w:rsidRPr="00FF36C0">
        <w:rPr>
          <w:rFonts w:cstheme="minorHAnsi"/>
        </w:rPr>
        <w:t>), while another could be severe but not serious (e.g. nausea).</w:t>
      </w:r>
    </w:p>
    <w:p w14:paraId="09093CEB" w14:textId="77777777" w:rsidR="00B964A7" w:rsidRPr="00B05FFC" w:rsidRDefault="00B964A7" w:rsidP="00B964A7">
      <w:pPr>
        <w:rPr>
          <w:rFonts w:cstheme="minorHAnsi"/>
          <w:b/>
        </w:rPr>
      </w:pPr>
    </w:p>
    <w:p w14:paraId="4272BB1E" w14:textId="77777777" w:rsidR="00B964A7" w:rsidRDefault="00B964A7" w:rsidP="00B02582">
      <w:pPr>
        <w:pStyle w:val="ListParagraph"/>
        <w:numPr>
          <w:ilvl w:val="1"/>
          <w:numId w:val="1"/>
        </w:numPr>
        <w:outlineLvl w:val="1"/>
        <w:rPr>
          <w:rFonts w:cstheme="minorHAnsi"/>
          <w:b/>
        </w:rPr>
      </w:pPr>
      <w:bookmarkStart w:id="161" w:name="_Toc473873124"/>
      <w:bookmarkStart w:id="162" w:name="_Toc489888122"/>
      <w:r w:rsidRPr="00B05FFC">
        <w:rPr>
          <w:rFonts w:cstheme="minorHAnsi"/>
          <w:b/>
        </w:rPr>
        <w:t>REPORTING OF SAEs/SA</w:t>
      </w:r>
      <w:r>
        <w:rPr>
          <w:rFonts w:cstheme="minorHAnsi"/>
          <w:b/>
        </w:rPr>
        <w:t>D</w:t>
      </w:r>
      <w:r w:rsidRPr="00B05FFC">
        <w:rPr>
          <w:rFonts w:cstheme="minorHAnsi"/>
          <w:b/>
        </w:rPr>
        <w:t>Rs/SUSARs</w:t>
      </w:r>
      <w:bookmarkEnd w:id="161"/>
      <w:bookmarkEnd w:id="162"/>
    </w:p>
    <w:p w14:paraId="46814D22" w14:textId="77777777" w:rsidR="00B964A7" w:rsidRDefault="00B964A7" w:rsidP="00B964A7">
      <w:pPr>
        <w:rPr>
          <w:rFonts w:cstheme="minorHAnsi"/>
        </w:rPr>
      </w:pPr>
      <w:r w:rsidRPr="00E37685">
        <w:rPr>
          <w:rFonts w:cstheme="minorHAnsi"/>
        </w:rPr>
        <w:t xml:space="preserve">Once an investigator becomes aware that a study participant has experienced a SAE/SADR/SUSAR, the information will </w:t>
      </w:r>
      <w:r w:rsidR="00E37685" w:rsidRPr="00E37685">
        <w:rPr>
          <w:rFonts w:cstheme="minorHAnsi"/>
        </w:rPr>
        <w:t xml:space="preserve">be immediately reported to the NSH </w:t>
      </w:r>
      <w:r w:rsidR="00637A21">
        <w:rPr>
          <w:rFonts w:cstheme="minorHAnsi"/>
        </w:rPr>
        <w:t>Site Leader</w:t>
      </w:r>
      <w:r w:rsidR="00E37685" w:rsidRPr="00E37685">
        <w:rPr>
          <w:rFonts w:cstheme="minorHAnsi"/>
        </w:rPr>
        <w:t xml:space="preserve"> and co-ordinating trials office</w:t>
      </w:r>
      <w:r w:rsidR="00637A21">
        <w:rPr>
          <w:rFonts w:cstheme="minorHAnsi"/>
        </w:rPr>
        <w:t xml:space="preserve">, </w:t>
      </w:r>
      <w:r w:rsidRPr="00E37685">
        <w:rPr>
          <w:rFonts w:cstheme="minorHAnsi"/>
        </w:rPr>
        <w:t>no later than 24 hours after the assessing Investigator</w:t>
      </w:r>
      <w:r w:rsidR="00637A21">
        <w:rPr>
          <w:rFonts w:cstheme="minorHAnsi"/>
        </w:rPr>
        <w:t>’s first awareness of the event</w:t>
      </w:r>
      <w:r w:rsidR="00CD50B6">
        <w:rPr>
          <w:rFonts w:cstheme="minorHAnsi"/>
        </w:rPr>
        <w:t>.</w:t>
      </w:r>
    </w:p>
    <w:p w14:paraId="6978E605" w14:textId="77777777" w:rsidR="00CD50B6" w:rsidRPr="00E37685" w:rsidRDefault="00CD50B6" w:rsidP="00B964A7">
      <w:pPr>
        <w:rPr>
          <w:rFonts w:cstheme="minorHAnsi"/>
        </w:rPr>
      </w:pPr>
    </w:p>
    <w:p w14:paraId="5E1D3165" w14:textId="77777777" w:rsidR="00B964A7" w:rsidRDefault="00B964A7" w:rsidP="00B964A7">
      <w:pPr>
        <w:rPr>
          <w:rFonts w:cstheme="minorHAnsi"/>
        </w:rPr>
      </w:pPr>
      <w:r w:rsidRPr="00E37685">
        <w:rPr>
          <w:rFonts w:cstheme="minorHAnsi"/>
        </w:rPr>
        <w:t xml:space="preserve">If an Investigator does not have detailed or complete information regarding the SAE/SADR/SUSAR, they </w:t>
      </w:r>
      <w:r w:rsidR="00E37685" w:rsidRPr="00E37685">
        <w:rPr>
          <w:rFonts w:cstheme="minorHAnsi"/>
        </w:rPr>
        <w:t xml:space="preserve">should not delay informing the </w:t>
      </w:r>
      <w:r w:rsidR="00B36CF7">
        <w:rPr>
          <w:rFonts w:cstheme="minorHAnsi"/>
        </w:rPr>
        <w:t>Site Leader</w:t>
      </w:r>
      <w:r w:rsidRPr="00E37685">
        <w:rPr>
          <w:rFonts w:cstheme="minorHAnsi"/>
        </w:rPr>
        <w:t xml:space="preserve"> about the event – once additional information is received, the SAE report form can be updated. The first submission of a SAE report form will outline an assessment of seriousness, causality, expectedness and severity (see </w:t>
      </w:r>
      <w:r w:rsidRPr="00E37685">
        <w:rPr>
          <w:rFonts w:cstheme="minorHAnsi"/>
          <w:i/>
        </w:rPr>
        <w:t>Sections 10.4.1-</w:t>
      </w:r>
      <w:r w:rsidRPr="00E37685">
        <w:rPr>
          <w:rFonts w:cstheme="minorHAnsi"/>
        </w:rPr>
        <w:t xml:space="preserve"> </w:t>
      </w:r>
      <w:r w:rsidRPr="00E37685">
        <w:rPr>
          <w:rFonts w:cstheme="minorHAnsi"/>
          <w:i/>
        </w:rPr>
        <w:t>10.4.4</w:t>
      </w:r>
      <w:r w:rsidRPr="00E37685">
        <w:rPr>
          <w:rFonts w:cstheme="minorHAnsi"/>
        </w:rPr>
        <w:t>) at the time of the init</w:t>
      </w:r>
      <w:r w:rsidR="00E37685" w:rsidRPr="00E37685">
        <w:rPr>
          <w:rFonts w:cstheme="minorHAnsi"/>
        </w:rPr>
        <w:t>ial report being made to the PI</w:t>
      </w:r>
      <w:r w:rsidR="00CD50B6">
        <w:rPr>
          <w:rFonts w:cstheme="minorHAnsi"/>
        </w:rPr>
        <w:t>.</w:t>
      </w:r>
    </w:p>
    <w:p w14:paraId="20FCD8E5" w14:textId="77777777" w:rsidR="00CD50B6" w:rsidRPr="00CD50B6" w:rsidRDefault="00CD50B6" w:rsidP="00B964A7">
      <w:pPr>
        <w:rPr>
          <w:rFonts w:cstheme="minorHAnsi"/>
        </w:rPr>
      </w:pPr>
    </w:p>
    <w:p w14:paraId="2FF2FC3E" w14:textId="6C180285" w:rsidR="00B964A7" w:rsidRPr="00E37685" w:rsidRDefault="00B964A7" w:rsidP="00B964A7">
      <w:pPr>
        <w:rPr>
          <w:rFonts w:cstheme="minorHAnsi"/>
        </w:rPr>
      </w:pPr>
      <w:r w:rsidRPr="00E37685">
        <w:rPr>
          <w:rFonts w:cstheme="minorHAnsi"/>
        </w:rPr>
        <w:t>SAE report forms can be submitted by hand to the co-ordinating trials office; transmitted by fax or sent in PDF format by email to</w:t>
      </w:r>
      <w:r w:rsidR="00E37685">
        <w:rPr>
          <w:rFonts w:cstheme="minorHAnsi"/>
        </w:rPr>
        <w:t xml:space="preserve"> </w:t>
      </w:r>
      <w:r w:rsidR="00895C3F" w:rsidRPr="00895C3F">
        <w:rPr>
          <w:rFonts w:cstheme="minorHAnsi"/>
          <w:color w:val="000000" w:themeColor="text1"/>
        </w:rPr>
        <w:t>pchowdary@waitematadhb.govt.nz</w:t>
      </w:r>
      <w:commentRangeStart w:id="163"/>
      <w:r w:rsidR="00E37685" w:rsidRPr="00895C3F">
        <w:rPr>
          <w:rFonts w:cstheme="minorHAnsi"/>
          <w:color w:val="000000" w:themeColor="text1"/>
        </w:rPr>
        <w:t xml:space="preserve"> </w:t>
      </w:r>
      <w:commentRangeEnd w:id="163"/>
      <w:r w:rsidR="007A4649" w:rsidRPr="00895C3F">
        <w:rPr>
          <w:rStyle w:val="CommentReference"/>
          <w:color w:val="000000" w:themeColor="text1"/>
        </w:rPr>
        <w:commentReference w:id="163"/>
      </w:r>
      <w:r w:rsidR="00E845A0">
        <w:rPr>
          <w:rFonts w:cstheme="minorHAnsi"/>
        </w:rPr>
        <w:t>(PI</w:t>
      </w:r>
      <w:r w:rsidR="00E37685" w:rsidRPr="00E37685">
        <w:rPr>
          <w:rFonts w:cstheme="minorHAnsi"/>
        </w:rPr>
        <w:t>);</w:t>
      </w:r>
      <w:r w:rsidR="001033B6">
        <w:rPr>
          <w:rFonts w:cstheme="minorHAnsi"/>
        </w:rPr>
        <w:t xml:space="preserve"> and</w:t>
      </w:r>
      <w:r w:rsidR="00E37685" w:rsidRPr="00E37685">
        <w:rPr>
          <w:rFonts w:cstheme="minorHAnsi"/>
        </w:rPr>
        <w:t xml:space="preserve"> </w:t>
      </w:r>
      <w:hyperlink r:id="rId28" w:history="1">
        <w:r w:rsidR="00E37685" w:rsidRPr="002149AE">
          <w:rPr>
            <w:rStyle w:val="Hyperlink"/>
            <w:rFonts w:cstheme="minorHAnsi"/>
          </w:rPr>
          <w:t>stong@unimelb.edu.au</w:t>
        </w:r>
      </w:hyperlink>
      <w:r w:rsidR="00E37685">
        <w:rPr>
          <w:rFonts w:cstheme="minorHAnsi"/>
          <w:color w:val="FF0000"/>
        </w:rPr>
        <w:t xml:space="preserve"> </w:t>
      </w:r>
      <w:r w:rsidR="001033B6">
        <w:rPr>
          <w:rFonts w:cstheme="minorHAnsi"/>
        </w:rPr>
        <w:t>(PI)</w:t>
      </w:r>
      <w:r w:rsidRPr="00E37685">
        <w:rPr>
          <w:rFonts w:cstheme="minorHAnsi"/>
        </w:rPr>
        <w:t>. If a report is being submitted outside of business hours, phone contact must also be made with the</w:t>
      </w:r>
      <w:r w:rsidR="00E845A0">
        <w:rPr>
          <w:rFonts w:cstheme="minorHAnsi"/>
        </w:rPr>
        <w:t xml:space="preserve"> on-call</w:t>
      </w:r>
      <w:r w:rsidRPr="00E37685">
        <w:rPr>
          <w:rFonts w:cstheme="minorHAnsi"/>
        </w:rPr>
        <w:t xml:space="preserve"> </w:t>
      </w:r>
      <w:r w:rsidR="002109EC">
        <w:rPr>
          <w:rFonts w:cstheme="minorHAnsi"/>
        </w:rPr>
        <w:t>Site Leader</w:t>
      </w:r>
      <w:r w:rsidRPr="00E37685">
        <w:rPr>
          <w:rFonts w:cstheme="minorHAnsi"/>
        </w:rPr>
        <w:t>. Where missing information is not subsequently se</w:t>
      </w:r>
      <w:r w:rsidR="002109EC">
        <w:rPr>
          <w:rFonts w:cstheme="minorHAnsi"/>
        </w:rPr>
        <w:t>nt through to the Site Leader/</w:t>
      </w:r>
      <w:r w:rsidRPr="00E37685">
        <w:rPr>
          <w:rFonts w:cstheme="minorHAnsi"/>
        </w:rPr>
        <w:t xml:space="preserve">PIs following an initial report, the relevant investigator will be contacted to follow up and obtain additional information. All SAE reports and follow up information will be retained and compiled by the relevant Site Leader (or designee) in the </w:t>
      </w:r>
      <w:r w:rsidRPr="00E37685">
        <w:rPr>
          <w:rFonts w:cstheme="minorHAnsi"/>
          <w:i/>
        </w:rPr>
        <w:t xml:space="preserve">Investigator Site File </w:t>
      </w:r>
      <w:r w:rsidRPr="00E37685">
        <w:rPr>
          <w:rFonts w:cstheme="minorHAnsi"/>
        </w:rPr>
        <w:t>(ISF).</w:t>
      </w:r>
    </w:p>
    <w:p w14:paraId="17C3A4D4" w14:textId="77777777" w:rsidR="00B964A7" w:rsidRDefault="002109EC" w:rsidP="00B964A7">
      <w:pPr>
        <w:rPr>
          <w:rFonts w:cstheme="minorHAnsi"/>
        </w:rPr>
      </w:pPr>
      <w:r>
        <w:rPr>
          <w:rFonts w:cstheme="minorHAnsi"/>
        </w:rPr>
        <w:lastRenderedPageBreak/>
        <w:t>The PIs</w:t>
      </w:r>
      <w:r w:rsidR="00B964A7" w:rsidRPr="00E37685">
        <w:rPr>
          <w:rFonts w:cstheme="minorHAnsi"/>
        </w:rPr>
        <w:t xml:space="preserve"> will</w:t>
      </w:r>
      <w:r w:rsidR="00E37685" w:rsidRPr="00E37685">
        <w:rPr>
          <w:rFonts w:cstheme="minorHAnsi"/>
        </w:rPr>
        <w:t xml:space="preserve"> organise onward reporting to HDEC and</w:t>
      </w:r>
      <w:r>
        <w:rPr>
          <w:rFonts w:cstheme="minorHAnsi"/>
        </w:rPr>
        <w:t xml:space="preserve"> other regulatory authorities</w:t>
      </w:r>
      <w:r w:rsidR="00B964A7" w:rsidRPr="00E37685">
        <w:rPr>
          <w:rFonts w:cstheme="minorHAnsi"/>
        </w:rPr>
        <w:t xml:space="preserve"> (as appropriate) following any SAE/SADR/SUSAR experienced by a study participant during this trial, as outlined in </w:t>
      </w:r>
      <w:r w:rsidR="00B964A7" w:rsidRPr="00E37685">
        <w:rPr>
          <w:rFonts w:cstheme="minorHAnsi"/>
          <w:i/>
        </w:rPr>
        <w:t>Sections 10.6</w:t>
      </w:r>
      <w:r w:rsidR="00B964A7" w:rsidRPr="00E37685">
        <w:rPr>
          <w:rFonts w:cstheme="minorHAnsi"/>
        </w:rPr>
        <w:t>,</w:t>
      </w:r>
      <w:r w:rsidR="00B964A7" w:rsidRPr="00E37685">
        <w:rPr>
          <w:rFonts w:cstheme="minorHAnsi"/>
          <w:i/>
        </w:rPr>
        <w:t xml:space="preserve"> 10.7</w:t>
      </w:r>
      <w:r w:rsidR="00B964A7" w:rsidRPr="00E37685">
        <w:rPr>
          <w:rFonts w:cstheme="minorHAnsi"/>
        </w:rPr>
        <w:t xml:space="preserve"> and </w:t>
      </w:r>
      <w:r w:rsidR="00B964A7" w:rsidRPr="00E37685">
        <w:rPr>
          <w:rFonts w:cstheme="minorHAnsi"/>
          <w:i/>
        </w:rPr>
        <w:t>Appendix 2</w:t>
      </w:r>
      <w:r w:rsidR="00B964A7" w:rsidRPr="00E37685">
        <w:rPr>
          <w:rFonts w:cstheme="minorHAnsi"/>
        </w:rPr>
        <w:t>.</w:t>
      </w:r>
    </w:p>
    <w:p w14:paraId="08A7A96A" w14:textId="77777777" w:rsidR="00F15EF1" w:rsidRPr="00CD50B6" w:rsidRDefault="00F15EF1" w:rsidP="00B964A7">
      <w:pPr>
        <w:rPr>
          <w:rFonts w:cstheme="minorHAnsi"/>
        </w:rPr>
      </w:pPr>
    </w:p>
    <w:p w14:paraId="4797055F" w14:textId="77777777" w:rsidR="0046049A" w:rsidRPr="004F6B4A" w:rsidRDefault="00B964A7" w:rsidP="00B02582">
      <w:pPr>
        <w:pStyle w:val="ListParagraph"/>
        <w:numPr>
          <w:ilvl w:val="1"/>
          <w:numId w:val="1"/>
        </w:numPr>
        <w:outlineLvl w:val="1"/>
        <w:rPr>
          <w:rFonts w:cstheme="minorHAnsi"/>
          <w:b/>
        </w:rPr>
      </w:pPr>
      <w:bookmarkStart w:id="164" w:name="_Toc473873125"/>
      <w:bookmarkStart w:id="165" w:name="_Toc489888123"/>
      <w:r w:rsidRPr="00B05FFC">
        <w:rPr>
          <w:rFonts w:cstheme="minorHAnsi"/>
          <w:b/>
        </w:rPr>
        <w:t>REGULATORY REPORTING REQUIREMENTS</w:t>
      </w:r>
      <w:bookmarkEnd w:id="164"/>
      <w:bookmarkEnd w:id="165"/>
    </w:p>
    <w:p w14:paraId="07B5FBBC" w14:textId="77777777" w:rsidR="00B964A7" w:rsidRPr="00453310" w:rsidRDefault="00B964A7" w:rsidP="00B964A7">
      <w:pPr>
        <w:rPr>
          <w:rFonts w:cstheme="minorHAnsi"/>
        </w:rPr>
      </w:pPr>
      <w:r w:rsidRPr="00407B8D">
        <w:rPr>
          <w:rFonts w:cstheme="minorHAnsi"/>
        </w:rPr>
        <w:t xml:space="preserve">As outlined in </w:t>
      </w:r>
      <w:r w:rsidRPr="00407B8D">
        <w:rPr>
          <w:rFonts w:cstheme="minorHAnsi"/>
          <w:i/>
        </w:rPr>
        <w:t>Section 10.5</w:t>
      </w:r>
      <w:r w:rsidRPr="00407B8D">
        <w:rPr>
          <w:rFonts w:cstheme="minorHAnsi"/>
        </w:rPr>
        <w:t>, Clinical Investigators must</w:t>
      </w:r>
      <w:r w:rsidR="005F304A">
        <w:rPr>
          <w:rFonts w:cstheme="minorHAnsi"/>
        </w:rPr>
        <w:t xml:space="preserve"> also</w:t>
      </w:r>
      <w:r w:rsidRPr="00407B8D">
        <w:rPr>
          <w:rFonts w:cstheme="minorHAnsi"/>
        </w:rPr>
        <w:t xml:space="preserve"> inform the PIs within 24 hours o</w:t>
      </w:r>
      <w:r w:rsidR="005F304A">
        <w:rPr>
          <w:rFonts w:cstheme="minorHAnsi"/>
        </w:rPr>
        <w:t>f their first knowledge of any Adverse Events (AEs)</w:t>
      </w:r>
      <w:r w:rsidRPr="00407B8D">
        <w:rPr>
          <w:rFonts w:cstheme="minorHAnsi"/>
        </w:rPr>
        <w:t xml:space="preserve"> that meet the criteria as being either ‘serious’ (as defined in </w:t>
      </w:r>
      <w:r w:rsidRPr="00407B8D">
        <w:rPr>
          <w:rFonts w:cstheme="minorHAnsi"/>
          <w:i/>
        </w:rPr>
        <w:t xml:space="preserve">Sections 10.1 </w:t>
      </w:r>
      <w:r w:rsidRPr="00407B8D">
        <w:rPr>
          <w:rFonts w:cstheme="minorHAnsi"/>
        </w:rPr>
        <w:t xml:space="preserve">and </w:t>
      </w:r>
      <w:r w:rsidRPr="00407B8D">
        <w:rPr>
          <w:rFonts w:cstheme="minorHAnsi"/>
          <w:i/>
        </w:rPr>
        <w:t>10.2</w:t>
      </w:r>
      <w:r w:rsidRPr="00407B8D">
        <w:rPr>
          <w:rFonts w:cstheme="minorHAnsi"/>
        </w:rPr>
        <w:t xml:space="preserve">) and/or ‘unexpected’ (as outlined in </w:t>
      </w:r>
      <w:r w:rsidRPr="00407B8D">
        <w:rPr>
          <w:rFonts w:cstheme="minorHAnsi"/>
          <w:i/>
        </w:rPr>
        <w:t>Sections 10.1</w:t>
      </w:r>
      <w:r w:rsidRPr="00407B8D">
        <w:rPr>
          <w:rFonts w:cstheme="minorHAnsi"/>
        </w:rPr>
        <w:t xml:space="preserve"> and</w:t>
      </w:r>
      <w:r w:rsidRPr="00407B8D">
        <w:rPr>
          <w:rFonts w:cstheme="minorHAnsi"/>
          <w:i/>
        </w:rPr>
        <w:t xml:space="preserve"> 10.4.3</w:t>
      </w:r>
      <w:r w:rsidRPr="00407B8D">
        <w:rPr>
          <w:rFonts w:cstheme="minorHAnsi"/>
        </w:rPr>
        <w:t xml:space="preserve">). </w:t>
      </w:r>
      <w:r w:rsidR="002C01D4">
        <w:rPr>
          <w:rFonts w:cstheme="minorHAnsi"/>
        </w:rPr>
        <w:t>The Site Leader</w:t>
      </w:r>
      <w:r w:rsidR="00407B8D">
        <w:rPr>
          <w:rFonts w:cstheme="minorHAnsi"/>
        </w:rPr>
        <w:t xml:space="preserve"> will organise for the timely </w:t>
      </w:r>
      <w:r w:rsidR="00407B8D" w:rsidRPr="00407B8D">
        <w:rPr>
          <w:rFonts w:cstheme="minorHAnsi"/>
        </w:rPr>
        <w:t xml:space="preserve">reporting </w:t>
      </w:r>
      <w:r w:rsidR="00407B8D">
        <w:rPr>
          <w:rFonts w:cstheme="minorHAnsi"/>
        </w:rPr>
        <w:t xml:space="preserve">of any relevant events </w:t>
      </w:r>
      <w:r w:rsidR="00407B8D" w:rsidRPr="00407B8D">
        <w:rPr>
          <w:rFonts w:cstheme="minorHAnsi"/>
        </w:rPr>
        <w:t xml:space="preserve">to HDEC or </w:t>
      </w:r>
      <w:r w:rsidR="00407B8D">
        <w:rPr>
          <w:rFonts w:cstheme="minorHAnsi"/>
        </w:rPr>
        <w:t xml:space="preserve">the appropriate </w:t>
      </w:r>
      <w:r w:rsidR="00407B8D" w:rsidRPr="00407B8D">
        <w:rPr>
          <w:rFonts w:cstheme="minorHAnsi"/>
        </w:rPr>
        <w:t xml:space="preserve">regulatory bodies, as required by </w:t>
      </w:r>
      <w:r w:rsidR="00407B8D" w:rsidRPr="00453310">
        <w:rPr>
          <w:rFonts w:cstheme="minorHAnsi"/>
        </w:rPr>
        <w:t>HDEC’s conditional approval of the s</w:t>
      </w:r>
      <w:r w:rsidR="00453310" w:rsidRPr="00453310">
        <w:rPr>
          <w:rFonts w:cstheme="minorHAnsi"/>
        </w:rPr>
        <w:t>tudy and</w:t>
      </w:r>
      <w:r w:rsidR="005F304A">
        <w:rPr>
          <w:rFonts w:cstheme="minorHAnsi"/>
        </w:rPr>
        <w:t xml:space="preserve"> other relevant</w:t>
      </w:r>
      <w:r w:rsidR="00453310" w:rsidRPr="00453310">
        <w:rPr>
          <w:rFonts w:cstheme="minorHAnsi"/>
        </w:rPr>
        <w:t xml:space="preserve"> Medsafe guidelines</w:t>
      </w:r>
      <w:r w:rsidR="00407B8D" w:rsidRPr="00453310">
        <w:rPr>
          <w:rFonts w:cstheme="minorHAnsi"/>
        </w:rPr>
        <w:t>.</w:t>
      </w:r>
    </w:p>
    <w:p w14:paraId="6B871630" w14:textId="12E2CB9D" w:rsidR="00B964A7" w:rsidRPr="00453310" w:rsidRDefault="00B964A7" w:rsidP="00B964A7">
      <w:pPr>
        <w:rPr>
          <w:rFonts w:cstheme="minorHAnsi"/>
        </w:rPr>
      </w:pPr>
      <w:r w:rsidRPr="00453310">
        <w:rPr>
          <w:rFonts w:cstheme="minorHAnsi"/>
        </w:rPr>
        <w:t xml:space="preserve">Other AEs/ADRs should be reported by the Co-Investigators in the </w:t>
      </w:r>
      <w:r w:rsidR="002C01D4">
        <w:rPr>
          <w:rFonts w:cstheme="minorHAnsi"/>
        </w:rPr>
        <w:t>CRF a</w:t>
      </w:r>
      <w:r w:rsidR="008A3339">
        <w:rPr>
          <w:rFonts w:cstheme="minorHAnsi"/>
        </w:rPr>
        <w:t>nd forwarded to the Site Leader and PI</w:t>
      </w:r>
      <w:r w:rsidR="00C21EC2">
        <w:rPr>
          <w:rFonts w:cstheme="minorHAnsi"/>
        </w:rPr>
        <w:t xml:space="preserve"> in a timely manner. The Site Leader</w:t>
      </w:r>
      <w:r w:rsidRPr="00453310">
        <w:rPr>
          <w:rFonts w:cstheme="minorHAnsi"/>
        </w:rPr>
        <w:t xml:space="preserve"> </w:t>
      </w:r>
      <w:r w:rsidR="00453310" w:rsidRPr="00453310">
        <w:rPr>
          <w:rFonts w:cstheme="minorHAnsi"/>
        </w:rPr>
        <w:t>will inform HD</w:t>
      </w:r>
      <w:r w:rsidRPr="00453310">
        <w:rPr>
          <w:rFonts w:cstheme="minorHAnsi"/>
        </w:rPr>
        <w:t>EC of any events that meet the reporting requirements in their conditional approval of the study</w:t>
      </w:r>
      <w:r w:rsidR="00453310" w:rsidRPr="00453310">
        <w:rPr>
          <w:rFonts w:cstheme="minorHAnsi"/>
        </w:rPr>
        <w:t>, or in accordance with</w:t>
      </w:r>
      <w:r w:rsidR="00F17F46">
        <w:rPr>
          <w:rFonts w:cstheme="minorHAnsi"/>
        </w:rPr>
        <w:t xml:space="preserve"> relevant</w:t>
      </w:r>
      <w:r w:rsidR="00453310" w:rsidRPr="00453310">
        <w:rPr>
          <w:rFonts w:cstheme="minorHAnsi"/>
        </w:rPr>
        <w:t xml:space="preserve"> Medsafe guidelines</w:t>
      </w:r>
      <w:r w:rsidRPr="00453310">
        <w:rPr>
          <w:rFonts w:cstheme="minorHAnsi"/>
        </w:rPr>
        <w:t>.</w:t>
      </w:r>
    </w:p>
    <w:p w14:paraId="386B26CD" w14:textId="77777777" w:rsidR="004F6B4A" w:rsidRDefault="004F6B4A" w:rsidP="004F6B4A">
      <w:pPr>
        <w:rPr>
          <w:rFonts w:cstheme="minorHAnsi"/>
        </w:rPr>
      </w:pPr>
      <w:r>
        <w:rPr>
          <w:rFonts w:cstheme="minorHAnsi"/>
        </w:rPr>
        <w:t xml:space="preserve">When a suspected adverse drug reaction (ADR) to a Medsafe-registered medication occurs, the details of the event must be reported to the Centre for Adverse Reactions Monitoring (CARM). Notifications can be made by filling out an online form (available from </w:t>
      </w:r>
      <w:hyperlink r:id="rId29" w:history="1">
        <w:r w:rsidRPr="00F30967">
          <w:rPr>
            <w:rStyle w:val="Hyperlink"/>
            <w:rFonts w:cstheme="minorHAnsi"/>
          </w:rPr>
          <w:t>https://nzphvc.otago.ac.nz/report/</w:t>
        </w:r>
      </w:hyperlink>
      <w:r>
        <w:rPr>
          <w:rFonts w:cstheme="minorHAnsi"/>
        </w:rPr>
        <w:t xml:space="preserve">). Hard copy ADR report forms (see </w:t>
      </w:r>
      <w:r>
        <w:rPr>
          <w:rFonts w:cstheme="minorHAnsi"/>
          <w:i/>
        </w:rPr>
        <w:t>Appendix 2</w:t>
      </w:r>
      <w:r>
        <w:rPr>
          <w:rFonts w:cstheme="minorHAnsi"/>
        </w:rPr>
        <w:t xml:space="preserve">) can be sent by fax or mail to CARM, by following the directions outlined by Medsafe on </w:t>
      </w:r>
      <w:hyperlink r:id="rId30" w:history="1">
        <w:r w:rsidRPr="00F30967">
          <w:rPr>
            <w:rStyle w:val="Hyperlink"/>
            <w:rFonts w:cstheme="minorHAnsi"/>
          </w:rPr>
          <w:t>http://www.medsafe.govt.nz/Profs/adverse/reactions.asp</w:t>
        </w:r>
      </w:hyperlink>
      <w:r>
        <w:rPr>
          <w:rFonts w:cstheme="minorHAnsi"/>
        </w:rPr>
        <w:t xml:space="preserve">.   </w:t>
      </w:r>
    </w:p>
    <w:p w14:paraId="01BC4797" w14:textId="77777777" w:rsidR="00B964A7" w:rsidRPr="00B05FFC" w:rsidRDefault="00B964A7" w:rsidP="00B964A7">
      <w:pPr>
        <w:rPr>
          <w:rFonts w:cstheme="minorHAnsi"/>
          <w:b/>
        </w:rPr>
      </w:pPr>
    </w:p>
    <w:p w14:paraId="2F13196A" w14:textId="77777777" w:rsidR="00B964A7" w:rsidRPr="00B05FFC" w:rsidRDefault="00B964A7" w:rsidP="00B02582">
      <w:pPr>
        <w:pStyle w:val="ListParagraph"/>
        <w:numPr>
          <w:ilvl w:val="1"/>
          <w:numId w:val="1"/>
        </w:numPr>
        <w:outlineLvl w:val="1"/>
        <w:rPr>
          <w:rFonts w:cstheme="minorHAnsi"/>
          <w:b/>
        </w:rPr>
      </w:pPr>
      <w:bookmarkStart w:id="166" w:name="_Toc473873126"/>
      <w:bookmarkStart w:id="167" w:name="_Toc489888124"/>
      <w:r w:rsidRPr="00B05FFC">
        <w:rPr>
          <w:rFonts w:cstheme="minorHAnsi"/>
          <w:b/>
        </w:rPr>
        <w:t>FOLLOW UP PROCEDURES</w:t>
      </w:r>
      <w:bookmarkEnd w:id="166"/>
      <w:bookmarkEnd w:id="167"/>
    </w:p>
    <w:p w14:paraId="0AC2BBC6" w14:textId="77777777" w:rsidR="00B964A7" w:rsidRPr="001E2272" w:rsidRDefault="00B964A7" w:rsidP="00B964A7">
      <w:pPr>
        <w:rPr>
          <w:rFonts w:cstheme="minorHAnsi"/>
        </w:rPr>
      </w:pPr>
      <w:r w:rsidRPr="001E2272">
        <w:rPr>
          <w:rFonts w:cstheme="minorHAnsi"/>
        </w:rPr>
        <w:t>After recording an AE on the CRF (or recording and reporting a SAE), the event will be followed by the research team until a final outcome can be recorded. This may include follow up visits, assessments or other contact with the affected participant that are supplementary to the course of normal clinical care</w:t>
      </w:r>
      <w:r w:rsidR="009221B2">
        <w:rPr>
          <w:rFonts w:cstheme="minorHAnsi"/>
        </w:rPr>
        <w:t xml:space="preserve"> or the normal study protocol</w:t>
      </w:r>
      <w:r w:rsidRPr="001E2272">
        <w:rPr>
          <w:rFonts w:cstheme="minorHAnsi"/>
        </w:rPr>
        <w:t xml:space="preserve">. </w:t>
      </w:r>
    </w:p>
    <w:p w14:paraId="6BAA5140" w14:textId="77777777" w:rsidR="00B964A7" w:rsidRPr="001E2272" w:rsidRDefault="00B964A7" w:rsidP="00B964A7">
      <w:pPr>
        <w:rPr>
          <w:rFonts w:cstheme="minorHAnsi"/>
        </w:rPr>
      </w:pPr>
      <w:r w:rsidRPr="001E2272">
        <w:rPr>
          <w:rFonts w:cstheme="minorHAnsi"/>
        </w:rPr>
        <w:t>If a resolution to an event cannot be established by the Investigators, an explanation of the efforts made to do so will be recorded in the CRF or AE log; or as an addition to the SAE reporting form</w:t>
      </w:r>
      <w:r w:rsidR="006D43A3" w:rsidRPr="001E2272">
        <w:rPr>
          <w:rFonts w:cstheme="minorHAnsi"/>
        </w:rPr>
        <w:t xml:space="preserve"> submitted to </w:t>
      </w:r>
      <w:r w:rsidRPr="001E2272">
        <w:rPr>
          <w:rFonts w:cstheme="minorHAnsi"/>
        </w:rPr>
        <w:t xml:space="preserve">the PIs. </w:t>
      </w:r>
    </w:p>
    <w:p w14:paraId="7FFBF889" w14:textId="77777777" w:rsidR="00B964A7" w:rsidRPr="001E2272" w:rsidRDefault="00B964A7" w:rsidP="00B964A7">
      <w:pPr>
        <w:rPr>
          <w:rFonts w:cstheme="minorHAnsi"/>
        </w:rPr>
      </w:pPr>
      <w:r w:rsidRPr="001E2272">
        <w:rPr>
          <w:rFonts w:cstheme="minorHAnsi"/>
        </w:rPr>
        <w:t xml:space="preserve">Follow-up information from any SAEs will be reported as updates to the initial report form and submitted by the PIs within regulatory timeframes </w:t>
      </w:r>
      <w:r w:rsidR="006D43A3" w:rsidRPr="001E2272">
        <w:rPr>
          <w:rFonts w:cstheme="minorHAnsi"/>
        </w:rPr>
        <w:t>to HDEC, the Sponsor</w:t>
      </w:r>
      <w:r w:rsidR="001E2272" w:rsidRPr="001E2272">
        <w:rPr>
          <w:rFonts w:cstheme="minorHAnsi"/>
        </w:rPr>
        <w:t xml:space="preserve"> or relevant regulatory authorities</w:t>
      </w:r>
      <w:r w:rsidRPr="001E2272">
        <w:rPr>
          <w:rFonts w:cstheme="minorHAnsi"/>
        </w:rPr>
        <w:t xml:space="preserve"> (as appropriate).</w:t>
      </w:r>
    </w:p>
    <w:p w14:paraId="007A9C61" w14:textId="77777777" w:rsidR="00B964A7" w:rsidRPr="00CA411E" w:rsidRDefault="00B964A7" w:rsidP="00B964A7">
      <w:pPr>
        <w:rPr>
          <w:rFonts w:cstheme="minorHAnsi"/>
        </w:rPr>
      </w:pPr>
    </w:p>
    <w:p w14:paraId="7ACDEB68" w14:textId="77777777" w:rsidR="00B964A7" w:rsidRPr="00B05FFC" w:rsidRDefault="00B964A7" w:rsidP="00B02582">
      <w:pPr>
        <w:pStyle w:val="ListParagraph"/>
        <w:numPr>
          <w:ilvl w:val="0"/>
          <w:numId w:val="1"/>
        </w:numPr>
        <w:outlineLvl w:val="0"/>
        <w:rPr>
          <w:rFonts w:cstheme="minorHAnsi"/>
          <w:b/>
        </w:rPr>
      </w:pPr>
      <w:bookmarkStart w:id="168" w:name="_Toc473873127"/>
      <w:bookmarkStart w:id="169" w:name="_Toc489888125"/>
      <w:r w:rsidRPr="00B05FFC">
        <w:rPr>
          <w:rFonts w:cstheme="minorHAnsi"/>
          <w:b/>
        </w:rPr>
        <w:t>PREGNANCY</w:t>
      </w:r>
      <w:bookmarkEnd w:id="168"/>
      <w:r w:rsidR="00B6694B">
        <w:rPr>
          <w:rFonts w:cstheme="minorHAnsi"/>
          <w:b/>
        </w:rPr>
        <w:t xml:space="preserve"> AND BREASTFEEDING</w:t>
      </w:r>
      <w:bookmarkEnd w:id="169"/>
    </w:p>
    <w:p w14:paraId="48CD017F" w14:textId="77777777" w:rsidR="00B964A7" w:rsidRDefault="00B964A7" w:rsidP="00B964A7">
      <w:pPr>
        <w:pStyle w:val="ListParagraph"/>
        <w:ind w:left="0"/>
        <w:rPr>
          <w:rFonts w:cstheme="minorHAnsi"/>
        </w:rPr>
      </w:pPr>
    </w:p>
    <w:p w14:paraId="7BBF4F28" w14:textId="77777777" w:rsidR="00B964A7" w:rsidRDefault="00857C5E" w:rsidP="00B964A7">
      <w:pPr>
        <w:pStyle w:val="ListParagraph"/>
        <w:ind w:left="0"/>
        <w:rPr>
          <w:rFonts w:cstheme="minorHAnsi"/>
        </w:rPr>
      </w:pPr>
      <w:r>
        <w:rPr>
          <w:rFonts w:cstheme="minorHAnsi"/>
        </w:rPr>
        <w:t xml:space="preserve">Vinorelbine is a Category D drug (see </w:t>
      </w:r>
      <w:r>
        <w:rPr>
          <w:rFonts w:cstheme="minorHAnsi"/>
          <w:i/>
        </w:rPr>
        <w:t>Appendix 1</w:t>
      </w:r>
      <w:r>
        <w:rPr>
          <w:rFonts w:cstheme="minorHAnsi"/>
        </w:rPr>
        <w:t>)</w:t>
      </w:r>
      <w:r w:rsidR="00E97AAE">
        <w:rPr>
          <w:rFonts w:cstheme="minorHAnsi"/>
        </w:rPr>
        <w:t xml:space="preserve"> and has been shown to cause harm to the developing fetus in animal studies</w:t>
      </w:r>
      <w:r>
        <w:rPr>
          <w:rFonts w:cstheme="minorHAnsi"/>
        </w:rPr>
        <w:t>.</w:t>
      </w:r>
      <w:r w:rsidR="00E97AAE">
        <w:rPr>
          <w:rFonts w:cstheme="minorHAnsi"/>
        </w:rPr>
        <w:t xml:space="preserve"> There is no specific data regarding its safety during pregnancy in human studies.</w:t>
      </w:r>
      <w:r>
        <w:rPr>
          <w:rFonts w:cstheme="minorHAnsi"/>
        </w:rPr>
        <w:t xml:space="preserve"> P</w:t>
      </w:r>
      <w:r w:rsidR="006D5D74">
        <w:rPr>
          <w:rFonts w:cstheme="minorHAnsi"/>
        </w:rPr>
        <w:t xml:space="preserve">articipants will be advised to avoid subsequent pregnancies for three months following their last </w:t>
      </w:r>
      <w:r w:rsidR="006D5D74">
        <w:rPr>
          <w:rFonts w:cstheme="minorHAnsi"/>
        </w:rPr>
        <w:lastRenderedPageBreak/>
        <w:t xml:space="preserve">vinorelbine dose. This is consistent with the advice given to women following </w:t>
      </w:r>
      <w:r w:rsidR="00E97AAE">
        <w:rPr>
          <w:rFonts w:cstheme="minorHAnsi"/>
        </w:rPr>
        <w:t xml:space="preserve">treatment for ectopic pregnancies with </w:t>
      </w:r>
      <w:r w:rsidR="006D5D74">
        <w:rPr>
          <w:rFonts w:cstheme="minorHAnsi"/>
        </w:rPr>
        <w:t>methotrexate</w:t>
      </w:r>
      <w:r w:rsidR="00CA4E1A">
        <w:rPr>
          <w:rFonts w:cstheme="minorHAnsi"/>
        </w:rPr>
        <w:t xml:space="preserve"> (Category X)</w:t>
      </w:r>
      <w:r w:rsidR="00E97AAE">
        <w:rPr>
          <w:rFonts w:cstheme="minorHAnsi"/>
        </w:rPr>
        <w:t>, another chemotherap</w:t>
      </w:r>
      <w:r w:rsidR="003448DB">
        <w:rPr>
          <w:rFonts w:cstheme="minorHAnsi"/>
        </w:rPr>
        <w:t>eutic drug</w:t>
      </w:r>
      <w:r w:rsidR="006D5D74">
        <w:rPr>
          <w:rFonts w:cstheme="minorHAnsi"/>
        </w:rPr>
        <w:t>.</w:t>
      </w:r>
      <w:r w:rsidR="00D97CDE">
        <w:rPr>
          <w:rFonts w:cstheme="minorHAnsi"/>
        </w:rPr>
        <w:t xml:space="preserve"> </w:t>
      </w:r>
      <w:r>
        <w:rPr>
          <w:rFonts w:cstheme="minorHAnsi"/>
        </w:rPr>
        <w:t>Any women who become pregnant again wi</w:t>
      </w:r>
      <w:r w:rsidR="006C6959">
        <w:rPr>
          <w:rFonts w:cstheme="minorHAnsi"/>
        </w:rPr>
        <w:t>thin this window should receive</w:t>
      </w:r>
      <w:r>
        <w:rPr>
          <w:rFonts w:cstheme="minorHAnsi"/>
        </w:rPr>
        <w:t xml:space="preserve"> counselling </w:t>
      </w:r>
      <w:r w:rsidR="00E97AAE">
        <w:rPr>
          <w:rFonts w:cstheme="minorHAnsi"/>
        </w:rPr>
        <w:t xml:space="preserve">about </w:t>
      </w:r>
      <w:r w:rsidR="003448DB">
        <w:rPr>
          <w:rFonts w:cstheme="minorHAnsi"/>
        </w:rPr>
        <w:t xml:space="preserve">the </w:t>
      </w:r>
      <w:r w:rsidR="00E97AAE">
        <w:rPr>
          <w:rFonts w:cstheme="minorHAnsi"/>
        </w:rPr>
        <w:t>potential risks to the developing fetus</w:t>
      </w:r>
      <w:r w:rsidR="004D04A3">
        <w:rPr>
          <w:rFonts w:cstheme="minorHAnsi"/>
        </w:rPr>
        <w:t xml:space="preserve"> from a</w:t>
      </w:r>
      <w:r w:rsidR="006C6959">
        <w:rPr>
          <w:rFonts w:cstheme="minorHAnsi"/>
        </w:rPr>
        <w:t>n appropriately-qualified and registered</w:t>
      </w:r>
      <w:r w:rsidR="004D04A3">
        <w:rPr>
          <w:rFonts w:cstheme="minorHAnsi"/>
        </w:rPr>
        <w:t xml:space="preserve"> </w:t>
      </w:r>
      <w:r w:rsidR="00635465">
        <w:rPr>
          <w:rFonts w:cstheme="minorHAnsi"/>
        </w:rPr>
        <w:t xml:space="preserve">genetic counsellor, </w:t>
      </w:r>
      <w:r w:rsidR="004D04A3">
        <w:rPr>
          <w:rFonts w:cstheme="minorHAnsi"/>
        </w:rPr>
        <w:t xml:space="preserve">doctor or midwife who has the capacity to refer </w:t>
      </w:r>
      <w:r w:rsidR="003C2E09">
        <w:rPr>
          <w:rFonts w:cstheme="minorHAnsi"/>
        </w:rPr>
        <w:t>the woman to any other clinician or health care service that may be appropriate</w:t>
      </w:r>
      <w:r w:rsidR="00486ABE">
        <w:rPr>
          <w:rFonts w:cstheme="minorHAnsi"/>
        </w:rPr>
        <w:t xml:space="preserve"> to her situation and wishes</w:t>
      </w:r>
      <w:r w:rsidR="00E97AAE">
        <w:rPr>
          <w:rFonts w:cstheme="minorHAnsi"/>
        </w:rPr>
        <w:t>.</w:t>
      </w:r>
      <w:r w:rsidR="006D5D74">
        <w:rPr>
          <w:rFonts w:cstheme="minorHAnsi"/>
        </w:rPr>
        <w:t xml:space="preserve"> </w:t>
      </w:r>
    </w:p>
    <w:p w14:paraId="754CB28E" w14:textId="77777777" w:rsidR="006C6959" w:rsidRDefault="006C6959" w:rsidP="00B964A7">
      <w:pPr>
        <w:pStyle w:val="ListParagraph"/>
        <w:ind w:left="0"/>
        <w:rPr>
          <w:rFonts w:cstheme="minorHAnsi"/>
        </w:rPr>
      </w:pPr>
    </w:p>
    <w:p w14:paraId="1A6AE9B3" w14:textId="77777777" w:rsidR="006C6959" w:rsidRPr="006D5D74" w:rsidRDefault="006C6959" w:rsidP="00B964A7">
      <w:pPr>
        <w:pStyle w:val="ListParagraph"/>
        <w:ind w:left="0"/>
        <w:rPr>
          <w:rFonts w:cstheme="minorHAnsi"/>
        </w:rPr>
      </w:pPr>
      <w:r>
        <w:rPr>
          <w:rFonts w:cstheme="minorHAnsi"/>
        </w:rPr>
        <w:t>There is no data pertaining to the excretion of vinorelbine into human breastmilk</w:t>
      </w:r>
      <w:r w:rsidR="00905799">
        <w:rPr>
          <w:rFonts w:cstheme="minorHAnsi"/>
        </w:rPr>
        <w:t>. The research team</w:t>
      </w:r>
      <w:r>
        <w:rPr>
          <w:rFonts w:cstheme="minorHAnsi"/>
        </w:rPr>
        <w:t xml:space="preserve"> is therefore taking the conservative approach of excluding women who are breastfeeding from p</w:t>
      </w:r>
      <w:r w:rsidR="00905799">
        <w:rPr>
          <w:rFonts w:cstheme="minorHAnsi"/>
        </w:rPr>
        <w:t>articipating in this study</w:t>
      </w:r>
      <w:r>
        <w:rPr>
          <w:rFonts w:cstheme="minorHAnsi"/>
        </w:rPr>
        <w:t>.</w:t>
      </w:r>
    </w:p>
    <w:p w14:paraId="1294321A" w14:textId="77777777" w:rsidR="00B964A7" w:rsidRPr="00B05FFC" w:rsidRDefault="00B964A7" w:rsidP="00B964A7">
      <w:pPr>
        <w:rPr>
          <w:rFonts w:cstheme="minorHAnsi"/>
          <w:b/>
        </w:rPr>
      </w:pPr>
    </w:p>
    <w:p w14:paraId="5A52BA27" w14:textId="77777777" w:rsidR="00B964A7" w:rsidRDefault="00B964A7" w:rsidP="00B02582">
      <w:pPr>
        <w:pStyle w:val="ListParagraph"/>
        <w:numPr>
          <w:ilvl w:val="0"/>
          <w:numId w:val="1"/>
        </w:numPr>
        <w:outlineLvl w:val="0"/>
        <w:rPr>
          <w:rFonts w:cstheme="minorHAnsi"/>
          <w:b/>
        </w:rPr>
      </w:pPr>
      <w:bookmarkStart w:id="170" w:name="_Toc473873128"/>
      <w:bookmarkStart w:id="171" w:name="_Toc489888126"/>
      <w:r w:rsidRPr="00B05FFC">
        <w:rPr>
          <w:rFonts w:cstheme="minorHAnsi"/>
          <w:b/>
        </w:rPr>
        <w:t>TRIAL MANAGEMENT AND OVERSIGHT ARRANGEMENTS</w:t>
      </w:r>
      <w:bookmarkEnd w:id="170"/>
      <w:bookmarkEnd w:id="171"/>
    </w:p>
    <w:p w14:paraId="32BC588A" w14:textId="77777777" w:rsidR="00D5063A" w:rsidRPr="00624AB8" w:rsidRDefault="00D5063A" w:rsidP="00D5063A">
      <w:pPr>
        <w:pStyle w:val="ListParagraph"/>
        <w:outlineLvl w:val="0"/>
        <w:rPr>
          <w:rFonts w:cstheme="minorHAnsi"/>
          <w:b/>
        </w:rPr>
      </w:pPr>
    </w:p>
    <w:p w14:paraId="7E9D6EF6" w14:textId="77777777" w:rsidR="00B964A7" w:rsidRDefault="00B964A7" w:rsidP="00D5063A">
      <w:pPr>
        <w:pStyle w:val="ListParagraph"/>
        <w:numPr>
          <w:ilvl w:val="1"/>
          <w:numId w:val="1"/>
        </w:numPr>
        <w:outlineLvl w:val="1"/>
        <w:rPr>
          <w:rFonts w:cstheme="minorHAnsi"/>
          <w:b/>
        </w:rPr>
      </w:pPr>
      <w:bookmarkStart w:id="172" w:name="_Toc473873130"/>
      <w:bookmarkStart w:id="173" w:name="_Toc489888127"/>
      <w:r w:rsidRPr="00B05FFC">
        <w:rPr>
          <w:rFonts w:cstheme="minorHAnsi"/>
          <w:b/>
        </w:rPr>
        <w:t>TRIAL STEERING COMMITTEE</w:t>
      </w:r>
      <w:bookmarkEnd w:id="172"/>
      <w:bookmarkEnd w:id="173"/>
    </w:p>
    <w:p w14:paraId="78B6C27C" w14:textId="77777777" w:rsidR="00B964A7" w:rsidRPr="00EA07F1" w:rsidRDefault="00B964A7" w:rsidP="00B964A7">
      <w:pPr>
        <w:rPr>
          <w:rFonts w:cstheme="minorHAnsi"/>
        </w:rPr>
      </w:pPr>
      <w:r w:rsidRPr="00EA07F1">
        <w:rPr>
          <w:rFonts w:cstheme="minorHAnsi"/>
        </w:rPr>
        <w:t>The Trial Steering Committee (TSC) is made up of the study’s Principal Investigators:</w:t>
      </w:r>
    </w:p>
    <w:p w14:paraId="164FF746" w14:textId="77777777" w:rsidR="003F7CFB" w:rsidRPr="00EA07F1" w:rsidRDefault="003F7CFB" w:rsidP="00B964A7">
      <w:pPr>
        <w:pStyle w:val="ListParagraph"/>
        <w:numPr>
          <w:ilvl w:val="0"/>
          <w:numId w:val="36"/>
        </w:numPr>
        <w:rPr>
          <w:rFonts w:cstheme="minorHAnsi"/>
        </w:rPr>
      </w:pPr>
      <w:r w:rsidRPr="00EA07F1">
        <w:rPr>
          <w:rFonts w:cstheme="minorHAnsi"/>
        </w:rPr>
        <w:t xml:space="preserve">Prathima Chowdary – Principal Investigator and Site Leader at North Shore Hospital; </w:t>
      </w:r>
      <w:r w:rsidR="002125EF" w:rsidRPr="00DD5EDD">
        <w:rPr>
          <w:rFonts w:cstheme="minorHAnsi"/>
        </w:rPr>
        <w:t>Consultant</w:t>
      </w:r>
      <w:r w:rsidR="00EA07F1" w:rsidRPr="00DD5EDD">
        <w:rPr>
          <w:rFonts w:cstheme="minorHAnsi"/>
        </w:rPr>
        <w:t xml:space="preserve"> Endosurgical Gynaecologist </w:t>
      </w:r>
    </w:p>
    <w:p w14:paraId="14CE0562" w14:textId="77777777" w:rsidR="00B964A7" w:rsidRPr="00EA07F1" w:rsidRDefault="00B964A7" w:rsidP="00B964A7">
      <w:pPr>
        <w:pStyle w:val="ListParagraph"/>
        <w:numPr>
          <w:ilvl w:val="0"/>
          <w:numId w:val="36"/>
        </w:numPr>
        <w:rPr>
          <w:rFonts w:cstheme="minorHAnsi"/>
        </w:rPr>
      </w:pPr>
      <w:r w:rsidRPr="00EA07F1">
        <w:rPr>
          <w:rFonts w:cstheme="minorHAnsi"/>
        </w:rPr>
        <w:t>Stephen Tong - Head of the University of Melbourne Translational Obstetrics Group/Co-director of Mercy Perinatal/Consultant Obstetrician</w:t>
      </w:r>
    </w:p>
    <w:p w14:paraId="50129C12" w14:textId="77777777" w:rsidR="00B964A7" w:rsidRPr="00EA07F1" w:rsidRDefault="00B964A7" w:rsidP="00B964A7">
      <w:pPr>
        <w:rPr>
          <w:rFonts w:cstheme="minorHAnsi"/>
        </w:rPr>
      </w:pPr>
      <w:r w:rsidRPr="00EA07F1">
        <w:rPr>
          <w:rFonts w:cstheme="minorHAnsi"/>
        </w:rPr>
        <w:t xml:space="preserve">The TSC is responsible for the protocol creation; the conduct and direction of the study in accordance with ICH-GCP principles and the </w:t>
      </w:r>
      <w:r w:rsidR="00EA07F1">
        <w:rPr>
          <w:rFonts w:cstheme="minorHAnsi"/>
        </w:rPr>
        <w:t>HDEC-</w:t>
      </w:r>
      <w:r w:rsidRPr="00EA07F1">
        <w:rPr>
          <w:rFonts w:cstheme="minorHAnsi"/>
        </w:rPr>
        <w:t xml:space="preserve">approved study protocol; analysis of study data; oversight of the recruitment and treatment of trial </w:t>
      </w:r>
      <w:r w:rsidRPr="001D6DA4">
        <w:rPr>
          <w:rFonts w:cstheme="minorHAnsi"/>
        </w:rPr>
        <w:t xml:space="preserve">participants; supervision of and delegation of roles to Co-Investigators; and communicating with </w:t>
      </w:r>
      <w:r w:rsidR="00EA07F1" w:rsidRPr="001D6DA4">
        <w:rPr>
          <w:rFonts w:cstheme="minorHAnsi"/>
        </w:rPr>
        <w:t xml:space="preserve">the HDECs, </w:t>
      </w:r>
      <w:r w:rsidR="001D6DA4" w:rsidRPr="001D6DA4">
        <w:rPr>
          <w:rFonts w:cstheme="minorHAnsi"/>
        </w:rPr>
        <w:t>Medsafe</w:t>
      </w:r>
      <w:r w:rsidRPr="00EA07F1">
        <w:rPr>
          <w:rFonts w:cstheme="minorHAnsi"/>
        </w:rPr>
        <w:t xml:space="preserve"> and the Data and Safety Monitoring Committee. </w:t>
      </w:r>
      <w:r w:rsidR="00130CB2" w:rsidRPr="00130CB2">
        <w:rPr>
          <w:rFonts w:cstheme="minorHAnsi"/>
        </w:rPr>
        <w:t>Representatives</w:t>
      </w:r>
      <w:r w:rsidRPr="00130CB2">
        <w:rPr>
          <w:rFonts w:cstheme="minorHAnsi"/>
        </w:rPr>
        <w:t xml:space="preserve"> TSC will meet before the commencement of recruitment and thereafter on a 6-monthly basis throughout the conduct of the trial (or more frequently, as required).</w:t>
      </w:r>
    </w:p>
    <w:p w14:paraId="74FA488F" w14:textId="77777777" w:rsidR="00B964A7" w:rsidRPr="00B05FFC" w:rsidRDefault="00B964A7" w:rsidP="00B964A7">
      <w:pPr>
        <w:rPr>
          <w:rFonts w:cstheme="minorHAnsi"/>
          <w:b/>
        </w:rPr>
      </w:pPr>
    </w:p>
    <w:p w14:paraId="40BE96FA" w14:textId="77777777" w:rsidR="00B964A7" w:rsidRDefault="00B964A7" w:rsidP="00D5063A">
      <w:pPr>
        <w:pStyle w:val="ListParagraph"/>
        <w:numPr>
          <w:ilvl w:val="1"/>
          <w:numId w:val="1"/>
        </w:numPr>
        <w:outlineLvl w:val="1"/>
        <w:rPr>
          <w:rFonts w:cstheme="minorHAnsi"/>
          <w:b/>
        </w:rPr>
      </w:pPr>
      <w:bookmarkStart w:id="174" w:name="_Toc473873131"/>
      <w:bookmarkStart w:id="175" w:name="_Toc489888128"/>
      <w:r w:rsidRPr="00B05FFC">
        <w:rPr>
          <w:rFonts w:cstheme="minorHAnsi"/>
          <w:b/>
        </w:rPr>
        <w:t>DATA</w:t>
      </w:r>
      <w:r>
        <w:rPr>
          <w:rFonts w:cstheme="minorHAnsi"/>
          <w:b/>
        </w:rPr>
        <w:t xml:space="preserve"> AND SAFETY</w:t>
      </w:r>
      <w:r w:rsidRPr="00B05FFC">
        <w:rPr>
          <w:rFonts w:cstheme="minorHAnsi"/>
          <w:b/>
        </w:rPr>
        <w:t xml:space="preserve"> MONITORING COMMITTEE</w:t>
      </w:r>
      <w:bookmarkEnd w:id="174"/>
      <w:bookmarkEnd w:id="175"/>
    </w:p>
    <w:p w14:paraId="162DE860" w14:textId="4B96DAFE" w:rsidR="00CD50B6" w:rsidRPr="00F15EF1" w:rsidRDefault="00B964A7" w:rsidP="00F15EF1">
      <w:pPr>
        <w:rPr>
          <w:rFonts w:cstheme="minorHAnsi"/>
          <w:color w:val="FF0000"/>
        </w:rPr>
      </w:pPr>
      <w:r w:rsidRPr="00504616">
        <w:rPr>
          <w:rFonts w:cstheme="minorHAnsi"/>
        </w:rPr>
        <w:t>The Data and Safety Monitoring Committee (DSMC) will provide independent supervision for the trial. The DSMC will provide advice to th</w:t>
      </w:r>
      <w:r w:rsidR="00504616" w:rsidRPr="00504616">
        <w:rPr>
          <w:rFonts w:cstheme="minorHAnsi"/>
        </w:rPr>
        <w:t>e Sponsor, Investigational Site</w:t>
      </w:r>
      <w:r w:rsidRPr="00504616">
        <w:rPr>
          <w:rFonts w:cstheme="minorHAnsi"/>
        </w:rPr>
        <w:t xml:space="preserve">, TSC and other Associate Researchers on all aspects of the trial, as well as providing protection for the participants by ensuring that the study is being run in accordance with ICH-GCP </w:t>
      </w:r>
      <w:r w:rsidR="00504616" w:rsidRPr="00504616">
        <w:rPr>
          <w:rFonts w:cstheme="minorHAnsi"/>
        </w:rPr>
        <w:t xml:space="preserve">and local ethical </w:t>
      </w:r>
      <w:r w:rsidRPr="00504616">
        <w:rPr>
          <w:rFonts w:cstheme="minorHAnsi"/>
        </w:rPr>
        <w:t>guidelines</w:t>
      </w:r>
      <w:r w:rsidR="00504616" w:rsidRPr="00504616">
        <w:rPr>
          <w:rFonts w:cstheme="minorHAnsi"/>
        </w:rPr>
        <w:t xml:space="preserve"> and legal requirements</w:t>
      </w:r>
      <w:r w:rsidRPr="00504616">
        <w:rPr>
          <w:rFonts w:cstheme="minorHAnsi"/>
        </w:rPr>
        <w:t xml:space="preserve">. The DSMC will specifically monitor for ongoing </w:t>
      </w:r>
      <w:r w:rsidR="00504616" w:rsidRPr="00504616">
        <w:rPr>
          <w:rFonts w:cstheme="minorHAnsi"/>
        </w:rPr>
        <w:t>safety of trial participants, as well as</w:t>
      </w:r>
      <w:r w:rsidRPr="00504616">
        <w:rPr>
          <w:rFonts w:cstheme="minorHAnsi"/>
        </w:rPr>
        <w:t xml:space="preserve"> the scientific validity and merit of the trial. The DSMC will meet on a 6-monthly basis with representative(s) of the TSC throughout the conduct of the trial (or more frequently, as required).</w:t>
      </w:r>
    </w:p>
    <w:p w14:paraId="7A387700" w14:textId="77777777" w:rsidR="00B964A7" w:rsidRPr="00B05FFC" w:rsidRDefault="00B964A7" w:rsidP="00D5063A">
      <w:pPr>
        <w:pStyle w:val="ListParagraph"/>
        <w:numPr>
          <w:ilvl w:val="1"/>
          <w:numId w:val="1"/>
        </w:numPr>
        <w:outlineLvl w:val="1"/>
        <w:rPr>
          <w:rFonts w:cstheme="minorHAnsi"/>
          <w:b/>
        </w:rPr>
      </w:pPr>
      <w:bookmarkStart w:id="176" w:name="_Toc473873132"/>
      <w:bookmarkStart w:id="177" w:name="_Toc489888129"/>
      <w:r w:rsidRPr="00B05FFC">
        <w:rPr>
          <w:rFonts w:cstheme="minorHAnsi"/>
          <w:b/>
        </w:rPr>
        <w:t>INSPECTION OF RECORDS</w:t>
      </w:r>
      <w:bookmarkEnd w:id="176"/>
      <w:bookmarkEnd w:id="177"/>
    </w:p>
    <w:p w14:paraId="633A29D1" w14:textId="77777777" w:rsidR="00B964A7" w:rsidRDefault="00B964A7" w:rsidP="00B964A7">
      <w:pPr>
        <w:rPr>
          <w:rFonts w:cstheme="minorHAnsi"/>
        </w:rPr>
      </w:pPr>
      <w:r w:rsidRPr="00E97B3B">
        <w:rPr>
          <w:rFonts w:cstheme="minorHAnsi"/>
        </w:rPr>
        <w:t>All study Investigators (and other relevant employees) associated with the</w:t>
      </w:r>
      <w:r w:rsidR="00E97B3B" w:rsidRPr="00E97B3B">
        <w:rPr>
          <w:rFonts w:cstheme="minorHAnsi"/>
        </w:rPr>
        <w:t xml:space="preserve"> NSH and the University of Melbourne </w:t>
      </w:r>
      <w:r w:rsidRPr="00E97B3B">
        <w:rPr>
          <w:rFonts w:cstheme="minorHAnsi"/>
        </w:rPr>
        <w:t>will permit trial-related monitoring and audits to be undertake</w:t>
      </w:r>
      <w:r w:rsidR="00E97B3B" w:rsidRPr="00E97B3B">
        <w:rPr>
          <w:rFonts w:cstheme="minorHAnsi"/>
        </w:rPr>
        <w:t>n by the DSMC; the TSC; HD</w:t>
      </w:r>
      <w:r w:rsidRPr="00E97B3B">
        <w:rPr>
          <w:rFonts w:cstheme="minorHAnsi"/>
        </w:rPr>
        <w:t>ECs;</w:t>
      </w:r>
      <w:r w:rsidR="00E97B3B" w:rsidRPr="00E97B3B">
        <w:rPr>
          <w:rFonts w:cstheme="minorHAnsi"/>
        </w:rPr>
        <w:t xml:space="preserve"> Maori </w:t>
      </w:r>
      <w:r w:rsidR="00A82EFC">
        <w:rPr>
          <w:rFonts w:cstheme="minorHAnsi"/>
        </w:rPr>
        <w:t xml:space="preserve">Research </w:t>
      </w:r>
      <w:r w:rsidR="00E97B3B" w:rsidRPr="00E97B3B">
        <w:rPr>
          <w:rFonts w:cstheme="minorHAnsi"/>
        </w:rPr>
        <w:t>Ethics</w:t>
      </w:r>
      <w:r w:rsidRPr="00E97B3B">
        <w:rPr>
          <w:rFonts w:cstheme="minorHAnsi"/>
        </w:rPr>
        <w:t xml:space="preserve"> and any regulatory authority inspections. In the case of an audit, trial </w:t>
      </w:r>
      <w:r w:rsidRPr="00E97B3B">
        <w:rPr>
          <w:rFonts w:cstheme="minorHAnsi"/>
        </w:rPr>
        <w:lastRenderedPageBreak/>
        <w:t>monitoring activity, or regulatory inspection, all Investigators involved with the study agree to allow the inspectors and r</w:t>
      </w:r>
      <w:r w:rsidR="00E97B3B" w:rsidRPr="00E97B3B">
        <w:rPr>
          <w:rFonts w:cstheme="minorHAnsi"/>
        </w:rPr>
        <w:t>epresentatives of the Sponsor/HD</w:t>
      </w:r>
      <w:r w:rsidRPr="00E97B3B">
        <w:rPr>
          <w:rFonts w:cstheme="minorHAnsi"/>
        </w:rPr>
        <w:t>EC direct access to all study records and source data. This may include facilitating appropriate access to</w:t>
      </w:r>
      <w:r w:rsidR="00E97B3B" w:rsidRPr="00E97B3B">
        <w:rPr>
          <w:rFonts w:cstheme="minorHAnsi"/>
        </w:rPr>
        <w:t xml:space="preserve"> medical histories through the I</w:t>
      </w:r>
      <w:r w:rsidRPr="00E97B3B">
        <w:rPr>
          <w:rFonts w:cstheme="minorHAnsi"/>
        </w:rPr>
        <w:t>n</w:t>
      </w:r>
      <w:r w:rsidR="00E97B3B" w:rsidRPr="00E97B3B">
        <w:rPr>
          <w:rFonts w:cstheme="minorHAnsi"/>
        </w:rPr>
        <w:t>vestigational Site’s</w:t>
      </w:r>
      <w:r w:rsidRPr="00E97B3B">
        <w:rPr>
          <w:rFonts w:cstheme="minorHAnsi"/>
        </w:rPr>
        <w:t xml:space="preserve"> Health </w:t>
      </w:r>
      <w:r w:rsidR="002B46F9">
        <w:rPr>
          <w:rFonts w:cstheme="minorHAnsi"/>
        </w:rPr>
        <w:t>Information Services department</w:t>
      </w:r>
      <w:r w:rsidRPr="00E97B3B">
        <w:rPr>
          <w:rFonts w:cstheme="minorHAnsi"/>
        </w:rPr>
        <w:t>.</w:t>
      </w:r>
      <w:r w:rsidR="00E97B3B" w:rsidRPr="00E97B3B">
        <w:rPr>
          <w:rFonts w:cstheme="minorHAnsi"/>
        </w:rPr>
        <w:t xml:space="preserve"> The potential for</w:t>
      </w:r>
      <w:r w:rsidR="00E97B3B">
        <w:rPr>
          <w:rFonts w:cstheme="minorHAnsi"/>
        </w:rPr>
        <w:t xml:space="preserve"> participants’ medical records to be accessed by approved persons</w:t>
      </w:r>
      <w:r w:rsidR="00E97B3B" w:rsidRPr="00E97B3B">
        <w:rPr>
          <w:rFonts w:cstheme="minorHAnsi"/>
        </w:rPr>
        <w:t xml:space="preserve"> conducting audit and safety-rel</w:t>
      </w:r>
      <w:r w:rsidR="00E97B3B">
        <w:rPr>
          <w:rFonts w:cstheme="minorHAnsi"/>
        </w:rPr>
        <w:t xml:space="preserve">ated inspections of the conduct of the study </w:t>
      </w:r>
      <w:r w:rsidR="00E97B3B" w:rsidRPr="00E97B3B">
        <w:rPr>
          <w:rFonts w:cstheme="minorHAnsi"/>
        </w:rPr>
        <w:t>will form a part of the informed consent process and will be outlined in the PICF.</w:t>
      </w:r>
    </w:p>
    <w:p w14:paraId="496329A4" w14:textId="77777777" w:rsidR="00CD50B6" w:rsidRPr="005866CA" w:rsidRDefault="00CD50B6" w:rsidP="00B964A7">
      <w:pPr>
        <w:rPr>
          <w:rFonts w:cstheme="minorHAnsi"/>
        </w:rPr>
      </w:pPr>
    </w:p>
    <w:p w14:paraId="7C4155EF" w14:textId="77777777" w:rsidR="00B964A7" w:rsidRPr="00026F9E" w:rsidRDefault="00B964A7" w:rsidP="00D5063A">
      <w:pPr>
        <w:pStyle w:val="ListParagraph"/>
        <w:numPr>
          <w:ilvl w:val="1"/>
          <w:numId w:val="1"/>
        </w:numPr>
        <w:outlineLvl w:val="1"/>
        <w:rPr>
          <w:rFonts w:cstheme="minorHAnsi"/>
          <w:b/>
        </w:rPr>
      </w:pPr>
      <w:bookmarkStart w:id="178" w:name="_Toc473873133"/>
      <w:bookmarkStart w:id="179" w:name="_Toc489888130"/>
      <w:r w:rsidRPr="00026F9E">
        <w:rPr>
          <w:rFonts w:cstheme="minorHAnsi"/>
          <w:b/>
        </w:rPr>
        <w:t>RISK ASSESSMENT</w:t>
      </w:r>
      <w:bookmarkEnd w:id="178"/>
      <w:bookmarkEnd w:id="179"/>
    </w:p>
    <w:p w14:paraId="718ABE76" w14:textId="77777777" w:rsidR="00B964A7" w:rsidRPr="00026F9E" w:rsidRDefault="00B964A7" w:rsidP="00B964A7">
      <w:pPr>
        <w:rPr>
          <w:rFonts w:cstheme="minorHAnsi"/>
        </w:rPr>
      </w:pPr>
      <w:r w:rsidRPr="00026F9E">
        <w:rPr>
          <w:rFonts w:cstheme="minorHAnsi"/>
        </w:rPr>
        <w:t>Specific interim risk assessments (encompassing clinical</w:t>
      </w:r>
      <w:r w:rsidR="00026F9E" w:rsidRPr="00026F9E">
        <w:rPr>
          <w:rFonts w:cstheme="minorHAnsi"/>
        </w:rPr>
        <w:t xml:space="preserve"> outcomes</w:t>
      </w:r>
      <w:r w:rsidRPr="00026F9E">
        <w:rPr>
          <w:rFonts w:cstheme="minorHAnsi"/>
        </w:rPr>
        <w:t xml:space="preserve"> and AE examinations</w:t>
      </w:r>
      <w:r w:rsidR="00026F9E" w:rsidRPr="00026F9E">
        <w:rPr>
          <w:rFonts w:cstheme="minorHAnsi"/>
        </w:rPr>
        <w:t xml:space="preserve"> for women involved in the study</w:t>
      </w:r>
      <w:r w:rsidRPr="00026F9E">
        <w:rPr>
          <w:rFonts w:cstheme="minorHAnsi"/>
        </w:rPr>
        <w:t>) will be performed by the Trial Steering Committee and Data and Safety Monitoring Committee at meetings held every 6 months throughout the trial. These risk assessments will be performed to establish the need of any mid-trial study design adaptations and to provide information regarding the ongoing safety and ethi</w:t>
      </w:r>
      <w:r w:rsidR="00CD50B6">
        <w:rPr>
          <w:rFonts w:cstheme="minorHAnsi"/>
        </w:rPr>
        <w:t>cal acceptability of the trial.</w:t>
      </w:r>
    </w:p>
    <w:p w14:paraId="72B9B2D2" w14:textId="77777777" w:rsidR="00B964A7" w:rsidRPr="00026F9E" w:rsidRDefault="00B964A7" w:rsidP="00B964A7">
      <w:pPr>
        <w:rPr>
          <w:rFonts w:cstheme="minorHAnsi"/>
        </w:rPr>
      </w:pPr>
      <w:r w:rsidRPr="00026F9E">
        <w:rPr>
          <w:rFonts w:cstheme="minorHAnsi"/>
        </w:rPr>
        <w:t>A summative risk assessment at the completion of the trial will help to inform one of the primary outcomes of the stud</w:t>
      </w:r>
      <w:r w:rsidR="00026F9E" w:rsidRPr="00026F9E">
        <w:rPr>
          <w:rFonts w:cstheme="minorHAnsi"/>
        </w:rPr>
        <w:t>y – the safety profile of vinorelbine in women with ectopic pregnancies</w:t>
      </w:r>
      <w:r w:rsidRPr="00026F9E">
        <w:rPr>
          <w:rFonts w:cstheme="minorHAnsi"/>
        </w:rPr>
        <w:t xml:space="preserve"> (see </w:t>
      </w:r>
      <w:r w:rsidRPr="00026F9E">
        <w:rPr>
          <w:rFonts w:cstheme="minorHAnsi"/>
          <w:i/>
        </w:rPr>
        <w:t>Section 2.1.1</w:t>
      </w:r>
      <w:r w:rsidRPr="00026F9E">
        <w:rPr>
          <w:rFonts w:cstheme="minorHAnsi"/>
        </w:rPr>
        <w:t>). The outcomes of each risk assessment will form the basis of subsequent trial monitoring and audit plans. The assessments will also provide information to researchers about specific features to incorporate into future study designs to mit</w:t>
      </w:r>
      <w:r w:rsidR="00026F9E" w:rsidRPr="00026F9E">
        <w:rPr>
          <w:rFonts w:cstheme="minorHAnsi"/>
        </w:rPr>
        <w:t>igate risks to participants. HD</w:t>
      </w:r>
      <w:r w:rsidRPr="00026F9E">
        <w:rPr>
          <w:rFonts w:cstheme="minorHAnsi"/>
        </w:rPr>
        <w:t>EC will be informed of the outcome of each risk assess</w:t>
      </w:r>
      <w:r w:rsidR="00026F9E" w:rsidRPr="00026F9E">
        <w:rPr>
          <w:rFonts w:cstheme="minorHAnsi"/>
        </w:rPr>
        <w:t>ment (with the next scheduled annual HD</w:t>
      </w:r>
      <w:r w:rsidRPr="00026F9E">
        <w:rPr>
          <w:rFonts w:cstheme="minorHAnsi"/>
        </w:rPr>
        <w:t>EC update, if no major findings are made).</w:t>
      </w:r>
    </w:p>
    <w:p w14:paraId="590E092A" w14:textId="77777777" w:rsidR="00B964A7" w:rsidRPr="00B05FFC" w:rsidRDefault="00B964A7" w:rsidP="00B964A7">
      <w:pPr>
        <w:rPr>
          <w:rFonts w:cstheme="minorHAnsi"/>
          <w:b/>
        </w:rPr>
      </w:pPr>
    </w:p>
    <w:p w14:paraId="0A82793C" w14:textId="77777777" w:rsidR="00B964A7" w:rsidRDefault="00B964A7" w:rsidP="00D5063A">
      <w:pPr>
        <w:pStyle w:val="ListParagraph"/>
        <w:numPr>
          <w:ilvl w:val="1"/>
          <w:numId w:val="1"/>
        </w:numPr>
        <w:outlineLvl w:val="1"/>
        <w:rPr>
          <w:rFonts w:cstheme="minorHAnsi"/>
          <w:b/>
        </w:rPr>
      </w:pPr>
      <w:bookmarkStart w:id="180" w:name="_Toc473873134"/>
      <w:bookmarkStart w:id="181" w:name="_Toc489888131"/>
      <w:r w:rsidRPr="00B05FFC">
        <w:rPr>
          <w:rFonts w:cstheme="minorHAnsi"/>
          <w:b/>
        </w:rPr>
        <w:t>STUDY MONITORING AND AUDIT</w:t>
      </w:r>
      <w:bookmarkEnd w:id="180"/>
      <w:bookmarkEnd w:id="181"/>
    </w:p>
    <w:p w14:paraId="4A71B8A1" w14:textId="77777777" w:rsidR="00B964A7" w:rsidRPr="004F0787" w:rsidRDefault="00E47977" w:rsidP="00B964A7">
      <w:pPr>
        <w:rPr>
          <w:rFonts w:cstheme="minorHAnsi"/>
        </w:rPr>
      </w:pPr>
      <w:r>
        <w:rPr>
          <w:rFonts w:cstheme="minorHAnsi"/>
        </w:rPr>
        <w:t>The PIs</w:t>
      </w:r>
      <w:r w:rsidR="00B964A7" w:rsidRPr="004F0787">
        <w:rPr>
          <w:rFonts w:cstheme="minorHAnsi"/>
        </w:rPr>
        <w:t xml:space="preserve"> or other designated representatives of the TSC will perform study monitoring activities in accordance with the trial monitoring plan (see </w:t>
      </w:r>
      <w:r w:rsidR="00B964A7" w:rsidRPr="004F0787">
        <w:rPr>
          <w:rFonts w:cstheme="minorHAnsi"/>
          <w:i/>
        </w:rPr>
        <w:t>Section 12.6</w:t>
      </w:r>
      <w:r w:rsidR="00B964A7" w:rsidRPr="004F0787">
        <w:rPr>
          <w:rFonts w:cstheme="minorHAnsi"/>
        </w:rPr>
        <w:t>). This will involve investigational site visits and central monitoring activities</w:t>
      </w:r>
      <w:r w:rsidR="004F0787" w:rsidRPr="004F0787">
        <w:rPr>
          <w:rFonts w:cstheme="minorHAnsi"/>
        </w:rPr>
        <w:t>, as appropriate</w:t>
      </w:r>
      <w:r w:rsidR="00B964A7" w:rsidRPr="004F0787">
        <w:rPr>
          <w:rFonts w:cstheme="minorHAnsi"/>
        </w:rPr>
        <w:t>. Study audits will be performed by members of the TSC in accordance with the study audit plan, including investigator site, study documentation, study management and facility a</w:t>
      </w:r>
      <w:r w:rsidR="004F0787" w:rsidRPr="004F0787">
        <w:rPr>
          <w:rFonts w:cstheme="minorHAnsi"/>
        </w:rPr>
        <w:t>udits as necessary. The DSMC, HDEC and other regulatory bodies</w:t>
      </w:r>
      <w:r w:rsidR="00B964A7" w:rsidRPr="004F0787">
        <w:rPr>
          <w:rFonts w:cstheme="minorHAnsi"/>
        </w:rPr>
        <w:t xml:space="preserve"> may also elect to undertake quality management or quality assurance activities to ensure the safe and ethical conduct of the trial and adherence to the study protocol.</w:t>
      </w:r>
    </w:p>
    <w:p w14:paraId="07C4DD6C" w14:textId="77777777" w:rsidR="00B964A7" w:rsidRPr="004930A8" w:rsidRDefault="00B964A7" w:rsidP="00B964A7">
      <w:pPr>
        <w:outlineLvl w:val="1"/>
        <w:rPr>
          <w:rFonts w:cstheme="minorHAnsi"/>
          <w:b/>
        </w:rPr>
      </w:pPr>
    </w:p>
    <w:p w14:paraId="266F1F0D" w14:textId="77777777" w:rsidR="00B964A7" w:rsidRPr="004F0787" w:rsidRDefault="00B964A7" w:rsidP="00D5063A">
      <w:pPr>
        <w:pStyle w:val="ListParagraph"/>
        <w:numPr>
          <w:ilvl w:val="1"/>
          <w:numId w:val="1"/>
        </w:numPr>
        <w:outlineLvl w:val="1"/>
        <w:rPr>
          <w:rFonts w:cstheme="minorHAnsi"/>
          <w:b/>
        </w:rPr>
      </w:pPr>
      <w:bookmarkStart w:id="182" w:name="_Toc489888132"/>
      <w:r w:rsidRPr="004F0787">
        <w:rPr>
          <w:rFonts w:cstheme="minorHAnsi"/>
          <w:b/>
        </w:rPr>
        <w:t>TRIAL MONITORING PLAN</w:t>
      </w:r>
      <w:bookmarkEnd w:id="182"/>
    </w:p>
    <w:p w14:paraId="1006ECA6" w14:textId="77777777" w:rsidR="00B964A7" w:rsidRPr="004F0787" w:rsidRDefault="00B964A7" w:rsidP="00B964A7">
      <w:pPr>
        <w:rPr>
          <w:rFonts w:cstheme="minorHAnsi"/>
        </w:rPr>
      </w:pPr>
      <w:r w:rsidRPr="004F0787">
        <w:rPr>
          <w:rFonts w:cstheme="minorHAnsi"/>
        </w:rPr>
        <w:t>Study monit</w:t>
      </w:r>
      <w:r w:rsidR="004F0787" w:rsidRPr="004F0787">
        <w:rPr>
          <w:rFonts w:cstheme="minorHAnsi"/>
        </w:rPr>
        <w:t xml:space="preserve">oring will be conducted at the </w:t>
      </w:r>
      <w:r w:rsidRPr="004F0787">
        <w:rPr>
          <w:rFonts w:cstheme="minorHAnsi"/>
        </w:rPr>
        <w:t>Investigational Site</w:t>
      </w:r>
      <w:r w:rsidR="004F0787" w:rsidRPr="004F0787">
        <w:rPr>
          <w:rFonts w:cstheme="minorHAnsi"/>
        </w:rPr>
        <w:t xml:space="preserve"> (NSH)</w:t>
      </w:r>
      <w:r w:rsidRPr="004F0787">
        <w:rPr>
          <w:rFonts w:cstheme="minorHAnsi"/>
        </w:rPr>
        <w:t xml:space="preserve"> during the trial for quality monitoring and assurance purposes. Member(s) or representative(s) of the TSC will perform audit activities at each site within 3 months of the commencement of recruitment, and every 6 months thereafter, for the duration of the data collection component of the study. Audit activities may include (but are not limited to) the inspection of consent forms to ensure appropriate completion; comparison of CRFs to source documents to ensure accuracy of transposed data; and discussions with Investigational Site staff regarding the conduct of the trial.  Audit and monitoring re</w:t>
      </w:r>
      <w:r w:rsidR="004F0787" w:rsidRPr="004F0787">
        <w:rPr>
          <w:rFonts w:cstheme="minorHAnsi"/>
        </w:rPr>
        <w:t xml:space="preserve">sults will be </w:t>
      </w:r>
      <w:r w:rsidR="004F0787" w:rsidRPr="004F0787">
        <w:rPr>
          <w:rFonts w:cstheme="minorHAnsi"/>
        </w:rPr>
        <w:lastRenderedPageBreak/>
        <w:t>reported to HD</w:t>
      </w:r>
      <w:r w:rsidRPr="004F0787">
        <w:rPr>
          <w:rFonts w:cstheme="minorHAnsi"/>
        </w:rPr>
        <w:t>EC</w:t>
      </w:r>
      <w:r w:rsidR="00415627">
        <w:rPr>
          <w:rFonts w:cstheme="minorHAnsi"/>
        </w:rPr>
        <w:t xml:space="preserve"> and the sponsor</w:t>
      </w:r>
      <w:r w:rsidRPr="004F0787">
        <w:rPr>
          <w:rFonts w:cstheme="minorHAnsi"/>
        </w:rPr>
        <w:t xml:space="preserve"> immediately if major breaches or issues are det</w:t>
      </w:r>
      <w:r w:rsidR="004F0787" w:rsidRPr="004F0787">
        <w:rPr>
          <w:rFonts w:cstheme="minorHAnsi"/>
        </w:rPr>
        <w:t>ected; otherwise with routine HD</w:t>
      </w:r>
      <w:r w:rsidRPr="004F0787">
        <w:rPr>
          <w:rFonts w:cstheme="minorHAnsi"/>
        </w:rPr>
        <w:t xml:space="preserve">EC updates that are scheduled to occur annually. </w:t>
      </w:r>
    </w:p>
    <w:p w14:paraId="74B1553F" w14:textId="77777777" w:rsidR="00B964A7" w:rsidRPr="00B05FFC" w:rsidRDefault="00B964A7" w:rsidP="00B964A7">
      <w:pPr>
        <w:rPr>
          <w:rFonts w:cstheme="minorHAnsi"/>
          <w:b/>
        </w:rPr>
      </w:pPr>
    </w:p>
    <w:p w14:paraId="522053E3" w14:textId="77777777" w:rsidR="00B964A7" w:rsidRDefault="00B964A7" w:rsidP="00D5063A">
      <w:pPr>
        <w:pStyle w:val="ListParagraph"/>
        <w:numPr>
          <w:ilvl w:val="0"/>
          <w:numId w:val="1"/>
        </w:numPr>
        <w:outlineLvl w:val="0"/>
        <w:rPr>
          <w:rFonts w:cstheme="minorHAnsi"/>
          <w:b/>
        </w:rPr>
      </w:pPr>
      <w:bookmarkStart w:id="183" w:name="_Toc473873135"/>
      <w:bookmarkStart w:id="184" w:name="_Toc489888133"/>
      <w:r w:rsidRPr="00B05FFC">
        <w:rPr>
          <w:rFonts w:cstheme="minorHAnsi"/>
          <w:b/>
        </w:rPr>
        <w:t>GOOD CLINICAL PRACTICE</w:t>
      </w:r>
      <w:bookmarkEnd w:id="183"/>
      <w:bookmarkEnd w:id="184"/>
    </w:p>
    <w:p w14:paraId="3D3F0B00" w14:textId="77777777" w:rsidR="00B964A7" w:rsidRPr="0033298B" w:rsidRDefault="00B964A7" w:rsidP="00B964A7">
      <w:pPr>
        <w:pStyle w:val="ListParagraph"/>
        <w:outlineLvl w:val="0"/>
        <w:rPr>
          <w:rFonts w:cstheme="minorHAnsi"/>
          <w:b/>
        </w:rPr>
      </w:pPr>
    </w:p>
    <w:p w14:paraId="3695C92E" w14:textId="77777777" w:rsidR="00B964A7" w:rsidRPr="001463E4" w:rsidRDefault="00B964A7" w:rsidP="00D5063A">
      <w:pPr>
        <w:pStyle w:val="ListParagraph"/>
        <w:numPr>
          <w:ilvl w:val="1"/>
          <w:numId w:val="1"/>
        </w:numPr>
        <w:outlineLvl w:val="1"/>
        <w:rPr>
          <w:rFonts w:cstheme="minorHAnsi"/>
          <w:b/>
        </w:rPr>
      </w:pPr>
      <w:bookmarkStart w:id="185" w:name="_Toc473873136"/>
      <w:bookmarkStart w:id="186" w:name="_Toc489888134"/>
      <w:r w:rsidRPr="001463E4">
        <w:rPr>
          <w:rFonts w:cstheme="minorHAnsi"/>
          <w:b/>
        </w:rPr>
        <w:t>ETHICAL CONDUCT</w:t>
      </w:r>
      <w:bookmarkEnd w:id="185"/>
      <w:bookmarkEnd w:id="186"/>
    </w:p>
    <w:p w14:paraId="2B53BCCF" w14:textId="77777777" w:rsidR="00B964A7" w:rsidRPr="001463E4" w:rsidRDefault="00B964A7" w:rsidP="00B964A7">
      <w:pPr>
        <w:rPr>
          <w:rFonts w:cstheme="minorHAnsi"/>
        </w:rPr>
      </w:pPr>
      <w:r w:rsidRPr="001463E4">
        <w:rPr>
          <w:rFonts w:cstheme="minorHAnsi"/>
        </w:rPr>
        <w:t>This study has been planned and will be implemented and conducted in accordance with ICH-GCP, TGA</w:t>
      </w:r>
      <w:r w:rsidR="001463E4" w:rsidRPr="001463E4">
        <w:rPr>
          <w:rFonts w:cstheme="minorHAnsi"/>
        </w:rPr>
        <w:t>, Medsafe</w:t>
      </w:r>
      <w:r w:rsidR="004F0787">
        <w:rPr>
          <w:rFonts w:cstheme="minorHAnsi"/>
        </w:rPr>
        <w:t>, EMA</w:t>
      </w:r>
      <w:r w:rsidRPr="001463E4">
        <w:rPr>
          <w:rFonts w:cstheme="minorHAnsi"/>
        </w:rPr>
        <w:t xml:space="preserve"> and NHMRC guidelines. The Researchers involved with this trial all hold current GCP certification; are currently undergoing GCP</w:t>
      </w:r>
      <w:r w:rsidR="00F46E96">
        <w:rPr>
          <w:rFonts w:cstheme="minorHAnsi"/>
        </w:rPr>
        <w:t xml:space="preserve"> training; or work under the close supervision of a GCP-certified fellow</w:t>
      </w:r>
      <w:r w:rsidR="001463E4" w:rsidRPr="001463E4">
        <w:rPr>
          <w:rFonts w:cstheme="minorHAnsi"/>
        </w:rPr>
        <w:t xml:space="preserve"> </w:t>
      </w:r>
      <w:r w:rsidRPr="001463E4">
        <w:rPr>
          <w:rFonts w:cstheme="minorHAnsi"/>
        </w:rPr>
        <w:t>In</w:t>
      </w:r>
      <w:r w:rsidR="001463E4" w:rsidRPr="001463E4">
        <w:rPr>
          <w:rFonts w:cstheme="minorHAnsi"/>
        </w:rPr>
        <w:t xml:space="preserve">vestigator. The study will commence once </w:t>
      </w:r>
      <w:r w:rsidRPr="001463E4">
        <w:rPr>
          <w:rFonts w:cstheme="minorHAnsi"/>
        </w:rPr>
        <w:t xml:space="preserve">approval by </w:t>
      </w:r>
      <w:r w:rsidR="00A13066">
        <w:rPr>
          <w:rFonts w:cstheme="minorHAnsi"/>
        </w:rPr>
        <w:t>the</w:t>
      </w:r>
      <w:r w:rsidR="001463E4" w:rsidRPr="001463E4">
        <w:rPr>
          <w:rFonts w:cstheme="minorHAnsi"/>
        </w:rPr>
        <w:t xml:space="preserve"> HDEC</w:t>
      </w:r>
      <w:r w:rsidRPr="001463E4">
        <w:rPr>
          <w:rFonts w:cstheme="minorHAnsi"/>
        </w:rPr>
        <w:t xml:space="preserve"> and </w:t>
      </w:r>
      <w:r w:rsidR="00A13066">
        <w:rPr>
          <w:rFonts w:cstheme="minorHAnsi"/>
        </w:rPr>
        <w:t xml:space="preserve">the </w:t>
      </w:r>
      <w:r w:rsidR="001463E4" w:rsidRPr="00A13066">
        <w:rPr>
          <w:rFonts w:cstheme="minorHAnsi"/>
        </w:rPr>
        <w:t>Maori Research Ethics Committee has been obtained and any conditions of ap</w:t>
      </w:r>
      <w:r w:rsidR="001463E4" w:rsidRPr="001463E4">
        <w:rPr>
          <w:rFonts w:cstheme="minorHAnsi"/>
        </w:rPr>
        <w:t>proval have been met.</w:t>
      </w:r>
      <w:r w:rsidRPr="001463E4">
        <w:rPr>
          <w:rFonts w:cstheme="minorHAnsi"/>
        </w:rPr>
        <w:t xml:space="preserve"> </w:t>
      </w:r>
    </w:p>
    <w:p w14:paraId="467F1589" w14:textId="77777777" w:rsidR="001463E4" w:rsidRPr="008215AD" w:rsidRDefault="001463E4" w:rsidP="00B964A7">
      <w:pPr>
        <w:rPr>
          <w:rFonts w:cstheme="minorHAnsi"/>
          <w:b/>
          <w:color w:val="FF0000"/>
        </w:rPr>
      </w:pPr>
    </w:p>
    <w:p w14:paraId="1469F56D" w14:textId="77777777" w:rsidR="00B964A7" w:rsidRPr="00B05FFC" w:rsidRDefault="00B964A7" w:rsidP="00D5063A">
      <w:pPr>
        <w:pStyle w:val="ListParagraph"/>
        <w:numPr>
          <w:ilvl w:val="1"/>
          <w:numId w:val="1"/>
        </w:numPr>
        <w:outlineLvl w:val="1"/>
        <w:rPr>
          <w:rFonts w:cstheme="minorHAnsi"/>
          <w:b/>
        </w:rPr>
      </w:pPr>
      <w:bookmarkStart w:id="187" w:name="_Toc473873137"/>
      <w:bookmarkStart w:id="188" w:name="_Toc489888135"/>
      <w:r w:rsidRPr="00B05FFC">
        <w:rPr>
          <w:rFonts w:cstheme="minorHAnsi"/>
          <w:b/>
        </w:rPr>
        <w:t>REQUIRED APPROVALS AND CONDITIONS OF APPROVAL</w:t>
      </w:r>
      <w:bookmarkEnd w:id="187"/>
      <w:bookmarkEnd w:id="188"/>
    </w:p>
    <w:p w14:paraId="3FF9031B" w14:textId="77777777" w:rsidR="00B964A7" w:rsidRPr="001A2840" w:rsidRDefault="00B964A7" w:rsidP="00B964A7">
      <w:pPr>
        <w:rPr>
          <w:rFonts w:cstheme="minorHAnsi"/>
        </w:rPr>
      </w:pPr>
      <w:r w:rsidRPr="001A2840">
        <w:rPr>
          <w:rFonts w:cstheme="minorHAnsi"/>
        </w:rPr>
        <w:t>Prior to study commencement, approval has been</w:t>
      </w:r>
      <w:r w:rsidR="001A2840" w:rsidRPr="001A2840">
        <w:rPr>
          <w:rFonts w:cstheme="minorHAnsi"/>
        </w:rPr>
        <w:t>/will be</w:t>
      </w:r>
      <w:r w:rsidRPr="001A2840">
        <w:rPr>
          <w:rFonts w:cstheme="minorHAnsi"/>
        </w:rPr>
        <w:t xml:space="preserve"> obtained for conducting t</w:t>
      </w:r>
      <w:r w:rsidR="001A2840" w:rsidRPr="001A2840">
        <w:rPr>
          <w:rFonts w:cstheme="minorHAnsi"/>
        </w:rPr>
        <w:t>he trial from the</w:t>
      </w:r>
      <w:r w:rsidR="00A13066">
        <w:rPr>
          <w:rFonts w:cstheme="minorHAnsi"/>
        </w:rPr>
        <w:t xml:space="preserve"> ANZCTR;</w:t>
      </w:r>
      <w:r w:rsidR="001A2840" w:rsidRPr="001A2840">
        <w:rPr>
          <w:rFonts w:cstheme="minorHAnsi"/>
        </w:rPr>
        <w:t xml:space="preserve"> HDEC; </w:t>
      </w:r>
      <w:r w:rsidR="001A2840" w:rsidRPr="00A13066">
        <w:rPr>
          <w:rFonts w:cstheme="minorHAnsi"/>
        </w:rPr>
        <w:t xml:space="preserve">Maori </w:t>
      </w:r>
      <w:r w:rsidR="00A13066">
        <w:rPr>
          <w:rFonts w:cstheme="minorHAnsi"/>
        </w:rPr>
        <w:t>Research Ethics Committee</w:t>
      </w:r>
      <w:r w:rsidR="001A2840" w:rsidRPr="00A13066">
        <w:rPr>
          <w:rFonts w:cstheme="minorHAnsi"/>
        </w:rPr>
        <w:t>;</w:t>
      </w:r>
      <w:r w:rsidR="001A2840" w:rsidRPr="001A2840">
        <w:rPr>
          <w:rFonts w:cstheme="minorHAnsi"/>
        </w:rPr>
        <w:t xml:space="preserve"> Medsafe; the University of Melbourne; and the appropriate senior executive staff at NSH</w:t>
      </w:r>
      <w:r w:rsidRPr="001A2840">
        <w:rPr>
          <w:rFonts w:cstheme="minorHAnsi"/>
        </w:rPr>
        <w:t>. A</w:t>
      </w:r>
      <w:r w:rsidR="001A2840" w:rsidRPr="001A2840">
        <w:rPr>
          <w:rFonts w:cstheme="minorHAnsi"/>
        </w:rPr>
        <w:t>ny conditions of approval will be</w:t>
      </w:r>
      <w:r w:rsidRPr="001A2840">
        <w:rPr>
          <w:rFonts w:cstheme="minorHAnsi"/>
        </w:rPr>
        <w:t xml:space="preserve"> met prior to the commencement of the study.</w:t>
      </w:r>
    </w:p>
    <w:p w14:paraId="4EF8F89A" w14:textId="77777777" w:rsidR="00B964A7" w:rsidRPr="00B05FFC" w:rsidRDefault="00B964A7" w:rsidP="00B964A7">
      <w:pPr>
        <w:rPr>
          <w:rFonts w:cstheme="minorHAnsi"/>
          <w:b/>
        </w:rPr>
      </w:pPr>
    </w:p>
    <w:p w14:paraId="406604F6" w14:textId="77777777" w:rsidR="00B964A7" w:rsidRPr="00B05FFC" w:rsidRDefault="00B964A7" w:rsidP="00D5063A">
      <w:pPr>
        <w:pStyle w:val="ListParagraph"/>
        <w:numPr>
          <w:ilvl w:val="1"/>
          <w:numId w:val="1"/>
        </w:numPr>
        <w:outlineLvl w:val="1"/>
        <w:rPr>
          <w:rFonts w:cstheme="minorHAnsi"/>
          <w:b/>
        </w:rPr>
      </w:pPr>
      <w:bookmarkStart w:id="189" w:name="_Toc473873138"/>
      <w:bookmarkStart w:id="190" w:name="_Toc489888136"/>
      <w:r w:rsidRPr="00B05FFC">
        <w:rPr>
          <w:rFonts w:cstheme="minorHAnsi"/>
          <w:b/>
        </w:rPr>
        <w:t>REGULATORY COMPLIANCE</w:t>
      </w:r>
      <w:bookmarkEnd w:id="189"/>
      <w:bookmarkEnd w:id="190"/>
    </w:p>
    <w:p w14:paraId="24D9231E" w14:textId="4BA8F13B" w:rsidR="00B964A7" w:rsidRPr="00415627" w:rsidRDefault="00B964A7" w:rsidP="00B964A7">
      <w:pPr>
        <w:rPr>
          <w:rFonts w:cstheme="minorHAnsi"/>
        </w:rPr>
      </w:pPr>
      <w:r w:rsidRPr="00415627">
        <w:rPr>
          <w:rFonts w:cstheme="minorHAnsi"/>
        </w:rPr>
        <w:t>The protocol and study conduct will comply with</w:t>
      </w:r>
      <w:r w:rsidR="00415627" w:rsidRPr="00415627">
        <w:rPr>
          <w:rFonts w:cstheme="minorHAnsi"/>
        </w:rPr>
        <w:t xml:space="preserve"> Medsafe’s </w:t>
      </w:r>
      <w:r w:rsidR="00415627" w:rsidRPr="00415627">
        <w:rPr>
          <w:rFonts w:cstheme="minorHAnsi"/>
          <w:i/>
        </w:rPr>
        <w:t>Clinical trials – Regulatory approval and Good Clinical Practice</w:t>
      </w:r>
      <w:r w:rsidR="00415627" w:rsidRPr="00415627">
        <w:rPr>
          <w:rFonts w:cstheme="minorHAnsi"/>
        </w:rPr>
        <w:t xml:space="preserve"> document</w:t>
      </w:r>
      <w:r w:rsidR="00415627">
        <w:rPr>
          <w:rFonts w:cstheme="minorHAnsi"/>
        </w:rPr>
        <w:t xml:space="preserve"> (ref)</w:t>
      </w:r>
      <w:r w:rsidR="00415627" w:rsidRPr="00415627">
        <w:rPr>
          <w:rFonts w:cstheme="minorHAnsi"/>
        </w:rPr>
        <w:t xml:space="preserve"> and</w:t>
      </w:r>
      <w:r w:rsidRPr="00415627">
        <w:rPr>
          <w:rFonts w:cstheme="minorHAnsi"/>
        </w:rPr>
        <w:t xml:space="preserve"> the NHMRC’s </w:t>
      </w:r>
      <w:r w:rsidRPr="00415627">
        <w:rPr>
          <w:rFonts w:cstheme="minorHAnsi"/>
          <w:i/>
        </w:rPr>
        <w:t xml:space="preserve">National Statement </w:t>
      </w:r>
      <w:r w:rsidRPr="00415627">
        <w:rPr>
          <w:rFonts w:cstheme="minorHAnsi"/>
        </w:rPr>
        <w:fldChar w:fldCharType="begin"/>
      </w:r>
      <w:r w:rsidR="00D27059">
        <w:rPr>
          <w:rFonts w:cstheme="minorHAnsi"/>
        </w:rPr>
        <w:instrText xml:space="preserve"> ADDIN EN.CITE &lt;EndNote&gt;&lt;Cite&gt;&lt;Author&gt;NHMRC&lt;/Author&gt;&lt;RecNum&gt;1836&lt;/RecNum&gt;&lt;DisplayText&gt;[16]&lt;/DisplayText&gt;&lt;record&gt;&lt;rec-number&gt;1836&lt;/rec-number&gt;&lt;foreign-keys&gt;&lt;key app="EN" db-id="5fx5205rswzvwoepf5ypsewz220w5eszx0ft" timestamp="1493940493"&gt;1836&lt;/key&gt;&lt;/foreign-keys&gt;&lt;ref-type name="Journal Article"&gt;17&lt;/ref-type&gt;&lt;contributors&gt;&lt;authors&gt;&lt;author&gt;NHMRC&lt;/author&gt;&lt;/authors&gt;&lt;/contributors&gt;&lt;titles&gt;&lt;title&gt;National statement on ethical conduct in Human Research 2007 [Updated May, 2015]&lt;/title&gt;&lt;secondary-title&gt;Canberra: Commonwealth of Australia – the National Health and Medical Research Council; the Australian Research Council; and the Australian Vice-Chancellors’ Committee. &lt;/secondary-title&gt;&lt;/titles&gt;&lt;periodical&gt;&lt;full-title&gt;Canberra: Commonwealth of Australia – the National Health and Medical Research Council; the Australian Research Council; and the Australian Vice-Chancellors’ Committee.&lt;/full-title&gt;&lt;/periodical&gt;&lt;dates&gt;&lt;/dates&gt;&lt;urls&gt;&lt;/urls&gt;&lt;/record&gt;&lt;/Cite&gt;&lt;/EndNote&gt;</w:instrText>
      </w:r>
      <w:r w:rsidRPr="00415627">
        <w:rPr>
          <w:rFonts w:cstheme="minorHAnsi"/>
        </w:rPr>
        <w:fldChar w:fldCharType="separate"/>
      </w:r>
      <w:r w:rsidR="00D27059">
        <w:rPr>
          <w:rFonts w:cstheme="minorHAnsi"/>
          <w:noProof/>
        </w:rPr>
        <w:t>[16]</w:t>
      </w:r>
      <w:r w:rsidRPr="00415627">
        <w:rPr>
          <w:rFonts w:cstheme="minorHAnsi"/>
        </w:rPr>
        <w:fldChar w:fldCharType="end"/>
      </w:r>
      <w:r w:rsidRPr="00415627">
        <w:rPr>
          <w:rFonts w:cstheme="minorHAnsi"/>
        </w:rPr>
        <w:t>.</w:t>
      </w:r>
      <w:r w:rsidR="00A13066">
        <w:rPr>
          <w:rFonts w:cstheme="minorHAnsi"/>
        </w:rPr>
        <w:t xml:space="preserve"> No specific regulatory approval or oversight from SCOTT is required for this study, as vinorelbine is not a new medication and is already approved for use in New Zealand for other indications.</w:t>
      </w:r>
    </w:p>
    <w:p w14:paraId="3924EFE5" w14:textId="77777777" w:rsidR="00B964A7" w:rsidRPr="00B05FFC" w:rsidRDefault="00B964A7" w:rsidP="00B964A7">
      <w:pPr>
        <w:rPr>
          <w:rFonts w:cstheme="minorHAnsi"/>
          <w:b/>
        </w:rPr>
      </w:pPr>
    </w:p>
    <w:p w14:paraId="5913EE4B" w14:textId="77777777" w:rsidR="00B964A7" w:rsidRDefault="00B964A7" w:rsidP="00D5063A">
      <w:pPr>
        <w:pStyle w:val="ListParagraph"/>
        <w:numPr>
          <w:ilvl w:val="1"/>
          <w:numId w:val="1"/>
        </w:numPr>
        <w:outlineLvl w:val="1"/>
        <w:rPr>
          <w:rFonts w:cstheme="minorHAnsi"/>
          <w:b/>
        </w:rPr>
      </w:pPr>
      <w:bookmarkStart w:id="191" w:name="_Toc473873139"/>
      <w:bookmarkStart w:id="192" w:name="_Toc489888137"/>
      <w:r w:rsidRPr="00B05FFC">
        <w:rPr>
          <w:rFonts w:cstheme="minorHAnsi"/>
          <w:b/>
        </w:rPr>
        <w:t>INVESTIGATOR RESPONSIBILITIES</w:t>
      </w:r>
      <w:bookmarkEnd w:id="191"/>
      <w:bookmarkEnd w:id="192"/>
    </w:p>
    <w:p w14:paraId="43480C1E" w14:textId="1B35C311" w:rsidR="009338E6" w:rsidRPr="00F15EF1" w:rsidRDefault="009338E6" w:rsidP="00F15EF1">
      <w:pPr>
        <w:rPr>
          <w:rFonts w:cstheme="minorHAnsi"/>
          <w:i/>
        </w:rPr>
      </w:pPr>
      <w:r w:rsidRPr="00AD67EC">
        <w:rPr>
          <w:rFonts w:cstheme="minorHAnsi"/>
        </w:rPr>
        <w:t>The PI/NSH Site Leader retains overall responsibility of the conduct o</w:t>
      </w:r>
      <w:r w:rsidR="006157B7">
        <w:rPr>
          <w:rFonts w:cstheme="minorHAnsi"/>
        </w:rPr>
        <w:t>f the trial at the Investigational Site</w:t>
      </w:r>
      <w:r w:rsidRPr="00AD67EC">
        <w:rPr>
          <w:rFonts w:cstheme="minorHAnsi"/>
        </w:rPr>
        <w:t>; compliance with the study protocol; and the supervision of other researchers. Protocol amendments must</w:t>
      </w:r>
      <w:r w:rsidR="006157B7">
        <w:rPr>
          <w:rFonts w:cstheme="minorHAnsi"/>
        </w:rPr>
        <w:t xml:space="preserve"> involve the PIs, TSC, DMSC,</w:t>
      </w:r>
      <w:r w:rsidRPr="00AD67EC">
        <w:rPr>
          <w:rFonts w:cstheme="minorHAnsi"/>
        </w:rPr>
        <w:t xml:space="preserve"> HDEC, </w:t>
      </w:r>
      <w:r w:rsidR="006157B7">
        <w:rPr>
          <w:rFonts w:cstheme="minorHAnsi"/>
        </w:rPr>
        <w:t xml:space="preserve">Maori Research and Ethics Commttiee </w:t>
      </w:r>
      <w:r w:rsidRPr="00AD67EC">
        <w:rPr>
          <w:rFonts w:cstheme="minorHAnsi"/>
        </w:rPr>
        <w:t xml:space="preserve">and other associated research staff (as appropriate). In accordance with ICH-GCP </w:t>
      </w:r>
      <w:r>
        <w:rPr>
          <w:rFonts w:cstheme="minorHAnsi"/>
        </w:rPr>
        <w:t xml:space="preserve">principles, the </w:t>
      </w:r>
      <w:r w:rsidRPr="00AD67EC">
        <w:rPr>
          <w:rFonts w:cstheme="minorHAnsi"/>
        </w:rPr>
        <w:t>PI</w:t>
      </w:r>
      <w:r>
        <w:rPr>
          <w:rFonts w:cstheme="minorHAnsi"/>
        </w:rPr>
        <w:t xml:space="preserve"> who is located on-site at NSH</w:t>
      </w:r>
      <w:r w:rsidRPr="00AD67EC">
        <w:rPr>
          <w:rFonts w:cstheme="minorHAnsi"/>
        </w:rPr>
        <w:t xml:space="preserve"> is also responsible for the study components as described in </w:t>
      </w:r>
      <w:r w:rsidRPr="00AD67EC">
        <w:rPr>
          <w:rFonts w:cstheme="minorHAnsi"/>
          <w:i/>
        </w:rPr>
        <w:t>Sections 13.4.1-13.4.8</w:t>
      </w:r>
      <w:r w:rsidRPr="00AD67EC">
        <w:rPr>
          <w:rFonts w:cstheme="minorHAnsi"/>
        </w:rPr>
        <w:t xml:space="preserve">; however these responsibilities may be delegated to other appropriately-qualified researchers. Dissemination of these responsibilities will be appropriately documented in </w:t>
      </w:r>
      <w:r>
        <w:rPr>
          <w:rFonts w:cstheme="minorHAnsi"/>
        </w:rPr>
        <w:t>the delegation log</w:t>
      </w:r>
      <w:r w:rsidRPr="00AD67EC">
        <w:rPr>
          <w:rFonts w:cstheme="minorHAnsi"/>
        </w:rPr>
        <w:t>.</w:t>
      </w:r>
    </w:p>
    <w:p w14:paraId="3E05A740" w14:textId="77777777" w:rsidR="009338E6" w:rsidRDefault="009338E6" w:rsidP="00D5063A">
      <w:pPr>
        <w:pStyle w:val="ListParagraph"/>
        <w:numPr>
          <w:ilvl w:val="2"/>
          <w:numId w:val="1"/>
        </w:numPr>
        <w:outlineLvl w:val="2"/>
        <w:rPr>
          <w:rFonts w:cstheme="minorHAnsi"/>
          <w:b/>
        </w:rPr>
      </w:pPr>
      <w:bookmarkStart w:id="193" w:name="_Toc473873140"/>
      <w:bookmarkStart w:id="194" w:name="_Toc489888138"/>
      <w:r w:rsidRPr="00B05FFC">
        <w:rPr>
          <w:rFonts w:cstheme="minorHAnsi"/>
          <w:b/>
        </w:rPr>
        <w:t>Informed consent</w:t>
      </w:r>
      <w:bookmarkEnd w:id="193"/>
      <w:bookmarkEnd w:id="194"/>
    </w:p>
    <w:p w14:paraId="79EE1F9C" w14:textId="77777777" w:rsidR="009338E6" w:rsidRPr="00384CCD" w:rsidRDefault="009338E6" w:rsidP="009338E6">
      <w:pPr>
        <w:rPr>
          <w:rFonts w:cstheme="minorHAnsi"/>
        </w:rPr>
      </w:pPr>
      <w:r w:rsidRPr="00384CCD">
        <w:rPr>
          <w:rFonts w:cstheme="minorHAnsi"/>
        </w:rPr>
        <w:t xml:space="preserve">An Investigator who has had their association with this trial acknowledged by HDEC will approach women who are identified as eligible, potential participants to have an initial discussion about the trial, and to provide the appropriate, HDEC-approved PICF. The (potential) participants must be made aware </w:t>
      </w:r>
      <w:r w:rsidRPr="00384CCD">
        <w:rPr>
          <w:rFonts w:cstheme="minorHAnsi"/>
        </w:rPr>
        <w:lastRenderedPageBreak/>
        <w:t xml:space="preserve">that their decision to take part in clinical research is completely voluntary in nature, and should be based on a clear and accurate understanding of what is involved, the potential risks and possible benefits of </w:t>
      </w:r>
      <w:r w:rsidR="005F28EE">
        <w:rPr>
          <w:rFonts w:cstheme="minorHAnsi"/>
        </w:rPr>
        <w:t>their participation</w:t>
      </w:r>
      <w:r w:rsidR="008B239E">
        <w:rPr>
          <w:rFonts w:cstheme="minorHAnsi"/>
        </w:rPr>
        <w:t>. Any women</w:t>
      </w:r>
      <w:r w:rsidRPr="00384CCD">
        <w:rPr>
          <w:rFonts w:cstheme="minorHAnsi"/>
        </w:rPr>
        <w:t xml:space="preserve"> who ultimately consent to the trial will retain their copy of the PICF for their personal records.</w:t>
      </w:r>
    </w:p>
    <w:p w14:paraId="3F3F89F3" w14:textId="77777777" w:rsidR="009338E6" w:rsidRPr="00130BC5" w:rsidRDefault="009338E6" w:rsidP="009338E6">
      <w:pPr>
        <w:tabs>
          <w:tab w:val="left" w:pos="5964"/>
        </w:tabs>
        <w:rPr>
          <w:rFonts w:cstheme="minorHAnsi"/>
        </w:rPr>
      </w:pPr>
      <w:r w:rsidRPr="00130BC5">
        <w:rPr>
          <w:rFonts w:cstheme="minorHAnsi"/>
        </w:rPr>
        <w:tab/>
      </w:r>
    </w:p>
    <w:p w14:paraId="039C06DF" w14:textId="77777777" w:rsidR="009338E6" w:rsidRPr="00130BC5" w:rsidRDefault="009338E6" w:rsidP="009338E6">
      <w:pPr>
        <w:rPr>
          <w:rFonts w:cstheme="minorHAnsi"/>
        </w:rPr>
      </w:pPr>
      <w:r w:rsidRPr="00130BC5">
        <w:rPr>
          <w:rFonts w:cstheme="minorHAnsi"/>
        </w:rPr>
        <w:t>Participants must receive adequate oral and written information about the study before being asked to provide their written, informed consent.</w:t>
      </w:r>
      <w:r w:rsidRPr="00130BC5">
        <w:t xml:space="preserve"> </w:t>
      </w:r>
      <w:r w:rsidRPr="00130BC5">
        <w:rPr>
          <w:rFonts w:cstheme="minorHAnsi"/>
        </w:rPr>
        <w:t xml:space="preserve">The oral explanation must address all of the key elements outlined in the PICF.  Given that this trial involves the use of an investigational </w:t>
      </w:r>
      <w:r w:rsidR="000C60EC">
        <w:rPr>
          <w:rFonts w:cstheme="minorHAnsi"/>
        </w:rPr>
        <w:t xml:space="preserve">chemotherapeutic </w:t>
      </w:r>
      <w:r w:rsidRPr="00130BC5">
        <w:rPr>
          <w:rFonts w:cstheme="minorHAnsi"/>
        </w:rPr>
        <w:t xml:space="preserve">medication, a PI or Co-Investigator </w:t>
      </w:r>
      <w:r w:rsidRPr="00130BC5">
        <w:rPr>
          <w:rFonts w:cstheme="minorHAnsi"/>
          <w:u w:val="single"/>
        </w:rPr>
        <w:t>w</w:t>
      </w:r>
      <w:r>
        <w:rPr>
          <w:rFonts w:cstheme="minorHAnsi"/>
          <w:u w:val="single"/>
        </w:rPr>
        <w:t>ho is also a qualified O&amp;G</w:t>
      </w:r>
      <w:r w:rsidRPr="00130BC5">
        <w:rPr>
          <w:rFonts w:cstheme="minorHAnsi"/>
          <w:u w:val="single"/>
        </w:rPr>
        <w:t xml:space="preserve"> consultant or trainee</w:t>
      </w:r>
      <w:r w:rsidRPr="00130BC5">
        <w:rPr>
          <w:rFonts w:cstheme="minorHAnsi"/>
        </w:rPr>
        <w:t xml:space="preserve">, is ultimately responsible for obtaining written, informed consent from each participant prior to the commencement of any protocol-specific procedures or treatments. When a Co-Investigator who </w:t>
      </w:r>
      <w:r w:rsidRPr="00130BC5">
        <w:rPr>
          <w:rFonts w:cstheme="minorHAnsi"/>
          <w:u w:val="single"/>
        </w:rPr>
        <w:t>is not</w:t>
      </w:r>
      <w:r w:rsidRPr="00130BC5">
        <w:rPr>
          <w:rFonts w:cstheme="minorHAnsi"/>
        </w:rPr>
        <w:t xml:space="preserve"> a qu</w:t>
      </w:r>
      <w:r w:rsidR="009E5F30">
        <w:rPr>
          <w:rFonts w:cstheme="minorHAnsi"/>
        </w:rPr>
        <w:t>alified O&amp;G doctor</w:t>
      </w:r>
      <w:r w:rsidRPr="00130BC5">
        <w:rPr>
          <w:rFonts w:cstheme="minorHAnsi"/>
        </w:rPr>
        <w:t xml:space="preserve"> has </w:t>
      </w:r>
      <w:r w:rsidR="009E5F30">
        <w:rPr>
          <w:rFonts w:cstheme="minorHAnsi"/>
        </w:rPr>
        <w:t xml:space="preserve">also </w:t>
      </w:r>
      <w:r w:rsidRPr="00130BC5">
        <w:rPr>
          <w:rFonts w:cstheme="minorHAnsi"/>
        </w:rPr>
        <w:t>contributed to the consenting process, their involvement will be appropriately documented o</w:t>
      </w:r>
      <w:r w:rsidR="0028361A">
        <w:rPr>
          <w:rFonts w:cstheme="minorHAnsi"/>
        </w:rPr>
        <w:t>n the CRF and the consent form.</w:t>
      </w:r>
    </w:p>
    <w:p w14:paraId="13C05974" w14:textId="77777777" w:rsidR="009338E6" w:rsidRPr="00D071E2" w:rsidRDefault="009338E6" w:rsidP="009338E6">
      <w:pPr>
        <w:rPr>
          <w:rFonts w:cstheme="minorHAnsi"/>
        </w:rPr>
      </w:pPr>
      <w:r w:rsidRPr="00130BC5">
        <w:rPr>
          <w:rFonts w:cstheme="minorHAnsi"/>
        </w:rPr>
        <w:t>Every opportunity must be given to the participants to ask questions; clarify any information that they do not understand; consult with any chosen</w:t>
      </w:r>
      <w:r w:rsidR="002E584D">
        <w:rPr>
          <w:rFonts w:cstheme="minorHAnsi"/>
        </w:rPr>
        <w:t xml:space="preserve"> and appropriate</w:t>
      </w:r>
      <w:r w:rsidRPr="00130BC5">
        <w:rPr>
          <w:rFonts w:cstheme="minorHAnsi"/>
        </w:rPr>
        <w:t xml:space="preserve"> family members/friends/treating</w:t>
      </w:r>
      <w:r w:rsidR="002E584D">
        <w:rPr>
          <w:rFonts w:cstheme="minorHAnsi"/>
        </w:rPr>
        <w:t xml:space="preserve"> clinicians/community elders/</w:t>
      </w:r>
      <w:r w:rsidRPr="00130BC5">
        <w:rPr>
          <w:rFonts w:cstheme="minorHAnsi"/>
        </w:rPr>
        <w:t>advisors</w:t>
      </w:r>
      <w:r w:rsidR="002E584D">
        <w:rPr>
          <w:rFonts w:cstheme="minorHAnsi"/>
        </w:rPr>
        <w:t>/Maori Health Workers</w:t>
      </w:r>
      <w:r w:rsidRPr="00130BC5">
        <w:rPr>
          <w:rFonts w:cstheme="minorHAnsi"/>
        </w:rPr>
        <w:t xml:space="preserve">; and seek any additional answers that they may need. The participant must be given sufficient time to consider and reflect upon the information provided. It should be emphasised that the participant may withdraw their consent at any point in time without compromising their access to </w:t>
      </w:r>
      <w:r w:rsidRPr="00D071E2">
        <w:rPr>
          <w:rFonts w:cstheme="minorHAnsi"/>
        </w:rPr>
        <w:t>clinical care, their relationship wit</w:t>
      </w:r>
      <w:r w:rsidR="002E584D">
        <w:rPr>
          <w:rFonts w:cstheme="minorHAnsi"/>
        </w:rPr>
        <w:t>h the clinical care team, or</w:t>
      </w:r>
      <w:r w:rsidR="0028361A">
        <w:rPr>
          <w:rFonts w:cstheme="minorHAnsi"/>
        </w:rPr>
        <w:t xml:space="preserve"> North Shore Hospital.   </w:t>
      </w:r>
    </w:p>
    <w:p w14:paraId="553472B5" w14:textId="77777777" w:rsidR="009338E6" w:rsidRPr="00D071E2" w:rsidRDefault="009338E6" w:rsidP="009338E6">
      <w:pPr>
        <w:rPr>
          <w:rFonts w:cstheme="minorHAnsi"/>
        </w:rPr>
      </w:pPr>
      <w:r w:rsidRPr="00D071E2">
        <w:rPr>
          <w:rFonts w:cstheme="minorHAnsi"/>
        </w:rPr>
        <w:t>As a part of the consenting process, participants must be informed and agree to their medical records</w:t>
      </w:r>
      <w:r w:rsidR="003635FF">
        <w:rPr>
          <w:rFonts w:cstheme="minorHAnsi"/>
        </w:rPr>
        <w:t xml:space="preserve"> (potentially)</w:t>
      </w:r>
      <w:r w:rsidRPr="00D071E2">
        <w:rPr>
          <w:rFonts w:cstheme="minorHAnsi"/>
        </w:rPr>
        <w:t xml:space="preserve"> being reviewed by relevant authorities or Sponsor personnel for regulatory inspection, trial monitoring and trial audit purposes. It should be made clear to the participant that their name and other personal details will not be disclosed outs</w:t>
      </w:r>
      <w:r w:rsidR="0028361A">
        <w:rPr>
          <w:rFonts w:cstheme="minorHAnsi"/>
        </w:rPr>
        <w:t>ide of their treating hospital.</w:t>
      </w:r>
    </w:p>
    <w:p w14:paraId="1FEA9696" w14:textId="3F398AB3" w:rsidR="0028361A" w:rsidRDefault="009338E6" w:rsidP="009338E6">
      <w:pPr>
        <w:rPr>
          <w:rFonts w:cstheme="minorHAnsi"/>
        </w:rPr>
      </w:pPr>
      <w:r w:rsidRPr="00D071E2">
        <w:rPr>
          <w:rFonts w:cstheme="minorHAnsi"/>
        </w:rPr>
        <w:t xml:space="preserve">The Investigator(s) involved in the consenting process and the participant must each personally sign and date the informed consent </w:t>
      </w:r>
      <w:r w:rsidR="002A5CED">
        <w:rPr>
          <w:rFonts w:cstheme="minorHAnsi"/>
        </w:rPr>
        <w:t>sheet</w:t>
      </w:r>
      <w:r w:rsidRPr="00D071E2">
        <w:rPr>
          <w:rFonts w:cstheme="minorHAnsi"/>
        </w:rPr>
        <w:t xml:space="preserve"> to confirm that participant’s consent has been appropriately obtained. The signing of the consent form is a formal declaration by each party of their belief that the participant has a clear and accurate understanding of the trial; its purpose; what is involved; the potential risks and possible benefits; and with this knowledge, is readily volunteering for the study. The participant will be given a copy of their signed consent form for their personal records. Another copy will be filed in the participant’s medical history, and </w:t>
      </w:r>
      <w:r w:rsidR="000D060A">
        <w:rPr>
          <w:rFonts w:cstheme="minorHAnsi"/>
        </w:rPr>
        <w:t>another</w:t>
      </w:r>
      <w:r w:rsidRPr="00D071E2">
        <w:rPr>
          <w:rFonts w:cstheme="minorHAnsi"/>
        </w:rPr>
        <w:t xml:space="preserve"> </w:t>
      </w:r>
      <w:r w:rsidR="00F15EF1">
        <w:rPr>
          <w:rFonts w:cstheme="minorHAnsi"/>
        </w:rPr>
        <w:t>copy will be stored in the ISF.</w:t>
      </w:r>
    </w:p>
    <w:p w14:paraId="1D8ADB28" w14:textId="77777777" w:rsidR="00F15EF1" w:rsidRPr="00493EF8" w:rsidRDefault="00F15EF1" w:rsidP="009338E6">
      <w:pPr>
        <w:rPr>
          <w:rFonts w:cstheme="minorHAnsi"/>
        </w:rPr>
      </w:pPr>
    </w:p>
    <w:p w14:paraId="059FC78C" w14:textId="77777777" w:rsidR="009338E6" w:rsidRPr="00B05FFC" w:rsidRDefault="009338E6" w:rsidP="00D5063A">
      <w:pPr>
        <w:pStyle w:val="ListParagraph"/>
        <w:numPr>
          <w:ilvl w:val="2"/>
          <w:numId w:val="1"/>
        </w:numPr>
        <w:outlineLvl w:val="2"/>
        <w:rPr>
          <w:rFonts w:cstheme="minorHAnsi"/>
          <w:b/>
        </w:rPr>
      </w:pPr>
      <w:bookmarkStart w:id="195" w:name="_Toc473873141"/>
      <w:bookmarkStart w:id="196" w:name="_Toc489888139"/>
      <w:r w:rsidRPr="00B05FFC">
        <w:rPr>
          <w:rFonts w:cstheme="minorHAnsi"/>
          <w:b/>
        </w:rPr>
        <w:t>Study site staff</w:t>
      </w:r>
      <w:bookmarkEnd w:id="195"/>
      <w:bookmarkEnd w:id="196"/>
    </w:p>
    <w:p w14:paraId="5DB6EB2C" w14:textId="77777777" w:rsidR="009338E6" w:rsidRPr="00384CCD" w:rsidRDefault="009338E6" w:rsidP="009338E6">
      <w:pPr>
        <w:rPr>
          <w:rFonts w:cstheme="minorHAnsi"/>
        </w:rPr>
      </w:pPr>
      <w:r w:rsidRPr="00384CCD">
        <w:rPr>
          <w:rFonts w:cstheme="minorHAnsi"/>
        </w:rPr>
        <w:t>All of the study Investigators must be familiar with the IMP (vinorelbine), study protocol, inclusion/exclusion criteria and the st</w:t>
      </w:r>
      <w:r w:rsidR="00D17FD8">
        <w:rPr>
          <w:rFonts w:cstheme="minorHAnsi"/>
        </w:rPr>
        <w:t>udy requirements. It is the Site Leader’s</w:t>
      </w:r>
      <w:r w:rsidRPr="00384CCD">
        <w:rPr>
          <w:rFonts w:cstheme="minorHAnsi"/>
        </w:rPr>
        <w:t xml:space="preserve"> responsibility to ensure that all staff involved with the study have a clear understanding of the study protocol, their trial related duties, and the IMP.</w:t>
      </w:r>
    </w:p>
    <w:p w14:paraId="4D68E25B" w14:textId="77777777" w:rsidR="009338E6" w:rsidRPr="00B05FFC" w:rsidRDefault="009338E6" w:rsidP="009338E6">
      <w:pPr>
        <w:rPr>
          <w:rFonts w:cstheme="minorHAnsi"/>
          <w:b/>
        </w:rPr>
      </w:pPr>
    </w:p>
    <w:p w14:paraId="4BC0A210" w14:textId="77777777" w:rsidR="009338E6" w:rsidRDefault="009338E6" w:rsidP="00D5063A">
      <w:pPr>
        <w:pStyle w:val="ListParagraph"/>
        <w:numPr>
          <w:ilvl w:val="2"/>
          <w:numId w:val="1"/>
        </w:numPr>
        <w:outlineLvl w:val="2"/>
        <w:rPr>
          <w:rFonts w:cstheme="minorHAnsi"/>
          <w:b/>
        </w:rPr>
      </w:pPr>
      <w:bookmarkStart w:id="197" w:name="_Toc473873142"/>
      <w:bookmarkStart w:id="198" w:name="_Toc489888140"/>
      <w:r w:rsidRPr="00B05FFC">
        <w:rPr>
          <w:rFonts w:cstheme="minorHAnsi"/>
          <w:b/>
        </w:rPr>
        <w:lastRenderedPageBreak/>
        <w:t>Data recording</w:t>
      </w:r>
      <w:bookmarkEnd w:id="197"/>
      <w:bookmarkEnd w:id="198"/>
    </w:p>
    <w:p w14:paraId="381613F5" w14:textId="13B2195E" w:rsidR="009338E6" w:rsidRPr="00892CDC" w:rsidRDefault="009338E6" w:rsidP="009338E6">
      <w:pPr>
        <w:rPr>
          <w:rFonts w:cstheme="minorHAnsi"/>
        </w:rPr>
      </w:pPr>
      <w:r w:rsidRPr="00892CDC">
        <w:rPr>
          <w:rFonts w:cstheme="minorHAnsi"/>
        </w:rPr>
        <w:t xml:space="preserve">The PI is responsible for the quality of the data recorded in the CRF at their Investigational Site. All </w:t>
      </w:r>
      <w:r w:rsidRPr="0075789E">
        <w:rPr>
          <w:rFonts w:cstheme="minorHAnsi"/>
        </w:rPr>
        <w:t xml:space="preserve">relevant data captured by the CRFs will be transferred into a username and password-protected database </w:t>
      </w:r>
      <w:r w:rsidR="0075789E">
        <w:rPr>
          <w:rFonts w:cstheme="minorHAnsi"/>
        </w:rPr>
        <w:t>(</w:t>
      </w:r>
      <w:r w:rsidR="0087457A">
        <w:rPr>
          <w:rFonts w:cstheme="minorHAnsi"/>
        </w:rPr>
        <w:t xml:space="preserve">using </w:t>
      </w:r>
      <w:r w:rsidRPr="0075789E">
        <w:rPr>
          <w:rFonts w:cstheme="minorHAnsi"/>
        </w:rPr>
        <w:t>RE</w:t>
      </w:r>
      <w:r w:rsidR="0075789E">
        <w:rPr>
          <w:rFonts w:cstheme="minorHAnsi"/>
        </w:rPr>
        <w:t>DCap software, administered by University of Melbourne)</w:t>
      </w:r>
      <w:r w:rsidRPr="0075789E">
        <w:rPr>
          <w:rFonts w:cstheme="minorHAnsi"/>
        </w:rPr>
        <w:t xml:space="preserve"> by</w:t>
      </w:r>
      <w:r w:rsidRPr="00892CDC">
        <w:rPr>
          <w:rFonts w:cstheme="minorHAnsi"/>
        </w:rPr>
        <w:t xml:space="preserve"> delegated Investigators, with the approval of the PI</w:t>
      </w:r>
      <w:r w:rsidR="00E2412B">
        <w:rPr>
          <w:rFonts w:cstheme="minorHAnsi"/>
        </w:rPr>
        <w:t>s</w:t>
      </w:r>
      <w:r w:rsidRPr="00892CDC">
        <w:rPr>
          <w:rFonts w:cstheme="minorHAnsi"/>
        </w:rPr>
        <w:t xml:space="preserve">. </w:t>
      </w:r>
    </w:p>
    <w:p w14:paraId="4208772B" w14:textId="77777777" w:rsidR="009338E6" w:rsidRPr="000364A0" w:rsidRDefault="009338E6" w:rsidP="009338E6">
      <w:pPr>
        <w:rPr>
          <w:rFonts w:cstheme="minorHAnsi"/>
        </w:rPr>
      </w:pPr>
    </w:p>
    <w:p w14:paraId="59D08C4E" w14:textId="77777777" w:rsidR="009338E6" w:rsidRPr="00B05FFC" w:rsidRDefault="009338E6" w:rsidP="00D5063A">
      <w:pPr>
        <w:pStyle w:val="ListParagraph"/>
        <w:numPr>
          <w:ilvl w:val="2"/>
          <w:numId w:val="1"/>
        </w:numPr>
        <w:outlineLvl w:val="2"/>
        <w:rPr>
          <w:rFonts w:cstheme="minorHAnsi"/>
          <w:b/>
        </w:rPr>
      </w:pPr>
      <w:bookmarkStart w:id="199" w:name="_Toc473873143"/>
      <w:bookmarkStart w:id="200" w:name="_Toc489888141"/>
      <w:r w:rsidRPr="00B05FFC">
        <w:rPr>
          <w:rFonts w:cstheme="minorHAnsi"/>
          <w:b/>
        </w:rPr>
        <w:t>Investigator documentation</w:t>
      </w:r>
      <w:bookmarkEnd w:id="199"/>
      <w:bookmarkEnd w:id="200"/>
    </w:p>
    <w:p w14:paraId="30A36474" w14:textId="443CE477" w:rsidR="009338E6" w:rsidRPr="00892CDC" w:rsidRDefault="009338E6" w:rsidP="009338E6">
      <w:pPr>
        <w:rPr>
          <w:rFonts w:cstheme="minorHAnsi"/>
        </w:rPr>
      </w:pPr>
      <w:r w:rsidRPr="00892CDC">
        <w:rPr>
          <w:rFonts w:cstheme="minorHAnsi"/>
        </w:rPr>
        <w:t>Before commencing work on the study, each member of the research team will be required to provide particular e</w:t>
      </w:r>
      <w:r w:rsidR="008A3339">
        <w:rPr>
          <w:rFonts w:cstheme="minorHAnsi"/>
        </w:rPr>
        <w:t>ssential documentation to the PIs</w:t>
      </w:r>
      <w:r w:rsidRPr="00892CDC">
        <w:rPr>
          <w:rFonts w:cstheme="minorHAnsi"/>
        </w:rPr>
        <w:t xml:space="preserve"> and HDEC (as appropriate) to establish their credentials and suitability for the role. This documentation may include but is not limited to:</w:t>
      </w:r>
    </w:p>
    <w:p w14:paraId="075180FF" w14:textId="77777777" w:rsidR="009338E6" w:rsidRPr="00892CDC" w:rsidRDefault="009338E6" w:rsidP="009338E6">
      <w:pPr>
        <w:pStyle w:val="ListParagraph"/>
        <w:numPr>
          <w:ilvl w:val="0"/>
          <w:numId w:val="20"/>
        </w:numPr>
        <w:rPr>
          <w:rFonts w:cstheme="minorHAnsi"/>
        </w:rPr>
      </w:pPr>
      <w:r w:rsidRPr="00892CDC">
        <w:rPr>
          <w:rFonts w:cstheme="minorHAnsi"/>
        </w:rPr>
        <w:t xml:space="preserve">A  summarised Curriculum Vitae </w:t>
      </w:r>
    </w:p>
    <w:p w14:paraId="5CCE7BB8" w14:textId="77777777" w:rsidR="00DD5EDD" w:rsidRDefault="009338E6" w:rsidP="009338E6">
      <w:pPr>
        <w:pStyle w:val="ListParagraph"/>
        <w:numPr>
          <w:ilvl w:val="0"/>
          <w:numId w:val="20"/>
        </w:numPr>
        <w:rPr>
          <w:rFonts w:cstheme="minorHAnsi"/>
        </w:rPr>
      </w:pPr>
      <w:r w:rsidRPr="00DD5EDD">
        <w:rPr>
          <w:rFonts w:cstheme="minorHAnsi"/>
        </w:rPr>
        <w:t xml:space="preserve">A signed ‘Investigator’s Declaration’ form </w:t>
      </w:r>
    </w:p>
    <w:p w14:paraId="786D2DD0" w14:textId="77777777" w:rsidR="009338E6" w:rsidRPr="00DD5EDD" w:rsidRDefault="009338E6" w:rsidP="009338E6">
      <w:pPr>
        <w:pStyle w:val="ListParagraph"/>
        <w:numPr>
          <w:ilvl w:val="0"/>
          <w:numId w:val="20"/>
        </w:numPr>
        <w:rPr>
          <w:rFonts w:cstheme="minorHAnsi"/>
        </w:rPr>
      </w:pPr>
      <w:r w:rsidRPr="00DD5EDD">
        <w:rPr>
          <w:rFonts w:cstheme="minorHAnsi"/>
        </w:rPr>
        <w:t xml:space="preserve">Evidence of ICH-GCP training/certification (if applicable) </w:t>
      </w:r>
    </w:p>
    <w:p w14:paraId="0F837AF4" w14:textId="01AE8B12" w:rsidR="009338E6" w:rsidRPr="00892CDC" w:rsidRDefault="009338E6" w:rsidP="009338E6">
      <w:pPr>
        <w:rPr>
          <w:rFonts w:cstheme="minorHAnsi"/>
        </w:rPr>
      </w:pPr>
      <w:r w:rsidRPr="00892CDC">
        <w:rPr>
          <w:rFonts w:cstheme="minorHAnsi"/>
        </w:rPr>
        <w:t xml:space="preserve">The </w:t>
      </w:r>
      <w:r w:rsidR="008A3339">
        <w:rPr>
          <w:rFonts w:cstheme="minorHAnsi"/>
        </w:rPr>
        <w:t>PIs</w:t>
      </w:r>
      <w:r w:rsidRPr="00892CDC">
        <w:rPr>
          <w:rFonts w:cstheme="minorHAnsi"/>
        </w:rPr>
        <w:t xml:space="preserve"> will ensure that all Investigator documents required by ICH-GCP guidelines are retained in</w:t>
      </w:r>
      <w:r w:rsidR="0028619E">
        <w:rPr>
          <w:rFonts w:cstheme="minorHAnsi"/>
        </w:rPr>
        <w:t xml:space="preserve"> a Trial Master File (TMF)/ISF</w:t>
      </w:r>
      <w:r w:rsidRPr="00892CDC">
        <w:rPr>
          <w:rFonts w:cstheme="minorHAnsi"/>
        </w:rPr>
        <w:t xml:space="preserve">. The </w:t>
      </w:r>
      <w:r w:rsidR="008A3339">
        <w:rPr>
          <w:rFonts w:cstheme="minorHAnsi"/>
        </w:rPr>
        <w:t>PIs</w:t>
      </w:r>
      <w:r w:rsidRPr="00892CDC">
        <w:rPr>
          <w:rFonts w:cstheme="minorHAnsi"/>
        </w:rPr>
        <w:t xml:space="preserve"> may delegate responsibility for the TMF to another appropriate researcher – this must be documented in the trial delegation log.</w:t>
      </w:r>
    </w:p>
    <w:p w14:paraId="421095D1" w14:textId="77777777" w:rsidR="009338E6" w:rsidRPr="00B05FFC" w:rsidRDefault="009338E6" w:rsidP="009338E6">
      <w:pPr>
        <w:rPr>
          <w:rFonts w:cstheme="minorHAnsi"/>
          <w:b/>
        </w:rPr>
      </w:pPr>
    </w:p>
    <w:p w14:paraId="11504F17" w14:textId="77777777" w:rsidR="009338E6" w:rsidRPr="00B05FFC" w:rsidRDefault="009338E6" w:rsidP="00D5063A">
      <w:pPr>
        <w:pStyle w:val="ListParagraph"/>
        <w:numPr>
          <w:ilvl w:val="2"/>
          <w:numId w:val="1"/>
        </w:numPr>
        <w:outlineLvl w:val="2"/>
        <w:rPr>
          <w:rFonts w:cstheme="minorHAnsi"/>
          <w:b/>
        </w:rPr>
      </w:pPr>
      <w:bookmarkStart w:id="201" w:name="_Toc473873144"/>
      <w:bookmarkStart w:id="202" w:name="_Toc489888142"/>
      <w:r w:rsidRPr="00B05FFC">
        <w:rPr>
          <w:rFonts w:cstheme="minorHAnsi"/>
          <w:b/>
        </w:rPr>
        <w:t>GCP training</w:t>
      </w:r>
      <w:bookmarkEnd w:id="201"/>
      <w:bookmarkEnd w:id="202"/>
    </w:p>
    <w:p w14:paraId="50F6E8DD" w14:textId="77777777" w:rsidR="009338E6" w:rsidRPr="00892CDC" w:rsidRDefault="009338E6" w:rsidP="009338E6">
      <w:pPr>
        <w:rPr>
          <w:rFonts w:cstheme="minorHAnsi"/>
        </w:rPr>
      </w:pPr>
      <w:r w:rsidRPr="00892CDC">
        <w:rPr>
          <w:rFonts w:cstheme="minorHAnsi"/>
        </w:rPr>
        <w:t xml:space="preserve">All staff involved with the study must have undergone recent ICH-GCP training and hold current ICH-GCP certification of a level appropriate to their role; or be working under the close supervision of an Investigator who has. </w:t>
      </w:r>
    </w:p>
    <w:p w14:paraId="2B505960" w14:textId="77777777" w:rsidR="009338E6" w:rsidRPr="008215AD" w:rsidRDefault="009338E6" w:rsidP="009338E6">
      <w:pPr>
        <w:rPr>
          <w:rFonts w:cstheme="minorHAnsi"/>
          <w:color w:val="FF0000"/>
        </w:rPr>
      </w:pPr>
    </w:p>
    <w:p w14:paraId="448191B7" w14:textId="77777777" w:rsidR="009338E6" w:rsidRPr="00B05FFC" w:rsidRDefault="009338E6" w:rsidP="00D5063A">
      <w:pPr>
        <w:pStyle w:val="ListParagraph"/>
        <w:numPr>
          <w:ilvl w:val="2"/>
          <w:numId w:val="1"/>
        </w:numPr>
        <w:outlineLvl w:val="2"/>
        <w:rPr>
          <w:rFonts w:cstheme="minorHAnsi"/>
          <w:b/>
        </w:rPr>
      </w:pPr>
      <w:bookmarkStart w:id="203" w:name="_Toc473873145"/>
      <w:bookmarkStart w:id="204" w:name="_Toc489888143"/>
      <w:r w:rsidRPr="00B05FFC">
        <w:rPr>
          <w:rFonts w:cstheme="minorHAnsi"/>
          <w:b/>
        </w:rPr>
        <w:t>Confidentiality</w:t>
      </w:r>
      <w:bookmarkEnd w:id="203"/>
      <w:bookmarkEnd w:id="204"/>
    </w:p>
    <w:p w14:paraId="39BFEB27" w14:textId="77777777" w:rsidR="009338E6" w:rsidRPr="00747906" w:rsidRDefault="009338E6" w:rsidP="009338E6">
      <w:pPr>
        <w:rPr>
          <w:rFonts w:cstheme="minorHAnsi"/>
        </w:rPr>
      </w:pPr>
      <w:r w:rsidRPr="00747906">
        <w:rPr>
          <w:rFonts w:cstheme="minorHAnsi"/>
        </w:rPr>
        <w:t xml:space="preserve">All staff involved with </w:t>
      </w:r>
      <w:r>
        <w:rPr>
          <w:rFonts w:cstheme="minorHAnsi"/>
        </w:rPr>
        <w:t>the study must comply with the</w:t>
      </w:r>
      <w:r w:rsidRPr="00747906">
        <w:rPr>
          <w:rFonts w:cstheme="minorHAnsi"/>
        </w:rPr>
        <w:t xml:space="preserve"> </w:t>
      </w:r>
      <w:r>
        <w:rPr>
          <w:rFonts w:cstheme="minorHAnsi"/>
        </w:rPr>
        <w:t xml:space="preserve">treating </w:t>
      </w:r>
      <w:r w:rsidRPr="00747906">
        <w:rPr>
          <w:rFonts w:cstheme="minorHAnsi"/>
        </w:rPr>
        <w:t>hospital’s local SOPs and protocols pertaining to confidentiality when undertaking work relating to this study. Additionally, to protect the confidentiality of trial participants and research staff members, the following steps will be taken:</w:t>
      </w:r>
    </w:p>
    <w:p w14:paraId="12AD108F" w14:textId="77777777" w:rsidR="009338E6" w:rsidRPr="00747906" w:rsidRDefault="009338E6" w:rsidP="009338E6">
      <w:pPr>
        <w:pStyle w:val="ListParagraph"/>
        <w:numPr>
          <w:ilvl w:val="0"/>
          <w:numId w:val="21"/>
        </w:numPr>
        <w:rPr>
          <w:rFonts w:cstheme="minorHAnsi"/>
        </w:rPr>
      </w:pPr>
      <w:r w:rsidRPr="00747906">
        <w:rPr>
          <w:rFonts w:cstheme="minorHAnsi"/>
        </w:rPr>
        <w:t>All participants will be allocated a unique study code, once informed consent has been obtained</w:t>
      </w:r>
    </w:p>
    <w:p w14:paraId="14610C2D" w14:textId="77777777" w:rsidR="009338E6" w:rsidRPr="00747906" w:rsidRDefault="009338E6" w:rsidP="009338E6">
      <w:pPr>
        <w:pStyle w:val="ListParagraph"/>
        <w:numPr>
          <w:ilvl w:val="0"/>
          <w:numId w:val="21"/>
        </w:numPr>
        <w:rPr>
          <w:rFonts w:cstheme="minorHAnsi"/>
        </w:rPr>
      </w:pPr>
      <w:r w:rsidRPr="00747906">
        <w:rPr>
          <w:rFonts w:cstheme="minorHAnsi"/>
        </w:rPr>
        <w:t xml:space="preserve">All source data transcriptions or copies, laboratory specimens, CRF entries, evaluation forms, reports and other records will be de-identified of participants’ personal information and marked with their unique study code </w:t>
      </w:r>
    </w:p>
    <w:p w14:paraId="6A1CE619" w14:textId="77777777" w:rsidR="009338E6" w:rsidRPr="00747906" w:rsidRDefault="009338E6" w:rsidP="009338E6">
      <w:pPr>
        <w:pStyle w:val="ListParagraph"/>
        <w:numPr>
          <w:ilvl w:val="0"/>
          <w:numId w:val="21"/>
        </w:numPr>
        <w:rPr>
          <w:rFonts w:cstheme="minorHAnsi"/>
        </w:rPr>
      </w:pPr>
      <w:r w:rsidRPr="00747906">
        <w:rPr>
          <w:rFonts w:cstheme="minorHAnsi"/>
        </w:rPr>
        <w:t>All participants’ study records and</w:t>
      </w:r>
      <w:r w:rsidR="006A78A6">
        <w:rPr>
          <w:rFonts w:cstheme="minorHAnsi"/>
        </w:rPr>
        <w:t xml:space="preserve"> research</w:t>
      </w:r>
      <w:r w:rsidRPr="00747906">
        <w:rPr>
          <w:rFonts w:cstheme="minorHAnsi"/>
        </w:rPr>
        <w:t xml:space="preserve"> staff information (e.g. CVs) will be kept in secure computer, work or storage areas with limited access</w:t>
      </w:r>
    </w:p>
    <w:p w14:paraId="71B43F6B" w14:textId="77777777" w:rsidR="009338E6" w:rsidRPr="00747906" w:rsidRDefault="009338E6" w:rsidP="009338E6">
      <w:pPr>
        <w:pStyle w:val="ListParagraph"/>
        <w:numPr>
          <w:ilvl w:val="0"/>
          <w:numId w:val="21"/>
        </w:numPr>
        <w:rPr>
          <w:rFonts w:cstheme="minorHAnsi"/>
        </w:rPr>
      </w:pPr>
      <w:r w:rsidRPr="00747906">
        <w:rPr>
          <w:rFonts w:cstheme="minorHAnsi"/>
        </w:rPr>
        <w:t>Clinical information will not be shared with anyone outside of the research team or the participant’s direct clinical carers, without the written permission of the participant (with the exception of any regulatory audit or quality management requirements)</w:t>
      </w:r>
    </w:p>
    <w:p w14:paraId="2AF1F31E" w14:textId="77777777" w:rsidR="009338E6" w:rsidRPr="00B05FFC" w:rsidRDefault="009338E6" w:rsidP="009338E6">
      <w:pPr>
        <w:rPr>
          <w:rFonts w:cstheme="minorHAnsi"/>
          <w:b/>
        </w:rPr>
      </w:pPr>
    </w:p>
    <w:p w14:paraId="1F089A7F" w14:textId="77777777" w:rsidR="009338E6" w:rsidRDefault="009338E6" w:rsidP="00D5063A">
      <w:pPr>
        <w:pStyle w:val="ListParagraph"/>
        <w:numPr>
          <w:ilvl w:val="2"/>
          <w:numId w:val="1"/>
        </w:numPr>
        <w:outlineLvl w:val="2"/>
        <w:rPr>
          <w:rFonts w:cstheme="minorHAnsi"/>
          <w:b/>
        </w:rPr>
      </w:pPr>
      <w:bookmarkStart w:id="205" w:name="_Toc489888144"/>
      <w:bookmarkStart w:id="206" w:name="_Toc473873146"/>
      <w:r>
        <w:rPr>
          <w:rFonts w:cstheme="minorHAnsi"/>
          <w:b/>
        </w:rPr>
        <w:t>Intellectual Property</w:t>
      </w:r>
      <w:bookmarkEnd w:id="205"/>
    </w:p>
    <w:p w14:paraId="281BB063" w14:textId="77777777" w:rsidR="009338E6" w:rsidRPr="00BF1901" w:rsidRDefault="009338E6" w:rsidP="009338E6">
      <w:pPr>
        <w:rPr>
          <w:rFonts w:cstheme="minorHAnsi"/>
        </w:rPr>
      </w:pPr>
      <w:r>
        <w:rPr>
          <w:rFonts w:cstheme="minorHAnsi"/>
        </w:rPr>
        <w:t xml:space="preserve">Members of the research team will have a level of access to raw </w:t>
      </w:r>
      <w:r w:rsidRPr="003E1EFC">
        <w:rPr>
          <w:rFonts w:cstheme="minorHAnsi"/>
        </w:rPr>
        <w:t>data,</w:t>
      </w:r>
      <w:r>
        <w:rPr>
          <w:rFonts w:cstheme="minorHAnsi"/>
        </w:rPr>
        <w:t xml:space="preserve"> analysed data, study</w:t>
      </w:r>
      <w:r w:rsidRPr="003E1EFC">
        <w:rPr>
          <w:rFonts w:cstheme="minorHAnsi"/>
        </w:rPr>
        <w:t xml:space="preserve"> </w:t>
      </w:r>
      <w:r>
        <w:rPr>
          <w:rFonts w:cstheme="minorHAnsi"/>
        </w:rPr>
        <w:t xml:space="preserve">results, research </w:t>
      </w:r>
      <w:r w:rsidRPr="003E1EFC">
        <w:rPr>
          <w:rFonts w:cstheme="minorHAnsi"/>
        </w:rPr>
        <w:t>r</w:t>
      </w:r>
      <w:r>
        <w:rPr>
          <w:rFonts w:cstheme="minorHAnsi"/>
        </w:rPr>
        <w:t xml:space="preserve">ecords, and other unpublished and </w:t>
      </w:r>
      <w:r w:rsidRPr="003E1EFC">
        <w:rPr>
          <w:rFonts w:cstheme="minorHAnsi"/>
        </w:rPr>
        <w:t>confid</w:t>
      </w:r>
      <w:r>
        <w:rPr>
          <w:rFonts w:cstheme="minorHAnsi"/>
        </w:rPr>
        <w:t xml:space="preserve">ential information relating to this study through the course of their work. Without the express agreement of the PIs, </w:t>
      </w:r>
      <w:r w:rsidRPr="00E36765">
        <w:rPr>
          <w:rFonts w:cstheme="minorHAnsi"/>
          <w:u w:val="single"/>
        </w:rPr>
        <w:t>no unpublished or confidential data obtained for this study</w:t>
      </w:r>
      <w:r w:rsidRPr="00E36765">
        <w:rPr>
          <w:rFonts w:cstheme="minorHAnsi"/>
        </w:rPr>
        <w:t xml:space="preserve"> </w:t>
      </w:r>
      <w:r>
        <w:rPr>
          <w:rFonts w:cstheme="minorHAnsi"/>
        </w:rPr>
        <w:t>may be:</w:t>
      </w:r>
    </w:p>
    <w:p w14:paraId="494A8CEC" w14:textId="77777777" w:rsidR="009338E6" w:rsidRPr="00A302C2" w:rsidRDefault="009338E6" w:rsidP="009338E6">
      <w:pPr>
        <w:pStyle w:val="ListParagraph"/>
        <w:numPr>
          <w:ilvl w:val="0"/>
          <w:numId w:val="24"/>
        </w:numPr>
        <w:rPr>
          <w:rFonts w:cstheme="minorHAnsi"/>
        </w:rPr>
      </w:pPr>
      <w:r w:rsidRPr="00A302C2">
        <w:rPr>
          <w:rFonts w:cstheme="minorHAnsi"/>
        </w:rPr>
        <w:t xml:space="preserve">Used in any other capacity </w:t>
      </w:r>
    </w:p>
    <w:p w14:paraId="4C0D1419" w14:textId="77777777" w:rsidR="009338E6" w:rsidRPr="00A302C2" w:rsidRDefault="009338E6" w:rsidP="009338E6">
      <w:pPr>
        <w:pStyle w:val="ListParagraph"/>
        <w:numPr>
          <w:ilvl w:val="0"/>
          <w:numId w:val="24"/>
        </w:numPr>
        <w:rPr>
          <w:rFonts w:cstheme="minorHAnsi"/>
        </w:rPr>
      </w:pPr>
      <w:r w:rsidRPr="00A302C2">
        <w:rPr>
          <w:rFonts w:cstheme="minorHAnsi"/>
        </w:rPr>
        <w:t>Used for any other research projects</w:t>
      </w:r>
    </w:p>
    <w:p w14:paraId="2CC8DF2C" w14:textId="77777777" w:rsidR="009338E6" w:rsidRPr="00A302C2" w:rsidRDefault="009338E6" w:rsidP="009338E6">
      <w:pPr>
        <w:pStyle w:val="ListParagraph"/>
        <w:numPr>
          <w:ilvl w:val="0"/>
          <w:numId w:val="24"/>
        </w:numPr>
        <w:rPr>
          <w:rFonts w:cstheme="minorHAnsi"/>
        </w:rPr>
      </w:pPr>
      <w:r w:rsidRPr="00A302C2">
        <w:rPr>
          <w:rFonts w:cstheme="minorHAnsi"/>
        </w:rPr>
        <w:t>Disclosed to any third parties (with the exception of regulatory compliance activities)</w:t>
      </w:r>
    </w:p>
    <w:p w14:paraId="31265787" w14:textId="77777777" w:rsidR="009338E6" w:rsidRPr="00A302C2" w:rsidRDefault="009338E6" w:rsidP="009338E6">
      <w:pPr>
        <w:pStyle w:val="ListParagraph"/>
        <w:numPr>
          <w:ilvl w:val="0"/>
          <w:numId w:val="24"/>
        </w:numPr>
        <w:rPr>
          <w:rFonts w:cstheme="minorHAnsi"/>
        </w:rPr>
      </w:pPr>
      <w:r w:rsidRPr="00A302C2">
        <w:rPr>
          <w:rFonts w:cstheme="minorHAnsi"/>
        </w:rPr>
        <w:t>Published</w:t>
      </w:r>
      <w:r>
        <w:rPr>
          <w:rFonts w:cstheme="minorHAnsi"/>
        </w:rPr>
        <w:t xml:space="preserve"> or presented</w:t>
      </w:r>
      <w:r w:rsidRPr="00A302C2">
        <w:rPr>
          <w:rFonts w:cstheme="minorHAnsi"/>
        </w:rPr>
        <w:t xml:space="preserve"> in any capacity</w:t>
      </w:r>
    </w:p>
    <w:p w14:paraId="26F8A6E4" w14:textId="77777777" w:rsidR="009338E6" w:rsidRPr="00EA59AC" w:rsidRDefault="009338E6" w:rsidP="009338E6">
      <w:pPr>
        <w:rPr>
          <w:rFonts w:cstheme="minorHAnsi"/>
        </w:rPr>
      </w:pPr>
    </w:p>
    <w:p w14:paraId="2C27524B" w14:textId="77777777" w:rsidR="009338E6" w:rsidRDefault="009338E6" w:rsidP="00D5063A">
      <w:pPr>
        <w:pStyle w:val="ListParagraph"/>
        <w:numPr>
          <w:ilvl w:val="2"/>
          <w:numId w:val="1"/>
        </w:numPr>
        <w:outlineLvl w:val="2"/>
        <w:rPr>
          <w:rFonts w:cstheme="minorHAnsi"/>
          <w:b/>
        </w:rPr>
      </w:pPr>
      <w:bookmarkStart w:id="207" w:name="_Toc489888145"/>
      <w:r w:rsidRPr="00B05FFC">
        <w:rPr>
          <w:rFonts w:cstheme="minorHAnsi"/>
          <w:b/>
        </w:rPr>
        <w:t>Data protection</w:t>
      </w:r>
      <w:bookmarkEnd w:id="206"/>
      <w:bookmarkEnd w:id="207"/>
    </w:p>
    <w:p w14:paraId="7B8CDC70" w14:textId="161FF58C" w:rsidR="009338E6" w:rsidRPr="003F4B1F" w:rsidRDefault="009338E6" w:rsidP="009338E6">
      <w:pPr>
        <w:rPr>
          <w:rFonts w:cstheme="minorHAnsi"/>
        </w:rPr>
      </w:pPr>
      <w:r w:rsidRPr="003F4B1F">
        <w:rPr>
          <w:rFonts w:cstheme="minorHAnsi"/>
        </w:rPr>
        <w:t xml:space="preserve">All members of the research team, investigational site staff and organisations involved in this study must comply with the requirements for the handling of participants’ personal information set out in their local hospital’s SOP, New Zealand’s </w:t>
      </w:r>
      <w:r w:rsidR="00E845A0">
        <w:rPr>
          <w:rFonts w:cstheme="minorHAnsi"/>
          <w:i/>
        </w:rPr>
        <w:t>Privacy Act 1993</w:t>
      </w:r>
      <w:r w:rsidRPr="003F4B1F">
        <w:rPr>
          <w:rFonts w:cstheme="minorHAnsi"/>
        </w:rPr>
        <w:t xml:space="preserve"> and (where relevant) Australia’s </w:t>
      </w:r>
      <w:r w:rsidRPr="003F4B1F">
        <w:rPr>
          <w:rFonts w:cstheme="minorHAnsi"/>
          <w:i/>
        </w:rPr>
        <w:t>Privacy Act 1988</w:t>
      </w:r>
      <w:r w:rsidRPr="003F4B1F">
        <w:rPr>
          <w:rFonts w:cstheme="minorHAnsi"/>
        </w:rPr>
        <w:t>. Care must be taken to protect the personal information and identities of participants with specific regard to the collection, storage, disclosure and processing of health information gained during the course of this medical research.</w:t>
      </w:r>
    </w:p>
    <w:p w14:paraId="65F1A2AE" w14:textId="77777777" w:rsidR="009338E6" w:rsidRPr="00EB4E79" w:rsidRDefault="009338E6" w:rsidP="009338E6">
      <w:pPr>
        <w:rPr>
          <w:rFonts w:cstheme="minorHAnsi"/>
        </w:rPr>
      </w:pPr>
      <w:r w:rsidRPr="00474436">
        <w:rPr>
          <w:rFonts w:cstheme="minorHAnsi"/>
        </w:rPr>
        <w:t>Access to collated participant data will be restricted to relevant members of the research team; those clinicians involved in the direct clinical care of the participants in question; authorised representatives of the Sponsor; and any relevant regulatory authority personnel.</w:t>
      </w:r>
      <w:r>
        <w:rPr>
          <w:rFonts w:cstheme="minorHAnsi"/>
        </w:rPr>
        <w:t xml:space="preserve"> In accordance with the </w:t>
      </w:r>
      <w:r>
        <w:rPr>
          <w:rFonts w:cstheme="minorHAnsi"/>
          <w:i/>
        </w:rPr>
        <w:t>Privacy Act 1993</w:t>
      </w:r>
      <w:r>
        <w:rPr>
          <w:rFonts w:cstheme="minorHAnsi"/>
        </w:rPr>
        <w:t>, any personal information that is sent outside of New Zealand (i.e. to the Sponsor</w:t>
      </w:r>
      <w:r w:rsidR="000F0898">
        <w:rPr>
          <w:rFonts w:cstheme="minorHAnsi"/>
        </w:rPr>
        <w:t xml:space="preserve"> in Australia</w:t>
      </w:r>
      <w:r>
        <w:rPr>
          <w:rFonts w:cstheme="minorHAnsi"/>
        </w:rPr>
        <w:t>) must be presented so that the participant(s) are not personally identifiable.</w:t>
      </w:r>
    </w:p>
    <w:p w14:paraId="01FADFEE" w14:textId="77777777" w:rsidR="009338E6" w:rsidRPr="00474436" w:rsidRDefault="009338E6" w:rsidP="009338E6">
      <w:pPr>
        <w:rPr>
          <w:rFonts w:cstheme="minorHAnsi"/>
        </w:rPr>
      </w:pPr>
      <w:r w:rsidRPr="00474436">
        <w:rPr>
          <w:rFonts w:cstheme="minorHAnsi"/>
        </w:rPr>
        <w:t>Computers and computer programs used to collect, collate and analyse data will have limited access measures (username and password protection). Any paper copies of data will be kept in secure, lockable filing cabinets in the trial site of</w:t>
      </w:r>
      <w:r>
        <w:rPr>
          <w:rFonts w:cstheme="minorHAnsi"/>
        </w:rPr>
        <w:t>fices. Following the study, the Investigational Site may elect to organise for the study data to be sent offsite to a</w:t>
      </w:r>
      <w:r w:rsidRPr="00474436">
        <w:rPr>
          <w:rFonts w:cstheme="minorHAnsi"/>
        </w:rPr>
        <w:t xml:space="preserve"> secure, long term </w:t>
      </w:r>
      <w:r>
        <w:rPr>
          <w:rFonts w:cstheme="minorHAnsi"/>
        </w:rPr>
        <w:t xml:space="preserve">data </w:t>
      </w:r>
      <w:r w:rsidRPr="00474436">
        <w:rPr>
          <w:rFonts w:cstheme="minorHAnsi"/>
        </w:rPr>
        <w:t>storage</w:t>
      </w:r>
      <w:r>
        <w:rPr>
          <w:rFonts w:cstheme="minorHAnsi"/>
        </w:rPr>
        <w:t xml:space="preserve"> facility</w:t>
      </w:r>
      <w:r w:rsidRPr="00474436">
        <w:rPr>
          <w:rFonts w:cstheme="minorHAnsi"/>
        </w:rPr>
        <w:t xml:space="preserve"> </w:t>
      </w:r>
      <w:r>
        <w:rPr>
          <w:rFonts w:cstheme="minorHAnsi"/>
        </w:rPr>
        <w:t>which complies with relevant legislation</w:t>
      </w:r>
      <w:r w:rsidRPr="00474436">
        <w:rPr>
          <w:rFonts w:cstheme="minorHAnsi"/>
        </w:rPr>
        <w:t>.</w:t>
      </w:r>
    </w:p>
    <w:p w14:paraId="106D6476" w14:textId="77777777" w:rsidR="009338E6" w:rsidRDefault="009338E6" w:rsidP="009338E6">
      <w:pPr>
        <w:rPr>
          <w:rFonts w:cstheme="minorHAnsi"/>
        </w:rPr>
      </w:pPr>
      <w:r w:rsidRPr="00474436">
        <w:rPr>
          <w:rFonts w:cstheme="minorHAnsi"/>
        </w:rPr>
        <w:t>Published results of this study will be in statistical or tabulated form and will not contain any personal information that could lead to the identification of individual participants.</w:t>
      </w:r>
    </w:p>
    <w:p w14:paraId="2F652AA7" w14:textId="77777777" w:rsidR="00920B78" w:rsidRDefault="00920B78" w:rsidP="009338E6">
      <w:pPr>
        <w:rPr>
          <w:rFonts w:cstheme="minorHAnsi"/>
        </w:rPr>
      </w:pPr>
    </w:p>
    <w:p w14:paraId="7306571C" w14:textId="77777777" w:rsidR="00F15EF1" w:rsidRDefault="00F15EF1" w:rsidP="009338E6">
      <w:pPr>
        <w:rPr>
          <w:rFonts w:cstheme="minorHAnsi"/>
        </w:rPr>
      </w:pPr>
    </w:p>
    <w:p w14:paraId="5548B53F" w14:textId="77777777" w:rsidR="00F15EF1" w:rsidRPr="00474436" w:rsidRDefault="00F15EF1" w:rsidP="009338E6">
      <w:pPr>
        <w:rPr>
          <w:rFonts w:cstheme="minorHAnsi"/>
        </w:rPr>
      </w:pPr>
    </w:p>
    <w:p w14:paraId="4FB3C2C8" w14:textId="77777777" w:rsidR="009338E6" w:rsidRDefault="009338E6" w:rsidP="00D5063A">
      <w:pPr>
        <w:pStyle w:val="ListParagraph"/>
        <w:numPr>
          <w:ilvl w:val="1"/>
          <w:numId w:val="1"/>
        </w:numPr>
        <w:outlineLvl w:val="1"/>
        <w:rPr>
          <w:rFonts w:cstheme="minorHAnsi"/>
          <w:b/>
        </w:rPr>
      </w:pPr>
      <w:bookmarkStart w:id="208" w:name="_Toc489888146"/>
      <w:r>
        <w:rPr>
          <w:rFonts w:cstheme="minorHAnsi"/>
          <w:b/>
        </w:rPr>
        <w:t>POTENTIAL CONFLICT OF INTEREST</w:t>
      </w:r>
      <w:bookmarkEnd w:id="208"/>
    </w:p>
    <w:p w14:paraId="3E44612D" w14:textId="77777777" w:rsidR="00AB7FB5" w:rsidRDefault="004234A3" w:rsidP="00AB7FB5">
      <w:pPr>
        <w:pStyle w:val="MediumGrid21"/>
        <w:spacing w:line="276" w:lineRule="auto"/>
        <w:rPr>
          <w:rFonts w:asciiTheme="minorHAnsi" w:hAnsiTheme="minorHAnsi" w:cstheme="minorHAnsi"/>
        </w:rPr>
      </w:pPr>
      <w:r>
        <w:rPr>
          <w:rFonts w:asciiTheme="minorHAnsi" w:hAnsiTheme="minorHAnsi" w:cstheme="minorHAnsi"/>
        </w:rPr>
        <w:lastRenderedPageBreak/>
        <w:t xml:space="preserve">The </w:t>
      </w:r>
      <w:r w:rsidR="00AB7FB5">
        <w:rPr>
          <w:rFonts w:asciiTheme="minorHAnsi" w:hAnsiTheme="minorHAnsi" w:cstheme="minorHAnsi"/>
        </w:rPr>
        <w:t>P</w:t>
      </w:r>
      <w:r w:rsidR="00DD169F">
        <w:rPr>
          <w:rFonts w:asciiTheme="minorHAnsi" w:hAnsiTheme="minorHAnsi" w:cstheme="minorHAnsi"/>
        </w:rPr>
        <w:t>I</w:t>
      </w:r>
      <w:r>
        <w:rPr>
          <w:rFonts w:asciiTheme="minorHAnsi" w:hAnsiTheme="minorHAnsi" w:cstheme="minorHAnsi"/>
        </w:rPr>
        <w:t>/</w:t>
      </w:r>
      <w:r w:rsidR="00AB7FB5">
        <w:rPr>
          <w:rFonts w:asciiTheme="minorHAnsi" w:hAnsiTheme="minorHAnsi" w:cstheme="minorHAnsi"/>
        </w:rPr>
        <w:t>NSH</w:t>
      </w:r>
      <w:r>
        <w:rPr>
          <w:rFonts w:asciiTheme="minorHAnsi" w:hAnsiTheme="minorHAnsi" w:cstheme="minorHAnsi"/>
        </w:rPr>
        <w:t xml:space="preserve"> Site Leader</w:t>
      </w:r>
      <w:r w:rsidR="00DD169F">
        <w:rPr>
          <w:rFonts w:asciiTheme="minorHAnsi" w:hAnsiTheme="minorHAnsi" w:cstheme="minorHAnsi"/>
        </w:rPr>
        <w:t xml:space="preserve"> (Prathima Chowdary)</w:t>
      </w:r>
      <w:r w:rsidR="00AB7FB5">
        <w:rPr>
          <w:rFonts w:asciiTheme="minorHAnsi" w:hAnsiTheme="minorHAnsi" w:cstheme="minorHAnsi"/>
        </w:rPr>
        <w:t xml:space="preserve"> </w:t>
      </w:r>
      <w:r w:rsidR="00033460">
        <w:rPr>
          <w:rFonts w:asciiTheme="minorHAnsi" w:hAnsiTheme="minorHAnsi" w:cstheme="minorHAnsi"/>
        </w:rPr>
        <w:t xml:space="preserve">will </w:t>
      </w:r>
      <w:r w:rsidR="00AB7FB5">
        <w:rPr>
          <w:rFonts w:asciiTheme="minorHAnsi" w:hAnsiTheme="minorHAnsi" w:cstheme="minorHAnsi"/>
        </w:rPr>
        <w:t xml:space="preserve">also </w:t>
      </w:r>
      <w:r w:rsidR="00033460">
        <w:rPr>
          <w:rFonts w:asciiTheme="minorHAnsi" w:hAnsiTheme="minorHAnsi" w:cstheme="minorHAnsi"/>
        </w:rPr>
        <w:t>be working</w:t>
      </w:r>
      <w:r w:rsidR="009669BD">
        <w:rPr>
          <w:rFonts w:asciiTheme="minorHAnsi" w:hAnsiTheme="minorHAnsi" w:cstheme="minorHAnsi"/>
        </w:rPr>
        <w:t xml:space="preserve"> clinically as an endosurg</w:t>
      </w:r>
      <w:r w:rsidR="006F2C27">
        <w:rPr>
          <w:rFonts w:asciiTheme="minorHAnsi" w:hAnsiTheme="minorHAnsi" w:cstheme="minorHAnsi"/>
        </w:rPr>
        <w:t>er</w:t>
      </w:r>
      <w:r w:rsidR="009669BD">
        <w:rPr>
          <w:rFonts w:asciiTheme="minorHAnsi" w:hAnsiTheme="minorHAnsi" w:cstheme="minorHAnsi"/>
        </w:rPr>
        <w:t>y/</w:t>
      </w:r>
      <w:r w:rsidR="006F2C27">
        <w:rPr>
          <w:rFonts w:asciiTheme="minorHAnsi" w:hAnsiTheme="minorHAnsi" w:cstheme="minorHAnsi"/>
        </w:rPr>
        <w:t>gynaecology</w:t>
      </w:r>
      <w:r w:rsidR="00AB7FB5">
        <w:rPr>
          <w:rFonts w:asciiTheme="minorHAnsi" w:hAnsiTheme="minorHAnsi" w:cstheme="minorHAnsi"/>
        </w:rPr>
        <w:t xml:space="preserve"> consultant in the EPC</w:t>
      </w:r>
      <w:r w:rsidR="00033460">
        <w:rPr>
          <w:rFonts w:asciiTheme="minorHAnsi" w:hAnsiTheme="minorHAnsi" w:cstheme="minorHAnsi"/>
        </w:rPr>
        <w:t xml:space="preserve"> </w:t>
      </w:r>
      <w:r w:rsidR="00FA5C61">
        <w:rPr>
          <w:rFonts w:asciiTheme="minorHAnsi" w:hAnsiTheme="minorHAnsi" w:cstheme="minorHAnsi"/>
        </w:rPr>
        <w:t xml:space="preserve">at NSH </w:t>
      </w:r>
      <w:r w:rsidR="00033460">
        <w:rPr>
          <w:rFonts w:asciiTheme="minorHAnsi" w:hAnsiTheme="minorHAnsi" w:cstheme="minorHAnsi"/>
        </w:rPr>
        <w:t>during the recruitment and treatment phases of this study</w:t>
      </w:r>
      <w:r w:rsidR="00AB7FB5">
        <w:rPr>
          <w:rFonts w:asciiTheme="minorHAnsi" w:hAnsiTheme="minorHAnsi" w:cstheme="minorHAnsi"/>
        </w:rPr>
        <w:t>.</w:t>
      </w:r>
      <w:r w:rsidR="00DD169F">
        <w:rPr>
          <w:rFonts w:asciiTheme="minorHAnsi" w:hAnsiTheme="minorHAnsi" w:cstheme="minorHAnsi"/>
        </w:rPr>
        <w:t xml:space="preserve"> Other Co-investigators located at NSH </w:t>
      </w:r>
      <w:r w:rsidR="00921730">
        <w:rPr>
          <w:rFonts w:asciiTheme="minorHAnsi" w:hAnsiTheme="minorHAnsi" w:cstheme="minorHAnsi"/>
        </w:rPr>
        <w:t>may also work in a clinical capacity</w:t>
      </w:r>
      <w:r w:rsidR="00DD169F">
        <w:rPr>
          <w:rFonts w:asciiTheme="minorHAnsi" w:hAnsiTheme="minorHAnsi" w:cstheme="minorHAnsi"/>
        </w:rPr>
        <w:t xml:space="preserve"> in the EPC</w:t>
      </w:r>
      <w:r w:rsidR="00033460">
        <w:rPr>
          <w:rFonts w:asciiTheme="minorHAnsi" w:hAnsiTheme="minorHAnsi" w:cstheme="minorHAnsi"/>
        </w:rPr>
        <w:t xml:space="preserve"> during this time</w:t>
      </w:r>
      <w:r w:rsidR="00DD169F">
        <w:rPr>
          <w:rFonts w:asciiTheme="minorHAnsi" w:hAnsiTheme="minorHAnsi" w:cstheme="minorHAnsi"/>
        </w:rPr>
        <w:t>.</w:t>
      </w:r>
      <w:r w:rsidR="00AB7FB5">
        <w:rPr>
          <w:rFonts w:asciiTheme="minorHAnsi" w:hAnsiTheme="minorHAnsi" w:cstheme="minorHAnsi"/>
        </w:rPr>
        <w:t xml:space="preserve"> The PI </w:t>
      </w:r>
      <w:r w:rsidR="00001460">
        <w:rPr>
          <w:rFonts w:asciiTheme="minorHAnsi" w:hAnsiTheme="minorHAnsi" w:cstheme="minorHAnsi"/>
        </w:rPr>
        <w:t>and these</w:t>
      </w:r>
      <w:r w:rsidR="00DD169F">
        <w:rPr>
          <w:rFonts w:asciiTheme="minorHAnsi" w:hAnsiTheme="minorHAnsi" w:cstheme="minorHAnsi"/>
        </w:rPr>
        <w:t xml:space="preserve"> Co-Investigators </w:t>
      </w:r>
      <w:r w:rsidR="0053380E">
        <w:rPr>
          <w:rFonts w:asciiTheme="minorHAnsi" w:hAnsiTheme="minorHAnsi" w:cstheme="minorHAnsi"/>
        </w:rPr>
        <w:t>may</w:t>
      </w:r>
      <w:r w:rsidR="00AB7FB5">
        <w:rPr>
          <w:rFonts w:asciiTheme="minorHAnsi" w:hAnsiTheme="minorHAnsi" w:cstheme="minorHAnsi"/>
        </w:rPr>
        <w:t xml:space="preserve"> be involved in the delivery of clinical care</w:t>
      </w:r>
      <w:r w:rsidR="000268E1">
        <w:rPr>
          <w:rFonts w:asciiTheme="minorHAnsi" w:hAnsiTheme="minorHAnsi" w:cstheme="minorHAnsi"/>
        </w:rPr>
        <w:t xml:space="preserve"> to</w:t>
      </w:r>
      <w:r w:rsidR="00001460">
        <w:rPr>
          <w:rFonts w:asciiTheme="minorHAnsi" w:hAnsiTheme="minorHAnsi" w:cstheme="minorHAnsi"/>
        </w:rPr>
        <w:t xml:space="preserve"> study</w:t>
      </w:r>
      <w:r w:rsidR="00AB7FB5">
        <w:rPr>
          <w:rFonts w:asciiTheme="minorHAnsi" w:hAnsiTheme="minorHAnsi" w:cstheme="minorHAnsi"/>
        </w:rPr>
        <w:t xml:space="preserve"> participants</w:t>
      </w:r>
      <w:r w:rsidR="00001460">
        <w:rPr>
          <w:rFonts w:asciiTheme="minorHAnsi" w:hAnsiTheme="minorHAnsi" w:cstheme="minorHAnsi"/>
        </w:rPr>
        <w:t>,</w:t>
      </w:r>
      <w:r w:rsidR="00AB7FB5">
        <w:rPr>
          <w:rFonts w:asciiTheme="minorHAnsi" w:hAnsiTheme="minorHAnsi" w:cstheme="minorHAnsi"/>
        </w:rPr>
        <w:t xml:space="preserve"> as well as </w:t>
      </w:r>
      <w:r w:rsidR="000268E1">
        <w:rPr>
          <w:rFonts w:asciiTheme="minorHAnsi" w:hAnsiTheme="minorHAnsi" w:cstheme="minorHAnsi"/>
        </w:rPr>
        <w:t>to</w:t>
      </w:r>
      <w:r w:rsidR="00AB7FB5">
        <w:rPr>
          <w:rFonts w:asciiTheme="minorHAnsi" w:hAnsiTheme="minorHAnsi" w:cstheme="minorHAnsi"/>
        </w:rPr>
        <w:t xml:space="preserve"> eligible women who decline inclusion</w:t>
      </w:r>
      <w:r w:rsidR="005C1512">
        <w:rPr>
          <w:rFonts w:asciiTheme="minorHAnsi" w:hAnsiTheme="minorHAnsi" w:cstheme="minorHAnsi"/>
        </w:rPr>
        <w:t>, and to those who are excluded from the trial</w:t>
      </w:r>
      <w:r w:rsidR="00AB7FB5">
        <w:rPr>
          <w:rFonts w:asciiTheme="minorHAnsi" w:hAnsiTheme="minorHAnsi" w:cstheme="minorHAnsi"/>
        </w:rPr>
        <w:t xml:space="preserve">. </w:t>
      </w:r>
      <w:r w:rsidR="000268E1">
        <w:rPr>
          <w:rFonts w:asciiTheme="minorHAnsi" w:hAnsiTheme="minorHAnsi" w:cstheme="minorHAnsi"/>
        </w:rPr>
        <w:t xml:space="preserve">NSH’s local guidelines and protocols for the treatment of women with ectopic pregnancies will be followed </w:t>
      </w:r>
      <w:r w:rsidR="00A96DA4">
        <w:rPr>
          <w:rFonts w:asciiTheme="minorHAnsi" w:hAnsiTheme="minorHAnsi" w:cstheme="minorHAnsi"/>
        </w:rPr>
        <w:t xml:space="preserve">by all clinicians and researchers </w:t>
      </w:r>
      <w:r w:rsidR="009636F1">
        <w:rPr>
          <w:rFonts w:asciiTheme="minorHAnsi" w:hAnsiTheme="minorHAnsi" w:cstheme="minorHAnsi"/>
        </w:rPr>
        <w:t xml:space="preserve">when making </w:t>
      </w:r>
      <w:r w:rsidR="000268E1">
        <w:rPr>
          <w:rFonts w:asciiTheme="minorHAnsi" w:hAnsiTheme="minorHAnsi" w:cstheme="minorHAnsi"/>
        </w:rPr>
        <w:t>decisions</w:t>
      </w:r>
      <w:r w:rsidR="009636F1">
        <w:rPr>
          <w:rFonts w:asciiTheme="minorHAnsi" w:hAnsiTheme="minorHAnsi" w:cstheme="minorHAnsi"/>
        </w:rPr>
        <w:t xml:space="preserve"> regarding the treatment of</w:t>
      </w:r>
      <w:r w:rsidR="000268E1">
        <w:rPr>
          <w:rFonts w:asciiTheme="minorHAnsi" w:hAnsiTheme="minorHAnsi" w:cstheme="minorHAnsi"/>
        </w:rPr>
        <w:t xml:space="preserve"> EPC patients, regardless of their eligibility and/or enrolment status in this trial.</w:t>
      </w:r>
    </w:p>
    <w:p w14:paraId="6050D21D" w14:textId="77777777" w:rsidR="00AB7FB5" w:rsidRDefault="00AB7FB5" w:rsidP="00AB7FB5">
      <w:pPr>
        <w:pStyle w:val="MediumGrid21"/>
        <w:spacing w:line="276" w:lineRule="auto"/>
        <w:ind w:left="720"/>
        <w:rPr>
          <w:rFonts w:asciiTheme="minorHAnsi" w:hAnsiTheme="minorHAnsi" w:cstheme="minorHAnsi"/>
        </w:rPr>
      </w:pPr>
    </w:p>
    <w:p w14:paraId="1799896A" w14:textId="77777777" w:rsidR="00033460" w:rsidRDefault="004234A3" w:rsidP="00AB7FB5">
      <w:pPr>
        <w:pStyle w:val="MediumGrid21"/>
        <w:spacing w:line="276" w:lineRule="auto"/>
        <w:rPr>
          <w:rFonts w:asciiTheme="minorHAnsi" w:hAnsiTheme="minorHAnsi" w:cstheme="minorHAnsi"/>
        </w:rPr>
      </w:pPr>
      <w:r>
        <w:rPr>
          <w:rFonts w:asciiTheme="minorHAnsi" w:hAnsiTheme="minorHAnsi" w:cstheme="minorHAnsi"/>
        </w:rPr>
        <w:t>The Site Leader</w:t>
      </w:r>
      <w:r w:rsidR="00AB7FB5">
        <w:rPr>
          <w:rFonts w:asciiTheme="minorHAnsi" w:hAnsiTheme="minorHAnsi" w:cstheme="minorHAnsi"/>
        </w:rPr>
        <w:t xml:space="preserve"> has undergone ICH-GCP training</w:t>
      </w:r>
      <w:r w:rsidR="006A6A7F">
        <w:rPr>
          <w:rFonts w:asciiTheme="minorHAnsi" w:hAnsiTheme="minorHAnsi" w:cstheme="minorHAnsi"/>
        </w:rPr>
        <w:t xml:space="preserve"> and holds c</w:t>
      </w:r>
      <w:r>
        <w:rPr>
          <w:rFonts w:asciiTheme="minorHAnsi" w:hAnsiTheme="minorHAnsi" w:cstheme="minorHAnsi"/>
        </w:rPr>
        <w:t>urrent certification. The Site Leader</w:t>
      </w:r>
      <w:r w:rsidR="002A7B32">
        <w:rPr>
          <w:rFonts w:asciiTheme="minorHAnsi" w:hAnsiTheme="minorHAnsi" w:cstheme="minorHAnsi"/>
        </w:rPr>
        <w:t xml:space="preserve"> </w:t>
      </w:r>
      <w:r w:rsidR="00CB14BC">
        <w:rPr>
          <w:rFonts w:asciiTheme="minorHAnsi" w:hAnsiTheme="minorHAnsi" w:cstheme="minorHAnsi"/>
        </w:rPr>
        <w:t>will be supervising all Co-Investigators working at NSH</w:t>
      </w:r>
      <w:r w:rsidR="00AB7FB5">
        <w:rPr>
          <w:rFonts w:asciiTheme="minorHAnsi" w:hAnsiTheme="minorHAnsi" w:cstheme="minorHAnsi"/>
        </w:rPr>
        <w:t>. A</w:t>
      </w:r>
      <w:r w:rsidR="00FB72A9">
        <w:rPr>
          <w:rFonts w:asciiTheme="minorHAnsi" w:hAnsiTheme="minorHAnsi" w:cstheme="minorHAnsi"/>
        </w:rPr>
        <w:t>n eligible</w:t>
      </w:r>
      <w:r w:rsidR="00AB7FB5">
        <w:rPr>
          <w:rFonts w:asciiTheme="minorHAnsi" w:hAnsiTheme="minorHAnsi" w:cstheme="minorHAnsi"/>
        </w:rPr>
        <w:t xml:space="preserve"> patient’s decision to either participate or decline inclusion in the study will not impact on their access to the best available medical care at NSH.</w:t>
      </w:r>
      <w:r w:rsidR="000268E1">
        <w:rPr>
          <w:rFonts w:asciiTheme="minorHAnsi" w:hAnsiTheme="minorHAnsi" w:cstheme="minorHAnsi"/>
        </w:rPr>
        <w:t xml:space="preserve"> </w:t>
      </w:r>
      <w:r w:rsidR="00AB7FB5">
        <w:rPr>
          <w:rFonts w:asciiTheme="minorHAnsi" w:hAnsiTheme="minorHAnsi" w:cstheme="minorHAnsi"/>
        </w:rPr>
        <w:t xml:space="preserve">The wellbeing </w:t>
      </w:r>
      <w:r w:rsidR="00CB14BC">
        <w:rPr>
          <w:rFonts w:asciiTheme="minorHAnsi" w:hAnsiTheme="minorHAnsi" w:cstheme="minorHAnsi"/>
        </w:rPr>
        <w:t xml:space="preserve">and best interests </w:t>
      </w:r>
      <w:r w:rsidR="00AB7FB5">
        <w:rPr>
          <w:rFonts w:asciiTheme="minorHAnsi" w:hAnsiTheme="minorHAnsi" w:cstheme="minorHAnsi"/>
        </w:rPr>
        <w:t>of women presenting for care with ectopic pregnancies will remain</w:t>
      </w:r>
      <w:r w:rsidR="00CB14BC">
        <w:rPr>
          <w:rFonts w:asciiTheme="minorHAnsi" w:hAnsiTheme="minorHAnsi" w:cstheme="minorHAnsi"/>
        </w:rPr>
        <w:t xml:space="preserve"> the</w:t>
      </w:r>
      <w:r w:rsidR="00AB7FB5">
        <w:rPr>
          <w:rFonts w:asciiTheme="minorHAnsi" w:hAnsiTheme="minorHAnsi" w:cstheme="minorHAnsi"/>
        </w:rPr>
        <w:t xml:space="preserve"> paramount consideration</w:t>
      </w:r>
      <w:r w:rsidR="00CB14BC">
        <w:rPr>
          <w:rFonts w:asciiTheme="minorHAnsi" w:hAnsiTheme="minorHAnsi" w:cstheme="minorHAnsi"/>
        </w:rPr>
        <w:t xml:space="preserve"> of </w:t>
      </w:r>
      <w:r w:rsidR="00A96DA4">
        <w:rPr>
          <w:rFonts w:asciiTheme="minorHAnsi" w:hAnsiTheme="minorHAnsi" w:cstheme="minorHAnsi"/>
        </w:rPr>
        <w:t>a</w:t>
      </w:r>
      <w:r w:rsidR="00CB14BC">
        <w:rPr>
          <w:rFonts w:asciiTheme="minorHAnsi" w:hAnsiTheme="minorHAnsi" w:cstheme="minorHAnsi"/>
        </w:rPr>
        <w:t>ll members of the research and EPC clinical teams</w:t>
      </w:r>
      <w:r w:rsidR="00AB7FB5">
        <w:rPr>
          <w:rFonts w:asciiTheme="minorHAnsi" w:hAnsiTheme="minorHAnsi" w:cstheme="minorHAnsi"/>
        </w:rPr>
        <w:t xml:space="preserve">. </w:t>
      </w:r>
      <w:r w:rsidR="002A7B32">
        <w:rPr>
          <w:rFonts w:asciiTheme="minorHAnsi" w:hAnsiTheme="minorHAnsi" w:cstheme="minorHAnsi"/>
        </w:rPr>
        <w:t>The conduct of this study, its protocol and its staff</w:t>
      </w:r>
      <w:r w:rsidR="00033460">
        <w:rPr>
          <w:rFonts w:asciiTheme="minorHAnsi" w:hAnsiTheme="minorHAnsi" w:cstheme="minorHAnsi"/>
        </w:rPr>
        <w:t xml:space="preserve"> will </w:t>
      </w:r>
      <w:r w:rsidR="002A7B32">
        <w:rPr>
          <w:rFonts w:asciiTheme="minorHAnsi" w:hAnsiTheme="minorHAnsi" w:cstheme="minorHAnsi"/>
        </w:rPr>
        <w:t>be impartially reviewed by HDEC</w:t>
      </w:r>
      <w:r w:rsidR="00DA4E36">
        <w:rPr>
          <w:rFonts w:asciiTheme="minorHAnsi" w:hAnsiTheme="minorHAnsi" w:cstheme="minorHAnsi"/>
        </w:rPr>
        <w:t xml:space="preserve"> </w:t>
      </w:r>
      <w:r w:rsidR="002A7B32">
        <w:rPr>
          <w:rFonts w:asciiTheme="minorHAnsi" w:hAnsiTheme="minorHAnsi" w:cstheme="minorHAnsi"/>
        </w:rPr>
        <w:t>on an ongoing basis throughout this study.</w:t>
      </w:r>
    </w:p>
    <w:p w14:paraId="78396A0B" w14:textId="77777777" w:rsidR="00AB7FB5" w:rsidRDefault="00AB7FB5" w:rsidP="00CD50B6">
      <w:pPr>
        <w:pStyle w:val="MediumGrid21"/>
        <w:spacing w:line="276" w:lineRule="auto"/>
        <w:ind w:left="720"/>
        <w:rPr>
          <w:rFonts w:asciiTheme="minorHAnsi" w:hAnsiTheme="minorHAnsi" w:cstheme="minorHAnsi"/>
        </w:rPr>
      </w:pPr>
    </w:p>
    <w:p w14:paraId="4DA60D39" w14:textId="77777777" w:rsidR="00AB7FB5" w:rsidRPr="00AB7FB5" w:rsidRDefault="00AB7FB5" w:rsidP="00CD50B6">
      <w:pPr>
        <w:rPr>
          <w:rFonts w:cstheme="minorHAnsi"/>
          <w:b/>
        </w:rPr>
      </w:pPr>
      <w:r w:rsidRPr="00AB7FB5">
        <w:rPr>
          <w:rFonts w:cstheme="minorHAnsi"/>
        </w:rPr>
        <w:t>There are no financial conflicts of interest to declare.</w:t>
      </w:r>
      <w:r w:rsidR="00B47C61">
        <w:rPr>
          <w:rFonts w:cstheme="minorHAnsi"/>
        </w:rPr>
        <w:t xml:space="preserve"> </w:t>
      </w:r>
      <w:r w:rsidR="00070CA5">
        <w:rPr>
          <w:rFonts w:cstheme="minorHAnsi"/>
        </w:rPr>
        <w:t>All funding for the conduct of this stud</w:t>
      </w:r>
      <w:r w:rsidR="00424E35">
        <w:rPr>
          <w:rFonts w:cstheme="minorHAnsi"/>
        </w:rPr>
        <w:t>y comes from</w:t>
      </w:r>
      <w:r w:rsidR="00EA5A46">
        <w:rPr>
          <w:rFonts w:cstheme="minorHAnsi"/>
        </w:rPr>
        <w:t xml:space="preserve"> grants courtesy of</w:t>
      </w:r>
      <w:r w:rsidR="00424E35">
        <w:rPr>
          <w:rFonts w:cstheme="minorHAnsi"/>
        </w:rPr>
        <w:t xml:space="preserve"> philanthropic</w:t>
      </w:r>
      <w:r w:rsidR="00EA5A46">
        <w:rPr>
          <w:rFonts w:cstheme="minorHAnsi"/>
        </w:rPr>
        <w:t xml:space="preserve"> </w:t>
      </w:r>
      <w:r w:rsidR="00DA4E36">
        <w:rPr>
          <w:rFonts w:cstheme="minorHAnsi"/>
        </w:rPr>
        <w:t xml:space="preserve">grants </w:t>
      </w:r>
      <w:r w:rsidR="00EA5A46">
        <w:rPr>
          <w:rFonts w:cstheme="minorHAnsi"/>
        </w:rPr>
        <w:t>and</w:t>
      </w:r>
      <w:r w:rsidR="00323614">
        <w:rPr>
          <w:rFonts w:cstheme="minorHAnsi"/>
        </w:rPr>
        <w:t xml:space="preserve"> Australian G</w:t>
      </w:r>
      <w:r w:rsidR="00070CA5">
        <w:rPr>
          <w:rFonts w:cstheme="minorHAnsi"/>
        </w:rPr>
        <w:t>overnment sources.</w:t>
      </w:r>
    </w:p>
    <w:p w14:paraId="76562CD4" w14:textId="77777777" w:rsidR="00B964A7" w:rsidRPr="00C23038" w:rsidRDefault="00B964A7" w:rsidP="00B964A7">
      <w:pPr>
        <w:rPr>
          <w:rFonts w:cstheme="minorHAnsi"/>
          <w:b/>
        </w:rPr>
      </w:pPr>
    </w:p>
    <w:p w14:paraId="6302BB26" w14:textId="77777777" w:rsidR="00B964A7" w:rsidRDefault="00B964A7" w:rsidP="00D5063A">
      <w:pPr>
        <w:pStyle w:val="ListParagraph"/>
        <w:numPr>
          <w:ilvl w:val="0"/>
          <w:numId w:val="1"/>
        </w:numPr>
        <w:outlineLvl w:val="0"/>
        <w:rPr>
          <w:rFonts w:cstheme="minorHAnsi"/>
          <w:b/>
        </w:rPr>
      </w:pPr>
      <w:bookmarkStart w:id="209" w:name="_Toc473873147"/>
      <w:bookmarkStart w:id="210" w:name="_Toc489888147"/>
      <w:r w:rsidRPr="00B05FFC">
        <w:rPr>
          <w:rFonts w:cstheme="minorHAnsi"/>
          <w:b/>
        </w:rPr>
        <w:t>STUDY CONDUCT RESPONSIBILITIES</w:t>
      </w:r>
      <w:bookmarkEnd w:id="209"/>
      <w:bookmarkEnd w:id="210"/>
    </w:p>
    <w:p w14:paraId="7AD27DA3" w14:textId="77777777" w:rsidR="00B964A7" w:rsidRPr="00736636" w:rsidRDefault="00B964A7" w:rsidP="00B964A7">
      <w:pPr>
        <w:pStyle w:val="ListParagraph"/>
        <w:outlineLvl w:val="0"/>
        <w:rPr>
          <w:rFonts w:cstheme="minorHAnsi"/>
          <w:b/>
        </w:rPr>
      </w:pPr>
    </w:p>
    <w:p w14:paraId="782AD870" w14:textId="77777777" w:rsidR="00B964A7" w:rsidRPr="00B05FFC" w:rsidRDefault="00B964A7" w:rsidP="00D5063A">
      <w:pPr>
        <w:pStyle w:val="ListParagraph"/>
        <w:numPr>
          <w:ilvl w:val="1"/>
          <w:numId w:val="1"/>
        </w:numPr>
        <w:outlineLvl w:val="1"/>
        <w:rPr>
          <w:rFonts w:cstheme="minorHAnsi"/>
          <w:b/>
        </w:rPr>
      </w:pPr>
      <w:bookmarkStart w:id="211" w:name="_Toc473873148"/>
      <w:bookmarkStart w:id="212" w:name="_Toc489888148"/>
      <w:r w:rsidRPr="00B05FFC">
        <w:rPr>
          <w:rFonts w:cstheme="minorHAnsi"/>
          <w:b/>
        </w:rPr>
        <w:t>PROTOCOL AMENDMENTS</w:t>
      </w:r>
      <w:bookmarkEnd w:id="211"/>
      <w:bookmarkEnd w:id="212"/>
    </w:p>
    <w:p w14:paraId="1EBE3534" w14:textId="77777777" w:rsidR="00B964A7" w:rsidRPr="00454232" w:rsidRDefault="00B964A7" w:rsidP="00B964A7">
      <w:pPr>
        <w:rPr>
          <w:rFonts w:cstheme="minorHAnsi"/>
        </w:rPr>
      </w:pPr>
      <w:r w:rsidRPr="00454232">
        <w:rPr>
          <w:rFonts w:cstheme="minorHAnsi"/>
        </w:rPr>
        <w:t>Any proposed changes to research activity or study protocol amendments relating to this trial must be reviewed and approved by the T</w:t>
      </w:r>
      <w:r w:rsidR="00454232" w:rsidRPr="00454232">
        <w:rPr>
          <w:rFonts w:cstheme="minorHAnsi"/>
        </w:rPr>
        <w:t>SC and HD</w:t>
      </w:r>
      <w:r w:rsidRPr="00454232">
        <w:rPr>
          <w:rFonts w:cstheme="minorHAnsi"/>
        </w:rPr>
        <w:t>EC, with the exception of those changes which are deemed necessary as an urgent safety measure or to remove an apparent threat to the immediate health or safety of a participant.</w:t>
      </w:r>
    </w:p>
    <w:p w14:paraId="020BD0C1" w14:textId="77777777" w:rsidR="00B964A7" w:rsidRPr="00454232" w:rsidRDefault="00B964A7" w:rsidP="00B964A7">
      <w:pPr>
        <w:rPr>
          <w:rFonts w:cstheme="minorHAnsi"/>
        </w:rPr>
      </w:pPr>
      <w:r w:rsidRPr="00454232">
        <w:rPr>
          <w:rFonts w:cstheme="minorHAnsi"/>
        </w:rPr>
        <w:t>Proposed amendments to the study protocol must be submitted in writing f</w:t>
      </w:r>
      <w:r w:rsidR="00454232" w:rsidRPr="00454232">
        <w:rPr>
          <w:rFonts w:cstheme="minorHAnsi"/>
        </w:rPr>
        <w:t>or approval to the HDEC</w:t>
      </w:r>
      <w:r w:rsidRPr="00454232">
        <w:rPr>
          <w:rFonts w:cstheme="minorHAnsi"/>
        </w:rPr>
        <w:t xml:space="preserve"> prior to any participants being enrolled under the amended protocol.</w:t>
      </w:r>
    </w:p>
    <w:p w14:paraId="1A542CD2" w14:textId="77777777" w:rsidR="00B964A7" w:rsidRPr="00736636" w:rsidRDefault="00B964A7" w:rsidP="00B964A7">
      <w:pPr>
        <w:rPr>
          <w:rFonts w:cstheme="minorHAnsi"/>
        </w:rPr>
      </w:pPr>
    </w:p>
    <w:p w14:paraId="2A482A51" w14:textId="77777777" w:rsidR="00B964A7" w:rsidRDefault="00B964A7" w:rsidP="00D5063A">
      <w:pPr>
        <w:pStyle w:val="ListParagraph"/>
        <w:numPr>
          <w:ilvl w:val="1"/>
          <w:numId w:val="1"/>
        </w:numPr>
        <w:outlineLvl w:val="1"/>
        <w:rPr>
          <w:rFonts w:cstheme="minorHAnsi"/>
          <w:b/>
        </w:rPr>
      </w:pPr>
      <w:bookmarkStart w:id="213" w:name="_Toc473873149"/>
      <w:bookmarkStart w:id="214" w:name="_Toc489888149"/>
      <w:r w:rsidRPr="00B05FFC">
        <w:rPr>
          <w:rFonts w:cstheme="minorHAnsi"/>
          <w:b/>
        </w:rPr>
        <w:t>PROTOCOL VIOLATIONS AND DEVIATIONS</w:t>
      </w:r>
      <w:bookmarkEnd w:id="213"/>
      <w:bookmarkEnd w:id="214"/>
    </w:p>
    <w:p w14:paraId="2D8C2E7B" w14:textId="77777777" w:rsidR="00B964A7" w:rsidRPr="00350EFF" w:rsidRDefault="00B964A7" w:rsidP="00B964A7">
      <w:pPr>
        <w:rPr>
          <w:rFonts w:cstheme="minorHAnsi"/>
        </w:rPr>
      </w:pPr>
      <w:r w:rsidRPr="00350EFF">
        <w:rPr>
          <w:rFonts w:cstheme="minorHAnsi"/>
        </w:rPr>
        <w:t>Protocol waivers, or prospective protocol deviations, will not be approved for this study (except where it is necessary to eliminate an immediate hazard to study participants). If changes to the study protocol are deemed necessary, they must be proposed as protoco</w:t>
      </w:r>
      <w:r w:rsidR="00350EFF" w:rsidRPr="00350EFF">
        <w:rPr>
          <w:rFonts w:cstheme="minorHAnsi"/>
        </w:rPr>
        <w:t>l amendments and submitted to HD</w:t>
      </w:r>
      <w:r w:rsidRPr="00350EFF">
        <w:rPr>
          <w:rFonts w:cstheme="minorHAnsi"/>
        </w:rPr>
        <w:t xml:space="preserve">EC (as outlined in </w:t>
      </w:r>
      <w:r w:rsidRPr="00350EFF">
        <w:rPr>
          <w:rFonts w:cstheme="minorHAnsi"/>
          <w:i/>
        </w:rPr>
        <w:t>Section 14.1</w:t>
      </w:r>
      <w:r w:rsidRPr="00350EFF">
        <w:rPr>
          <w:rFonts w:cstheme="minorHAnsi"/>
        </w:rPr>
        <w:t>) for approval.</w:t>
      </w:r>
    </w:p>
    <w:p w14:paraId="75E00257" w14:textId="7C7D49E8" w:rsidR="00B964A7" w:rsidRPr="00350EFF" w:rsidRDefault="00B964A7" w:rsidP="00B964A7">
      <w:pPr>
        <w:rPr>
          <w:rFonts w:cstheme="minorHAnsi"/>
        </w:rPr>
      </w:pPr>
      <w:r w:rsidRPr="00350EFF">
        <w:rPr>
          <w:rFonts w:cstheme="minorHAnsi"/>
        </w:rPr>
        <w:t xml:space="preserve">Any protocol deviations or violations that do occur will be recorded in a protocol deviation </w:t>
      </w:r>
      <w:r w:rsidR="00936F4A">
        <w:rPr>
          <w:rFonts w:cstheme="minorHAnsi"/>
        </w:rPr>
        <w:t>log</w:t>
      </w:r>
      <w:r w:rsidRPr="00350EFF">
        <w:rPr>
          <w:rFonts w:cstheme="minorHAnsi"/>
        </w:rPr>
        <w:t xml:space="preserve">. Each deviation must be reported to the </w:t>
      </w:r>
      <w:r w:rsidR="00936F4A">
        <w:rPr>
          <w:rFonts w:cstheme="minorHAnsi"/>
        </w:rPr>
        <w:t>Site Leader</w:t>
      </w:r>
      <w:r w:rsidRPr="00350EFF">
        <w:rPr>
          <w:rFonts w:cstheme="minorHAnsi"/>
        </w:rPr>
        <w:t xml:space="preserve"> and </w:t>
      </w:r>
      <w:r w:rsidR="008A3339">
        <w:rPr>
          <w:rFonts w:cstheme="minorHAnsi"/>
        </w:rPr>
        <w:t xml:space="preserve">PI </w:t>
      </w:r>
      <w:r w:rsidRPr="00350EFF">
        <w:rPr>
          <w:rFonts w:cstheme="minorHAnsi"/>
        </w:rPr>
        <w:t>within 24 hours of a researcher becoming aware that the de</w:t>
      </w:r>
      <w:r w:rsidR="00936F4A">
        <w:rPr>
          <w:rFonts w:cstheme="minorHAnsi"/>
        </w:rPr>
        <w:t>viation has taken place. The Site Leader</w:t>
      </w:r>
      <w:r w:rsidRPr="00350EFF">
        <w:rPr>
          <w:rFonts w:cstheme="minorHAnsi"/>
        </w:rPr>
        <w:t xml:space="preserve"> and </w:t>
      </w:r>
      <w:r w:rsidR="008A3339">
        <w:rPr>
          <w:rFonts w:cstheme="minorHAnsi"/>
        </w:rPr>
        <w:t>PI</w:t>
      </w:r>
      <w:r w:rsidRPr="00350EFF">
        <w:rPr>
          <w:rFonts w:cstheme="minorHAnsi"/>
        </w:rPr>
        <w:t xml:space="preserve"> must compile the deviation logs </w:t>
      </w:r>
      <w:r w:rsidR="00350EFF" w:rsidRPr="00350EFF">
        <w:rPr>
          <w:rFonts w:cstheme="minorHAnsi"/>
        </w:rPr>
        <w:t>and submit them for annual review to HD</w:t>
      </w:r>
      <w:r w:rsidRPr="00350EFF">
        <w:rPr>
          <w:rFonts w:cstheme="minorHAnsi"/>
        </w:rPr>
        <w:t>EC.</w:t>
      </w:r>
    </w:p>
    <w:p w14:paraId="2DC6C5C2" w14:textId="77777777" w:rsidR="00B964A7" w:rsidRPr="00B05FFC" w:rsidRDefault="00B964A7" w:rsidP="00B964A7">
      <w:pPr>
        <w:pStyle w:val="ListParagraph"/>
        <w:ind w:left="1440"/>
        <w:outlineLvl w:val="1"/>
        <w:rPr>
          <w:rFonts w:cstheme="minorHAnsi"/>
          <w:b/>
        </w:rPr>
      </w:pPr>
    </w:p>
    <w:p w14:paraId="3D9D6A96" w14:textId="77777777" w:rsidR="00B964A7" w:rsidRPr="00350EFF" w:rsidRDefault="00B964A7" w:rsidP="00B964A7">
      <w:pPr>
        <w:pStyle w:val="ListParagraph"/>
        <w:numPr>
          <w:ilvl w:val="1"/>
          <w:numId w:val="1"/>
        </w:numPr>
        <w:outlineLvl w:val="1"/>
        <w:rPr>
          <w:rFonts w:cstheme="minorHAnsi"/>
          <w:b/>
        </w:rPr>
      </w:pPr>
      <w:bookmarkStart w:id="215" w:name="_Toc473873150"/>
      <w:bookmarkStart w:id="216" w:name="_Toc489888150"/>
      <w:r w:rsidRPr="00350EFF">
        <w:rPr>
          <w:rFonts w:cstheme="minorHAnsi"/>
          <w:b/>
        </w:rPr>
        <w:t>SERIOUS BREACH REQUIREMENTS</w:t>
      </w:r>
      <w:bookmarkEnd w:id="215"/>
      <w:bookmarkEnd w:id="216"/>
    </w:p>
    <w:p w14:paraId="5B0EBE6E" w14:textId="77777777" w:rsidR="00B964A7" w:rsidRPr="00350EFF" w:rsidRDefault="00B964A7" w:rsidP="00B964A7">
      <w:pPr>
        <w:rPr>
          <w:rFonts w:cstheme="minorHAnsi"/>
        </w:rPr>
      </w:pPr>
      <w:r w:rsidRPr="00350EFF">
        <w:rPr>
          <w:rFonts w:cstheme="minorHAnsi"/>
        </w:rPr>
        <w:t>A ‘serious breach’ is a protocol violation that is likely to cause a significant threat to either:</w:t>
      </w:r>
    </w:p>
    <w:p w14:paraId="5FAC55CE" w14:textId="77777777" w:rsidR="00B964A7" w:rsidRPr="00350EFF" w:rsidRDefault="00B964A7" w:rsidP="00B964A7">
      <w:pPr>
        <w:pStyle w:val="ListParagraph"/>
        <w:numPr>
          <w:ilvl w:val="0"/>
          <w:numId w:val="25"/>
        </w:numPr>
        <w:rPr>
          <w:rFonts w:cstheme="minorHAnsi"/>
        </w:rPr>
      </w:pPr>
      <w:r w:rsidRPr="00350EFF">
        <w:rPr>
          <w:rFonts w:cstheme="minorHAnsi"/>
        </w:rPr>
        <w:t>The physical or mental health, safety or wellbeing of one or more trial participant(s); or</w:t>
      </w:r>
    </w:p>
    <w:p w14:paraId="7164A37D" w14:textId="77777777" w:rsidR="00B964A7" w:rsidRPr="00350EFF" w:rsidRDefault="00B964A7" w:rsidP="00B964A7">
      <w:pPr>
        <w:pStyle w:val="ListParagraph"/>
        <w:numPr>
          <w:ilvl w:val="0"/>
          <w:numId w:val="25"/>
        </w:numPr>
        <w:rPr>
          <w:rFonts w:cstheme="minorHAnsi"/>
        </w:rPr>
      </w:pPr>
      <w:r w:rsidRPr="00350EFF">
        <w:rPr>
          <w:rFonts w:cstheme="minorHAnsi"/>
        </w:rPr>
        <w:t>The scientific merit, validity, conduct, or ethical acceptability of the trial</w:t>
      </w:r>
    </w:p>
    <w:p w14:paraId="3CE0E294" w14:textId="04E7EF77" w:rsidR="00B964A7" w:rsidRPr="003A2AB7" w:rsidRDefault="00B964A7" w:rsidP="003A2AB7">
      <w:pPr>
        <w:rPr>
          <w:rFonts w:cstheme="minorHAnsi"/>
        </w:rPr>
      </w:pPr>
      <w:r w:rsidRPr="00350EFF">
        <w:rPr>
          <w:rFonts w:cstheme="minorHAnsi"/>
        </w:rPr>
        <w:t xml:space="preserve">If any member of the research team becomes aware of a potential or suspected serious breach occurring, they must notify the on-call PI </w:t>
      </w:r>
      <w:r w:rsidRPr="00350EFF">
        <w:rPr>
          <w:rFonts w:cstheme="minorHAnsi"/>
          <w:i/>
          <w:u w:val="single"/>
        </w:rPr>
        <w:t>within 24 hours of their discovery of the information</w:t>
      </w:r>
      <w:r w:rsidRPr="00350EFF">
        <w:rPr>
          <w:rFonts w:cstheme="minorHAnsi"/>
        </w:rPr>
        <w:t xml:space="preserve">. It is the </w:t>
      </w:r>
      <w:r w:rsidR="00A472B6">
        <w:rPr>
          <w:rFonts w:cstheme="minorHAnsi"/>
        </w:rPr>
        <w:t>responsibility of the PIs;</w:t>
      </w:r>
      <w:r w:rsidRPr="00350EFF">
        <w:rPr>
          <w:rFonts w:cstheme="minorHAnsi"/>
        </w:rPr>
        <w:t xml:space="preserve"> other members of the Trial Steering Committee; and/or Data and Safety Monitoring Committee (as appropriate) to determine whether or not the event constitutes a ‘serious breach’; to assess the potential or real impact of the breach on the validity of the trial or safety of participants; and to decide whether immediate</w:t>
      </w:r>
      <w:r w:rsidR="00350EFF" w:rsidRPr="00350EFF">
        <w:rPr>
          <w:rFonts w:cstheme="minorHAnsi"/>
        </w:rPr>
        <w:t xml:space="preserve"> reporting of the incident to HD</w:t>
      </w:r>
      <w:r w:rsidRPr="00350EFF">
        <w:rPr>
          <w:rFonts w:cstheme="minorHAnsi"/>
        </w:rPr>
        <w:t>EC and/or any regulatory</w:t>
      </w:r>
      <w:r w:rsidR="003A2AB7">
        <w:rPr>
          <w:rFonts w:cstheme="minorHAnsi"/>
        </w:rPr>
        <w:t xml:space="preserve"> authorities may be warranted. </w:t>
      </w:r>
    </w:p>
    <w:p w14:paraId="1A611E76" w14:textId="77777777" w:rsidR="00B964A7" w:rsidRPr="00515E48" w:rsidRDefault="00B964A7" w:rsidP="00B964A7">
      <w:pPr>
        <w:rPr>
          <w:rFonts w:cstheme="minorHAnsi"/>
          <w:b/>
        </w:rPr>
      </w:pPr>
    </w:p>
    <w:p w14:paraId="1ADA4E6A" w14:textId="77777777" w:rsidR="00B964A7" w:rsidRDefault="00B964A7" w:rsidP="00B964A7">
      <w:pPr>
        <w:pStyle w:val="ListParagraph"/>
        <w:numPr>
          <w:ilvl w:val="1"/>
          <w:numId w:val="1"/>
        </w:numPr>
        <w:outlineLvl w:val="1"/>
        <w:rPr>
          <w:rFonts w:cstheme="minorHAnsi"/>
          <w:b/>
        </w:rPr>
      </w:pPr>
      <w:bookmarkStart w:id="217" w:name="_Toc473873151"/>
      <w:bookmarkStart w:id="218" w:name="_Toc489888151"/>
      <w:r w:rsidRPr="00B05FFC">
        <w:rPr>
          <w:rFonts w:cstheme="minorHAnsi"/>
          <w:b/>
        </w:rPr>
        <w:t>STUDY RECORD RETENTION</w:t>
      </w:r>
      <w:bookmarkEnd w:id="217"/>
      <w:bookmarkEnd w:id="218"/>
    </w:p>
    <w:p w14:paraId="43FEFF2A" w14:textId="77777777" w:rsidR="00B964A7" w:rsidRPr="00201B3F" w:rsidRDefault="0077504E" w:rsidP="00B964A7">
      <w:pPr>
        <w:rPr>
          <w:rFonts w:cstheme="minorHAnsi"/>
        </w:rPr>
      </w:pPr>
      <w:r w:rsidRPr="00201B3F">
        <w:rPr>
          <w:rFonts w:cstheme="minorHAnsi"/>
        </w:rPr>
        <w:t xml:space="preserve">In accordance with New Zealand’s </w:t>
      </w:r>
      <w:r w:rsidRPr="00201B3F">
        <w:rPr>
          <w:rFonts w:cstheme="minorHAnsi"/>
          <w:i/>
        </w:rPr>
        <w:t>Health (Retention of Health Information) Regulations 1996</w:t>
      </w:r>
      <w:r w:rsidRPr="00201B3F">
        <w:rPr>
          <w:rFonts w:cstheme="minorHAnsi"/>
        </w:rPr>
        <w:t xml:space="preserve">, records </w:t>
      </w:r>
      <w:r w:rsidR="00D86300">
        <w:rPr>
          <w:rFonts w:cstheme="minorHAnsi"/>
        </w:rPr>
        <w:t>created in relation to this</w:t>
      </w:r>
      <w:r w:rsidR="00201B3F" w:rsidRPr="00201B3F">
        <w:rPr>
          <w:rFonts w:cstheme="minorHAnsi"/>
        </w:rPr>
        <w:t xml:space="preserve"> research</w:t>
      </w:r>
      <w:r w:rsidR="00D86300">
        <w:rPr>
          <w:rFonts w:cstheme="minorHAnsi"/>
        </w:rPr>
        <w:t xml:space="preserve"> project will</w:t>
      </w:r>
      <w:r w:rsidR="00201B3F" w:rsidRPr="00201B3F">
        <w:rPr>
          <w:rFonts w:cstheme="minorHAnsi"/>
        </w:rPr>
        <w:t xml:space="preserve"> be kept for a minimum of 10 years following the end of the study data collection phase (as defined in </w:t>
      </w:r>
      <w:r w:rsidR="00201B3F" w:rsidRPr="00201B3F">
        <w:rPr>
          <w:rFonts w:cstheme="minorHAnsi"/>
          <w:i/>
        </w:rPr>
        <w:t>Section 14.5</w:t>
      </w:r>
      <w:r w:rsidR="00201B3F" w:rsidRPr="00201B3F">
        <w:rPr>
          <w:rFonts w:cstheme="minorHAnsi"/>
        </w:rPr>
        <w:t>).</w:t>
      </w:r>
      <w:r w:rsidRPr="00201B3F">
        <w:rPr>
          <w:rFonts w:cstheme="minorHAnsi"/>
        </w:rPr>
        <w:t xml:space="preserve"> </w:t>
      </w:r>
      <w:r w:rsidR="00B964A7" w:rsidRPr="00201B3F">
        <w:rPr>
          <w:rFonts w:cstheme="minorHAnsi"/>
        </w:rPr>
        <w:t xml:space="preserve">The </w:t>
      </w:r>
      <w:r w:rsidR="00A76F49">
        <w:rPr>
          <w:rFonts w:cstheme="minorHAnsi"/>
        </w:rPr>
        <w:t xml:space="preserve">Investigational Site, </w:t>
      </w:r>
      <w:r w:rsidR="00B964A7" w:rsidRPr="00201B3F">
        <w:rPr>
          <w:rFonts w:cstheme="minorHAnsi"/>
        </w:rPr>
        <w:t>TSC or Sponsor may elect to outsource the safekeeping of records to a secure, off-site storage facility. Once the minimum retention period has lapsed, permission will be sought from senior representatives of the Sponsor before any records are permitted to be shredded (hard copies) or deleted (electronic copies).</w:t>
      </w:r>
    </w:p>
    <w:p w14:paraId="288FD31D" w14:textId="77777777" w:rsidR="00B964A7" w:rsidRPr="00515E48" w:rsidRDefault="00B964A7" w:rsidP="00B964A7">
      <w:pPr>
        <w:outlineLvl w:val="1"/>
        <w:rPr>
          <w:rFonts w:cstheme="minorHAnsi"/>
          <w:b/>
        </w:rPr>
      </w:pPr>
    </w:p>
    <w:p w14:paraId="30A2C5BF" w14:textId="77777777" w:rsidR="00B964A7" w:rsidRDefault="00B964A7" w:rsidP="00B964A7">
      <w:pPr>
        <w:pStyle w:val="ListParagraph"/>
        <w:numPr>
          <w:ilvl w:val="1"/>
          <w:numId w:val="1"/>
        </w:numPr>
        <w:outlineLvl w:val="1"/>
        <w:rPr>
          <w:rFonts w:cstheme="minorHAnsi"/>
          <w:b/>
        </w:rPr>
      </w:pPr>
      <w:bookmarkStart w:id="219" w:name="_Toc473873152"/>
      <w:bookmarkStart w:id="220" w:name="_Toc489888152"/>
      <w:r w:rsidRPr="00B05FFC">
        <w:rPr>
          <w:rFonts w:cstheme="minorHAnsi"/>
          <w:b/>
        </w:rPr>
        <w:t>END OF STUDY</w:t>
      </w:r>
      <w:bookmarkEnd w:id="219"/>
      <w:bookmarkEnd w:id="220"/>
    </w:p>
    <w:p w14:paraId="6F88EB6D" w14:textId="1F3D4BBA" w:rsidR="00B964A7" w:rsidRPr="00E67894" w:rsidRDefault="00B964A7" w:rsidP="00B964A7">
      <w:pPr>
        <w:rPr>
          <w:rFonts w:cstheme="minorHAnsi"/>
        </w:rPr>
      </w:pPr>
      <w:r w:rsidRPr="00E67894">
        <w:rPr>
          <w:rFonts w:cstheme="minorHAnsi"/>
        </w:rPr>
        <w:t xml:space="preserve">The ‘end of study’ for this trial is defined as the last point of direct patient contact between the research team and the participants for data collection purposes. This would likely be the date of the </w:t>
      </w:r>
      <w:r w:rsidR="005C5DB9">
        <w:rPr>
          <w:rFonts w:cstheme="minorHAnsi"/>
        </w:rPr>
        <w:t>two year</w:t>
      </w:r>
      <w:r w:rsidR="00E67894" w:rsidRPr="00E67894">
        <w:rPr>
          <w:rFonts w:cstheme="minorHAnsi"/>
        </w:rPr>
        <w:t xml:space="preserve"> post-treatment follow-up</w:t>
      </w:r>
      <w:r w:rsidRPr="00E67894">
        <w:rPr>
          <w:rFonts w:cstheme="minorHAnsi"/>
        </w:rPr>
        <w:t xml:space="preserve"> phone call made to the final remaining participant in the study. However, the TSC, DSMC and/or the Sponsor have the right to terminate the trial at any time prior to this point for clinical safety or administrative reasons. The date of </w:t>
      </w:r>
      <w:r w:rsidR="002C0D28">
        <w:rPr>
          <w:rFonts w:cstheme="minorHAnsi"/>
        </w:rPr>
        <w:t xml:space="preserve">a premature </w:t>
      </w:r>
      <w:r w:rsidRPr="00E67894">
        <w:rPr>
          <w:rFonts w:cstheme="minorHAnsi"/>
        </w:rPr>
        <w:t>trial termination would then constitute the ‘end of study’ date.</w:t>
      </w:r>
    </w:p>
    <w:p w14:paraId="72BCB9E4" w14:textId="77777777" w:rsidR="00B964A7" w:rsidRPr="00E67894" w:rsidRDefault="00B964A7" w:rsidP="00B964A7">
      <w:pPr>
        <w:rPr>
          <w:rFonts w:cstheme="minorHAnsi"/>
        </w:rPr>
      </w:pPr>
      <w:r w:rsidRPr="00E67894">
        <w:rPr>
          <w:rFonts w:cstheme="minorHAnsi"/>
        </w:rPr>
        <w:t>The end of s</w:t>
      </w:r>
      <w:r w:rsidR="00E67894" w:rsidRPr="00E67894">
        <w:rPr>
          <w:rFonts w:cstheme="minorHAnsi"/>
        </w:rPr>
        <w:t>tudy date will be reported to HD</w:t>
      </w:r>
      <w:r w:rsidRPr="00E67894">
        <w:rPr>
          <w:rFonts w:cstheme="minorHAnsi"/>
        </w:rPr>
        <w:t>EC within 90 days of completion; or within 15 days if the trial is terminat</w:t>
      </w:r>
      <w:r w:rsidR="00F45613">
        <w:rPr>
          <w:rFonts w:cstheme="minorHAnsi"/>
        </w:rPr>
        <w:t>ed prematurely. The Site Leader</w:t>
      </w:r>
      <w:r w:rsidRPr="00E67894">
        <w:rPr>
          <w:rFonts w:cstheme="minorHAnsi"/>
        </w:rPr>
        <w:t xml:space="preserve"> will inform participants in the instance of a premature study closure and ensure that any appropriate follow up is arranged for all participants involved.</w:t>
      </w:r>
    </w:p>
    <w:p w14:paraId="4D34656D" w14:textId="77777777" w:rsidR="00B964A7" w:rsidRPr="00E67894" w:rsidRDefault="00B964A7" w:rsidP="00B964A7">
      <w:pPr>
        <w:rPr>
          <w:rFonts w:cstheme="minorHAnsi"/>
        </w:rPr>
      </w:pPr>
      <w:r w:rsidRPr="00E67894">
        <w:rPr>
          <w:rFonts w:cstheme="minorHAnsi"/>
        </w:rPr>
        <w:t xml:space="preserve">A summary report of the study will be disseminated within 1 year of the completion of the trial, as described in </w:t>
      </w:r>
      <w:r w:rsidRPr="00E67894">
        <w:rPr>
          <w:rFonts w:cstheme="minorHAnsi"/>
          <w:i/>
        </w:rPr>
        <w:t>Section 15.2</w:t>
      </w:r>
      <w:r w:rsidRPr="00E67894">
        <w:rPr>
          <w:rFonts w:cstheme="minorHAnsi"/>
        </w:rPr>
        <w:t>.</w:t>
      </w:r>
    </w:p>
    <w:p w14:paraId="6E23DB57" w14:textId="77777777" w:rsidR="00B964A7" w:rsidRPr="00515E48" w:rsidRDefault="00B964A7" w:rsidP="00B964A7">
      <w:pPr>
        <w:outlineLvl w:val="1"/>
        <w:rPr>
          <w:rFonts w:cstheme="minorHAnsi"/>
          <w:b/>
        </w:rPr>
      </w:pPr>
    </w:p>
    <w:p w14:paraId="70A28327" w14:textId="77777777" w:rsidR="00B964A7" w:rsidRPr="00515E48" w:rsidRDefault="00B964A7" w:rsidP="00B964A7">
      <w:pPr>
        <w:pStyle w:val="ListParagraph"/>
        <w:numPr>
          <w:ilvl w:val="1"/>
          <w:numId w:val="1"/>
        </w:numPr>
        <w:outlineLvl w:val="1"/>
        <w:rPr>
          <w:rFonts w:cstheme="minorHAnsi"/>
          <w:b/>
        </w:rPr>
      </w:pPr>
      <w:bookmarkStart w:id="221" w:name="_Toc473873153"/>
      <w:bookmarkStart w:id="222" w:name="_Toc489888153"/>
      <w:r w:rsidRPr="00B05FFC">
        <w:rPr>
          <w:rFonts w:cstheme="minorHAnsi"/>
          <w:b/>
        </w:rPr>
        <w:t>CONTINUATION OF DRUG FOLLOWING THE END OF THE STUDY</w:t>
      </w:r>
      <w:bookmarkEnd w:id="221"/>
      <w:bookmarkEnd w:id="222"/>
    </w:p>
    <w:p w14:paraId="258E5466" w14:textId="77777777" w:rsidR="00B964A7" w:rsidRPr="00F276F6" w:rsidRDefault="00B964A7" w:rsidP="00B964A7">
      <w:pPr>
        <w:pStyle w:val="ListParagraph"/>
        <w:ind w:left="0"/>
        <w:rPr>
          <w:rFonts w:cstheme="minorHAnsi"/>
          <w:color w:val="FF0000"/>
        </w:rPr>
      </w:pPr>
    </w:p>
    <w:p w14:paraId="60488FD0" w14:textId="77777777" w:rsidR="00B964A7" w:rsidRPr="00567A49" w:rsidRDefault="00B964A7" w:rsidP="00B964A7">
      <w:pPr>
        <w:pStyle w:val="ListParagraph"/>
        <w:ind w:left="0"/>
        <w:rPr>
          <w:rFonts w:cstheme="minorHAnsi"/>
        </w:rPr>
      </w:pPr>
      <w:r w:rsidRPr="00567A49">
        <w:rPr>
          <w:rFonts w:cstheme="minorHAnsi"/>
        </w:rPr>
        <w:lastRenderedPageBreak/>
        <w:t xml:space="preserve">Not applicable – IMP administration will be ceased </w:t>
      </w:r>
      <w:r w:rsidR="00F45613">
        <w:rPr>
          <w:rFonts w:cstheme="minorHAnsi"/>
        </w:rPr>
        <w:t>following the second dose, or upon a participant’s</w:t>
      </w:r>
      <w:r w:rsidR="00567A49">
        <w:rPr>
          <w:rFonts w:cstheme="minorHAnsi"/>
        </w:rPr>
        <w:t xml:space="preserve"> withdrawal from the study</w:t>
      </w:r>
      <w:r w:rsidRPr="00567A49">
        <w:rPr>
          <w:rFonts w:cstheme="minorHAnsi"/>
        </w:rPr>
        <w:t>.</w:t>
      </w:r>
    </w:p>
    <w:p w14:paraId="5AC218B2" w14:textId="77777777" w:rsidR="00B964A7" w:rsidRPr="00515E48" w:rsidRDefault="00B964A7" w:rsidP="00B964A7">
      <w:pPr>
        <w:outlineLvl w:val="1"/>
        <w:rPr>
          <w:rFonts w:cstheme="minorHAnsi"/>
          <w:b/>
        </w:rPr>
      </w:pPr>
    </w:p>
    <w:p w14:paraId="633A4159" w14:textId="77777777" w:rsidR="00B964A7" w:rsidRDefault="00B964A7" w:rsidP="00D5063A">
      <w:pPr>
        <w:pStyle w:val="ListParagraph"/>
        <w:numPr>
          <w:ilvl w:val="1"/>
          <w:numId w:val="1"/>
        </w:numPr>
        <w:outlineLvl w:val="1"/>
        <w:rPr>
          <w:rFonts w:cstheme="minorHAnsi"/>
          <w:b/>
        </w:rPr>
      </w:pPr>
      <w:bookmarkStart w:id="223" w:name="_Toc473873154"/>
      <w:bookmarkStart w:id="224" w:name="_Toc489888154"/>
      <w:r w:rsidRPr="00B05FFC">
        <w:rPr>
          <w:rFonts w:cstheme="minorHAnsi"/>
          <w:b/>
        </w:rPr>
        <w:t>INSURANCE AND INDEMNITY</w:t>
      </w:r>
      <w:bookmarkStart w:id="225" w:name="_Toc473873155"/>
      <w:bookmarkEnd w:id="223"/>
      <w:bookmarkEnd w:id="224"/>
    </w:p>
    <w:p w14:paraId="4CE9E79F" w14:textId="77777777" w:rsidR="00B964A7" w:rsidRPr="00567A49" w:rsidRDefault="00B964A7" w:rsidP="00B964A7">
      <w:pPr>
        <w:rPr>
          <w:rFonts w:cstheme="minorHAnsi"/>
        </w:rPr>
      </w:pPr>
      <w:r w:rsidRPr="00567A49">
        <w:rPr>
          <w:rFonts w:cstheme="minorHAnsi"/>
        </w:rPr>
        <w:t>The Sponsor (the University</w:t>
      </w:r>
      <w:r w:rsidR="00254E31">
        <w:rPr>
          <w:rFonts w:cstheme="minorHAnsi"/>
        </w:rPr>
        <w:t xml:space="preserve"> of Melbourne Department</w:t>
      </w:r>
      <w:r w:rsidR="00CF626D" w:rsidRPr="00567A49">
        <w:rPr>
          <w:rFonts w:cstheme="minorHAnsi"/>
        </w:rPr>
        <w:t>) and Investigational Site (North Shore Hospital, Auckland</w:t>
      </w:r>
      <w:r w:rsidRPr="00567A49">
        <w:rPr>
          <w:rFonts w:cstheme="minorHAnsi"/>
        </w:rPr>
        <w:t>) are responsible for ensuring that proper provisions have been made for insurance and indemnity to cover their own liability, as well as that of the Principal Investigators, Associate Investigators and the other members of the research team relating to their work on this study.</w:t>
      </w:r>
    </w:p>
    <w:p w14:paraId="44679501" w14:textId="77777777" w:rsidR="00B964A7" w:rsidRPr="00567A49" w:rsidRDefault="00CF626D" w:rsidP="00B964A7">
      <w:pPr>
        <w:rPr>
          <w:rFonts w:cstheme="minorHAnsi"/>
        </w:rPr>
      </w:pPr>
      <w:r w:rsidRPr="00567A49">
        <w:rPr>
          <w:rFonts w:cstheme="minorHAnsi"/>
        </w:rPr>
        <w:t xml:space="preserve">The Investigational Site will </w:t>
      </w:r>
      <w:r w:rsidR="00B964A7" w:rsidRPr="00567A49">
        <w:rPr>
          <w:rFonts w:cstheme="minorHAnsi"/>
        </w:rPr>
        <w:t>retain their normal duty of care responsibilities towards participants of the study as patients receivi</w:t>
      </w:r>
      <w:r w:rsidRPr="00567A49">
        <w:rPr>
          <w:rFonts w:cstheme="minorHAnsi"/>
        </w:rPr>
        <w:t>ng treatment at their health service. The Investigational Site</w:t>
      </w:r>
      <w:r w:rsidR="00B964A7" w:rsidRPr="00567A49">
        <w:rPr>
          <w:rFonts w:cstheme="minorHAnsi"/>
        </w:rPr>
        <w:t xml:space="preserve"> will be liable for any clinical negligence or other forms of negligent harm inflicted upon participants through their health service. The Sponsor of this study requires th</w:t>
      </w:r>
      <w:r w:rsidR="00567A49" w:rsidRPr="00567A49">
        <w:rPr>
          <w:rFonts w:cstheme="minorHAnsi"/>
        </w:rPr>
        <w:t>e Investigational Site</w:t>
      </w:r>
      <w:r w:rsidR="00B964A7" w:rsidRPr="00567A49">
        <w:rPr>
          <w:rFonts w:cstheme="minorHAnsi"/>
        </w:rPr>
        <w:t xml:space="preserve"> to have their own insurance arrangements in place relating to these responsibilities.</w:t>
      </w:r>
    </w:p>
    <w:p w14:paraId="54CC23D3" w14:textId="77777777" w:rsidR="00B964A7" w:rsidRPr="00567A49" w:rsidRDefault="00B964A7" w:rsidP="00B964A7">
      <w:pPr>
        <w:rPr>
          <w:rFonts w:cstheme="minorHAnsi"/>
        </w:rPr>
      </w:pPr>
      <w:r w:rsidRPr="00567A49">
        <w:rPr>
          <w:rFonts w:cstheme="minorHAnsi"/>
        </w:rPr>
        <w:t>The following arrangements are in place to fulfil the Sponsor’s obligations for the provision of indemnity cover relating to the conduct of this trial:</w:t>
      </w:r>
    </w:p>
    <w:p w14:paraId="36873509" w14:textId="77777777" w:rsidR="00B964A7" w:rsidRPr="0060181D" w:rsidRDefault="00F63056" w:rsidP="00B964A7">
      <w:pPr>
        <w:pStyle w:val="ListParagraph"/>
        <w:numPr>
          <w:ilvl w:val="0"/>
          <w:numId w:val="32"/>
        </w:numPr>
        <w:rPr>
          <w:rFonts w:cstheme="minorHAnsi"/>
        </w:rPr>
      </w:pPr>
      <w:r w:rsidRPr="0060181D">
        <w:rPr>
          <w:rFonts w:cstheme="minorHAnsi"/>
        </w:rPr>
        <w:t>This study will be</w:t>
      </w:r>
      <w:r w:rsidR="00B964A7" w:rsidRPr="0060181D">
        <w:rPr>
          <w:rFonts w:cstheme="minorHAnsi"/>
        </w:rPr>
        <w:t xml:space="preserve"> conducted at the</w:t>
      </w:r>
      <w:r w:rsidRPr="0060181D">
        <w:rPr>
          <w:rFonts w:cstheme="minorHAnsi"/>
        </w:rPr>
        <w:t xml:space="preserve"> Waitemata District Health Board’s</w:t>
      </w:r>
      <w:r w:rsidR="00B964A7" w:rsidRPr="0060181D">
        <w:rPr>
          <w:rFonts w:cstheme="minorHAnsi"/>
        </w:rPr>
        <w:t xml:space="preserve"> </w:t>
      </w:r>
      <w:r w:rsidRPr="0060181D">
        <w:rPr>
          <w:rFonts w:cstheme="minorHAnsi"/>
        </w:rPr>
        <w:t>North Shore Hospital</w:t>
      </w:r>
      <w:r w:rsidR="00B964A7" w:rsidRPr="0060181D">
        <w:rPr>
          <w:rFonts w:cstheme="minorHAnsi"/>
        </w:rPr>
        <w:t xml:space="preserve"> in accordance with the conditional approval </w:t>
      </w:r>
      <w:r w:rsidRPr="0060181D">
        <w:rPr>
          <w:rFonts w:cstheme="minorHAnsi"/>
        </w:rPr>
        <w:t>being soug</w:t>
      </w:r>
      <w:r w:rsidR="001B25AD">
        <w:rPr>
          <w:rFonts w:cstheme="minorHAnsi"/>
        </w:rPr>
        <w:t>ht from the</w:t>
      </w:r>
      <w:r w:rsidRPr="0060181D">
        <w:rPr>
          <w:rFonts w:cstheme="minorHAnsi"/>
        </w:rPr>
        <w:t xml:space="preserve"> HDEC</w:t>
      </w:r>
      <w:r w:rsidR="00B964A7" w:rsidRPr="0060181D">
        <w:rPr>
          <w:rFonts w:cstheme="minorHAnsi"/>
        </w:rPr>
        <w:t>.</w:t>
      </w:r>
      <w:r w:rsidRPr="0060181D">
        <w:rPr>
          <w:rFonts w:cstheme="minorHAnsi"/>
        </w:rPr>
        <w:t xml:space="preserve"> No trial-specific activities will commence until HDEC approval</w:t>
      </w:r>
      <w:r w:rsidR="0060181D" w:rsidRPr="0060181D">
        <w:rPr>
          <w:rFonts w:cstheme="minorHAnsi"/>
        </w:rPr>
        <w:t xml:space="preserve"> has been granted and </w:t>
      </w:r>
      <w:r w:rsidRPr="0060181D">
        <w:rPr>
          <w:rFonts w:cstheme="minorHAnsi"/>
        </w:rPr>
        <w:t>any specified conditions</w:t>
      </w:r>
      <w:r w:rsidR="0060181D" w:rsidRPr="0060181D">
        <w:rPr>
          <w:rFonts w:cstheme="minorHAnsi"/>
        </w:rPr>
        <w:t xml:space="preserve"> of said approval have been met.</w:t>
      </w:r>
      <w:r w:rsidRPr="0060181D">
        <w:rPr>
          <w:rFonts w:cstheme="minorHAnsi"/>
        </w:rPr>
        <w:t xml:space="preserve"> </w:t>
      </w:r>
    </w:p>
    <w:p w14:paraId="7C0A7CDF" w14:textId="77777777" w:rsidR="00B964A7" w:rsidRPr="00F276F6" w:rsidRDefault="00B964A7" w:rsidP="00B964A7">
      <w:pPr>
        <w:pStyle w:val="ListParagraph"/>
        <w:rPr>
          <w:rFonts w:cstheme="minorHAnsi"/>
          <w:color w:val="FF0000"/>
        </w:rPr>
      </w:pPr>
    </w:p>
    <w:p w14:paraId="396578B7" w14:textId="77777777" w:rsidR="00B964A7" w:rsidRPr="001B25AD" w:rsidRDefault="00663543" w:rsidP="00B964A7">
      <w:pPr>
        <w:pStyle w:val="ListParagraph"/>
        <w:numPr>
          <w:ilvl w:val="0"/>
          <w:numId w:val="32"/>
        </w:numPr>
        <w:rPr>
          <w:rFonts w:cstheme="minorHAnsi"/>
        </w:rPr>
      </w:pPr>
      <w:r>
        <w:rPr>
          <w:rFonts w:cstheme="minorHAnsi"/>
        </w:rPr>
        <w:t>Women of Maori and Pasifika heritage form an integral part of the community all over New Zealand, including in the Waitemata District Health Board Catchment area.</w:t>
      </w:r>
      <w:r w:rsidR="00E236B3">
        <w:rPr>
          <w:rFonts w:cstheme="minorHAnsi"/>
        </w:rPr>
        <w:t xml:space="preserve"> As such</w:t>
      </w:r>
      <w:r w:rsidR="00E77C07">
        <w:rPr>
          <w:rFonts w:cstheme="minorHAnsi"/>
        </w:rPr>
        <w:t xml:space="preserve">, the researchers </w:t>
      </w:r>
      <w:r w:rsidR="00E236B3">
        <w:rPr>
          <w:rFonts w:cstheme="minorHAnsi"/>
        </w:rPr>
        <w:t>may approach Maori or Pasifika women</w:t>
      </w:r>
      <w:r>
        <w:rPr>
          <w:rFonts w:cstheme="minorHAnsi"/>
        </w:rPr>
        <w:t xml:space="preserve"> </w:t>
      </w:r>
      <w:r w:rsidR="00E236B3">
        <w:rPr>
          <w:rFonts w:cstheme="minorHAnsi"/>
        </w:rPr>
        <w:t>who are eligible for this trial</w:t>
      </w:r>
      <w:r w:rsidR="00E77C07">
        <w:rPr>
          <w:rFonts w:cstheme="minorHAnsi"/>
        </w:rPr>
        <w:t xml:space="preserve"> to discuss potential participation with them</w:t>
      </w:r>
      <w:r w:rsidR="00E236B3">
        <w:rPr>
          <w:rFonts w:cstheme="minorHAnsi"/>
        </w:rPr>
        <w:t xml:space="preserve">. </w:t>
      </w:r>
      <w:r w:rsidR="00E77C07" w:rsidRPr="00F51DD6">
        <w:rPr>
          <w:rFonts w:cstheme="minorHAnsi"/>
        </w:rPr>
        <w:t xml:space="preserve">To ensure that the specific cultural sensitivities and needs of </w:t>
      </w:r>
      <w:r w:rsidR="00156990" w:rsidRPr="00F51DD6">
        <w:rPr>
          <w:rFonts w:cstheme="minorHAnsi"/>
        </w:rPr>
        <w:t xml:space="preserve">women in </w:t>
      </w:r>
      <w:r w:rsidR="00E77C07" w:rsidRPr="00F51DD6">
        <w:rPr>
          <w:rFonts w:cstheme="minorHAnsi"/>
        </w:rPr>
        <w:t>these communities are met, this project will also seek input, consultation and approval from Maori</w:t>
      </w:r>
      <w:r w:rsidR="00F51DD6" w:rsidRPr="00F51DD6">
        <w:rPr>
          <w:rFonts w:cstheme="minorHAnsi"/>
        </w:rPr>
        <w:t xml:space="preserve"> Research</w:t>
      </w:r>
      <w:r w:rsidR="00E77C07" w:rsidRPr="00F51DD6">
        <w:rPr>
          <w:rFonts w:cstheme="minorHAnsi"/>
        </w:rPr>
        <w:t xml:space="preserve"> Ethics Committee prior to the commencement of the study.</w:t>
      </w:r>
      <w:r>
        <w:rPr>
          <w:rFonts w:cstheme="minorHAnsi"/>
        </w:rPr>
        <w:t xml:space="preserve"> </w:t>
      </w:r>
      <w:r w:rsidR="0001780E">
        <w:rPr>
          <w:rFonts w:cstheme="minorHAnsi"/>
        </w:rPr>
        <w:t xml:space="preserve">The researchers acknowledge the vital contribution that Maori women may make to this project and in turn, </w:t>
      </w:r>
      <w:r w:rsidR="00273997">
        <w:rPr>
          <w:rFonts w:cstheme="minorHAnsi"/>
        </w:rPr>
        <w:t>have aimed to design this project in a way that will equitably share any potential health benefits discovered during the course of this research with the Maori and Pasifika communities.</w:t>
      </w:r>
      <w:r w:rsidR="00D60FC3">
        <w:rPr>
          <w:rFonts w:cstheme="minorHAnsi"/>
        </w:rPr>
        <w:t xml:space="preserve"> All Maori and Pasifika women who are considering enrolling in this study will have the opportunity to discuss the trial, medication, outcomes, follow-up and any specific cultural considerations with a Maori Health Liaison before being asked to provide their consent to </w:t>
      </w:r>
      <w:r w:rsidR="00D60FC3" w:rsidRPr="001B25AD">
        <w:rPr>
          <w:rFonts w:cstheme="minorHAnsi"/>
        </w:rPr>
        <w:t xml:space="preserve">participate.  </w:t>
      </w:r>
    </w:p>
    <w:p w14:paraId="04D4C825" w14:textId="77777777" w:rsidR="00B964A7" w:rsidRPr="001B25AD" w:rsidRDefault="00B964A7" w:rsidP="00B964A7">
      <w:pPr>
        <w:pStyle w:val="ListParagraph"/>
        <w:rPr>
          <w:rFonts w:cstheme="minorHAnsi"/>
        </w:rPr>
      </w:pPr>
    </w:p>
    <w:p w14:paraId="720EE7BD" w14:textId="4D7873C8" w:rsidR="001B25AD" w:rsidRPr="00F51DD6" w:rsidRDefault="001B25AD" w:rsidP="001B25AD">
      <w:pPr>
        <w:pStyle w:val="ListParagraph"/>
        <w:numPr>
          <w:ilvl w:val="0"/>
          <w:numId w:val="32"/>
        </w:numPr>
        <w:rPr>
          <w:rFonts w:cstheme="minorHAnsi"/>
        </w:rPr>
      </w:pPr>
      <w:r w:rsidRPr="00F51DD6">
        <w:rPr>
          <w:rFonts w:cstheme="minorHAnsi"/>
        </w:rPr>
        <w:t>This study has been registered with</w:t>
      </w:r>
      <w:r w:rsidR="00B964A7" w:rsidRPr="00F51DD6">
        <w:rPr>
          <w:rFonts w:cstheme="minorHAnsi"/>
        </w:rPr>
        <w:t xml:space="preserve"> the ANZCTR (</w:t>
      </w:r>
      <w:r w:rsidR="006926D9">
        <w:rPr>
          <w:rFonts w:cstheme="minorHAnsi"/>
        </w:rPr>
        <w:t>registration number ACTRN-1261-7001-1183-92p</w:t>
      </w:r>
      <w:r w:rsidRPr="00F51DD6">
        <w:rPr>
          <w:rFonts w:cstheme="minorHAnsi"/>
        </w:rPr>
        <w:t>)</w:t>
      </w:r>
      <w:r w:rsidR="006926D9">
        <w:rPr>
          <w:rFonts w:cstheme="minorHAnsi"/>
        </w:rPr>
        <w:t>.</w:t>
      </w:r>
      <w:r w:rsidRPr="00F51DD6">
        <w:rPr>
          <w:rFonts w:cstheme="minorHAnsi"/>
        </w:rPr>
        <w:t xml:space="preserve"> </w:t>
      </w:r>
    </w:p>
    <w:p w14:paraId="40DD359F" w14:textId="77777777" w:rsidR="00B964A7" w:rsidRPr="00F276F6" w:rsidRDefault="00B964A7" w:rsidP="00B964A7">
      <w:pPr>
        <w:pStyle w:val="ListParagraph"/>
        <w:rPr>
          <w:rFonts w:cstheme="minorHAnsi"/>
          <w:color w:val="FF0000"/>
        </w:rPr>
      </w:pPr>
    </w:p>
    <w:p w14:paraId="015EE743" w14:textId="77777777" w:rsidR="00DF0EE0" w:rsidRDefault="00B964A7" w:rsidP="00594400">
      <w:pPr>
        <w:pStyle w:val="ListParagraph"/>
        <w:numPr>
          <w:ilvl w:val="0"/>
          <w:numId w:val="32"/>
        </w:numPr>
        <w:rPr>
          <w:rFonts w:cstheme="minorHAnsi"/>
        </w:rPr>
      </w:pPr>
      <w:r w:rsidRPr="00E86DBD">
        <w:rPr>
          <w:rFonts w:cstheme="minorHAnsi"/>
        </w:rPr>
        <w:t>The study protocol has been designed by Princip</w:t>
      </w:r>
      <w:r w:rsidR="00567A49" w:rsidRPr="00E86DBD">
        <w:rPr>
          <w:rFonts w:cstheme="minorHAnsi"/>
        </w:rPr>
        <w:t>al Investigator Prathima Chowdary; Associate Investigator Roxanne Hastie;</w:t>
      </w:r>
      <w:r w:rsidRPr="00E86DBD">
        <w:rPr>
          <w:rFonts w:cstheme="minorHAnsi"/>
        </w:rPr>
        <w:t xml:space="preserve"> and </w:t>
      </w:r>
      <w:r w:rsidR="00567A49" w:rsidRPr="00E86DBD">
        <w:rPr>
          <w:rFonts w:cstheme="minorHAnsi"/>
        </w:rPr>
        <w:t>Associate Investigator Anna Middleton</w:t>
      </w:r>
      <w:r w:rsidRPr="00E86DBD">
        <w:rPr>
          <w:rFonts w:cstheme="minorHAnsi"/>
        </w:rPr>
        <w:t xml:space="preserve"> with the approval of Principal Investigator (Stephen Tong) and the University of Melbourne Head of Department of Obstetrics and Gynaecology (Susan Walker). The study protocol will be approved by </w:t>
      </w:r>
      <w:r w:rsidR="0044599E">
        <w:rPr>
          <w:rFonts w:cstheme="minorHAnsi"/>
        </w:rPr>
        <w:lastRenderedPageBreak/>
        <w:t xml:space="preserve">independent peer review, </w:t>
      </w:r>
      <w:r w:rsidRPr="00E86DBD">
        <w:rPr>
          <w:rFonts w:cstheme="minorHAnsi"/>
        </w:rPr>
        <w:t xml:space="preserve">the Trial Steering Committee, the Data and Safety Monitoring Committee and </w:t>
      </w:r>
      <w:r w:rsidR="0028780E">
        <w:rPr>
          <w:rFonts w:cstheme="minorHAnsi"/>
        </w:rPr>
        <w:t xml:space="preserve">the New Zealand </w:t>
      </w:r>
      <w:r w:rsidR="00E86DBD" w:rsidRPr="00E86DBD">
        <w:rPr>
          <w:rFonts w:cstheme="minorHAnsi"/>
        </w:rPr>
        <w:t>HDEC</w:t>
      </w:r>
      <w:r w:rsidRPr="00E86DBD">
        <w:rPr>
          <w:rFonts w:cstheme="minorHAnsi"/>
        </w:rPr>
        <w:t xml:space="preserve"> prior to the commencement of the trial.</w:t>
      </w:r>
      <w:r w:rsidR="0044599E">
        <w:rPr>
          <w:rFonts w:cstheme="minorHAnsi"/>
        </w:rPr>
        <w:t xml:space="preserve"> </w:t>
      </w:r>
    </w:p>
    <w:p w14:paraId="30DAA84B" w14:textId="77777777" w:rsidR="00594400" w:rsidRPr="00594400" w:rsidRDefault="00594400" w:rsidP="00594400">
      <w:pPr>
        <w:pStyle w:val="ListParagraph"/>
        <w:rPr>
          <w:rFonts w:cstheme="minorHAnsi"/>
        </w:rPr>
      </w:pPr>
    </w:p>
    <w:p w14:paraId="4F770C81" w14:textId="77777777" w:rsidR="009B12A6" w:rsidRDefault="00594400" w:rsidP="00594400">
      <w:pPr>
        <w:pStyle w:val="ListParagraph"/>
        <w:numPr>
          <w:ilvl w:val="0"/>
          <w:numId w:val="32"/>
        </w:numPr>
        <w:rPr>
          <w:rFonts w:cstheme="minorHAnsi"/>
        </w:rPr>
      </w:pPr>
      <w:r>
        <w:rPr>
          <w:rFonts w:cstheme="minorHAnsi"/>
        </w:rPr>
        <w:t xml:space="preserve">Section 32 in Part 2 of New Zealand’s </w:t>
      </w:r>
      <w:r>
        <w:rPr>
          <w:rFonts w:cstheme="minorHAnsi"/>
          <w:i/>
        </w:rPr>
        <w:t>Accident Compensation Act 2001</w:t>
      </w:r>
      <w:r>
        <w:rPr>
          <w:rFonts w:cstheme="minorHAnsi"/>
        </w:rPr>
        <w:t xml:space="preserve"> outlines that indemnity cover for investigators and appropriate compensation for ‘treatment injuries’ incurred by a participant or participants in a clinical trial being conducted in New Zealand will be provided by the </w:t>
      </w:r>
      <w:r w:rsidR="009B12A6">
        <w:rPr>
          <w:rFonts w:cstheme="minorHAnsi"/>
        </w:rPr>
        <w:t>Accident Compensation Corporation, provided that the following conditions are met:</w:t>
      </w:r>
    </w:p>
    <w:p w14:paraId="25278C3E" w14:textId="77777777" w:rsidR="009B12A6" w:rsidRPr="009B12A6" w:rsidRDefault="009B12A6" w:rsidP="009B12A6">
      <w:pPr>
        <w:pStyle w:val="ListParagraph"/>
        <w:rPr>
          <w:rFonts w:cstheme="minorHAnsi"/>
        </w:rPr>
      </w:pPr>
    </w:p>
    <w:p w14:paraId="793BDA5F" w14:textId="77777777" w:rsidR="00594400" w:rsidRDefault="009B12A6" w:rsidP="009B12A6">
      <w:pPr>
        <w:pStyle w:val="ListParagraph"/>
        <w:numPr>
          <w:ilvl w:val="2"/>
          <w:numId w:val="32"/>
        </w:numPr>
        <w:rPr>
          <w:rFonts w:cstheme="minorHAnsi"/>
        </w:rPr>
      </w:pPr>
      <w:r>
        <w:rPr>
          <w:rFonts w:cstheme="minorHAnsi"/>
        </w:rPr>
        <w:t xml:space="preserve"> Approval for the conduct of the </w:t>
      </w:r>
      <w:r w:rsidR="00772BFD">
        <w:rPr>
          <w:rFonts w:cstheme="minorHAnsi"/>
        </w:rPr>
        <w:t xml:space="preserve">clinical </w:t>
      </w:r>
      <w:r>
        <w:rPr>
          <w:rFonts w:cstheme="minorHAnsi"/>
        </w:rPr>
        <w:t xml:space="preserve">trial in New Zealand has been provided by </w:t>
      </w:r>
      <w:r w:rsidR="00456012">
        <w:rPr>
          <w:rFonts w:cstheme="minorHAnsi"/>
        </w:rPr>
        <w:t xml:space="preserve">an </w:t>
      </w:r>
      <w:r>
        <w:rPr>
          <w:rFonts w:cstheme="minorHAnsi"/>
        </w:rPr>
        <w:t>HDEC</w:t>
      </w:r>
    </w:p>
    <w:p w14:paraId="08356307" w14:textId="77777777" w:rsidR="009B12A6" w:rsidRDefault="009B12A6" w:rsidP="009B12A6">
      <w:pPr>
        <w:pStyle w:val="ListParagraph"/>
        <w:numPr>
          <w:ilvl w:val="2"/>
          <w:numId w:val="32"/>
        </w:numPr>
        <w:rPr>
          <w:rFonts w:cstheme="minorHAnsi"/>
        </w:rPr>
      </w:pPr>
      <w:r>
        <w:rPr>
          <w:rFonts w:cstheme="minorHAnsi"/>
        </w:rPr>
        <w:t xml:space="preserve">The </w:t>
      </w:r>
      <w:r w:rsidR="002536CB">
        <w:rPr>
          <w:rFonts w:cstheme="minorHAnsi"/>
        </w:rPr>
        <w:t xml:space="preserve">HDEC is satisfied that the </w:t>
      </w:r>
      <w:r>
        <w:rPr>
          <w:rFonts w:cstheme="minorHAnsi"/>
        </w:rPr>
        <w:t>trial is not being conducted principally for the benefit of the manufacturer or distributer of the medication being investigated</w:t>
      </w:r>
    </w:p>
    <w:p w14:paraId="0324C868" w14:textId="77777777" w:rsidR="002536CB" w:rsidRDefault="002536CB" w:rsidP="009B12A6">
      <w:pPr>
        <w:pStyle w:val="ListParagraph"/>
        <w:numPr>
          <w:ilvl w:val="2"/>
          <w:numId w:val="32"/>
        </w:numPr>
        <w:rPr>
          <w:rFonts w:cstheme="minorHAnsi"/>
        </w:rPr>
      </w:pPr>
      <w:r>
        <w:rPr>
          <w:rFonts w:cstheme="minorHAnsi"/>
        </w:rPr>
        <w:t xml:space="preserve">The HDEC providing approval for the study </w:t>
      </w:r>
      <w:r w:rsidR="00785EA8">
        <w:rPr>
          <w:rFonts w:cstheme="minorHAnsi"/>
        </w:rPr>
        <w:t xml:space="preserve">had been granted the authority to operate as an ethics committee by the Health Research Council of New Zealand or the Director-General of Health at the time that study approval was granted </w:t>
      </w:r>
    </w:p>
    <w:p w14:paraId="3528EE7C" w14:textId="77777777" w:rsidR="00594400" w:rsidRPr="00C03857" w:rsidRDefault="002536CB" w:rsidP="00C03857">
      <w:pPr>
        <w:ind w:left="709"/>
        <w:rPr>
          <w:rFonts w:cstheme="minorHAnsi"/>
        </w:rPr>
      </w:pPr>
      <w:r>
        <w:rPr>
          <w:rFonts w:cstheme="minorHAnsi"/>
        </w:rPr>
        <w:t>T</w:t>
      </w:r>
      <w:r w:rsidR="007C4492">
        <w:rPr>
          <w:rFonts w:cstheme="minorHAnsi"/>
        </w:rPr>
        <w:t>his</w:t>
      </w:r>
      <w:r>
        <w:rPr>
          <w:rFonts w:cstheme="minorHAnsi"/>
        </w:rPr>
        <w:t xml:space="preserve"> </w:t>
      </w:r>
      <w:r w:rsidR="009B12A6">
        <w:rPr>
          <w:rFonts w:cstheme="minorHAnsi"/>
        </w:rPr>
        <w:t>trial will not commence until final approval has been granted</w:t>
      </w:r>
      <w:r>
        <w:rPr>
          <w:rFonts w:cstheme="minorHAnsi"/>
        </w:rPr>
        <w:t xml:space="preserve"> by the HDEC. Additionally, no funding has been sought from, offered by, or received from a drug manufacturer or distributer – this</w:t>
      </w:r>
      <w:r w:rsidR="007C4492">
        <w:rPr>
          <w:rFonts w:cstheme="minorHAnsi"/>
        </w:rPr>
        <w:t xml:space="preserve"> investigator-initiated</w:t>
      </w:r>
      <w:r>
        <w:rPr>
          <w:rFonts w:cstheme="minorHAnsi"/>
        </w:rPr>
        <w:t xml:space="preserve"> trial is</w:t>
      </w:r>
      <w:r w:rsidR="00C22174">
        <w:rPr>
          <w:rFonts w:cstheme="minorHAnsi"/>
        </w:rPr>
        <w:t xml:space="preserve"> being</w:t>
      </w:r>
      <w:r>
        <w:rPr>
          <w:rFonts w:cstheme="minorHAnsi"/>
        </w:rPr>
        <w:t xml:space="preserve"> funded by philanthropic and Australian Government research grants (as outlined in </w:t>
      </w:r>
      <w:r>
        <w:rPr>
          <w:rFonts w:cstheme="minorHAnsi"/>
          <w:i/>
        </w:rPr>
        <w:t>Section 13.5</w:t>
      </w:r>
      <w:r>
        <w:rPr>
          <w:rFonts w:cstheme="minorHAnsi"/>
        </w:rPr>
        <w:t>).</w:t>
      </w:r>
    </w:p>
    <w:p w14:paraId="7E51E76F" w14:textId="77777777" w:rsidR="00594400" w:rsidRPr="00594400" w:rsidRDefault="00594400" w:rsidP="00594400">
      <w:pPr>
        <w:pStyle w:val="ListParagraph"/>
        <w:rPr>
          <w:rFonts w:cstheme="minorHAnsi"/>
        </w:rPr>
      </w:pPr>
    </w:p>
    <w:p w14:paraId="27287CBF" w14:textId="77777777" w:rsidR="00DF0EE0" w:rsidRDefault="00DF0EE0" w:rsidP="00DF0EE0">
      <w:pPr>
        <w:pStyle w:val="ListParagraph"/>
        <w:numPr>
          <w:ilvl w:val="0"/>
          <w:numId w:val="26"/>
        </w:numPr>
        <w:spacing w:before="240"/>
        <w:rPr>
          <w:rFonts w:cstheme="minorHAnsi"/>
        </w:rPr>
      </w:pPr>
      <w:r>
        <w:rPr>
          <w:rFonts w:cstheme="minorHAnsi"/>
        </w:rPr>
        <w:t>A</w:t>
      </w:r>
      <w:r w:rsidR="00913E4A">
        <w:rPr>
          <w:rFonts w:cstheme="minorHAnsi"/>
        </w:rPr>
        <w:t xml:space="preserve"> formal</w:t>
      </w:r>
      <w:r>
        <w:rPr>
          <w:rFonts w:cstheme="minorHAnsi"/>
        </w:rPr>
        <w:t xml:space="preserve"> Clinical Research Trial Agreement</w:t>
      </w:r>
      <w:r w:rsidR="00913E4A">
        <w:rPr>
          <w:rFonts w:cstheme="minorHAnsi"/>
        </w:rPr>
        <w:t xml:space="preserve"> Contract</w:t>
      </w:r>
      <w:r>
        <w:rPr>
          <w:rFonts w:cstheme="minorHAnsi"/>
        </w:rPr>
        <w:t xml:space="preserve"> </w:t>
      </w:r>
      <w:r w:rsidR="00913E4A">
        <w:rPr>
          <w:rFonts w:cstheme="minorHAnsi"/>
        </w:rPr>
        <w:t>for this collaborative trial is being created with the assistance of the University of Melbourne Legal Department to formalise the arrangements for the conduct of this study between the University of Melbourne, North Shore Hospital and Mercy Perinatal. The contract will be approved and counter-signed by senior representatives of the Trial Steering Committee, NSH and the University of Melbourne prior to the commencement of recruitment</w:t>
      </w:r>
      <w:r w:rsidR="00FA22D8">
        <w:rPr>
          <w:rFonts w:cstheme="minorHAnsi"/>
        </w:rPr>
        <w:t>.</w:t>
      </w:r>
    </w:p>
    <w:p w14:paraId="574662C2" w14:textId="77777777" w:rsidR="001B25AD" w:rsidRDefault="001B25AD" w:rsidP="001B25AD">
      <w:pPr>
        <w:pStyle w:val="ListParagraph"/>
        <w:spacing w:before="240"/>
        <w:rPr>
          <w:rFonts w:cstheme="minorHAnsi"/>
        </w:rPr>
      </w:pPr>
    </w:p>
    <w:p w14:paraId="42478F3B" w14:textId="77777777" w:rsidR="001B25AD" w:rsidRDefault="001B25AD" w:rsidP="00DF0EE0">
      <w:pPr>
        <w:pStyle w:val="ListParagraph"/>
        <w:numPr>
          <w:ilvl w:val="0"/>
          <w:numId w:val="26"/>
        </w:numPr>
        <w:spacing w:before="240"/>
        <w:rPr>
          <w:rFonts w:cstheme="minorHAnsi"/>
        </w:rPr>
      </w:pPr>
      <w:r>
        <w:rPr>
          <w:rFonts w:cstheme="minorHAnsi"/>
        </w:rPr>
        <w:t xml:space="preserve">As the Investigational Medical Product (vinorelbine) is already approved for use in New Zealand for the treatment of other conditions, this trial does not require approval from New Zealand’s </w:t>
      </w:r>
      <w:r w:rsidRPr="001B25AD">
        <w:rPr>
          <w:rFonts w:cstheme="minorHAnsi"/>
          <w:i/>
        </w:rPr>
        <w:t>Standing Committee on Therapeutic Trials</w:t>
      </w:r>
      <w:r>
        <w:rPr>
          <w:rFonts w:cstheme="minorHAnsi"/>
        </w:rPr>
        <w:t xml:space="preserve"> (SCOTT).</w:t>
      </w:r>
    </w:p>
    <w:p w14:paraId="4E4EB3B5" w14:textId="77777777" w:rsidR="0028361A" w:rsidRPr="0028361A" w:rsidRDefault="0028361A" w:rsidP="0028361A">
      <w:pPr>
        <w:pStyle w:val="ListParagraph"/>
        <w:rPr>
          <w:rFonts w:cstheme="minorHAnsi"/>
        </w:rPr>
      </w:pPr>
    </w:p>
    <w:p w14:paraId="3C510876" w14:textId="77777777" w:rsidR="0028361A" w:rsidRDefault="0028361A" w:rsidP="0028361A">
      <w:pPr>
        <w:pStyle w:val="ListParagraph"/>
        <w:spacing w:before="240"/>
        <w:rPr>
          <w:rFonts w:cstheme="minorHAnsi"/>
        </w:rPr>
      </w:pPr>
    </w:p>
    <w:bookmarkEnd w:id="225"/>
    <w:p w14:paraId="0BBE6B51" w14:textId="77777777" w:rsidR="00B964A7" w:rsidRPr="00F92DAE" w:rsidRDefault="00B964A7" w:rsidP="00B964A7">
      <w:pPr>
        <w:pStyle w:val="ListParagraph"/>
        <w:rPr>
          <w:rFonts w:cstheme="minorHAnsi"/>
          <w:b/>
          <w:color w:val="00B050"/>
        </w:rPr>
      </w:pPr>
    </w:p>
    <w:p w14:paraId="2327AABD" w14:textId="77777777" w:rsidR="00B964A7" w:rsidRDefault="00B964A7" w:rsidP="00D5063A">
      <w:pPr>
        <w:pStyle w:val="ListParagraph"/>
        <w:numPr>
          <w:ilvl w:val="0"/>
          <w:numId w:val="1"/>
        </w:numPr>
        <w:outlineLvl w:val="0"/>
        <w:rPr>
          <w:rFonts w:cstheme="minorHAnsi"/>
          <w:b/>
        </w:rPr>
      </w:pPr>
      <w:bookmarkStart w:id="226" w:name="_Toc489888155"/>
      <w:r w:rsidRPr="00A37E20">
        <w:rPr>
          <w:rFonts w:cstheme="minorHAnsi"/>
          <w:b/>
        </w:rPr>
        <w:t>REPORTING, PUBLICATIONS AND NOTIFICATION OF RESULTS</w:t>
      </w:r>
      <w:bookmarkEnd w:id="226"/>
    </w:p>
    <w:p w14:paraId="43CDE3DC" w14:textId="77777777" w:rsidR="00D5063A" w:rsidRDefault="00D5063A" w:rsidP="00D5063A">
      <w:pPr>
        <w:pStyle w:val="ListParagraph"/>
        <w:outlineLvl w:val="0"/>
        <w:rPr>
          <w:rFonts w:cstheme="minorHAnsi"/>
          <w:b/>
        </w:rPr>
      </w:pPr>
    </w:p>
    <w:p w14:paraId="4CAB4889" w14:textId="77777777" w:rsidR="00B964A7" w:rsidRPr="00252E68" w:rsidRDefault="00B964A7" w:rsidP="00D5063A">
      <w:pPr>
        <w:pStyle w:val="ListParagraph"/>
        <w:numPr>
          <w:ilvl w:val="1"/>
          <w:numId w:val="1"/>
        </w:numPr>
        <w:outlineLvl w:val="1"/>
        <w:rPr>
          <w:rFonts w:cstheme="minorHAnsi"/>
          <w:b/>
        </w:rPr>
      </w:pPr>
      <w:bookmarkStart w:id="227" w:name="_Toc489888156"/>
      <w:r>
        <w:rPr>
          <w:rFonts w:cstheme="minorHAnsi"/>
          <w:b/>
        </w:rPr>
        <w:t>AUTHORSHIP POLICY</w:t>
      </w:r>
      <w:bookmarkEnd w:id="227"/>
    </w:p>
    <w:p w14:paraId="620A92E6" w14:textId="77777777" w:rsidR="00B964A7" w:rsidRPr="00CF626D" w:rsidRDefault="00B964A7" w:rsidP="00B964A7">
      <w:pPr>
        <w:rPr>
          <w:rFonts w:cstheme="minorHAnsi"/>
        </w:rPr>
      </w:pPr>
      <w:r w:rsidRPr="00CF626D">
        <w:rPr>
          <w:rFonts w:cstheme="minorHAnsi"/>
        </w:rPr>
        <w:t xml:space="preserve">Ownership of all data arising from this study remains with the members of the study team. Upon completion of the data collection component of the study, the data will be analysed (as outlined in </w:t>
      </w:r>
      <w:r w:rsidRPr="00CF626D">
        <w:rPr>
          <w:rFonts w:cstheme="minorHAnsi"/>
          <w:i/>
        </w:rPr>
        <w:t>Section 9</w:t>
      </w:r>
      <w:r w:rsidRPr="00CF626D">
        <w:rPr>
          <w:rFonts w:cstheme="minorHAnsi"/>
        </w:rPr>
        <w:t>), with an ICH-GCP-compliant clinical study report prepared.</w:t>
      </w:r>
    </w:p>
    <w:p w14:paraId="4AB2674F" w14:textId="77777777" w:rsidR="00B964A7" w:rsidRPr="00CF626D" w:rsidRDefault="00B964A7" w:rsidP="00B964A7">
      <w:pPr>
        <w:rPr>
          <w:rFonts w:cstheme="minorHAnsi"/>
        </w:rPr>
      </w:pPr>
    </w:p>
    <w:p w14:paraId="39320ECD" w14:textId="77777777" w:rsidR="00B964A7" w:rsidRPr="00CF626D" w:rsidRDefault="00B964A7" w:rsidP="00D5063A">
      <w:pPr>
        <w:pStyle w:val="ListParagraph"/>
        <w:numPr>
          <w:ilvl w:val="1"/>
          <w:numId w:val="1"/>
        </w:numPr>
        <w:outlineLvl w:val="1"/>
        <w:rPr>
          <w:rFonts w:cstheme="minorHAnsi"/>
          <w:b/>
        </w:rPr>
      </w:pPr>
      <w:bookmarkStart w:id="228" w:name="_Toc473873157"/>
      <w:bookmarkStart w:id="229" w:name="_Toc489888157"/>
      <w:r w:rsidRPr="00CF626D">
        <w:rPr>
          <w:rFonts w:cstheme="minorHAnsi"/>
          <w:b/>
        </w:rPr>
        <w:t>PUBLICATION</w:t>
      </w:r>
      <w:bookmarkEnd w:id="228"/>
      <w:bookmarkEnd w:id="229"/>
    </w:p>
    <w:p w14:paraId="506EA4CA" w14:textId="77777777" w:rsidR="00B964A7" w:rsidRPr="00CF626D" w:rsidRDefault="00B964A7" w:rsidP="00B964A7">
      <w:pPr>
        <w:rPr>
          <w:rFonts w:cstheme="minorHAnsi"/>
        </w:rPr>
      </w:pPr>
      <w:r w:rsidRPr="00CF626D">
        <w:rPr>
          <w:rFonts w:cstheme="minorHAnsi"/>
        </w:rPr>
        <w:lastRenderedPageBreak/>
        <w:t xml:space="preserve">The clinical study report will be </w:t>
      </w:r>
      <w:r w:rsidR="00CF626D" w:rsidRPr="00CF626D">
        <w:rPr>
          <w:rFonts w:cstheme="minorHAnsi"/>
        </w:rPr>
        <w:t>submitted to the approving HD</w:t>
      </w:r>
      <w:r w:rsidRPr="00CF626D">
        <w:rPr>
          <w:rFonts w:cstheme="minorHAnsi"/>
        </w:rPr>
        <w:t>E</w:t>
      </w:r>
      <w:r w:rsidR="00CF626D" w:rsidRPr="00CF626D">
        <w:rPr>
          <w:rFonts w:cstheme="minorHAnsi"/>
        </w:rPr>
        <w:t xml:space="preserve">C, </w:t>
      </w:r>
      <w:r w:rsidR="0097109E">
        <w:rPr>
          <w:rFonts w:cstheme="minorHAnsi"/>
        </w:rPr>
        <w:t xml:space="preserve">Maori Research Ethics Committee, the contributing </w:t>
      </w:r>
      <w:r w:rsidR="00CF626D" w:rsidRPr="00CF626D">
        <w:rPr>
          <w:rFonts w:cstheme="minorHAnsi"/>
        </w:rPr>
        <w:t>funding bodies (NHMRC and Mercy Foundation</w:t>
      </w:r>
      <w:r w:rsidRPr="00CF626D">
        <w:rPr>
          <w:rFonts w:cstheme="minorHAnsi"/>
        </w:rPr>
        <w:t>) and relevant regulatory authorities within one year of the study’s completion. A copy will also be forwarded to senior representatives of the Sponsor and the Invest</w:t>
      </w:r>
      <w:r w:rsidR="00CF626D" w:rsidRPr="00CF626D">
        <w:rPr>
          <w:rFonts w:cstheme="minorHAnsi"/>
        </w:rPr>
        <w:t>igational Site</w:t>
      </w:r>
      <w:r w:rsidRPr="00CF626D">
        <w:rPr>
          <w:rFonts w:cstheme="minorHAnsi"/>
        </w:rPr>
        <w:t>.</w:t>
      </w:r>
    </w:p>
    <w:p w14:paraId="3FB4BCD0" w14:textId="77777777" w:rsidR="00B964A7" w:rsidRPr="00CF626D" w:rsidRDefault="00B964A7" w:rsidP="00B964A7">
      <w:pPr>
        <w:rPr>
          <w:rFonts w:cstheme="minorHAnsi"/>
        </w:rPr>
      </w:pPr>
      <w:r w:rsidRPr="00CF626D">
        <w:rPr>
          <w:rFonts w:cstheme="minorHAnsi"/>
        </w:rPr>
        <w:t>The study report will be used by approved members of the research team to present the results of the trial at scientific meetings. The PI</w:t>
      </w:r>
      <w:r w:rsidR="00CF626D" w:rsidRPr="00CF626D">
        <w:rPr>
          <w:rFonts w:cstheme="minorHAnsi"/>
        </w:rPr>
        <w:t xml:space="preserve">s will have the right to submit or to </w:t>
      </w:r>
      <w:r w:rsidRPr="00CF626D">
        <w:rPr>
          <w:rFonts w:cstheme="minorHAnsi"/>
        </w:rPr>
        <w:t>grant permission for the submission of the results of the study for written and/or oral publication.</w:t>
      </w:r>
    </w:p>
    <w:p w14:paraId="13BC52D4" w14:textId="77777777" w:rsidR="00B964A7" w:rsidRPr="00CF626D" w:rsidRDefault="00B964A7" w:rsidP="00B964A7">
      <w:pPr>
        <w:rPr>
          <w:rFonts w:cstheme="minorHAnsi"/>
        </w:rPr>
      </w:pPr>
      <w:r w:rsidRPr="00CF626D">
        <w:rPr>
          <w:rFonts w:cstheme="minorHAnsi"/>
        </w:rPr>
        <w:t>A summary of the study results will be made available to the other members of the research team, who may, at their discretion, disseminate the findings within their clinics. A lay summary of th</w:t>
      </w:r>
      <w:r w:rsidR="005023F8">
        <w:rPr>
          <w:rFonts w:cstheme="minorHAnsi"/>
        </w:rPr>
        <w:t>e results will be made publically available by</w:t>
      </w:r>
      <w:r w:rsidRPr="00CF626D">
        <w:rPr>
          <w:rFonts w:cstheme="minorHAnsi"/>
        </w:rPr>
        <w:t xml:space="preserve"> the Spo</w:t>
      </w:r>
      <w:r w:rsidR="005023F8">
        <w:rPr>
          <w:rFonts w:cstheme="minorHAnsi"/>
        </w:rPr>
        <w:t>nsor</w:t>
      </w:r>
      <w:r w:rsidR="00CF626D" w:rsidRPr="00CF626D">
        <w:rPr>
          <w:rFonts w:cstheme="minorHAnsi"/>
        </w:rPr>
        <w:t xml:space="preserve"> and Investigational Site</w:t>
      </w:r>
      <w:r w:rsidRPr="00CF626D">
        <w:rPr>
          <w:rFonts w:cstheme="minorHAnsi"/>
        </w:rPr>
        <w:t>, in accordance</w:t>
      </w:r>
      <w:r w:rsidR="002C7457">
        <w:rPr>
          <w:rFonts w:cstheme="minorHAnsi"/>
        </w:rPr>
        <w:t xml:space="preserve"> with ICH-GCP recommendations. Given that this is a small study, a</w:t>
      </w:r>
      <w:r w:rsidRPr="00CF626D">
        <w:rPr>
          <w:rFonts w:cstheme="minorHAnsi"/>
        </w:rPr>
        <w:t xml:space="preserve"> lay summary may also be sent directly to the individual participants of the stu</w:t>
      </w:r>
      <w:r w:rsidR="002C7457">
        <w:rPr>
          <w:rFonts w:cstheme="minorHAnsi"/>
        </w:rPr>
        <w:t>dy, at the discretion of the Site Leader</w:t>
      </w:r>
      <w:r w:rsidRPr="00CF626D">
        <w:rPr>
          <w:rFonts w:cstheme="minorHAnsi"/>
        </w:rPr>
        <w:t>.</w:t>
      </w:r>
    </w:p>
    <w:p w14:paraId="3AC24BA2" w14:textId="77777777" w:rsidR="00B964A7" w:rsidRPr="00515E48" w:rsidRDefault="00B964A7" w:rsidP="00B964A7">
      <w:pPr>
        <w:outlineLvl w:val="1"/>
        <w:rPr>
          <w:rFonts w:cstheme="minorHAnsi"/>
          <w:b/>
        </w:rPr>
      </w:pPr>
    </w:p>
    <w:p w14:paraId="4ADC5DAB" w14:textId="77777777" w:rsidR="00B964A7" w:rsidRPr="00B05FFC" w:rsidRDefault="00B964A7" w:rsidP="00D5063A">
      <w:pPr>
        <w:pStyle w:val="ListParagraph"/>
        <w:numPr>
          <w:ilvl w:val="1"/>
          <w:numId w:val="1"/>
        </w:numPr>
        <w:outlineLvl w:val="1"/>
        <w:rPr>
          <w:rFonts w:cstheme="minorHAnsi"/>
          <w:b/>
        </w:rPr>
      </w:pPr>
      <w:bookmarkStart w:id="230" w:name="_Toc473873158"/>
      <w:bookmarkStart w:id="231" w:name="_Toc489888158"/>
      <w:r w:rsidRPr="00B05FFC">
        <w:rPr>
          <w:rFonts w:cstheme="minorHAnsi"/>
          <w:b/>
        </w:rPr>
        <w:t>PEER REVIEW</w:t>
      </w:r>
      <w:bookmarkEnd w:id="230"/>
      <w:bookmarkEnd w:id="231"/>
    </w:p>
    <w:p w14:paraId="03023E78" w14:textId="77777777" w:rsidR="00B964A7" w:rsidRDefault="00B964A7" w:rsidP="00B964A7">
      <w:pPr>
        <w:rPr>
          <w:rFonts w:cstheme="minorHAnsi"/>
        </w:rPr>
      </w:pPr>
      <w:r w:rsidRPr="008E5857">
        <w:rPr>
          <w:rFonts w:cstheme="minorHAnsi"/>
        </w:rPr>
        <w:t xml:space="preserve">This trial, </w:t>
      </w:r>
      <w:r w:rsidR="008E5857" w:rsidRPr="008E5857">
        <w:rPr>
          <w:rFonts w:cstheme="minorHAnsi"/>
        </w:rPr>
        <w:t>its scientific merit and protocol document have been</w:t>
      </w:r>
      <w:r w:rsidRPr="008E5857">
        <w:rPr>
          <w:rFonts w:cstheme="minorHAnsi"/>
        </w:rPr>
        <w:t xml:space="preserve"> extensively reviewed by</w:t>
      </w:r>
      <w:r w:rsidR="00565CAE">
        <w:rPr>
          <w:rFonts w:cstheme="minorHAnsi"/>
        </w:rPr>
        <w:t xml:space="preserve"> clinician-scientist Dr Fiona Brownfoot (Consultant Obstetrician and Gynaecologist; Maternal and Fetal Medicine Fellow; PhD) and clinician Dr Julie Lamont (Consultant Gynaecological Oncologist) </w:t>
      </w:r>
      <w:r w:rsidRPr="004C1519">
        <w:rPr>
          <w:rFonts w:cstheme="minorHAnsi"/>
        </w:rPr>
        <w:t>prior to the</w:t>
      </w:r>
      <w:r w:rsidR="008E5857" w:rsidRPr="004C1519">
        <w:rPr>
          <w:rFonts w:cstheme="minorHAnsi"/>
        </w:rPr>
        <w:t xml:space="preserve"> submission of this study to HDEC a</w:t>
      </w:r>
      <w:r w:rsidR="008E5857">
        <w:rPr>
          <w:rFonts w:cstheme="minorHAnsi"/>
        </w:rPr>
        <w:t>nd the</w:t>
      </w:r>
      <w:r w:rsidRPr="008E5857">
        <w:rPr>
          <w:rFonts w:cstheme="minorHAnsi"/>
        </w:rPr>
        <w:t xml:space="preserve"> commencement</w:t>
      </w:r>
      <w:r w:rsidR="008E5857" w:rsidRPr="008E5857">
        <w:rPr>
          <w:rFonts w:cstheme="minorHAnsi"/>
        </w:rPr>
        <w:t xml:space="preserve"> of study recruitment. </w:t>
      </w:r>
      <w:r>
        <w:rPr>
          <w:rFonts w:cstheme="minorHAnsi"/>
        </w:rPr>
        <w:br w:type="page"/>
      </w:r>
    </w:p>
    <w:p w14:paraId="1C68053C" w14:textId="77777777" w:rsidR="00B964A7" w:rsidRPr="00420507" w:rsidRDefault="00B964A7" w:rsidP="00D5063A">
      <w:pPr>
        <w:pStyle w:val="Heading1"/>
        <w:rPr>
          <w:rFonts w:asciiTheme="minorHAnsi" w:hAnsiTheme="minorHAnsi" w:cstheme="minorHAnsi"/>
          <w:b w:val="0"/>
          <w:sz w:val="22"/>
          <w:szCs w:val="22"/>
        </w:rPr>
      </w:pPr>
      <w:bookmarkStart w:id="232" w:name="_Toc473873159"/>
      <w:bookmarkStart w:id="233" w:name="_Toc489888159"/>
      <w:r w:rsidRPr="00B05FFC">
        <w:rPr>
          <w:rFonts w:asciiTheme="minorHAnsi" w:hAnsiTheme="minorHAnsi" w:cstheme="minorHAnsi"/>
          <w:color w:val="000000" w:themeColor="text1"/>
          <w:sz w:val="22"/>
          <w:szCs w:val="22"/>
        </w:rPr>
        <w:lastRenderedPageBreak/>
        <w:t xml:space="preserve">APPENDIX 1: </w:t>
      </w:r>
      <w:r w:rsidR="005F6105">
        <w:rPr>
          <w:rFonts w:asciiTheme="minorHAnsi" w:hAnsiTheme="minorHAnsi" w:cstheme="minorHAnsi"/>
          <w:color w:val="000000" w:themeColor="text1"/>
          <w:sz w:val="22"/>
          <w:szCs w:val="22"/>
        </w:rPr>
        <w:t>Medsafe - New Zealand Medicines and Medical Devices Safety Authourity</w:t>
      </w:r>
      <w:r>
        <w:rPr>
          <w:rFonts w:asciiTheme="minorHAnsi" w:hAnsiTheme="minorHAnsi" w:cstheme="minorHAnsi"/>
          <w:color w:val="000000" w:themeColor="text1"/>
          <w:sz w:val="22"/>
          <w:szCs w:val="22"/>
        </w:rPr>
        <w:t xml:space="preserve"> </w:t>
      </w:r>
      <w:r w:rsidRPr="00B05FFC">
        <w:rPr>
          <w:rFonts w:asciiTheme="minorHAnsi" w:hAnsiTheme="minorHAnsi" w:cstheme="minorHAnsi"/>
          <w:color w:val="000000" w:themeColor="text1"/>
          <w:sz w:val="22"/>
          <w:szCs w:val="22"/>
        </w:rPr>
        <w:t xml:space="preserve">– </w:t>
      </w:r>
      <w:bookmarkEnd w:id="232"/>
      <w:r w:rsidR="005F6105">
        <w:rPr>
          <w:rFonts w:asciiTheme="minorHAnsi" w:hAnsiTheme="minorHAnsi" w:cstheme="minorHAnsi"/>
          <w:color w:val="000000" w:themeColor="text1"/>
          <w:sz w:val="22"/>
          <w:szCs w:val="22"/>
        </w:rPr>
        <w:t>Information for Healthcare Professionals: Navelbine</w:t>
      </w:r>
      <w:r w:rsidR="005F6105">
        <w:rPr>
          <w:rFonts w:ascii="Bell MT" w:hAnsi="Bell MT" w:cstheme="minorHAnsi"/>
          <w:color w:val="000000" w:themeColor="text1"/>
          <w:sz w:val="22"/>
          <w:szCs w:val="22"/>
        </w:rPr>
        <w:t>®</w:t>
      </w:r>
      <w:r w:rsidR="005F6105">
        <w:rPr>
          <w:rFonts w:asciiTheme="minorHAnsi" w:hAnsiTheme="minorHAnsi" w:cstheme="minorHAnsi"/>
          <w:color w:val="000000" w:themeColor="text1"/>
          <w:sz w:val="22"/>
          <w:szCs w:val="22"/>
        </w:rPr>
        <w:t xml:space="preserve"> oral (vinorelbine 20 mg and 30 mg soft capsules</w:t>
      </w:r>
      <w:r>
        <w:rPr>
          <w:rFonts w:asciiTheme="minorHAnsi" w:hAnsiTheme="minorHAnsi" w:cstheme="minorHAnsi"/>
          <w:color w:val="000000" w:themeColor="text1"/>
          <w:sz w:val="22"/>
          <w:szCs w:val="22"/>
        </w:rPr>
        <w:t>)</w:t>
      </w:r>
      <w:bookmarkEnd w:id="233"/>
    </w:p>
    <w:p w14:paraId="5D9D95AD" w14:textId="77777777" w:rsidR="00B964A7" w:rsidRPr="00B05FFC" w:rsidRDefault="00B964A7" w:rsidP="00CD50B6">
      <w:pPr>
        <w:rPr>
          <w:rFonts w:cstheme="minorHAnsi"/>
          <w:i/>
        </w:rPr>
      </w:pPr>
      <w:r>
        <w:rPr>
          <w:rFonts w:cstheme="minorHAnsi"/>
          <w:i/>
        </w:rPr>
        <w:t xml:space="preserve">Retrieved from: </w:t>
      </w:r>
      <w:hyperlink r:id="rId31" w:history="1">
        <w:r w:rsidR="005F6105" w:rsidRPr="00F57CAF">
          <w:rPr>
            <w:rStyle w:val="Hyperlink"/>
          </w:rPr>
          <w:t>http://www.medsafe.govt.nz/profs/datasheet/n/Navelbinecap.htm</w:t>
        </w:r>
      </w:hyperlink>
      <w:r w:rsidR="005F6105">
        <w:t xml:space="preserve"> </w:t>
      </w:r>
    </w:p>
    <w:p w14:paraId="0184079C" w14:textId="77777777" w:rsidR="005F6105" w:rsidRPr="0037346A" w:rsidRDefault="005F6105" w:rsidP="00CD50B6">
      <w:pPr>
        <w:rPr>
          <w:rFonts w:eastAsia="Times New Roman" w:cstheme="minorHAnsi"/>
          <w:b/>
          <w:bCs/>
          <w:kern w:val="36"/>
          <w:lang w:val="en-NZ" w:eastAsia="en-AU"/>
        </w:rPr>
      </w:pPr>
      <w:r w:rsidRPr="0037346A">
        <w:rPr>
          <w:rFonts w:eastAsia="Times New Roman" w:cstheme="minorHAnsi"/>
          <w:b/>
          <w:bCs/>
          <w:kern w:val="36"/>
          <w:lang w:val="en-NZ" w:eastAsia="en-AU"/>
        </w:rPr>
        <w:t>Information for Healthcare Professionals</w:t>
      </w:r>
    </w:p>
    <w:p w14:paraId="4124A584" w14:textId="77777777" w:rsidR="005F6105" w:rsidRPr="0037346A" w:rsidRDefault="005F6105" w:rsidP="00CD50B6">
      <w:pPr>
        <w:rPr>
          <w:rFonts w:eastAsia="Times New Roman" w:cstheme="minorHAnsi"/>
          <w:lang w:val="en-NZ" w:eastAsia="en-AU"/>
        </w:rPr>
      </w:pPr>
      <w:r w:rsidRPr="0037346A">
        <w:rPr>
          <w:rFonts w:eastAsia="Times New Roman" w:cstheme="minorHAnsi"/>
          <w:lang w:val="en-NZ" w:eastAsia="en-AU"/>
        </w:rPr>
        <w:t>Revised: 17 June 2015</w:t>
      </w:r>
    </w:p>
    <w:p w14:paraId="35EE9B7C" w14:textId="77777777" w:rsidR="005F6105" w:rsidRPr="0037346A" w:rsidRDefault="005F6105" w:rsidP="00CD50B6">
      <w:pPr>
        <w:rPr>
          <w:rFonts w:eastAsia="Times New Roman" w:cstheme="minorHAnsi"/>
          <w:b/>
          <w:bCs/>
          <w:lang w:val="en-NZ" w:eastAsia="en-AU"/>
        </w:rPr>
      </w:pPr>
      <w:r w:rsidRPr="0037346A">
        <w:rPr>
          <w:rFonts w:eastAsia="Times New Roman" w:cstheme="minorHAnsi"/>
          <w:b/>
          <w:bCs/>
          <w:lang w:val="en-NZ" w:eastAsia="en-AU"/>
        </w:rPr>
        <w:t>Data Sheet</w:t>
      </w:r>
    </w:p>
    <w:p w14:paraId="1DCFC3E2" w14:textId="77777777" w:rsidR="005F6105" w:rsidRPr="0037346A" w:rsidRDefault="005F6105" w:rsidP="00CD50B6">
      <w:pPr>
        <w:rPr>
          <w:rFonts w:eastAsia="Times New Roman" w:cstheme="minorHAnsi"/>
          <w:b/>
          <w:bCs/>
          <w:lang w:val="en-NZ" w:eastAsia="en-AU"/>
        </w:rPr>
      </w:pPr>
      <w:r w:rsidRPr="0037346A">
        <w:rPr>
          <w:rFonts w:eastAsia="Times New Roman" w:cstheme="minorHAnsi"/>
          <w:b/>
          <w:bCs/>
          <w:lang w:val="en-NZ" w:eastAsia="en-AU"/>
        </w:rPr>
        <w:t>NAVELBINE</w:t>
      </w:r>
      <w:r w:rsidRPr="0037346A">
        <w:rPr>
          <w:rFonts w:eastAsia="Times New Roman" w:cstheme="minorHAnsi"/>
          <w:b/>
          <w:bCs/>
          <w:vertAlign w:val="superscript"/>
          <w:lang w:val="en-NZ" w:eastAsia="en-AU"/>
        </w:rPr>
        <w:t>®</w:t>
      </w:r>
      <w:r w:rsidRPr="0037346A">
        <w:rPr>
          <w:rFonts w:eastAsia="Times New Roman" w:cstheme="minorHAnsi"/>
          <w:b/>
          <w:bCs/>
          <w:lang w:val="en-NZ" w:eastAsia="en-AU"/>
        </w:rPr>
        <w:t xml:space="preserve"> ORAL</w:t>
      </w:r>
    </w:p>
    <w:p w14:paraId="469A74CA" w14:textId="77777777" w:rsidR="005F6105" w:rsidRPr="0037346A" w:rsidRDefault="005F6105" w:rsidP="005F6105">
      <w:pPr>
        <w:spacing w:before="100" w:beforeAutospacing="1" w:after="100" w:afterAutospacing="1" w:line="240" w:lineRule="auto"/>
        <w:outlineLvl w:val="4"/>
        <w:rPr>
          <w:rFonts w:eastAsia="Times New Roman" w:cstheme="minorHAnsi"/>
          <w:b/>
          <w:bCs/>
          <w:lang w:val="en-NZ" w:eastAsia="en-AU"/>
        </w:rPr>
      </w:pPr>
      <w:r w:rsidRPr="0037346A">
        <w:rPr>
          <w:rFonts w:eastAsia="Times New Roman" w:cstheme="minorHAnsi"/>
          <w:b/>
          <w:bCs/>
          <w:lang w:val="en-NZ" w:eastAsia="en-AU"/>
        </w:rPr>
        <w:t>Vinorelbine 20 mg and 30 mg soft capsules.</w:t>
      </w:r>
    </w:p>
    <w:p w14:paraId="2E7F525C" w14:textId="77777777" w:rsidR="005F6105" w:rsidRPr="0037346A" w:rsidRDefault="005F6105" w:rsidP="005F6105">
      <w:pPr>
        <w:pBdr>
          <w:top w:val="single" w:sz="6" w:space="6" w:color="362B7C"/>
          <w:bottom w:val="single" w:sz="6" w:space="6" w:color="362B7C"/>
        </w:pBdr>
        <w:spacing w:before="100" w:beforeAutospacing="1" w:after="120" w:line="240" w:lineRule="auto"/>
        <w:outlineLvl w:val="3"/>
        <w:rPr>
          <w:rFonts w:eastAsia="Times New Roman" w:cstheme="minorHAnsi"/>
          <w:b/>
          <w:bCs/>
          <w:lang w:val="en-NZ" w:eastAsia="en-AU"/>
        </w:rPr>
      </w:pPr>
      <w:r w:rsidRPr="0037346A">
        <w:rPr>
          <w:rFonts w:eastAsia="Times New Roman" w:cstheme="minorHAnsi"/>
          <w:b/>
          <w:bCs/>
          <w:lang w:val="en-NZ" w:eastAsia="en-AU"/>
        </w:rPr>
        <w:t>Description</w:t>
      </w:r>
    </w:p>
    <w:p w14:paraId="65875941" w14:textId="77777777" w:rsidR="005F6105" w:rsidRPr="0037346A" w:rsidRDefault="005F6105" w:rsidP="005F6105">
      <w:pPr>
        <w:spacing w:before="100" w:beforeAutospacing="1" w:after="100" w:afterAutospacing="1" w:line="240" w:lineRule="auto"/>
        <w:rPr>
          <w:rFonts w:eastAsia="Times New Roman" w:cstheme="minorHAnsi"/>
          <w:lang w:val="en-NZ" w:eastAsia="en-AU"/>
        </w:rPr>
      </w:pPr>
      <w:r w:rsidRPr="0037346A">
        <w:rPr>
          <w:rFonts w:eastAsia="Times New Roman" w:cstheme="minorHAnsi"/>
          <w:lang w:val="en-NZ" w:eastAsia="en-AU"/>
        </w:rPr>
        <w:t>Vinorelbine tartrate is a semi-synthetic vinca alkaloid with antitumor activity. The chemical name is 3',4'-didehydro-4'-deoxy-C'-norvincaleukoblastine [</w:t>
      </w:r>
      <w:r w:rsidRPr="005F6105">
        <w:rPr>
          <w:rFonts w:eastAsia="Times New Roman" w:cstheme="minorHAnsi"/>
          <w:i/>
          <w:iCs/>
          <w:lang w:val="en-NZ" w:eastAsia="en-AU"/>
        </w:rPr>
        <w:t xml:space="preserve"> R-(R*,R*)</w:t>
      </w:r>
      <w:r w:rsidRPr="0037346A">
        <w:rPr>
          <w:rFonts w:eastAsia="Times New Roman" w:cstheme="minorHAnsi"/>
          <w:lang w:val="en-NZ" w:eastAsia="en-AU"/>
        </w:rPr>
        <w:t xml:space="preserve"> -2,3 dihydroxybutanedioate (1:2)(salt)]. </w:t>
      </w:r>
    </w:p>
    <w:p w14:paraId="1477F78B" w14:textId="77777777" w:rsidR="005F6105" w:rsidRPr="0037346A" w:rsidRDefault="005F6105" w:rsidP="005F6105">
      <w:pPr>
        <w:spacing w:before="100" w:beforeAutospacing="1" w:after="100" w:afterAutospacing="1" w:line="240" w:lineRule="auto"/>
        <w:rPr>
          <w:rFonts w:eastAsia="Times New Roman" w:cstheme="minorHAnsi"/>
          <w:lang w:val="en-NZ" w:eastAsia="en-AU"/>
        </w:rPr>
      </w:pPr>
      <w:r w:rsidRPr="0037346A">
        <w:rPr>
          <w:rFonts w:eastAsia="Times New Roman" w:cstheme="minorHAnsi"/>
          <w:lang w:val="en-NZ" w:eastAsia="en-AU"/>
        </w:rPr>
        <w:t>Vinorelbine tartrate has the following structure:</w:t>
      </w:r>
    </w:p>
    <w:p w14:paraId="59605CAC" w14:textId="77777777" w:rsidR="005F6105" w:rsidRPr="0037346A" w:rsidRDefault="005F6105" w:rsidP="005F6105">
      <w:pPr>
        <w:spacing w:before="100" w:beforeAutospacing="1" w:after="100" w:afterAutospacing="1" w:line="240" w:lineRule="auto"/>
        <w:rPr>
          <w:rFonts w:eastAsia="Times New Roman" w:cstheme="minorHAnsi"/>
          <w:lang w:val="en-NZ" w:eastAsia="en-AU"/>
        </w:rPr>
      </w:pPr>
      <w:r w:rsidRPr="005F6105">
        <w:rPr>
          <w:rFonts w:eastAsia="Times New Roman" w:cstheme="minorHAnsi"/>
          <w:noProof/>
          <w:lang w:val="en-US"/>
        </w:rPr>
        <w:drawing>
          <wp:inline distT="0" distB="0" distL="0" distR="0" wp14:anchorId="6F954BD6" wp14:editId="4D8B33DF">
            <wp:extent cx="5206365" cy="2504440"/>
            <wp:effectExtent l="0" t="0" r="0" b="0"/>
            <wp:docPr id="23" name="Picture 23" descr="Vinorelbine chemical structur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Vinorelbine chemical structure. "/>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206365" cy="2504440"/>
                    </a:xfrm>
                    <a:prstGeom prst="rect">
                      <a:avLst/>
                    </a:prstGeom>
                    <a:noFill/>
                    <a:ln>
                      <a:noFill/>
                    </a:ln>
                  </pic:spPr>
                </pic:pic>
              </a:graphicData>
            </a:graphic>
          </wp:inline>
        </w:drawing>
      </w:r>
    </w:p>
    <w:p w14:paraId="60D00FC5" w14:textId="77777777" w:rsidR="005F6105" w:rsidRPr="0037346A" w:rsidRDefault="005F6105" w:rsidP="005F6105">
      <w:pPr>
        <w:spacing w:before="100" w:beforeAutospacing="1" w:after="100" w:afterAutospacing="1" w:line="240" w:lineRule="auto"/>
        <w:rPr>
          <w:rFonts w:eastAsia="Times New Roman" w:cstheme="minorHAnsi"/>
          <w:lang w:val="en-NZ" w:eastAsia="en-AU"/>
        </w:rPr>
      </w:pPr>
      <w:r w:rsidRPr="0037346A">
        <w:rPr>
          <w:rFonts w:eastAsia="Times New Roman" w:cstheme="minorHAnsi"/>
          <w:lang w:val="en-NZ" w:eastAsia="en-AU"/>
        </w:rPr>
        <w:t>CAS No: 125317-39-7</w:t>
      </w:r>
    </w:p>
    <w:p w14:paraId="28F9D7E0" w14:textId="77777777" w:rsidR="005F6105" w:rsidRPr="0037346A" w:rsidRDefault="005F6105" w:rsidP="005F6105">
      <w:pPr>
        <w:spacing w:before="100" w:beforeAutospacing="1" w:after="100" w:afterAutospacing="1" w:line="240" w:lineRule="auto"/>
        <w:rPr>
          <w:rFonts w:eastAsia="Times New Roman" w:cstheme="minorHAnsi"/>
          <w:lang w:val="en-NZ" w:eastAsia="en-AU"/>
        </w:rPr>
      </w:pPr>
      <w:r w:rsidRPr="0037346A">
        <w:rPr>
          <w:rFonts w:eastAsia="Times New Roman" w:cstheme="minorHAnsi"/>
          <w:lang w:val="en-NZ" w:eastAsia="en-AU"/>
        </w:rPr>
        <w:t>Vinorelbine tartrate is a white to yellow or light brown amorphous powder with the molecular formula C</w:t>
      </w:r>
      <w:r w:rsidRPr="0037346A">
        <w:rPr>
          <w:rFonts w:eastAsia="Times New Roman" w:cstheme="minorHAnsi"/>
          <w:vertAlign w:val="subscript"/>
          <w:lang w:val="en-NZ" w:eastAsia="en-AU"/>
        </w:rPr>
        <w:t>45</w:t>
      </w:r>
      <w:r w:rsidRPr="0037346A">
        <w:rPr>
          <w:rFonts w:eastAsia="Times New Roman" w:cstheme="minorHAnsi"/>
          <w:lang w:val="en-NZ" w:eastAsia="en-AU"/>
        </w:rPr>
        <w:t>H</w:t>
      </w:r>
      <w:r w:rsidRPr="0037346A">
        <w:rPr>
          <w:rFonts w:eastAsia="Times New Roman" w:cstheme="minorHAnsi"/>
          <w:vertAlign w:val="subscript"/>
          <w:lang w:val="en-NZ" w:eastAsia="en-AU"/>
        </w:rPr>
        <w:t>54</w:t>
      </w:r>
      <w:r w:rsidRPr="0037346A">
        <w:rPr>
          <w:rFonts w:eastAsia="Times New Roman" w:cstheme="minorHAnsi"/>
          <w:lang w:val="en-NZ" w:eastAsia="en-AU"/>
        </w:rPr>
        <w:t>N</w:t>
      </w:r>
      <w:r w:rsidRPr="0037346A">
        <w:rPr>
          <w:rFonts w:eastAsia="Times New Roman" w:cstheme="minorHAnsi"/>
          <w:vertAlign w:val="subscript"/>
          <w:lang w:val="en-NZ" w:eastAsia="en-AU"/>
        </w:rPr>
        <w:t>4</w:t>
      </w:r>
      <w:r w:rsidRPr="0037346A">
        <w:rPr>
          <w:rFonts w:eastAsia="Times New Roman" w:cstheme="minorHAnsi"/>
          <w:lang w:val="en-NZ" w:eastAsia="en-AU"/>
        </w:rPr>
        <w:t>O</w:t>
      </w:r>
      <w:r w:rsidRPr="0037346A">
        <w:rPr>
          <w:rFonts w:eastAsia="Times New Roman" w:cstheme="minorHAnsi"/>
          <w:vertAlign w:val="subscript"/>
          <w:lang w:val="en-NZ" w:eastAsia="en-AU"/>
        </w:rPr>
        <w:t>8</w:t>
      </w:r>
      <w:r w:rsidRPr="0037346A">
        <w:rPr>
          <w:rFonts w:eastAsia="Times New Roman" w:cstheme="minorHAnsi"/>
          <w:lang w:val="en-NZ" w:eastAsia="en-AU"/>
        </w:rPr>
        <w:t>.2C</w:t>
      </w:r>
      <w:r w:rsidRPr="0037346A">
        <w:rPr>
          <w:rFonts w:eastAsia="Times New Roman" w:cstheme="minorHAnsi"/>
          <w:vertAlign w:val="subscript"/>
          <w:lang w:val="en-NZ" w:eastAsia="en-AU"/>
        </w:rPr>
        <w:t>4</w:t>
      </w:r>
      <w:r w:rsidRPr="0037346A">
        <w:rPr>
          <w:rFonts w:eastAsia="Times New Roman" w:cstheme="minorHAnsi"/>
          <w:lang w:val="en-NZ" w:eastAsia="en-AU"/>
        </w:rPr>
        <w:t>H</w:t>
      </w:r>
      <w:r w:rsidRPr="0037346A">
        <w:rPr>
          <w:rFonts w:eastAsia="Times New Roman" w:cstheme="minorHAnsi"/>
          <w:vertAlign w:val="subscript"/>
          <w:lang w:val="en-NZ" w:eastAsia="en-AU"/>
        </w:rPr>
        <w:t>6</w:t>
      </w:r>
      <w:r w:rsidRPr="0037346A">
        <w:rPr>
          <w:rFonts w:eastAsia="Times New Roman" w:cstheme="minorHAnsi"/>
          <w:lang w:val="en-NZ" w:eastAsia="en-AU"/>
        </w:rPr>
        <w:t>O</w:t>
      </w:r>
      <w:r w:rsidRPr="0037346A">
        <w:rPr>
          <w:rFonts w:eastAsia="Times New Roman" w:cstheme="minorHAnsi"/>
          <w:vertAlign w:val="subscript"/>
          <w:lang w:val="en-NZ" w:eastAsia="en-AU"/>
        </w:rPr>
        <w:t>6</w:t>
      </w:r>
      <w:r w:rsidRPr="0037346A">
        <w:rPr>
          <w:rFonts w:eastAsia="Times New Roman" w:cstheme="minorHAnsi"/>
          <w:lang w:val="en-NZ" w:eastAsia="en-AU"/>
        </w:rPr>
        <w:t xml:space="preserve"> and molecular weight of 1079.12. The aqueous solubility is &gt; 1000 mg/mL in distilled water.</w:t>
      </w:r>
    </w:p>
    <w:p w14:paraId="13DB8804" w14:textId="77777777" w:rsidR="005F6105" w:rsidRDefault="005F6105" w:rsidP="005F6105">
      <w:pPr>
        <w:spacing w:before="100" w:beforeAutospacing="1" w:after="100" w:afterAutospacing="1" w:line="240" w:lineRule="auto"/>
        <w:rPr>
          <w:rFonts w:eastAsia="Times New Roman" w:cstheme="minorHAnsi"/>
          <w:lang w:val="en-NZ" w:eastAsia="en-AU"/>
        </w:rPr>
      </w:pPr>
      <w:r w:rsidRPr="0037346A">
        <w:rPr>
          <w:rFonts w:eastAsia="Times New Roman" w:cstheme="minorHAnsi"/>
          <w:lang w:val="en-NZ" w:eastAsia="en-AU"/>
        </w:rPr>
        <w:t>NAVELBINE</w:t>
      </w:r>
      <w:r w:rsidRPr="0037346A">
        <w:rPr>
          <w:rFonts w:eastAsia="Times New Roman" w:cstheme="minorHAnsi"/>
          <w:vertAlign w:val="superscript"/>
          <w:lang w:val="en-NZ" w:eastAsia="en-AU"/>
        </w:rPr>
        <w:t>®</w:t>
      </w:r>
      <w:r w:rsidRPr="0037346A">
        <w:rPr>
          <w:rFonts w:eastAsia="Times New Roman" w:cstheme="minorHAnsi"/>
          <w:lang w:val="en-NZ" w:eastAsia="en-AU"/>
        </w:rPr>
        <w:t xml:space="preserve"> soft capsules also contains the following excipients: ethanol, water - purified, glycerol, macrogol 400, gelatin, sorbitol, sorbitan, medium-chain triglycerides, phosphatidyl choline, glycerides, hypromellose, propylene glycol, edible printing ink E120, titanium dixoide, iron oxide yellow CI77492 and / or iron oxide red CI77491.</w:t>
      </w:r>
    </w:p>
    <w:p w14:paraId="67FDBA8C" w14:textId="77777777" w:rsidR="009A6D42" w:rsidRPr="0037346A" w:rsidRDefault="009A6D42" w:rsidP="005F6105">
      <w:pPr>
        <w:spacing w:before="100" w:beforeAutospacing="1" w:after="100" w:afterAutospacing="1" w:line="240" w:lineRule="auto"/>
        <w:rPr>
          <w:rFonts w:eastAsia="Times New Roman" w:cstheme="minorHAnsi"/>
          <w:lang w:val="en-NZ" w:eastAsia="en-AU"/>
        </w:rPr>
      </w:pPr>
    </w:p>
    <w:p w14:paraId="0BEA7670" w14:textId="77777777" w:rsidR="005F6105" w:rsidRPr="0037346A" w:rsidRDefault="005F6105" w:rsidP="005F6105">
      <w:pPr>
        <w:pBdr>
          <w:top w:val="single" w:sz="6" w:space="6" w:color="362B7C"/>
          <w:bottom w:val="single" w:sz="6" w:space="6" w:color="362B7C"/>
        </w:pBdr>
        <w:spacing w:before="100" w:beforeAutospacing="1" w:after="120" w:line="240" w:lineRule="auto"/>
        <w:outlineLvl w:val="3"/>
        <w:rPr>
          <w:rFonts w:eastAsia="Times New Roman" w:cstheme="minorHAnsi"/>
          <w:b/>
          <w:bCs/>
          <w:lang w:val="en-NZ" w:eastAsia="en-AU"/>
        </w:rPr>
      </w:pPr>
      <w:r w:rsidRPr="0037346A">
        <w:rPr>
          <w:rFonts w:eastAsia="Times New Roman" w:cstheme="minorHAnsi"/>
          <w:b/>
          <w:bCs/>
          <w:lang w:val="en-NZ" w:eastAsia="en-AU"/>
        </w:rPr>
        <w:lastRenderedPageBreak/>
        <w:t>Pharmacology</w:t>
      </w:r>
    </w:p>
    <w:p w14:paraId="3CCE578B" w14:textId="77777777" w:rsidR="005F6105" w:rsidRPr="0037346A" w:rsidRDefault="005F6105" w:rsidP="005F6105">
      <w:pPr>
        <w:spacing w:before="100" w:beforeAutospacing="1" w:after="100" w:afterAutospacing="1" w:line="240" w:lineRule="auto"/>
        <w:rPr>
          <w:rFonts w:eastAsia="Times New Roman" w:cstheme="minorHAnsi"/>
          <w:lang w:val="en-NZ" w:eastAsia="en-AU"/>
        </w:rPr>
      </w:pPr>
      <w:r w:rsidRPr="0037346A">
        <w:rPr>
          <w:rFonts w:eastAsia="Times New Roman" w:cstheme="minorHAnsi"/>
          <w:lang w:val="en-NZ" w:eastAsia="en-AU"/>
        </w:rPr>
        <w:t>Vinorelbine is an antineoplastic drug. It is a semi-synthetic member of the vinca alkaloid family that interferes with microtubule assembly. The vinca alkaloids are structurally similar compounds comprised of two multiringed units, vindoline and catharanthine. Unlike other vinca alkaloids, the catharanthine unit is the site of structural modification for vinorelbine. The antitumor activity of vinorelbine is thought to be due primarily to inhibition of mitosis at metaphase through its interaction with tubulin. In intact tectal plates from mouse embryos, vinorelbine, vincristine, and vinblastine inhibited mitotic microtubule formation at the same concentration (2µM), including a blockade of cells at metaphase. Vincristine produced depolymerisation of axonal tubules at 5µM, but vinblastine and vinorelbine did not have this effect until concentrations of 30µM and 40µM respectively. These data suggest relative selectivity of vinorelbine for mitotic microtubules.</w:t>
      </w:r>
    </w:p>
    <w:p w14:paraId="53013375" w14:textId="77777777" w:rsidR="005F6105" w:rsidRPr="0037346A" w:rsidRDefault="005F6105" w:rsidP="005F6105">
      <w:pPr>
        <w:pBdr>
          <w:top w:val="single" w:sz="6" w:space="6" w:color="362B7C"/>
          <w:bottom w:val="single" w:sz="6" w:space="6" w:color="362B7C"/>
        </w:pBdr>
        <w:spacing w:before="100" w:beforeAutospacing="1" w:after="120" w:line="240" w:lineRule="auto"/>
        <w:outlineLvl w:val="3"/>
        <w:rPr>
          <w:rFonts w:eastAsia="Times New Roman" w:cstheme="minorHAnsi"/>
          <w:b/>
          <w:bCs/>
          <w:lang w:val="en-NZ" w:eastAsia="en-AU"/>
        </w:rPr>
      </w:pPr>
      <w:r w:rsidRPr="0037346A">
        <w:rPr>
          <w:rFonts w:eastAsia="Times New Roman" w:cstheme="minorHAnsi"/>
          <w:b/>
          <w:bCs/>
          <w:lang w:val="en-NZ" w:eastAsia="en-AU"/>
        </w:rPr>
        <w:t>Pharmacokinetics</w:t>
      </w:r>
    </w:p>
    <w:p w14:paraId="701FDFAD" w14:textId="77777777" w:rsidR="005F6105" w:rsidRPr="0037346A" w:rsidRDefault="005F6105" w:rsidP="005F6105">
      <w:pPr>
        <w:spacing w:before="100" w:beforeAutospacing="1" w:after="100" w:afterAutospacing="1" w:line="240" w:lineRule="auto"/>
        <w:rPr>
          <w:rFonts w:eastAsia="Times New Roman" w:cstheme="minorHAnsi"/>
          <w:lang w:val="en-NZ" w:eastAsia="en-AU"/>
        </w:rPr>
      </w:pPr>
      <w:r w:rsidRPr="0037346A">
        <w:rPr>
          <w:rFonts w:eastAsia="Times New Roman" w:cstheme="minorHAnsi"/>
          <w:lang w:val="en-NZ" w:eastAsia="en-AU"/>
        </w:rPr>
        <w:t>Following oral administration, NAVELBINE</w:t>
      </w:r>
      <w:r w:rsidRPr="0037346A">
        <w:rPr>
          <w:rFonts w:eastAsia="Times New Roman" w:cstheme="minorHAnsi"/>
          <w:vertAlign w:val="superscript"/>
          <w:lang w:val="en-NZ" w:eastAsia="en-AU"/>
        </w:rPr>
        <w:t>®</w:t>
      </w:r>
      <w:r w:rsidRPr="0037346A">
        <w:rPr>
          <w:rFonts w:eastAsia="Times New Roman" w:cstheme="minorHAnsi"/>
          <w:lang w:val="en-NZ" w:eastAsia="en-AU"/>
        </w:rPr>
        <w:t xml:space="preserve"> is promptly absorbed and the T</w:t>
      </w:r>
      <w:r w:rsidRPr="0037346A">
        <w:rPr>
          <w:rFonts w:eastAsia="Times New Roman" w:cstheme="minorHAnsi"/>
          <w:vertAlign w:val="subscript"/>
          <w:lang w:val="en-NZ" w:eastAsia="en-AU"/>
        </w:rPr>
        <w:t>max</w:t>
      </w:r>
      <w:r w:rsidRPr="0037346A">
        <w:rPr>
          <w:rFonts w:eastAsia="Times New Roman" w:cstheme="minorHAnsi"/>
          <w:lang w:val="en-NZ" w:eastAsia="en-AU"/>
        </w:rPr>
        <w:t xml:space="preserve"> is reached within 1.5 to 3 hours with a blood concentration peak (C</w:t>
      </w:r>
      <w:r w:rsidRPr="0037346A">
        <w:rPr>
          <w:rFonts w:eastAsia="Times New Roman" w:cstheme="minorHAnsi"/>
          <w:vertAlign w:val="subscript"/>
          <w:lang w:val="en-NZ" w:eastAsia="en-AU"/>
        </w:rPr>
        <w:t>max</w:t>
      </w:r>
      <w:r w:rsidRPr="0037346A">
        <w:rPr>
          <w:rFonts w:eastAsia="Times New Roman" w:cstheme="minorHAnsi"/>
          <w:lang w:val="en-NZ" w:eastAsia="en-AU"/>
        </w:rPr>
        <w:t>) of approximately 130 ng/mL after dosing at 80 mg/m². The absolute bioavailability is about 40% and simultaneous intake of a low fat standard meal does not modify the area-under the concentration-time curve (AUC). The effect of a high fat meal on absorption has not been studied.</w:t>
      </w:r>
    </w:p>
    <w:p w14:paraId="11D4D754" w14:textId="77777777" w:rsidR="005F6105" w:rsidRPr="0037346A" w:rsidRDefault="005F6105" w:rsidP="005F6105">
      <w:pPr>
        <w:spacing w:before="100" w:beforeAutospacing="1" w:after="100" w:afterAutospacing="1" w:line="240" w:lineRule="auto"/>
        <w:rPr>
          <w:rFonts w:eastAsia="Times New Roman" w:cstheme="minorHAnsi"/>
          <w:lang w:val="en-NZ" w:eastAsia="en-AU"/>
        </w:rPr>
      </w:pPr>
      <w:r w:rsidRPr="0037346A">
        <w:rPr>
          <w:rFonts w:eastAsia="Times New Roman" w:cstheme="minorHAnsi"/>
          <w:lang w:val="en-NZ" w:eastAsia="en-AU"/>
        </w:rPr>
        <w:t>NAVELBINE</w:t>
      </w:r>
      <w:r w:rsidRPr="0037346A">
        <w:rPr>
          <w:rFonts w:eastAsia="Times New Roman" w:cstheme="minorHAnsi"/>
          <w:vertAlign w:val="superscript"/>
          <w:lang w:val="en-NZ" w:eastAsia="en-AU"/>
        </w:rPr>
        <w:t>®</w:t>
      </w:r>
      <w:r w:rsidRPr="0037346A">
        <w:rPr>
          <w:rFonts w:eastAsia="Times New Roman" w:cstheme="minorHAnsi"/>
          <w:lang w:val="en-NZ" w:eastAsia="en-AU"/>
        </w:rPr>
        <w:t xml:space="preserve"> Oral 60 and 80 mg/m² leads to a comparable AUC to that obtained from 25 and 30 mg/m² of the IV formulation respectively. Interindividual variability of the AUC is similar after administration by both the IV and oral routes. There is a proportional increase between the AUC and dose. The mean pharmacokinetic parameters were evaluated in blood. After intravenous administration, the terminal half-life averaged 38 hours. Blood clearance was high, approached liver blood flow and averaged 0.72 L/hr/kg (range: 0.32 - 1.26 L/hr/kg), while steady state volume of distribution was large, averaged 21.2 L/kg (range: 7.5 - 39.7 L/kg), and indicated extensive tissue distribution.</w:t>
      </w:r>
    </w:p>
    <w:p w14:paraId="2D555F26" w14:textId="77777777" w:rsidR="005F6105" w:rsidRPr="0037346A" w:rsidRDefault="005F6105" w:rsidP="005F6105">
      <w:pPr>
        <w:spacing w:before="100" w:beforeAutospacing="1" w:after="100" w:afterAutospacing="1" w:line="240" w:lineRule="auto"/>
        <w:rPr>
          <w:rFonts w:eastAsia="Times New Roman" w:cstheme="minorHAnsi"/>
          <w:lang w:val="en-NZ" w:eastAsia="en-AU"/>
        </w:rPr>
      </w:pPr>
      <w:r w:rsidRPr="0037346A">
        <w:rPr>
          <w:rFonts w:eastAsia="Times New Roman" w:cstheme="minorHAnsi"/>
          <w:lang w:val="en-NZ" w:eastAsia="en-AU"/>
        </w:rPr>
        <w:t>Vinorelbine binds extensively to blood cells and especially platelets (70-80%), but less extansively (about 15%) to plasma proteins. There is a significant uptake of NAVELBINE</w:t>
      </w:r>
      <w:r w:rsidRPr="0037346A">
        <w:rPr>
          <w:rFonts w:eastAsia="Times New Roman" w:cstheme="minorHAnsi"/>
          <w:vertAlign w:val="superscript"/>
          <w:lang w:val="en-NZ" w:eastAsia="en-AU"/>
        </w:rPr>
        <w:t>®</w:t>
      </w:r>
      <w:r w:rsidRPr="0037346A">
        <w:rPr>
          <w:rFonts w:eastAsia="Times New Roman" w:cstheme="minorHAnsi"/>
          <w:lang w:val="en-NZ" w:eastAsia="en-AU"/>
        </w:rPr>
        <w:t xml:space="preserve"> in lungs, as assessed by pulmonary surgical biopsies showing up to a 300 fold greater concentration than in serum. NAVELBINE</w:t>
      </w:r>
      <w:r w:rsidRPr="0037346A">
        <w:rPr>
          <w:rFonts w:eastAsia="Times New Roman" w:cstheme="minorHAnsi"/>
          <w:vertAlign w:val="superscript"/>
          <w:lang w:val="en-NZ" w:eastAsia="en-AU"/>
        </w:rPr>
        <w:t>®</w:t>
      </w:r>
      <w:r w:rsidRPr="0037346A">
        <w:rPr>
          <w:rFonts w:eastAsia="Times New Roman" w:cstheme="minorHAnsi"/>
          <w:lang w:val="en-NZ" w:eastAsia="en-AU"/>
        </w:rPr>
        <w:t xml:space="preserve"> has not been detected in the central nervous system.</w:t>
      </w:r>
    </w:p>
    <w:p w14:paraId="3F300008" w14:textId="77777777" w:rsidR="005F6105" w:rsidRPr="0037346A" w:rsidRDefault="005F6105" w:rsidP="005F6105">
      <w:pPr>
        <w:spacing w:before="100" w:beforeAutospacing="1" w:after="100" w:afterAutospacing="1" w:line="240" w:lineRule="auto"/>
        <w:rPr>
          <w:rFonts w:eastAsia="Times New Roman" w:cstheme="minorHAnsi"/>
          <w:lang w:val="en-NZ" w:eastAsia="en-AU"/>
        </w:rPr>
      </w:pPr>
      <w:r w:rsidRPr="0037346A">
        <w:rPr>
          <w:rFonts w:eastAsia="Times New Roman" w:cstheme="minorHAnsi"/>
          <w:lang w:val="en-NZ" w:eastAsia="en-AU"/>
        </w:rPr>
        <w:t>NAVELBINE</w:t>
      </w:r>
      <w:r w:rsidRPr="0037346A">
        <w:rPr>
          <w:rFonts w:eastAsia="Times New Roman" w:cstheme="minorHAnsi"/>
          <w:vertAlign w:val="superscript"/>
          <w:lang w:val="en-NZ" w:eastAsia="en-AU"/>
        </w:rPr>
        <w:t>®</w:t>
      </w:r>
      <w:r w:rsidRPr="0037346A">
        <w:rPr>
          <w:rFonts w:eastAsia="Times New Roman" w:cstheme="minorHAnsi"/>
          <w:lang w:val="en-NZ" w:eastAsia="en-AU"/>
        </w:rPr>
        <w:t xml:space="preserve"> is mostly metabolised by the CYP 3A4 isoform of the cytochrome P450. All the metabolites have been identified, and none are active except 4-O-deacetylvinorelbine, which is the main metabolite in blood. No sulfo or glucurono conjugates are observed. Renal elimination is low (&lt;20% of the dose) and consists mostly of the parent compound. Biliary excretion is the predominant elimination route of both metabolites and unchanged NAVELBINE</w:t>
      </w:r>
      <w:r w:rsidRPr="0037346A">
        <w:rPr>
          <w:rFonts w:eastAsia="Times New Roman" w:cstheme="minorHAnsi"/>
          <w:vertAlign w:val="superscript"/>
          <w:lang w:val="en-NZ" w:eastAsia="en-AU"/>
        </w:rPr>
        <w:t>®</w:t>
      </w:r>
      <w:r w:rsidRPr="0037346A">
        <w:rPr>
          <w:rFonts w:eastAsia="Times New Roman" w:cstheme="minorHAnsi"/>
          <w:lang w:val="en-NZ" w:eastAsia="en-AU"/>
        </w:rPr>
        <w:t>, which is the main recovered compound. The effect of renal dysfunction on NAVELBINE</w:t>
      </w:r>
      <w:r w:rsidRPr="0037346A">
        <w:rPr>
          <w:rFonts w:eastAsia="Times New Roman" w:cstheme="minorHAnsi"/>
          <w:vertAlign w:val="superscript"/>
          <w:lang w:val="en-NZ" w:eastAsia="en-AU"/>
        </w:rPr>
        <w:t>®</w:t>
      </w:r>
      <w:r w:rsidRPr="0037346A">
        <w:rPr>
          <w:rFonts w:eastAsia="Times New Roman" w:cstheme="minorHAnsi"/>
          <w:lang w:val="en-NZ" w:eastAsia="en-AU"/>
        </w:rPr>
        <w:t xml:space="preserve"> disposition has not been assessed, however dose reduction in the presence of renal insufficiency is not indicated with NAVELBINE</w:t>
      </w:r>
      <w:r w:rsidRPr="0037346A">
        <w:rPr>
          <w:rFonts w:eastAsia="Times New Roman" w:cstheme="minorHAnsi"/>
          <w:vertAlign w:val="superscript"/>
          <w:lang w:val="en-NZ" w:eastAsia="en-AU"/>
        </w:rPr>
        <w:t>®</w:t>
      </w:r>
      <w:r w:rsidRPr="0037346A">
        <w:rPr>
          <w:rFonts w:eastAsia="Times New Roman" w:cstheme="minorHAnsi"/>
          <w:lang w:val="en-NZ" w:eastAsia="en-AU"/>
        </w:rPr>
        <w:t xml:space="preserve"> due to its low renal elimination.</w:t>
      </w:r>
    </w:p>
    <w:p w14:paraId="2F7E1AD5" w14:textId="77777777" w:rsidR="005F6105" w:rsidRPr="0037346A" w:rsidRDefault="005F6105" w:rsidP="005F6105">
      <w:pPr>
        <w:spacing w:before="100" w:beforeAutospacing="1" w:after="100" w:afterAutospacing="1" w:line="240" w:lineRule="auto"/>
        <w:rPr>
          <w:rFonts w:eastAsia="Times New Roman" w:cstheme="minorHAnsi"/>
          <w:lang w:val="en-NZ" w:eastAsia="en-AU"/>
        </w:rPr>
      </w:pPr>
      <w:r w:rsidRPr="0037346A">
        <w:rPr>
          <w:rFonts w:eastAsia="Times New Roman" w:cstheme="minorHAnsi"/>
          <w:lang w:val="en-NZ" w:eastAsia="en-AU"/>
        </w:rPr>
        <w:t>Vinorelbine is cleared from the circulation primarily by the liver, and therefore elevated blood concentrations may be expected in patients with hepatic impairment. In a Phase I pharmacokinetic study, 6 subjects with severe hepatic impairment were treated with 20 mg/m² intravenously. Plasma concentrations were elevated compared to historical data from patients with normal hepatic function. Vinorelbine is contraindicated in patients with severe hepatic insufficiency. There is limited experience in patients with mild or moderate hepatic impairment, however available data suggests that dose modification is not required. Haematological toxicity should be closely monitored.</w:t>
      </w:r>
    </w:p>
    <w:p w14:paraId="13D834C0" w14:textId="77777777" w:rsidR="005F6105" w:rsidRPr="0037346A" w:rsidRDefault="005F6105" w:rsidP="005F6105">
      <w:pPr>
        <w:spacing w:before="100" w:beforeAutospacing="1" w:after="100" w:afterAutospacing="1" w:line="240" w:lineRule="auto"/>
        <w:rPr>
          <w:rFonts w:eastAsia="Times New Roman" w:cstheme="minorHAnsi"/>
          <w:lang w:val="en-NZ" w:eastAsia="en-AU"/>
        </w:rPr>
      </w:pPr>
      <w:r w:rsidRPr="0037346A">
        <w:rPr>
          <w:rFonts w:eastAsia="Times New Roman" w:cstheme="minorHAnsi"/>
          <w:lang w:val="en-NZ" w:eastAsia="en-AU"/>
        </w:rPr>
        <w:lastRenderedPageBreak/>
        <w:t>A strong relationship was demonstrated between AUC and leucocyte or PMN decreases.</w:t>
      </w:r>
    </w:p>
    <w:p w14:paraId="686C5548" w14:textId="77777777" w:rsidR="005F6105" w:rsidRPr="0037346A" w:rsidRDefault="005F6105" w:rsidP="005F6105">
      <w:pPr>
        <w:pBdr>
          <w:top w:val="single" w:sz="6" w:space="6" w:color="362B7C"/>
          <w:bottom w:val="single" w:sz="6" w:space="6" w:color="362B7C"/>
        </w:pBdr>
        <w:spacing w:before="100" w:beforeAutospacing="1" w:after="120" w:line="240" w:lineRule="auto"/>
        <w:outlineLvl w:val="3"/>
        <w:rPr>
          <w:rFonts w:eastAsia="Times New Roman" w:cstheme="minorHAnsi"/>
          <w:b/>
          <w:bCs/>
          <w:lang w:val="en-NZ" w:eastAsia="en-AU"/>
        </w:rPr>
      </w:pPr>
      <w:r w:rsidRPr="0037346A">
        <w:rPr>
          <w:rFonts w:eastAsia="Times New Roman" w:cstheme="minorHAnsi"/>
          <w:b/>
          <w:bCs/>
          <w:lang w:val="en-NZ" w:eastAsia="en-AU"/>
        </w:rPr>
        <w:t>Clinical Trials:</w:t>
      </w:r>
    </w:p>
    <w:p w14:paraId="1F109974" w14:textId="77777777" w:rsidR="005F6105" w:rsidRPr="0037346A" w:rsidRDefault="005F6105" w:rsidP="005F6105">
      <w:pPr>
        <w:spacing w:before="100" w:beforeAutospacing="1" w:after="100" w:afterAutospacing="1" w:line="240" w:lineRule="auto"/>
        <w:outlineLvl w:val="4"/>
        <w:rPr>
          <w:rFonts w:eastAsia="Times New Roman" w:cstheme="minorHAnsi"/>
          <w:b/>
          <w:bCs/>
          <w:lang w:val="en-NZ" w:eastAsia="en-AU"/>
        </w:rPr>
      </w:pPr>
      <w:r w:rsidRPr="0037346A">
        <w:rPr>
          <w:rFonts w:eastAsia="Times New Roman" w:cstheme="minorHAnsi"/>
          <w:b/>
          <w:bCs/>
          <w:lang w:val="en-NZ" w:eastAsia="en-AU"/>
        </w:rPr>
        <w:t>NAVELBINE</w:t>
      </w:r>
      <w:r w:rsidRPr="0037346A">
        <w:rPr>
          <w:rFonts w:eastAsia="Times New Roman" w:cstheme="minorHAnsi"/>
          <w:b/>
          <w:bCs/>
          <w:vertAlign w:val="superscript"/>
          <w:lang w:val="en-NZ" w:eastAsia="en-AU"/>
        </w:rPr>
        <w:t>®</w:t>
      </w:r>
      <w:r w:rsidRPr="0037346A">
        <w:rPr>
          <w:rFonts w:eastAsia="Times New Roman" w:cstheme="minorHAnsi"/>
          <w:b/>
          <w:bCs/>
          <w:lang w:val="en-NZ" w:eastAsia="en-AU"/>
        </w:rPr>
        <w:t xml:space="preserve"> IV:</w:t>
      </w:r>
    </w:p>
    <w:p w14:paraId="5ADBB900" w14:textId="77777777" w:rsidR="005F6105" w:rsidRPr="0037346A" w:rsidRDefault="005F6105" w:rsidP="005F6105">
      <w:pPr>
        <w:spacing w:before="100" w:beforeAutospacing="1" w:after="100" w:afterAutospacing="1" w:line="240" w:lineRule="auto"/>
        <w:rPr>
          <w:rFonts w:eastAsia="Times New Roman" w:cstheme="minorHAnsi"/>
          <w:lang w:val="en-NZ" w:eastAsia="en-AU"/>
        </w:rPr>
      </w:pPr>
      <w:r w:rsidRPr="005F6105">
        <w:rPr>
          <w:rFonts w:eastAsia="Times New Roman" w:cstheme="minorHAnsi"/>
          <w:b/>
          <w:bCs/>
          <w:lang w:val="en-NZ" w:eastAsia="en-AU"/>
        </w:rPr>
        <w:t>Advanced breast cancer</w:t>
      </w:r>
    </w:p>
    <w:p w14:paraId="3A55283E" w14:textId="77777777" w:rsidR="005F6105" w:rsidRPr="0037346A" w:rsidRDefault="005F6105" w:rsidP="005F6105">
      <w:pPr>
        <w:spacing w:before="100" w:beforeAutospacing="1" w:after="100" w:afterAutospacing="1" w:line="240" w:lineRule="auto"/>
        <w:rPr>
          <w:rFonts w:eastAsia="Times New Roman" w:cstheme="minorHAnsi"/>
          <w:lang w:val="en-NZ" w:eastAsia="en-AU"/>
        </w:rPr>
      </w:pPr>
      <w:r w:rsidRPr="005F6105">
        <w:rPr>
          <w:rFonts w:eastAsia="Times New Roman" w:cstheme="minorHAnsi"/>
          <w:b/>
          <w:bCs/>
          <w:lang w:val="en-NZ" w:eastAsia="en-AU"/>
        </w:rPr>
        <w:t>Non-small cell lung cancer</w:t>
      </w:r>
      <w:r w:rsidRPr="0037346A">
        <w:rPr>
          <w:rFonts w:eastAsia="Times New Roman" w:cstheme="minorHAnsi"/>
          <w:b/>
          <w:bCs/>
          <w:lang w:val="en-NZ" w:eastAsia="en-AU"/>
        </w:rPr>
        <w:br/>
      </w:r>
      <w:r w:rsidRPr="0037346A">
        <w:rPr>
          <w:rFonts w:eastAsia="Times New Roman" w:cstheme="minorHAnsi"/>
          <w:lang w:val="en-NZ" w:eastAsia="en-AU"/>
        </w:rPr>
        <w:t>The activity of vinorelbine was investigated in a series of phase II trials. The overall response rate to vinorelbine single agent in NSCLC patients ranged from 8% to 33% in previously untreated patients. In the two major phase II trials with more than 60 evaluable patients, the overall response rate was over 30% in chemotherapy-naive patients. The high activity of vinorelbine as single agent in non-small cell lung cancer which was observed in non-controlled phase II studies has also been confirmed in three randomised phase III trials. In one prospective randomised study with 216 stage IV patients, vinorelbine was compared to 5-fluorouracil with leucovorin (considered equivalent to best supportive care for the purposes of the study). The median survival time of patients who received vinorelbine was 30 weeks compared to 22 weeks for those on the 5-fluorouracil/leucovorin arm (log-rank p=0.03). The response rates were 12% for the vinorelbine arm and 3% for the fluorouracil/leucovorin arm.</w:t>
      </w:r>
    </w:p>
    <w:p w14:paraId="6FF593EF" w14:textId="77777777" w:rsidR="005F6105" w:rsidRPr="0037346A" w:rsidRDefault="005F6105" w:rsidP="005F6105">
      <w:pPr>
        <w:spacing w:before="100" w:beforeAutospacing="1" w:after="100" w:afterAutospacing="1" w:line="240" w:lineRule="auto"/>
        <w:rPr>
          <w:rFonts w:eastAsia="Times New Roman" w:cstheme="minorHAnsi"/>
          <w:lang w:val="en-NZ" w:eastAsia="en-AU"/>
        </w:rPr>
      </w:pPr>
      <w:r w:rsidRPr="0037346A">
        <w:rPr>
          <w:rFonts w:eastAsia="Times New Roman" w:cstheme="minorHAnsi"/>
          <w:lang w:val="en-NZ" w:eastAsia="en-AU"/>
        </w:rPr>
        <w:t>The activity of vinorelbine in combination with cisplatin has been investigated in two randomised phase III trials in a total of 782 patients. In a two arm trial, vinorelbine was compared to vinorelbine with cisplatin. The overall response rate to vinorelbine as single agent was 16% while that of the combination vinorelbine/cisplatin was 43%. The median survival time for patients receiving vinorelbine as single agent was similar to that observed with vinorelbine and cisplatin.</w:t>
      </w:r>
    </w:p>
    <w:p w14:paraId="3B39279E" w14:textId="77777777" w:rsidR="005F6105" w:rsidRDefault="005F6105" w:rsidP="005F6105">
      <w:pPr>
        <w:spacing w:before="100" w:beforeAutospacing="1" w:after="100" w:afterAutospacing="1" w:line="240" w:lineRule="auto"/>
        <w:rPr>
          <w:rFonts w:eastAsia="Times New Roman" w:cstheme="minorHAnsi"/>
          <w:lang w:val="en-NZ" w:eastAsia="en-AU"/>
        </w:rPr>
      </w:pPr>
      <w:r w:rsidRPr="0037346A">
        <w:rPr>
          <w:rFonts w:eastAsia="Times New Roman" w:cstheme="minorHAnsi"/>
          <w:lang w:val="en-NZ" w:eastAsia="en-AU"/>
        </w:rPr>
        <w:t>In a large European clinical trial, 612 patients with Stage III or IV non-small cell lung cancer, no prior chemotherapy and WHO performance Status of 0, 1 or 2 were randomised to treatment with single-agent vinorelbine (30 mg/m²/week), vinorelbine (30 mg/m²/week) cisplatin (120 mg/m² days 1 and 29 then every 6 weeks), and vindesine (3 mg/m²/week for 7 weeks, then every second week) plus cisplatin (120 mg/m² days 1 and 29 then every 6 weeks). Vinorelbine plus cisplatin produced longer survival times than vindesine plus cisplatin (median survival 40 weeks vs 32 weeks, p=0.03). The median survival time for patients receiving single-agent vinorelbine was similar to that observed with vindesine plus cisplatin (31 weeks vs 32 weeks). The 1-year survival rates were 36% for vinorelbine plus cisplatin, 27% for vindesine plus cisplatin, and 30% for single-agent vinorelbine. The overall objective response rate (all partial responses) was significantly higher in patients treated with vinorelbine plus cisplatin (28%) than in those treated with vindesine plus cisplatin (19%, p=0.03) and in those treated with single-agent vinorelbine (14%, p&lt;0.001). The response rates reported for vindesine plus cisplatin and single-agent vinorelbine were not significantly different. Significantly, less nausea, vomiting, alopecia, and neurotoxicity were observed in patients receiving single-agent vinorelbine compared to those receiving the combination of vindesine and cisplatin.</w:t>
      </w:r>
    </w:p>
    <w:p w14:paraId="1AB1B28A" w14:textId="77777777" w:rsidR="005F6105" w:rsidRDefault="005F6105" w:rsidP="005F6105">
      <w:pPr>
        <w:spacing w:before="100" w:beforeAutospacing="1" w:after="100" w:afterAutospacing="1" w:line="240" w:lineRule="auto"/>
        <w:rPr>
          <w:rFonts w:eastAsia="Times New Roman" w:cstheme="minorHAnsi"/>
          <w:lang w:val="en-NZ" w:eastAsia="en-AU"/>
        </w:rPr>
      </w:pPr>
    </w:p>
    <w:p w14:paraId="2E1B1F51" w14:textId="77777777" w:rsidR="005F6105" w:rsidRPr="0037346A" w:rsidRDefault="005F6105" w:rsidP="005F6105">
      <w:pPr>
        <w:spacing w:before="100" w:beforeAutospacing="1" w:after="100" w:afterAutospacing="1" w:line="240" w:lineRule="auto"/>
        <w:rPr>
          <w:rFonts w:eastAsia="Times New Roman" w:cstheme="minorHAnsi"/>
          <w:lang w:val="en-NZ" w:eastAsia="en-AU"/>
        </w:rPr>
      </w:pPr>
    </w:p>
    <w:p w14:paraId="618D2F54" w14:textId="77777777" w:rsidR="005F6105" w:rsidRPr="0037346A" w:rsidRDefault="005F6105" w:rsidP="005F6105">
      <w:pPr>
        <w:spacing w:before="100" w:beforeAutospacing="1" w:after="100" w:afterAutospacing="1" w:line="240" w:lineRule="auto"/>
        <w:outlineLvl w:val="4"/>
        <w:rPr>
          <w:rFonts w:eastAsia="Times New Roman" w:cstheme="minorHAnsi"/>
          <w:b/>
          <w:bCs/>
          <w:lang w:val="en-NZ" w:eastAsia="en-AU"/>
        </w:rPr>
      </w:pPr>
      <w:r w:rsidRPr="0037346A">
        <w:rPr>
          <w:rFonts w:eastAsia="Times New Roman" w:cstheme="minorHAnsi"/>
          <w:b/>
          <w:bCs/>
          <w:lang w:val="en-NZ" w:eastAsia="en-AU"/>
        </w:rPr>
        <w:t>NAVELBINE</w:t>
      </w:r>
      <w:r w:rsidRPr="0037346A">
        <w:rPr>
          <w:rFonts w:eastAsia="Times New Roman" w:cstheme="minorHAnsi"/>
          <w:b/>
          <w:bCs/>
          <w:vertAlign w:val="superscript"/>
          <w:lang w:val="en-NZ" w:eastAsia="en-AU"/>
        </w:rPr>
        <w:t>®</w:t>
      </w:r>
      <w:r w:rsidRPr="0037346A">
        <w:rPr>
          <w:rFonts w:eastAsia="Times New Roman" w:cstheme="minorHAnsi"/>
          <w:b/>
          <w:bCs/>
          <w:lang w:val="en-NZ" w:eastAsia="en-AU"/>
        </w:rPr>
        <w:t xml:space="preserve"> Oral</w:t>
      </w:r>
    </w:p>
    <w:p w14:paraId="005D9F9B" w14:textId="77777777" w:rsidR="005F6105" w:rsidRPr="0037346A" w:rsidRDefault="005F6105" w:rsidP="005F6105">
      <w:pPr>
        <w:spacing w:before="100" w:beforeAutospacing="1" w:after="100" w:afterAutospacing="1" w:line="240" w:lineRule="auto"/>
        <w:rPr>
          <w:rFonts w:eastAsia="Times New Roman" w:cstheme="minorHAnsi"/>
          <w:lang w:val="en-NZ" w:eastAsia="en-AU"/>
        </w:rPr>
      </w:pPr>
      <w:r w:rsidRPr="0037346A">
        <w:rPr>
          <w:rFonts w:eastAsia="Times New Roman" w:cstheme="minorHAnsi"/>
          <w:lang w:val="en-NZ" w:eastAsia="en-AU"/>
        </w:rPr>
        <w:t xml:space="preserve">Oral vinorelbine has been developed as a line extension of the IV dosage form. Hence the primary objective of the clinical program was to demonstrate bioequivalence between the oral and intravenous </w:t>
      </w:r>
      <w:r w:rsidRPr="0037346A">
        <w:rPr>
          <w:rFonts w:eastAsia="Times New Roman" w:cstheme="minorHAnsi"/>
          <w:lang w:val="en-NZ" w:eastAsia="en-AU"/>
        </w:rPr>
        <w:lastRenderedPageBreak/>
        <w:t>formulations on the basis of pharmacokinetic studies. An oral dose of 80 mg/m² was demonstrated to correspond to 30 mg/m² of the IV formulation and 60 mg/m² orally to 25 mg/m² given by the IV route.</w:t>
      </w:r>
    </w:p>
    <w:p w14:paraId="22C0BAFA" w14:textId="77777777" w:rsidR="005F6105" w:rsidRPr="0037346A" w:rsidRDefault="005F6105" w:rsidP="005F6105">
      <w:pPr>
        <w:spacing w:before="100" w:beforeAutospacing="1" w:after="100" w:afterAutospacing="1" w:line="240" w:lineRule="auto"/>
        <w:rPr>
          <w:rFonts w:eastAsia="Times New Roman" w:cstheme="minorHAnsi"/>
          <w:lang w:val="en-NZ" w:eastAsia="en-AU"/>
        </w:rPr>
      </w:pPr>
      <w:r w:rsidRPr="0037346A">
        <w:rPr>
          <w:rFonts w:eastAsia="Times New Roman" w:cstheme="minorHAnsi"/>
          <w:lang w:val="en-NZ" w:eastAsia="en-AU"/>
        </w:rPr>
        <w:t>Subsequent phase II studies, were conducted to examine the efficacy and tolerance of oral vinorelbine</w:t>
      </w:r>
    </w:p>
    <w:p w14:paraId="56D1CF1A" w14:textId="77777777" w:rsidR="005F6105" w:rsidRPr="0037346A" w:rsidRDefault="005F6105" w:rsidP="005F6105">
      <w:pPr>
        <w:spacing w:before="100" w:beforeAutospacing="1" w:after="100" w:afterAutospacing="1" w:line="240" w:lineRule="auto"/>
        <w:rPr>
          <w:rFonts w:eastAsia="Times New Roman" w:cstheme="minorHAnsi"/>
          <w:lang w:val="en-NZ" w:eastAsia="en-AU"/>
        </w:rPr>
      </w:pPr>
      <w:r w:rsidRPr="005F6105">
        <w:rPr>
          <w:rFonts w:eastAsia="Times New Roman" w:cstheme="minorHAnsi"/>
          <w:b/>
          <w:bCs/>
          <w:lang w:val="en-NZ" w:eastAsia="en-AU"/>
        </w:rPr>
        <w:t>Non-small cell lung cancer</w:t>
      </w:r>
      <w:r w:rsidRPr="0037346A">
        <w:rPr>
          <w:rFonts w:eastAsia="Times New Roman" w:cstheme="minorHAnsi"/>
          <w:b/>
          <w:bCs/>
          <w:lang w:val="en-NZ" w:eastAsia="en-AU"/>
        </w:rPr>
        <w:br/>
      </w:r>
      <w:r w:rsidRPr="0037346A">
        <w:rPr>
          <w:rFonts w:eastAsia="Times New Roman" w:cstheme="minorHAnsi"/>
          <w:lang w:val="en-NZ" w:eastAsia="en-AU"/>
        </w:rPr>
        <w:t>One randomised Phase II study with the recommended oral dose regimen was conducted, comparing oral and IV vinorelbine in patients with advanced or metastatic NSCLC who had not been previously treated with cytotoxic chemotherapy. Results are summarised in thefollowing table:</w:t>
      </w:r>
    </w:p>
    <w:tbl>
      <w:tblPr>
        <w:tblW w:w="0" w:type="auto"/>
        <w:tblCellSpacing w:w="0" w:type="dxa"/>
        <w:tblBorders>
          <w:top w:val="outset" w:sz="12" w:space="0" w:color="auto"/>
          <w:left w:val="outset" w:sz="12" w:space="0" w:color="auto"/>
          <w:bottom w:val="outset" w:sz="12" w:space="0" w:color="auto"/>
          <w:right w:val="outset" w:sz="12" w:space="0" w:color="auto"/>
        </w:tblBorders>
        <w:tblCellMar>
          <w:top w:w="45" w:type="dxa"/>
          <w:left w:w="45" w:type="dxa"/>
          <w:bottom w:w="45" w:type="dxa"/>
          <w:right w:w="45" w:type="dxa"/>
        </w:tblCellMar>
        <w:tblLook w:val="04A0" w:firstRow="1" w:lastRow="0" w:firstColumn="1" w:lastColumn="0" w:noHBand="0" w:noVBand="1"/>
      </w:tblPr>
      <w:tblGrid>
        <w:gridCol w:w="3460"/>
        <w:gridCol w:w="1598"/>
        <w:gridCol w:w="1397"/>
      </w:tblGrid>
      <w:tr w:rsidR="005F6105" w:rsidRPr="0037346A" w14:paraId="2CC0ED5F" w14:textId="77777777" w:rsidTr="0040516E">
        <w:trPr>
          <w:tblHeade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A030F35" w14:textId="77777777" w:rsidR="005F6105" w:rsidRPr="0037346A" w:rsidRDefault="005F6105" w:rsidP="0040516E">
            <w:pPr>
              <w:spacing w:after="0" w:line="240" w:lineRule="auto"/>
              <w:jc w:val="center"/>
              <w:rPr>
                <w:rFonts w:eastAsia="Times New Roman" w:cstheme="minorHAnsi"/>
                <w:b/>
                <w:bCs/>
                <w:color w:val="000000"/>
                <w:lang w:eastAsia="en-AU"/>
              </w:rPr>
            </w:pPr>
            <w:r w:rsidRPr="0037346A">
              <w:rPr>
                <w:rFonts w:eastAsia="Times New Roman" w:cstheme="minorHAnsi"/>
                <w:b/>
                <w:bCs/>
                <w:color w:val="000000"/>
                <w:lang w:eastAsia="en-A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26B3A45" w14:textId="77777777" w:rsidR="005F6105" w:rsidRPr="0037346A" w:rsidRDefault="005F6105" w:rsidP="0040516E">
            <w:pPr>
              <w:spacing w:after="0" w:line="240" w:lineRule="auto"/>
              <w:jc w:val="center"/>
              <w:rPr>
                <w:rFonts w:eastAsia="Times New Roman" w:cstheme="minorHAnsi"/>
                <w:b/>
                <w:bCs/>
                <w:color w:val="000000"/>
                <w:lang w:eastAsia="en-AU"/>
              </w:rPr>
            </w:pPr>
            <w:r w:rsidRPr="0037346A">
              <w:rPr>
                <w:rFonts w:eastAsia="Times New Roman" w:cstheme="minorHAnsi"/>
                <w:b/>
                <w:bCs/>
                <w:color w:val="000000"/>
                <w:lang w:eastAsia="en-AU"/>
              </w:rPr>
              <w:t>Oral vinorelbine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6A756FD" w14:textId="77777777" w:rsidR="005F6105" w:rsidRPr="0037346A" w:rsidRDefault="005F6105" w:rsidP="0040516E">
            <w:pPr>
              <w:spacing w:after="0" w:line="240" w:lineRule="auto"/>
              <w:jc w:val="center"/>
              <w:rPr>
                <w:rFonts w:eastAsia="Times New Roman" w:cstheme="minorHAnsi"/>
                <w:b/>
                <w:bCs/>
                <w:color w:val="000000"/>
                <w:lang w:eastAsia="en-AU"/>
              </w:rPr>
            </w:pPr>
            <w:r w:rsidRPr="0037346A">
              <w:rPr>
                <w:rFonts w:eastAsia="Times New Roman" w:cstheme="minorHAnsi"/>
                <w:b/>
                <w:bCs/>
                <w:color w:val="000000"/>
                <w:lang w:eastAsia="en-AU"/>
              </w:rPr>
              <w:t>IV vinorelbine</w:t>
            </w:r>
          </w:p>
        </w:tc>
      </w:tr>
      <w:tr w:rsidR="005F6105" w:rsidRPr="0037346A" w14:paraId="5EB63677" w14:textId="77777777" w:rsidTr="0040516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05F179A" w14:textId="77777777" w:rsidR="005F6105" w:rsidRPr="0037346A" w:rsidRDefault="005F6105" w:rsidP="0040516E">
            <w:pPr>
              <w:spacing w:after="0" w:line="240" w:lineRule="auto"/>
              <w:rPr>
                <w:rFonts w:eastAsia="Times New Roman" w:cstheme="minorHAnsi"/>
                <w:lang w:eastAsia="en-AU"/>
              </w:rPr>
            </w:pPr>
            <w:r w:rsidRPr="005F6105">
              <w:rPr>
                <w:rFonts w:eastAsia="Times New Roman" w:cstheme="minorHAnsi"/>
                <w:b/>
                <w:bCs/>
                <w:lang w:eastAsia="en-AU"/>
              </w:rPr>
              <w:t>Study I - CA 205</w:t>
            </w:r>
            <w:r w:rsidRPr="0037346A">
              <w:rPr>
                <w:rFonts w:eastAsia="Times New Roman" w:cstheme="minorHAnsi"/>
                <w:lang w:eastAsia="en-A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5B192A5D" w14:textId="77777777" w:rsidR="005F6105" w:rsidRPr="0037346A" w:rsidRDefault="005F6105" w:rsidP="0040516E">
            <w:pPr>
              <w:spacing w:after="0" w:line="240" w:lineRule="auto"/>
              <w:rPr>
                <w:rFonts w:eastAsia="Times New Roman" w:cstheme="minorHAnsi"/>
                <w:lang w:eastAsia="en-AU"/>
              </w:rPr>
            </w:pPr>
            <w:r w:rsidRPr="0037346A">
              <w:rPr>
                <w:rFonts w:eastAsia="Times New Roman" w:cstheme="minorHAnsi"/>
                <w:lang w:eastAsia="en-AU"/>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6F7B0D32" w14:textId="77777777" w:rsidR="005F6105" w:rsidRPr="0037346A" w:rsidRDefault="005F6105" w:rsidP="0040516E">
            <w:pPr>
              <w:spacing w:after="0" w:line="240" w:lineRule="auto"/>
              <w:rPr>
                <w:rFonts w:eastAsia="Times New Roman" w:cstheme="minorHAnsi"/>
                <w:lang w:eastAsia="en-AU"/>
              </w:rPr>
            </w:pPr>
            <w:r w:rsidRPr="0037346A">
              <w:rPr>
                <w:rFonts w:eastAsia="Times New Roman" w:cstheme="minorHAnsi"/>
                <w:lang w:eastAsia="en-AU"/>
              </w:rPr>
              <w:t> </w:t>
            </w:r>
          </w:p>
        </w:tc>
      </w:tr>
      <w:tr w:rsidR="005F6105" w:rsidRPr="0037346A" w14:paraId="61E08C37" w14:textId="77777777" w:rsidTr="0040516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F546473" w14:textId="77777777" w:rsidR="005F6105" w:rsidRPr="0037346A" w:rsidRDefault="005F6105" w:rsidP="0040516E">
            <w:pPr>
              <w:spacing w:after="0" w:line="240" w:lineRule="auto"/>
              <w:rPr>
                <w:rFonts w:eastAsia="Times New Roman" w:cstheme="minorHAnsi"/>
                <w:lang w:eastAsia="en-AU"/>
              </w:rPr>
            </w:pPr>
            <w:r w:rsidRPr="0037346A">
              <w:rPr>
                <w:rFonts w:eastAsia="Times New Roman" w:cstheme="minorHAnsi"/>
                <w:lang w:eastAsia="en-AU"/>
              </w:rPr>
              <w:t>No of subjects</w:t>
            </w:r>
          </w:p>
        </w:tc>
        <w:tc>
          <w:tcPr>
            <w:tcW w:w="0" w:type="auto"/>
            <w:tcBorders>
              <w:top w:val="outset" w:sz="6" w:space="0" w:color="auto"/>
              <w:left w:val="outset" w:sz="6" w:space="0" w:color="auto"/>
              <w:bottom w:val="outset" w:sz="6" w:space="0" w:color="auto"/>
              <w:right w:val="outset" w:sz="6" w:space="0" w:color="auto"/>
            </w:tcBorders>
            <w:vAlign w:val="center"/>
            <w:hideMark/>
          </w:tcPr>
          <w:p w14:paraId="339E54DD" w14:textId="77777777" w:rsidR="005F6105" w:rsidRPr="0037346A" w:rsidRDefault="005F6105" w:rsidP="0040516E">
            <w:pPr>
              <w:spacing w:after="0" w:line="240" w:lineRule="auto"/>
              <w:rPr>
                <w:rFonts w:eastAsia="Times New Roman" w:cstheme="minorHAnsi"/>
                <w:lang w:eastAsia="en-AU"/>
              </w:rPr>
            </w:pPr>
            <w:r w:rsidRPr="0037346A">
              <w:rPr>
                <w:rFonts w:eastAsia="Times New Roman" w:cstheme="minorHAnsi"/>
                <w:lang w:eastAsia="en-AU"/>
              </w:rPr>
              <w:t>77</w:t>
            </w:r>
          </w:p>
        </w:tc>
        <w:tc>
          <w:tcPr>
            <w:tcW w:w="0" w:type="auto"/>
            <w:tcBorders>
              <w:top w:val="outset" w:sz="6" w:space="0" w:color="auto"/>
              <w:left w:val="outset" w:sz="6" w:space="0" w:color="auto"/>
              <w:bottom w:val="outset" w:sz="6" w:space="0" w:color="auto"/>
              <w:right w:val="outset" w:sz="6" w:space="0" w:color="auto"/>
            </w:tcBorders>
            <w:vAlign w:val="center"/>
            <w:hideMark/>
          </w:tcPr>
          <w:p w14:paraId="5C2A67E4" w14:textId="77777777" w:rsidR="005F6105" w:rsidRPr="0037346A" w:rsidRDefault="005F6105" w:rsidP="0040516E">
            <w:pPr>
              <w:spacing w:after="0" w:line="240" w:lineRule="auto"/>
              <w:rPr>
                <w:rFonts w:eastAsia="Times New Roman" w:cstheme="minorHAnsi"/>
                <w:lang w:eastAsia="en-AU"/>
              </w:rPr>
            </w:pPr>
            <w:r w:rsidRPr="0037346A">
              <w:rPr>
                <w:rFonts w:eastAsia="Times New Roman" w:cstheme="minorHAnsi"/>
                <w:lang w:eastAsia="en-AU"/>
              </w:rPr>
              <w:t>38</w:t>
            </w:r>
          </w:p>
        </w:tc>
      </w:tr>
      <w:tr w:rsidR="005F6105" w:rsidRPr="0037346A" w14:paraId="05C38DA3" w14:textId="77777777" w:rsidTr="0040516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E6FF384" w14:textId="77777777" w:rsidR="005F6105" w:rsidRPr="0037346A" w:rsidRDefault="005F6105" w:rsidP="0040516E">
            <w:pPr>
              <w:spacing w:after="0" w:line="240" w:lineRule="auto"/>
              <w:rPr>
                <w:rFonts w:eastAsia="Times New Roman" w:cstheme="minorHAnsi"/>
                <w:lang w:eastAsia="en-AU"/>
              </w:rPr>
            </w:pPr>
            <w:r w:rsidRPr="0037346A">
              <w:rPr>
                <w:rFonts w:eastAsia="Times New Roman" w:cstheme="minorHAnsi"/>
                <w:lang w:eastAsia="en-AU"/>
              </w:rPr>
              <w:t>Response rate (ITT population)</w:t>
            </w:r>
          </w:p>
        </w:tc>
        <w:tc>
          <w:tcPr>
            <w:tcW w:w="0" w:type="auto"/>
            <w:tcBorders>
              <w:top w:val="outset" w:sz="6" w:space="0" w:color="auto"/>
              <w:left w:val="outset" w:sz="6" w:space="0" w:color="auto"/>
              <w:bottom w:val="outset" w:sz="6" w:space="0" w:color="auto"/>
              <w:right w:val="outset" w:sz="6" w:space="0" w:color="auto"/>
            </w:tcBorders>
            <w:vAlign w:val="center"/>
            <w:hideMark/>
          </w:tcPr>
          <w:p w14:paraId="27DE117B" w14:textId="77777777" w:rsidR="005F6105" w:rsidRPr="0037346A" w:rsidRDefault="005F6105" w:rsidP="0040516E">
            <w:pPr>
              <w:spacing w:after="0" w:line="240" w:lineRule="auto"/>
              <w:rPr>
                <w:rFonts w:eastAsia="Times New Roman" w:cstheme="minorHAnsi"/>
                <w:lang w:eastAsia="en-AU"/>
              </w:rPr>
            </w:pPr>
            <w:r w:rsidRPr="0037346A">
              <w:rPr>
                <w:rFonts w:eastAsia="Times New Roman" w:cstheme="minorHAnsi"/>
                <w:lang w:eastAsia="en-AU"/>
              </w:rPr>
              <w:t>11.7%</w:t>
            </w:r>
          </w:p>
        </w:tc>
        <w:tc>
          <w:tcPr>
            <w:tcW w:w="0" w:type="auto"/>
            <w:tcBorders>
              <w:top w:val="outset" w:sz="6" w:space="0" w:color="auto"/>
              <w:left w:val="outset" w:sz="6" w:space="0" w:color="auto"/>
              <w:bottom w:val="outset" w:sz="6" w:space="0" w:color="auto"/>
              <w:right w:val="outset" w:sz="6" w:space="0" w:color="auto"/>
            </w:tcBorders>
            <w:vAlign w:val="center"/>
            <w:hideMark/>
          </w:tcPr>
          <w:p w14:paraId="0D515F59" w14:textId="77777777" w:rsidR="005F6105" w:rsidRPr="0037346A" w:rsidRDefault="005F6105" w:rsidP="0040516E">
            <w:pPr>
              <w:spacing w:after="0" w:line="240" w:lineRule="auto"/>
              <w:rPr>
                <w:rFonts w:eastAsia="Times New Roman" w:cstheme="minorHAnsi"/>
                <w:lang w:eastAsia="en-AU"/>
              </w:rPr>
            </w:pPr>
            <w:r w:rsidRPr="0037346A">
              <w:rPr>
                <w:rFonts w:eastAsia="Times New Roman" w:cstheme="minorHAnsi"/>
                <w:lang w:eastAsia="en-AU"/>
              </w:rPr>
              <w:t>10.5%</w:t>
            </w:r>
          </w:p>
        </w:tc>
      </w:tr>
      <w:tr w:rsidR="005F6105" w:rsidRPr="0037346A" w14:paraId="34EACDC1" w14:textId="77777777" w:rsidTr="0040516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A1D5173" w14:textId="77777777" w:rsidR="005F6105" w:rsidRPr="0037346A" w:rsidRDefault="005F6105" w:rsidP="0040516E">
            <w:pPr>
              <w:spacing w:after="0" w:line="240" w:lineRule="auto"/>
              <w:rPr>
                <w:rFonts w:eastAsia="Times New Roman" w:cstheme="minorHAnsi"/>
                <w:lang w:eastAsia="en-AU"/>
              </w:rPr>
            </w:pPr>
            <w:r w:rsidRPr="0037346A">
              <w:rPr>
                <w:rFonts w:eastAsia="Times New Roman" w:cstheme="minorHAnsi"/>
                <w:lang w:eastAsia="en-AU"/>
              </w:rPr>
              <w:t>Response rate (Evaluable population)</w:t>
            </w:r>
          </w:p>
        </w:tc>
        <w:tc>
          <w:tcPr>
            <w:tcW w:w="0" w:type="auto"/>
            <w:tcBorders>
              <w:top w:val="outset" w:sz="6" w:space="0" w:color="auto"/>
              <w:left w:val="outset" w:sz="6" w:space="0" w:color="auto"/>
              <w:bottom w:val="outset" w:sz="6" w:space="0" w:color="auto"/>
              <w:right w:val="outset" w:sz="6" w:space="0" w:color="auto"/>
            </w:tcBorders>
            <w:vAlign w:val="center"/>
            <w:hideMark/>
          </w:tcPr>
          <w:p w14:paraId="11CA7B34" w14:textId="77777777" w:rsidR="005F6105" w:rsidRPr="0037346A" w:rsidRDefault="005F6105" w:rsidP="0040516E">
            <w:pPr>
              <w:spacing w:after="0" w:line="240" w:lineRule="auto"/>
              <w:rPr>
                <w:rFonts w:eastAsia="Times New Roman" w:cstheme="minorHAnsi"/>
                <w:lang w:eastAsia="en-AU"/>
              </w:rPr>
            </w:pPr>
            <w:r w:rsidRPr="0037346A">
              <w:rPr>
                <w:rFonts w:eastAsia="Times New Roman" w:cstheme="minorHAnsi"/>
                <w:lang w:eastAsia="en-AU"/>
              </w:rPr>
              <w:t>14.1%</w:t>
            </w:r>
          </w:p>
        </w:tc>
        <w:tc>
          <w:tcPr>
            <w:tcW w:w="0" w:type="auto"/>
            <w:tcBorders>
              <w:top w:val="outset" w:sz="6" w:space="0" w:color="auto"/>
              <w:left w:val="outset" w:sz="6" w:space="0" w:color="auto"/>
              <w:bottom w:val="outset" w:sz="6" w:space="0" w:color="auto"/>
              <w:right w:val="outset" w:sz="6" w:space="0" w:color="auto"/>
            </w:tcBorders>
            <w:vAlign w:val="center"/>
            <w:hideMark/>
          </w:tcPr>
          <w:p w14:paraId="1FE525E0" w14:textId="77777777" w:rsidR="005F6105" w:rsidRPr="0037346A" w:rsidRDefault="005F6105" w:rsidP="0040516E">
            <w:pPr>
              <w:spacing w:after="0" w:line="240" w:lineRule="auto"/>
              <w:rPr>
                <w:rFonts w:eastAsia="Times New Roman" w:cstheme="minorHAnsi"/>
                <w:lang w:eastAsia="en-AU"/>
              </w:rPr>
            </w:pPr>
            <w:r w:rsidRPr="0037346A">
              <w:rPr>
                <w:rFonts w:eastAsia="Times New Roman" w:cstheme="minorHAnsi"/>
                <w:lang w:eastAsia="en-AU"/>
              </w:rPr>
              <w:t>11.8%</w:t>
            </w:r>
          </w:p>
        </w:tc>
      </w:tr>
      <w:tr w:rsidR="005F6105" w:rsidRPr="0037346A" w14:paraId="1DC9DA63" w14:textId="77777777" w:rsidTr="0040516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EE4349D" w14:textId="77777777" w:rsidR="005F6105" w:rsidRPr="0037346A" w:rsidRDefault="005F6105" w:rsidP="0040516E">
            <w:pPr>
              <w:spacing w:after="0" w:line="240" w:lineRule="auto"/>
              <w:rPr>
                <w:rFonts w:eastAsia="Times New Roman" w:cstheme="minorHAnsi"/>
                <w:lang w:eastAsia="en-AU"/>
              </w:rPr>
            </w:pPr>
            <w:r w:rsidRPr="0037346A">
              <w:rPr>
                <w:rFonts w:eastAsia="Times New Roman" w:cstheme="minorHAnsi"/>
                <w:lang w:eastAsia="en-AU"/>
              </w:rPr>
              <w:t>Median duration of response</w:t>
            </w:r>
          </w:p>
        </w:tc>
        <w:tc>
          <w:tcPr>
            <w:tcW w:w="0" w:type="auto"/>
            <w:tcBorders>
              <w:top w:val="outset" w:sz="6" w:space="0" w:color="auto"/>
              <w:left w:val="outset" w:sz="6" w:space="0" w:color="auto"/>
              <w:bottom w:val="outset" w:sz="6" w:space="0" w:color="auto"/>
              <w:right w:val="outset" w:sz="6" w:space="0" w:color="auto"/>
            </w:tcBorders>
            <w:vAlign w:val="center"/>
            <w:hideMark/>
          </w:tcPr>
          <w:p w14:paraId="03C33A2A" w14:textId="77777777" w:rsidR="005F6105" w:rsidRPr="0037346A" w:rsidRDefault="005F6105" w:rsidP="0040516E">
            <w:pPr>
              <w:spacing w:after="0" w:line="240" w:lineRule="auto"/>
              <w:rPr>
                <w:rFonts w:eastAsia="Times New Roman" w:cstheme="minorHAnsi"/>
                <w:lang w:eastAsia="en-AU"/>
              </w:rPr>
            </w:pPr>
            <w:r w:rsidRPr="0037346A">
              <w:rPr>
                <w:rFonts w:eastAsia="Times New Roman" w:cstheme="minorHAnsi"/>
                <w:lang w:eastAsia="en-AU"/>
              </w:rPr>
              <w:t>7.7 months</w:t>
            </w:r>
          </w:p>
        </w:tc>
        <w:tc>
          <w:tcPr>
            <w:tcW w:w="0" w:type="auto"/>
            <w:tcBorders>
              <w:top w:val="outset" w:sz="6" w:space="0" w:color="auto"/>
              <w:left w:val="outset" w:sz="6" w:space="0" w:color="auto"/>
              <w:bottom w:val="outset" w:sz="6" w:space="0" w:color="auto"/>
              <w:right w:val="outset" w:sz="6" w:space="0" w:color="auto"/>
            </w:tcBorders>
            <w:vAlign w:val="center"/>
            <w:hideMark/>
          </w:tcPr>
          <w:p w14:paraId="739B098A" w14:textId="77777777" w:rsidR="005F6105" w:rsidRPr="0037346A" w:rsidRDefault="005F6105" w:rsidP="0040516E">
            <w:pPr>
              <w:spacing w:after="0" w:line="240" w:lineRule="auto"/>
              <w:rPr>
                <w:rFonts w:eastAsia="Times New Roman" w:cstheme="minorHAnsi"/>
                <w:lang w:eastAsia="en-AU"/>
              </w:rPr>
            </w:pPr>
            <w:r w:rsidRPr="0037346A">
              <w:rPr>
                <w:rFonts w:eastAsia="Times New Roman" w:cstheme="minorHAnsi"/>
                <w:lang w:eastAsia="en-AU"/>
              </w:rPr>
              <w:t>5.5 months</w:t>
            </w:r>
          </w:p>
        </w:tc>
      </w:tr>
      <w:tr w:rsidR="005F6105" w:rsidRPr="0037346A" w14:paraId="403C0C70" w14:textId="77777777" w:rsidTr="0040516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3CBC721" w14:textId="77777777" w:rsidR="005F6105" w:rsidRPr="0037346A" w:rsidRDefault="005F6105" w:rsidP="0040516E">
            <w:pPr>
              <w:spacing w:after="0" w:line="240" w:lineRule="auto"/>
              <w:rPr>
                <w:rFonts w:eastAsia="Times New Roman" w:cstheme="minorHAnsi"/>
                <w:lang w:eastAsia="en-AU"/>
              </w:rPr>
            </w:pPr>
            <w:r w:rsidRPr="0037346A">
              <w:rPr>
                <w:rFonts w:eastAsia="Times New Roman" w:cstheme="minorHAnsi"/>
                <w:lang w:eastAsia="en-AU"/>
              </w:rPr>
              <w:t>Median progression-free survival</w:t>
            </w:r>
          </w:p>
        </w:tc>
        <w:tc>
          <w:tcPr>
            <w:tcW w:w="0" w:type="auto"/>
            <w:tcBorders>
              <w:top w:val="outset" w:sz="6" w:space="0" w:color="auto"/>
              <w:left w:val="outset" w:sz="6" w:space="0" w:color="auto"/>
              <w:bottom w:val="outset" w:sz="6" w:space="0" w:color="auto"/>
              <w:right w:val="outset" w:sz="6" w:space="0" w:color="auto"/>
            </w:tcBorders>
            <w:vAlign w:val="center"/>
            <w:hideMark/>
          </w:tcPr>
          <w:p w14:paraId="1BA31B8D" w14:textId="77777777" w:rsidR="005F6105" w:rsidRPr="0037346A" w:rsidRDefault="005F6105" w:rsidP="0040516E">
            <w:pPr>
              <w:spacing w:after="0" w:line="240" w:lineRule="auto"/>
              <w:rPr>
                <w:rFonts w:eastAsia="Times New Roman" w:cstheme="minorHAnsi"/>
                <w:lang w:eastAsia="en-AU"/>
              </w:rPr>
            </w:pPr>
            <w:r w:rsidRPr="0037346A">
              <w:rPr>
                <w:rFonts w:eastAsia="Times New Roman" w:cstheme="minorHAnsi"/>
                <w:lang w:eastAsia="en-AU"/>
              </w:rPr>
              <w:t>3.3 months</w:t>
            </w:r>
          </w:p>
        </w:tc>
        <w:tc>
          <w:tcPr>
            <w:tcW w:w="0" w:type="auto"/>
            <w:tcBorders>
              <w:top w:val="outset" w:sz="6" w:space="0" w:color="auto"/>
              <w:left w:val="outset" w:sz="6" w:space="0" w:color="auto"/>
              <w:bottom w:val="outset" w:sz="6" w:space="0" w:color="auto"/>
              <w:right w:val="outset" w:sz="6" w:space="0" w:color="auto"/>
            </w:tcBorders>
            <w:vAlign w:val="center"/>
            <w:hideMark/>
          </w:tcPr>
          <w:p w14:paraId="5B64AC8A" w14:textId="77777777" w:rsidR="005F6105" w:rsidRPr="0037346A" w:rsidRDefault="005F6105" w:rsidP="0040516E">
            <w:pPr>
              <w:spacing w:after="0" w:line="240" w:lineRule="auto"/>
              <w:rPr>
                <w:rFonts w:eastAsia="Times New Roman" w:cstheme="minorHAnsi"/>
                <w:lang w:eastAsia="en-AU"/>
              </w:rPr>
            </w:pPr>
            <w:r w:rsidRPr="0037346A">
              <w:rPr>
                <w:rFonts w:eastAsia="Times New Roman" w:cstheme="minorHAnsi"/>
                <w:lang w:eastAsia="en-AU"/>
              </w:rPr>
              <w:t>2.1 months</w:t>
            </w:r>
          </w:p>
        </w:tc>
      </w:tr>
      <w:tr w:rsidR="005F6105" w:rsidRPr="0037346A" w14:paraId="778BCCAD" w14:textId="77777777" w:rsidTr="0040516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AB60A84" w14:textId="77777777" w:rsidR="005F6105" w:rsidRPr="0037346A" w:rsidRDefault="005F6105" w:rsidP="0040516E">
            <w:pPr>
              <w:spacing w:after="0" w:line="240" w:lineRule="auto"/>
              <w:rPr>
                <w:rFonts w:eastAsia="Times New Roman" w:cstheme="minorHAnsi"/>
                <w:lang w:eastAsia="en-AU"/>
              </w:rPr>
            </w:pPr>
            <w:r w:rsidRPr="0037346A">
              <w:rPr>
                <w:rFonts w:eastAsia="Times New Roman" w:cstheme="minorHAnsi"/>
                <w:lang w:eastAsia="en-AU"/>
              </w:rPr>
              <w:t>Median Survival</w:t>
            </w:r>
          </w:p>
        </w:tc>
        <w:tc>
          <w:tcPr>
            <w:tcW w:w="0" w:type="auto"/>
            <w:tcBorders>
              <w:top w:val="outset" w:sz="6" w:space="0" w:color="auto"/>
              <w:left w:val="outset" w:sz="6" w:space="0" w:color="auto"/>
              <w:bottom w:val="outset" w:sz="6" w:space="0" w:color="auto"/>
              <w:right w:val="outset" w:sz="6" w:space="0" w:color="auto"/>
            </w:tcBorders>
            <w:vAlign w:val="center"/>
            <w:hideMark/>
          </w:tcPr>
          <w:p w14:paraId="14BE3E07" w14:textId="77777777" w:rsidR="005F6105" w:rsidRPr="0037346A" w:rsidRDefault="005F6105" w:rsidP="0040516E">
            <w:pPr>
              <w:spacing w:after="0" w:line="240" w:lineRule="auto"/>
              <w:rPr>
                <w:rFonts w:eastAsia="Times New Roman" w:cstheme="minorHAnsi"/>
                <w:lang w:eastAsia="en-AU"/>
              </w:rPr>
            </w:pPr>
            <w:r w:rsidRPr="0037346A">
              <w:rPr>
                <w:rFonts w:eastAsia="Times New Roman" w:cstheme="minorHAnsi"/>
                <w:lang w:eastAsia="en-AU"/>
              </w:rPr>
              <w:t>9.4 months</w:t>
            </w:r>
          </w:p>
        </w:tc>
        <w:tc>
          <w:tcPr>
            <w:tcW w:w="0" w:type="auto"/>
            <w:tcBorders>
              <w:top w:val="outset" w:sz="6" w:space="0" w:color="auto"/>
              <w:left w:val="outset" w:sz="6" w:space="0" w:color="auto"/>
              <w:bottom w:val="outset" w:sz="6" w:space="0" w:color="auto"/>
              <w:right w:val="outset" w:sz="6" w:space="0" w:color="auto"/>
            </w:tcBorders>
            <w:vAlign w:val="center"/>
            <w:hideMark/>
          </w:tcPr>
          <w:p w14:paraId="615E3E60" w14:textId="77777777" w:rsidR="005F6105" w:rsidRPr="0037346A" w:rsidRDefault="005F6105" w:rsidP="0040516E">
            <w:pPr>
              <w:spacing w:after="0" w:line="240" w:lineRule="auto"/>
              <w:rPr>
                <w:rFonts w:eastAsia="Times New Roman" w:cstheme="minorHAnsi"/>
                <w:lang w:eastAsia="en-AU"/>
              </w:rPr>
            </w:pPr>
            <w:r w:rsidRPr="0037346A">
              <w:rPr>
                <w:rFonts w:eastAsia="Times New Roman" w:cstheme="minorHAnsi"/>
                <w:lang w:eastAsia="en-AU"/>
              </w:rPr>
              <w:t>7.9 months</w:t>
            </w:r>
          </w:p>
        </w:tc>
      </w:tr>
    </w:tbl>
    <w:p w14:paraId="493806F4" w14:textId="77777777" w:rsidR="005F6105" w:rsidRPr="0037346A" w:rsidRDefault="005F6105" w:rsidP="005F6105">
      <w:pPr>
        <w:spacing w:before="100" w:beforeAutospacing="1" w:after="100" w:afterAutospacing="1" w:line="240" w:lineRule="auto"/>
        <w:rPr>
          <w:rFonts w:eastAsia="Times New Roman" w:cstheme="minorHAnsi"/>
          <w:lang w:val="en-NZ" w:eastAsia="en-AU"/>
        </w:rPr>
      </w:pPr>
      <w:r w:rsidRPr="0037346A">
        <w:rPr>
          <w:rFonts w:eastAsia="Times New Roman" w:cstheme="minorHAnsi"/>
          <w:lang w:val="en-NZ" w:eastAsia="en-AU"/>
        </w:rPr>
        <w:t>In a multicentre, phase II study of 56 patients in combination with cisplatin 100 mg/m² (day 1 q 4 weeks), the weekly administration of vinorelbine (IV vinorelbine 25 mg/m² day 1, oral vinorelbine 60 mg/m² days 8, 15 and 22) produced a response rate of 30% for all registered patients and 33% for evaluable patients in the first line treatment of unresectable, localised or metastatic NSCLC. Median progression-free survival and survival were 5.5 and 8.9 months, respectively.</w:t>
      </w:r>
    </w:p>
    <w:p w14:paraId="056F8D18" w14:textId="77777777" w:rsidR="005F6105" w:rsidRPr="0037346A" w:rsidRDefault="005F6105" w:rsidP="005F6105">
      <w:pPr>
        <w:pBdr>
          <w:top w:val="single" w:sz="6" w:space="6" w:color="362B7C"/>
          <w:bottom w:val="single" w:sz="6" w:space="6" w:color="362B7C"/>
        </w:pBdr>
        <w:spacing w:before="100" w:beforeAutospacing="1" w:after="120" w:line="240" w:lineRule="auto"/>
        <w:outlineLvl w:val="3"/>
        <w:rPr>
          <w:rFonts w:eastAsia="Times New Roman" w:cstheme="minorHAnsi"/>
          <w:b/>
          <w:bCs/>
          <w:lang w:val="en-NZ" w:eastAsia="en-AU"/>
        </w:rPr>
      </w:pPr>
      <w:r w:rsidRPr="0037346A">
        <w:rPr>
          <w:rFonts w:eastAsia="Times New Roman" w:cstheme="minorHAnsi"/>
          <w:b/>
          <w:bCs/>
          <w:lang w:val="en-NZ" w:eastAsia="en-AU"/>
        </w:rPr>
        <w:t>Indications</w:t>
      </w:r>
    </w:p>
    <w:p w14:paraId="23848C04" w14:textId="77777777" w:rsidR="005F6105" w:rsidRPr="0037346A" w:rsidRDefault="005F6105" w:rsidP="005F6105">
      <w:pPr>
        <w:spacing w:before="100" w:beforeAutospacing="1" w:after="100" w:afterAutospacing="1" w:line="240" w:lineRule="auto"/>
        <w:rPr>
          <w:rFonts w:eastAsia="Times New Roman" w:cstheme="minorHAnsi"/>
          <w:lang w:val="en-NZ" w:eastAsia="en-AU"/>
        </w:rPr>
      </w:pPr>
      <w:r w:rsidRPr="0037346A">
        <w:rPr>
          <w:rFonts w:eastAsia="Times New Roman" w:cstheme="minorHAnsi"/>
          <w:lang w:val="en-NZ" w:eastAsia="en-AU"/>
        </w:rPr>
        <w:t>NAVELBINE® is indicated as a single agent or in combination for the treatment of non small cell lung cancer (NSCLC).</w:t>
      </w:r>
    </w:p>
    <w:p w14:paraId="2EFC3512" w14:textId="77777777" w:rsidR="005F6105" w:rsidRPr="0037346A" w:rsidRDefault="005F6105" w:rsidP="005F6105">
      <w:pPr>
        <w:pBdr>
          <w:top w:val="single" w:sz="6" w:space="6" w:color="362B7C"/>
          <w:bottom w:val="single" w:sz="6" w:space="6" w:color="362B7C"/>
        </w:pBdr>
        <w:spacing w:before="100" w:beforeAutospacing="1" w:after="120" w:line="240" w:lineRule="auto"/>
        <w:outlineLvl w:val="3"/>
        <w:rPr>
          <w:rFonts w:eastAsia="Times New Roman" w:cstheme="minorHAnsi"/>
          <w:b/>
          <w:bCs/>
          <w:lang w:val="en-NZ" w:eastAsia="en-AU"/>
        </w:rPr>
      </w:pPr>
      <w:r w:rsidRPr="0037346A">
        <w:rPr>
          <w:rFonts w:eastAsia="Times New Roman" w:cstheme="minorHAnsi"/>
          <w:b/>
          <w:bCs/>
          <w:lang w:val="en-NZ" w:eastAsia="en-AU"/>
        </w:rPr>
        <w:t>Contraindications</w:t>
      </w:r>
    </w:p>
    <w:p w14:paraId="1C8CAF2F" w14:textId="77777777" w:rsidR="005F6105" w:rsidRPr="0037346A" w:rsidRDefault="005F6105" w:rsidP="005F6105">
      <w:pPr>
        <w:spacing w:before="100" w:beforeAutospacing="1" w:after="100" w:afterAutospacing="1" w:line="240" w:lineRule="auto"/>
        <w:rPr>
          <w:rFonts w:eastAsia="Times New Roman" w:cstheme="minorHAnsi"/>
          <w:lang w:val="en-NZ" w:eastAsia="en-AU"/>
        </w:rPr>
      </w:pPr>
      <w:r w:rsidRPr="0037346A">
        <w:rPr>
          <w:rFonts w:eastAsia="Times New Roman" w:cstheme="minorHAnsi"/>
          <w:lang w:val="en-NZ" w:eastAsia="en-AU"/>
        </w:rPr>
        <w:t>Known hypersensitivity to vinorelbine or other vinca alkaloids.</w:t>
      </w:r>
    </w:p>
    <w:p w14:paraId="5C296807" w14:textId="77777777" w:rsidR="005F6105" w:rsidRPr="0037346A" w:rsidRDefault="005F6105" w:rsidP="005F6105">
      <w:pPr>
        <w:spacing w:before="100" w:beforeAutospacing="1" w:after="100" w:afterAutospacing="1" w:line="240" w:lineRule="auto"/>
        <w:rPr>
          <w:rFonts w:eastAsia="Times New Roman" w:cstheme="minorHAnsi"/>
          <w:lang w:val="en-NZ" w:eastAsia="en-AU"/>
        </w:rPr>
      </w:pPr>
      <w:r w:rsidRPr="0037346A">
        <w:rPr>
          <w:rFonts w:eastAsia="Times New Roman" w:cstheme="minorHAnsi"/>
          <w:lang w:val="en-NZ" w:eastAsia="en-AU"/>
        </w:rPr>
        <w:t>Disease significantly affecting absorption.</w:t>
      </w:r>
    </w:p>
    <w:p w14:paraId="3B88B919" w14:textId="77777777" w:rsidR="005F6105" w:rsidRPr="0037346A" w:rsidRDefault="005F6105" w:rsidP="005F6105">
      <w:pPr>
        <w:spacing w:before="100" w:beforeAutospacing="1" w:after="100" w:afterAutospacing="1" w:line="240" w:lineRule="auto"/>
        <w:rPr>
          <w:rFonts w:eastAsia="Times New Roman" w:cstheme="minorHAnsi"/>
          <w:lang w:val="en-NZ" w:eastAsia="en-AU"/>
        </w:rPr>
      </w:pPr>
      <w:r w:rsidRPr="0037346A">
        <w:rPr>
          <w:rFonts w:eastAsia="Times New Roman" w:cstheme="minorHAnsi"/>
          <w:lang w:val="en-NZ" w:eastAsia="en-AU"/>
        </w:rPr>
        <w:t>Previous significant surgical resection of stomach or small bowel.</w:t>
      </w:r>
    </w:p>
    <w:p w14:paraId="0731C4C9" w14:textId="77777777" w:rsidR="005F6105" w:rsidRPr="0037346A" w:rsidRDefault="005F6105" w:rsidP="005F6105">
      <w:pPr>
        <w:spacing w:before="100" w:beforeAutospacing="1" w:after="100" w:afterAutospacing="1" w:line="240" w:lineRule="auto"/>
        <w:rPr>
          <w:rFonts w:eastAsia="Times New Roman" w:cstheme="minorHAnsi"/>
          <w:lang w:val="en-NZ" w:eastAsia="en-AU"/>
        </w:rPr>
      </w:pPr>
      <w:r w:rsidRPr="0037346A">
        <w:rPr>
          <w:rFonts w:eastAsia="Times New Roman" w:cstheme="minorHAnsi"/>
          <w:lang w:val="en-NZ" w:eastAsia="en-AU"/>
        </w:rPr>
        <w:t>Neutrophil counts &lt; 1500 cells/mm³, or current or recent severe infection due to neutropenia (within 2 weeks).</w:t>
      </w:r>
    </w:p>
    <w:p w14:paraId="1B56F830" w14:textId="77777777" w:rsidR="005F6105" w:rsidRPr="0037346A" w:rsidRDefault="005F6105" w:rsidP="005F6105">
      <w:pPr>
        <w:spacing w:before="100" w:beforeAutospacing="1" w:after="100" w:afterAutospacing="1" w:line="240" w:lineRule="auto"/>
        <w:rPr>
          <w:rFonts w:eastAsia="Times New Roman" w:cstheme="minorHAnsi"/>
          <w:lang w:val="en-NZ" w:eastAsia="en-AU"/>
        </w:rPr>
      </w:pPr>
      <w:r w:rsidRPr="0037346A">
        <w:rPr>
          <w:rFonts w:eastAsia="Times New Roman" w:cstheme="minorHAnsi"/>
          <w:lang w:val="en-NZ" w:eastAsia="en-AU"/>
        </w:rPr>
        <w:t>Pregnancy.</w:t>
      </w:r>
    </w:p>
    <w:p w14:paraId="727C0082" w14:textId="77777777" w:rsidR="005F6105" w:rsidRPr="0037346A" w:rsidRDefault="005F6105" w:rsidP="005F6105">
      <w:pPr>
        <w:spacing w:before="100" w:beforeAutospacing="1" w:after="100" w:afterAutospacing="1" w:line="240" w:lineRule="auto"/>
        <w:rPr>
          <w:rFonts w:eastAsia="Times New Roman" w:cstheme="minorHAnsi"/>
          <w:lang w:val="en-NZ" w:eastAsia="en-AU"/>
        </w:rPr>
      </w:pPr>
      <w:r w:rsidRPr="0037346A">
        <w:rPr>
          <w:rFonts w:eastAsia="Times New Roman" w:cstheme="minorHAnsi"/>
          <w:lang w:val="en-NZ" w:eastAsia="en-AU"/>
        </w:rPr>
        <w:t>Lactation.</w:t>
      </w:r>
    </w:p>
    <w:p w14:paraId="1A2C687A" w14:textId="77777777" w:rsidR="005F6105" w:rsidRPr="0037346A" w:rsidRDefault="005F6105" w:rsidP="005F6105">
      <w:pPr>
        <w:spacing w:before="100" w:beforeAutospacing="1" w:after="100" w:afterAutospacing="1" w:line="240" w:lineRule="auto"/>
        <w:rPr>
          <w:rFonts w:eastAsia="Times New Roman" w:cstheme="minorHAnsi"/>
          <w:lang w:val="en-NZ" w:eastAsia="en-AU"/>
        </w:rPr>
      </w:pPr>
      <w:r w:rsidRPr="0037346A">
        <w:rPr>
          <w:rFonts w:eastAsia="Times New Roman" w:cstheme="minorHAnsi"/>
          <w:lang w:val="en-NZ" w:eastAsia="en-AU"/>
        </w:rPr>
        <w:lastRenderedPageBreak/>
        <w:t>Patients requiring long-term oxygen therapy.</w:t>
      </w:r>
    </w:p>
    <w:p w14:paraId="34B0BD81" w14:textId="77777777" w:rsidR="005F6105" w:rsidRPr="0037346A" w:rsidRDefault="005F6105" w:rsidP="005F6105">
      <w:pPr>
        <w:spacing w:before="100" w:beforeAutospacing="1" w:after="100" w:afterAutospacing="1" w:line="240" w:lineRule="auto"/>
        <w:rPr>
          <w:rFonts w:eastAsia="Times New Roman" w:cstheme="minorHAnsi"/>
          <w:lang w:val="en-NZ" w:eastAsia="en-AU"/>
        </w:rPr>
      </w:pPr>
      <w:r w:rsidRPr="0037346A">
        <w:rPr>
          <w:rFonts w:eastAsia="Times New Roman" w:cstheme="minorHAnsi"/>
          <w:lang w:val="en-NZ" w:eastAsia="en-AU"/>
        </w:rPr>
        <w:t>Severe hepatic insufficiency.</w:t>
      </w:r>
    </w:p>
    <w:p w14:paraId="7B62C5A4" w14:textId="77777777" w:rsidR="005F6105" w:rsidRPr="0037346A" w:rsidRDefault="005F6105" w:rsidP="005F6105">
      <w:pPr>
        <w:pBdr>
          <w:top w:val="single" w:sz="6" w:space="6" w:color="362B7C"/>
          <w:bottom w:val="single" w:sz="6" w:space="6" w:color="362B7C"/>
        </w:pBdr>
        <w:spacing w:before="100" w:beforeAutospacing="1" w:after="120" w:line="240" w:lineRule="auto"/>
        <w:outlineLvl w:val="3"/>
        <w:rPr>
          <w:rFonts w:eastAsia="Times New Roman" w:cstheme="minorHAnsi"/>
          <w:b/>
          <w:bCs/>
          <w:lang w:val="en-NZ" w:eastAsia="en-AU"/>
        </w:rPr>
      </w:pPr>
      <w:r w:rsidRPr="0037346A">
        <w:rPr>
          <w:rFonts w:eastAsia="Times New Roman" w:cstheme="minorHAnsi"/>
          <w:b/>
          <w:bCs/>
          <w:lang w:val="en-NZ" w:eastAsia="en-AU"/>
        </w:rPr>
        <w:t>Precautions</w:t>
      </w:r>
    </w:p>
    <w:p w14:paraId="1745253C" w14:textId="77777777" w:rsidR="005F6105" w:rsidRPr="0037346A" w:rsidRDefault="005F6105" w:rsidP="005F6105">
      <w:pPr>
        <w:spacing w:before="100" w:beforeAutospacing="1" w:after="100" w:afterAutospacing="1" w:line="240" w:lineRule="auto"/>
        <w:outlineLvl w:val="4"/>
        <w:rPr>
          <w:rFonts w:eastAsia="Times New Roman" w:cstheme="minorHAnsi"/>
          <w:b/>
          <w:bCs/>
          <w:lang w:val="en-NZ" w:eastAsia="en-AU"/>
        </w:rPr>
      </w:pPr>
      <w:r w:rsidRPr="0037346A">
        <w:rPr>
          <w:rFonts w:eastAsia="Times New Roman" w:cstheme="minorHAnsi"/>
          <w:b/>
          <w:bCs/>
          <w:lang w:val="en-NZ" w:eastAsia="en-AU"/>
        </w:rPr>
        <w:t>Administration</w:t>
      </w:r>
    </w:p>
    <w:p w14:paraId="52B21DA0" w14:textId="77777777" w:rsidR="005F6105" w:rsidRPr="0037346A" w:rsidRDefault="005F6105" w:rsidP="005F6105">
      <w:pPr>
        <w:spacing w:before="100" w:beforeAutospacing="1" w:after="100" w:afterAutospacing="1" w:line="240" w:lineRule="auto"/>
        <w:rPr>
          <w:rFonts w:eastAsia="Times New Roman" w:cstheme="minorHAnsi"/>
          <w:lang w:val="en-NZ" w:eastAsia="en-AU"/>
        </w:rPr>
      </w:pPr>
      <w:r w:rsidRPr="0037346A">
        <w:rPr>
          <w:rFonts w:eastAsia="Times New Roman" w:cstheme="minorHAnsi"/>
          <w:lang w:val="en-NZ" w:eastAsia="en-AU"/>
        </w:rPr>
        <w:t>NAVELBINE</w:t>
      </w:r>
      <w:r w:rsidRPr="0037346A">
        <w:rPr>
          <w:rFonts w:eastAsia="Times New Roman" w:cstheme="minorHAnsi"/>
          <w:vertAlign w:val="superscript"/>
          <w:lang w:val="en-NZ" w:eastAsia="en-AU"/>
        </w:rPr>
        <w:t>®</w:t>
      </w:r>
      <w:r w:rsidRPr="0037346A">
        <w:rPr>
          <w:rFonts w:eastAsia="Times New Roman" w:cstheme="minorHAnsi"/>
          <w:lang w:val="en-NZ" w:eastAsia="en-AU"/>
        </w:rPr>
        <w:t xml:space="preserve"> soft capsule should be administered under the supervision of a physician experienced in the use of cancer chemotherapeutic agents. If the patient chews or sucks the capsule by mistake, rinse mouth with water or preferably a normal saline solution.</w:t>
      </w:r>
    </w:p>
    <w:p w14:paraId="1627711F" w14:textId="77777777" w:rsidR="005F6105" w:rsidRPr="0037346A" w:rsidRDefault="005F6105" w:rsidP="005F6105">
      <w:pPr>
        <w:spacing w:before="100" w:beforeAutospacing="1" w:after="100" w:afterAutospacing="1" w:line="240" w:lineRule="auto"/>
        <w:rPr>
          <w:rFonts w:eastAsia="Times New Roman" w:cstheme="minorHAnsi"/>
          <w:lang w:val="en-NZ" w:eastAsia="en-AU"/>
        </w:rPr>
      </w:pPr>
      <w:r w:rsidRPr="0037346A">
        <w:rPr>
          <w:rFonts w:eastAsia="Times New Roman" w:cstheme="minorHAnsi"/>
          <w:lang w:val="en-NZ" w:eastAsia="en-AU"/>
        </w:rPr>
        <w:t>In the event of the capsule being cut or damaged, the liquid content is an irritant, and so may cause damage if in contact with skin, mucosa or eyes. Damaged capsules should not be swallowed and should be returned to the pharmacy or to the physician in order to be properly destroyed. If any contact occurs, immediate thorough washing with water or preferably with normal saline solution should be undertaken.</w:t>
      </w:r>
    </w:p>
    <w:p w14:paraId="022B7E9E" w14:textId="77777777" w:rsidR="005F6105" w:rsidRPr="0037346A" w:rsidRDefault="005F6105" w:rsidP="005F6105">
      <w:pPr>
        <w:spacing w:before="100" w:beforeAutospacing="1" w:after="100" w:afterAutospacing="1" w:line="240" w:lineRule="auto"/>
        <w:rPr>
          <w:rFonts w:eastAsia="Times New Roman" w:cstheme="minorHAnsi"/>
          <w:lang w:val="en-NZ" w:eastAsia="en-AU"/>
        </w:rPr>
      </w:pPr>
      <w:r w:rsidRPr="0037346A">
        <w:rPr>
          <w:rFonts w:eastAsia="Times New Roman" w:cstheme="minorHAnsi"/>
          <w:lang w:val="en-NZ" w:eastAsia="en-AU"/>
        </w:rPr>
        <w:t>If vomiting occurs within a few hours of drug intake, administration of the dose should not be repeated. Prophylactic treatment with metoclopramide or oral antiemetics may reduce the incidence. It is recommended that the capsule be taken with food.</w:t>
      </w:r>
    </w:p>
    <w:p w14:paraId="59A52A65" w14:textId="77777777" w:rsidR="005F6105" w:rsidRPr="0037346A" w:rsidRDefault="005F6105" w:rsidP="005F6105">
      <w:pPr>
        <w:spacing w:before="100" w:beforeAutospacing="1" w:after="100" w:afterAutospacing="1" w:line="240" w:lineRule="auto"/>
        <w:outlineLvl w:val="4"/>
        <w:rPr>
          <w:rFonts w:eastAsia="Times New Roman" w:cstheme="minorHAnsi"/>
          <w:b/>
          <w:bCs/>
          <w:lang w:val="en-NZ" w:eastAsia="en-AU"/>
        </w:rPr>
      </w:pPr>
      <w:r w:rsidRPr="0037346A">
        <w:rPr>
          <w:rFonts w:eastAsia="Times New Roman" w:cstheme="minorHAnsi"/>
          <w:b/>
          <w:bCs/>
          <w:lang w:val="en-NZ" w:eastAsia="en-AU"/>
        </w:rPr>
        <w:t>Myelosuppression</w:t>
      </w:r>
    </w:p>
    <w:p w14:paraId="30584AF9" w14:textId="77777777" w:rsidR="005F6105" w:rsidRPr="0037346A" w:rsidRDefault="005F6105" w:rsidP="005F6105">
      <w:pPr>
        <w:spacing w:before="100" w:beforeAutospacing="1" w:after="100" w:afterAutospacing="1" w:line="240" w:lineRule="auto"/>
        <w:rPr>
          <w:rFonts w:eastAsia="Times New Roman" w:cstheme="minorHAnsi"/>
          <w:lang w:val="en-NZ" w:eastAsia="en-AU"/>
        </w:rPr>
      </w:pPr>
      <w:r w:rsidRPr="0037346A">
        <w:rPr>
          <w:rFonts w:eastAsia="Times New Roman" w:cstheme="minorHAnsi"/>
          <w:lang w:val="en-NZ" w:eastAsia="en-AU"/>
        </w:rPr>
        <w:t>Neutropenia is dose-limiting. Complete blood counts with differentials should be performed and results reviewed prior to administering each dose of NAVELBINE</w:t>
      </w:r>
      <w:r w:rsidRPr="0037346A">
        <w:rPr>
          <w:rFonts w:eastAsia="Times New Roman" w:cstheme="minorHAnsi"/>
          <w:vertAlign w:val="superscript"/>
          <w:lang w:val="en-NZ" w:eastAsia="en-AU"/>
        </w:rPr>
        <w:t>®</w:t>
      </w:r>
      <w:r w:rsidRPr="0037346A">
        <w:rPr>
          <w:rFonts w:eastAsia="Times New Roman" w:cstheme="minorHAnsi"/>
          <w:lang w:val="en-NZ" w:eastAsia="en-AU"/>
        </w:rPr>
        <w:t>. Patients treated with NAVELBINE</w:t>
      </w:r>
      <w:r w:rsidRPr="0037346A">
        <w:rPr>
          <w:rFonts w:eastAsia="Times New Roman" w:cstheme="minorHAnsi"/>
          <w:vertAlign w:val="superscript"/>
          <w:lang w:val="en-NZ" w:eastAsia="en-AU"/>
        </w:rPr>
        <w:t>®</w:t>
      </w:r>
      <w:r w:rsidRPr="0037346A">
        <w:rPr>
          <w:rFonts w:eastAsia="Times New Roman" w:cstheme="minorHAnsi"/>
          <w:lang w:val="en-NZ" w:eastAsia="en-AU"/>
        </w:rPr>
        <w:t xml:space="preserve"> should be frequently monitored for myelosuppression both during and after therapy. NAVELBINE</w:t>
      </w:r>
      <w:r w:rsidRPr="0037346A">
        <w:rPr>
          <w:rFonts w:eastAsia="Times New Roman" w:cstheme="minorHAnsi"/>
          <w:vertAlign w:val="superscript"/>
          <w:lang w:val="en-NZ" w:eastAsia="en-AU"/>
        </w:rPr>
        <w:t>®</w:t>
      </w:r>
      <w:r w:rsidRPr="0037346A">
        <w:rPr>
          <w:rFonts w:eastAsia="Times New Roman" w:cstheme="minorHAnsi"/>
          <w:lang w:val="en-NZ" w:eastAsia="en-AU"/>
        </w:rPr>
        <w:t xml:space="preserve"> should not be administered to patients with neutrophil counts &lt; 1500 cells/mm³.</w:t>
      </w:r>
    </w:p>
    <w:p w14:paraId="4640FA9D" w14:textId="77777777" w:rsidR="005F6105" w:rsidRPr="0037346A" w:rsidRDefault="005F6105" w:rsidP="005F6105">
      <w:pPr>
        <w:spacing w:before="100" w:beforeAutospacing="1" w:after="100" w:afterAutospacing="1" w:line="240" w:lineRule="auto"/>
        <w:rPr>
          <w:rFonts w:eastAsia="Times New Roman" w:cstheme="minorHAnsi"/>
          <w:lang w:val="en-NZ" w:eastAsia="en-AU"/>
        </w:rPr>
      </w:pPr>
      <w:r w:rsidRPr="0037346A">
        <w:rPr>
          <w:rFonts w:eastAsia="Times New Roman" w:cstheme="minorHAnsi"/>
          <w:lang w:val="en-NZ" w:eastAsia="en-AU"/>
        </w:rPr>
        <w:t xml:space="preserve">Patients developing severe neutropenia should be monitored carefully for evidence of infection and/or fever. If patients present signs or symptoms suggestive of infection, a prompt investigation should be carried out. (See DOSAGE AND ADMINISTRATION for recommended dose adjustments for neutropenia). </w:t>
      </w:r>
    </w:p>
    <w:p w14:paraId="45DB2FCD" w14:textId="77777777" w:rsidR="005F6105" w:rsidRPr="0037346A" w:rsidRDefault="005F6105" w:rsidP="005F6105">
      <w:pPr>
        <w:spacing w:before="100" w:beforeAutospacing="1" w:after="100" w:afterAutospacing="1" w:line="240" w:lineRule="auto"/>
        <w:rPr>
          <w:rFonts w:eastAsia="Times New Roman" w:cstheme="minorHAnsi"/>
          <w:lang w:val="en-NZ" w:eastAsia="en-AU"/>
        </w:rPr>
      </w:pPr>
      <w:r w:rsidRPr="0037346A">
        <w:rPr>
          <w:rFonts w:eastAsia="Times New Roman" w:cstheme="minorHAnsi"/>
          <w:lang w:val="en-NZ" w:eastAsia="en-AU"/>
        </w:rPr>
        <w:t>NAVELBINE</w:t>
      </w:r>
      <w:r w:rsidRPr="0037346A">
        <w:rPr>
          <w:rFonts w:eastAsia="Times New Roman" w:cstheme="minorHAnsi"/>
          <w:vertAlign w:val="superscript"/>
          <w:lang w:val="en-NZ" w:eastAsia="en-AU"/>
        </w:rPr>
        <w:t>®</w:t>
      </w:r>
      <w:r w:rsidRPr="0037346A">
        <w:rPr>
          <w:rFonts w:eastAsia="Times New Roman" w:cstheme="minorHAnsi"/>
          <w:lang w:val="en-NZ" w:eastAsia="en-AU"/>
        </w:rPr>
        <w:t xml:space="preserve"> should be used with extreme caution in patients whose bone marrow reserve may have been compromised by prior irradiation or chemotherapy, or whose marrow function is recovering from the effects of previous chemotherapy (see DOSAGE AND ADMINISTRATION). </w:t>
      </w:r>
    </w:p>
    <w:p w14:paraId="04C5B25A" w14:textId="77777777" w:rsidR="005F6105" w:rsidRPr="0037346A" w:rsidRDefault="005F6105" w:rsidP="005F6105">
      <w:pPr>
        <w:spacing w:before="100" w:beforeAutospacing="1" w:after="100" w:afterAutospacing="1" w:line="240" w:lineRule="auto"/>
        <w:rPr>
          <w:rFonts w:eastAsia="Times New Roman" w:cstheme="minorHAnsi"/>
          <w:lang w:val="en-NZ" w:eastAsia="en-AU"/>
        </w:rPr>
      </w:pPr>
      <w:r w:rsidRPr="0037346A">
        <w:rPr>
          <w:rFonts w:eastAsia="Times New Roman" w:cstheme="minorHAnsi"/>
          <w:lang w:val="en-NZ" w:eastAsia="en-AU"/>
        </w:rPr>
        <w:t>During clinical trials where treatment was initiated at a weekly dose of 80 mg/m² (corresponding to an IV dose of 30 mg/m² in terms of systemic exposure), febrile neutropenia, in some cases fatal, was encountered in about 15% of patients. Therefore, it is recommended that the starting dose should be 60 mg/m² and increased to 80 mg/m² only if the dose is tolerated (see DOSAGE AND ADMINISTRATION).Laboratory tests</w:t>
      </w:r>
    </w:p>
    <w:p w14:paraId="2F57E93C" w14:textId="77777777" w:rsidR="005F6105" w:rsidRPr="0037346A" w:rsidRDefault="005F6105" w:rsidP="005F6105">
      <w:pPr>
        <w:spacing w:before="100" w:beforeAutospacing="1" w:after="100" w:afterAutospacing="1" w:line="240" w:lineRule="auto"/>
        <w:rPr>
          <w:rFonts w:eastAsia="Times New Roman" w:cstheme="minorHAnsi"/>
          <w:lang w:val="en-NZ" w:eastAsia="en-AU"/>
        </w:rPr>
      </w:pPr>
      <w:r w:rsidRPr="0037346A">
        <w:rPr>
          <w:rFonts w:eastAsia="Times New Roman" w:cstheme="minorHAnsi"/>
          <w:lang w:val="en-NZ" w:eastAsia="en-AU"/>
        </w:rPr>
        <w:t>Since dose-limiting clinical toxicity is the result of depression of the white blood cell count, it is imperative that complete blood counts with differentials be obtained and reviewed on the day of treatment prior to each dose of NAVELBINE</w:t>
      </w:r>
      <w:r w:rsidRPr="0037346A">
        <w:rPr>
          <w:rFonts w:eastAsia="Times New Roman" w:cstheme="minorHAnsi"/>
          <w:vertAlign w:val="superscript"/>
          <w:lang w:val="en-NZ" w:eastAsia="en-AU"/>
        </w:rPr>
        <w:t>®</w:t>
      </w:r>
      <w:r w:rsidRPr="0037346A">
        <w:rPr>
          <w:rFonts w:eastAsia="Times New Roman" w:cstheme="minorHAnsi"/>
          <w:lang w:val="en-NZ" w:eastAsia="en-AU"/>
        </w:rPr>
        <w:t>. If the neutrophil count is below 1500 / mm³ and/or the platelet count is between 75,000 and 100,000 / mm³, then treatment should be delayed until recovery.</w:t>
      </w:r>
    </w:p>
    <w:p w14:paraId="5A9B61A9" w14:textId="77777777" w:rsidR="005F6105" w:rsidRPr="0037346A" w:rsidRDefault="005F6105" w:rsidP="005F6105">
      <w:pPr>
        <w:spacing w:before="100" w:beforeAutospacing="1" w:after="100" w:afterAutospacing="1" w:line="240" w:lineRule="auto"/>
        <w:outlineLvl w:val="4"/>
        <w:rPr>
          <w:rFonts w:eastAsia="Times New Roman" w:cstheme="minorHAnsi"/>
          <w:b/>
          <w:bCs/>
          <w:lang w:val="en-NZ" w:eastAsia="en-AU"/>
        </w:rPr>
      </w:pPr>
      <w:r w:rsidRPr="0037346A">
        <w:rPr>
          <w:rFonts w:eastAsia="Times New Roman" w:cstheme="minorHAnsi"/>
          <w:b/>
          <w:bCs/>
          <w:lang w:val="en-NZ" w:eastAsia="en-AU"/>
        </w:rPr>
        <w:t>General</w:t>
      </w:r>
    </w:p>
    <w:p w14:paraId="15FE7972" w14:textId="77777777" w:rsidR="005F6105" w:rsidRPr="0037346A" w:rsidRDefault="005F6105" w:rsidP="005F6105">
      <w:pPr>
        <w:spacing w:before="100" w:beforeAutospacing="1" w:after="100" w:afterAutospacing="1" w:line="240" w:lineRule="auto"/>
        <w:rPr>
          <w:rFonts w:eastAsia="Times New Roman" w:cstheme="minorHAnsi"/>
          <w:lang w:val="en-NZ" w:eastAsia="en-AU"/>
        </w:rPr>
      </w:pPr>
      <w:r w:rsidRPr="0037346A">
        <w:rPr>
          <w:rFonts w:eastAsia="Times New Roman" w:cstheme="minorHAnsi"/>
          <w:lang w:val="en-NZ" w:eastAsia="en-AU"/>
        </w:rPr>
        <w:lastRenderedPageBreak/>
        <w:t>Most drug-related adverse events of NAVELBINE</w:t>
      </w:r>
      <w:r w:rsidRPr="0037346A">
        <w:rPr>
          <w:rFonts w:eastAsia="Times New Roman" w:cstheme="minorHAnsi"/>
          <w:vertAlign w:val="superscript"/>
          <w:lang w:val="en-NZ" w:eastAsia="en-AU"/>
        </w:rPr>
        <w:t>®</w:t>
      </w:r>
      <w:r w:rsidRPr="0037346A">
        <w:rPr>
          <w:rFonts w:eastAsia="Times New Roman" w:cstheme="minorHAnsi"/>
          <w:lang w:val="en-NZ" w:eastAsia="en-AU"/>
        </w:rPr>
        <w:t xml:space="preserve"> are reversible. If severe adverse events occur, NAVELBINE</w:t>
      </w:r>
      <w:r w:rsidRPr="0037346A">
        <w:rPr>
          <w:rFonts w:eastAsia="Times New Roman" w:cstheme="minorHAnsi"/>
          <w:vertAlign w:val="superscript"/>
          <w:lang w:val="en-NZ" w:eastAsia="en-AU"/>
        </w:rPr>
        <w:t>®</w:t>
      </w:r>
      <w:r w:rsidRPr="0037346A">
        <w:rPr>
          <w:rFonts w:eastAsia="Times New Roman" w:cstheme="minorHAnsi"/>
          <w:lang w:val="en-NZ" w:eastAsia="en-AU"/>
        </w:rPr>
        <w:t xml:space="preserve"> should be reduced in dosage or discontinued and appropriate corrective measures taken. Reinstitution of therapy with NAVELBINE</w:t>
      </w:r>
      <w:r w:rsidRPr="0037346A">
        <w:rPr>
          <w:rFonts w:eastAsia="Times New Roman" w:cstheme="minorHAnsi"/>
          <w:vertAlign w:val="superscript"/>
          <w:lang w:val="en-NZ" w:eastAsia="en-AU"/>
        </w:rPr>
        <w:t>®</w:t>
      </w:r>
      <w:r w:rsidRPr="0037346A">
        <w:rPr>
          <w:rFonts w:eastAsia="Times New Roman" w:cstheme="minorHAnsi"/>
          <w:lang w:val="en-NZ" w:eastAsia="en-AU"/>
        </w:rPr>
        <w:t xml:space="preserve"> should be carried out with caution and alertness as to possible recurrence of toxicity.</w:t>
      </w:r>
    </w:p>
    <w:p w14:paraId="5E85D737" w14:textId="77777777" w:rsidR="005F6105" w:rsidRPr="0037346A" w:rsidRDefault="005F6105" w:rsidP="005F6105">
      <w:pPr>
        <w:spacing w:before="100" w:beforeAutospacing="1" w:after="100" w:afterAutospacing="1" w:line="240" w:lineRule="auto"/>
        <w:rPr>
          <w:rFonts w:eastAsia="Times New Roman" w:cstheme="minorHAnsi"/>
          <w:lang w:val="en-NZ" w:eastAsia="en-AU"/>
        </w:rPr>
      </w:pPr>
      <w:r w:rsidRPr="0037346A">
        <w:rPr>
          <w:rFonts w:eastAsia="Times New Roman" w:cstheme="minorHAnsi"/>
          <w:lang w:val="en-NZ" w:eastAsia="en-AU"/>
        </w:rPr>
        <w:t>Patients presenting with ischaemic cardiac disease should be carefully monitored (see ADVERSE REACTIONS).</w:t>
      </w:r>
    </w:p>
    <w:p w14:paraId="4F9E39CA" w14:textId="77777777" w:rsidR="005F6105" w:rsidRPr="0037346A" w:rsidRDefault="005F6105" w:rsidP="005F6105">
      <w:pPr>
        <w:spacing w:before="100" w:beforeAutospacing="1" w:after="100" w:afterAutospacing="1" w:line="240" w:lineRule="auto"/>
        <w:rPr>
          <w:rFonts w:eastAsia="Times New Roman" w:cstheme="minorHAnsi"/>
          <w:lang w:val="en-NZ" w:eastAsia="en-AU"/>
        </w:rPr>
      </w:pPr>
      <w:r w:rsidRPr="0037346A">
        <w:rPr>
          <w:rFonts w:eastAsia="Times New Roman" w:cstheme="minorHAnsi"/>
          <w:lang w:val="en-NZ" w:eastAsia="en-AU"/>
        </w:rPr>
        <w:t>Acute shortness of breath and severe bronchospasm have been reported infrequently along with rare cases of interstitial pneumopathy following the administration of NAVELBINE</w:t>
      </w:r>
      <w:r w:rsidRPr="0037346A">
        <w:rPr>
          <w:rFonts w:eastAsia="Times New Roman" w:cstheme="minorHAnsi"/>
          <w:vertAlign w:val="superscript"/>
          <w:lang w:val="en-NZ" w:eastAsia="en-AU"/>
        </w:rPr>
        <w:t>®</w:t>
      </w:r>
      <w:r w:rsidRPr="0037346A">
        <w:rPr>
          <w:rFonts w:eastAsia="Times New Roman" w:cstheme="minorHAnsi"/>
          <w:lang w:val="en-NZ" w:eastAsia="en-AU"/>
        </w:rPr>
        <w:t xml:space="preserve"> and other vinca alkaloids, most commonly when the vinca alkaloid was used in combination with mitomycin. These adverse events may require treatment with supplemental oxygen, bronchodilators, and/or corticosteroids, particularly when there is a pre-existing pulmonary dysfunction.</w:t>
      </w:r>
    </w:p>
    <w:p w14:paraId="041BC7F0" w14:textId="77777777" w:rsidR="005F6105" w:rsidRPr="0037346A" w:rsidRDefault="005F6105" w:rsidP="005F6105">
      <w:pPr>
        <w:spacing w:before="100" w:beforeAutospacing="1" w:after="100" w:afterAutospacing="1" w:line="240" w:lineRule="auto"/>
        <w:rPr>
          <w:rFonts w:eastAsia="Times New Roman" w:cstheme="minorHAnsi"/>
          <w:lang w:val="en-NZ" w:eastAsia="en-AU"/>
        </w:rPr>
      </w:pPr>
      <w:r w:rsidRPr="0037346A">
        <w:rPr>
          <w:rFonts w:eastAsia="Times New Roman" w:cstheme="minorHAnsi"/>
          <w:lang w:val="en-NZ" w:eastAsia="en-AU"/>
        </w:rPr>
        <w:t>Vinorelbine is contraindicated in patients with severe hepatic insufficiency. There is limited experience in patients with mild or moderate hepatic impairment, however available data suggest that dose modification is not required. Haematological toxicity should be closely monitored.NAVELBINE</w:t>
      </w:r>
      <w:r w:rsidRPr="0037346A">
        <w:rPr>
          <w:rFonts w:eastAsia="Times New Roman" w:cstheme="minorHAnsi"/>
          <w:vertAlign w:val="superscript"/>
          <w:lang w:val="en-NZ" w:eastAsia="en-AU"/>
        </w:rPr>
        <w:t>®</w:t>
      </w:r>
      <w:r w:rsidRPr="0037346A">
        <w:rPr>
          <w:rFonts w:eastAsia="Times New Roman" w:cstheme="minorHAnsi"/>
          <w:lang w:val="en-NZ" w:eastAsia="en-AU"/>
        </w:rPr>
        <w:t xml:space="preserve"> should not be given concomitantly with radiotherapy if the treatment field includes the liver.</w:t>
      </w:r>
    </w:p>
    <w:p w14:paraId="38D1F597" w14:textId="77777777" w:rsidR="005F6105" w:rsidRPr="0037346A" w:rsidRDefault="005F6105" w:rsidP="005F6105">
      <w:pPr>
        <w:spacing w:before="100" w:beforeAutospacing="1" w:after="100" w:afterAutospacing="1" w:line="240" w:lineRule="auto"/>
        <w:rPr>
          <w:rFonts w:eastAsia="Times New Roman" w:cstheme="minorHAnsi"/>
          <w:lang w:val="en-NZ" w:eastAsia="en-AU"/>
        </w:rPr>
      </w:pPr>
      <w:r w:rsidRPr="0037346A">
        <w:rPr>
          <w:rFonts w:eastAsia="Times New Roman" w:cstheme="minorHAnsi"/>
          <w:lang w:val="en-NZ" w:eastAsia="en-AU"/>
        </w:rPr>
        <w:t>Because of the low level of renal excretion, no dose modification is necessary in patients with renal impairment.</w:t>
      </w:r>
    </w:p>
    <w:p w14:paraId="69C76C8F" w14:textId="77777777" w:rsidR="005F6105" w:rsidRPr="0037346A" w:rsidRDefault="005F6105" w:rsidP="005F6105">
      <w:pPr>
        <w:spacing w:before="100" w:beforeAutospacing="1" w:after="100" w:afterAutospacing="1" w:line="240" w:lineRule="auto"/>
        <w:rPr>
          <w:rFonts w:eastAsia="Times New Roman" w:cstheme="minorHAnsi"/>
          <w:lang w:val="en-NZ" w:eastAsia="en-AU"/>
        </w:rPr>
      </w:pPr>
      <w:r w:rsidRPr="0037346A">
        <w:rPr>
          <w:rFonts w:eastAsia="Times New Roman" w:cstheme="minorHAnsi"/>
          <w:lang w:val="en-NZ" w:eastAsia="en-AU"/>
        </w:rPr>
        <w:t>Due to the presence of sorbitol, patients with the rare hereditary problem of fructose intolerance should not take this medicine</w:t>
      </w:r>
    </w:p>
    <w:p w14:paraId="229C8776" w14:textId="77777777" w:rsidR="005F6105" w:rsidRPr="0037346A" w:rsidRDefault="005F6105" w:rsidP="005F6105">
      <w:pPr>
        <w:spacing w:before="100" w:beforeAutospacing="1" w:after="100" w:afterAutospacing="1" w:line="240" w:lineRule="auto"/>
        <w:outlineLvl w:val="4"/>
        <w:rPr>
          <w:rFonts w:eastAsia="Times New Roman" w:cstheme="minorHAnsi"/>
          <w:b/>
          <w:bCs/>
          <w:lang w:val="en-NZ" w:eastAsia="en-AU"/>
        </w:rPr>
      </w:pPr>
      <w:r w:rsidRPr="0037346A">
        <w:rPr>
          <w:rFonts w:eastAsia="Times New Roman" w:cstheme="minorHAnsi"/>
          <w:b/>
          <w:bCs/>
          <w:lang w:val="en-NZ" w:eastAsia="en-AU"/>
        </w:rPr>
        <w:t>Carcinogenicity/Mutagenicity</w:t>
      </w:r>
    </w:p>
    <w:p w14:paraId="6A0587B7" w14:textId="77777777" w:rsidR="005F6105" w:rsidRPr="0037346A" w:rsidRDefault="005F6105" w:rsidP="005F6105">
      <w:pPr>
        <w:spacing w:before="100" w:beforeAutospacing="1" w:after="100" w:afterAutospacing="1" w:line="240" w:lineRule="auto"/>
        <w:rPr>
          <w:rFonts w:eastAsia="Times New Roman" w:cstheme="minorHAnsi"/>
          <w:lang w:val="en-NZ" w:eastAsia="en-AU"/>
        </w:rPr>
      </w:pPr>
      <w:r w:rsidRPr="0037346A">
        <w:rPr>
          <w:rFonts w:eastAsia="Times New Roman" w:cstheme="minorHAnsi"/>
          <w:lang w:val="en-NZ" w:eastAsia="en-AU"/>
        </w:rPr>
        <w:t>Vinorelbine tartrate has been shown to affect chromosome number and possibly structure in vivo (polyploidy in bone marrow cells from Chinese hamsters and a positive micronucleus test in mice).</w:t>
      </w:r>
    </w:p>
    <w:p w14:paraId="71346D1D" w14:textId="77777777" w:rsidR="005F6105" w:rsidRPr="0037346A" w:rsidRDefault="005F6105" w:rsidP="005F6105">
      <w:pPr>
        <w:spacing w:before="100" w:beforeAutospacing="1" w:after="100" w:afterAutospacing="1" w:line="240" w:lineRule="auto"/>
        <w:rPr>
          <w:rFonts w:eastAsia="Times New Roman" w:cstheme="minorHAnsi"/>
          <w:lang w:val="en-NZ" w:eastAsia="en-AU"/>
        </w:rPr>
      </w:pPr>
      <w:r w:rsidRPr="0037346A">
        <w:rPr>
          <w:rFonts w:eastAsia="Times New Roman" w:cstheme="minorHAnsi"/>
          <w:lang w:val="en-NZ" w:eastAsia="en-AU"/>
        </w:rPr>
        <w:t>It was not mutagenic or cytotoxic in a reverse histidine mutation (Ames) test but showed mutagenic potential in a mouse forward mutation (TK locus) test. Carcinogenicity studies in mice and rats showed no tumourigenic activity at dose levels up to 2.4 mg/m² given by IV injection every two weeks for 18 months or two years respectively. However, the positive findings in genetic toxicity assays suggest that the drug may have carcinogenic potential at the higher dose level used in humans.</w:t>
      </w:r>
    </w:p>
    <w:p w14:paraId="034AF87C" w14:textId="77777777" w:rsidR="005F6105" w:rsidRDefault="005F6105" w:rsidP="005F6105">
      <w:pPr>
        <w:spacing w:before="100" w:beforeAutospacing="1" w:after="100" w:afterAutospacing="1" w:line="240" w:lineRule="auto"/>
        <w:outlineLvl w:val="4"/>
        <w:rPr>
          <w:rFonts w:eastAsia="Times New Roman" w:cstheme="minorHAnsi"/>
          <w:b/>
          <w:bCs/>
          <w:lang w:val="en-NZ" w:eastAsia="en-AU"/>
        </w:rPr>
      </w:pPr>
    </w:p>
    <w:p w14:paraId="6E2B65C4" w14:textId="77777777" w:rsidR="005F6105" w:rsidRDefault="005F6105" w:rsidP="005F6105">
      <w:pPr>
        <w:spacing w:before="100" w:beforeAutospacing="1" w:after="100" w:afterAutospacing="1" w:line="240" w:lineRule="auto"/>
        <w:outlineLvl w:val="4"/>
        <w:rPr>
          <w:rFonts w:eastAsia="Times New Roman" w:cstheme="minorHAnsi"/>
          <w:b/>
          <w:bCs/>
          <w:lang w:val="en-NZ" w:eastAsia="en-AU"/>
        </w:rPr>
      </w:pPr>
    </w:p>
    <w:p w14:paraId="11EBFD4E" w14:textId="77777777" w:rsidR="005F6105" w:rsidRPr="0037346A" w:rsidRDefault="005F6105" w:rsidP="005F6105">
      <w:pPr>
        <w:spacing w:before="100" w:beforeAutospacing="1" w:after="100" w:afterAutospacing="1" w:line="240" w:lineRule="auto"/>
        <w:outlineLvl w:val="4"/>
        <w:rPr>
          <w:rFonts w:eastAsia="Times New Roman" w:cstheme="minorHAnsi"/>
          <w:b/>
          <w:bCs/>
          <w:lang w:val="en-NZ" w:eastAsia="en-AU"/>
        </w:rPr>
      </w:pPr>
      <w:r w:rsidRPr="0037346A">
        <w:rPr>
          <w:rFonts w:eastAsia="Times New Roman" w:cstheme="minorHAnsi"/>
          <w:b/>
          <w:bCs/>
          <w:lang w:val="en-NZ" w:eastAsia="en-AU"/>
        </w:rPr>
        <w:t>Effects on fertility</w:t>
      </w:r>
    </w:p>
    <w:p w14:paraId="25614F83" w14:textId="77777777" w:rsidR="005F6105" w:rsidRPr="0037346A" w:rsidRDefault="005F6105" w:rsidP="005F6105">
      <w:pPr>
        <w:spacing w:before="100" w:beforeAutospacing="1" w:after="100" w:afterAutospacing="1" w:line="240" w:lineRule="auto"/>
        <w:rPr>
          <w:rFonts w:eastAsia="Times New Roman" w:cstheme="minorHAnsi"/>
          <w:lang w:val="en-NZ" w:eastAsia="en-AU"/>
        </w:rPr>
      </w:pPr>
      <w:r w:rsidRPr="0037346A">
        <w:rPr>
          <w:rFonts w:eastAsia="Times New Roman" w:cstheme="minorHAnsi"/>
          <w:lang w:val="en-NZ" w:eastAsia="en-AU"/>
        </w:rPr>
        <w:t>Adverse effects on the male reproductive system were observed in repeat-dose toxicity studies in animals, including decreased spermatogenesis in rats dosed twice weekly at 2.1 - 7.2 mg/m² for 13 weeks, reduced prostate/seminal vesicle secretion in rats dosed twice weekly at 3 mg/m² for 26 weeks, reduced testicular weight in mice dosed at 19 mg/m²/day for three 5-day cycles, and reduced epididymal weight in dogs dosed at 5 mg/m² for 26 weeks. Vinorelbine tartrate did not affect fertility when administered to male and female rats prior to and during mating; however, the doses used in these studies (9 mg/m² once weekly or up to 4.2 mg/m² at 3-day intervals) were lower than the human dose.</w:t>
      </w:r>
    </w:p>
    <w:p w14:paraId="21341495" w14:textId="77777777" w:rsidR="005F6105" w:rsidRPr="0037346A" w:rsidRDefault="005F6105" w:rsidP="005F6105">
      <w:pPr>
        <w:spacing w:before="100" w:beforeAutospacing="1" w:after="100" w:afterAutospacing="1" w:line="240" w:lineRule="auto"/>
        <w:outlineLvl w:val="4"/>
        <w:rPr>
          <w:rFonts w:eastAsia="Times New Roman" w:cstheme="minorHAnsi"/>
          <w:b/>
          <w:bCs/>
          <w:lang w:val="en-NZ" w:eastAsia="en-AU"/>
        </w:rPr>
      </w:pPr>
      <w:r w:rsidRPr="0037346A">
        <w:rPr>
          <w:rFonts w:eastAsia="Times New Roman" w:cstheme="minorHAnsi"/>
          <w:b/>
          <w:bCs/>
          <w:lang w:val="en-NZ" w:eastAsia="en-AU"/>
        </w:rPr>
        <w:lastRenderedPageBreak/>
        <w:t>Use in pregnancy</w:t>
      </w:r>
    </w:p>
    <w:p w14:paraId="66065040" w14:textId="77777777" w:rsidR="005F6105" w:rsidRPr="0037346A" w:rsidRDefault="005F6105" w:rsidP="005F6105">
      <w:pPr>
        <w:spacing w:before="100" w:beforeAutospacing="1" w:after="100" w:afterAutospacing="1" w:line="240" w:lineRule="auto"/>
        <w:rPr>
          <w:rFonts w:eastAsia="Times New Roman" w:cstheme="minorHAnsi"/>
          <w:lang w:val="en-NZ" w:eastAsia="en-AU"/>
        </w:rPr>
      </w:pPr>
      <w:r w:rsidRPr="005F6105">
        <w:rPr>
          <w:rFonts w:eastAsia="Times New Roman" w:cstheme="minorHAnsi"/>
          <w:b/>
          <w:bCs/>
          <w:lang w:val="en-NZ" w:eastAsia="en-AU"/>
        </w:rPr>
        <w:t>Category D</w:t>
      </w:r>
      <w:r w:rsidRPr="0037346A">
        <w:rPr>
          <w:rFonts w:eastAsia="Times New Roman" w:cstheme="minorHAnsi"/>
          <w:lang w:val="en-NZ" w:eastAsia="en-AU"/>
        </w:rPr>
        <w:br/>
        <w:t>NAVELBINE</w:t>
      </w:r>
      <w:r w:rsidRPr="0037346A">
        <w:rPr>
          <w:rFonts w:eastAsia="Times New Roman" w:cstheme="minorHAnsi"/>
          <w:vertAlign w:val="superscript"/>
          <w:lang w:val="en-NZ" w:eastAsia="en-AU"/>
        </w:rPr>
        <w:t>®</w:t>
      </w:r>
      <w:r w:rsidRPr="0037346A">
        <w:rPr>
          <w:rFonts w:eastAsia="Times New Roman" w:cstheme="minorHAnsi"/>
          <w:lang w:val="en-NZ" w:eastAsia="en-AU"/>
        </w:rPr>
        <w:t xml:space="preserve"> may cause fetal harm if administered to a pregnant woman. When given every three days during organogenesis, vinorelbine tartrate has been shown to be teratogenic in rats and rabbits at doses of 3 and 7.7 mg/m² respectively. A single 9 mg/m² dose of vinorelbine tartrate caused embryonic deaths in mice. Doses causing adverse fetal effects in animals were lower than the human dose. There are no studies in pregnant women. If NAVELBINE</w:t>
      </w:r>
      <w:r w:rsidRPr="0037346A">
        <w:rPr>
          <w:rFonts w:eastAsia="Times New Roman" w:cstheme="minorHAnsi"/>
          <w:vertAlign w:val="superscript"/>
          <w:lang w:val="en-NZ" w:eastAsia="en-AU"/>
        </w:rPr>
        <w:t>®</w:t>
      </w:r>
      <w:r w:rsidRPr="0037346A">
        <w:rPr>
          <w:rFonts w:eastAsia="Times New Roman" w:cstheme="minorHAnsi"/>
          <w:lang w:val="en-NZ" w:eastAsia="en-AU"/>
        </w:rPr>
        <w:t xml:space="preserve"> is used during pregnancy, or if the patient becomes pregnant while receiving this drug, the patient should be apprised of the potential hazard to the foetus. Women of childbearing potential should be advised to avoid becoming pregnant during therapy with NAVELBINE</w:t>
      </w:r>
      <w:r w:rsidRPr="0037346A">
        <w:rPr>
          <w:rFonts w:eastAsia="Times New Roman" w:cstheme="minorHAnsi"/>
          <w:vertAlign w:val="superscript"/>
          <w:lang w:val="en-NZ" w:eastAsia="en-AU"/>
        </w:rPr>
        <w:t>®</w:t>
      </w:r>
      <w:r w:rsidRPr="0037346A">
        <w:rPr>
          <w:rFonts w:eastAsia="Times New Roman" w:cstheme="minorHAnsi"/>
          <w:lang w:val="en-NZ" w:eastAsia="en-AU"/>
        </w:rPr>
        <w:t>.</w:t>
      </w:r>
    </w:p>
    <w:p w14:paraId="1B4182F7" w14:textId="77777777" w:rsidR="005F6105" w:rsidRPr="0037346A" w:rsidRDefault="005F6105" w:rsidP="005F6105">
      <w:pPr>
        <w:spacing w:before="100" w:beforeAutospacing="1" w:after="100" w:afterAutospacing="1" w:line="240" w:lineRule="auto"/>
        <w:outlineLvl w:val="4"/>
        <w:rPr>
          <w:rFonts w:eastAsia="Times New Roman" w:cstheme="minorHAnsi"/>
          <w:b/>
          <w:bCs/>
          <w:lang w:val="en-NZ" w:eastAsia="en-AU"/>
        </w:rPr>
      </w:pPr>
      <w:r w:rsidRPr="0037346A">
        <w:rPr>
          <w:rFonts w:eastAsia="Times New Roman" w:cstheme="minorHAnsi"/>
          <w:b/>
          <w:bCs/>
          <w:lang w:val="en-NZ" w:eastAsia="en-AU"/>
        </w:rPr>
        <w:t>Use in lactation</w:t>
      </w:r>
    </w:p>
    <w:p w14:paraId="3B49FDCB" w14:textId="77777777" w:rsidR="005F6105" w:rsidRPr="0037346A" w:rsidRDefault="005F6105" w:rsidP="005F6105">
      <w:pPr>
        <w:spacing w:before="100" w:beforeAutospacing="1" w:after="100" w:afterAutospacing="1" w:line="240" w:lineRule="auto"/>
        <w:rPr>
          <w:rFonts w:eastAsia="Times New Roman" w:cstheme="minorHAnsi"/>
          <w:lang w:val="en-NZ" w:eastAsia="en-AU"/>
        </w:rPr>
      </w:pPr>
      <w:r w:rsidRPr="0037346A">
        <w:rPr>
          <w:rFonts w:eastAsia="Times New Roman" w:cstheme="minorHAnsi"/>
          <w:lang w:val="en-NZ" w:eastAsia="en-AU"/>
        </w:rPr>
        <w:t>It is not known whether vinorelbine is excreted in milk of animals or humans. A study in rats showed that growth of the offspring was suppressed when vinorelbine tartrate was administered to lactating dams at 6 mg/m² every three days. Because many drugs are excreted in human milk, and because of the potential for serious adverse reactions in nursing infants from NAVELBINE</w:t>
      </w:r>
      <w:r w:rsidRPr="0037346A">
        <w:rPr>
          <w:rFonts w:eastAsia="Times New Roman" w:cstheme="minorHAnsi"/>
          <w:vertAlign w:val="superscript"/>
          <w:lang w:val="en-NZ" w:eastAsia="en-AU"/>
        </w:rPr>
        <w:t>®</w:t>
      </w:r>
      <w:r w:rsidRPr="0037346A">
        <w:rPr>
          <w:rFonts w:eastAsia="Times New Roman" w:cstheme="minorHAnsi"/>
          <w:lang w:val="en-NZ" w:eastAsia="en-AU"/>
        </w:rPr>
        <w:t>, it is recommended that nursing be discontinued in women who are receiving therapy with NAVELBINE</w:t>
      </w:r>
      <w:r w:rsidRPr="0037346A">
        <w:rPr>
          <w:rFonts w:eastAsia="Times New Roman" w:cstheme="minorHAnsi"/>
          <w:vertAlign w:val="superscript"/>
          <w:lang w:val="en-NZ" w:eastAsia="en-AU"/>
        </w:rPr>
        <w:t>®</w:t>
      </w:r>
      <w:r w:rsidRPr="0037346A">
        <w:rPr>
          <w:rFonts w:eastAsia="Times New Roman" w:cstheme="minorHAnsi"/>
          <w:lang w:val="en-NZ" w:eastAsia="en-AU"/>
        </w:rPr>
        <w:t>.</w:t>
      </w:r>
    </w:p>
    <w:p w14:paraId="209A3A34" w14:textId="77777777" w:rsidR="005F6105" w:rsidRPr="0037346A" w:rsidRDefault="005F6105" w:rsidP="005F6105">
      <w:pPr>
        <w:spacing w:before="100" w:beforeAutospacing="1" w:after="100" w:afterAutospacing="1" w:line="240" w:lineRule="auto"/>
        <w:outlineLvl w:val="4"/>
        <w:rPr>
          <w:rFonts w:eastAsia="Times New Roman" w:cstheme="minorHAnsi"/>
          <w:b/>
          <w:bCs/>
          <w:lang w:val="en-NZ" w:eastAsia="en-AU"/>
        </w:rPr>
      </w:pPr>
      <w:r w:rsidRPr="0037346A">
        <w:rPr>
          <w:rFonts w:eastAsia="Times New Roman" w:cstheme="minorHAnsi"/>
          <w:b/>
          <w:bCs/>
          <w:lang w:val="en-NZ" w:eastAsia="en-AU"/>
        </w:rPr>
        <w:t>Interaction with other drugs</w:t>
      </w:r>
    </w:p>
    <w:p w14:paraId="57B78E1E" w14:textId="77777777" w:rsidR="005F6105" w:rsidRPr="0037346A" w:rsidRDefault="005F6105" w:rsidP="005F6105">
      <w:pPr>
        <w:spacing w:before="100" w:beforeAutospacing="1" w:after="100" w:afterAutospacing="1" w:line="240" w:lineRule="auto"/>
        <w:rPr>
          <w:rFonts w:eastAsia="Times New Roman" w:cstheme="minorHAnsi"/>
          <w:lang w:val="en-NZ" w:eastAsia="en-AU"/>
        </w:rPr>
      </w:pPr>
      <w:r w:rsidRPr="0037346A">
        <w:rPr>
          <w:rFonts w:eastAsia="Times New Roman" w:cstheme="minorHAnsi"/>
          <w:lang w:val="en-NZ" w:eastAsia="en-AU"/>
        </w:rPr>
        <w:t>Acute pulmonary reactions have been reported with NAVELBINE</w:t>
      </w:r>
      <w:r w:rsidRPr="0037346A">
        <w:rPr>
          <w:rFonts w:eastAsia="Times New Roman" w:cstheme="minorHAnsi"/>
          <w:vertAlign w:val="superscript"/>
          <w:lang w:val="en-NZ" w:eastAsia="en-AU"/>
        </w:rPr>
        <w:t>®</w:t>
      </w:r>
      <w:r w:rsidRPr="0037346A">
        <w:rPr>
          <w:rFonts w:eastAsia="Times New Roman" w:cstheme="minorHAnsi"/>
          <w:lang w:val="en-NZ" w:eastAsia="en-AU"/>
        </w:rPr>
        <w:t xml:space="preserve"> and other vinca alkaloids used in conjunction with mitomycin. NAVELBINE</w:t>
      </w:r>
      <w:r w:rsidRPr="0037346A">
        <w:rPr>
          <w:rFonts w:eastAsia="Times New Roman" w:cstheme="minorHAnsi"/>
          <w:vertAlign w:val="superscript"/>
          <w:lang w:val="en-NZ" w:eastAsia="en-AU"/>
        </w:rPr>
        <w:t>®</w:t>
      </w:r>
      <w:r w:rsidRPr="0037346A">
        <w:rPr>
          <w:rFonts w:eastAsia="Times New Roman" w:cstheme="minorHAnsi"/>
          <w:lang w:val="en-NZ" w:eastAsia="en-AU"/>
        </w:rPr>
        <w:t xml:space="preserve"> should be administered with caution in combination with mitomycin.</w:t>
      </w:r>
    </w:p>
    <w:p w14:paraId="37D3FBB3" w14:textId="77777777" w:rsidR="005F6105" w:rsidRPr="0037346A" w:rsidRDefault="005F6105" w:rsidP="005F6105">
      <w:pPr>
        <w:spacing w:before="100" w:beforeAutospacing="1" w:after="100" w:afterAutospacing="1" w:line="240" w:lineRule="auto"/>
        <w:rPr>
          <w:rFonts w:eastAsia="Times New Roman" w:cstheme="minorHAnsi"/>
          <w:lang w:val="en-NZ" w:eastAsia="en-AU"/>
        </w:rPr>
      </w:pPr>
      <w:r w:rsidRPr="0037346A">
        <w:rPr>
          <w:rFonts w:eastAsia="Times New Roman" w:cstheme="minorHAnsi"/>
          <w:lang w:val="en-NZ" w:eastAsia="en-AU"/>
        </w:rPr>
        <w:t>The combination of NAVELBINE</w:t>
      </w:r>
      <w:r w:rsidRPr="0037346A">
        <w:rPr>
          <w:rFonts w:eastAsia="Times New Roman" w:cstheme="minorHAnsi"/>
          <w:vertAlign w:val="superscript"/>
          <w:lang w:val="en-NZ" w:eastAsia="en-AU"/>
        </w:rPr>
        <w:t>®</w:t>
      </w:r>
      <w:r w:rsidRPr="0037346A">
        <w:rPr>
          <w:rFonts w:eastAsia="Times New Roman" w:cstheme="minorHAnsi"/>
          <w:lang w:val="en-NZ" w:eastAsia="en-AU"/>
        </w:rPr>
        <w:t xml:space="preserve"> soft capsules and other drugs with known bone marrow toxicity is likely to exacerbate the myelosuppressive adverse effects.</w:t>
      </w:r>
    </w:p>
    <w:p w14:paraId="5A6BE3F5" w14:textId="77777777" w:rsidR="005F6105" w:rsidRPr="0037346A" w:rsidRDefault="005F6105" w:rsidP="005F6105">
      <w:pPr>
        <w:spacing w:before="100" w:beforeAutospacing="1" w:after="100" w:afterAutospacing="1" w:line="240" w:lineRule="auto"/>
        <w:rPr>
          <w:rFonts w:eastAsia="Times New Roman" w:cstheme="minorHAnsi"/>
          <w:lang w:val="en-NZ" w:eastAsia="en-AU"/>
        </w:rPr>
      </w:pPr>
      <w:r w:rsidRPr="0037346A">
        <w:rPr>
          <w:rFonts w:eastAsia="Times New Roman" w:cstheme="minorHAnsi"/>
          <w:lang w:val="en-NZ" w:eastAsia="en-AU"/>
        </w:rPr>
        <w:t>In the absence of specific studies evaluating drug-drug interaction with warfarin, the patient should be cautiously monitored when vinorelbine is given in combination with warfarin.</w:t>
      </w:r>
    </w:p>
    <w:p w14:paraId="7815175A" w14:textId="77777777" w:rsidR="005F6105" w:rsidRPr="0037346A" w:rsidRDefault="005F6105" w:rsidP="005F6105">
      <w:pPr>
        <w:spacing w:before="100" w:beforeAutospacing="1" w:after="100" w:afterAutospacing="1" w:line="240" w:lineRule="auto"/>
        <w:rPr>
          <w:rFonts w:eastAsia="Times New Roman" w:cstheme="minorHAnsi"/>
          <w:lang w:val="en-NZ" w:eastAsia="en-AU"/>
        </w:rPr>
      </w:pPr>
      <w:r w:rsidRPr="0037346A">
        <w:rPr>
          <w:rFonts w:eastAsia="Times New Roman" w:cstheme="minorHAnsi"/>
          <w:lang w:val="en-NZ" w:eastAsia="en-AU"/>
        </w:rPr>
        <w:t>Although the pharmacokinetics of vinorelbine are not influenced by the concurrent administration of cisplatin, the incidence of toxicities, specifically granulocytopenia, with the combination of NAVELBINE</w:t>
      </w:r>
      <w:r w:rsidRPr="0037346A">
        <w:rPr>
          <w:rFonts w:eastAsia="Times New Roman" w:cstheme="minorHAnsi"/>
          <w:vertAlign w:val="superscript"/>
          <w:lang w:val="en-NZ" w:eastAsia="en-AU"/>
        </w:rPr>
        <w:t>®</w:t>
      </w:r>
      <w:r w:rsidRPr="0037346A">
        <w:rPr>
          <w:rFonts w:eastAsia="Times New Roman" w:cstheme="minorHAnsi"/>
          <w:lang w:val="en-NZ" w:eastAsia="en-AU"/>
        </w:rPr>
        <w:t xml:space="preserve"> and cisplatin is significantly higher than with single-agent NAVELBINE</w:t>
      </w:r>
      <w:r w:rsidRPr="0037346A">
        <w:rPr>
          <w:rFonts w:eastAsia="Times New Roman" w:cstheme="minorHAnsi"/>
          <w:vertAlign w:val="superscript"/>
          <w:lang w:val="en-NZ" w:eastAsia="en-AU"/>
        </w:rPr>
        <w:t>®</w:t>
      </w:r>
      <w:r w:rsidRPr="0037346A">
        <w:rPr>
          <w:rFonts w:eastAsia="Times New Roman" w:cstheme="minorHAnsi"/>
          <w:lang w:val="en-NZ" w:eastAsia="en-AU"/>
        </w:rPr>
        <w:t xml:space="preserve">. </w:t>
      </w:r>
    </w:p>
    <w:p w14:paraId="5C2DC05E" w14:textId="77777777" w:rsidR="005F6105" w:rsidRPr="0037346A" w:rsidRDefault="005F6105" w:rsidP="005F6105">
      <w:pPr>
        <w:spacing w:before="100" w:beforeAutospacing="1" w:after="100" w:afterAutospacing="1" w:line="240" w:lineRule="auto"/>
        <w:rPr>
          <w:rFonts w:eastAsia="Times New Roman" w:cstheme="minorHAnsi"/>
          <w:lang w:val="en-NZ" w:eastAsia="en-AU"/>
        </w:rPr>
      </w:pPr>
      <w:r w:rsidRPr="0037346A">
        <w:rPr>
          <w:rFonts w:eastAsia="Times New Roman" w:cstheme="minorHAnsi"/>
          <w:lang w:val="en-NZ" w:eastAsia="en-AU"/>
        </w:rPr>
        <w:t>In studies with rats, the anticoagulant effect of phenindione was potentiated when given in combination with high dose of vinorelbine (30 mg/m²/day for 4 consecutive days or 15 mg/m²/day for 5 consecutive days) but combination treatment with sodium valproate did not cause any increase in anticonvulsant activity.</w:t>
      </w:r>
    </w:p>
    <w:p w14:paraId="6239CCE8" w14:textId="77777777" w:rsidR="005F6105" w:rsidRPr="0037346A" w:rsidRDefault="005F6105" w:rsidP="005F6105">
      <w:pPr>
        <w:spacing w:before="100" w:beforeAutospacing="1" w:after="100" w:afterAutospacing="1" w:line="240" w:lineRule="auto"/>
        <w:rPr>
          <w:rFonts w:eastAsia="Times New Roman" w:cstheme="minorHAnsi"/>
          <w:lang w:val="en-NZ" w:eastAsia="en-AU"/>
        </w:rPr>
      </w:pPr>
      <w:r w:rsidRPr="0037346A">
        <w:rPr>
          <w:rFonts w:eastAsia="Times New Roman" w:cstheme="minorHAnsi"/>
          <w:lang w:val="en-NZ" w:eastAsia="en-AU"/>
        </w:rPr>
        <w:t>Vinorelbine is metabolised by cytochrome CYP3A4. Although interaction studies have not been performed, it is expected that inhibitors of CYP3A4 such as ketoconazole, itraconazole, ritinovir etc, would result in elevated blood concentrations of vinorelbine. Inducers of CYP3A4 such as rifampicin and phenytoin may reduce concentrations of vinorelbine. Since the magnitude of the inducing or inhibiting effects is unknown, such drug combinations should be avoided.</w:t>
      </w:r>
    </w:p>
    <w:p w14:paraId="5E76DCA9" w14:textId="77777777" w:rsidR="005F6105" w:rsidRPr="0037346A" w:rsidRDefault="005F6105" w:rsidP="005F6105">
      <w:pPr>
        <w:spacing w:before="100" w:beforeAutospacing="1" w:after="100" w:afterAutospacing="1" w:line="240" w:lineRule="auto"/>
        <w:outlineLvl w:val="4"/>
        <w:rPr>
          <w:rFonts w:eastAsia="Times New Roman" w:cstheme="minorHAnsi"/>
          <w:b/>
          <w:bCs/>
          <w:lang w:val="en-NZ" w:eastAsia="en-AU"/>
        </w:rPr>
      </w:pPr>
      <w:r w:rsidRPr="0037346A">
        <w:rPr>
          <w:rFonts w:eastAsia="Times New Roman" w:cstheme="minorHAnsi"/>
          <w:b/>
          <w:bCs/>
          <w:lang w:val="en-NZ" w:eastAsia="en-AU"/>
        </w:rPr>
        <w:t>Food</w:t>
      </w:r>
    </w:p>
    <w:p w14:paraId="10FC2D51" w14:textId="77777777" w:rsidR="005F6105" w:rsidRPr="0037346A" w:rsidRDefault="005F6105" w:rsidP="005F6105">
      <w:pPr>
        <w:spacing w:before="100" w:beforeAutospacing="1" w:after="100" w:afterAutospacing="1" w:line="240" w:lineRule="auto"/>
        <w:rPr>
          <w:rFonts w:eastAsia="Times New Roman" w:cstheme="minorHAnsi"/>
          <w:lang w:val="en-NZ" w:eastAsia="en-AU"/>
        </w:rPr>
      </w:pPr>
      <w:r w:rsidRPr="0037346A">
        <w:rPr>
          <w:rFonts w:eastAsia="Times New Roman" w:cstheme="minorHAnsi"/>
          <w:lang w:val="en-NZ" w:eastAsia="en-AU"/>
        </w:rPr>
        <w:t>Simultaneous intake of a low fat standard meal does not modify exposure to vinorelbine.</w:t>
      </w:r>
    </w:p>
    <w:p w14:paraId="356341CF" w14:textId="77777777" w:rsidR="005F6105" w:rsidRPr="0037346A" w:rsidRDefault="005F6105" w:rsidP="005F6105">
      <w:pPr>
        <w:spacing w:before="100" w:beforeAutospacing="1" w:after="100" w:afterAutospacing="1" w:line="240" w:lineRule="auto"/>
        <w:outlineLvl w:val="4"/>
        <w:rPr>
          <w:rFonts w:eastAsia="Times New Roman" w:cstheme="minorHAnsi"/>
          <w:b/>
          <w:bCs/>
          <w:lang w:val="en-NZ" w:eastAsia="en-AU"/>
        </w:rPr>
      </w:pPr>
      <w:r w:rsidRPr="0037346A">
        <w:rPr>
          <w:rFonts w:eastAsia="Times New Roman" w:cstheme="minorHAnsi"/>
          <w:b/>
          <w:bCs/>
          <w:lang w:val="en-NZ" w:eastAsia="en-AU"/>
        </w:rPr>
        <w:lastRenderedPageBreak/>
        <w:t>Paediatric use</w:t>
      </w:r>
    </w:p>
    <w:p w14:paraId="3BE083AE" w14:textId="77777777" w:rsidR="005F6105" w:rsidRPr="0037346A" w:rsidRDefault="005F6105" w:rsidP="005F6105">
      <w:pPr>
        <w:spacing w:before="100" w:beforeAutospacing="1" w:after="100" w:afterAutospacing="1" w:line="240" w:lineRule="auto"/>
        <w:rPr>
          <w:rFonts w:eastAsia="Times New Roman" w:cstheme="minorHAnsi"/>
          <w:lang w:val="en-NZ" w:eastAsia="en-AU"/>
        </w:rPr>
      </w:pPr>
      <w:r w:rsidRPr="0037346A">
        <w:rPr>
          <w:rFonts w:eastAsia="Times New Roman" w:cstheme="minorHAnsi"/>
          <w:lang w:val="en-NZ" w:eastAsia="en-AU"/>
        </w:rPr>
        <w:t>Safety and effectiveness have not been established.</w:t>
      </w:r>
    </w:p>
    <w:p w14:paraId="2F28901D" w14:textId="77777777" w:rsidR="005F6105" w:rsidRPr="0037346A" w:rsidRDefault="005F6105" w:rsidP="005F6105">
      <w:pPr>
        <w:spacing w:before="100" w:beforeAutospacing="1" w:after="100" w:afterAutospacing="1" w:line="240" w:lineRule="auto"/>
        <w:outlineLvl w:val="4"/>
        <w:rPr>
          <w:rFonts w:eastAsia="Times New Roman" w:cstheme="minorHAnsi"/>
          <w:b/>
          <w:bCs/>
          <w:lang w:val="en-NZ" w:eastAsia="en-AU"/>
        </w:rPr>
      </w:pPr>
      <w:r w:rsidRPr="0037346A">
        <w:rPr>
          <w:rFonts w:eastAsia="Times New Roman" w:cstheme="minorHAnsi"/>
          <w:b/>
          <w:bCs/>
          <w:lang w:val="en-NZ" w:eastAsia="en-AU"/>
        </w:rPr>
        <w:t>Geriatric Use</w:t>
      </w:r>
    </w:p>
    <w:p w14:paraId="422D8393" w14:textId="77777777" w:rsidR="005F6105" w:rsidRPr="0037346A" w:rsidRDefault="005F6105" w:rsidP="005F6105">
      <w:pPr>
        <w:spacing w:before="100" w:beforeAutospacing="1" w:after="100" w:afterAutospacing="1" w:line="240" w:lineRule="auto"/>
        <w:rPr>
          <w:rFonts w:eastAsia="Times New Roman" w:cstheme="minorHAnsi"/>
          <w:lang w:val="en-NZ" w:eastAsia="en-AU"/>
        </w:rPr>
      </w:pPr>
      <w:r w:rsidRPr="0037346A">
        <w:rPr>
          <w:rFonts w:eastAsia="Times New Roman" w:cstheme="minorHAnsi"/>
          <w:lang w:val="en-NZ" w:eastAsia="en-AU"/>
        </w:rPr>
        <w:t>Clinical experience has not identified differences in responses between the elderly and younger patients, but greater sensitivity of some older individuals cannot be ruled out.</w:t>
      </w:r>
    </w:p>
    <w:p w14:paraId="671D6C7A" w14:textId="77777777" w:rsidR="005F6105" w:rsidRPr="0037346A" w:rsidRDefault="005F6105" w:rsidP="005F6105">
      <w:pPr>
        <w:pBdr>
          <w:top w:val="single" w:sz="6" w:space="6" w:color="362B7C"/>
          <w:bottom w:val="single" w:sz="6" w:space="6" w:color="362B7C"/>
        </w:pBdr>
        <w:spacing w:before="100" w:beforeAutospacing="1" w:after="120" w:line="240" w:lineRule="auto"/>
        <w:outlineLvl w:val="3"/>
        <w:rPr>
          <w:rFonts w:eastAsia="Times New Roman" w:cstheme="minorHAnsi"/>
          <w:b/>
          <w:bCs/>
          <w:lang w:val="en-NZ" w:eastAsia="en-AU"/>
        </w:rPr>
      </w:pPr>
      <w:r w:rsidRPr="0037346A">
        <w:rPr>
          <w:rFonts w:eastAsia="Times New Roman" w:cstheme="minorHAnsi"/>
          <w:b/>
          <w:bCs/>
          <w:lang w:val="en-NZ" w:eastAsia="en-AU"/>
        </w:rPr>
        <w:t>Adverse Reactions</w:t>
      </w:r>
    </w:p>
    <w:p w14:paraId="6ED7687F" w14:textId="77777777" w:rsidR="005F6105" w:rsidRPr="0037346A" w:rsidRDefault="005F6105" w:rsidP="005F6105">
      <w:pPr>
        <w:spacing w:before="100" w:beforeAutospacing="1" w:after="100" w:afterAutospacing="1" w:line="240" w:lineRule="auto"/>
        <w:rPr>
          <w:rFonts w:eastAsia="Times New Roman" w:cstheme="minorHAnsi"/>
          <w:lang w:val="en-NZ" w:eastAsia="en-AU"/>
        </w:rPr>
      </w:pPr>
      <w:r w:rsidRPr="0037346A">
        <w:rPr>
          <w:rFonts w:eastAsia="Times New Roman" w:cstheme="minorHAnsi"/>
          <w:lang w:val="en-NZ" w:eastAsia="en-AU"/>
        </w:rPr>
        <w:t>The reported incidence of undesirable effects with NAVELBINE</w:t>
      </w:r>
      <w:r w:rsidRPr="0037346A">
        <w:rPr>
          <w:rFonts w:eastAsia="Times New Roman" w:cstheme="minorHAnsi"/>
          <w:vertAlign w:val="superscript"/>
          <w:lang w:val="en-NZ" w:eastAsia="en-AU"/>
        </w:rPr>
        <w:t>®</w:t>
      </w:r>
      <w:r w:rsidRPr="0037346A">
        <w:rPr>
          <w:rFonts w:eastAsia="Times New Roman" w:cstheme="minorHAnsi"/>
          <w:lang w:val="en-NZ" w:eastAsia="en-AU"/>
        </w:rPr>
        <w:t xml:space="preserve"> Oral was determined from clinical studies in 210 patients.</w:t>
      </w:r>
    </w:p>
    <w:p w14:paraId="58D0CAB8" w14:textId="77777777" w:rsidR="005F6105" w:rsidRPr="0037346A" w:rsidRDefault="005F6105" w:rsidP="005F6105">
      <w:pPr>
        <w:spacing w:before="100" w:beforeAutospacing="1" w:after="100" w:afterAutospacing="1" w:line="240" w:lineRule="auto"/>
        <w:outlineLvl w:val="4"/>
        <w:rPr>
          <w:rFonts w:eastAsia="Times New Roman" w:cstheme="minorHAnsi"/>
          <w:b/>
          <w:bCs/>
          <w:lang w:val="en-NZ" w:eastAsia="en-AU"/>
        </w:rPr>
      </w:pPr>
      <w:r w:rsidRPr="0037346A">
        <w:rPr>
          <w:rFonts w:eastAsia="Times New Roman" w:cstheme="minorHAnsi"/>
          <w:b/>
          <w:bCs/>
          <w:lang w:val="en-NZ" w:eastAsia="en-AU"/>
        </w:rPr>
        <w:t>Haematological</w:t>
      </w:r>
    </w:p>
    <w:p w14:paraId="5CFDD4FA" w14:textId="77777777" w:rsidR="005F6105" w:rsidRPr="0037346A" w:rsidRDefault="005F6105" w:rsidP="005F6105">
      <w:pPr>
        <w:spacing w:before="100" w:beforeAutospacing="1" w:after="100" w:afterAutospacing="1" w:line="240" w:lineRule="auto"/>
        <w:rPr>
          <w:rFonts w:eastAsia="Times New Roman" w:cstheme="minorHAnsi"/>
          <w:lang w:val="en-NZ" w:eastAsia="en-AU"/>
        </w:rPr>
      </w:pPr>
      <w:r w:rsidRPr="0037346A">
        <w:rPr>
          <w:rFonts w:eastAsia="Times New Roman" w:cstheme="minorHAnsi"/>
          <w:lang w:val="en-NZ" w:eastAsia="en-AU"/>
        </w:rPr>
        <w:t>Neutropenia is the dose-limiting toxicity with NAVELBINE</w:t>
      </w:r>
      <w:r w:rsidRPr="0037346A">
        <w:rPr>
          <w:rFonts w:eastAsia="Times New Roman" w:cstheme="minorHAnsi"/>
          <w:vertAlign w:val="superscript"/>
          <w:lang w:val="en-NZ" w:eastAsia="en-AU"/>
        </w:rPr>
        <w:t>®</w:t>
      </w:r>
      <w:r w:rsidRPr="0037346A">
        <w:rPr>
          <w:rFonts w:eastAsia="Times New Roman" w:cstheme="minorHAnsi"/>
          <w:lang w:val="en-NZ" w:eastAsia="en-AU"/>
        </w:rPr>
        <w:t xml:space="preserve">. Neutropenia (Grade 1-2: </w:t>
      </w:r>
    </w:p>
    <w:p w14:paraId="10E05663" w14:textId="77777777" w:rsidR="005F6105" w:rsidRPr="0037346A" w:rsidRDefault="005F6105" w:rsidP="005F6105">
      <w:pPr>
        <w:spacing w:before="100" w:beforeAutospacing="1" w:after="100" w:afterAutospacing="1" w:line="240" w:lineRule="auto"/>
        <w:rPr>
          <w:rFonts w:eastAsia="Times New Roman" w:cstheme="minorHAnsi"/>
          <w:lang w:val="en-NZ" w:eastAsia="en-AU"/>
        </w:rPr>
      </w:pPr>
      <w:r w:rsidRPr="0037346A">
        <w:rPr>
          <w:rFonts w:eastAsia="Times New Roman" w:cstheme="minorHAnsi"/>
          <w:lang w:val="en-NZ" w:eastAsia="en-AU"/>
        </w:rPr>
        <w:t>24%, Grade 3: 19%, Grade 4: 23.8%) was rapidly reversible and non-cumulative. Grade 4 neutropenia was associated with a fever over 38°C in 2.9% of patients. Further treatment may be given after recovery of the neutrophil count. Infections were observed in 15.2% of patients but were severe in 5.2%.</w:t>
      </w:r>
    </w:p>
    <w:p w14:paraId="095EC618" w14:textId="77777777" w:rsidR="005F6105" w:rsidRPr="0037346A" w:rsidRDefault="005F6105" w:rsidP="005F6105">
      <w:pPr>
        <w:spacing w:before="100" w:beforeAutospacing="1" w:after="100" w:afterAutospacing="1" w:line="240" w:lineRule="auto"/>
        <w:rPr>
          <w:rFonts w:eastAsia="Times New Roman" w:cstheme="minorHAnsi"/>
          <w:lang w:val="en-NZ" w:eastAsia="en-AU"/>
        </w:rPr>
      </w:pPr>
      <w:r w:rsidRPr="0037346A">
        <w:rPr>
          <w:rFonts w:eastAsia="Times New Roman" w:cstheme="minorHAnsi"/>
          <w:lang w:val="en-NZ" w:eastAsia="en-AU"/>
        </w:rPr>
        <w:t>Anaemia was very common but usually mild to moderate (Grade 3: 4.3%, Grade 4: 0.5%). Thrombocytopenia may also occur but was seldom severe (Grade 1 to 2: 12.9%). Dose adjustments are required for haematologic toxicity (see DOSAGE AND ADMINISTRATION).</w:t>
      </w:r>
    </w:p>
    <w:p w14:paraId="13E24E0E" w14:textId="77777777" w:rsidR="005F6105" w:rsidRPr="0037346A" w:rsidRDefault="005F6105" w:rsidP="005F6105">
      <w:pPr>
        <w:spacing w:before="100" w:beforeAutospacing="1" w:after="100" w:afterAutospacing="1" w:line="240" w:lineRule="auto"/>
        <w:outlineLvl w:val="4"/>
        <w:rPr>
          <w:rFonts w:eastAsia="Times New Roman" w:cstheme="minorHAnsi"/>
          <w:b/>
          <w:bCs/>
          <w:lang w:val="en-NZ" w:eastAsia="en-AU"/>
        </w:rPr>
      </w:pPr>
      <w:r w:rsidRPr="0037346A">
        <w:rPr>
          <w:rFonts w:eastAsia="Times New Roman" w:cstheme="minorHAnsi"/>
          <w:b/>
          <w:bCs/>
          <w:lang w:val="en-NZ" w:eastAsia="en-AU"/>
        </w:rPr>
        <w:t>Neurological</w:t>
      </w:r>
    </w:p>
    <w:p w14:paraId="6BD91F90" w14:textId="77777777" w:rsidR="005F6105" w:rsidRPr="0037346A" w:rsidRDefault="005F6105" w:rsidP="005F6105">
      <w:pPr>
        <w:spacing w:before="100" w:beforeAutospacing="1" w:after="100" w:afterAutospacing="1" w:line="240" w:lineRule="auto"/>
        <w:rPr>
          <w:rFonts w:eastAsia="Times New Roman" w:cstheme="minorHAnsi"/>
          <w:lang w:val="en-NZ" w:eastAsia="en-AU"/>
        </w:rPr>
      </w:pPr>
      <w:r w:rsidRPr="0037346A">
        <w:rPr>
          <w:rFonts w:eastAsia="Times New Roman" w:cstheme="minorHAnsi"/>
          <w:lang w:val="en-NZ" w:eastAsia="en-AU"/>
        </w:rPr>
        <w:t>Neurosensory disorders were generally limited to loss of deep tendon reflexes (Grades 1 to 2: 12.4%) and infrequently severe. One patient presented partially reversible grade 3 ataxia. Neuromotor disorders were seen in 10.0% of patients (Grade 3: 1.0%).</w:t>
      </w:r>
    </w:p>
    <w:p w14:paraId="039CC529" w14:textId="77777777" w:rsidR="005F6105" w:rsidRPr="0037346A" w:rsidRDefault="005F6105" w:rsidP="005F6105">
      <w:pPr>
        <w:spacing w:before="100" w:beforeAutospacing="1" w:after="100" w:afterAutospacing="1" w:line="240" w:lineRule="auto"/>
        <w:rPr>
          <w:rFonts w:eastAsia="Times New Roman" w:cstheme="minorHAnsi"/>
          <w:lang w:val="en-NZ" w:eastAsia="en-AU"/>
        </w:rPr>
      </w:pPr>
      <w:r w:rsidRPr="0037346A">
        <w:rPr>
          <w:rFonts w:eastAsia="Times New Roman" w:cstheme="minorHAnsi"/>
          <w:lang w:val="en-NZ" w:eastAsia="en-AU"/>
        </w:rPr>
        <w:t>Neuroconstipation was seen in 11.3% of patients (Grades 1 to 2: 10%) and rarely progressed to paralytic ileus (1.4%). One episode of fatal paralytic ileus was reported. Use of prescription laxatives may be appropriate in patients with prior history of constipation and/or who received concomitant treatment with opioid analgesics.</w:t>
      </w:r>
    </w:p>
    <w:p w14:paraId="30447476" w14:textId="77777777" w:rsidR="005F6105" w:rsidRPr="0037346A" w:rsidRDefault="005F6105" w:rsidP="005F6105">
      <w:pPr>
        <w:spacing w:before="100" w:beforeAutospacing="1" w:after="100" w:afterAutospacing="1" w:line="240" w:lineRule="auto"/>
        <w:rPr>
          <w:rFonts w:eastAsia="Times New Roman" w:cstheme="minorHAnsi"/>
          <w:lang w:val="en-NZ" w:eastAsia="en-AU"/>
        </w:rPr>
      </w:pPr>
      <w:r w:rsidRPr="0037346A">
        <w:rPr>
          <w:rFonts w:eastAsia="Times New Roman" w:cstheme="minorHAnsi"/>
          <w:lang w:val="en-NZ" w:eastAsia="en-AU"/>
        </w:rPr>
        <w:t>Mild to moderate peripheral neuropathy manifested by paraesthesia and loss of deep tendon reflexes (Grade 3: 2.5%, Grade 4: 0.2%) and hyperesthesia have been reported with IV administration. After prolonged treatment, weakness of the lower extremities has also been reported. The effects are dose dependent but usually reversible when treatment is discontinued.</w:t>
      </w:r>
    </w:p>
    <w:p w14:paraId="4D34A00B" w14:textId="77777777" w:rsidR="005F6105" w:rsidRPr="0037346A" w:rsidRDefault="005F6105" w:rsidP="005F6105">
      <w:pPr>
        <w:spacing w:before="100" w:beforeAutospacing="1" w:after="100" w:afterAutospacing="1" w:line="240" w:lineRule="auto"/>
        <w:outlineLvl w:val="4"/>
        <w:rPr>
          <w:rFonts w:eastAsia="Times New Roman" w:cstheme="minorHAnsi"/>
          <w:b/>
          <w:bCs/>
          <w:lang w:val="en-NZ" w:eastAsia="en-AU"/>
        </w:rPr>
      </w:pPr>
      <w:r w:rsidRPr="0037346A">
        <w:rPr>
          <w:rFonts w:eastAsia="Times New Roman" w:cstheme="minorHAnsi"/>
          <w:b/>
          <w:bCs/>
          <w:lang w:val="en-NZ" w:eastAsia="en-AU"/>
        </w:rPr>
        <w:t>Gastrointestinal</w:t>
      </w:r>
    </w:p>
    <w:p w14:paraId="76ECA347" w14:textId="77777777" w:rsidR="005F6105" w:rsidRPr="0037346A" w:rsidRDefault="005F6105" w:rsidP="005F6105">
      <w:pPr>
        <w:spacing w:before="100" w:beforeAutospacing="1" w:after="100" w:afterAutospacing="1" w:line="240" w:lineRule="auto"/>
        <w:rPr>
          <w:rFonts w:eastAsia="Times New Roman" w:cstheme="minorHAnsi"/>
          <w:lang w:val="en-NZ" w:eastAsia="en-AU"/>
        </w:rPr>
      </w:pPr>
      <w:r w:rsidRPr="0037346A">
        <w:rPr>
          <w:rFonts w:eastAsia="Times New Roman" w:cstheme="minorHAnsi"/>
          <w:lang w:val="en-NZ" w:eastAsia="en-AU"/>
        </w:rPr>
        <w:t xml:space="preserve">Gastrointestinal adverse events occur more commonly with oral vinorelbine than with intravenous administration. Gastrointestinal adverse events reported included: nausea (Grades 1 to 2: 70.5%, Grade 3: 8.6%, Grade 4: 0.5%), vomiting (Grades 1 to 2: 52.9%, Grade 3: 4.3%, Grade 4: 3.3%), diarrhoea (Grades 1 to 2: 41.9%, Grade 3: 2.9%, Grade 4: 2.4%), and anorexia (Grades 1 to 2: 26.7%, Grade 3: </w:t>
      </w:r>
      <w:r w:rsidRPr="0037346A">
        <w:rPr>
          <w:rFonts w:eastAsia="Times New Roman" w:cstheme="minorHAnsi"/>
          <w:lang w:val="en-NZ" w:eastAsia="en-AU"/>
        </w:rPr>
        <w:lastRenderedPageBreak/>
        <w:t>4.8%, Grade 4: 1.0%). Concomitant supportive treatment with metoclopramide or 5HT3 antagonists may reduce the occurrence of nausea and vomiting.</w:t>
      </w:r>
    </w:p>
    <w:p w14:paraId="6F40E076" w14:textId="77777777" w:rsidR="005F6105" w:rsidRPr="0037346A" w:rsidRDefault="005F6105" w:rsidP="005F6105">
      <w:pPr>
        <w:spacing w:before="100" w:beforeAutospacing="1" w:after="100" w:afterAutospacing="1" w:line="240" w:lineRule="auto"/>
        <w:rPr>
          <w:rFonts w:eastAsia="Times New Roman" w:cstheme="minorHAnsi"/>
          <w:lang w:val="en-NZ" w:eastAsia="en-AU"/>
        </w:rPr>
      </w:pPr>
      <w:r w:rsidRPr="0037346A">
        <w:rPr>
          <w:rFonts w:eastAsia="Times New Roman" w:cstheme="minorHAnsi"/>
          <w:lang w:val="en-NZ" w:eastAsia="en-AU"/>
        </w:rPr>
        <w:t>Stomatitis usually mild to moderate occurred (Grades 1-2: 8.7%). Oesophagitis was seen in 4.8% of patients (Grade 3: 0.5%). Pancreatitis has been reported very rarely when vinorelbine is given intravenously.</w:t>
      </w:r>
    </w:p>
    <w:p w14:paraId="26F010DF" w14:textId="77777777" w:rsidR="005F6105" w:rsidRPr="0037346A" w:rsidRDefault="005F6105" w:rsidP="005F6105">
      <w:pPr>
        <w:spacing w:before="100" w:beforeAutospacing="1" w:after="100" w:afterAutospacing="1" w:line="240" w:lineRule="auto"/>
        <w:outlineLvl w:val="4"/>
        <w:rPr>
          <w:rFonts w:eastAsia="Times New Roman" w:cstheme="minorHAnsi"/>
          <w:b/>
          <w:bCs/>
          <w:lang w:val="en-NZ" w:eastAsia="en-AU"/>
        </w:rPr>
      </w:pPr>
      <w:r w:rsidRPr="0037346A">
        <w:rPr>
          <w:rFonts w:eastAsia="Times New Roman" w:cstheme="minorHAnsi"/>
          <w:b/>
          <w:bCs/>
          <w:lang w:val="en-NZ" w:eastAsia="en-AU"/>
        </w:rPr>
        <w:t>Other</w:t>
      </w:r>
    </w:p>
    <w:p w14:paraId="62C3F42E" w14:textId="77777777" w:rsidR="005F6105" w:rsidRPr="0037346A" w:rsidRDefault="005F6105" w:rsidP="005F6105">
      <w:pPr>
        <w:spacing w:before="100" w:beforeAutospacing="1" w:after="100" w:afterAutospacing="1" w:line="240" w:lineRule="auto"/>
        <w:rPr>
          <w:rFonts w:eastAsia="Times New Roman" w:cstheme="minorHAnsi"/>
          <w:lang w:val="en-NZ" w:eastAsia="en-AU"/>
        </w:rPr>
      </w:pPr>
      <w:r w:rsidRPr="0037346A">
        <w:rPr>
          <w:rFonts w:eastAsia="Times New Roman" w:cstheme="minorHAnsi"/>
          <w:lang w:val="en-NZ" w:eastAsia="en-AU"/>
        </w:rPr>
        <w:t>Fatigue (Grades 1-2: 19.5%, Grade 3: 6.7%), fever (Grades 1-2: 12.4%), arthralgia including jaw pain, myalgia (Grades 1-2: 9.0%), pain including pain at the tumour site (Grades 1-2: 5.2%) have been experienced by patients receiving NAVELBINE</w:t>
      </w:r>
      <w:r w:rsidRPr="0037346A">
        <w:rPr>
          <w:rFonts w:eastAsia="Times New Roman" w:cstheme="minorHAnsi"/>
          <w:vertAlign w:val="superscript"/>
          <w:lang w:val="en-NZ" w:eastAsia="en-AU"/>
        </w:rPr>
        <w:t>®</w:t>
      </w:r>
      <w:r w:rsidRPr="0037346A">
        <w:rPr>
          <w:rFonts w:eastAsia="Times New Roman" w:cstheme="minorHAnsi"/>
          <w:lang w:val="en-NZ" w:eastAsia="en-AU"/>
        </w:rPr>
        <w:t xml:space="preserve"> Oral. Haemorrhagic cystitis and the syndrome of inappropriate ADH secretions were each reported in &lt; 1% of patients given Navelbine</w:t>
      </w:r>
      <w:r w:rsidRPr="0037346A">
        <w:rPr>
          <w:rFonts w:eastAsia="Times New Roman" w:cstheme="minorHAnsi"/>
          <w:vertAlign w:val="superscript"/>
          <w:lang w:val="en-NZ" w:eastAsia="en-AU"/>
        </w:rPr>
        <w:t>®</w:t>
      </w:r>
      <w:r w:rsidRPr="0037346A">
        <w:rPr>
          <w:rFonts w:eastAsia="Times New Roman" w:cstheme="minorHAnsi"/>
          <w:lang w:val="en-NZ" w:eastAsia="en-AU"/>
        </w:rPr>
        <w:t xml:space="preserve"> IV. Rare cases of severe hyponatraemia have been reported with Navelbine</w:t>
      </w:r>
      <w:r w:rsidRPr="0037346A">
        <w:rPr>
          <w:rFonts w:eastAsia="Times New Roman" w:cstheme="minorHAnsi"/>
          <w:vertAlign w:val="superscript"/>
          <w:lang w:val="en-NZ" w:eastAsia="en-AU"/>
        </w:rPr>
        <w:t>®</w:t>
      </w:r>
      <w:r w:rsidRPr="0037346A">
        <w:rPr>
          <w:rFonts w:eastAsia="Times New Roman" w:cstheme="minorHAnsi"/>
          <w:lang w:val="en-NZ" w:eastAsia="en-AU"/>
        </w:rPr>
        <w:t xml:space="preserve"> IV.</w:t>
      </w:r>
    </w:p>
    <w:p w14:paraId="127B7942" w14:textId="77777777" w:rsidR="005F6105" w:rsidRPr="0037346A" w:rsidRDefault="005F6105" w:rsidP="005F6105">
      <w:pPr>
        <w:spacing w:before="100" w:beforeAutospacing="1" w:after="100" w:afterAutospacing="1" w:line="240" w:lineRule="auto"/>
        <w:rPr>
          <w:rFonts w:eastAsia="Times New Roman" w:cstheme="minorHAnsi"/>
          <w:lang w:val="en-NZ" w:eastAsia="en-AU"/>
        </w:rPr>
      </w:pPr>
      <w:r w:rsidRPr="0037346A">
        <w:rPr>
          <w:rFonts w:eastAsia="Times New Roman" w:cstheme="minorHAnsi"/>
          <w:lang w:val="en-NZ" w:eastAsia="en-AU"/>
        </w:rPr>
        <w:t>In addition, it cannot be ruled out that the following effects may also be experienced with use of NAVELBINE</w:t>
      </w:r>
      <w:r w:rsidRPr="0037346A">
        <w:rPr>
          <w:rFonts w:eastAsia="Times New Roman" w:cstheme="minorHAnsi"/>
          <w:vertAlign w:val="superscript"/>
          <w:lang w:val="en-NZ" w:eastAsia="en-AU"/>
        </w:rPr>
        <w:t>®</w:t>
      </w:r>
      <w:r w:rsidRPr="0037346A">
        <w:rPr>
          <w:rFonts w:eastAsia="Times New Roman" w:cstheme="minorHAnsi"/>
          <w:lang w:val="en-NZ" w:eastAsia="en-AU"/>
        </w:rPr>
        <w:t xml:space="preserve"> Oral, as they have been observed with intravenous administration, and with other vinca alkaloids.</w:t>
      </w:r>
    </w:p>
    <w:p w14:paraId="25E785B6" w14:textId="77777777" w:rsidR="005F6105" w:rsidRPr="0037346A" w:rsidRDefault="005F6105" w:rsidP="005F6105">
      <w:pPr>
        <w:spacing w:before="100" w:beforeAutospacing="1" w:after="100" w:afterAutospacing="1" w:line="240" w:lineRule="auto"/>
        <w:outlineLvl w:val="4"/>
        <w:rPr>
          <w:rFonts w:eastAsia="Times New Roman" w:cstheme="minorHAnsi"/>
          <w:b/>
          <w:bCs/>
          <w:lang w:val="en-NZ" w:eastAsia="en-AU"/>
        </w:rPr>
      </w:pPr>
      <w:r w:rsidRPr="0037346A">
        <w:rPr>
          <w:rFonts w:eastAsia="Times New Roman" w:cstheme="minorHAnsi"/>
          <w:b/>
          <w:bCs/>
          <w:lang w:val="en-NZ" w:eastAsia="en-AU"/>
        </w:rPr>
        <w:t>Cardiovascular</w:t>
      </w:r>
    </w:p>
    <w:p w14:paraId="3E015B74" w14:textId="77777777" w:rsidR="005F6105" w:rsidRPr="0037346A" w:rsidRDefault="005F6105" w:rsidP="005F6105">
      <w:pPr>
        <w:spacing w:before="100" w:beforeAutospacing="1" w:after="100" w:afterAutospacing="1" w:line="240" w:lineRule="auto"/>
        <w:rPr>
          <w:rFonts w:eastAsia="Times New Roman" w:cstheme="minorHAnsi"/>
          <w:lang w:val="en-NZ" w:eastAsia="en-AU"/>
        </w:rPr>
      </w:pPr>
      <w:r w:rsidRPr="0037346A">
        <w:rPr>
          <w:rFonts w:eastAsia="Times New Roman" w:cstheme="minorHAnsi"/>
          <w:lang w:val="en-NZ" w:eastAsia="en-AU"/>
        </w:rPr>
        <w:t>There have been rare reports of ischemic cardiac disease (angina pectoris, myocardial infarction). In very rare cases, cardiac failure and pulmonary oedema have been reported during treatment with Navelbine</w:t>
      </w:r>
      <w:r w:rsidRPr="0037346A">
        <w:rPr>
          <w:rFonts w:eastAsia="Times New Roman" w:cstheme="minorHAnsi"/>
          <w:vertAlign w:val="superscript"/>
          <w:lang w:val="en-NZ" w:eastAsia="en-AU"/>
        </w:rPr>
        <w:t>®</w:t>
      </w:r>
      <w:r w:rsidRPr="0037346A">
        <w:rPr>
          <w:rFonts w:eastAsia="Times New Roman" w:cstheme="minorHAnsi"/>
          <w:lang w:val="en-NZ" w:eastAsia="en-AU"/>
        </w:rPr>
        <w:t xml:space="preserve"> IV, however a causal relationship has not been established.</w:t>
      </w:r>
    </w:p>
    <w:p w14:paraId="551E3DCB" w14:textId="77777777" w:rsidR="005F6105" w:rsidRPr="0037346A" w:rsidRDefault="005F6105" w:rsidP="005F6105">
      <w:pPr>
        <w:spacing w:before="100" w:beforeAutospacing="1" w:after="100" w:afterAutospacing="1" w:line="240" w:lineRule="auto"/>
        <w:outlineLvl w:val="4"/>
        <w:rPr>
          <w:rFonts w:eastAsia="Times New Roman" w:cstheme="minorHAnsi"/>
          <w:b/>
          <w:bCs/>
          <w:lang w:val="en-NZ" w:eastAsia="en-AU"/>
        </w:rPr>
      </w:pPr>
      <w:r w:rsidRPr="0037346A">
        <w:rPr>
          <w:rFonts w:eastAsia="Times New Roman" w:cstheme="minorHAnsi"/>
          <w:b/>
          <w:bCs/>
          <w:lang w:val="en-NZ" w:eastAsia="en-AU"/>
        </w:rPr>
        <w:t>Hepatic</w:t>
      </w:r>
    </w:p>
    <w:p w14:paraId="0435679F" w14:textId="77777777" w:rsidR="005F6105" w:rsidRPr="0037346A" w:rsidRDefault="005F6105" w:rsidP="005F6105">
      <w:pPr>
        <w:spacing w:before="100" w:beforeAutospacing="1" w:after="100" w:afterAutospacing="1" w:line="240" w:lineRule="auto"/>
        <w:rPr>
          <w:rFonts w:eastAsia="Times New Roman" w:cstheme="minorHAnsi"/>
          <w:lang w:val="en-NZ" w:eastAsia="en-AU"/>
        </w:rPr>
      </w:pPr>
      <w:r w:rsidRPr="0037346A">
        <w:rPr>
          <w:rFonts w:eastAsia="Times New Roman" w:cstheme="minorHAnsi"/>
          <w:lang w:val="en-NZ" w:eastAsia="en-AU"/>
        </w:rPr>
        <w:t>Transient elevations of liver enzymes were reported without clinical symptoms.</w:t>
      </w:r>
    </w:p>
    <w:p w14:paraId="0FD4EE32" w14:textId="77777777" w:rsidR="005F6105" w:rsidRPr="0037346A" w:rsidRDefault="005F6105" w:rsidP="005F6105">
      <w:pPr>
        <w:spacing w:before="100" w:beforeAutospacing="1" w:after="100" w:afterAutospacing="1" w:line="240" w:lineRule="auto"/>
        <w:outlineLvl w:val="4"/>
        <w:rPr>
          <w:rFonts w:eastAsia="Times New Roman" w:cstheme="minorHAnsi"/>
          <w:b/>
          <w:bCs/>
          <w:lang w:val="en-NZ" w:eastAsia="en-AU"/>
        </w:rPr>
      </w:pPr>
      <w:r w:rsidRPr="0037346A">
        <w:rPr>
          <w:rFonts w:eastAsia="Times New Roman" w:cstheme="minorHAnsi"/>
          <w:b/>
          <w:bCs/>
          <w:lang w:val="en-NZ" w:eastAsia="en-AU"/>
        </w:rPr>
        <w:t>Respiratory</w:t>
      </w:r>
    </w:p>
    <w:p w14:paraId="76C2A6D0" w14:textId="77777777" w:rsidR="005F6105" w:rsidRPr="0037346A" w:rsidRDefault="005F6105" w:rsidP="005F6105">
      <w:pPr>
        <w:spacing w:before="100" w:beforeAutospacing="1" w:after="100" w:afterAutospacing="1" w:line="240" w:lineRule="auto"/>
        <w:rPr>
          <w:rFonts w:eastAsia="Times New Roman" w:cstheme="minorHAnsi"/>
          <w:lang w:val="en-NZ" w:eastAsia="en-AU"/>
        </w:rPr>
      </w:pPr>
      <w:r w:rsidRPr="0037346A">
        <w:rPr>
          <w:rFonts w:eastAsia="Times New Roman" w:cstheme="minorHAnsi"/>
          <w:lang w:val="en-NZ" w:eastAsia="en-AU"/>
        </w:rPr>
        <w:t>As with other vinca alkaloids, the intravenous administration of NAVELBINE</w:t>
      </w:r>
      <w:r w:rsidRPr="0037346A">
        <w:rPr>
          <w:rFonts w:eastAsia="Times New Roman" w:cstheme="minorHAnsi"/>
          <w:vertAlign w:val="superscript"/>
          <w:lang w:val="en-NZ" w:eastAsia="en-AU"/>
        </w:rPr>
        <w:t>®</w:t>
      </w:r>
      <w:r w:rsidRPr="0037346A">
        <w:rPr>
          <w:rFonts w:eastAsia="Times New Roman" w:cstheme="minorHAnsi"/>
          <w:lang w:val="en-NZ" w:eastAsia="en-AU"/>
        </w:rPr>
        <w:t xml:space="preserve"> has been associated with dyspnea, bronchospasm and rare cases of interstitial pneumopathy in particular in patients treated with NAVELBINE</w:t>
      </w:r>
      <w:r w:rsidRPr="0037346A">
        <w:rPr>
          <w:rFonts w:eastAsia="Times New Roman" w:cstheme="minorHAnsi"/>
          <w:vertAlign w:val="superscript"/>
          <w:lang w:val="en-NZ" w:eastAsia="en-AU"/>
        </w:rPr>
        <w:t>®</w:t>
      </w:r>
      <w:r w:rsidRPr="0037346A">
        <w:rPr>
          <w:rFonts w:eastAsia="Times New Roman" w:cstheme="minorHAnsi"/>
          <w:lang w:val="en-NZ" w:eastAsia="en-AU"/>
        </w:rPr>
        <w:t xml:space="preserve"> in combination with mitomycin.</w:t>
      </w:r>
    </w:p>
    <w:p w14:paraId="248671AD" w14:textId="77777777" w:rsidR="005F6105" w:rsidRPr="0037346A" w:rsidRDefault="005F6105" w:rsidP="005F6105">
      <w:pPr>
        <w:spacing w:before="100" w:beforeAutospacing="1" w:after="100" w:afterAutospacing="1" w:line="240" w:lineRule="auto"/>
        <w:outlineLvl w:val="4"/>
        <w:rPr>
          <w:rFonts w:eastAsia="Times New Roman" w:cstheme="minorHAnsi"/>
          <w:b/>
          <w:bCs/>
          <w:lang w:val="en-NZ" w:eastAsia="en-AU"/>
        </w:rPr>
      </w:pPr>
      <w:r w:rsidRPr="0037346A">
        <w:rPr>
          <w:rFonts w:eastAsia="Times New Roman" w:cstheme="minorHAnsi"/>
          <w:b/>
          <w:bCs/>
          <w:lang w:val="en-NZ" w:eastAsia="en-AU"/>
        </w:rPr>
        <w:t>Dermatological</w:t>
      </w:r>
    </w:p>
    <w:p w14:paraId="54C3B3EB" w14:textId="77777777" w:rsidR="005F6105" w:rsidRPr="0037346A" w:rsidRDefault="005F6105" w:rsidP="005F6105">
      <w:pPr>
        <w:spacing w:before="100" w:beforeAutospacing="1" w:after="100" w:afterAutospacing="1" w:line="240" w:lineRule="auto"/>
        <w:rPr>
          <w:rFonts w:eastAsia="Times New Roman" w:cstheme="minorHAnsi"/>
          <w:lang w:val="en-NZ" w:eastAsia="en-AU"/>
        </w:rPr>
      </w:pPr>
      <w:r w:rsidRPr="0037346A">
        <w:rPr>
          <w:rFonts w:eastAsia="Times New Roman" w:cstheme="minorHAnsi"/>
          <w:lang w:val="en-NZ" w:eastAsia="en-AU"/>
        </w:rPr>
        <w:t>Alopecia is usually mild (Grades 1-2: 27.1%) and may appear progressively with extended courses of treatment. Rarely vinca alkaloids may produce generalised cutaneous reactions.</w:t>
      </w:r>
    </w:p>
    <w:p w14:paraId="72DA0F71" w14:textId="77777777" w:rsidR="005F6105" w:rsidRPr="0037346A" w:rsidRDefault="005F6105" w:rsidP="005F6105">
      <w:pPr>
        <w:spacing w:before="100" w:beforeAutospacing="1" w:after="100" w:afterAutospacing="1" w:line="240" w:lineRule="auto"/>
        <w:outlineLvl w:val="4"/>
        <w:rPr>
          <w:rFonts w:eastAsia="Times New Roman" w:cstheme="minorHAnsi"/>
          <w:b/>
          <w:bCs/>
          <w:lang w:val="en-NZ" w:eastAsia="en-AU"/>
        </w:rPr>
      </w:pPr>
      <w:r w:rsidRPr="0037346A">
        <w:rPr>
          <w:rFonts w:eastAsia="Times New Roman" w:cstheme="minorHAnsi"/>
          <w:b/>
          <w:bCs/>
          <w:lang w:val="en-NZ" w:eastAsia="en-AU"/>
        </w:rPr>
        <w:t>Adverse Reactions from post-marketing surveillance</w:t>
      </w:r>
    </w:p>
    <w:p w14:paraId="328F506C" w14:textId="77777777" w:rsidR="005F6105" w:rsidRPr="005F6105" w:rsidRDefault="005F6105" w:rsidP="005F6105">
      <w:pPr>
        <w:spacing w:before="100" w:beforeAutospacing="1" w:after="100" w:afterAutospacing="1" w:line="240" w:lineRule="auto"/>
        <w:rPr>
          <w:rFonts w:eastAsia="Times New Roman" w:cstheme="minorHAnsi"/>
          <w:lang w:val="en-NZ" w:eastAsia="en-AU"/>
        </w:rPr>
      </w:pPr>
      <w:r w:rsidRPr="0037346A">
        <w:rPr>
          <w:rFonts w:eastAsia="Times New Roman" w:cstheme="minorHAnsi"/>
          <w:lang w:val="en-NZ" w:eastAsia="en-AU"/>
        </w:rPr>
        <w:t xml:space="preserve">Frequencies are defined as: </w:t>
      </w:r>
      <w:r w:rsidRPr="005F6105">
        <w:rPr>
          <w:rFonts w:eastAsia="Times New Roman" w:cstheme="minorHAnsi"/>
          <w:i/>
          <w:iCs/>
          <w:lang w:val="en-NZ" w:eastAsia="en-AU"/>
        </w:rPr>
        <w:t>very common (&gt;1/10), common (&gt;1/100, &lt;1/10), uncommon (&gt;1/1,000, &lt;1/100), rare (&gt;1/10,000, &lt;1/1,000), very rare (&lt;1/10,000).</w:t>
      </w:r>
      <w:r w:rsidRPr="0037346A">
        <w:rPr>
          <w:rFonts w:eastAsia="Times New Roman" w:cstheme="minorHAnsi"/>
          <w:lang w:val="en-NZ" w:eastAsia="en-AU"/>
        </w:rPr>
        <w:t xml:space="preserve"> </w:t>
      </w:r>
    </w:p>
    <w:p w14:paraId="3F0D0824" w14:textId="77777777" w:rsidR="005F6105" w:rsidRPr="0037346A" w:rsidRDefault="005F6105" w:rsidP="005F6105">
      <w:pPr>
        <w:spacing w:before="100" w:beforeAutospacing="1" w:after="100" w:afterAutospacing="1" w:line="240" w:lineRule="auto"/>
        <w:rPr>
          <w:rFonts w:eastAsia="Times New Roman" w:cstheme="minorHAnsi"/>
          <w:lang w:val="en-NZ" w:eastAsia="en-AU"/>
        </w:rPr>
      </w:pPr>
    </w:p>
    <w:tbl>
      <w:tblPr>
        <w:tblW w:w="0" w:type="auto"/>
        <w:tblCellSpacing w:w="0" w:type="dxa"/>
        <w:tblBorders>
          <w:top w:val="outset" w:sz="12" w:space="0" w:color="auto"/>
          <w:left w:val="outset" w:sz="12" w:space="0" w:color="auto"/>
          <w:bottom w:val="outset" w:sz="12" w:space="0" w:color="auto"/>
          <w:right w:val="outset" w:sz="12" w:space="0" w:color="auto"/>
        </w:tblBorders>
        <w:tblCellMar>
          <w:top w:w="45" w:type="dxa"/>
          <w:left w:w="45" w:type="dxa"/>
          <w:bottom w:w="45" w:type="dxa"/>
          <w:right w:w="45" w:type="dxa"/>
        </w:tblCellMar>
        <w:tblLook w:val="04A0" w:firstRow="1" w:lastRow="0" w:firstColumn="1" w:lastColumn="0" w:noHBand="0" w:noVBand="1"/>
      </w:tblPr>
      <w:tblGrid>
        <w:gridCol w:w="3099"/>
        <w:gridCol w:w="2327"/>
        <w:gridCol w:w="2109"/>
        <w:gridCol w:w="1918"/>
      </w:tblGrid>
      <w:tr w:rsidR="005F6105" w:rsidRPr="0037346A" w14:paraId="3CCF78C8" w14:textId="77777777" w:rsidTr="0040516E">
        <w:trPr>
          <w:tblHeade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1FE1CCD" w14:textId="77777777" w:rsidR="005F6105" w:rsidRPr="0037346A" w:rsidRDefault="005F6105" w:rsidP="0040516E">
            <w:pPr>
              <w:spacing w:after="0" w:line="240" w:lineRule="auto"/>
              <w:rPr>
                <w:rFonts w:eastAsia="Times New Roman" w:cstheme="minorHAnsi"/>
                <w:b/>
                <w:bCs/>
                <w:color w:val="000000"/>
                <w:lang w:eastAsia="en-AU"/>
              </w:rPr>
            </w:pPr>
            <w:r w:rsidRPr="0037346A">
              <w:rPr>
                <w:rFonts w:eastAsia="Times New Roman" w:cstheme="minorHAnsi"/>
                <w:b/>
                <w:bCs/>
                <w:color w:val="000000"/>
                <w:lang w:eastAsia="en-AU"/>
              </w:rPr>
              <w:t>System organ class</w:t>
            </w:r>
            <w:r w:rsidRPr="0037346A">
              <w:rPr>
                <w:rFonts w:eastAsia="Times New Roman" w:cstheme="minorHAnsi"/>
                <w:b/>
                <w:bCs/>
                <w:color w:val="000000"/>
                <w:lang w:eastAsia="en-AU"/>
              </w:rPr>
              <w:br/>
              <w:t>(MedDRA classification)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CA3C881" w14:textId="77777777" w:rsidR="005F6105" w:rsidRPr="0037346A" w:rsidRDefault="005F6105" w:rsidP="0040516E">
            <w:pPr>
              <w:spacing w:after="0" w:line="240" w:lineRule="auto"/>
              <w:rPr>
                <w:rFonts w:eastAsia="Times New Roman" w:cstheme="minorHAnsi"/>
                <w:b/>
                <w:bCs/>
                <w:color w:val="000000"/>
                <w:lang w:eastAsia="en-AU"/>
              </w:rPr>
            </w:pPr>
            <w:r w:rsidRPr="0037346A">
              <w:rPr>
                <w:rFonts w:eastAsia="Times New Roman" w:cstheme="minorHAnsi"/>
                <w:b/>
                <w:bCs/>
                <w:color w:val="000000"/>
                <w:lang w:eastAsia="en-AU"/>
              </w:rPr>
              <w:t>Very common</w:t>
            </w:r>
            <w:r w:rsidRPr="0037346A">
              <w:rPr>
                <w:rFonts w:eastAsia="Times New Roman" w:cstheme="minorHAnsi"/>
                <w:b/>
                <w:bCs/>
                <w:color w:val="000000"/>
                <w:lang w:eastAsia="en-AU"/>
              </w:rPr>
              <w:br/>
              <w:t>(&gt;10%)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24FC338" w14:textId="77777777" w:rsidR="005F6105" w:rsidRPr="0037346A" w:rsidRDefault="005F6105" w:rsidP="0040516E">
            <w:pPr>
              <w:spacing w:after="0" w:line="240" w:lineRule="auto"/>
              <w:rPr>
                <w:rFonts w:eastAsia="Times New Roman" w:cstheme="minorHAnsi"/>
                <w:b/>
                <w:bCs/>
                <w:color w:val="000000"/>
                <w:lang w:eastAsia="en-AU"/>
              </w:rPr>
            </w:pPr>
            <w:r w:rsidRPr="0037346A">
              <w:rPr>
                <w:rFonts w:eastAsia="Times New Roman" w:cstheme="minorHAnsi"/>
                <w:b/>
                <w:bCs/>
                <w:color w:val="000000"/>
                <w:lang w:eastAsia="en-AU"/>
              </w:rPr>
              <w:t>Common</w:t>
            </w:r>
            <w:r w:rsidRPr="0037346A">
              <w:rPr>
                <w:rFonts w:eastAsia="Times New Roman" w:cstheme="minorHAnsi"/>
                <w:b/>
                <w:bCs/>
                <w:color w:val="000000"/>
                <w:lang w:eastAsia="en-AU"/>
              </w:rPr>
              <w:br/>
              <w:t>(&gt;1% and ≤10%)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9012AAF" w14:textId="77777777" w:rsidR="005F6105" w:rsidRPr="0037346A" w:rsidRDefault="005F6105" w:rsidP="0040516E">
            <w:pPr>
              <w:spacing w:after="0" w:line="240" w:lineRule="auto"/>
              <w:rPr>
                <w:rFonts w:eastAsia="Times New Roman" w:cstheme="minorHAnsi"/>
                <w:b/>
                <w:bCs/>
                <w:color w:val="000000"/>
                <w:lang w:eastAsia="en-AU"/>
              </w:rPr>
            </w:pPr>
            <w:r w:rsidRPr="0037346A">
              <w:rPr>
                <w:rFonts w:eastAsia="Times New Roman" w:cstheme="minorHAnsi"/>
                <w:b/>
                <w:bCs/>
                <w:color w:val="000000"/>
                <w:lang w:eastAsia="en-AU"/>
              </w:rPr>
              <w:t>Uncommon</w:t>
            </w:r>
            <w:r w:rsidRPr="0037346A">
              <w:rPr>
                <w:rFonts w:eastAsia="Times New Roman" w:cstheme="minorHAnsi"/>
                <w:b/>
                <w:bCs/>
                <w:color w:val="000000"/>
                <w:lang w:eastAsia="en-AU"/>
              </w:rPr>
              <w:br/>
              <w:t>(&gt;0.1% and ≤1%)</w:t>
            </w:r>
          </w:p>
        </w:tc>
      </w:tr>
      <w:tr w:rsidR="005F6105" w:rsidRPr="0037346A" w14:paraId="43CCE721" w14:textId="77777777" w:rsidTr="0040516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E595836" w14:textId="77777777" w:rsidR="005F6105" w:rsidRPr="0037346A" w:rsidRDefault="005F6105" w:rsidP="0040516E">
            <w:pPr>
              <w:spacing w:after="0" w:line="240" w:lineRule="auto"/>
              <w:rPr>
                <w:rFonts w:eastAsia="Times New Roman" w:cstheme="minorHAnsi"/>
                <w:lang w:eastAsia="en-AU"/>
              </w:rPr>
            </w:pPr>
            <w:r w:rsidRPr="005F6105">
              <w:rPr>
                <w:rFonts w:eastAsia="Times New Roman" w:cstheme="minorHAnsi"/>
                <w:b/>
                <w:bCs/>
                <w:lang w:eastAsia="en-AU"/>
              </w:rPr>
              <w:lastRenderedPageBreak/>
              <w:t>Blood and lymphatic system disorders</w:t>
            </w:r>
            <w:r w:rsidRPr="0037346A">
              <w:rPr>
                <w:rFonts w:eastAsia="Times New Roman" w:cstheme="minorHAnsi"/>
                <w:lang w:eastAsia="en-A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4499FB5D" w14:textId="77777777" w:rsidR="005F6105" w:rsidRPr="0037346A" w:rsidRDefault="005F6105" w:rsidP="0040516E">
            <w:pPr>
              <w:spacing w:after="0" w:line="240" w:lineRule="auto"/>
              <w:rPr>
                <w:rFonts w:eastAsia="Times New Roman" w:cstheme="minorHAnsi"/>
                <w:lang w:eastAsia="en-AU"/>
              </w:rPr>
            </w:pPr>
            <w:r w:rsidRPr="0037346A">
              <w:rPr>
                <w:rFonts w:eastAsia="Times New Roman" w:cstheme="minorHAnsi"/>
                <w:lang w:eastAsia="en-AU"/>
              </w:rPr>
              <w:t>Neutropenia</w:t>
            </w:r>
            <w:r w:rsidRPr="0037346A">
              <w:rPr>
                <w:rFonts w:eastAsia="Times New Roman" w:cstheme="minorHAnsi"/>
                <w:lang w:eastAsia="en-AU"/>
              </w:rPr>
              <w:br/>
              <w:t>(grades 1 to 4)</w:t>
            </w:r>
            <w:r w:rsidRPr="0037346A">
              <w:rPr>
                <w:rFonts w:eastAsia="Times New Roman" w:cstheme="minorHAnsi"/>
                <w:lang w:eastAsia="en-AU"/>
              </w:rPr>
              <w:br/>
              <w:t>Anaemia</w:t>
            </w:r>
            <w:r w:rsidRPr="0037346A">
              <w:rPr>
                <w:rFonts w:eastAsia="Times New Roman" w:cstheme="minorHAnsi"/>
                <w:lang w:eastAsia="en-AU"/>
              </w:rPr>
              <w:br/>
              <w:t>(grades 1 to 4)</w:t>
            </w:r>
            <w:r w:rsidRPr="0037346A">
              <w:rPr>
                <w:rFonts w:eastAsia="Times New Roman" w:cstheme="minorHAnsi"/>
                <w:lang w:eastAsia="en-AU"/>
              </w:rPr>
              <w:br/>
              <w:t>Thrombocytopenia (grades 1 to 2)</w:t>
            </w:r>
          </w:p>
        </w:tc>
        <w:tc>
          <w:tcPr>
            <w:tcW w:w="0" w:type="auto"/>
            <w:tcBorders>
              <w:top w:val="outset" w:sz="6" w:space="0" w:color="auto"/>
              <w:left w:val="outset" w:sz="6" w:space="0" w:color="auto"/>
              <w:bottom w:val="outset" w:sz="6" w:space="0" w:color="auto"/>
              <w:right w:val="outset" w:sz="6" w:space="0" w:color="auto"/>
            </w:tcBorders>
            <w:vAlign w:val="center"/>
            <w:hideMark/>
          </w:tcPr>
          <w:p w14:paraId="624D006A" w14:textId="77777777" w:rsidR="005F6105" w:rsidRPr="0037346A" w:rsidRDefault="005F6105" w:rsidP="0040516E">
            <w:pPr>
              <w:spacing w:after="0" w:line="240" w:lineRule="auto"/>
              <w:rPr>
                <w:rFonts w:eastAsia="Times New Roman" w:cstheme="minorHAnsi"/>
                <w:lang w:eastAsia="en-AU"/>
              </w:rPr>
            </w:pPr>
            <w:r w:rsidRPr="0037346A">
              <w:rPr>
                <w:rFonts w:eastAsia="Times New Roman" w:cstheme="minorHAnsi"/>
                <w:lang w:eastAsia="en-AU"/>
              </w:rPr>
              <w:t>Anaemia (grade 3)</w:t>
            </w:r>
          </w:p>
        </w:tc>
        <w:tc>
          <w:tcPr>
            <w:tcW w:w="0" w:type="auto"/>
            <w:tcBorders>
              <w:top w:val="outset" w:sz="6" w:space="0" w:color="auto"/>
              <w:left w:val="outset" w:sz="6" w:space="0" w:color="auto"/>
              <w:bottom w:val="outset" w:sz="6" w:space="0" w:color="auto"/>
              <w:right w:val="outset" w:sz="6" w:space="0" w:color="auto"/>
            </w:tcBorders>
            <w:vAlign w:val="center"/>
            <w:hideMark/>
          </w:tcPr>
          <w:p w14:paraId="3F15D659" w14:textId="77777777" w:rsidR="005F6105" w:rsidRPr="0037346A" w:rsidRDefault="005F6105" w:rsidP="0040516E">
            <w:pPr>
              <w:spacing w:after="0" w:line="240" w:lineRule="auto"/>
              <w:rPr>
                <w:rFonts w:eastAsia="Times New Roman" w:cstheme="minorHAnsi"/>
                <w:lang w:eastAsia="en-AU"/>
              </w:rPr>
            </w:pPr>
            <w:r w:rsidRPr="0037346A">
              <w:rPr>
                <w:rFonts w:eastAsia="Times New Roman" w:cstheme="minorHAnsi"/>
                <w:lang w:eastAsia="en-AU"/>
              </w:rPr>
              <w:t>Anaemia (grade 4)</w:t>
            </w:r>
          </w:p>
        </w:tc>
      </w:tr>
      <w:tr w:rsidR="005F6105" w:rsidRPr="0037346A" w14:paraId="195DF25A" w14:textId="77777777" w:rsidTr="0040516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6CBABD1" w14:textId="77777777" w:rsidR="005F6105" w:rsidRPr="0037346A" w:rsidRDefault="005F6105" w:rsidP="0040516E">
            <w:pPr>
              <w:spacing w:after="0" w:line="240" w:lineRule="auto"/>
              <w:rPr>
                <w:rFonts w:eastAsia="Times New Roman" w:cstheme="minorHAnsi"/>
                <w:lang w:eastAsia="en-AU"/>
              </w:rPr>
            </w:pPr>
            <w:r w:rsidRPr="005F6105">
              <w:rPr>
                <w:rFonts w:eastAsia="Times New Roman" w:cstheme="minorHAnsi"/>
                <w:b/>
                <w:bCs/>
                <w:lang w:eastAsia="en-AU"/>
              </w:rPr>
              <w:t>Gastrointestinal disorders</w:t>
            </w:r>
            <w:r w:rsidRPr="0037346A">
              <w:rPr>
                <w:rFonts w:eastAsia="Times New Roman" w:cstheme="minorHAnsi"/>
                <w:lang w:eastAsia="en-A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6E8B27B2" w14:textId="77777777" w:rsidR="005F6105" w:rsidRPr="0037346A" w:rsidRDefault="005F6105" w:rsidP="0040516E">
            <w:pPr>
              <w:spacing w:after="0" w:line="240" w:lineRule="auto"/>
              <w:rPr>
                <w:rFonts w:eastAsia="Times New Roman" w:cstheme="minorHAnsi"/>
                <w:lang w:eastAsia="en-AU"/>
              </w:rPr>
            </w:pPr>
            <w:r w:rsidRPr="0037346A">
              <w:rPr>
                <w:rFonts w:eastAsia="Times New Roman" w:cstheme="minorHAnsi"/>
                <w:lang w:eastAsia="en-AU"/>
              </w:rPr>
              <w:t>Nausea</w:t>
            </w:r>
            <w:r w:rsidRPr="0037346A">
              <w:rPr>
                <w:rFonts w:eastAsia="Times New Roman" w:cstheme="minorHAnsi"/>
                <w:lang w:eastAsia="en-AU"/>
              </w:rPr>
              <w:br/>
              <w:t>(grades 1 to 2)</w:t>
            </w:r>
            <w:r w:rsidRPr="0037346A">
              <w:rPr>
                <w:rFonts w:eastAsia="Times New Roman" w:cstheme="minorHAnsi"/>
                <w:lang w:eastAsia="en-AU"/>
              </w:rPr>
              <w:br/>
              <w:t>Vomiting</w:t>
            </w:r>
            <w:r w:rsidRPr="0037346A">
              <w:rPr>
                <w:rFonts w:eastAsia="Times New Roman" w:cstheme="minorHAnsi"/>
                <w:lang w:eastAsia="en-AU"/>
              </w:rPr>
              <w:br/>
              <w:t>(grades 1 to 2)</w:t>
            </w:r>
            <w:r w:rsidRPr="0037346A">
              <w:rPr>
                <w:rFonts w:eastAsia="Times New Roman" w:cstheme="minorHAnsi"/>
                <w:lang w:eastAsia="en-AU"/>
              </w:rPr>
              <w:br/>
              <w:t>Diarrhoea</w:t>
            </w:r>
            <w:r w:rsidRPr="0037346A">
              <w:rPr>
                <w:rFonts w:eastAsia="Times New Roman" w:cstheme="minorHAnsi"/>
                <w:lang w:eastAsia="en-AU"/>
              </w:rPr>
              <w:br/>
              <w:t>(grades 1 to 2)</w:t>
            </w:r>
            <w:r w:rsidRPr="0037346A">
              <w:rPr>
                <w:rFonts w:eastAsia="Times New Roman" w:cstheme="minorHAnsi"/>
                <w:lang w:eastAsia="en-AU"/>
              </w:rPr>
              <w:br/>
              <w:t>Anorexia</w:t>
            </w:r>
            <w:r w:rsidRPr="0037346A">
              <w:rPr>
                <w:rFonts w:eastAsia="Times New Roman" w:cstheme="minorHAnsi"/>
                <w:lang w:eastAsia="en-AU"/>
              </w:rPr>
              <w:br/>
              <w:t>(grades 1 to 2)</w:t>
            </w:r>
          </w:p>
        </w:tc>
        <w:tc>
          <w:tcPr>
            <w:tcW w:w="0" w:type="auto"/>
            <w:tcBorders>
              <w:top w:val="outset" w:sz="6" w:space="0" w:color="auto"/>
              <w:left w:val="outset" w:sz="6" w:space="0" w:color="auto"/>
              <w:bottom w:val="outset" w:sz="6" w:space="0" w:color="auto"/>
              <w:right w:val="outset" w:sz="6" w:space="0" w:color="auto"/>
            </w:tcBorders>
            <w:vAlign w:val="center"/>
            <w:hideMark/>
          </w:tcPr>
          <w:p w14:paraId="6B7ECF66" w14:textId="77777777" w:rsidR="005F6105" w:rsidRPr="0037346A" w:rsidRDefault="005F6105" w:rsidP="0040516E">
            <w:pPr>
              <w:spacing w:after="0" w:line="240" w:lineRule="auto"/>
              <w:rPr>
                <w:rFonts w:eastAsia="Times New Roman" w:cstheme="minorHAnsi"/>
                <w:lang w:eastAsia="en-AU"/>
              </w:rPr>
            </w:pPr>
            <w:r w:rsidRPr="0037346A">
              <w:rPr>
                <w:rFonts w:eastAsia="Times New Roman" w:cstheme="minorHAnsi"/>
                <w:lang w:eastAsia="en-AU"/>
              </w:rPr>
              <w:t>Nausea (grade 3)</w:t>
            </w:r>
            <w:r w:rsidRPr="0037346A">
              <w:rPr>
                <w:rFonts w:eastAsia="Times New Roman" w:cstheme="minorHAnsi"/>
                <w:lang w:eastAsia="en-AU"/>
              </w:rPr>
              <w:br/>
              <w:t>Vomiting</w:t>
            </w:r>
            <w:r w:rsidRPr="0037346A">
              <w:rPr>
                <w:rFonts w:eastAsia="Times New Roman" w:cstheme="minorHAnsi"/>
                <w:lang w:eastAsia="en-AU"/>
              </w:rPr>
              <w:br/>
              <w:t>(grades 3 to 4)</w:t>
            </w:r>
            <w:r w:rsidRPr="0037346A">
              <w:rPr>
                <w:rFonts w:eastAsia="Times New Roman" w:cstheme="minorHAnsi"/>
                <w:lang w:eastAsia="en-AU"/>
              </w:rPr>
              <w:br/>
              <w:t>Stomatitis</w:t>
            </w:r>
            <w:r w:rsidRPr="0037346A">
              <w:rPr>
                <w:rFonts w:eastAsia="Times New Roman" w:cstheme="minorHAnsi"/>
                <w:lang w:eastAsia="en-AU"/>
              </w:rPr>
              <w:br/>
              <w:t>(grades 1 to 2)</w:t>
            </w:r>
            <w:r w:rsidRPr="0037346A">
              <w:rPr>
                <w:rFonts w:eastAsia="Times New Roman" w:cstheme="minorHAnsi"/>
                <w:lang w:eastAsia="en-AU"/>
              </w:rPr>
              <w:br/>
              <w:t>Diarrhoea</w:t>
            </w:r>
            <w:r w:rsidRPr="0037346A">
              <w:rPr>
                <w:rFonts w:eastAsia="Times New Roman" w:cstheme="minorHAnsi"/>
                <w:lang w:eastAsia="en-AU"/>
              </w:rPr>
              <w:br/>
              <w:t>(grades 3 to 4)</w:t>
            </w:r>
            <w:r w:rsidRPr="0037346A">
              <w:rPr>
                <w:rFonts w:eastAsia="Times New Roman" w:cstheme="minorHAnsi"/>
                <w:lang w:eastAsia="en-AU"/>
              </w:rPr>
              <w:br/>
              <w:t>Oesophagitis</w:t>
            </w:r>
            <w:r w:rsidRPr="0037346A">
              <w:rPr>
                <w:rFonts w:eastAsia="Times New Roman" w:cstheme="minorHAnsi"/>
                <w:lang w:eastAsia="en-AU"/>
              </w:rPr>
              <w:br/>
              <w:t>(grades 1 to 2)</w:t>
            </w:r>
            <w:r w:rsidRPr="0037346A">
              <w:rPr>
                <w:rFonts w:eastAsia="Times New Roman" w:cstheme="minorHAnsi"/>
                <w:lang w:eastAsia="en-AU"/>
              </w:rPr>
              <w:br/>
              <w:t>Anorexia (grade 3)</w:t>
            </w:r>
          </w:p>
        </w:tc>
        <w:tc>
          <w:tcPr>
            <w:tcW w:w="0" w:type="auto"/>
            <w:tcBorders>
              <w:top w:val="outset" w:sz="6" w:space="0" w:color="auto"/>
              <w:left w:val="outset" w:sz="6" w:space="0" w:color="auto"/>
              <w:bottom w:val="outset" w:sz="6" w:space="0" w:color="auto"/>
              <w:right w:val="outset" w:sz="6" w:space="0" w:color="auto"/>
            </w:tcBorders>
            <w:vAlign w:val="center"/>
            <w:hideMark/>
          </w:tcPr>
          <w:p w14:paraId="7AE76015" w14:textId="77777777" w:rsidR="005F6105" w:rsidRPr="0037346A" w:rsidRDefault="005F6105" w:rsidP="0040516E">
            <w:pPr>
              <w:spacing w:after="0" w:line="240" w:lineRule="auto"/>
              <w:rPr>
                <w:rFonts w:eastAsia="Times New Roman" w:cstheme="minorHAnsi"/>
                <w:lang w:eastAsia="en-AU"/>
              </w:rPr>
            </w:pPr>
            <w:r w:rsidRPr="0037346A">
              <w:rPr>
                <w:rFonts w:eastAsia="Times New Roman" w:cstheme="minorHAnsi"/>
                <w:lang w:eastAsia="en-AU"/>
              </w:rPr>
              <w:t>Nausea (grade 4)</w:t>
            </w:r>
            <w:r w:rsidRPr="0037346A">
              <w:rPr>
                <w:rFonts w:eastAsia="Times New Roman" w:cstheme="minorHAnsi"/>
                <w:lang w:eastAsia="en-AU"/>
              </w:rPr>
              <w:br/>
              <w:t>Oesophagitis</w:t>
            </w:r>
            <w:r w:rsidRPr="0037346A">
              <w:rPr>
                <w:rFonts w:eastAsia="Times New Roman" w:cstheme="minorHAnsi"/>
                <w:lang w:eastAsia="en-AU"/>
              </w:rPr>
              <w:br/>
              <w:t>(grade 3)</w:t>
            </w:r>
            <w:r w:rsidRPr="0037346A">
              <w:rPr>
                <w:rFonts w:eastAsia="Times New Roman" w:cstheme="minorHAnsi"/>
                <w:lang w:eastAsia="en-AU"/>
              </w:rPr>
              <w:br/>
              <w:t>Anorexia (grade 4)</w:t>
            </w:r>
          </w:p>
        </w:tc>
      </w:tr>
      <w:tr w:rsidR="005F6105" w:rsidRPr="0037346A" w14:paraId="703AAAE3" w14:textId="77777777" w:rsidTr="0040516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4272FC0" w14:textId="77777777" w:rsidR="005F6105" w:rsidRPr="0037346A" w:rsidRDefault="005F6105" w:rsidP="0040516E">
            <w:pPr>
              <w:spacing w:after="0" w:line="240" w:lineRule="auto"/>
              <w:rPr>
                <w:rFonts w:eastAsia="Times New Roman" w:cstheme="minorHAnsi"/>
                <w:lang w:eastAsia="en-AU"/>
              </w:rPr>
            </w:pPr>
            <w:r w:rsidRPr="005F6105">
              <w:rPr>
                <w:rFonts w:eastAsia="Times New Roman" w:cstheme="minorHAnsi"/>
                <w:b/>
                <w:bCs/>
                <w:lang w:eastAsia="en-AU"/>
              </w:rPr>
              <w:t>Peripheral autonomic and central nervous system disorders</w:t>
            </w:r>
            <w:r w:rsidRPr="0037346A">
              <w:rPr>
                <w:rFonts w:eastAsia="Times New Roman" w:cstheme="minorHAnsi"/>
                <w:lang w:eastAsia="en-A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2E5FB669" w14:textId="77777777" w:rsidR="005F6105" w:rsidRPr="0037346A" w:rsidRDefault="005F6105" w:rsidP="0040516E">
            <w:pPr>
              <w:spacing w:after="0" w:line="240" w:lineRule="auto"/>
              <w:rPr>
                <w:rFonts w:eastAsia="Times New Roman" w:cstheme="minorHAnsi"/>
                <w:lang w:eastAsia="en-AU"/>
              </w:rPr>
            </w:pPr>
            <w:r w:rsidRPr="0037346A">
              <w:rPr>
                <w:rFonts w:eastAsia="Times New Roman" w:cstheme="minorHAnsi"/>
                <w:lang w:eastAsia="en-AU"/>
              </w:rPr>
              <w:t>Loss of Tendon reflexes</w:t>
            </w:r>
            <w:r w:rsidRPr="0037346A">
              <w:rPr>
                <w:rFonts w:eastAsia="Times New Roman" w:cstheme="minorHAnsi"/>
                <w:lang w:eastAsia="en-AU"/>
              </w:rPr>
              <w:br/>
              <w:t>(grades 1 to 2)</w:t>
            </w:r>
          </w:p>
        </w:tc>
        <w:tc>
          <w:tcPr>
            <w:tcW w:w="0" w:type="auto"/>
            <w:tcBorders>
              <w:top w:val="outset" w:sz="6" w:space="0" w:color="auto"/>
              <w:left w:val="outset" w:sz="6" w:space="0" w:color="auto"/>
              <w:bottom w:val="outset" w:sz="6" w:space="0" w:color="auto"/>
              <w:right w:val="outset" w:sz="6" w:space="0" w:color="auto"/>
            </w:tcBorders>
            <w:vAlign w:val="center"/>
            <w:hideMark/>
          </w:tcPr>
          <w:p w14:paraId="28E5B5EF" w14:textId="77777777" w:rsidR="005F6105" w:rsidRPr="0037346A" w:rsidRDefault="005F6105" w:rsidP="0040516E">
            <w:pPr>
              <w:spacing w:after="0" w:line="240" w:lineRule="auto"/>
              <w:rPr>
                <w:rFonts w:eastAsia="Times New Roman" w:cstheme="minorHAnsi"/>
                <w:lang w:eastAsia="en-AU"/>
              </w:rPr>
            </w:pPr>
            <w:r w:rsidRPr="0037346A">
              <w:rPr>
                <w:rFonts w:eastAsia="Times New Roman" w:cstheme="minorHAnsi"/>
                <w:lang w:eastAsia="en-AU"/>
              </w:rPr>
              <w:t>Neuromotor disorders (grades 1 to 2)</w:t>
            </w:r>
            <w:r w:rsidRPr="0037346A">
              <w:rPr>
                <w:rFonts w:eastAsia="Times New Roman" w:cstheme="minorHAnsi"/>
                <w:lang w:eastAsia="en-AU"/>
              </w:rPr>
              <w:br/>
              <w:t>Neuro-comstipation (grades 1 to 2)</w:t>
            </w:r>
            <w:r w:rsidRPr="0037346A">
              <w:rPr>
                <w:rFonts w:eastAsia="Times New Roman" w:cstheme="minorHAnsi"/>
                <w:lang w:eastAsia="en-AU"/>
              </w:rPr>
              <w:br/>
              <w:t>Paralytic ileus</w:t>
            </w:r>
          </w:p>
        </w:tc>
        <w:tc>
          <w:tcPr>
            <w:tcW w:w="0" w:type="auto"/>
            <w:tcBorders>
              <w:top w:val="outset" w:sz="6" w:space="0" w:color="auto"/>
              <w:left w:val="outset" w:sz="6" w:space="0" w:color="auto"/>
              <w:bottom w:val="outset" w:sz="6" w:space="0" w:color="auto"/>
              <w:right w:val="outset" w:sz="6" w:space="0" w:color="auto"/>
            </w:tcBorders>
            <w:vAlign w:val="center"/>
            <w:hideMark/>
          </w:tcPr>
          <w:p w14:paraId="0F8158DC" w14:textId="77777777" w:rsidR="005F6105" w:rsidRPr="0037346A" w:rsidRDefault="005F6105" w:rsidP="0040516E">
            <w:pPr>
              <w:spacing w:after="0" w:line="240" w:lineRule="auto"/>
              <w:rPr>
                <w:rFonts w:eastAsia="Times New Roman" w:cstheme="minorHAnsi"/>
                <w:lang w:eastAsia="en-AU"/>
              </w:rPr>
            </w:pPr>
            <w:r w:rsidRPr="0037346A">
              <w:rPr>
                <w:rFonts w:eastAsia="Times New Roman" w:cstheme="minorHAnsi"/>
                <w:lang w:eastAsia="en-AU"/>
              </w:rPr>
              <w:t>Neuromotor disorders (grade 3)</w:t>
            </w:r>
            <w:r w:rsidRPr="0037346A">
              <w:rPr>
                <w:rFonts w:eastAsia="Times New Roman" w:cstheme="minorHAnsi"/>
                <w:lang w:eastAsia="en-AU"/>
              </w:rPr>
              <w:br/>
              <w:t>Ataxia (grade 3)</w:t>
            </w:r>
          </w:p>
        </w:tc>
      </w:tr>
      <w:tr w:rsidR="005F6105" w:rsidRPr="0037346A" w14:paraId="1782E57D" w14:textId="77777777" w:rsidTr="0040516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5BAC4CC" w14:textId="77777777" w:rsidR="005F6105" w:rsidRPr="0037346A" w:rsidRDefault="005F6105" w:rsidP="0040516E">
            <w:pPr>
              <w:spacing w:after="0" w:line="240" w:lineRule="auto"/>
              <w:rPr>
                <w:rFonts w:eastAsia="Times New Roman" w:cstheme="minorHAnsi"/>
                <w:lang w:eastAsia="en-AU"/>
              </w:rPr>
            </w:pPr>
            <w:r w:rsidRPr="005F6105">
              <w:rPr>
                <w:rFonts w:eastAsia="Times New Roman" w:cstheme="minorHAnsi"/>
                <w:b/>
                <w:bCs/>
                <w:lang w:eastAsia="en-AU"/>
              </w:rPr>
              <w:t>Skin and subcutaneous tissue disorders</w:t>
            </w:r>
            <w:r w:rsidRPr="0037346A">
              <w:rPr>
                <w:rFonts w:eastAsia="Times New Roman" w:cstheme="minorHAnsi"/>
                <w:lang w:eastAsia="en-A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391C832D" w14:textId="77777777" w:rsidR="005F6105" w:rsidRPr="0037346A" w:rsidRDefault="005F6105" w:rsidP="0040516E">
            <w:pPr>
              <w:spacing w:after="0" w:line="240" w:lineRule="auto"/>
              <w:rPr>
                <w:rFonts w:eastAsia="Times New Roman" w:cstheme="minorHAnsi"/>
                <w:lang w:eastAsia="en-AU"/>
              </w:rPr>
            </w:pPr>
            <w:r w:rsidRPr="0037346A">
              <w:rPr>
                <w:rFonts w:eastAsia="Times New Roman" w:cstheme="minorHAnsi"/>
                <w:lang w:eastAsia="en-AU"/>
              </w:rPr>
              <w:t>Alopecia</w:t>
            </w:r>
            <w:r w:rsidRPr="0037346A">
              <w:rPr>
                <w:rFonts w:eastAsia="Times New Roman" w:cstheme="minorHAnsi"/>
                <w:lang w:eastAsia="en-AU"/>
              </w:rPr>
              <w:br/>
              <w:t>(grades 1 to 2)</w:t>
            </w:r>
          </w:p>
        </w:tc>
        <w:tc>
          <w:tcPr>
            <w:tcW w:w="0" w:type="auto"/>
            <w:tcBorders>
              <w:top w:val="outset" w:sz="6" w:space="0" w:color="auto"/>
              <w:left w:val="outset" w:sz="6" w:space="0" w:color="auto"/>
              <w:bottom w:val="outset" w:sz="6" w:space="0" w:color="auto"/>
              <w:right w:val="outset" w:sz="6" w:space="0" w:color="auto"/>
            </w:tcBorders>
            <w:vAlign w:val="center"/>
            <w:hideMark/>
          </w:tcPr>
          <w:p w14:paraId="15E1309D" w14:textId="77777777" w:rsidR="005F6105" w:rsidRPr="0037346A" w:rsidRDefault="005F6105" w:rsidP="0040516E">
            <w:pPr>
              <w:spacing w:after="0" w:line="240" w:lineRule="auto"/>
              <w:rPr>
                <w:rFonts w:eastAsia="Times New Roman" w:cstheme="minorHAnsi"/>
                <w:lang w:eastAsia="en-AU"/>
              </w:rPr>
            </w:pPr>
            <w:r w:rsidRPr="0037346A">
              <w:rPr>
                <w:rFonts w:eastAsia="Times New Roman" w:cstheme="minorHAnsi"/>
                <w:lang w:eastAsia="en-AU"/>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7B12B3A6" w14:textId="77777777" w:rsidR="005F6105" w:rsidRPr="0037346A" w:rsidRDefault="005F6105" w:rsidP="0040516E">
            <w:pPr>
              <w:spacing w:after="0" w:line="240" w:lineRule="auto"/>
              <w:rPr>
                <w:rFonts w:eastAsia="Times New Roman" w:cstheme="minorHAnsi"/>
                <w:lang w:eastAsia="en-AU"/>
              </w:rPr>
            </w:pPr>
            <w:r w:rsidRPr="0037346A">
              <w:rPr>
                <w:rFonts w:eastAsia="Times New Roman" w:cstheme="minorHAnsi"/>
                <w:lang w:eastAsia="en-AU"/>
              </w:rPr>
              <w:t> </w:t>
            </w:r>
          </w:p>
        </w:tc>
      </w:tr>
      <w:tr w:rsidR="005F6105" w:rsidRPr="0037346A" w14:paraId="7D22B1E1" w14:textId="77777777" w:rsidTr="0040516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3AA9B65" w14:textId="77777777" w:rsidR="005F6105" w:rsidRPr="0037346A" w:rsidRDefault="005F6105" w:rsidP="0040516E">
            <w:pPr>
              <w:spacing w:after="0" w:line="240" w:lineRule="auto"/>
              <w:rPr>
                <w:rFonts w:eastAsia="Times New Roman" w:cstheme="minorHAnsi"/>
                <w:lang w:eastAsia="en-AU"/>
              </w:rPr>
            </w:pPr>
            <w:r w:rsidRPr="005F6105">
              <w:rPr>
                <w:rFonts w:eastAsia="Times New Roman" w:cstheme="minorHAnsi"/>
                <w:b/>
                <w:bCs/>
                <w:lang w:eastAsia="en-AU"/>
              </w:rPr>
              <w:t>General disorders and administration site conditions</w:t>
            </w:r>
            <w:r w:rsidRPr="0037346A">
              <w:rPr>
                <w:rFonts w:eastAsia="Times New Roman" w:cstheme="minorHAnsi"/>
                <w:lang w:eastAsia="en-A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131820E6" w14:textId="77777777" w:rsidR="005F6105" w:rsidRPr="0037346A" w:rsidRDefault="005F6105" w:rsidP="0040516E">
            <w:pPr>
              <w:spacing w:after="0" w:line="240" w:lineRule="auto"/>
              <w:rPr>
                <w:rFonts w:eastAsia="Times New Roman" w:cstheme="minorHAnsi"/>
                <w:lang w:eastAsia="en-AU"/>
              </w:rPr>
            </w:pPr>
            <w:r w:rsidRPr="0037346A">
              <w:rPr>
                <w:rFonts w:eastAsia="Times New Roman" w:cstheme="minorHAnsi"/>
                <w:lang w:eastAsia="en-AU"/>
              </w:rPr>
              <w:t>Fatigue</w:t>
            </w:r>
            <w:r w:rsidRPr="0037346A">
              <w:rPr>
                <w:rFonts w:eastAsia="Times New Roman" w:cstheme="minorHAnsi"/>
                <w:lang w:eastAsia="en-AU"/>
              </w:rPr>
              <w:br/>
              <w:t>(grades 1 to 2)</w:t>
            </w:r>
            <w:r w:rsidRPr="0037346A">
              <w:rPr>
                <w:rFonts w:eastAsia="Times New Roman" w:cstheme="minorHAnsi"/>
                <w:lang w:eastAsia="en-AU"/>
              </w:rPr>
              <w:br/>
              <w:t>Fever (grades 1 to 2)</w:t>
            </w:r>
          </w:p>
        </w:tc>
        <w:tc>
          <w:tcPr>
            <w:tcW w:w="0" w:type="auto"/>
            <w:tcBorders>
              <w:top w:val="outset" w:sz="6" w:space="0" w:color="auto"/>
              <w:left w:val="outset" w:sz="6" w:space="0" w:color="auto"/>
              <w:bottom w:val="outset" w:sz="6" w:space="0" w:color="auto"/>
              <w:right w:val="outset" w:sz="6" w:space="0" w:color="auto"/>
            </w:tcBorders>
            <w:vAlign w:val="center"/>
            <w:hideMark/>
          </w:tcPr>
          <w:p w14:paraId="1FB2DBAB" w14:textId="77777777" w:rsidR="005F6105" w:rsidRPr="0037346A" w:rsidRDefault="005F6105" w:rsidP="0040516E">
            <w:pPr>
              <w:spacing w:after="0" w:line="240" w:lineRule="auto"/>
              <w:rPr>
                <w:rFonts w:eastAsia="Times New Roman" w:cstheme="minorHAnsi"/>
                <w:lang w:eastAsia="en-AU"/>
              </w:rPr>
            </w:pPr>
            <w:r w:rsidRPr="0037346A">
              <w:rPr>
                <w:rFonts w:eastAsia="Times New Roman" w:cstheme="minorHAnsi"/>
                <w:lang w:eastAsia="en-AU"/>
              </w:rPr>
              <w:t>Fatigue (grade 3)</w:t>
            </w:r>
            <w:r w:rsidRPr="0037346A">
              <w:rPr>
                <w:rFonts w:eastAsia="Times New Roman" w:cstheme="minorHAnsi"/>
                <w:lang w:eastAsia="en-AU"/>
              </w:rPr>
              <w:br/>
              <w:t>Pain (grades 1 to 2)</w:t>
            </w:r>
          </w:p>
        </w:tc>
        <w:tc>
          <w:tcPr>
            <w:tcW w:w="0" w:type="auto"/>
            <w:tcBorders>
              <w:top w:val="outset" w:sz="6" w:space="0" w:color="auto"/>
              <w:left w:val="outset" w:sz="6" w:space="0" w:color="auto"/>
              <w:bottom w:val="outset" w:sz="6" w:space="0" w:color="auto"/>
              <w:right w:val="outset" w:sz="6" w:space="0" w:color="auto"/>
            </w:tcBorders>
            <w:vAlign w:val="center"/>
            <w:hideMark/>
          </w:tcPr>
          <w:p w14:paraId="2BA1E6DF" w14:textId="77777777" w:rsidR="005F6105" w:rsidRPr="0037346A" w:rsidRDefault="005F6105" w:rsidP="0040516E">
            <w:pPr>
              <w:spacing w:after="0" w:line="240" w:lineRule="auto"/>
              <w:rPr>
                <w:rFonts w:eastAsia="Times New Roman" w:cstheme="minorHAnsi"/>
                <w:lang w:eastAsia="en-AU"/>
              </w:rPr>
            </w:pPr>
            <w:r w:rsidRPr="0037346A">
              <w:rPr>
                <w:rFonts w:eastAsia="Times New Roman" w:cstheme="minorHAnsi"/>
                <w:lang w:eastAsia="en-AU"/>
              </w:rPr>
              <w:t> </w:t>
            </w:r>
          </w:p>
        </w:tc>
      </w:tr>
      <w:tr w:rsidR="005F6105" w:rsidRPr="0037346A" w14:paraId="0A72E266" w14:textId="77777777" w:rsidTr="0040516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70EFFC5" w14:textId="77777777" w:rsidR="005F6105" w:rsidRPr="0037346A" w:rsidRDefault="005F6105" w:rsidP="0040516E">
            <w:pPr>
              <w:spacing w:after="0" w:line="240" w:lineRule="auto"/>
              <w:rPr>
                <w:rFonts w:eastAsia="Times New Roman" w:cstheme="minorHAnsi"/>
                <w:lang w:eastAsia="en-AU"/>
              </w:rPr>
            </w:pPr>
            <w:r w:rsidRPr="005F6105">
              <w:rPr>
                <w:rFonts w:eastAsia="Times New Roman" w:cstheme="minorHAnsi"/>
                <w:b/>
                <w:bCs/>
                <w:lang w:eastAsia="en-AU"/>
              </w:rPr>
              <w:t>Musculoskeletal and connective tissue disorders</w:t>
            </w:r>
            <w:r w:rsidRPr="0037346A">
              <w:rPr>
                <w:rFonts w:eastAsia="Times New Roman" w:cstheme="minorHAnsi"/>
                <w:lang w:eastAsia="en-A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55770C4C" w14:textId="77777777" w:rsidR="005F6105" w:rsidRPr="0037346A" w:rsidRDefault="005F6105" w:rsidP="0040516E">
            <w:pPr>
              <w:spacing w:after="0" w:line="240" w:lineRule="auto"/>
              <w:rPr>
                <w:rFonts w:eastAsia="Times New Roman" w:cstheme="minorHAnsi"/>
                <w:lang w:eastAsia="en-AU"/>
              </w:rPr>
            </w:pPr>
            <w:r w:rsidRPr="0037346A">
              <w:rPr>
                <w:rFonts w:eastAsia="Times New Roman" w:cstheme="minorHAnsi"/>
                <w:lang w:eastAsia="en-AU"/>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531F9062" w14:textId="77777777" w:rsidR="005F6105" w:rsidRPr="0037346A" w:rsidRDefault="005F6105" w:rsidP="0040516E">
            <w:pPr>
              <w:spacing w:after="0" w:line="240" w:lineRule="auto"/>
              <w:rPr>
                <w:rFonts w:eastAsia="Times New Roman" w:cstheme="minorHAnsi"/>
                <w:lang w:eastAsia="en-AU"/>
              </w:rPr>
            </w:pPr>
            <w:r w:rsidRPr="0037346A">
              <w:rPr>
                <w:rFonts w:eastAsia="Times New Roman" w:cstheme="minorHAnsi"/>
                <w:lang w:eastAsia="en-AU"/>
              </w:rPr>
              <w:t>Arthralgia</w:t>
            </w:r>
            <w:r w:rsidRPr="0037346A">
              <w:rPr>
                <w:rFonts w:eastAsia="Times New Roman" w:cstheme="minorHAnsi"/>
                <w:lang w:eastAsia="en-AU"/>
              </w:rPr>
              <w:br/>
              <w:t>(grades 1 to 2)</w:t>
            </w:r>
            <w:r w:rsidRPr="0037346A">
              <w:rPr>
                <w:rFonts w:eastAsia="Times New Roman" w:cstheme="minorHAnsi"/>
                <w:lang w:eastAsia="en-AU"/>
              </w:rPr>
              <w:br/>
              <w:t>Myalgia</w:t>
            </w:r>
            <w:r w:rsidRPr="0037346A">
              <w:rPr>
                <w:rFonts w:eastAsia="Times New Roman" w:cstheme="minorHAnsi"/>
                <w:lang w:eastAsia="en-AU"/>
              </w:rPr>
              <w:br/>
              <w:t>(grades 1 to 2)</w:t>
            </w:r>
          </w:p>
        </w:tc>
        <w:tc>
          <w:tcPr>
            <w:tcW w:w="0" w:type="auto"/>
            <w:tcBorders>
              <w:top w:val="outset" w:sz="6" w:space="0" w:color="auto"/>
              <w:left w:val="outset" w:sz="6" w:space="0" w:color="auto"/>
              <w:bottom w:val="outset" w:sz="6" w:space="0" w:color="auto"/>
              <w:right w:val="outset" w:sz="6" w:space="0" w:color="auto"/>
            </w:tcBorders>
            <w:vAlign w:val="center"/>
            <w:hideMark/>
          </w:tcPr>
          <w:p w14:paraId="7CF2D218" w14:textId="77777777" w:rsidR="005F6105" w:rsidRPr="0037346A" w:rsidRDefault="005F6105" w:rsidP="0040516E">
            <w:pPr>
              <w:spacing w:after="0" w:line="240" w:lineRule="auto"/>
              <w:rPr>
                <w:rFonts w:eastAsia="Times New Roman" w:cstheme="minorHAnsi"/>
                <w:lang w:eastAsia="en-AU"/>
              </w:rPr>
            </w:pPr>
          </w:p>
        </w:tc>
      </w:tr>
    </w:tbl>
    <w:p w14:paraId="74642A4F" w14:textId="77777777" w:rsidR="005F6105" w:rsidRPr="0037346A" w:rsidRDefault="005F6105" w:rsidP="005F6105">
      <w:pPr>
        <w:pBdr>
          <w:top w:val="single" w:sz="6" w:space="6" w:color="362B7C"/>
          <w:bottom w:val="single" w:sz="6" w:space="6" w:color="362B7C"/>
        </w:pBdr>
        <w:spacing w:before="100" w:beforeAutospacing="1" w:after="120" w:line="240" w:lineRule="auto"/>
        <w:outlineLvl w:val="3"/>
        <w:rPr>
          <w:rFonts w:eastAsia="Times New Roman" w:cstheme="minorHAnsi"/>
          <w:b/>
          <w:bCs/>
          <w:lang w:val="en-NZ" w:eastAsia="en-AU"/>
        </w:rPr>
      </w:pPr>
      <w:r w:rsidRPr="0037346A">
        <w:rPr>
          <w:rFonts w:eastAsia="Times New Roman" w:cstheme="minorHAnsi"/>
          <w:b/>
          <w:bCs/>
          <w:lang w:val="en-NZ" w:eastAsia="en-AU"/>
        </w:rPr>
        <w:t>Dosage and Administration</w:t>
      </w:r>
    </w:p>
    <w:p w14:paraId="41B80EF0" w14:textId="77777777" w:rsidR="005F6105" w:rsidRPr="0037346A" w:rsidRDefault="005F6105" w:rsidP="005F6105">
      <w:pPr>
        <w:spacing w:before="100" w:beforeAutospacing="1" w:after="100" w:afterAutospacing="1" w:line="240" w:lineRule="auto"/>
        <w:rPr>
          <w:rFonts w:eastAsia="Times New Roman" w:cstheme="minorHAnsi"/>
          <w:lang w:val="en-NZ" w:eastAsia="en-AU"/>
        </w:rPr>
      </w:pPr>
      <w:r w:rsidRPr="0037346A">
        <w:rPr>
          <w:rFonts w:eastAsia="Times New Roman" w:cstheme="minorHAnsi"/>
          <w:lang w:val="en-NZ" w:eastAsia="en-AU"/>
        </w:rPr>
        <w:t>NAVELBINE</w:t>
      </w:r>
      <w:r w:rsidRPr="0037346A">
        <w:rPr>
          <w:rFonts w:eastAsia="Times New Roman" w:cstheme="minorHAnsi"/>
          <w:vertAlign w:val="superscript"/>
          <w:lang w:val="en-NZ" w:eastAsia="en-AU"/>
        </w:rPr>
        <w:t>®</w:t>
      </w:r>
      <w:r w:rsidRPr="0037346A">
        <w:rPr>
          <w:rFonts w:eastAsia="Times New Roman" w:cstheme="minorHAnsi"/>
          <w:lang w:val="en-NZ" w:eastAsia="en-AU"/>
        </w:rPr>
        <w:t xml:space="preserve"> soft capsules must be given strictly via the oral route. They should be swallowed whole with water and should not be chewed or sucked. It is recommended that the capsule be taken with food.</w:t>
      </w:r>
    </w:p>
    <w:p w14:paraId="4D21D8F1" w14:textId="77777777" w:rsidR="005F6105" w:rsidRPr="0037346A" w:rsidRDefault="005F6105" w:rsidP="005F6105">
      <w:pPr>
        <w:spacing w:before="100" w:beforeAutospacing="1" w:after="100" w:afterAutospacing="1" w:line="240" w:lineRule="auto"/>
        <w:outlineLvl w:val="4"/>
        <w:rPr>
          <w:rFonts w:eastAsia="Times New Roman" w:cstheme="minorHAnsi"/>
          <w:b/>
          <w:bCs/>
          <w:lang w:val="en-NZ" w:eastAsia="en-AU"/>
        </w:rPr>
      </w:pPr>
      <w:r w:rsidRPr="0037346A">
        <w:rPr>
          <w:rFonts w:eastAsia="Times New Roman" w:cstheme="minorHAnsi"/>
          <w:b/>
          <w:bCs/>
          <w:lang w:val="en-NZ" w:eastAsia="en-AU"/>
        </w:rPr>
        <w:t>Dosage in adults</w:t>
      </w:r>
    </w:p>
    <w:p w14:paraId="268C6188" w14:textId="77777777" w:rsidR="005F6105" w:rsidRPr="0037346A" w:rsidRDefault="005F6105" w:rsidP="005F6105">
      <w:pPr>
        <w:spacing w:before="100" w:beforeAutospacing="1" w:after="100" w:afterAutospacing="1" w:line="240" w:lineRule="auto"/>
        <w:rPr>
          <w:rFonts w:eastAsia="Times New Roman" w:cstheme="minorHAnsi"/>
          <w:lang w:val="en-NZ" w:eastAsia="en-AU"/>
        </w:rPr>
      </w:pPr>
      <w:r w:rsidRPr="005F6105">
        <w:rPr>
          <w:rFonts w:eastAsia="Times New Roman" w:cstheme="minorHAnsi"/>
          <w:b/>
          <w:bCs/>
          <w:lang w:val="en-NZ" w:eastAsia="en-AU"/>
        </w:rPr>
        <w:t>Single agent</w:t>
      </w:r>
      <w:r w:rsidRPr="0037346A">
        <w:rPr>
          <w:rFonts w:eastAsia="Times New Roman" w:cstheme="minorHAnsi"/>
          <w:b/>
          <w:bCs/>
          <w:lang w:val="en-NZ" w:eastAsia="en-AU"/>
        </w:rPr>
        <w:br/>
      </w:r>
      <w:r w:rsidRPr="0037346A">
        <w:rPr>
          <w:rFonts w:eastAsia="Times New Roman" w:cstheme="minorHAnsi"/>
          <w:lang w:val="en-NZ" w:eastAsia="en-AU"/>
        </w:rPr>
        <w:t>The recommended regimen is:</w:t>
      </w:r>
    </w:p>
    <w:p w14:paraId="728658EC" w14:textId="77777777" w:rsidR="005F6105" w:rsidRPr="0037346A" w:rsidRDefault="005F6105" w:rsidP="005F6105">
      <w:pPr>
        <w:numPr>
          <w:ilvl w:val="0"/>
          <w:numId w:val="38"/>
        </w:numPr>
        <w:spacing w:before="100" w:beforeAutospacing="1" w:after="100" w:afterAutospacing="1" w:line="240" w:lineRule="auto"/>
        <w:rPr>
          <w:rFonts w:eastAsia="Times New Roman" w:cstheme="minorHAnsi"/>
          <w:lang w:val="en-NZ" w:eastAsia="en-AU"/>
        </w:rPr>
      </w:pPr>
      <w:r w:rsidRPr="005F6105">
        <w:rPr>
          <w:rFonts w:eastAsia="Times New Roman" w:cstheme="minorHAnsi"/>
          <w:b/>
          <w:bCs/>
          <w:lang w:val="en-NZ" w:eastAsia="en-AU"/>
        </w:rPr>
        <w:t>First three administrations:</w:t>
      </w:r>
      <w:r w:rsidRPr="0037346A">
        <w:rPr>
          <w:rFonts w:eastAsia="Times New Roman" w:cstheme="minorHAnsi"/>
          <w:lang w:val="en-NZ" w:eastAsia="en-AU"/>
        </w:rPr>
        <w:t xml:space="preserve"> 60 mg/m², administered once weekly. </w:t>
      </w:r>
    </w:p>
    <w:p w14:paraId="270E509E" w14:textId="77777777" w:rsidR="005F6105" w:rsidRPr="0037346A" w:rsidRDefault="005F6105" w:rsidP="005F6105">
      <w:pPr>
        <w:numPr>
          <w:ilvl w:val="0"/>
          <w:numId w:val="38"/>
        </w:numPr>
        <w:spacing w:before="100" w:beforeAutospacing="1" w:after="100" w:afterAutospacing="1" w:line="240" w:lineRule="auto"/>
        <w:rPr>
          <w:rFonts w:eastAsia="Times New Roman" w:cstheme="minorHAnsi"/>
          <w:lang w:val="en-NZ" w:eastAsia="en-AU"/>
        </w:rPr>
      </w:pPr>
      <w:r w:rsidRPr="005F6105">
        <w:rPr>
          <w:rFonts w:eastAsia="Times New Roman" w:cstheme="minorHAnsi"/>
          <w:b/>
          <w:bCs/>
          <w:lang w:val="en-NZ" w:eastAsia="en-AU"/>
        </w:rPr>
        <w:lastRenderedPageBreak/>
        <w:t>Subsequent administrations:</w:t>
      </w:r>
      <w:r w:rsidRPr="0037346A">
        <w:rPr>
          <w:rFonts w:eastAsia="Times New Roman" w:cstheme="minorHAnsi"/>
          <w:lang w:val="en-NZ" w:eastAsia="en-AU"/>
        </w:rPr>
        <w:t xml:space="preserve"> Beyond the third administration, it is recommended to increase the dose of NAVELBINE</w:t>
      </w:r>
      <w:r w:rsidRPr="0037346A">
        <w:rPr>
          <w:rFonts w:eastAsia="Times New Roman" w:cstheme="minorHAnsi"/>
          <w:vertAlign w:val="superscript"/>
          <w:lang w:val="en-NZ" w:eastAsia="en-AU"/>
        </w:rPr>
        <w:t>®</w:t>
      </w:r>
      <w:r w:rsidRPr="0037346A">
        <w:rPr>
          <w:rFonts w:eastAsia="Times New Roman" w:cstheme="minorHAnsi"/>
          <w:lang w:val="en-NZ" w:eastAsia="en-AU"/>
        </w:rPr>
        <w:t xml:space="preserve"> soft capsules to 80 mg/m² once weekly, except in those patients for whom the neutrophil count has dropped once below &lt;500 / mm³ or more than once between 500 and 1000 / mm³, during the first three administrations at 60 mg/m². </w:t>
      </w:r>
    </w:p>
    <w:p w14:paraId="6B37930A" w14:textId="77777777" w:rsidR="005F6105" w:rsidRPr="0037346A" w:rsidRDefault="005F6105" w:rsidP="005F6105">
      <w:pPr>
        <w:spacing w:before="100" w:beforeAutospacing="1" w:after="100" w:afterAutospacing="1" w:line="240" w:lineRule="auto"/>
        <w:outlineLvl w:val="4"/>
        <w:rPr>
          <w:rFonts w:eastAsia="Times New Roman" w:cstheme="minorHAnsi"/>
          <w:b/>
          <w:bCs/>
          <w:lang w:val="en-NZ" w:eastAsia="en-AU"/>
        </w:rPr>
      </w:pPr>
      <w:r w:rsidRPr="0037346A">
        <w:rPr>
          <w:rFonts w:eastAsia="Times New Roman" w:cstheme="minorHAnsi"/>
          <w:b/>
          <w:bCs/>
          <w:lang w:val="en-NZ" w:eastAsia="en-AU"/>
        </w:rPr>
        <w:t>Dose modifications according to haematological status</w:t>
      </w:r>
    </w:p>
    <w:p w14:paraId="4E10D813" w14:textId="77777777" w:rsidR="005F6105" w:rsidRPr="0037346A" w:rsidRDefault="005F6105" w:rsidP="005F6105">
      <w:pPr>
        <w:spacing w:before="100" w:beforeAutospacing="1" w:after="100" w:afterAutospacing="1" w:line="240" w:lineRule="auto"/>
        <w:rPr>
          <w:rFonts w:eastAsia="Times New Roman" w:cstheme="minorHAnsi"/>
          <w:lang w:val="en-NZ" w:eastAsia="en-AU"/>
        </w:rPr>
      </w:pPr>
      <w:r w:rsidRPr="0037346A">
        <w:rPr>
          <w:rFonts w:eastAsia="Times New Roman" w:cstheme="minorHAnsi"/>
          <w:lang w:val="en-NZ" w:eastAsia="en-AU"/>
        </w:rPr>
        <w:t>If the neutrophil count is below 1500 / mm³ and/or the platelet count is between 75,000 and 100,000 / mm³, then treatment should be delayed until recovery.</w:t>
      </w:r>
    </w:p>
    <w:tbl>
      <w:tblPr>
        <w:tblW w:w="0" w:type="auto"/>
        <w:tblCellSpacing w:w="0" w:type="dxa"/>
        <w:tblBorders>
          <w:top w:val="outset" w:sz="12" w:space="0" w:color="auto"/>
          <w:left w:val="outset" w:sz="12" w:space="0" w:color="auto"/>
          <w:bottom w:val="outset" w:sz="12" w:space="0" w:color="auto"/>
          <w:right w:val="outset" w:sz="12" w:space="0" w:color="auto"/>
        </w:tblBorders>
        <w:tblCellMar>
          <w:top w:w="45" w:type="dxa"/>
          <w:left w:w="45" w:type="dxa"/>
          <w:bottom w:w="45" w:type="dxa"/>
          <w:right w:w="45" w:type="dxa"/>
        </w:tblCellMar>
        <w:tblLook w:val="04A0" w:firstRow="1" w:lastRow="0" w:firstColumn="1" w:lastColumn="0" w:noHBand="0" w:noVBand="1"/>
      </w:tblPr>
      <w:tblGrid>
        <w:gridCol w:w="4167"/>
        <w:gridCol w:w="1199"/>
        <w:gridCol w:w="1444"/>
        <w:gridCol w:w="1444"/>
        <w:gridCol w:w="1199"/>
      </w:tblGrid>
      <w:tr w:rsidR="005F6105" w:rsidRPr="0037346A" w14:paraId="5CA2BB02" w14:textId="77777777" w:rsidTr="0040516E">
        <w:trPr>
          <w:tblHeade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73E2B0A" w14:textId="77777777" w:rsidR="005F6105" w:rsidRPr="0037346A" w:rsidRDefault="005F6105" w:rsidP="0040516E">
            <w:pPr>
              <w:spacing w:after="0" w:line="240" w:lineRule="auto"/>
              <w:rPr>
                <w:rFonts w:eastAsia="Times New Roman" w:cstheme="minorHAnsi"/>
                <w:b/>
                <w:bCs/>
                <w:color w:val="000000"/>
                <w:lang w:eastAsia="en-AU"/>
              </w:rPr>
            </w:pPr>
            <w:r w:rsidRPr="0037346A">
              <w:rPr>
                <w:rFonts w:eastAsia="Times New Roman" w:cstheme="minorHAnsi"/>
                <w:b/>
                <w:bCs/>
                <w:color w:val="000000"/>
                <w:lang w:eastAsia="en-AU"/>
              </w:rPr>
              <w:t>Neutrophil count during the first 3 administrations at 60 mg/m²/week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7060C2E" w14:textId="77777777" w:rsidR="005F6105" w:rsidRPr="0037346A" w:rsidRDefault="005F6105" w:rsidP="0040516E">
            <w:pPr>
              <w:spacing w:after="0" w:line="240" w:lineRule="auto"/>
              <w:jc w:val="center"/>
              <w:rPr>
                <w:rFonts w:eastAsia="Times New Roman" w:cstheme="minorHAnsi"/>
                <w:b/>
                <w:bCs/>
                <w:color w:val="000000"/>
                <w:lang w:eastAsia="en-AU"/>
              </w:rPr>
            </w:pPr>
            <w:r w:rsidRPr="0037346A">
              <w:rPr>
                <w:rFonts w:eastAsia="Times New Roman" w:cstheme="minorHAnsi"/>
                <w:b/>
                <w:bCs/>
                <w:color w:val="000000"/>
                <w:lang w:eastAsia="en-AU"/>
              </w:rPr>
              <w:t>Neutrophils</w:t>
            </w:r>
            <w:r w:rsidRPr="0037346A">
              <w:rPr>
                <w:rFonts w:eastAsia="Times New Roman" w:cstheme="minorHAnsi"/>
                <w:b/>
                <w:bCs/>
                <w:color w:val="000000"/>
                <w:lang w:eastAsia="en-AU"/>
              </w:rPr>
              <w:br/>
              <w:t>&gt;1000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E0E09C4" w14:textId="77777777" w:rsidR="005F6105" w:rsidRPr="0037346A" w:rsidRDefault="005F6105" w:rsidP="0040516E">
            <w:pPr>
              <w:spacing w:after="0" w:line="240" w:lineRule="auto"/>
              <w:jc w:val="center"/>
              <w:rPr>
                <w:rFonts w:eastAsia="Times New Roman" w:cstheme="minorHAnsi"/>
                <w:b/>
                <w:bCs/>
                <w:color w:val="000000"/>
                <w:lang w:eastAsia="en-AU"/>
              </w:rPr>
            </w:pPr>
            <w:r w:rsidRPr="0037346A">
              <w:rPr>
                <w:rFonts w:eastAsia="Times New Roman" w:cstheme="minorHAnsi"/>
                <w:b/>
                <w:bCs/>
                <w:color w:val="000000"/>
                <w:lang w:eastAsia="en-AU"/>
              </w:rPr>
              <w:t>Neutrophils</w:t>
            </w:r>
            <w:r w:rsidRPr="0037346A">
              <w:rPr>
                <w:rFonts w:eastAsia="Times New Roman" w:cstheme="minorHAnsi"/>
                <w:b/>
                <w:bCs/>
                <w:color w:val="000000"/>
                <w:lang w:eastAsia="en-AU"/>
              </w:rPr>
              <w:br/>
              <w:t>≥ 500 and &lt; 1000</w:t>
            </w:r>
            <w:r w:rsidRPr="0037346A">
              <w:rPr>
                <w:rFonts w:eastAsia="Times New Roman" w:cstheme="minorHAnsi"/>
                <w:b/>
                <w:bCs/>
                <w:color w:val="000000"/>
                <w:lang w:eastAsia="en-AU"/>
              </w:rPr>
              <w:br/>
              <w:t>(1 episode)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B9981DC" w14:textId="77777777" w:rsidR="005F6105" w:rsidRPr="0037346A" w:rsidRDefault="005F6105" w:rsidP="0040516E">
            <w:pPr>
              <w:spacing w:after="0" w:line="240" w:lineRule="auto"/>
              <w:jc w:val="center"/>
              <w:rPr>
                <w:rFonts w:eastAsia="Times New Roman" w:cstheme="minorHAnsi"/>
                <w:b/>
                <w:bCs/>
                <w:color w:val="000000"/>
                <w:lang w:eastAsia="en-AU"/>
              </w:rPr>
            </w:pPr>
            <w:r w:rsidRPr="0037346A">
              <w:rPr>
                <w:rFonts w:eastAsia="Times New Roman" w:cstheme="minorHAnsi"/>
                <w:b/>
                <w:bCs/>
                <w:color w:val="000000"/>
                <w:lang w:eastAsia="en-AU"/>
              </w:rPr>
              <w:t>Neutrophils</w:t>
            </w:r>
            <w:r w:rsidRPr="0037346A">
              <w:rPr>
                <w:rFonts w:eastAsia="Times New Roman" w:cstheme="minorHAnsi"/>
                <w:b/>
                <w:bCs/>
                <w:color w:val="000000"/>
                <w:lang w:eastAsia="en-AU"/>
              </w:rPr>
              <w:br/>
              <w:t>≥ 500 and &lt; 1000</w:t>
            </w:r>
            <w:r w:rsidRPr="0037346A">
              <w:rPr>
                <w:rFonts w:eastAsia="Times New Roman" w:cstheme="minorHAnsi"/>
                <w:b/>
                <w:bCs/>
                <w:color w:val="000000"/>
                <w:lang w:eastAsia="en-AU"/>
              </w:rPr>
              <w:br/>
              <w:t>(2 episodes)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B17D712" w14:textId="77777777" w:rsidR="005F6105" w:rsidRPr="0037346A" w:rsidRDefault="005F6105" w:rsidP="0040516E">
            <w:pPr>
              <w:spacing w:after="0" w:line="240" w:lineRule="auto"/>
              <w:jc w:val="center"/>
              <w:rPr>
                <w:rFonts w:eastAsia="Times New Roman" w:cstheme="minorHAnsi"/>
                <w:b/>
                <w:bCs/>
                <w:color w:val="000000"/>
                <w:lang w:eastAsia="en-AU"/>
              </w:rPr>
            </w:pPr>
            <w:r w:rsidRPr="0037346A">
              <w:rPr>
                <w:rFonts w:eastAsia="Times New Roman" w:cstheme="minorHAnsi"/>
                <w:b/>
                <w:bCs/>
                <w:color w:val="000000"/>
                <w:lang w:eastAsia="en-AU"/>
              </w:rPr>
              <w:t>Neutrophils</w:t>
            </w:r>
            <w:r w:rsidRPr="0037346A">
              <w:rPr>
                <w:rFonts w:eastAsia="Times New Roman" w:cstheme="minorHAnsi"/>
                <w:b/>
                <w:bCs/>
                <w:color w:val="000000"/>
                <w:lang w:eastAsia="en-AU"/>
              </w:rPr>
              <w:br/>
              <w:t>&lt;500</w:t>
            </w:r>
          </w:p>
        </w:tc>
      </w:tr>
      <w:tr w:rsidR="005F6105" w:rsidRPr="0037346A" w14:paraId="60BC1C17" w14:textId="77777777" w:rsidTr="0040516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9ED2419" w14:textId="77777777" w:rsidR="005F6105" w:rsidRPr="0037346A" w:rsidRDefault="005F6105" w:rsidP="0040516E">
            <w:pPr>
              <w:spacing w:after="0" w:line="240" w:lineRule="auto"/>
              <w:rPr>
                <w:rFonts w:eastAsia="Times New Roman" w:cstheme="minorHAnsi"/>
                <w:lang w:eastAsia="en-AU"/>
              </w:rPr>
            </w:pPr>
            <w:r w:rsidRPr="005F6105">
              <w:rPr>
                <w:rFonts w:eastAsia="Times New Roman" w:cstheme="minorHAnsi"/>
                <w:b/>
                <w:bCs/>
                <w:lang w:eastAsia="en-AU"/>
              </w:rPr>
              <w:t>Recommended dose for 4</w:t>
            </w:r>
            <w:r w:rsidRPr="005F6105">
              <w:rPr>
                <w:rFonts w:eastAsia="Times New Roman" w:cstheme="minorHAnsi"/>
                <w:b/>
                <w:bCs/>
                <w:vertAlign w:val="superscript"/>
                <w:lang w:eastAsia="en-AU"/>
              </w:rPr>
              <w:t>th</w:t>
            </w:r>
            <w:r w:rsidRPr="005F6105">
              <w:rPr>
                <w:rFonts w:eastAsia="Times New Roman" w:cstheme="minorHAnsi"/>
                <w:b/>
                <w:bCs/>
                <w:lang w:eastAsia="en-AU"/>
              </w:rPr>
              <w:t xml:space="preserve"> and subsequent administrations</w:t>
            </w:r>
          </w:p>
        </w:tc>
        <w:tc>
          <w:tcPr>
            <w:tcW w:w="0" w:type="auto"/>
            <w:tcBorders>
              <w:top w:val="outset" w:sz="6" w:space="0" w:color="auto"/>
              <w:left w:val="outset" w:sz="6" w:space="0" w:color="auto"/>
              <w:bottom w:val="outset" w:sz="6" w:space="0" w:color="auto"/>
              <w:right w:val="outset" w:sz="6" w:space="0" w:color="auto"/>
            </w:tcBorders>
            <w:vAlign w:val="center"/>
            <w:hideMark/>
          </w:tcPr>
          <w:p w14:paraId="498ED442" w14:textId="77777777" w:rsidR="005F6105" w:rsidRPr="0037346A" w:rsidRDefault="005F6105" w:rsidP="0040516E">
            <w:pPr>
              <w:spacing w:after="0" w:line="240" w:lineRule="auto"/>
              <w:rPr>
                <w:rFonts w:eastAsia="Times New Roman" w:cstheme="minorHAnsi"/>
                <w:lang w:eastAsia="en-AU"/>
              </w:rPr>
            </w:pPr>
            <w:r w:rsidRPr="005F6105">
              <w:rPr>
                <w:rFonts w:eastAsia="Times New Roman" w:cstheme="minorHAnsi"/>
                <w:b/>
                <w:bCs/>
                <w:lang w:eastAsia="en-AU"/>
              </w:rPr>
              <w:t>80</w:t>
            </w:r>
            <w:r w:rsidRPr="0037346A">
              <w:rPr>
                <w:rFonts w:eastAsia="Times New Roman" w:cstheme="minorHAnsi"/>
                <w:lang w:eastAsia="en-A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0771C784" w14:textId="77777777" w:rsidR="005F6105" w:rsidRPr="0037346A" w:rsidRDefault="005F6105" w:rsidP="0040516E">
            <w:pPr>
              <w:spacing w:after="0" w:line="240" w:lineRule="auto"/>
              <w:rPr>
                <w:rFonts w:eastAsia="Times New Roman" w:cstheme="minorHAnsi"/>
                <w:lang w:eastAsia="en-AU"/>
              </w:rPr>
            </w:pPr>
            <w:r w:rsidRPr="005F6105">
              <w:rPr>
                <w:rFonts w:eastAsia="Times New Roman" w:cstheme="minorHAnsi"/>
                <w:b/>
                <w:bCs/>
                <w:lang w:eastAsia="en-AU"/>
              </w:rPr>
              <w:t>80</w:t>
            </w:r>
            <w:r w:rsidRPr="0037346A">
              <w:rPr>
                <w:rFonts w:eastAsia="Times New Roman" w:cstheme="minorHAnsi"/>
                <w:lang w:eastAsia="en-A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32FFB6C5" w14:textId="77777777" w:rsidR="005F6105" w:rsidRPr="0037346A" w:rsidRDefault="005F6105" w:rsidP="0040516E">
            <w:pPr>
              <w:spacing w:after="0" w:line="240" w:lineRule="auto"/>
              <w:rPr>
                <w:rFonts w:eastAsia="Times New Roman" w:cstheme="minorHAnsi"/>
                <w:lang w:eastAsia="en-AU"/>
              </w:rPr>
            </w:pPr>
            <w:r w:rsidRPr="005F6105">
              <w:rPr>
                <w:rFonts w:eastAsia="Times New Roman" w:cstheme="minorHAnsi"/>
                <w:b/>
                <w:bCs/>
                <w:lang w:eastAsia="en-AU"/>
              </w:rPr>
              <w:t>60</w:t>
            </w:r>
            <w:r w:rsidRPr="0037346A">
              <w:rPr>
                <w:rFonts w:eastAsia="Times New Roman" w:cstheme="minorHAnsi"/>
                <w:lang w:eastAsia="en-A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171376AA" w14:textId="77777777" w:rsidR="005F6105" w:rsidRPr="0037346A" w:rsidRDefault="005F6105" w:rsidP="0040516E">
            <w:pPr>
              <w:spacing w:after="0" w:line="240" w:lineRule="auto"/>
              <w:rPr>
                <w:rFonts w:eastAsia="Times New Roman" w:cstheme="minorHAnsi"/>
                <w:lang w:eastAsia="en-AU"/>
              </w:rPr>
            </w:pPr>
            <w:r w:rsidRPr="005F6105">
              <w:rPr>
                <w:rFonts w:eastAsia="Times New Roman" w:cstheme="minorHAnsi"/>
                <w:b/>
                <w:bCs/>
                <w:lang w:eastAsia="en-AU"/>
              </w:rPr>
              <w:t>60</w:t>
            </w:r>
            <w:r w:rsidRPr="0037346A">
              <w:rPr>
                <w:rFonts w:eastAsia="Times New Roman" w:cstheme="minorHAnsi"/>
                <w:lang w:eastAsia="en-AU"/>
              </w:rPr>
              <w:t xml:space="preserve"> </w:t>
            </w:r>
          </w:p>
        </w:tc>
      </w:tr>
    </w:tbl>
    <w:p w14:paraId="2B8E915F" w14:textId="77777777" w:rsidR="005F6105" w:rsidRPr="0037346A" w:rsidRDefault="005F6105" w:rsidP="005F6105">
      <w:pPr>
        <w:spacing w:before="100" w:beforeAutospacing="1" w:after="100" w:afterAutospacing="1" w:line="240" w:lineRule="auto"/>
        <w:rPr>
          <w:rFonts w:eastAsia="Times New Roman" w:cstheme="minorHAnsi"/>
          <w:lang w:val="en-NZ" w:eastAsia="en-AU"/>
        </w:rPr>
      </w:pPr>
      <w:r w:rsidRPr="0037346A">
        <w:rPr>
          <w:rFonts w:eastAsia="Times New Roman" w:cstheme="minorHAnsi"/>
          <w:lang w:val="en-NZ" w:eastAsia="en-AU"/>
        </w:rPr>
        <w:br/>
        <w:t>For any administration planned at the 80 mg/m²/week dose, if the neutrophil count falls below 500 / mm³, the dose must be delayed until recovery and reduced from 80 to 60 mg/m² per week during the 3 subsequent administrations.</w:t>
      </w:r>
    </w:p>
    <w:tbl>
      <w:tblPr>
        <w:tblW w:w="0" w:type="auto"/>
        <w:tblCellSpacing w:w="0" w:type="dxa"/>
        <w:tblBorders>
          <w:top w:val="outset" w:sz="12" w:space="0" w:color="auto"/>
          <w:left w:val="outset" w:sz="12" w:space="0" w:color="auto"/>
          <w:bottom w:val="outset" w:sz="12" w:space="0" w:color="auto"/>
          <w:right w:val="outset" w:sz="12" w:space="0" w:color="auto"/>
        </w:tblBorders>
        <w:tblCellMar>
          <w:top w:w="45" w:type="dxa"/>
          <w:left w:w="45" w:type="dxa"/>
          <w:bottom w:w="45" w:type="dxa"/>
          <w:right w:w="45" w:type="dxa"/>
        </w:tblCellMar>
        <w:tblLook w:val="04A0" w:firstRow="1" w:lastRow="0" w:firstColumn="1" w:lastColumn="0" w:noHBand="0" w:noVBand="1"/>
      </w:tblPr>
      <w:tblGrid>
        <w:gridCol w:w="3396"/>
        <w:gridCol w:w="1199"/>
        <w:gridCol w:w="1812"/>
        <w:gridCol w:w="1847"/>
        <w:gridCol w:w="1199"/>
      </w:tblGrid>
      <w:tr w:rsidR="005F6105" w:rsidRPr="0037346A" w14:paraId="039B9908" w14:textId="77777777" w:rsidTr="0040516E">
        <w:trPr>
          <w:tblHeade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76BBC63" w14:textId="77777777" w:rsidR="005F6105" w:rsidRPr="0037346A" w:rsidRDefault="005F6105" w:rsidP="0040516E">
            <w:pPr>
              <w:spacing w:after="0" w:line="240" w:lineRule="auto"/>
              <w:rPr>
                <w:rFonts w:eastAsia="Times New Roman" w:cstheme="minorHAnsi"/>
                <w:b/>
                <w:bCs/>
                <w:color w:val="000000"/>
                <w:lang w:eastAsia="en-AU"/>
              </w:rPr>
            </w:pPr>
            <w:r w:rsidRPr="0037346A">
              <w:rPr>
                <w:rFonts w:eastAsia="Times New Roman" w:cstheme="minorHAnsi"/>
                <w:b/>
                <w:bCs/>
                <w:color w:val="000000"/>
                <w:lang w:eastAsia="en-AU"/>
              </w:rPr>
              <w:t>Neutrophil count beyond the 4</w:t>
            </w:r>
            <w:r w:rsidRPr="0037346A">
              <w:rPr>
                <w:rFonts w:eastAsia="Times New Roman" w:cstheme="minorHAnsi"/>
                <w:b/>
                <w:bCs/>
                <w:color w:val="000000"/>
                <w:vertAlign w:val="superscript"/>
                <w:lang w:eastAsia="en-AU"/>
              </w:rPr>
              <w:t>th</w:t>
            </w:r>
            <w:r w:rsidRPr="0037346A">
              <w:rPr>
                <w:rFonts w:eastAsia="Times New Roman" w:cstheme="minorHAnsi"/>
                <w:b/>
                <w:bCs/>
                <w:color w:val="000000"/>
                <w:lang w:eastAsia="en-AU"/>
              </w:rPr>
              <w:t xml:space="preserve"> administration at 80 mg/m²/week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B26D166" w14:textId="77777777" w:rsidR="005F6105" w:rsidRPr="0037346A" w:rsidRDefault="005F6105" w:rsidP="0040516E">
            <w:pPr>
              <w:spacing w:after="0" w:line="240" w:lineRule="auto"/>
              <w:jc w:val="center"/>
              <w:rPr>
                <w:rFonts w:eastAsia="Times New Roman" w:cstheme="minorHAnsi"/>
                <w:b/>
                <w:bCs/>
                <w:color w:val="000000"/>
                <w:lang w:eastAsia="en-AU"/>
              </w:rPr>
            </w:pPr>
            <w:r w:rsidRPr="0037346A">
              <w:rPr>
                <w:rFonts w:eastAsia="Times New Roman" w:cstheme="minorHAnsi"/>
                <w:b/>
                <w:bCs/>
                <w:color w:val="000000"/>
                <w:lang w:eastAsia="en-AU"/>
              </w:rPr>
              <w:t xml:space="preserve">Neutrophils </w:t>
            </w:r>
            <w:r w:rsidRPr="0037346A">
              <w:rPr>
                <w:rFonts w:eastAsia="Times New Roman" w:cstheme="minorHAnsi"/>
                <w:b/>
                <w:bCs/>
                <w:color w:val="000000"/>
                <w:lang w:eastAsia="en-AU"/>
              </w:rPr>
              <w:br/>
              <w:t>&gt;1000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B3BE8B5" w14:textId="77777777" w:rsidR="005F6105" w:rsidRPr="0037346A" w:rsidRDefault="005F6105" w:rsidP="0040516E">
            <w:pPr>
              <w:spacing w:after="0" w:line="240" w:lineRule="auto"/>
              <w:jc w:val="center"/>
              <w:rPr>
                <w:rFonts w:eastAsia="Times New Roman" w:cstheme="minorHAnsi"/>
                <w:b/>
                <w:bCs/>
                <w:color w:val="000000"/>
                <w:lang w:eastAsia="en-AU"/>
              </w:rPr>
            </w:pPr>
            <w:r w:rsidRPr="0037346A">
              <w:rPr>
                <w:rFonts w:eastAsia="Times New Roman" w:cstheme="minorHAnsi"/>
                <w:b/>
                <w:bCs/>
                <w:color w:val="000000"/>
                <w:lang w:eastAsia="en-AU"/>
              </w:rPr>
              <w:t>Neutrophils</w:t>
            </w:r>
            <w:r w:rsidRPr="0037346A">
              <w:rPr>
                <w:rFonts w:eastAsia="Times New Roman" w:cstheme="minorHAnsi"/>
                <w:b/>
                <w:bCs/>
                <w:color w:val="000000"/>
                <w:lang w:eastAsia="en-AU"/>
              </w:rPr>
              <w:br/>
              <w:t>≥ 500 and &lt; 1000 (1 episode)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45B3981" w14:textId="77777777" w:rsidR="005F6105" w:rsidRPr="0037346A" w:rsidRDefault="005F6105" w:rsidP="0040516E">
            <w:pPr>
              <w:spacing w:after="0" w:line="240" w:lineRule="auto"/>
              <w:jc w:val="center"/>
              <w:rPr>
                <w:rFonts w:eastAsia="Times New Roman" w:cstheme="minorHAnsi"/>
                <w:b/>
                <w:bCs/>
                <w:color w:val="000000"/>
                <w:lang w:eastAsia="en-AU"/>
              </w:rPr>
            </w:pPr>
            <w:r w:rsidRPr="0037346A">
              <w:rPr>
                <w:rFonts w:eastAsia="Times New Roman" w:cstheme="minorHAnsi"/>
                <w:b/>
                <w:bCs/>
                <w:color w:val="000000"/>
                <w:lang w:eastAsia="en-AU"/>
              </w:rPr>
              <w:t>Neutrophils</w:t>
            </w:r>
            <w:r w:rsidRPr="0037346A">
              <w:rPr>
                <w:rFonts w:eastAsia="Times New Roman" w:cstheme="minorHAnsi"/>
                <w:b/>
                <w:bCs/>
                <w:color w:val="000000"/>
                <w:lang w:eastAsia="en-AU"/>
              </w:rPr>
              <w:br/>
              <w:t>≥ 500 and &lt; 1000 (2 episodes)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AB9C3DC" w14:textId="77777777" w:rsidR="005F6105" w:rsidRPr="0037346A" w:rsidRDefault="005F6105" w:rsidP="0040516E">
            <w:pPr>
              <w:spacing w:after="0" w:line="240" w:lineRule="auto"/>
              <w:jc w:val="center"/>
              <w:rPr>
                <w:rFonts w:eastAsia="Times New Roman" w:cstheme="minorHAnsi"/>
                <w:b/>
                <w:bCs/>
                <w:color w:val="000000"/>
                <w:lang w:eastAsia="en-AU"/>
              </w:rPr>
            </w:pPr>
            <w:r w:rsidRPr="0037346A">
              <w:rPr>
                <w:rFonts w:eastAsia="Times New Roman" w:cstheme="minorHAnsi"/>
                <w:b/>
                <w:bCs/>
                <w:color w:val="000000"/>
                <w:lang w:eastAsia="en-AU"/>
              </w:rPr>
              <w:t>Neutrophils</w:t>
            </w:r>
            <w:r w:rsidRPr="0037346A">
              <w:rPr>
                <w:rFonts w:eastAsia="Times New Roman" w:cstheme="minorHAnsi"/>
                <w:b/>
                <w:bCs/>
                <w:color w:val="000000"/>
                <w:lang w:eastAsia="en-AU"/>
              </w:rPr>
              <w:br/>
              <w:t>&lt;500</w:t>
            </w:r>
          </w:p>
        </w:tc>
      </w:tr>
      <w:tr w:rsidR="005F6105" w:rsidRPr="0037346A" w14:paraId="053EF66A" w14:textId="77777777" w:rsidTr="0040516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34A6DAD" w14:textId="77777777" w:rsidR="005F6105" w:rsidRPr="0037346A" w:rsidRDefault="005F6105" w:rsidP="0040516E">
            <w:pPr>
              <w:spacing w:after="0" w:line="240" w:lineRule="auto"/>
              <w:rPr>
                <w:rFonts w:eastAsia="Times New Roman" w:cstheme="minorHAnsi"/>
                <w:lang w:eastAsia="en-AU"/>
              </w:rPr>
            </w:pPr>
            <w:r w:rsidRPr="005F6105">
              <w:rPr>
                <w:rFonts w:eastAsia="Times New Roman" w:cstheme="minorHAnsi"/>
                <w:b/>
                <w:bCs/>
                <w:lang w:eastAsia="en-AU"/>
              </w:rPr>
              <w:t>Recommended dose for the next administration</w:t>
            </w:r>
            <w:r w:rsidRPr="0037346A">
              <w:rPr>
                <w:rFonts w:eastAsia="Times New Roman" w:cstheme="minorHAnsi"/>
                <w:lang w:eastAsia="en-AU"/>
              </w:rPr>
              <w:t xml:space="preserve">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595E27F0" w14:textId="77777777" w:rsidR="005F6105" w:rsidRPr="0037346A" w:rsidRDefault="005F6105" w:rsidP="0040516E">
            <w:pPr>
              <w:spacing w:after="0" w:line="240" w:lineRule="auto"/>
              <w:rPr>
                <w:rFonts w:eastAsia="Times New Roman" w:cstheme="minorHAnsi"/>
                <w:lang w:eastAsia="en-AU"/>
              </w:rPr>
            </w:pPr>
            <w:r w:rsidRPr="005F6105">
              <w:rPr>
                <w:rFonts w:eastAsia="Times New Roman" w:cstheme="minorHAnsi"/>
                <w:b/>
                <w:bCs/>
                <w:lang w:eastAsia="en-AU"/>
              </w:rPr>
              <w:t>80</w:t>
            </w:r>
            <w:r w:rsidRPr="0037346A">
              <w:rPr>
                <w:rFonts w:eastAsia="Times New Roman" w:cstheme="minorHAnsi"/>
                <w:lang w:eastAsia="en-AU"/>
              </w:rPr>
              <w:t xml:space="preserve">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0C2F14D5" w14:textId="77777777" w:rsidR="005F6105" w:rsidRPr="0037346A" w:rsidRDefault="005F6105" w:rsidP="0040516E">
            <w:pPr>
              <w:spacing w:after="0" w:line="240" w:lineRule="auto"/>
              <w:rPr>
                <w:rFonts w:eastAsia="Times New Roman" w:cstheme="minorHAnsi"/>
                <w:lang w:eastAsia="en-AU"/>
              </w:rPr>
            </w:pPr>
            <w:r w:rsidRPr="005F6105">
              <w:rPr>
                <w:rFonts w:eastAsia="Times New Roman" w:cstheme="minorHAnsi"/>
                <w:b/>
                <w:bCs/>
                <w:lang w:eastAsia="en-AU"/>
              </w:rPr>
              <w:t>60</w:t>
            </w:r>
            <w:r w:rsidRPr="0037346A">
              <w:rPr>
                <w:rFonts w:eastAsia="Times New Roman" w:cstheme="minorHAnsi"/>
                <w:lang w:eastAsia="en-AU"/>
              </w:rPr>
              <w:t xml:space="preserve"> </w:t>
            </w:r>
          </w:p>
        </w:tc>
      </w:tr>
    </w:tbl>
    <w:p w14:paraId="5B7FFB7A" w14:textId="77777777" w:rsidR="005F6105" w:rsidRPr="0037346A" w:rsidRDefault="005F6105" w:rsidP="005F6105">
      <w:pPr>
        <w:spacing w:before="100" w:beforeAutospacing="1" w:after="100" w:afterAutospacing="1" w:line="240" w:lineRule="auto"/>
        <w:rPr>
          <w:rFonts w:eastAsia="Times New Roman" w:cstheme="minorHAnsi"/>
          <w:lang w:val="en-NZ" w:eastAsia="en-AU"/>
        </w:rPr>
      </w:pPr>
      <w:r w:rsidRPr="0037346A">
        <w:rPr>
          <w:rFonts w:eastAsia="Times New Roman" w:cstheme="minorHAnsi"/>
          <w:lang w:val="en-NZ" w:eastAsia="en-AU"/>
        </w:rPr>
        <w:br/>
        <w:t>It is possible to re-escalate the dose from 60 to 80 mg/m²/week if the neutrophil count does not drop below 500/mm³, or more than once between 500 and 1000 / mm³, during the three administrations given at the 60 mg/m² dose.</w:t>
      </w:r>
    </w:p>
    <w:p w14:paraId="57DF4F49" w14:textId="77777777" w:rsidR="005F6105" w:rsidRPr="0037346A" w:rsidRDefault="005F6105" w:rsidP="005F6105">
      <w:pPr>
        <w:spacing w:before="100" w:beforeAutospacing="1" w:after="100" w:afterAutospacing="1" w:line="240" w:lineRule="auto"/>
        <w:outlineLvl w:val="4"/>
        <w:rPr>
          <w:rFonts w:eastAsia="Times New Roman" w:cstheme="minorHAnsi"/>
          <w:b/>
          <w:bCs/>
          <w:lang w:val="en-NZ" w:eastAsia="en-AU"/>
        </w:rPr>
      </w:pPr>
      <w:r w:rsidRPr="0037346A">
        <w:rPr>
          <w:rFonts w:eastAsia="Times New Roman" w:cstheme="minorHAnsi"/>
          <w:b/>
          <w:bCs/>
          <w:lang w:val="en-NZ" w:eastAsia="en-AU"/>
        </w:rPr>
        <w:t>Dose modifications for hepatic insufficiency</w:t>
      </w:r>
    </w:p>
    <w:p w14:paraId="2CF186CD" w14:textId="77777777" w:rsidR="005F6105" w:rsidRPr="0037346A" w:rsidRDefault="005F6105" w:rsidP="005F6105">
      <w:pPr>
        <w:spacing w:before="100" w:beforeAutospacing="1" w:after="100" w:afterAutospacing="1" w:line="240" w:lineRule="auto"/>
        <w:rPr>
          <w:rFonts w:eastAsia="Times New Roman" w:cstheme="minorHAnsi"/>
          <w:lang w:val="en-NZ" w:eastAsia="en-AU"/>
        </w:rPr>
      </w:pPr>
      <w:r w:rsidRPr="0037346A">
        <w:rPr>
          <w:rFonts w:eastAsia="Times New Roman" w:cstheme="minorHAnsi"/>
          <w:lang w:val="en-NZ" w:eastAsia="en-AU"/>
        </w:rPr>
        <w:t>Vinorelbine is contraindicated in patients with severe hepatic insufficiency. There is limited experience in patients with mild or moderate hepatic impairment, however available data suggests that dose modification is not required. Haematological toxicity should be closely monitored.</w:t>
      </w:r>
    </w:p>
    <w:p w14:paraId="48CD33CC" w14:textId="77777777" w:rsidR="005F6105" w:rsidRPr="0037346A" w:rsidRDefault="005F6105" w:rsidP="005F6105">
      <w:pPr>
        <w:spacing w:before="100" w:beforeAutospacing="1" w:after="100" w:afterAutospacing="1" w:line="240" w:lineRule="auto"/>
        <w:outlineLvl w:val="4"/>
        <w:rPr>
          <w:rFonts w:eastAsia="Times New Roman" w:cstheme="minorHAnsi"/>
          <w:b/>
          <w:bCs/>
          <w:lang w:val="en-NZ" w:eastAsia="en-AU"/>
        </w:rPr>
      </w:pPr>
      <w:r w:rsidRPr="0037346A">
        <w:rPr>
          <w:rFonts w:eastAsia="Times New Roman" w:cstheme="minorHAnsi"/>
          <w:b/>
          <w:bCs/>
          <w:lang w:val="en-NZ" w:eastAsia="en-AU"/>
        </w:rPr>
        <w:t>Combination chemotherapy</w:t>
      </w:r>
    </w:p>
    <w:p w14:paraId="03490456" w14:textId="77777777" w:rsidR="005F6105" w:rsidRPr="0037346A" w:rsidRDefault="005F6105" w:rsidP="005F6105">
      <w:pPr>
        <w:spacing w:before="100" w:beforeAutospacing="1" w:after="100" w:afterAutospacing="1" w:line="240" w:lineRule="auto"/>
        <w:rPr>
          <w:rFonts w:eastAsia="Times New Roman" w:cstheme="minorHAnsi"/>
          <w:lang w:val="en-NZ" w:eastAsia="en-AU"/>
        </w:rPr>
      </w:pPr>
      <w:r w:rsidRPr="0037346A">
        <w:rPr>
          <w:rFonts w:eastAsia="Times New Roman" w:cstheme="minorHAnsi"/>
          <w:lang w:val="en-NZ" w:eastAsia="en-AU"/>
        </w:rPr>
        <w:t xml:space="preserve">The use of oral vinorelbine in combination regimens has not been extensively studied. However, based on pharmacokinetic studies, the oral dose of 80 mg/m² was demonstrated to correspond to 30 mg/m² of the IV form and 60 mg/m² orally to 25 mg/m² IV. </w:t>
      </w:r>
    </w:p>
    <w:p w14:paraId="233807F3" w14:textId="77777777" w:rsidR="005F6105" w:rsidRPr="0037346A" w:rsidRDefault="005F6105" w:rsidP="005F6105">
      <w:pPr>
        <w:spacing w:before="100" w:beforeAutospacing="1" w:after="100" w:afterAutospacing="1" w:line="240" w:lineRule="auto"/>
        <w:rPr>
          <w:rFonts w:eastAsia="Times New Roman" w:cstheme="minorHAnsi"/>
          <w:lang w:val="en-NZ" w:eastAsia="en-AU"/>
        </w:rPr>
      </w:pPr>
      <w:r w:rsidRPr="0037346A">
        <w:rPr>
          <w:rFonts w:eastAsia="Times New Roman" w:cstheme="minorHAnsi"/>
          <w:lang w:val="en-NZ" w:eastAsia="en-AU"/>
        </w:rPr>
        <w:t>In combination regimens, intravenous vinorelbine dosing may be replaced with oral vinorelbine therapy. The recommended dose is 60 mg/m². The safety of higher doses of oral vinorelbine (eg 80 mg/m²) in combination regimens has not been established.</w:t>
      </w:r>
    </w:p>
    <w:p w14:paraId="3795AB4E" w14:textId="77777777" w:rsidR="005F6105" w:rsidRPr="0037346A" w:rsidRDefault="005F6105" w:rsidP="005F6105">
      <w:pPr>
        <w:spacing w:before="100" w:beforeAutospacing="1" w:after="100" w:afterAutospacing="1" w:line="240" w:lineRule="auto"/>
        <w:rPr>
          <w:rFonts w:eastAsia="Times New Roman" w:cstheme="minorHAnsi"/>
          <w:lang w:val="en-NZ" w:eastAsia="en-AU"/>
        </w:rPr>
      </w:pPr>
      <w:r w:rsidRPr="0037346A">
        <w:rPr>
          <w:rFonts w:eastAsia="Times New Roman" w:cstheme="minorHAnsi"/>
          <w:lang w:val="en-NZ" w:eastAsia="en-AU"/>
        </w:rPr>
        <w:lastRenderedPageBreak/>
        <w:t>The following table gives the dose required for appropriate ranges of body surface area (BSA).</w:t>
      </w:r>
    </w:p>
    <w:tbl>
      <w:tblPr>
        <w:tblW w:w="0" w:type="auto"/>
        <w:tblCellSpacing w:w="0" w:type="dxa"/>
        <w:tblBorders>
          <w:top w:val="outset" w:sz="12" w:space="0" w:color="auto"/>
          <w:left w:val="outset" w:sz="12" w:space="0" w:color="auto"/>
          <w:bottom w:val="outset" w:sz="12" w:space="0" w:color="auto"/>
          <w:right w:val="outset" w:sz="12" w:space="0" w:color="auto"/>
        </w:tblBorders>
        <w:tblCellMar>
          <w:top w:w="45" w:type="dxa"/>
          <w:left w:w="45" w:type="dxa"/>
          <w:bottom w:w="45" w:type="dxa"/>
          <w:right w:w="45" w:type="dxa"/>
        </w:tblCellMar>
        <w:tblLook w:val="04A0" w:firstRow="1" w:lastRow="0" w:firstColumn="1" w:lastColumn="0" w:noHBand="0" w:noVBand="1"/>
      </w:tblPr>
      <w:tblGrid>
        <w:gridCol w:w="1190"/>
        <w:gridCol w:w="1046"/>
        <w:gridCol w:w="1046"/>
      </w:tblGrid>
      <w:tr w:rsidR="005F6105" w:rsidRPr="0037346A" w14:paraId="1EE98410" w14:textId="77777777" w:rsidTr="0040516E">
        <w:trPr>
          <w:tblHeade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3D99865" w14:textId="77777777" w:rsidR="005F6105" w:rsidRPr="0037346A" w:rsidRDefault="005F6105" w:rsidP="0040516E">
            <w:pPr>
              <w:spacing w:after="0" w:line="240" w:lineRule="auto"/>
              <w:jc w:val="center"/>
              <w:rPr>
                <w:rFonts w:eastAsia="Times New Roman" w:cstheme="minorHAnsi"/>
                <w:b/>
                <w:bCs/>
                <w:color w:val="000000"/>
                <w:lang w:eastAsia="en-AU"/>
              </w:rPr>
            </w:pPr>
            <w:r w:rsidRPr="0037346A">
              <w:rPr>
                <w:rFonts w:eastAsia="Times New Roman" w:cstheme="minorHAnsi"/>
                <w:b/>
                <w:bCs/>
                <w:color w:val="000000"/>
                <w:lang w:eastAsia="en-A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DB811FD" w14:textId="77777777" w:rsidR="005F6105" w:rsidRPr="0037346A" w:rsidRDefault="005F6105" w:rsidP="0040516E">
            <w:pPr>
              <w:spacing w:after="0" w:line="240" w:lineRule="auto"/>
              <w:jc w:val="center"/>
              <w:rPr>
                <w:rFonts w:eastAsia="Times New Roman" w:cstheme="minorHAnsi"/>
                <w:b/>
                <w:bCs/>
                <w:color w:val="000000"/>
                <w:lang w:eastAsia="en-AU"/>
              </w:rPr>
            </w:pPr>
            <w:r w:rsidRPr="0037346A">
              <w:rPr>
                <w:rFonts w:eastAsia="Times New Roman" w:cstheme="minorHAnsi"/>
                <w:b/>
                <w:bCs/>
                <w:color w:val="000000"/>
                <w:lang w:eastAsia="en-AU"/>
              </w:rPr>
              <w:t>60 mg/m²</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996F2B3" w14:textId="77777777" w:rsidR="005F6105" w:rsidRPr="0037346A" w:rsidRDefault="005F6105" w:rsidP="0040516E">
            <w:pPr>
              <w:spacing w:after="0" w:line="240" w:lineRule="auto"/>
              <w:jc w:val="center"/>
              <w:rPr>
                <w:rFonts w:eastAsia="Times New Roman" w:cstheme="minorHAnsi"/>
                <w:b/>
                <w:bCs/>
                <w:color w:val="000000"/>
                <w:lang w:eastAsia="en-AU"/>
              </w:rPr>
            </w:pPr>
            <w:r w:rsidRPr="0037346A">
              <w:rPr>
                <w:rFonts w:eastAsia="Times New Roman" w:cstheme="minorHAnsi"/>
                <w:b/>
                <w:bCs/>
                <w:color w:val="000000"/>
                <w:lang w:eastAsia="en-AU"/>
              </w:rPr>
              <w:t>80 mg/m²</w:t>
            </w:r>
          </w:p>
        </w:tc>
      </w:tr>
      <w:tr w:rsidR="005F6105" w:rsidRPr="0037346A" w14:paraId="73CE6210" w14:textId="77777777" w:rsidTr="0040516E">
        <w:trPr>
          <w:tblHeade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F7C14C7" w14:textId="77777777" w:rsidR="005F6105" w:rsidRPr="0037346A" w:rsidRDefault="005F6105" w:rsidP="0040516E">
            <w:pPr>
              <w:spacing w:after="0" w:line="240" w:lineRule="auto"/>
              <w:jc w:val="center"/>
              <w:rPr>
                <w:rFonts w:eastAsia="Times New Roman" w:cstheme="minorHAnsi"/>
                <w:b/>
                <w:bCs/>
                <w:color w:val="000000"/>
                <w:lang w:eastAsia="en-AU"/>
              </w:rPr>
            </w:pPr>
            <w:r w:rsidRPr="0037346A">
              <w:rPr>
                <w:rFonts w:eastAsia="Times New Roman" w:cstheme="minorHAnsi"/>
                <w:b/>
                <w:bCs/>
                <w:color w:val="000000"/>
                <w:lang w:eastAsia="en-AU"/>
              </w:rPr>
              <w:t>BSA (m²)</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636149F" w14:textId="77777777" w:rsidR="005F6105" w:rsidRPr="0037346A" w:rsidRDefault="005F6105" w:rsidP="0040516E">
            <w:pPr>
              <w:spacing w:after="0" w:line="240" w:lineRule="auto"/>
              <w:jc w:val="center"/>
              <w:rPr>
                <w:rFonts w:eastAsia="Times New Roman" w:cstheme="minorHAnsi"/>
                <w:b/>
                <w:bCs/>
                <w:color w:val="000000"/>
                <w:lang w:eastAsia="en-AU"/>
              </w:rPr>
            </w:pPr>
            <w:r w:rsidRPr="0037346A">
              <w:rPr>
                <w:rFonts w:eastAsia="Times New Roman" w:cstheme="minorHAnsi"/>
                <w:b/>
                <w:bCs/>
                <w:color w:val="000000"/>
                <w:lang w:eastAsia="en-AU"/>
              </w:rPr>
              <w:t xml:space="preserve">Dose (mg)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3C1FB30" w14:textId="77777777" w:rsidR="005F6105" w:rsidRPr="0037346A" w:rsidRDefault="005F6105" w:rsidP="0040516E">
            <w:pPr>
              <w:spacing w:after="0" w:line="240" w:lineRule="auto"/>
              <w:jc w:val="center"/>
              <w:rPr>
                <w:rFonts w:eastAsia="Times New Roman" w:cstheme="minorHAnsi"/>
                <w:b/>
                <w:bCs/>
                <w:color w:val="000000"/>
                <w:lang w:eastAsia="en-AU"/>
              </w:rPr>
            </w:pPr>
            <w:r w:rsidRPr="0037346A">
              <w:rPr>
                <w:rFonts w:eastAsia="Times New Roman" w:cstheme="minorHAnsi"/>
                <w:b/>
                <w:bCs/>
                <w:color w:val="000000"/>
                <w:lang w:eastAsia="en-AU"/>
              </w:rPr>
              <w:t>Dose (mg)</w:t>
            </w:r>
          </w:p>
        </w:tc>
      </w:tr>
      <w:tr w:rsidR="005F6105" w:rsidRPr="0037346A" w14:paraId="6E0236E5" w14:textId="77777777" w:rsidTr="0040516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F94E2F1" w14:textId="77777777" w:rsidR="005F6105" w:rsidRPr="0037346A" w:rsidRDefault="005F6105" w:rsidP="0040516E">
            <w:pPr>
              <w:spacing w:after="0" w:line="240" w:lineRule="auto"/>
              <w:rPr>
                <w:rFonts w:eastAsia="Times New Roman" w:cstheme="minorHAnsi"/>
                <w:lang w:eastAsia="en-AU"/>
              </w:rPr>
            </w:pPr>
            <w:r w:rsidRPr="0037346A">
              <w:rPr>
                <w:rFonts w:eastAsia="Times New Roman" w:cstheme="minorHAnsi"/>
                <w:lang w:eastAsia="en-AU"/>
              </w:rPr>
              <w:t>0.95 to 1</w:t>
            </w:r>
          </w:p>
        </w:tc>
        <w:tc>
          <w:tcPr>
            <w:tcW w:w="0" w:type="auto"/>
            <w:tcBorders>
              <w:top w:val="outset" w:sz="6" w:space="0" w:color="auto"/>
              <w:left w:val="outset" w:sz="6" w:space="0" w:color="auto"/>
              <w:bottom w:val="outset" w:sz="6" w:space="0" w:color="auto"/>
              <w:right w:val="outset" w:sz="6" w:space="0" w:color="auto"/>
            </w:tcBorders>
            <w:vAlign w:val="center"/>
            <w:hideMark/>
          </w:tcPr>
          <w:p w14:paraId="1DD31D61" w14:textId="77777777" w:rsidR="005F6105" w:rsidRPr="0037346A" w:rsidRDefault="005F6105" w:rsidP="0040516E">
            <w:pPr>
              <w:spacing w:after="0" w:line="240" w:lineRule="auto"/>
              <w:rPr>
                <w:rFonts w:eastAsia="Times New Roman" w:cstheme="minorHAnsi"/>
                <w:lang w:eastAsia="en-AU"/>
              </w:rPr>
            </w:pPr>
            <w:r w:rsidRPr="0037346A">
              <w:rPr>
                <w:rFonts w:eastAsia="Times New Roman" w:cstheme="minorHAnsi"/>
                <w:lang w:eastAsia="en-AU"/>
              </w:rPr>
              <w:t>60</w:t>
            </w:r>
          </w:p>
        </w:tc>
        <w:tc>
          <w:tcPr>
            <w:tcW w:w="0" w:type="auto"/>
            <w:tcBorders>
              <w:top w:val="outset" w:sz="6" w:space="0" w:color="auto"/>
              <w:left w:val="outset" w:sz="6" w:space="0" w:color="auto"/>
              <w:bottom w:val="outset" w:sz="6" w:space="0" w:color="auto"/>
              <w:right w:val="outset" w:sz="6" w:space="0" w:color="auto"/>
            </w:tcBorders>
            <w:vAlign w:val="center"/>
            <w:hideMark/>
          </w:tcPr>
          <w:p w14:paraId="471AE64F" w14:textId="77777777" w:rsidR="005F6105" w:rsidRPr="0037346A" w:rsidRDefault="005F6105" w:rsidP="0040516E">
            <w:pPr>
              <w:spacing w:after="0" w:line="240" w:lineRule="auto"/>
              <w:rPr>
                <w:rFonts w:eastAsia="Times New Roman" w:cstheme="minorHAnsi"/>
                <w:lang w:eastAsia="en-AU"/>
              </w:rPr>
            </w:pPr>
            <w:r w:rsidRPr="0037346A">
              <w:rPr>
                <w:rFonts w:eastAsia="Times New Roman" w:cstheme="minorHAnsi"/>
                <w:lang w:eastAsia="en-AU"/>
              </w:rPr>
              <w:t>80</w:t>
            </w:r>
          </w:p>
        </w:tc>
      </w:tr>
      <w:tr w:rsidR="005F6105" w:rsidRPr="0037346A" w14:paraId="397D13BA" w14:textId="77777777" w:rsidTr="0040516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600D2FE" w14:textId="77777777" w:rsidR="005F6105" w:rsidRPr="0037346A" w:rsidRDefault="005F6105" w:rsidP="0040516E">
            <w:pPr>
              <w:spacing w:after="0" w:line="240" w:lineRule="auto"/>
              <w:rPr>
                <w:rFonts w:eastAsia="Times New Roman" w:cstheme="minorHAnsi"/>
                <w:lang w:eastAsia="en-AU"/>
              </w:rPr>
            </w:pPr>
            <w:r w:rsidRPr="0037346A">
              <w:rPr>
                <w:rFonts w:eastAsia="Times New Roman" w:cstheme="minorHAnsi"/>
                <w:lang w:eastAsia="en-AU"/>
              </w:rPr>
              <w:t>1.05 to 1.14</w:t>
            </w:r>
          </w:p>
        </w:tc>
        <w:tc>
          <w:tcPr>
            <w:tcW w:w="0" w:type="auto"/>
            <w:tcBorders>
              <w:top w:val="outset" w:sz="6" w:space="0" w:color="auto"/>
              <w:left w:val="outset" w:sz="6" w:space="0" w:color="auto"/>
              <w:bottom w:val="outset" w:sz="6" w:space="0" w:color="auto"/>
              <w:right w:val="outset" w:sz="6" w:space="0" w:color="auto"/>
            </w:tcBorders>
            <w:vAlign w:val="center"/>
            <w:hideMark/>
          </w:tcPr>
          <w:p w14:paraId="48AB5861" w14:textId="77777777" w:rsidR="005F6105" w:rsidRPr="0037346A" w:rsidRDefault="005F6105" w:rsidP="0040516E">
            <w:pPr>
              <w:spacing w:after="0" w:line="240" w:lineRule="auto"/>
              <w:rPr>
                <w:rFonts w:eastAsia="Times New Roman" w:cstheme="minorHAnsi"/>
                <w:lang w:eastAsia="en-AU"/>
              </w:rPr>
            </w:pPr>
            <w:r w:rsidRPr="0037346A">
              <w:rPr>
                <w:rFonts w:eastAsia="Times New Roman" w:cstheme="minorHAnsi"/>
                <w:lang w:eastAsia="en-AU"/>
              </w:rPr>
              <w:t>70</w:t>
            </w:r>
          </w:p>
        </w:tc>
        <w:tc>
          <w:tcPr>
            <w:tcW w:w="0" w:type="auto"/>
            <w:tcBorders>
              <w:top w:val="outset" w:sz="6" w:space="0" w:color="auto"/>
              <w:left w:val="outset" w:sz="6" w:space="0" w:color="auto"/>
              <w:bottom w:val="outset" w:sz="6" w:space="0" w:color="auto"/>
              <w:right w:val="outset" w:sz="6" w:space="0" w:color="auto"/>
            </w:tcBorders>
            <w:vAlign w:val="center"/>
            <w:hideMark/>
          </w:tcPr>
          <w:p w14:paraId="706A4F9C" w14:textId="77777777" w:rsidR="005F6105" w:rsidRPr="0037346A" w:rsidRDefault="005F6105" w:rsidP="0040516E">
            <w:pPr>
              <w:spacing w:after="0" w:line="240" w:lineRule="auto"/>
              <w:rPr>
                <w:rFonts w:eastAsia="Times New Roman" w:cstheme="minorHAnsi"/>
                <w:lang w:eastAsia="en-AU"/>
              </w:rPr>
            </w:pPr>
            <w:r w:rsidRPr="0037346A">
              <w:rPr>
                <w:rFonts w:eastAsia="Times New Roman" w:cstheme="minorHAnsi"/>
                <w:lang w:eastAsia="en-AU"/>
              </w:rPr>
              <w:t>90</w:t>
            </w:r>
          </w:p>
        </w:tc>
      </w:tr>
      <w:tr w:rsidR="005F6105" w:rsidRPr="0037346A" w14:paraId="447B4A0A" w14:textId="77777777" w:rsidTr="0040516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E6A8A62" w14:textId="77777777" w:rsidR="005F6105" w:rsidRPr="0037346A" w:rsidRDefault="005F6105" w:rsidP="0040516E">
            <w:pPr>
              <w:spacing w:after="0" w:line="240" w:lineRule="auto"/>
              <w:rPr>
                <w:rFonts w:eastAsia="Times New Roman" w:cstheme="minorHAnsi"/>
                <w:lang w:eastAsia="en-AU"/>
              </w:rPr>
            </w:pPr>
            <w:r w:rsidRPr="0037346A">
              <w:rPr>
                <w:rFonts w:eastAsia="Times New Roman" w:cstheme="minorHAnsi"/>
                <w:lang w:eastAsia="en-AU"/>
              </w:rPr>
              <w:t>1.15 to 1.24</w:t>
            </w:r>
          </w:p>
        </w:tc>
        <w:tc>
          <w:tcPr>
            <w:tcW w:w="0" w:type="auto"/>
            <w:tcBorders>
              <w:top w:val="outset" w:sz="6" w:space="0" w:color="auto"/>
              <w:left w:val="outset" w:sz="6" w:space="0" w:color="auto"/>
              <w:bottom w:val="outset" w:sz="6" w:space="0" w:color="auto"/>
              <w:right w:val="outset" w:sz="6" w:space="0" w:color="auto"/>
            </w:tcBorders>
            <w:vAlign w:val="center"/>
            <w:hideMark/>
          </w:tcPr>
          <w:p w14:paraId="284B93D7" w14:textId="77777777" w:rsidR="005F6105" w:rsidRPr="0037346A" w:rsidRDefault="005F6105" w:rsidP="0040516E">
            <w:pPr>
              <w:spacing w:after="0" w:line="240" w:lineRule="auto"/>
              <w:rPr>
                <w:rFonts w:eastAsia="Times New Roman" w:cstheme="minorHAnsi"/>
                <w:lang w:eastAsia="en-AU"/>
              </w:rPr>
            </w:pPr>
            <w:r w:rsidRPr="0037346A">
              <w:rPr>
                <w:rFonts w:eastAsia="Times New Roman" w:cstheme="minorHAnsi"/>
                <w:lang w:eastAsia="en-AU"/>
              </w:rPr>
              <w:t>70</w:t>
            </w:r>
          </w:p>
        </w:tc>
        <w:tc>
          <w:tcPr>
            <w:tcW w:w="0" w:type="auto"/>
            <w:tcBorders>
              <w:top w:val="outset" w:sz="6" w:space="0" w:color="auto"/>
              <w:left w:val="outset" w:sz="6" w:space="0" w:color="auto"/>
              <w:bottom w:val="outset" w:sz="6" w:space="0" w:color="auto"/>
              <w:right w:val="outset" w:sz="6" w:space="0" w:color="auto"/>
            </w:tcBorders>
            <w:vAlign w:val="center"/>
            <w:hideMark/>
          </w:tcPr>
          <w:p w14:paraId="76736875" w14:textId="77777777" w:rsidR="005F6105" w:rsidRPr="0037346A" w:rsidRDefault="005F6105" w:rsidP="0040516E">
            <w:pPr>
              <w:spacing w:after="0" w:line="240" w:lineRule="auto"/>
              <w:rPr>
                <w:rFonts w:eastAsia="Times New Roman" w:cstheme="minorHAnsi"/>
                <w:lang w:eastAsia="en-AU"/>
              </w:rPr>
            </w:pPr>
            <w:r w:rsidRPr="0037346A">
              <w:rPr>
                <w:rFonts w:eastAsia="Times New Roman" w:cstheme="minorHAnsi"/>
                <w:lang w:eastAsia="en-AU"/>
              </w:rPr>
              <w:t>100</w:t>
            </w:r>
          </w:p>
        </w:tc>
      </w:tr>
      <w:tr w:rsidR="005F6105" w:rsidRPr="0037346A" w14:paraId="4847C608" w14:textId="77777777" w:rsidTr="0040516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8D42D16" w14:textId="77777777" w:rsidR="005F6105" w:rsidRPr="0037346A" w:rsidRDefault="005F6105" w:rsidP="0040516E">
            <w:pPr>
              <w:spacing w:after="0" w:line="240" w:lineRule="auto"/>
              <w:rPr>
                <w:rFonts w:eastAsia="Times New Roman" w:cstheme="minorHAnsi"/>
                <w:lang w:eastAsia="en-AU"/>
              </w:rPr>
            </w:pPr>
            <w:r w:rsidRPr="0037346A">
              <w:rPr>
                <w:rFonts w:eastAsia="Times New Roman" w:cstheme="minorHAnsi"/>
                <w:lang w:eastAsia="en-AU"/>
              </w:rPr>
              <w:t>1.25 to 1.34</w:t>
            </w:r>
          </w:p>
        </w:tc>
        <w:tc>
          <w:tcPr>
            <w:tcW w:w="0" w:type="auto"/>
            <w:tcBorders>
              <w:top w:val="outset" w:sz="6" w:space="0" w:color="auto"/>
              <w:left w:val="outset" w:sz="6" w:space="0" w:color="auto"/>
              <w:bottom w:val="outset" w:sz="6" w:space="0" w:color="auto"/>
              <w:right w:val="outset" w:sz="6" w:space="0" w:color="auto"/>
            </w:tcBorders>
            <w:vAlign w:val="center"/>
            <w:hideMark/>
          </w:tcPr>
          <w:p w14:paraId="0ED27B76" w14:textId="77777777" w:rsidR="005F6105" w:rsidRPr="0037346A" w:rsidRDefault="005F6105" w:rsidP="0040516E">
            <w:pPr>
              <w:spacing w:after="0" w:line="240" w:lineRule="auto"/>
              <w:rPr>
                <w:rFonts w:eastAsia="Times New Roman" w:cstheme="minorHAnsi"/>
                <w:lang w:eastAsia="en-AU"/>
              </w:rPr>
            </w:pPr>
            <w:r w:rsidRPr="0037346A">
              <w:rPr>
                <w:rFonts w:eastAsia="Times New Roman" w:cstheme="minorHAnsi"/>
                <w:lang w:eastAsia="en-AU"/>
              </w:rPr>
              <w:t>80</w:t>
            </w:r>
          </w:p>
        </w:tc>
        <w:tc>
          <w:tcPr>
            <w:tcW w:w="0" w:type="auto"/>
            <w:tcBorders>
              <w:top w:val="outset" w:sz="6" w:space="0" w:color="auto"/>
              <w:left w:val="outset" w:sz="6" w:space="0" w:color="auto"/>
              <w:bottom w:val="outset" w:sz="6" w:space="0" w:color="auto"/>
              <w:right w:val="outset" w:sz="6" w:space="0" w:color="auto"/>
            </w:tcBorders>
            <w:vAlign w:val="center"/>
            <w:hideMark/>
          </w:tcPr>
          <w:p w14:paraId="3BD728DF" w14:textId="77777777" w:rsidR="005F6105" w:rsidRPr="0037346A" w:rsidRDefault="005F6105" w:rsidP="0040516E">
            <w:pPr>
              <w:spacing w:after="0" w:line="240" w:lineRule="auto"/>
              <w:rPr>
                <w:rFonts w:eastAsia="Times New Roman" w:cstheme="minorHAnsi"/>
                <w:lang w:eastAsia="en-AU"/>
              </w:rPr>
            </w:pPr>
            <w:r w:rsidRPr="0037346A">
              <w:rPr>
                <w:rFonts w:eastAsia="Times New Roman" w:cstheme="minorHAnsi"/>
                <w:lang w:eastAsia="en-AU"/>
              </w:rPr>
              <w:t>100</w:t>
            </w:r>
          </w:p>
        </w:tc>
      </w:tr>
      <w:tr w:rsidR="005F6105" w:rsidRPr="0037346A" w14:paraId="2371B42C" w14:textId="77777777" w:rsidTr="0040516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48504A4" w14:textId="77777777" w:rsidR="005F6105" w:rsidRPr="0037346A" w:rsidRDefault="005F6105" w:rsidP="0040516E">
            <w:pPr>
              <w:spacing w:after="0" w:line="240" w:lineRule="auto"/>
              <w:rPr>
                <w:rFonts w:eastAsia="Times New Roman" w:cstheme="minorHAnsi"/>
                <w:lang w:eastAsia="en-AU"/>
              </w:rPr>
            </w:pPr>
            <w:r w:rsidRPr="0037346A">
              <w:rPr>
                <w:rFonts w:eastAsia="Times New Roman" w:cstheme="minorHAnsi"/>
                <w:lang w:eastAsia="en-AU"/>
              </w:rPr>
              <w:t>1.35 to 1.44</w:t>
            </w:r>
          </w:p>
        </w:tc>
        <w:tc>
          <w:tcPr>
            <w:tcW w:w="0" w:type="auto"/>
            <w:tcBorders>
              <w:top w:val="outset" w:sz="6" w:space="0" w:color="auto"/>
              <w:left w:val="outset" w:sz="6" w:space="0" w:color="auto"/>
              <w:bottom w:val="outset" w:sz="6" w:space="0" w:color="auto"/>
              <w:right w:val="outset" w:sz="6" w:space="0" w:color="auto"/>
            </w:tcBorders>
            <w:vAlign w:val="center"/>
            <w:hideMark/>
          </w:tcPr>
          <w:p w14:paraId="7E0FB1FC" w14:textId="77777777" w:rsidR="005F6105" w:rsidRPr="0037346A" w:rsidRDefault="005F6105" w:rsidP="0040516E">
            <w:pPr>
              <w:spacing w:after="0" w:line="240" w:lineRule="auto"/>
              <w:rPr>
                <w:rFonts w:eastAsia="Times New Roman" w:cstheme="minorHAnsi"/>
                <w:lang w:eastAsia="en-AU"/>
              </w:rPr>
            </w:pPr>
            <w:r w:rsidRPr="0037346A">
              <w:rPr>
                <w:rFonts w:eastAsia="Times New Roman" w:cstheme="minorHAnsi"/>
                <w:lang w:eastAsia="en-AU"/>
              </w:rPr>
              <w:t>80</w:t>
            </w:r>
          </w:p>
        </w:tc>
        <w:tc>
          <w:tcPr>
            <w:tcW w:w="0" w:type="auto"/>
            <w:tcBorders>
              <w:top w:val="outset" w:sz="6" w:space="0" w:color="auto"/>
              <w:left w:val="outset" w:sz="6" w:space="0" w:color="auto"/>
              <w:bottom w:val="outset" w:sz="6" w:space="0" w:color="auto"/>
              <w:right w:val="outset" w:sz="6" w:space="0" w:color="auto"/>
            </w:tcBorders>
            <w:vAlign w:val="center"/>
            <w:hideMark/>
          </w:tcPr>
          <w:p w14:paraId="3B2C0968" w14:textId="77777777" w:rsidR="005F6105" w:rsidRPr="0037346A" w:rsidRDefault="005F6105" w:rsidP="0040516E">
            <w:pPr>
              <w:spacing w:after="0" w:line="240" w:lineRule="auto"/>
              <w:rPr>
                <w:rFonts w:eastAsia="Times New Roman" w:cstheme="minorHAnsi"/>
                <w:lang w:eastAsia="en-AU"/>
              </w:rPr>
            </w:pPr>
            <w:r w:rsidRPr="0037346A">
              <w:rPr>
                <w:rFonts w:eastAsia="Times New Roman" w:cstheme="minorHAnsi"/>
                <w:lang w:eastAsia="en-AU"/>
              </w:rPr>
              <w:t>110</w:t>
            </w:r>
          </w:p>
        </w:tc>
      </w:tr>
      <w:tr w:rsidR="005F6105" w:rsidRPr="0037346A" w14:paraId="736FB14A" w14:textId="77777777" w:rsidTr="0040516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C19CA35" w14:textId="77777777" w:rsidR="005F6105" w:rsidRPr="0037346A" w:rsidRDefault="005F6105" w:rsidP="0040516E">
            <w:pPr>
              <w:spacing w:after="0" w:line="240" w:lineRule="auto"/>
              <w:rPr>
                <w:rFonts w:eastAsia="Times New Roman" w:cstheme="minorHAnsi"/>
                <w:lang w:eastAsia="en-AU"/>
              </w:rPr>
            </w:pPr>
            <w:r w:rsidRPr="0037346A">
              <w:rPr>
                <w:rFonts w:eastAsia="Times New Roman" w:cstheme="minorHAnsi"/>
                <w:lang w:eastAsia="en-AU"/>
              </w:rPr>
              <w:t>1.45 to 1.54</w:t>
            </w:r>
          </w:p>
        </w:tc>
        <w:tc>
          <w:tcPr>
            <w:tcW w:w="0" w:type="auto"/>
            <w:tcBorders>
              <w:top w:val="outset" w:sz="6" w:space="0" w:color="auto"/>
              <w:left w:val="outset" w:sz="6" w:space="0" w:color="auto"/>
              <w:bottom w:val="outset" w:sz="6" w:space="0" w:color="auto"/>
              <w:right w:val="outset" w:sz="6" w:space="0" w:color="auto"/>
            </w:tcBorders>
            <w:vAlign w:val="center"/>
            <w:hideMark/>
          </w:tcPr>
          <w:p w14:paraId="646F455E" w14:textId="77777777" w:rsidR="005F6105" w:rsidRPr="0037346A" w:rsidRDefault="005F6105" w:rsidP="0040516E">
            <w:pPr>
              <w:spacing w:after="0" w:line="240" w:lineRule="auto"/>
              <w:rPr>
                <w:rFonts w:eastAsia="Times New Roman" w:cstheme="minorHAnsi"/>
                <w:lang w:eastAsia="en-AU"/>
              </w:rPr>
            </w:pPr>
            <w:r w:rsidRPr="0037346A">
              <w:rPr>
                <w:rFonts w:eastAsia="Times New Roman" w:cstheme="minorHAnsi"/>
                <w:lang w:eastAsia="en-AU"/>
              </w:rPr>
              <w:t>90</w:t>
            </w:r>
          </w:p>
        </w:tc>
        <w:tc>
          <w:tcPr>
            <w:tcW w:w="0" w:type="auto"/>
            <w:tcBorders>
              <w:top w:val="outset" w:sz="6" w:space="0" w:color="auto"/>
              <w:left w:val="outset" w:sz="6" w:space="0" w:color="auto"/>
              <w:bottom w:val="outset" w:sz="6" w:space="0" w:color="auto"/>
              <w:right w:val="outset" w:sz="6" w:space="0" w:color="auto"/>
            </w:tcBorders>
            <w:vAlign w:val="center"/>
            <w:hideMark/>
          </w:tcPr>
          <w:p w14:paraId="1BC5197E" w14:textId="77777777" w:rsidR="005F6105" w:rsidRPr="0037346A" w:rsidRDefault="005F6105" w:rsidP="0040516E">
            <w:pPr>
              <w:spacing w:after="0" w:line="240" w:lineRule="auto"/>
              <w:rPr>
                <w:rFonts w:eastAsia="Times New Roman" w:cstheme="minorHAnsi"/>
                <w:lang w:eastAsia="en-AU"/>
              </w:rPr>
            </w:pPr>
            <w:r w:rsidRPr="0037346A">
              <w:rPr>
                <w:rFonts w:eastAsia="Times New Roman" w:cstheme="minorHAnsi"/>
                <w:lang w:eastAsia="en-AU"/>
              </w:rPr>
              <w:t>120</w:t>
            </w:r>
          </w:p>
        </w:tc>
      </w:tr>
      <w:tr w:rsidR="005F6105" w:rsidRPr="0037346A" w14:paraId="230D21A3" w14:textId="77777777" w:rsidTr="0040516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EF15EC4" w14:textId="77777777" w:rsidR="005F6105" w:rsidRPr="0037346A" w:rsidRDefault="005F6105" w:rsidP="0040516E">
            <w:pPr>
              <w:spacing w:after="0" w:line="240" w:lineRule="auto"/>
              <w:rPr>
                <w:rFonts w:eastAsia="Times New Roman" w:cstheme="minorHAnsi"/>
                <w:lang w:eastAsia="en-AU"/>
              </w:rPr>
            </w:pPr>
            <w:r w:rsidRPr="0037346A">
              <w:rPr>
                <w:rFonts w:eastAsia="Times New Roman" w:cstheme="minorHAnsi"/>
                <w:lang w:eastAsia="en-AU"/>
              </w:rPr>
              <w:t>1.55 to 1.64</w:t>
            </w:r>
          </w:p>
        </w:tc>
        <w:tc>
          <w:tcPr>
            <w:tcW w:w="0" w:type="auto"/>
            <w:tcBorders>
              <w:top w:val="outset" w:sz="6" w:space="0" w:color="auto"/>
              <w:left w:val="outset" w:sz="6" w:space="0" w:color="auto"/>
              <w:bottom w:val="outset" w:sz="6" w:space="0" w:color="auto"/>
              <w:right w:val="outset" w:sz="6" w:space="0" w:color="auto"/>
            </w:tcBorders>
            <w:vAlign w:val="center"/>
            <w:hideMark/>
          </w:tcPr>
          <w:p w14:paraId="2CCD5AD9" w14:textId="77777777" w:rsidR="005F6105" w:rsidRPr="0037346A" w:rsidRDefault="005F6105" w:rsidP="0040516E">
            <w:pPr>
              <w:spacing w:after="0" w:line="240" w:lineRule="auto"/>
              <w:rPr>
                <w:rFonts w:eastAsia="Times New Roman" w:cstheme="minorHAnsi"/>
                <w:lang w:eastAsia="en-AU"/>
              </w:rPr>
            </w:pPr>
            <w:r w:rsidRPr="0037346A">
              <w:rPr>
                <w:rFonts w:eastAsia="Times New Roman" w:cstheme="minorHAnsi"/>
                <w:lang w:eastAsia="en-AU"/>
              </w:rPr>
              <w:t>100</w:t>
            </w:r>
          </w:p>
        </w:tc>
        <w:tc>
          <w:tcPr>
            <w:tcW w:w="0" w:type="auto"/>
            <w:tcBorders>
              <w:top w:val="outset" w:sz="6" w:space="0" w:color="auto"/>
              <w:left w:val="outset" w:sz="6" w:space="0" w:color="auto"/>
              <w:bottom w:val="outset" w:sz="6" w:space="0" w:color="auto"/>
              <w:right w:val="outset" w:sz="6" w:space="0" w:color="auto"/>
            </w:tcBorders>
            <w:vAlign w:val="center"/>
            <w:hideMark/>
          </w:tcPr>
          <w:p w14:paraId="5D2301E9" w14:textId="77777777" w:rsidR="005F6105" w:rsidRPr="0037346A" w:rsidRDefault="005F6105" w:rsidP="0040516E">
            <w:pPr>
              <w:spacing w:after="0" w:line="240" w:lineRule="auto"/>
              <w:rPr>
                <w:rFonts w:eastAsia="Times New Roman" w:cstheme="minorHAnsi"/>
                <w:lang w:eastAsia="en-AU"/>
              </w:rPr>
            </w:pPr>
            <w:r w:rsidRPr="0037346A">
              <w:rPr>
                <w:rFonts w:eastAsia="Times New Roman" w:cstheme="minorHAnsi"/>
                <w:lang w:eastAsia="en-AU"/>
              </w:rPr>
              <w:t>130</w:t>
            </w:r>
          </w:p>
        </w:tc>
      </w:tr>
      <w:tr w:rsidR="005F6105" w:rsidRPr="0037346A" w14:paraId="214737AC" w14:textId="77777777" w:rsidTr="0040516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9D02376" w14:textId="77777777" w:rsidR="005F6105" w:rsidRPr="0037346A" w:rsidRDefault="005F6105" w:rsidP="0040516E">
            <w:pPr>
              <w:spacing w:after="0" w:line="240" w:lineRule="auto"/>
              <w:rPr>
                <w:rFonts w:eastAsia="Times New Roman" w:cstheme="minorHAnsi"/>
                <w:lang w:eastAsia="en-AU"/>
              </w:rPr>
            </w:pPr>
            <w:r w:rsidRPr="0037346A">
              <w:rPr>
                <w:rFonts w:eastAsia="Times New Roman" w:cstheme="minorHAnsi"/>
                <w:lang w:eastAsia="en-AU"/>
              </w:rPr>
              <w:t>1.65 to 1.74</w:t>
            </w:r>
          </w:p>
        </w:tc>
        <w:tc>
          <w:tcPr>
            <w:tcW w:w="0" w:type="auto"/>
            <w:tcBorders>
              <w:top w:val="outset" w:sz="6" w:space="0" w:color="auto"/>
              <w:left w:val="outset" w:sz="6" w:space="0" w:color="auto"/>
              <w:bottom w:val="outset" w:sz="6" w:space="0" w:color="auto"/>
              <w:right w:val="outset" w:sz="6" w:space="0" w:color="auto"/>
            </w:tcBorders>
            <w:vAlign w:val="center"/>
            <w:hideMark/>
          </w:tcPr>
          <w:p w14:paraId="50ED3704" w14:textId="77777777" w:rsidR="005F6105" w:rsidRPr="0037346A" w:rsidRDefault="005F6105" w:rsidP="0040516E">
            <w:pPr>
              <w:spacing w:after="0" w:line="240" w:lineRule="auto"/>
              <w:rPr>
                <w:rFonts w:eastAsia="Times New Roman" w:cstheme="minorHAnsi"/>
                <w:lang w:eastAsia="en-AU"/>
              </w:rPr>
            </w:pPr>
            <w:r w:rsidRPr="0037346A">
              <w:rPr>
                <w:rFonts w:eastAsia="Times New Roman" w:cstheme="minorHAnsi"/>
                <w:lang w:eastAsia="en-AU"/>
              </w:rPr>
              <w:t>100</w:t>
            </w:r>
          </w:p>
        </w:tc>
        <w:tc>
          <w:tcPr>
            <w:tcW w:w="0" w:type="auto"/>
            <w:tcBorders>
              <w:top w:val="outset" w:sz="6" w:space="0" w:color="auto"/>
              <w:left w:val="outset" w:sz="6" w:space="0" w:color="auto"/>
              <w:bottom w:val="outset" w:sz="6" w:space="0" w:color="auto"/>
              <w:right w:val="outset" w:sz="6" w:space="0" w:color="auto"/>
            </w:tcBorders>
            <w:vAlign w:val="center"/>
            <w:hideMark/>
          </w:tcPr>
          <w:p w14:paraId="3764636E" w14:textId="77777777" w:rsidR="005F6105" w:rsidRPr="0037346A" w:rsidRDefault="005F6105" w:rsidP="0040516E">
            <w:pPr>
              <w:spacing w:after="0" w:line="240" w:lineRule="auto"/>
              <w:rPr>
                <w:rFonts w:eastAsia="Times New Roman" w:cstheme="minorHAnsi"/>
                <w:lang w:eastAsia="en-AU"/>
              </w:rPr>
            </w:pPr>
            <w:r w:rsidRPr="0037346A">
              <w:rPr>
                <w:rFonts w:eastAsia="Times New Roman" w:cstheme="minorHAnsi"/>
                <w:lang w:eastAsia="en-AU"/>
              </w:rPr>
              <w:t>140</w:t>
            </w:r>
          </w:p>
        </w:tc>
      </w:tr>
      <w:tr w:rsidR="005F6105" w:rsidRPr="0037346A" w14:paraId="66633F27" w14:textId="77777777" w:rsidTr="0040516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42F8A9D" w14:textId="77777777" w:rsidR="005F6105" w:rsidRPr="0037346A" w:rsidRDefault="005F6105" w:rsidP="0040516E">
            <w:pPr>
              <w:spacing w:after="0" w:line="240" w:lineRule="auto"/>
              <w:rPr>
                <w:rFonts w:eastAsia="Times New Roman" w:cstheme="minorHAnsi"/>
                <w:lang w:eastAsia="en-AU"/>
              </w:rPr>
            </w:pPr>
            <w:r w:rsidRPr="0037346A">
              <w:rPr>
                <w:rFonts w:eastAsia="Times New Roman" w:cstheme="minorHAnsi"/>
                <w:lang w:eastAsia="en-AU"/>
              </w:rPr>
              <w:t>1.75 to 1.84</w:t>
            </w:r>
          </w:p>
        </w:tc>
        <w:tc>
          <w:tcPr>
            <w:tcW w:w="0" w:type="auto"/>
            <w:tcBorders>
              <w:top w:val="outset" w:sz="6" w:space="0" w:color="auto"/>
              <w:left w:val="outset" w:sz="6" w:space="0" w:color="auto"/>
              <w:bottom w:val="outset" w:sz="6" w:space="0" w:color="auto"/>
              <w:right w:val="outset" w:sz="6" w:space="0" w:color="auto"/>
            </w:tcBorders>
            <w:vAlign w:val="center"/>
            <w:hideMark/>
          </w:tcPr>
          <w:p w14:paraId="6EE58DA9" w14:textId="77777777" w:rsidR="005F6105" w:rsidRPr="0037346A" w:rsidRDefault="005F6105" w:rsidP="0040516E">
            <w:pPr>
              <w:spacing w:after="0" w:line="240" w:lineRule="auto"/>
              <w:rPr>
                <w:rFonts w:eastAsia="Times New Roman" w:cstheme="minorHAnsi"/>
                <w:lang w:eastAsia="en-AU"/>
              </w:rPr>
            </w:pPr>
            <w:r w:rsidRPr="0037346A">
              <w:rPr>
                <w:rFonts w:eastAsia="Times New Roman" w:cstheme="minorHAnsi"/>
                <w:lang w:eastAsia="en-AU"/>
              </w:rPr>
              <w:t>110</w:t>
            </w:r>
          </w:p>
        </w:tc>
        <w:tc>
          <w:tcPr>
            <w:tcW w:w="0" w:type="auto"/>
            <w:tcBorders>
              <w:top w:val="outset" w:sz="6" w:space="0" w:color="auto"/>
              <w:left w:val="outset" w:sz="6" w:space="0" w:color="auto"/>
              <w:bottom w:val="outset" w:sz="6" w:space="0" w:color="auto"/>
              <w:right w:val="outset" w:sz="6" w:space="0" w:color="auto"/>
            </w:tcBorders>
            <w:vAlign w:val="center"/>
            <w:hideMark/>
          </w:tcPr>
          <w:p w14:paraId="77788A6C" w14:textId="77777777" w:rsidR="005F6105" w:rsidRPr="0037346A" w:rsidRDefault="005F6105" w:rsidP="0040516E">
            <w:pPr>
              <w:spacing w:after="0" w:line="240" w:lineRule="auto"/>
              <w:rPr>
                <w:rFonts w:eastAsia="Times New Roman" w:cstheme="minorHAnsi"/>
                <w:lang w:eastAsia="en-AU"/>
              </w:rPr>
            </w:pPr>
            <w:r w:rsidRPr="0037346A">
              <w:rPr>
                <w:rFonts w:eastAsia="Times New Roman" w:cstheme="minorHAnsi"/>
                <w:lang w:eastAsia="en-AU"/>
              </w:rPr>
              <w:t>140</w:t>
            </w:r>
          </w:p>
        </w:tc>
      </w:tr>
      <w:tr w:rsidR="005F6105" w:rsidRPr="0037346A" w14:paraId="452CE54E" w14:textId="77777777" w:rsidTr="0040516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87AA6FE" w14:textId="77777777" w:rsidR="005F6105" w:rsidRPr="0037346A" w:rsidRDefault="005F6105" w:rsidP="0040516E">
            <w:pPr>
              <w:spacing w:after="0" w:line="240" w:lineRule="auto"/>
              <w:rPr>
                <w:rFonts w:eastAsia="Times New Roman" w:cstheme="minorHAnsi"/>
                <w:lang w:eastAsia="en-AU"/>
              </w:rPr>
            </w:pPr>
            <w:r w:rsidRPr="0037346A">
              <w:rPr>
                <w:rFonts w:eastAsia="Times New Roman" w:cstheme="minorHAnsi"/>
                <w:lang w:eastAsia="en-AU"/>
              </w:rPr>
              <w:t>1.85 to 1.94</w:t>
            </w:r>
          </w:p>
        </w:tc>
        <w:tc>
          <w:tcPr>
            <w:tcW w:w="0" w:type="auto"/>
            <w:tcBorders>
              <w:top w:val="outset" w:sz="6" w:space="0" w:color="auto"/>
              <w:left w:val="outset" w:sz="6" w:space="0" w:color="auto"/>
              <w:bottom w:val="outset" w:sz="6" w:space="0" w:color="auto"/>
              <w:right w:val="outset" w:sz="6" w:space="0" w:color="auto"/>
            </w:tcBorders>
            <w:vAlign w:val="center"/>
            <w:hideMark/>
          </w:tcPr>
          <w:p w14:paraId="6465205C" w14:textId="77777777" w:rsidR="005F6105" w:rsidRPr="0037346A" w:rsidRDefault="005F6105" w:rsidP="0040516E">
            <w:pPr>
              <w:spacing w:after="0" w:line="240" w:lineRule="auto"/>
              <w:rPr>
                <w:rFonts w:eastAsia="Times New Roman" w:cstheme="minorHAnsi"/>
                <w:lang w:eastAsia="en-AU"/>
              </w:rPr>
            </w:pPr>
            <w:r w:rsidRPr="0037346A">
              <w:rPr>
                <w:rFonts w:eastAsia="Times New Roman" w:cstheme="minorHAnsi"/>
                <w:lang w:eastAsia="en-AU"/>
              </w:rPr>
              <w:t>110</w:t>
            </w:r>
          </w:p>
        </w:tc>
        <w:tc>
          <w:tcPr>
            <w:tcW w:w="0" w:type="auto"/>
            <w:tcBorders>
              <w:top w:val="outset" w:sz="6" w:space="0" w:color="auto"/>
              <w:left w:val="outset" w:sz="6" w:space="0" w:color="auto"/>
              <w:bottom w:val="outset" w:sz="6" w:space="0" w:color="auto"/>
              <w:right w:val="outset" w:sz="6" w:space="0" w:color="auto"/>
            </w:tcBorders>
            <w:vAlign w:val="center"/>
            <w:hideMark/>
          </w:tcPr>
          <w:p w14:paraId="16974B35" w14:textId="77777777" w:rsidR="005F6105" w:rsidRPr="0037346A" w:rsidRDefault="005F6105" w:rsidP="0040516E">
            <w:pPr>
              <w:spacing w:after="0" w:line="240" w:lineRule="auto"/>
              <w:rPr>
                <w:rFonts w:eastAsia="Times New Roman" w:cstheme="minorHAnsi"/>
                <w:lang w:eastAsia="en-AU"/>
              </w:rPr>
            </w:pPr>
            <w:r w:rsidRPr="0037346A">
              <w:rPr>
                <w:rFonts w:eastAsia="Times New Roman" w:cstheme="minorHAnsi"/>
                <w:lang w:eastAsia="en-AU"/>
              </w:rPr>
              <w:t>150</w:t>
            </w:r>
          </w:p>
        </w:tc>
      </w:tr>
      <w:tr w:rsidR="005F6105" w:rsidRPr="0037346A" w14:paraId="11AC221E" w14:textId="77777777" w:rsidTr="0040516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665ABE3" w14:textId="77777777" w:rsidR="005F6105" w:rsidRPr="0037346A" w:rsidRDefault="005F6105" w:rsidP="0040516E">
            <w:pPr>
              <w:spacing w:after="0" w:line="240" w:lineRule="auto"/>
              <w:rPr>
                <w:rFonts w:eastAsia="Times New Roman" w:cstheme="minorHAnsi"/>
                <w:lang w:eastAsia="en-AU"/>
              </w:rPr>
            </w:pPr>
            <w:r w:rsidRPr="0037346A">
              <w:rPr>
                <w:rFonts w:eastAsia="Times New Roman" w:cstheme="minorHAnsi"/>
                <w:lang w:eastAsia="en-AU"/>
              </w:rPr>
              <w:t xml:space="preserve">≥ 1.95 </w:t>
            </w:r>
          </w:p>
        </w:tc>
        <w:tc>
          <w:tcPr>
            <w:tcW w:w="0" w:type="auto"/>
            <w:tcBorders>
              <w:top w:val="outset" w:sz="6" w:space="0" w:color="auto"/>
              <w:left w:val="outset" w:sz="6" w:space="0" w:color="auto"/>
              <w:bottom w:val="outset" w:sz="6" w:space="0" w:color="auto"/>
              <w:right w:val="outset" w:sz="6" w:space="0" w:color="auto"/>
            </w:tcBorders>
            <w:vAlign w:val="center"/>
            <w:hideMark/>
          </w:tcPr>
          <w:p w14:paraId="65801966" w14:textId="77777777" w:rsidR="005F6105" w:rsidRPr="0037346A" w:rsidRDefault="005F6105" w:rsidP="0040516E">
            <w:pPr>
              <w:spacing w:after="0" w:line="240" w:lineRule="auto"/>
              <w:rPr>
                <w:rFonts w:eastAsia="Times New Roman" w:cstheme="minorHAnsi"/>
                <w:lang w:eastAsia="en-AU"/>
              </w:rPr>
            </w:pPr>
            <w:r w:rsidRPr="0037346A">
              <w:rPr>
                <w:rFonts w:eastAsia="Times New Roman" w:cstheme="minorHAnsi"/>
                <w:lang w:eastAsia="en-AU"/>
              </w:rPr>
              <w:t>120</w:t>
            </w:r>
          </w:p>
        </w:tc>
        <w:tc>
          <w:tcPr>
            <w:tcW w:w="0" w:type="auto"/>
            <w:tcBorders>
              <w:top w:val="outset" w:sz="6" w:space="0" w:color="auto"/>
              <w:left w:val="outset" w:sz="6" w:space="0" w:color="auto"/>
              <w:bottom w:val="outset" w:sz="6" w:space="0" w:color="auto"/>
              <w:right w:val="outset" w:sz="6" w:space="0" w:color="auto"/>
            </w:tcBorders>
            <w:vAlign w:val="center"/>
            <w:hideMark/>
          </w:tcPr>
          <w:p w14:paraId="7E5B5A82" w14:textId="77777777" w:rsidR="005F6105" w:rsidRPr="0037346A" w:rsidRDefault="005F6105" w:rsidP="0040516E">
            <w:pPr>
              <w:spacing w:after="0" w:line="240" w:lineRule="auto"/>
              <w:rPr>
                <w:rFonts w:eastAsia="Times New Roman" w:cstheme="minorHAnsi"/>
                <w:lang w:eastAsia="en-AU"/>
              </w:rPr>
            </w:pPr>
            <w:r w:rsidRPr="0037346A">
              <w:rPr>
                <w:rFonts w:eastAsia="Times New Roman" w:cstheme="minorHAnsi"/>
                <w:lang w:eastAsia="en-AU"/>
              </w:rPr>
              <w:t>160</w:t>
            </w:r>
          </w:p>
        </w:tc>
      </w:tr>
    </w:tbl>
    <w:p w14:paraId="13A59A2A" w14:textId="77777777" w:rsidR="005F6105" w:rsidRPr="0037346A" w:rsidRDefault="005F6105" w:rsidP="005F6105">
      <w:pPr>
        <w:spacing w:before="100" w:beforeAutospacing="1" w:after="100" w:afterAutospacing="1" w:line="240" w:lineRule="auto"/>
        <w:rPr>
          <w:rFonts w:eastAsia="Times New Roman" w:cstheme="minorHAnsi"/>
          <w:lang w:val="en-NZ" w:eastAsia="en-AU"/>
        </w:rPr>
      </w:pPr>
      <w:r w:rsidRPr="0037346A">
        <w:rPr>
          <w:rFonts w:eastAsia="Times New Roman" w:cstheme="minorHAnsi"/>
          <w:lang w:val="en-NZ" w:eastAsia="en-AU"/>
        </w:rPr>
        <w:br/>
        <w:t>Even patients with a body surface area (BSA) ≥ 2 m² the dose should never exceed 120 mg per week at 60 mg/m² and 160 mg per week at 80 mg/m².</w:t>
      </w:r>
    </w:p>
    <w:p w14:paraId="5317F8C0" w14:textId="77777777" w:rsidR="005F6105" w:rsidRPr="0037346A" w:rsidRDefault="005F6105" w:rsidP="005F6105">
      <w:pPr>
        <w:spacing w:before="100" w:beforeAutospacing="1" w:after="100" w:afterAutospacing="1" w:line="240" w:lineRule="auto"/>
        <w:rPr>
          <w:rFonts w:eastAsia="Times New Roman" w:cstheme="minorHAnsi"/>
          <w:lang w:val="en-NZ" w:eastAsia="en-AU"/>
        </w:rPr>
      </w:pPr>
      <w:r w:rsidRPr="0037346A">
        <w:rPr>
          <w:rFonts w:eastAsia="Times New Roman" w:cstheme="minorHAnsi"/>
          <w:lang w:val="en-NZ" w:eastAsia="en-AU"/>
        </w:rPr>
        <w:t>Procedures for proper handling and disposal of anticancer drugs should be used. Several guidelines on this subject have been published.</w:t>
      </w:r>
    </w:p>
    <w:p w14:paraId="59AEC021" w14:textId="77777777" w:rsidR="005F6105" w:rsidRPr="0037346A" w:rsidRDefault="005F6105" w:rsidP="005F6105">
      <w:pPr>
        <w:pBdr>
          <w:top w:val="single" w:sz="6" w:space="6" w:color="362B7C"/>
          <w:bottom w:val="single" w:sz="6" w:space="6" w:color="362B7C"/>
        </w:pBdr>
        <w:spacing w:before="100" w:beforeAutospacing="1" w:after="120" w:line="240" w:lineRule="auto"/>
        <w:outlineLvl w:val="3"/>
        <w:rPr>
          <w:rFonts w:eastAsia="Times New Roman" w:cstheme="minorHAnsi"/>
          <w:b/>
          <w:bCs/>
          <w:lang w:val="en-NZ" w:eastAsia="en-AU"/>
        </w:rPr>
      </w:pPr>
      <w:r w:rsidRPr="0037346A">
        <w:rPr>
          <w:rFonts w:eastAsia="Times New Roman" w:cstheme="minorHAnsi"/>
          <w:b/>
          <w:bCs/>
          <w:lang w:val="en-NZ" w:eastAsia="en-AU"/>
        </w:rPr>
        <w:t>Overdose</w:t>
      </w:r>
    </w:p>
    <w:p w14:paraId="200D9EC9" w14:textId="77777777" w:rsidR="005F6105" w:rsidRPr="0037346A" w:rsidRDefault="005F6105" w:rsidP="005F6105">
      <w:pPr>
        <w:spacing w:before="100" w:beforeAutospacing="1" w:after="100" w:afterAutospacing="1" w:line="240" w:lineRule="auto"/>
        <w:rPr>
          <w:rFonts w:eastAsia="Times New Roman" w:cstheme="minorHAnsi"/>
          <w:lang w:val="en-NZ" w:eastAsia="en-AU"/>
        </w:rPr>
      </w:pPr>
      <w:r w:rsidRPr="0037346A">
        <w:rPr>
          <w:rFonts w:eastAsia="Times New Roman" w:cstheme="minorHAnsi"/>
          <w:lang w:val="en-NZ" w:eastAsia="en-AU"/>
        </w:rPr>
        <w:t>There is no known antidote for overdoses of NAVELBINE</w:t>
      </w:r>
      <w:r w:rsidRPr="0037346A">
        <w:rPr>
          <w:rFonts w:eastAsia="Times New Roman" w:cstheme="minorHAnsi"/>
          <w:vertAlign w:val="superscript"/>
          <w:lang w:val="en-NZ" w:eastAsia="en-AU"/>
        </w:rPr>
        <w:t>®</w:t>
      </w:r>
      <w:r w:rsidRPr="0037346A">
        <w:rPr>
          <w:rFonts w:eastAsia="Times New Roman" w:cstheme="minorHAnsi"/>
          <w:lang w:val="en-NZ" w:eastAsia="en-AU"/>
        </w:rPr>
        <w:t>. No case of overdosage has been reported with NAVELBINE</w:t>
      </w:r>
      <w:r w:rsidRPr="0037346A">
        <w:rPr>
          <w:rFonts w:eastAsia="Times New Roman" w:cstheme="minorHAnsi"/>
          <w:vertAlign w:val="superscript"/>
          <w:lang w:val="en-NZ" w:eastAsia="en-AU"/>
        </w:rPr>
        <w:t>®</w:t>
      </w:r>
      <w:r w:rsidRPr="0037346A">
        <w:rPr>
          <w:rFonts w:eastAsia="Times New Roman" w:cstheme="minorHAnsi"/>
          <w:lang w:val="en-NZ" w:eastAsia="en-AU"/>
        </w:rPr>
        <w:t xml:space="preserve"> oral, however the primary anticipated complications of overdosage would consist of bone marrow suppression and peripheral neurotoxicity. If overdosage occurs, general supportive measures together with appropriate blood transfusions and antibiotics should be instituted as deemed necessary by the physician.</w:t>
      </w:r>
    </w:p>
    <w:p w14:paraId="459154F8" w14:textId="77777777" w:rsidR="005F6105" w:rsidRPr="0037346A" w:rsidRDefault="005F6105" w:rsidP="005F6105">
      <w:pPr>
        <w:pBdr>
          <w:top w:val="single" w:sz="6" w:space="6" w:color="362B7C"/>
          <w:bottom w:val="single" w:sz="6" w:space="6" w:color="362B7C"/>
        </w:pBdr>
        <w:spacing w:before="100" w:beforeAutospacing="1" w:after="120" w:line="240" w:lineRule="auto"/>
        <w:outlineLvl w:val="3"/>
        <w:rPr>
          <w:rFonts w:eastAsia="Times New Roman" w:cstheme="minorHAnsi"/>
          <w:b/>
          <w:bCs/>
          <w:lang w:val="en-NZ" w:eastAsia="en-AU"/>
        </w:rPr>
      </w:pPr>
      <w:r w:rsidRPr="0037346A">
        <w:rPr>
          <w:rFonts w:eastAsia="Times New Roman" w:cstheme="minorHAnsi"/>
          <w:b/>
          <w:bCs/>
          <w:lang w:val="en-NZ" w:eastAsia="en-AU"/>
        </w:rPr>
        <w:t>Presentation</w:t>
      </w:r>
    </w:p>
    <w:p w14:paraId="737580A9" w14:textId="77777777" w:rsidR="005F6105" w:rsidRPr="0037346A" w:rsidRDefault="005F6105" w:rsidP="005F6105">
      <w:pPr>
        <w:spacing w:before="100" w:beforeAutospacing="1" w:after="100" w:afterAutospacing="1" w:line="240" w:lineRule="auto"/>
        <w:rPr>
          <w:rFonts w:eastAsia="Times New Roman" w:cstheme="minorHAnsi"/>
          <w:lang w:val="en-NZ" w:eastAsia="en-AU"/>
        </w:rPr>
      </w:pPr>
      <w:r w:rsidRPr="0037346A">
        <w:rPr>
          <w:rFonts w:eastAsia="Times New Roman" w:cstheme="minorHAnsi"/>
          <w:lang w:val="en-NZ" w:eastAsia="en-AU"/>
        </w:rPr>
        <w:t>20 mg soft capsule: light brown soft capsule printed N20,</w:t>
      </w:r>
    </w:p>
    <w:p w14:paraId="7DD5DA0A" w14:textId="77777777" w:rsidR="005F6105" w:rsidRPr="0037346A" w:rsidRDefault="005F6105" w:rsidP="005F6105">
      <w:pPr>
        <w:spacing w:before="100" w:beforeAutospacing="1" w:after="100" w:afterAutospacing="1" w:line="240" w:lineRule="auto"/>
        <w:rPr>
          <w:rFonts w:eastAsia="Times New Roman" w:cstheme="minorHAnsi"/>
          <w:lang w:val="en-NZ" w:eastAsia="en-AU"/>
        </w:rPr>
      </w:pPr>
      <w:r w:rsidRPr="0037346A">
        <w:rPr>
          <w:rFonts w:eastAsia="Times New Roman" w:cstheme="minorHAnsi"/>
          <w:lang w:val="en-NZ" w:eastAsia="en-AU"/>
        </w:rPr>
        <w:t>30 mg soft capsule: pink soft capsule printed N30,</w:t>
      </w:r>
    </w:p>
    <w:p w14:paraId="101A9B36" w14:textId="77777777" w:rsidR="005F6105" w:rsidRPr="0037346A" w:rsidRDefault="005F6105" w:rsidP="005F6105">
      <w:pPr>
        <w:spacing w:before="100" w:beforeAutospacing="1" w:after="100" w:afterAutospacing="1" w:line="240" w:lineRule="auto"/>
        <w:rPr>
          <w:rFonts w:eastAsia="Times New Roman" w:cstheme="minorHAnsi"/>
          <w:lang w:val="en-NZ" w:eastAsia="en-AU"/>
        </w:rPr>
      </w:pPr>
      <w:r w:rsidRPr="0037346A">
        <w:rPr>
          <w:rFonts w:eastAsia="Times New Roman" w:cstheme="minorHAnsi"/>
          <w:lang w:val="en-NZ" w:eastAsia="en-AU"/>
        </w:rPr>
        <w:t>Pack size: 1 capsule</w:t>
      </w:r>
    </w:p>
    <w:p w14:paraId="67C1178B" w14:textId="77777777" w:rsidR="005F6105" w:rsidRPr="0037346A" w:rsidRDefault="005F6105" w:rsidP="005F6105">
      <w:pPr>
        <w:spacing w:before="100" w:beforeAutospacing="1" w:after="100" w:afterAutospacing="1" w:line="240" w:lineRule="auto"/>
        <w:outlineLvl w:val="4"/>
        <w:rPr>
          <w:rFonts w:eastAsia="Times New Roman" w:cstheme="minorHAnsi"/>
          <w:b/>
          <w:bCs/>
          <w:lang w:val="en-NZ" w:eastAsia="en-AU"/>
        </w:rPr>
      </w:pPr>
      <w:r w:rsidRPr="0037346A">
        <w:rPr>
          <w:rFonts w:eastAsia="Times New Roman" w:cstheme="minorHAnsi"/>
          <w:b/>
          <w:bCs/>
          <w:lang w:val="en-NZ" w:eastAsia="en-AU"/>
        </w:rPr>
        <w:t>Shelf life</w:t>
      </w:r>
    </w:p>
    <w:p w14:paraId="75B120C9" w14:textId="77777777" w:rsidR="005F6105" w:rsidRPr="0037346A" w:rsidRDefault="005F6105" w:rsidP="005F6105">
      <w:pPr>
        <w:spacing w:before="100" w:beforeAutospacing="1" w:after="100" w:afterAutospacing="1" w:line="240" w:lineRule="auto"/>
        <w:rPr>
          <w:rFonts w:eastAsia="Times New Roman" w:cstheme="minorHAnsi"/>
          <w:lang w:val="en-NZ" w:eastAsia="en-AU"/>
        </w:rPr>
      </w:pPr>
      <w:r w:rsidRPr="0037346A">
        <w:rPr>
          <w:rFonts w:eastAsia="Times New Roman" w:cstheme="minorHAnsi"/>
          <w:lang w:val="en-NZ" w:eastAsia="en-AU"/>
        </w:rPr>
        <w:t>Store at 2 to 8° C (Refrigerate. Do not freeze) in the original container.</w:t>
      </w:r>
    </w:p>
    <w:p w14:paraId="2743B170" w14:textId="77777777" w:rsidR="005F6105" w:rsidRPr="0037346A" w:rsidRDefault="005F6105" w:rsidP="005F6105">
      <w:pPr>
        <w:spacing w:before="100" w:beforeAutospacing="1" w:after="100" w:afterAutospacing="1" w:line="240" w:lineRule="auto"/>
        <w:rPr>
          <w:rFonts w:eastAsia="Times New Roman" w:cstheme="minorHAnsi"/>
          <w:lang w:val="en-NZ" w:eastAsia="en-AU"/>
        </w:rPr>
      </w:pPr>
      <w:r w:rsidRPr="0037346A">
        <w:rPr>
          <w:rFonts w:eastAsia="Times New Roman" w:cstheme="minorHAnsi"/>
          <w:lang w:val="en-NZ" w:eastAsia="en-AU"/>
        </w:rPr>
        <w:lastRenderedPageBreak/>
        <w:t>Protect from light.</w:t>
      </w:r>
    </w:p>
    <w:p w14:paraId="6AFAD73F" w14:textId="77777777" w:rsidR="005F6105" w:rsidRPr="0037346A" w:rsidRDefault="005F6105" w:rsidP="005F6105">
      <w:pPr>
        <w:pBdr>
          <w:top w:val="single" w:sz="6" w:space="6" w:color="362B7C"/>
          <w:bottom w:val="single" w:sz="6" w:space="6" w:color="362B7C"/>
        </w:pBdr>
        <w:spacing w:before="100" w:beforeAutospacing="1" w:after="120" w:line="240" w:lineRule="auto"/>
        <w:outlineLvl w:val="3"/>
        <w:rPr>
          <w:rFonts w:eastAsia="Times New Roman" w:cstheme="minorHAnsi"/>
          <w:b/>
          <w:bCs/>
          <w:lang w:val="en-NZ" w:eastAsia="en-AU"/>
        </w:rPr>
      </w:pPr>
      <w:r w:rsidRPr="0037346A">
        <w:rPr>
          <w:rFonts w:eastAsia="Times New Roman" w:cstheme="minorHAnsi"/>
          <w:b/>
          <w:bCs/>
          <w:lang w:val="en-NZ" w:eastAsia="en-AU"/>
        </w:rPr>
        <w:t>Medicine Classification</w:t>
      </w:r>
    </w:p>
    <w:p w14:paraId="3420899E" w14:textId="77777777" w:rsidR="005F6105" w:rsidRPr="0037346A" w:rsidRDefault="005F6105" w:rsidP="005F6105">
      <w:pPr>
        <w:spacing w:before="100" w:beforeAutospacing="1" w:after="100" w:afterAutospacing="1" w:line="240" w:lineRule="auto"/>
        <w:rPr>
          <w:rFonts w:eastAsia="Times New Roman" w:cstheme="minorHAnsi"/>
          <w:lang w:val="en-NZ" w:eastAsia="en-AU"/>
        </w:rPr>
      </w:pPr>
      <w:r w:rsidRPr="0037346A">
        <w:rPr>
          <w:rFonts w:eastAsia="Times New Roman" w:cstheme="minorHAnsi"/>
          <w:lang w:val="en-NZ" w:eastAsia="en-AU"/>
        </w:rPr>
        <w:t>Prescription Medicine</w:t>
      </w:r>
    </w:p>
    <w:p w14:paraId="5F4C4471" w14:textId="77777777" w:rsidR="005F6105" w:rsidRPr="0037346A" w:rsidRDefault="005F6105" w:rsidP="005F6105">
      <w:pPr>
        <w:pBdr>
          <w:top w:val="single" w:sz="6" w:space="6" w:color="362B7C"/>
          <w:bottom w:val="single" w:sz="6" w:space="6" w:color="362B7C"/>
        </w:pBdr>
        <w:spacing w:before="100" w:beforeAutospacing="1" w:after="120" w:line="240" w:lineRule="auto"/>
        <w:outlineLvl w:val="3"/>
        <w:rPr>
          <w:rFonts w:eastAsia="Times New Roman" w:cstheme="minorHAnsi"/>
          <w:b/>
          <w:bCs/>
          <w:lang w:val="en-NZ" w:eastAsia="en-AU"/>
        </w:rPr>
      </w:pPr>
      <w:r w:rsidRPr="0037346A">
        <w:rPr>
          <w:rFonts w:eastAsia="Times New Roman" w:cstheme="minorHAnsi"/>
          <w:b/>
          <w:bCs/>
          <w:lang w:val="en-NZ" w:eastAsia="en-AU"/>
        </w:rPr>
        <w:t>Name and Address</w:t>
      </w:r>
    </w:p>
    <w:p w14:paraId="0BEA9F49" w14:textId="77777777" w:rsidR="005F6105" w:rsidRPr="0037346A" w:rsidRDefault="005F6105" w:rsidP="005F6105">
      <w:pPr>
        <w:spacing w:before="100" w:beforeAutospacing="1" w:after="100" w:afterAutospacing="1" w:line="240" w:lineRule="auto"/>
        <w:rPr>
          <w:rFonts w:eastAsia="Times New Roman" w:cstheme="minorHAnsi"/>
          <w:lang w:val="en-NZ" w:eastAsia="en-AU"/>
        </w:rPr>
      </w:pPr>
      <w:r w:rsidRPr="0037346A">
        <w:rPr>
          <w:rFonts w:eastAsia="Times New Roman" w:cstheme="minorHAnsi"/>
          <w:lang w:val="en-NZ" w:eastAsia="en-AU"/>
        </w:rPr>
        <w:t>New Zealand Medical &amp; Scientific Limited</w:t>
      </w:r>
      <w:r w:rsidRPr="0037346A">
        <w:rPr>
          <w:rFonts w:eastAsia="Times New Roman" w:cstheme="minorHAnsi"/>
          <w:lang w:val="en-NZ" w:eastAsia="en-AU"/>
        </w:rPr>
        <w:br/>
        <w:t xml:space="preserve">PO Box 24-138, </w:t>
      </w:r>
      <w:r w:rsidRPr="0037346A">
        <w:rPr>
          <w:rFonts w:eastAsia="Times New Roman" w:cstheme="minorHAnsi"/>
          <w:lang w:val="en-NZ" w:eastAsia="en-AU"/>
        </w:rPr>
        <w:br/>
        <w:t>Royal Oak</w:t>
      </w:r>
      <w:r w:rsidRPr="0037346A">
        <w:rPr>
          <w:rFonts w:eastAsia="Times New Roman" w:cstheme="minorHAnsi"/>
          <w:lang w:val="en-NZ" w:eastAsia="en-AU"/>
        </w:rPr>
        <w:br/>
        <w:t>AUCKLAND</w:t>
      </w:r>
    </w:p>
    <w:p w14:paraId="42ED6D24" w14:textId="77777777" w:rsidR="005F6105" w:rsidRPr="0037346A" w:rsidRDefault="005F6105" w:rsidP="005F6105">
      <w:pPr>
        <w:pBdr>
          <w:top w:val="single" w:sz="6" w:space="6" w:color="362B7C"/>
          <w:bottom w:val="single" w:sz="6" w:space="6" w:color="362B7C"/>
        </w:pBdr>
        <w:spacing w:before="100" w:beforeAutospacing="1" w:after="120" w:line="240" w:lineRule="auto"/>
        <w:outlineLvl w:val="3"/>
        <w:rPr>
          <w:rFonts w:eastAsia="Times New Roman" w:cstheme="minorHAnsi"/>
          <w:b/>
          <w:bCs/>
          <w:lang w:val="en-NZ" w:eastAsia="en-AU"/>
        </w:rPr>
      </w:pPr>
      <w:r w:rsidRPr="0037346A">
        <w:rPr>
          <w:rFonts w:eastAsia="Times New Roman" w:cstheme="minorHAnsi"/>
          <w:b/>
          <w:bCs/>
          <w:lang w:val="en-NZ" w:eastAsia="en-AU"/>
        </w:rPr>
        <w:t>Date of Preparation</w:t>
      </w:r>
    </w:p>
    <w:p w14:paraId="2980CBB5" w14:textId="77777777" w:rsidR="005F6105" w:rsidRPr="0037346A" w:rsidRDefault="005F6105" w:rsidP="005F6105">
      <w:pPr>
        <w:spacing w:before="100" w:beforeAutospacing="1" w:after="100" w:afterAutospacing="1" w:line="240" w:lineRule="auto"/>
        <w:rPr>
          <w:rFonts w:eastAsia="Times New Roman" w:cstheme="minorHAnsi"/>
          <w:lang w:val="en-NZ" w:eastAsia="en-AU"/>
        </w:rPr>
      </w:pPr>
      <w:r w:rsidRPr="0037346A">
        <w:rPr>
          <w:rFonts w:eastAsia="Times New Roman" w:cstheme="minorHAnsi"/>
          <w:lang w:val="en-NZ" w:eastAsia="en-AU"/>
        </w:rPr>
        <w:t>6 November 2006</w:t>
      </w:r>
    </w:p>
    <w:p w14:paraId="4D13991F" w14:textId="77777777" w:rsidR="005F6105" w:rsidRPr="005F6105" w:rsidRDefault="005F6105" w:rsidP="005F6105">
      <w:pPr>
        <w:rPr>
          <w:rFonts w:cstheme="minorHAnsi"/>
        </w:rPr>
      </w:pPr>
    </w:p>
    <w:p w14:paraId="03E62736" w14:textId="77777777" w:rsidR="00B964A7" w:rsidRPr="005F6105" w:rsidRDefault="00B964A7" w:rsidP="00B964A7">
      <w:pPr>
        <w:rPr>
          <w:rFonts w:cstheme="minorHAnsi"/>
          <w:i/>
        </w:rPr>
      </w:pPr>
    </w:p>
    <w:p w14:paraId="2F7AFA24" w14:textId="77777777" w:rsidR="004A2CD8" w:rsidRDefault="004A2CD8" w:rsidP="004A2CD8">
      <w:pPr>
        <w:tabs>
          <w:tab w:val="left" w:pos="2633"/>
        </w:tabs>
        <w:rPr>
          <w:rFonts w:cstheme="minorHAnsi"/>
          <w:i/>
        </w:rPr>
      </w:pPr>
      <w:r>
        <w:rPr>
          <w:rFonts w:cstheme="minorHAnsi"/>
          <w:i/>
        </w:rPr>
        <w:tab/>
      </w:r>
    </w:p>
    <w:p w14:paraId="1BDB0169" w14:textId="77777777" w:rsidR="004A2CD8" w:rsidRDefault="004A2CD8">
      <w:pPr>
        <w:rPr>
          <w:rFonts w:cstheme="minorHAnsi"/>
          <w:i/>
        </w:rPr>
      </w:pPr>
      <w:r>
        <w:rPr>
          <w:rFonts w:cstheme="minorHAnsi"/>
          <w:i/>
        </w:rPr>
        <w:br w:type="page"/>
      </w:r>
    </w:p>
    <w:p w14:paraId="3BD1D3D0" w14:textId="77777777" w:rsidR="00B964A7" w:rsidRPr="00A302C2" w:rsidRDefault="00B964A7" w:rsidP="00D5063A">
      <w:pPr>
        <w:pStyle w:val="Heading1"/>
        <w:rPr>
          <w:rFonts w:asciiTheme="minorHAnsi" w:hAnsiTheme="minorHAnsi" w:cstheme="minorHAnsi"/>
          <w:color w:val="auto"/>
          <w:sz w:val="22"/>
          <w:szCs w:val="22"/>
        </w:rPr>
      </w:pPr>
      <w:bookmarkStart w:id="234" w:name="_Toc489888160"/>
      <w:r w:rsidRPr="00A302C2">
        <w:rPr>
          <w:rFonts w:asciiTheme="minorHAnsi" w:hAnsiTheme="minorHAnsi" w:cstheme="minorHAnsi"/>
          <w:color w:val="auto"/>
          <w:sz w:val="22"/>
          <w:szCs w:val="22"/>
        </w:rPr>
        <w:lastRenderedPageBreak/>
        <w:t xml:space="preserve">APPENDIX 2: </w:t>
      </w:r>
      <w:r w:rsidR="00CC6874">
        <w:rPr>
          <w:rFonts w:asciiTheme="minorHAnsi" w:hAnsiTheme="minorHAnsi" w:cstheme="minorHAnsi"/>
          <w:color w:val="auto"/>
          <w:sz w:val="22"/>
          <w:szCs w:val="22"/>
        </w:rPr>
        <w:t>Centre for Adverse Reactions Monitoring – Adverse reaction reporting form</w:t>
      </w:r>
      <w:bookmarkEnd w:id="234"/>
      <w:r w:rsidR="00CC6874">
        <w:rPr>
          <w:rFonts w:asciiTheme="minorHAnsi" w:hAnsiTheme="minorHAnsi" w:cstheme="minorHAnsi"/>
          <w:color w:val="auto"/>
          <w:sz w:val="22"/>
          <w:szCs w:val="22"/>
        </w:rPr>
        <w:t xml:space="preserve"> </w:t>
      </w:r>
    </w:p>
    <w:p w14:paraId="7BB7B504" w14:textId="77777777" w:rsidR="00717C21" w:rsidRDefault="00717C21" w:rsidP="00B964A7">
      <w:pPr>
        <w:rPr>
          <w:rFonts w:cstheme="minorHAnsi"/>
          <w:b/>
        </w:rPr>
      </w:pPr>
    </w:p>
    <w:p w14:paraId="51A84E37" w14:textId="77777777" w:rsidR="00CC6874" w:rsidRPr="00B05FFC" w:rsidRDefault="00CC6874" w:rsidP="00B964A7">
      <w:pPr>
        <w:rPr>
          <w:rFonts w:cstheme="minorHAnsi"/>
          <w:b/>
        </w:rPr>
      </w:pPr>
      <w:r>
        <w:rPr>
          <w:rFonts w:cstheme="minorHAnsi"/>
          <w:b/>
        </w:rPr>
        <w:t>From Medsafe’s adverse medication reactions reporting algorithm – retrieved from:</w:t>
      </w:r>
      <w:r w:rsidRPr="00CC6874">
        <w:t xml:space="preserve"> </w:t>
      </w:r>
      <w:hyperlink r:id="rId33" w:history="1">
        <w:r w:rsidRPr="00F30967">
          <w:rPr>
            <w:rStyle w:val="Hyperlink"/>
            <w:rFonts w:cstheme="minorHAnsi"/>
            <w:b/>
          </w:rPr>
          <w:t>http://www.medsafe.govt.nz/Profs/adverse/reactions.asp</w:t>
        </w:r>
      </w:hyperlink>
      <w:r>
        <w:rPr>
          <w:rFonts w:cstheme="minorHAnsi"/>
          <w:b/>
        </w:rPr>
        <w:t xml:space="preserve"> </w:t>
      </w:r>
    </w:p>
    <w:p w14:paraId="103A52DD" w14:textId="77777777" w:rsidR="00C42857" w:rsidRDefault="004A2CD8">
      <w:r>
        <w:rPr>
          <w:noProof/>
          <w:lang w:val="en-US"/>
        </w:rPr>
        <w:drawing>
          <wp:inline distT="0" distB="0" distL="0" distR="0" wp14:anchorId="7051D7D6" wp14:editId="0ED2272E">
            <wp:extent cx="5731510" cy="7738151"/>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
                    <a:stretch>
                      <a:fillRect/>
                    </a:stretch>
                  </pic:blipFill>
                  <pic:spPr>
                    <a:xfrm>
                      <a:off x="0" y="0"/>
                      <a:ext cx="5731510" cy="7738151"/>
                    </a:xfrm>
                    <a:prstGeom prst="rect">
                      <a:avLst/>
                    </a:prstGeom>
                  </pic:spPr>
                </pic:pic>
              </a:graphicData>
            </a:graphic>
          </wp:inline>
        </w:drawing>
      </w:r>
    </w:p>
    <w:p w14:paraId="43BEA747" w14:textId="5D11114D" w:rsidR="00C42857" w:rsidRDefault="00142AD8" w:rsidP="00142AD8">
      <w:pPr>
        <w:pStyle w:val="Heading1"/>
        <w:rPr>
          <w:rFonts w:asciiTheme="minorHAnsi" w:hAnsiTheme="minorHAnsi"/>
          <w:color w:val="auto"/>
        </w:rPr>
      </w:pPr>
      <w:bookmarkStart w:id="235" w:name="_Toc489888161"/>
      <w:r w:rsidRPr="00142AD8">
        <w:rPr>
          <w:rFonts w:asciiTheme="minorHAnsi" w:hAnsiTheme="minorHAnsi"/>
          <w:color w:val="auto"/>
        </w:rPr>
        <w:lastRenderedPageBreak/>
        <w:t>REFERENCES</w:t>
      </w:r>
      <w:bookmarkEnd w:id="235"/>
    </w:p>
    <w:p w14:paraId="72D1A603" w14:textId="77777777" w:rsidR="00142AD8" w:rsidRPr="00142AD8" w:rsidRDefault="00142AD8" w:rsidP="00142AD8"/>
    <w:p w14:paraId="314B2B7D" w14:textId="77777777" w:rsidR="00D27059" w:rsidRPr="00D27059" w:rsidRDefault="00C42857" w:rsidP="00D27059">
      <w:pPr>
        <w:pStyle w:val="EndNoteBibliography"/>
        <w:spacing w:after="0"/>
        <w:ind w:left="720" w:hanging="720"/>
        <w:rPr>
          <w:noProof/>
        </w:rPr>
      </w:pPr>
      <w:r>
        <w:fldChar w:fldCharType="begin"/>
      </w:r>
      <w:r>
        <w:instrText xml:space="preserve"> ADDIN EN.REFLIST </w:instrText>
      </w:r>
      <w:r>
        <w:fldChar w:fldCharType="separate"/>
      </w:r>
      <w:r w:rsidR="00D27059" w:rsidRPr="00D27059">
        <w:rPr>
          <w:noProof/>
        </w:rPr>
        <w:t>1.</w:t>
      </w:r>
      <w:r w:rsidR="00D27059" w:rsidRPr="00D27059">
        <w:rPr>
          <w:noProof/>
        </w:rPr>
        <w:tab/>
        <w:t xml:space="preserve">Farquhar, C.M., </w:t>
      </w:r>
      <w:r w:rsidR="00D27059" w:rsidRPr="00D27059">
        <w:rPr>
          <w:i/>
          <w:noProof/>
        </w:rPr>
        <w:t>Ectopic pregnancy.</w:t>
      </w:r>
      <w:r w:rsidR="00D27059" w:rsidRPr="00D27059">
        <w:rPr>
          <w:noProof/>
        </w:rPr>
        <w:t xml:space="preserve"> Lancet, 2005. </w:t>
      </w:r>
      <w:r w:rsidR="00D27059" w:rsidRPr="00D27059">
        <w:rPr>
          <w:b/>
          <w:noProof/>
        </w:rPr>
        <w:t>366</w:t>
      </w:r>
      <w:r w:rsidR="00D27059" w:rsidRPr="00D27059">
        <w:rPr>
          <w:noProof/>
        </w:rPr>
        <w:t>(9485): p. 9.</w:t>
      </w:r>
    </w:p>
    <w:p w14:paraId="6D856C04" w14:textId="1E6B0CBF" w:rsidR="00D27059" w:rsidRPr="00D27059" w:rsidRDefault="003B3B0B" w:rsidP="00D27059">
      <w:pPr>
        <w:pStyle w:val="EndNoteBibliography"/>
        <w:spacing w:after="0"/>
        <w:ind w:left="720" w:hanging="720"/>
        <w:rPr>
          <w:noProof/>
        </w:rPr>
      </w:pPr>
      <w:r>
        <w:rPr>
          <w:noProof/>
        </w:rPr>
        <w:t>2.</w:t>
      </w:r>
      <w:r>
        <w:rPr>
          <w:noProof/>
        </w:rPr>
        <w:tab/>
        <w:t>Centers for Disease Control and Prevention</w:t>
      </w:r>
      <w:r w:rsidR="00D27059" w:rsidRPr="00D27059">
        <w:rPr>
          <w:noProof/>
        </w:rPr>
        <w:t xml:space="preserve">, </w:t>
      </w:r>
      <w:r w:rsidR="00D27059" w:rsidRPr="00D27059">
        <w:rPr>
          <w:i/>
          <w:noProof/>
        </w:rPr>
        <w:t>Current trends - ectopic pregnancy: United States, 1990-1992.</w:t>
      </w:r>
      <w:r w:rsidR="00D27059" w:rsidRPr="00D27059">
        <w:rPr>
          <w:noProof/>
        </w:rPr>
        <w:t xml:space="preserve"> Morbidity Mortality Weekly Report, 1995. </w:t>
      </w:r>
      <w:r w:rsidR="00D27059" w:rsidRPr="00D27059">
        <w:rPr>
          <w:b/>
          <w:noProof/>
        </w:rPr>
        <w:t>44</w:t>
      </w:r>
      <w:r w:rsidR="00D27059" w:rsidRPr="00D27059">
        <w:rPr>
          <w:noProof/>
        </w:rPr>
        <w:t>(3): p. 46-48.</w:t>
      </w:r>
    </w:p>
    <w:p w14:paraId="00BA9A89" w14:textId="7D64EAF2" w:rsidR="00D27059" w:rsidRPr="00D27059" w:rsidRDefault="00D44C65" w:rsidP="00D27059">
      <w:pPr>
        <w:pStyle w:val="EndNoteBibliography"/>
        <w:spacing w:after="0"/>
        <w:ind w:left="720" w:hanging="720"/>
        <w:rPr>
          <w:noProof/>
        </w:rPr>
      </w:pPr>
      <w:r>
        <w:rPr>
          <w:noProof/>
        </w:rPr>
        <w:t>3.</w:t>
      </w:r>
      <w:r>
        <w:rPr>
          <w:noProof/>
        </w:rPr>
        <w:tab/>
        <w:t>Pisarska MD and Carson, SA</w:t>
      </w:r>
      <w:r w:rsidR="00D27059" w:rsidRPr="00D27059">
        <w:rPr>
          <w:noProof/>
        </w:rPr>
        <w:t xml:space="preserve">, </w:t>
      </w:r>
      <w:r w:rsidR="00D27059" w:rsidRPr="00D27059">
        <w:rPr>
          <w:i/>
          <w:noProof/>
        </w:rPr>
        <w:t>Incidence and risk factors for ectopic pregnancy.</w:t>
      </w:r>
      <w:r w:rsidR="00D27059" w:rsidRPr="00D27059">
        <w:rPr>
          <w:noProof/>
        </w:rPr>
        <w:t xml:space="preserve"> Clinical Obstetrics and Gynecology, 1999. </w:t>
      </w:r>
      <w:r w:rsidR="00D27059" w:rsidRPr="00D27059">
        <w:rPr>
          <w:b/>
          <w:noProof/>
        </w:rPr>
        <w:t>1999</w:t>
      </w:r>
      <w:r w:rsidR="00D27059" w:rsidRPr="00D27059">
        <w:rPr>
          <w:noProof/>
        </w:rPr>
        <w:t>(42): p. 1.</w:t>
      </w:r>
    </w:p>
    <w:p w14:paraId="23042FEE" w14:textId="77777777" w:rsidR="00D27059" w:rsidRPr="00D27059" w:rsidRDefault="00D27059" w:rsidP="00D27059">
      <w:pPr>
        <w:pStyle w:val="EndNoteBibliography"/>
        <w:spacing w:after="0"/>
        <w:ind w:left="720" w:hanging="720"/>
        <w:rPr>
          <w:noProof/>
        </w:rPr>
      </w:pPr>
      <w:r w:rsidRPr="00D27059">
        <w:rPr>
          <w:noProof/>
        </w:rPr>
        <w:t>4.</w:t>
      </w:r>
      <w:r w:rsidRPr="00D27059">
        <w:rPr>
          <w:noProof/>
        </w:rPr>
        <w:tab/>
        <w:t xml:space="preserve">Åhman, E., Dolea, C. and Shah, I., </w:t>
      </w:r>
      <w:r w:rsidRPr="00D27059">
        <w:rPr>
          <w:i/>
          <w:noProof/>
        </w:rPr>
        <w:t>The global burden of unsafe abortion in the year 2000</w:t>
      </w:r>
      <w:r w:rsidRPr="00D27059">
        <w:rPr>
          <w:noProof/>
        </w:rPr>
        <w:t xml:space="preserve">, in </w:t>
      </w:r>
      <w:r w:rsidRPr="00D27059">
        <w:rPr>
          <w:i/>
          <w:noProof/>
        </w:rPr>
        <w:t>Global Burden of Disease and Injury 2000</w:t>
      </w:r>
      <w:r w:rsidRPr="00D27059">
        <w:rPr>
          <w:noProof/>
        </w:rPr>
        <w:t>. 2000, World Health Organization: Geneva.</w:t>
      </w:r>
    </w:p>
    <w:p w14:paraId="4F8C78DC" w14:textId="3A5B6620" w:rsidR="00D27059" w:rsidRPr="00D27059" w:rsidRDefault="00D44C65" w:rsidP="00D27059">
      <w:pPr>
        <w:pStyle w:val="EndNoteBibliography"/>
        <w:spacing w:after="0"/>
        <w:ind w:left="720" w:hanging="720"/>
        <w:rPr>
          <w:noProof/>
        </w:rPr>
      </w:pPr>
      <w:r>
        <w:rPr>
          <w:noProof/>
        </w:rPr>
        <w:t>5.</w:t>
      </w:r>
      <w:r>
        <w:rPr>
          <w:noProof/>
        </w:rPr>
        <w:tab/>
        <w:t>Practice Committee of the American Society of Reproductive Medicine</w:t>
      </w:r>
      <w:r w:rsidR="00D27059" w:rsidRPr="00D27059">
        <w:rPr>
          <w:noProof/>
        </w:rPr>
        <w:t xml:space="preserve">, </w:t>
      </w:r>
      <w:r w:rsidR="00D27059" w:rsidRPr="00D27059">
        <w:rPr>
          <w:i/>
          <w:noProof/>
        </w:rPr>
        <w:t>Medical treatment of ectopic pregnancy: A committee opinion.</w:t>
      </w:r>
      <w:r w:rsidR="00D27059" w:rsidRPr="00D27059">
        <w:rPr>
          <w:noProof/>
        </w:rPr>
        <w:t xml:space="preserve"> Fertility and Sterility, 2013. </w:t>
      </w:r>
      <w:r w:rsidR="00D27059" w:rsidRPr="00D27059">
        <w:rPr>
          <w:b/>
          <w:noProof/>
        </w:rPr>
        <w:t>100</w:t>
      </w:r>
      <w:r w:rsidR="00D27059" w:rsidRPr="00D27059">
        <w:rPr>
          <w:noProof/>
        </w:rPr>
        <w:t>(3): p. 638-644.</w:t>
      </w:r>
    </w:p>
    <w:p w14:paraId="6E0012A2" w14:textId="7EA6827E" w:rsidR="00D27059" w:rsidRPr="00D27059" w:rsidRDefault="00D44C65" w:rsidP="00D27059">
      <w:pPr>
        <w:pStyle w:val="EndNoteBibliography"/>
        <w:spacing w:after="0"/>
        <w:ind w:left="720" w:hanging="720"/>
        <w:rPr>
          <w:noProof/>
        </w:rPr>
      </w:pPr>
      <w:r>
        <w:rPr>
          <w:noProof/>
        </w:rPr>
        <w:t>6.</w:t>
      </w:r>
      <w:r>
        <w:rPr>
          <w:noProof/>
        </w:rPr>
        <w:tab/>
        <w:t xml:space="preserve">Mol, F., Mol, </w:t>
      </w:r>
      <w:r w:rsidR="00D27059" w:rsidRPr="00D27059">
        <w:rPr>
          <w:noProof/>
        </w:rPr>
        <w:t>B., Ankum W</w:t>
      </w:r>
      <w:r>
        <w:rPr>
          <w:noProof/>
        </w:rPr>
        <w:t>.</w:t>
      </w:r>
      <w:r w:rsidR="00D27059" w:rsidRPr="00D27059">
        <w:rPr>
          <w:noProof/>
        </w:rPr>
        <w:t>M</w:t>
      </w:r>
      <w:r>
        <w:rPr>
          <w:noProof/>
        </w:rPr>
        <w:t>.</w:t>
      </w:r>
      <w:r w:rsidR="00D27059" w:rsidRPr="00D27059">
        <w:rPr>
          <w:noProof/>
        </w:rPr>
        <w:t xml:space="preserve">, et al., </w:t>
      </w:r>
      <w:r w:rsidR="00D27059" w:rsidRPr="00D27059">
        <w:rPr>
          <w:i/>
          <w:noProof/>
        </w:rPr>
        <w:t>Current evidence in surgery, systematic methotrexate and expectant management in the treatment of tubal ectopic pregnancy: A systematic review and meta-analysis.</w:t>
      </w:r>
      <w:r w:rsidR="00D27059" w:rsidRPr="00D27059">
        <w:rPr>
          <w:noProof/>
        </w:rPr>
        <w:t xml:space="preserve"> Human Reproductive Update, 2008. </w:t>
      </w:r>
      <w:r w:rsidR="00D27059" w:rsidRPr="00D27059">
        <w:rPr>
          <w:b/>
          <w:noProof/>
        </w:rPr>
        <w:t>14</w:t>
      </w:r>
      <w:r w:rsidR="00D27059" w:rsidRPr="00D27059">
        <w:rPr>
          <w:noProof/>
        </w:rPr>
        <w:t>(4): p. 309-319.</w:t>
      </w:r>
    </w:p>
    <w:p w14:paraId="3C77CADB" w14:textId="2BE2896D" w:rsidR="00D27059" w:rsidRPr="00D27059" w:rsidRDefault="00D44C65" w:rsidP="00D27059">
      <w:pPr>
        <w:pStyle w:val="EndNoteBibliography"/>
        <w:spacing w:after="0"/>
        <w:ind w:left="720" w:hanging="720"/>
        <w:rPr>
          <w:noProof/>
        </w:rPr>
      </w:pPr>
      <w:r>
        <w:rPr>
          <w:noProof/>
        </w:rPr>
        <w:t>7.</w:t>
      </w:r>
      <w:r>
        <w:rPr>
          <w:noProof/>
        </w:rPr>
        <w:tab/>
        <w:t>van Mello NM, Mol F</w:t>
      </w:r>
      <w:r w:rsidR="00D27059" w:rsidRPr="00D27059">
        <w:rPr>
          <w:noProof/>
        </w:rPr>
        <w:t xml:space="preserve">, Verhoeve HR, et al. , </w:t>
      </w:r>
      <w:r w:rsidR="00D27059" w:rsidRPr="00D27059">
        <w:rPr>
          <w:i/>
          <w:noProof/>
        </w:rPr>
        <w:t>Methotrexate or expectant management in women with ectopic pregnancy or pregnancy of unknown location and low serum hCG concentrations? A randomized comparison.</w:t>
      </w:r>
      <w:r w:rsidR="00D27059" w:rsidRPr="00D27059">
        <w:rPr>
          <w:noProof/>
        </w:rPr>
        <w:t xml:space="preserve"> Human Reproduction, 2013. </w:t>
      </w:r>
      <w:r w:rsidR="00D27059" w:rsidRPr="00D27059">
        <w:rPr>
          <w:b/>
          <w:noProof/>
        </w:rPr>
        <w:t>28</w:t>
      </w:r>
      <w:r w:rsidR="00D27059" w:rsidRPr="00D27059">
        <w:rPr>
          <w:noProof/>
        </w:rPr>
        <w:t>(1): p. 60-67.</w:t>
      </w:r>
    </w:p>
    <w:p w14:paraId="5C53878C" w14:textId="77777777" w:rsidR="00D27059" w:rsidRPr="00D27059" w:rsidRDefault="00D27059" w:rsidP="00D27059">
      <w:pPr>
        <w:pStyle w:val="EndNoteBibliography"/>
        <w:spacing w:after="0"/>
        <w:ind w:left="720" w:hanging="720"/>
        <w:rPr>
          <w:noProof/>
        </w:rPr>
      </w:pPr>
      <w:r w:rsidRPr="00D27059">
        <w:rPr>
          <w:noProof/>
        </w:rPr>
        <w:t>8.</w:t>
      </w:r>
      <w:r w:rsidRPr="00D27059">
        <w:rPr>
          <w:noProof/>
        </w:rPr>
        <w:tab/>
        <w:t xml:space="preserve">Job-Spira, N., Fernandez, H., Bouyer, J., Pouly, J.L., Germain, E. and Coste, J., </w:t>
      </w:r>
      <w:r w:rsidRPr="00D27059">
        <w:rPr>
          <w:i/>
          <w:noProof/>
        </w:rPr>
        <w:t>Ruptured tubal ectopic pregnancy: Risk factors and reproductive outcome: Results of a population-based study in France.</w:t>
      </w:r>
      <w:r w:rsidRPr="00D27059">
        <w:rPr>
          <w:noProof/>
        </w:rPr>
        <w:t xml:space="preserve"> American Journal of Obstetrics and Gynecology, 1999. </w:t>
      </w:r>
      <w:r w:rsidRPr="00D27059">
        <w:rPr>
          <w:b/>
          <w:noProof/>
        </w:rPr>
        <w:t>180</w:t>
      </w:r>
      <w:r w:rsidRPr="00D27059">
        <w:rPr>
          <w:noProof/>
        </w:rPr>
        <w:t>(4): p. 938-944.</w:t>
      </w:r>
    </w:p>
    <w:p w14:paraId="2951905A" w14:textId="77777777" w:rsidR="00D27059" w:rsidRPr="00D27059" w:rsidRDefault="00D27059" w:rsidP="00D27059">
      <w:pPr>
        <w:pStyle w:val="EndNoteBibliography"/>
        <w:spacing w:after="0"/>
        <w:ind w:left="720" w:hanging="720"/>
        <w:rPr>
          <w:noProof/>
        </w:rPr>
      </w:pPr>
      <w:r w:rsidRPr="00D27059">
        <w:rPr>
          <w:noProof/>
        </w:rPr>
        <w:t>9.</w:t>
      </w:r>
      <w:r w:rsidRPr="00D27059">
        <w:rPr>
          <w:noProof/>
        </w:rPr>
        <w:tab/>
        <w:t xml:space="preserve">Skubisz, M., Dutton, P., Duncan, W.C., Horne, A.W. and Tong, S., </w:t>
      </w:r>
      <w:r w:rsidRPr="00D27059">
        <w:rPr>
          <w:i/>
          <w:noProof/>
        </w:rPr>
        <w:t>Using a decline in serum hCG between days 0-4 to predict ectopic pregnancy treatment success after single-dose methotrexate: A retrospective cohort study.</w:t>
      </w:r>
      <w:r w:rsidRPr="00D27059">
        <w:rPr>
          <w:noProof/>
        </w:rPr>
        <w:t xml:space="preserve"> BMC Pregnancy and Childbirth, 2013. </w:t>
      </w:r>
      <w:r w:rsidRPr="00D27059">
        <w:rPr>
          <w:b/>
          <w:noProof/>
        </w:rPr>
        <w:t>13</w:t>
      </w:r>
      <w:r w:rsidRPr="00D27059">
        <w:rPr>
          <w:noProof/>
        </w:rPr>
        <w:t>(30).</w:t>
      </w:r>
    </w:p>
    <w:p w14:paraId="3CCE1B01" w14:textId="77777777" w:rsidR="00D27059" w:rsidRPr="00D27059" w:rsidRDefault="00D27059" w:rsidP="00D27059">
      <w:pPr>
        <w:pStyle w:val="EndNoteBibliography"/>
        <w:spacing w:after="0"/>
        <w:ind w:left="720" w:hanging="720"/>
        <w:rPr>
          <w:noProof/>
        </w:rPr>
      </w:pPr>
      <w:r w:rsidRPr="00D27059">
        <w:rPr>
          <w:noProof/>
        </w:rPr>
        <w:t>10.</w:t>
      </w:r>
      <w:r w:rsidRPr="00D27059">
        <w:rPr>
          <w:noProof/>
        </w:rPr>
        <w:tab/>
        <w:t xml:space="preserve">Mangoney, P., Andriamialisoa, R.Z., Lallemand, J.Y., Langlois, N., Langlois, Y. and Potier, P., </w:t>
      </w:r>
      <w:r w:rsidRPr="00D27059">
        <w:rPr>
          <w:i/>
          <w:noProof/>
        </w:rPr>
        <w:t>5'-Noranhydrovinblastine: Prototype of a new class of vinblastine derivatives.</w:t>
      </w:r>
      <w:r w:rsidRPr="00D27059">
        <w:rPr>
          <w:noProof/>
        </w:rPr>
        <w:t xml:space="preserve"> Tetrahedron, 1979. </w:t>
      </w:r>
      <w:r w:rsidRPr="00D27059">
        <w:rPr>
          <w:b/>
          <w:noProof/>
        </w:rPr>
        <w:t>35</w:t>
      </w:r>
      <w:r w:rsidRPr="00D27059">
        <w:rPr>
          <w:noProof/>
        </w:rPr>
        <w:t>: p. 2175-2179.</w:t>
      </w:r>
    </w:p>
    <w:p w14:paraId="143F335B" w14:textId="083883A6" w:rsidR="00D27059" w:rsidRPr="00D27059" w:rsidRDefault="00D44C65" w:rsidP="00D27059">
      <w:pPr>
        <w:pStyle w:val="EndNoteBibliography"/>
        <w:spacing w:after="0"/>
        <w:ind w:left="720" w:hanging="720"/>
        <w:rPr>
          <w:noProof/>
        </w:rPr>
      </w:pPr>
      <w:r>
        <w:rPr>
          <w:noProof/>
        </w:rPr>
        <w:t>11.</w:t>
      </w:r>
      <w:r>
        <w:rPr>
          <w:noProof/>
        </w:rPr>
        <w:tab/>
        <w:t xml:space="preserve">Ferretti C., Bruni </w:t>
      </w:r>
      <w:r w:rsidR="00D27059" w:rsidRPr="00D27059">
        <w:rPr>
          <w:noProof/>
        </w:rPr>
        <w:t xml:space="preserve">L., Dangles-Marie V., et al., </w:t>
      </w:r>
      <w:r w:rsidR="00D27059" w:rsidRPr="00D27059">
        <w:rPr>
          <w:i/>
          <w:noProof/>
        </w:rPr>
        <w:t>Molecular circuits shared by placental and cancer cells and their implications in the proliferative, invasive and migratory capacities of trophoblasts.</w:t>
      </w:r>
      <w:r w:rsidR="00D27059" w:rsidRPr="00D27059">
        <w:rPr>
          <w:noProof/>
        </w:rPr>
        <w:t xml:space="preserve"> Human Reproductive Update, 2007. </w:t>
      </w:r>
      <w:r w:rsidR="00D27059" w:rsidRPr="00D27059">
        <w:rPr>
          <w:b/>
          <w:noProof/>
        </w:rPr>
        <w:t>13</w:t>
      </w:r>
      <w:r w:rsidR="00D27059" w:rsidRPr="00D27059">
        <w:rPr>
          <w:noProof/>
        </w:rPr>
        <w:t>(2): p. 121-41.</w:t>
      </w:r>
    </w:p>
    <w:p w14:paraId="79F8A8B4" w14:textId="4B922148" w:rsidR="00D27059" w:rsidRPr="00D27059" w:rsidRDefault="00D44C65" w:rsidP="00D27059">
      <w:pPr>
        <w:pStyle w:val="EndNoteBibliography"/>
        <w:spacing w:after="0"/>
        <w:ind w:left="720" w:hanging="720"/>
        <w:rPr>
          <w:noProof/>
        </w:rPr>
      </w:pPr>
      <w:r>
        <w:rPr>
          <w:noProof/>
        </w:rPr>
        <w:t>12.</w:t>
      </w:r>
      <w:r>
        <w:rPr>
          <w:noProof/>
        </w:rPr>
        <w:tab/>
        <w:t>World Health Organization</w:t>
      </w:r>
      <w:r w:rsidR="00D27059" w:rsidRPr="00D27059">
        <w:rPr>
          <w:noProof/>
        </w:rPr>
        <w:t xml:space="preserve">, </w:t>
      </w:r>
      <w:r w:rsidR="00D27059" w:rsidRPr="00D27059">
        <w:rPr>
          <w:i/>
          <w:noProof/>
        </w:rPr>
        <w:t>Maternal mortality.</w:t>
      </w:r>
      <w:r w:rsidR="00D27059" w:rsidRPr="00D27059">
        <w:rPr>
          <w:noProof/>
        </w:rPr>
        <w:t xml:space="preserve"> 2016, World Health Organization.: Geneva.</w:t>
      </w:r>
    </w:p>
    <w:p w14:paraId="4043B4FA" w14:textId="1B9D189F" w:rsidR="00D27059" w:rsidRPr="00D27059" w:rsidRDefault="00D27059" w:rsidP="00D27059">
      <w:pPr>
        <w:pStyle w:val="EndNoteBibliography"/>
        <w:spacing w:after="0"/>
        <w:ind w:left="720" w:hanging="720"/>
        <w:rPr>
          <w:noProof/>
        </w:rPr>
      </w:pPr>
      <w:r w:rsidRPr="00D27059">
        <w:rPr>
          <w:noProof/>
        </w:rPr>
        <w:t>13.</w:t>
      </w:r>
      <w:r w:rsidRPr="00D27059">
        <w:rPr>
          <w:noProof/>
        </w:rPr>
        <w:tab/>
        <w:t>Horne, A.W.,</w:t>
      </w:r>
      <w:r w:rsidR="00D44C65">
        <w:rPr>
          <w:noProof/>
        </w:rPr>
        <w:t>…Tong, S.,</w:t>
      </w:r>
      <w:r w:rsidRPr="00D27059">
        <w:rPr>
          <w:noProof/>
        </w:rPr>
        <w:t xml:space="preserve"> et al., </w:t>
      </w:r>
      <w:r w:rsidRPr="00D27059">
        <w:rPr>
          <w:i/>
          <w:noProof/>
        </w:rPr>
        <w:t>Phase II single arm open label multicentre clinical trial to evaluate the efficacy and side effects of a combination of gefitinib and methotrexate to treat tubal ectopic pregnancies (GEM II): study protocol.</w:t>
      </w:r>
      <w:r w:rsidRPr="00D27059">
        <w:rPr>
          <w:noProof/>
        </w:rPr>
        <w:t xml:space="preserve"> BMJ Open, 2013. </w:t>
      </w:r>
      <w:r w:rsidRPr="00D27059">
        <w:rPr>
          <w:b/>
          <w:noProof/>
        </w:rPr>
        <w:t>3</w:t>
      </w:r>
      <w:r w:rsidRPr="00D27059">
        <w:rPr>
          <w:noProof/>
        </w:rPr>
        <w:t>(7).</w:t>
      </w:r>
    </w:p>
    <w:p w14:paraId="0C440C59" w14:textId="77777777" w:rsidR="00D27059" w:rsidRPr="00D27059" w:rsidRDefault="00D27059" w:rsidP="00D27059">
      <w:pPr>
        <w:pStyle w:val="EndNoteBibliography"/>
        <w:spacing w:after="0"/>
        <w:ind w:left="720" w:hanging="720"/>
        <w:rPr>
          <w:noProof/>
        </w:rPr>
      </w:pPr>
      <w:r w:rsidRPr="00D27059">
        <w:rPr>
          <w:noProof/>
        </w:rPr>
        <w:t>14.</w:t>
      </w:r>
      <w:r w:rsidRPr="00D27059">
        <w:rPr>
          <w:noProof/>
        </w:rPr>
        <w:tab/>
        <w:t xml:space="preserve">Costantine, M.M., et al., </w:t>
      </w:r>
      <w:r w:rsidRPr="00D27059">
        <w:rPr>
          <w:i/>
          <w:noProof/>
        </w:rPr>
        <w:t>Safety and pharmacokinetics of pravastatin used for the prevention of preeclampsia in high-risk pregnant women: a pilot randomized controlled trial.</w:t>
      </w:r>
      <w:r w:rsidRPr="00D27059">
        <w:rPr>
          <w:noProof/>
        </w:rPr>
        <w:t xml:space="preserve"> American Journal of Obstetrics and Gynecology, 2016. </w:t>
      </w:r>
      <w:r w:rsidRPr="00D27059">
        <w:rPr>
          <w:b/>
          <w:noProof/>
        </w:rPr>
        <w:t>214</w:t>
      </w:r>
      <w:r w:rsidRPr="00D27059">
        <w:rPr>
          <w:noProof/>
        </w:rPr>
        <w:t>(6): p. 720 e1 - 720 e17.</w:t>
      </w:r>
    </w:p>
    <w:p w14:paraId="03CAE179" w14:textId="39107388" w:rsidR="00D27059" w:rsidRPr="00D27059" w:rsidRDefault="00D27059" w:rsidP="00D27059">
      <w:pPr>
        <w:pStyle w:val="EndNoteBibliography"/>
        <w:spacing w:after="0"/>
        <w:ind w:left="720" w:hanging="720"/>
        <w:rPr>
          <w:noProof/>
        </w:rPr>
      </w:pPr>
      <w:r w:rsidRPr="00D27059">
        <w:rPr>
          <w:noProof/>
        </w:rPr>
        <w:t>15.</w:t>
      </w:r>
      <w:r w:rsidRPr="00D27059">
        <w:rPr>
          <w:noProof/>
        </w:rPr>
        <w:tab/>
        <w:t xml:space="preserve">Medsafe, </w:t>
      </w:r>
      <w:r w:rsidRPr="00D27059">
        <w:rPr>
          <w:i/>
          <w:noProof/>
        </w:rPr>
        <w:t>Guideline on the regulation of therapeutic products in New Zealand (Part 11): Clinical trials - regulatory approval and good clinical practice requirements.</w:t>
      </w:r>
      <w:r w:rsidR="00DD3B4A">
        <w:rPr>
          <w:noProof/>
        </w:rPr>
        <w:t>, Ministry of</w:t>
      </w:r>
      <w:r w:rsidRPr="00D27059">
        <w:rPr>
          <w:noProof/>
        </w:rPr>
        <w:t xml:space="preserve"> Health, Editor. 2015, Medsafe: Auckland, New Zealand.</w:t>
      </w:r>
    </w:p>
    <w:p w14:paraId="3A05FE53" w14:textId="77777777" w:rsidR="00D27059" w:rsidRPr="00D27059" w:rsidRDefault="00D27059" w:rsidP="00D27059">
      <w:pPr>
        <w:pStyle w:val="EndNoteBibliography"/>
        <w:ind w:left="720" w:hanging="720"/>
        <w:rPr>
          <w:noProof/>
        </w:rPr>
      </w:pPr>
      <w:r w:rsidRPr="00D27059">
        <w:rPr>
          <w:noProof/>
        </w:rPr>
        <w:t>16.</w:t>
      </w:r>
      <w:r w:rsidRPr="00D27059">
        <w:rPr>
          <w:noProof/>
        </w:rPr>
        <w:tab/>
        <w:t xml:space="preserve">NHMRC, </w:t>
      </w:r>
      <w:r w:rsidRPr="00D27059">
        <w:rPr>
          <w:i/>
          <w:noProof/>
        </w:rPr>
        <w:t>National statement on ethical conduct in Human Research 2007 [Updated May, 2015].</w:t>
      </w:r>
      <w:r w:rsidRPr="00D27059">
        <w:rPr>
          <w:noProof/>
        </w:rPr>
        <w:t xml:space="preserve"> Canberra: Commonwealth of Australia – the National Health and Medical Research Council; the Australian Research Council; and the Australian Vice-Chancellors’ Committee. .</w:t>
      </w:r>
    </w:p>
    <w:p w14:paraId="40CD863F" w14:textId="12E1005D" w:rsidR="00C15DBA" w:rsidRDefault="00C42857">
      <w:r>
        <w:fldChar w:fldCharType="end"/>
      </w:r>
    </w:p>
    <w:sectPr w:rsidR="00C15DBA" w:rsidSect="00EA50DF">
      <w:headerReference w:type="default" r:id="rId35"/>
      <w:footerReference w:type="default" r:id="rId36"/>
      <w:pgSz w:w="11906" w:h="16838"/>
      <w:pgMar w:top="78" w:right="1133" w:bottom="1440" w:left="1440" w:header="426" w:footer="0" w:gutter="0"/>
      <w:cols w:space="708"/>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Anna Middleton" w:date="2017-08-07T16:40:00Z" w:initials="AM">
    <w:p w14:paraId="6D9422E8" w14:textId="17274733" w:rsidR="00BA2754" w:rsidRDefault="00BA2754" w:rsidP="00F5300A">
      <w:pPr>
        <w:pStyle w:val="CommentText"/>
      </w:pPr>
      <w:r>
        <w:rPr>
          <w:rStyle w:val="CommentReference"/>
        </w:rPr>
        <w:annotationRef/>
      </w:r>
      <w:r>
        <w:rPr>
          <w:rStyle w:val="CommentReference"/>
        </w:rPr>
        <w:t>We need the Diversity Officer’s details</w:t>
      </w:r>
    </w:p>
  </w:comment>
  <w:comment w:id="3" w:author="Anna Middleton" w:date="2017-08-07T09:35:00Z" w:initials="AM">
    <w:p w14:paraId="2EB8AD6E" w14:textId="676134B5" w:rsidR="00BA2754" w:rsidRDefault="00BA2754">
      <w:pPr>
        <w:pStyle w:val="CommentText"/>
      </w:pPr>
      <w:r>
        <w:rPr>
          <w:rStyle w:val="CommentReference"/>
        </w:rPr>
        <w:annotationRef/>
      </w:r>
      <w:r>
        <w:t>Signatures to be collected following HDEC approval</w:t>
      </w:r>
    </w:p>
  </w:comment>
  <w:comment w:id="163" w:author="Anna Middleton" w:date="2017-07-07T16:19:00Z" w:initials="AM">
    <w:p w14:paraId="04FDE64E" w14:textId="77777777" w:rsidR="00BA2754" w:rsidRDefault="00BA2754">
      <w:pPr>
        <w:pStyle w:val="CommentText"/>
      </w:pPr>
      <w:r>
        <w:rPr>
          <w:rStyle w:val="CommentReference"/>
        </w:rPr>
        <w:annotationRef/>
      </w:r>
      <w:r>
        <w:t>Prathima to add</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D9422E8" w15:done="0"/>
  <w15:commentEx w15:paraId="2EB8AD6E" w15:done="0"/>
  <w15:commentEx w15:paraId="04FDE64E"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CB9158" w14:textId="77777777" w:rsidR="007D69FE" w:rsidRDefault="007D69FE" w:rsidP="005F6105">
      <w:pPr>
        <w:spacing w:after="0" w:line="240" w:lineRule="auto"/>
      </w:pPr>
      <w:r>
        <w:separator/>
      </w:r>
    </w:p>
  </w:endnote>
  <w:endnote w:type="continuationSeparator" w:id="0">
    <w:p w14:paraId="25D66C06" w14:textId="77777777" w:rsidR="007D69FE" w:rsidRDefault="007D69FE" w:rsidP="005F61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80"/>
    <w:family w:val="auto"/>
    <w:pitch w:val="variable"/>
    <w:sig w:usb0="E00002FF" w:usb1="6AC7FDFB" w:usb2="08000012" w:usb3="00000000" w:csb0="0002009F" w:csb1="00000000"/>
  </w:font>
  <w:font w:name="Tahoma">
    <w:panose1 w:val="020B0604030504040204"/>
    <w:charset w:val="00"/>
    <w:family w:val="auto"/>
    <w:pitch w:val="variable"/>
    <w:sig w:usb0="E1002EFF" w:usb1="C000605B" w:usb2="00000029" w:usb3="00000000" w:csb0="000101FF" w:csb1="00000000"/>
  </w:font>
  <w:font w:name="ＭＳ 明朝">
    <w:charset w:val="80"/>
    <w:family w:val="auto"/>
    <w:pitch w:val="variable"/>
    <w:sig w:usb0="E00002FF" w:usb1="6AC7FDFB" w:usb2="08000012" w:usb3="00000000" w:csb0="0002009F" w:csb1="00000000"/>
  </w:font>
  <w:font w:name="Times">
    <w:panose1 w:val="02000500000000000000"/>
    <w:charset w:val="00"/>
    <w:family w:val="auto"/>
    <w:pitch w:val="variable"/>
    <w:sig w:usb0="00000003" w:usb1="00000000" w:usb2="00000000" w:usb3="00000000" w:csb0="00000001" w:csb1="00000000"/>
  </w:font>
  <w:font w:name="MS Mincho">
    <w:panose1 w:val="02020609040205080304"/>
    <w:charset w:val="80"/>
    <w:family w:val="auto"/>
    <w:pitch w:val="variable"/>
    <w:sig w:usb0="E00002FF" w:usb1="6AC7FDFB" w:usb2="08000012" w:usb3="00000000" w:csb0="0002009F" w:csb1="00000000"/>
  </w:font>
  <w:font w:name="Book Antiqua">
    <w:panose1 w:val="02040602050305030304"/>
    <w:charset w:val="00"/>
    <w:family w:val="auto"/>
    <w:pitch w:val="variable"/>
    <w:sig w:usb0="00000287" w:usb1="00000000" w:usb2="00000000" w:usb3="00000000" w:csb0="0000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Bell MT">
    <w:panose1 w:val="02020503060305020303"/>
    <w:charset w:val="00"/>
    <w:family w:val="auto"/>
    <w:pitch w:val="variable"/>
    <w:sig w:usb0="00000003" w:usb1="00000000" w:usb2="00000000" w:usb3="00000000" w:csb0="00000001" w:csb1="00000000"/>
  </w:font>
  <w:font w:name="MS Gothic">
    <w:panose1 w:val="020B0609070205080204"/>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1246104"/>
      <w:docPartObj>
        <w:docPartGallery w:val="Page Numbers (Bottom of Page)"/>
        <w:docPartUnique/>
      </w:docPartObj>
    </w:sdtPr>
    <w:sdtContent>
      <w:sdt>
        <w:sdtPr>
          <w:id w:val="867951762"/>
          <w:docPartObj>
            <w:docPartGallery w:val="Page Numbers (Top of Page)"/>
            <w:docPartUnique/>
          </w:docPartObj>
        </w:sdtPr>
        <w:sdtContent>
          <w:p w14:paraId="006618BF" w14:textId="77777777" w:rsidR="00BA2754" w:rsidRDefault="00BA2754" w:rsidP="00EA50DF">
            <w:pPr>
              <w:pStyle w:val="Footer"/>
              <w:jc w:val="center"/>
            </w:pPr>
            <w:r>
              <w:t xml:space="preserve">                                                                 Page </w:t>
            </w:r>
            <w:r>
              <w:rPr>
                <w:b/>
                <w:bCs/>
                <w:sz w:val="24"/>
                <w:szCs w:val="24"/>
              </w:rPr>
              <w:fldChar w:fldCharType="begin"/>
            </w:r>
            <w:r>
              <w:rPr>
                <w:b/>
                <w:bCs/>
              </w:rPr>
              <w:instrText xml:space="preserve"> PAGE </w:instrText>
            </w:r>
            <w:r>
              <w:rPr>
                <w:b/>
                <w:bCs/>
                <w:sz w:val="24"/>
                <w:szCs w:val="24"/>
              </w:rPr>
              <w:fldChar w:fldCharType="separate"/>
            </w:r>
            <w:r w:rsidR="004C6E0B">
              <w:rPr>
                <w:b/>
                <w:bCs/>
                <w:noProof/>
              </w:rPr>
              <w:t>32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C6E0B">
              <w:rPr>
                <w:b/>
                <w:bCs/>
                <w:noProof/>
              </w:rPr>
              <w:t>69</w:t>
            </w:r>
            <w:r>
              <w:rPr>
                <w:b/>
                <w:bCs/>
                <w:sz w:val="24"/>
                <w:szCs w:val="24"/>
              </w:rPr>
              <w:fldChar w:fldCharType="end"/>
            </w:r>
            <w:r>
              <w:rPr>
                <w:b/>
                <w:bCs/>
                <w:sz w:val="24"/>
                <w:szCs w:val="24"/>
              </w:rPr>
              <w:t xml:space="preserve">                                                       </w:t>
            </w:r>
            <w:r>
              <w:rPr>
                <w:rFonts w:cstheme="minorHAnsi"/>
                <w:noProof/>
                <w:lang w:val="en-US"/>
              </w:rPr>
              <w:drawing>
                <wp:inline distT="0" distB="0" distL="0" distR="0" wp14:anchorId="40D8BA8B" wp14:editId="557934F2">
                  <wp:extent cx="477671" cy="48217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7579" cy="482085"/>
                          </a:xfrm>
                          <a:prstGeom prst="rect">
                            <a:avLst/>
                          </a:prstGeom>
                          <a:noFill/>
                        </pic:spPr>
                      </pic:pic>
                    </a:graphicData>
                  </a:graphic>
                </wp:inline>
              </w:drawing>
            </w:r>
          </w:p>
        </w:sdtContent>
      </w:sdt>
    </w:sdtContent>
  </w:sdt>
  <w:p w14:paraId="67CFF6B4" w14:textId="77777777" w:rsidR="00BA2754" w:rsidRDefault="00BA2754" w:rsidP="00EA50DF">
    <w:pPr>
      <w:pStyle w:val="Footer"/>
      <w:jc w:val="righ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B20F99" w14:textId="77777777" w:rsidR="007D69FE" w:rsidRDefault="007D69FE" w:rsidP="005F6105">
      <w:pPr>
        <w:spacing w:after="0" w:line="240" w:lineRule="auto"/>
      </w:pPr>
      <w:r>
        <w:separator/>
      </w:r>
    </w:p>
  </w:footnote>
  <w:footnote w:type="continuationSeparator" w:id="0">
    <w:p w14:paraId="57BA79A2" w14:textId="77777777" w:rsidR="007D69FE" w:rsidRDefault="007D69FE" w:rsidP="005F6105">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CB3623" w14:textId="77777777" w:rsidR="00BA2754" w:rsidRPr="00FA7DCA" w:rsidRDefault="00BA2754">
    <w:pPr>
      <w:pStyle w:val="Header"/>
      <w:rPr>
        <w:color w:val="A6A6A6" w:themeColor="background1" w:themeShade="A6"/>
      </w:rPr>
    </w:pPr>
  </w:p>
  <w:tbl>
    <w:tblPr>
      <w:tblStyle w:val="TableGrid"/>
      <w:tblW w:w="98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68"/>
    </w:tblGrid>
    <w:tr w:rsidR="00BA2754" w14:paraId="16A43E32" w14:textId="77777777" w:rsidTr="00EA50DF">
      <w:trPr>
        <w:trHeight w:val="532"/>
      </w:trPr>
      <w:tc>
        <w:tcPr>
          <w:tcW w:w="9868" w:type="dxa"/>
        </w:tcPr>
        <w:p w14:paraId="2DE8B3EF" w14:textId="77777777" w:rsidR="00BA2754" w:rsidRPr="00FA7DCA" w:rsidRDefault="00BA2754" w:rsidP="00B964A7">
          <w:pPr>
            <w:pStyle w:val="Header"/>
            <w:rPr>
              <w:color w:val="A6A6A6" w:themeColor="background1" w:themeShade="A6"/>
            </w:rPr>
          </w:pPr>
          <w:r>
            <w:rPr>
              <w:color w:val="A6A6A6" w:themeColor="background1" w:themeShade="A6"/>
            </w:rPr>
            <w:t>Vino Trial Protocol</w:t>
          </w:r>
        </w:p>
        <w:p w14:paraId="534B9BC9" w14:textId="77777777" w:rsidR="00BA2754" w:rsidRDefault="00BA2754" w:rsidP="00EA50DF">
          <w:pPr>
            <w:pStyle w:val="Header"/>
            <w:rPr>
              <w:color w:val="A6A6A6" w:themeColor="background1" w:themeShade="A6"/>
            </w:rPr>
          </w:pPr>
          <w:r>
            <w:rPr>
              <w:color w:val="A6A6A6" w:themeColor="background1" w:themeShade="A6"/>
            </w:rPr>
            <w:t>1</w:t>
          </w:r>
          <w:r w:rsidRPr="005F6105">
            <w:rPr>
              <w:color w:val="A6A6A6" w:themeColor="background1" w:themeShade="A6"/>
              <w:vertAlign w:val="superscript"/>
            </w:rPr>
            <w:t>st</w:t>
          </w:r>
          <w:r>
            <w:rPr>
              <w:color w:val="A6A6A6" w:themeColor="background1" w:themeShade="A6"/>
            </w:rPr>
            <w:t xml:space="preserve"> draft – 14</w:t>
          </w:r>
          <w:r w:rsidRPr="005F6105">
            <w:rPr>
              <w:color w:val="A6A6A6" w:themeColor="background1" w:themeShade="A6"/>
              <w:vertAlign w:val="superscript"/>
            </w:rPr>
            <w:t>th</w:t>
          </w:r>
          <w:r>
            <w:rPr>
              <w:color w:val="A6A6A6" w:themeColor="background1" w:themeShade="A6"/>
            </w:rPr>
            <w:t xml:space="preserve"> 2017</w:t>
          </w:r>
        </w:p>
      </w:tc>
    </w:tr>
  </w:tbl>
  <w:p w14:paraId="35F2C547" w14:textId="77777777" w:rsidR="00BA2754" w:rsidRDefault="00BA2754">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05D57"/>
    <w:multiLevelType w:val="hybridMultilevel"/>
    <w:tmpl w:val="1A5A57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8B7166F"/>
    <w:multiLevelType w:val="hybridMultilevel"/>
    <w:tmpl w:val="ED7C3E50"/>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C7D3A3A"/>
    <w:multiLevelType w:val="hybridMultilevel"/>
    <w:tmpl w:val="1F86BB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E3C45D3"/>
    <w:multiLevelType w:val="hybridMultilevel"/>
    <w:tmpl w:val="1B722B62"/>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E4D4A55"/>
    <w:multiLevelType w:val="hybridMultilevel"/>
    <w:tmpl w:val="E52440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0966AC7"/>
    <w:multiLevelType w:val="hybridMultilevel"/>
    <w:tmpl w:val="20D298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1B928EF"/>
    <w:multiLevelType w:val="hybridMultilevel"/>
    <w:tmpl w:val="29527E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28F2558"/>
    <w:multiLevelType w:val="hybridMultilevel"/>
    <w:tmpl w:val="96B882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2C95097"/>
    <w:multiLevelType w:val="hybridMultilevel"/>
    <w:tmpl w:val="F31ACB9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nsid w:val="13555A29"/>
    <w:multiLevelType w:val="hybridMultilevel"/>
    <w:tmpl w:val="768066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13CA5EC4"/>
    <w:multiLevelType w:val="hybridMultilevel"/>
    <w:tmpl w:val="A79802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1CD42C3D"/>
    <w:multiLevelType w:val="hybridMultilevel"/>
    <w:tmpl w:val="A5CAAA4C"/>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nsid w:val="1EFD0239"/>
    <w:multiLevelType w:val="hybridMultilevel"/>
    <w:tmpl w:val="F1BC40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1F7C1DB4"/>
    <w:multiLevelType w:val="hybridMultilevel"/>
    <w:tmpl w:val="597A1F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20660DF5"/>
    <w:multiLevelType w:val="hybridMultilevel"/>
    <w:tmpl w:val="41BAF9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21E5054A"/>
    <w:multiLevelType w:val="hybridMultilevel"/>
    <w:tmpl w:val="D30E60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28672FFC"/>
    <w:multiLevelType w:val="hybridMultilevel"/>
    <w:tmpl w:val="3DC4112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nsid w:val="2ACC126C"/>
    <w:multiLevelType w:val="multilevel"/>
    <w:tmpl w:val="C8AE60FE"/>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989"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nsid w:val="2B96569E"/>
    <w:multiLevelType w:val="hybridMultilevel"/>
    <w:tmpl w:val="87184D6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9">
    <w:nsid w:val="2BD96EE4"/>
    <w:multiLevelType w:val="hybridMultilevel"/>
    <w:tmpl w:val="E2DE1E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2C5F74E6"/>
    <w:multiLevelType w:val="hybridMultilevel"/>
    <w:tmpl w:val="C65A1F66"/>
    <w:lvl w:ilvl="0" w:tplc="0C090001">
      <w:start w:val="1"/>
      <w:numFmt w:val="bullet"/>
      <w:lvlText w:val=""/>
      <w:lvlJc w:val="left"/>
      <w:pPr>
        <w:ind w:left="1637" w:hanging="360"/>
      </w:pPr>
      <w:rPr>
        <w:rFonts w:ascii="Symbol" w:hAnsi="Symbol" w:hint="default"/>
      </w:rPr>
    </w:lvl>
    <w:lvl w:ilvl="1" w:tplc="0C090003" w:tentative="1">
      <w:start w:val="1"/>
      <w:numFmt w:val="bullet"/>
      <w:lvlText w:val="o"/>
      <w:lvlJc w:val="left"/>
      <w:pPr>
        <w:ind w:left="2357" w:hanging="360"/>
      </w:pPr>
      <w:rPr>
        <w:rFonts w:ascii="Courier New" w:hAnsi="Courier New" w:cs="Courier New" w:hint="default"/>
      </w:rPr>
    </w:lvl>
    <w:lvl w:ilvl="2" w:tplc="0C090005" w:tentative="1">
      <w:start w:val="1"/>
      <w:numFmt w:val="bullet"/>
      <w:lvlText w:val=""/>
      <w:lvlJc w:val="left"/>
      <w:pPr>
        <w:ind w:left="3077" w:hanging="360"/>
      </w:pPr>
      <w:rPr>
        <w:rFonts w:ascii="Wingdings" w:hAnsi="Wingdings" w:hint="default"/>
      </w:rPr>
    </w:lvl>
    <w:lvl w:ilvl="3" w:tplc="0C090001" w:tentative="1">
      <w:start w:val="1"/>
      <w:numFmt w:val="bullet"/>
      <w:lvlText w:val=""/>
      <w:lvlJc w:val="left"/>
      <w:pPr>
        <w:ind w:left="3797" w:hanging="360"/>
      </w:pPr>
      <w:rPr>
        <w:rFonts w:ascii="Symbol" w:hAnsi="Symbol" w:hint="default"/>
      </w:rPr>
    </w:lvl>
    <w:lvl w:ilvl="4" w:tplc="0C090003" w:tentative="1">
      <w:start w:val="1"/>
      <w:numFmt w:val="bullet"/>
      <w:lvlText w:val="o"/>
      <w:lvlJc w:val="left"/>
      <w:pPr>
        <w:ind w:left="4517" w:hanging="360"/>
      </w:pPr>
      <w:rPr>
        <w:rFonts w:ascii="Courier New" w:hAnsi="Courier New" w:cs="Courier New" w:hint="default"/>
      </w:rPr>
    </w:lvl>
    <w:lvl w:ilvl="5" w:tplc="0C090005" w:tentative="1">
      <w:start w:val="1"/>
      <w:numFmt w:val="bullet"/>
      <w:lvlText w:val=""/>
      <w:lvlJc w:val="left"/>
      <w:pPr>
        <w:ind w:left="5237" w:hanging="360"/>
      </w:pPr>
      <w:rPr>
        <w:rFonts w:ascii="Wingdings" w:hAnsi="Wingdings" w:hint="default"/>
      </w:rPr>
    </w:lvl>
    <w:lvl w:ilvl="6" w:tplc="0C090001" w:tentative="1">
      <w:start w:val="1"/>
      <w:numFmt w:val="bullet"/>
      <w:lvlText w:val=""/>
      <w:lvlJc w:val="left"/>
      <w:pPr>
        <w:ind w:left="5957" w:hanging="360"/>
      </w:pPr>
      <w:rPr>
        <w:rFonts w:ascii="Symbol" w:hAnsi="Symbol" w:hint="default"/>
      </w:rPr>
    </w:lvl>
    <w:lvl w:ilvl="7" w:tplc="0C090003" w:tentative="1">
      <w:start w:val="1"/>
      <w:numFmt w:val="bullet"/>
      <w:lvlText w:val="o"/>
      <w:lvlJc w:val="left"/>
      <w:pPr>
        <w:ind w:left="6677" w:hanging="360"/>
      </w:pPr>
      <w:rPr>
        <w:rFonts w:ascii="Courier New" w:hAnsi="Courier New" w:cs="Courier New" w:hint="default"/>
      </w:rPr>
    </w:lvl>
    <w:lvl w:ilvl="8" w:tplc="0C090005" w:tentative="1">
      <w:start w:val="1"/>
      <w:numFmt w:val="bullet"/>
      <w:lvlText w:val=""/>
      <w:lvlJc w:val="left"/>
      <w:pPr>
        <w:ind w:left="7397" w:hanging="360"/>
      </w:pPr>
      <w:rPr>
        <w:rFonts w:ascii="Wingdings" w:hAnsi="Wingdings" w:hint="default"/>
      </w:rPr>
    </w:lvl>
  </w:abstractNum>
  <w:abstractNum w:abstractNumId="21">
    <w:nsid w:val="2E430607"/>
    <w:multiLevelType w:val="hybridMultilevel"/>
    <w:tmpl w:val="A2901C9A"/>
    <w:lvl w:ilvl="0" w:tplc="0C090001">
      <w:start w:val="1"/>
      <w:numFmt w:val="bullet"/>
      <w:lvlText w:val=""/>
      <w:lvlJc w:val="left"/>
      <w:pPr>
        <w:ind w:left="753" w:hanging="360"/>
      </w:pPr>
      <w:rPr>
        <w:rFonts w:ascii="Symbol" w:hAnsi="Symbol" w:hint="default"/>
      </w:rPr>
    </w:lvl>
    <w:lvl w:ilvl="1" w:tplc="0C090003" w:tentative="1">
      <w:start w:val="1"/>
      <w:numFmt w:val="bullet"/>
      <w:lvlText w:val="o"/>
      <w:lvlJc w:val="left"/>
      <w:pPr>
        <w:ind w:left="1473" w:hanging="360"/>
      </w:pPr>
      <w:rPr>
        <w:rFonts w:ascii="Courier New" w:hAnsi="Courier New" w:cs="Courier New" w:hint="default"/>
      </w:rPr>
    </w:lvl>
    <w:lvl w:ilvl="2" w:tplc="0C090005" w:tentative="1">
      <w:start w:val="1"/>
      <w:numFmt w:val="bullet"/>
      <w:lvlText w:val=""/>
      <w:lvlJc w:val="left"/>
      <w:pPr>
        <w:ind w:left="2193" w:hanging="360"/>
      </w:pPr>
      <w:rPr>
        <w:rFonts w:ascii="Wingdings" w:hAnsi="Wingdings" w:hint="default"/>
      </w:rPr>
    </w:lvl>
    <w:lvl w:ilvl="3" w:tplc="0C090001" w:tentative="1">
      <w:start w:val="1"/>
      <w:numFmt w:val="bullet"/>
      <w:lvlText w:val=""/>
      <w:lvlJc w:val="left"/>
      <w:pPr>
        <w:ind w:left="2913" w:hanging="360"/>
      </w:pPr>
      <w:rPr>
        <w:rFonts w:ascii="Symbol" w:hAnsi="Symbol" w:hint="default"/>
      </w:rPr>
    </w:lvl>
    <w:lvl w:ilvl="4" w:tplc="0C090003" w:tentative="1">
      <w:start w:val="1"/>
      <w:numFmt w:val="bullet"/>
      <w:lvlText w:val="o"/>
      <w:lvlJc w:val="left"/>
      <w:pPr>
        <w:ind w:left="3633" w:hanging="360"/>
      </w:pPr>
      <w:rPr>
        <w:rFonts w:ascii="Courier New" w:hAnsi="Courier New" w:cs="Courier New" w:hint="default"/>
      </w:rPr>
    </w:lvl>
    <w:lvl w:ilvl="5" w:tplc="0C090005" w:tentative="1">
      <w:start w:val="1"/>
      <w:numFmt w:val="bullet"/>
      <w:lvlText w:val=""/>
      <w:lvlJc w:val="left"/>
      <w:pPr>
        <w:ind w:left="4353" w:hanging="360"/>
      </w:pPr>
      <w:rPr>
        <w:rFonts w:ascii="Wingdings" w:hAnsi="Wingdings" w:hint="default"/>
      </w:rPr>
    </w:lvl>
    <w:lvl w:ilvl="6" w:tplc="0C090001" w:tentative="1">
      <w:start w:val="1"/>
      <w:numFmt w:val="bullet"/>
      <w:lvlText w:val=""/>
      <w:lvlJc w:val="left"/>
      <w:pPr>
        <w:ind w:left="5073" w:hanging="360"/>
      </w:pPr>
      <w:rPr>
        <w:rFonts w:ascii="Symbol" w:hAnsi="Symbol" w:hint="default"/>
      </w:rPr>
    </w:lvl>
    <w:lvl w:ilvl="7" w:tplc="0C090003" w:tentative="1">
      <w:start w:val="1"/>
      <w:numFmt w:val="bullet"/>
      <w:lvlText w:val="o"/>
      <w:lvlJc w:val="left"/>
      <w:pPr>
        <w:ind w:left="5793" w:hanging="360"/>
      </w:pPr>
      <w:rPr>
        <w:rFonts w:ascii="Courier New" w:hAnsi="Courier New" w:cs="Courier New" w:hint="default"/>
      </w:rPr>
    </w:lvl>
    <w:lvl w:ilvl="8" w:tplc="0C090005" w:tentative="1">
      <w:start w:val="1"/>
      <w:numFmt w:val="bullet"/>
      <w:lvlText w:val=""/>
      <w:lvlJc w:val="left"/>
      <w:pPr>
        <w:ind w:left="6513" w:hanging="360"/>
      </w:pPr>
      <w:rPr>
        <w:rFonts w:ascii="Wingdings" w:hAnsi="Wingdings" w:hint="default"/>
      </w:rPr>
    </w:lvl>
  </w:abstractNum>
  <w:abstractNum w:abstractNumId="22">
    <w:nsid w:val="2E843B95"/>
    <w:multiLevelType w:val="hybridMultilevel"/>
    <w:tmpl w:val="AE489DA2"/>
    <w:lvl w:ilvl="0" w:tplc="E5CAF646">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315E2ED4"/>
    <w:multiLevelType w:val="hybridMultilevel"/>
    <w:tmpl w:val="4BF204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3319157D"/>
    <w:multiLevelType w:val="hybridMultilevel"/>
    <w:tmpl w:val="1980AA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367431AE"/>
    <w:multiLevelType w:val="hybridMultilevel"/>
    <w:tmpl w:val="44024E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38FC6822"/>
    <w:multiLevelType w:val="hybridMultilevel"/>
    <w:tmpl w:val="629C54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39385341"/>
    <w:multiLevelType w:val="hybridMultilevel"/>
    <w:tmpl w:val="4C0853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39CB5B5E"/>
    <w:multiLevelType w:val="hybridMultilevel"/>
    <w:tmpl w:val="E74C0F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39E131B6"/>
    <w:multiLevelType w:val="hybridMultilevel"/>
    <w:tmpl w:val="A7B090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3B3C3955"/>
    <w:multiLevelType w:val="hybridMultilevel"/>
    <w:tmpl w:val="597C5B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3D5A5453"/>
    <w:multiLevelType w:val="hybridMultilevel"/>
    <w:tmpl w:val="6FAA4D60"/>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32">
    <w:nsid w:val="3E8B179C"/>
    <w:multiLevelType w:val="hybridMultilevel"/>
    <w:tmpl w:val="DD362558"/>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3F8E64BD"/>
    <w:multiLevelType w:val="hybridMultilevel"/>
    <w:tmpl w:val="C86452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405A7E8E"/>
    <w:multiLevelType w:val="hybridMultilevel"/>
    <w:tmpl w:val="E1A07D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441F14EC"/>
    <w:multiLevelType w:val="hybridMultilevel"/>
    <w:tmpl w:val="C3040E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45A045B8"/>
    <w:multiLevelType w:val="hybridMultilevel"/>
    <w:tmpl w:val="E5245C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4C2A3EFA"/>
    <w:multiLevelType w:val="hybridMultilevel"/>
    <w:tmpl w:val="987C7B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4E4E5281"/>
    <w:multiLevelType w:val="hybridMultilevel"/>
    <w:tmpl w:val="ED5A3C1A"/>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50B32A69"/>
    <w:multiLevelType w:val="hybridMultilevel"/>
    <w:tmpl w:val="5C86DA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nsid w:val="50CA2353"/>
    <w:multiLevelType w:val="hybridMultilevel"/>
    <w:tmpl w:val="6DEC8F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FCA067C">
      <w:start w:val="2"/>
      <w:numFmt w:val="bullet"/>
      <w:lvlText w:val="-"/>
      <w:lvlJc w:val="left"/>
      <w:pPr>
        <w:ind w:left="2160" w:hanging="360"/>
      </w:pPr>
      <w:rPr>
        <w:rFonts w:ascii="Calibri" w:eastAsiaTheme="minorHAnsi" w:hAnsi="Calibri" w:cs="Calibri"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nsid w:val="548714F6"/>
    <w:multiLevelType w:val="hybridMultilevel"/>
    <w:tmpl w:val="920EBC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nsid w:val="55D93EF9"/>
    <w:multiLevelType w:val="hybridMultilevel"/>
    <w:tmpl w:val="17D0D7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nsid w:val="56A3719A"/>
    <w:multiLevelType w:val="hybridMultilevel"/>
    <w:tmpl w:val="D76A78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nsid w:val="592360EA"/>
    <w:multiLevelType w:val="hybridMultilevel"/>
    <w:tmpl w:val="9ECA54F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nsid w:val="5A8C65B7"/>
    <w:multiLevelType w:val="hybridMultilevel"/>
    <w:tmpl w:val="AE462D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nsid w:val="5CEE6969"/>
    <w:multiLevelType w:val="hybridMultilevel"/>
    <w:tmpl w:val="5338E4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nsid w:val="5D293B30"/>
    <w:multiLevelType w:val="hybridMultilevel"/>
    <w:tmpl w:val="C75CCB3A"/>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nsid w:val="5D46189B"/>
    <w:multiLevelType w:val="hybridMultilevel"/>
    <w:tmpl w:val="40D6B8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nsid w:val="5E727D10"/>
    <w:multiLevelType w:val="hybridMultilevel"/>
    <w:tmpl w:val="20E2EB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nsid w:val="5EE842CE"/>
    <w:multiLevelType w:val="hybridMultilevel"/>
    <w:tmpl w:val="59C8C1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nsid w:val="5FA179B0"/>
    <w:multiLevelType w:val="hybridMultilevel"/>
    <w:tmpl w:val="9C2E34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nsid w:val="63377ABA"/>
    <w:multiLevelType w:val="hybridMultilevel"/>
    <w:tmpl w:val="E3F241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nsid w:val="64B4261C"/>
    <w:multiLevelType w:val="hybridMultilevel"/>
    <w:tmpl w:val="956E24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nsid w:val="64B656EF"/>
    <w:multiLevelType w:val="multilevel"/>
    <w:tmpl w:val="B5421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67D77870"/>
    <w:multiLevelType w:val="hybridMultilevel"/>
    <w:tmpl w:val="55D2E6D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6">
    <w:nsid w:val="6D4413C0"/>
    <w:multiLevelType w:val="hybridMultilevel"/>
    <w:tmpl w:val="A9E6778C"/>
    <w:lvl w:ilvl="0" w:tplc="0C090001">
      <w:start w:val="1"/>
      <w:numFmt w:val="bullet"/>
      <w:lvlText w:val=""/>
      <w:lvlJc w:val="left"/>
      <w:pPr>
        <w:tabs>
          <w:tab w:val="num" w:pos="720"/>
        </w:tabs>
        <w:ind w:left="720" w:hanging="360"/>
      </w:pPr>
      <w:rPr>
        <w:rFonts w:ascii="Symbol" w:hAnsi="Symbol" w:hint="default"/>
      </w:rPr>
    </w:lvl>
    <w:lvl w:ilvl="1" w:tplc="0E9AA9DA" w:tentative="1">
      <w:start w:val="1"/>
      <w:numFmt w:val="bullet"/>
      <w:lvlText w:val="•"/>
      <w:lvlJc w:val="left"/>
      <w:pPr>
        <w:tabs>
          <w:tab w:val="num" w:pos="1440"/>
        </w:tabs>
        <w:ind w:left="1440" w:hanging="360"/>
      </w:pPr>
      <w:rPr>
        <w:rFonts w:ascii="Times New Roman" w:hAnsi="Times New Roman" w:hint="default"/>
      </w:rPr>
    </w:lvl>
    <w:lvl w:ilvl="2" w:tplc="A246FC12" w:tentative="1">
      <w:start w:val="1"/>
      <w:numFmt w:val="bullet"/>
      <w:lvlText w:val="•"/>
      <w:lvlJc w:val="left"/>
      <w:pPr>
        <w:tabs>
          <w:tab w:val="num" w:pos="2160"/>
        </w:tabs>
        <w:ind w:left="2160" w:hanging="360"/>
      </w:pPr>
      <w:rPr>
        <w:rFonts w:ascii="Times New Roman" w:hAnsi="Times New Roman" w:hint="default"/>
      </w:rPr>
    </w:lvl>
    <w:lvl w:ilvl="3" w:tplc="E66E922C" w:tentative="1">
      <w:start w:val="1"/>
      <w:numFmt w:val="bullet"/>
      <w:lvlText w:val="•"/>
      <w:lvlJc w:val="left"/>
      <w:pPr>
        <w:tabs>
          <w:tab w:val="num" w:pos="2880"/>
        </w:tabs>
        <w:ind w:left="2880" w:hanging="360"/>
      </w:pPr>
      <w:rPr>
        <w:rFonts w:ascii="Times New Roman" w:hAnsi="Times New Roman" w:hint="default"/>
      </w:rPr>
    </w:lvl>
    <w:lvl w:ilvl="4" w:tplc="1CB0F0C2" w:tentative="1">
      <w:start w:val="1"/>
      <w:numFmt w:val="bullet"/>
      <w:lvlText w:val="•"/>
      <w:lvlJc w:val="left"/>
      <w:pPr>
        <w:tabs>
          <w:tab w:val="num" w:pos="3600"/>
        </w:tabs>
        <w:ind w:left="3600" w:hanging="360"/>
      </w:pPr>
      <w:rPr>
        <w:rFonts w:ascii="Times New Roman" w:hAnsi="Times New Roman" w:hint="default"/>
      </w:rPr>
    </w:lvl>
    <w:lvl w:ilvl="5" w:tplc="0644D5E4" w:tentative="1">
      <w:start w:val="1"/>
      <w:numFmt w:val="bullet"/>
      <w:lvlText w:val="•"/>
      <w:lvlJc w:val="left"/>
      <w:pPr>
        <w:tabs>
          <w:tab w:val="num" w:pos="4320"/>
        </w:tabs>
        <w:ind w:left="4320" w:hanging="360"/>
      </w:pPr>
      <w:rPr>
        <w:rFonts w:ascii="Times New Roman" w:hAnsi="Times New Roman" w:hint="default"/>
      </w:rPr>
    </w:lvl>
    <w:lvl w:ilvl="6" w:tplc="34D88C94" w:tentative="1">
      <w:start w:val="1"/>
      <w:numFmt w:val="bullet"/>
      <w:lvlText w:val="•"/>
      <w:lvlJc w:val="left"/>
      <w:pPr>
        <w:tabs>
          <w:tab w:val="num" w:pos="5040"/>
        </w:tabs>
        <w:ind w:left="5040" w:hanging="360"/>
      </w:pPr>
      <w:rPr>
        <w:rFonts w:ascii="Times New Roman" w:hAnsi="Times New Roman" w:hint="default"/>
      </w:rPr>
    </w:lvl>
    <w:lvl w:ilvl="7" w:tplc="768097BC" w:tentative="1">
      <w:start w:val="1"/>
      <w:numFmt w:val="bullet"/>
      <w:lvlText w:val="•"/>
      <w:lvlJc w:val="left"/>
      <w:pPr>
        <w:tabs>
          <w:tab w:val="num" w:pos="5760"/>
        </w:tabs>
        <w:ind w:left="5760" w:hanging="360"/>
      </w:pPr>
      <w:rPr>
        <w:rFonts w:ascii="Times New Roman" w:hAnsi="Times New Roman" w:hint="default"/>
      </w:rPr>
    </w:lvl>
    <w:lvl w:ilvl="8" w:tplc="ABAC5226" w:tentative="1">
      <w:start w:val="1"/>
      <w:numFmt w:val="bullet"/>
      <w:lvlText w:val="•"/>
      <w:lvlJc w:val="left"/>
      <w:pPr>
        <w:tabs>
          <w:tab w:val="num" w:pos="6480"/>
        </w:tabs>
        <w:ind w:left="6480" w:hanging="360"/>
      </w:pPr>
      <w:rPr>
        <w:rFonts w:ascii="Times New Roman" w:hAnsi="Times New Roman" w:hint="default"/>
      </w:rPr>
    </w:lvl>
  </w:abstractNum>
  <w:abstractNum w:abstractNumId="57">
    <w:nsid w:val="6E1438A4"/>
    <w:multiLevelType w:val="hybridMultilevel"/>
    <w:tmpl w:val="ED7C3E50"/>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nsid w:val="6E352444"/>
    <w:multiLevelType w:val="hybridMultilevel"/>
    <w:tmpl w:val="DC122494"/>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59">
    <w:nsid w:val="75FD47E4"/>
    <w:multiLevelType w:val="hybridMultilevel"/>
    <w:tmpl w:val="958E0C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nsid w:val="76626AAA"/>
    <w:multiLevelType w:val="hybridMultilevel"/>
    <w:tmpl w:val="897836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nsid w:val="7D65599D"/>
    <w:multiLevelType w:val="hybridMultilevel"/>
    <w:tmpl w:val="441E9C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7"/>
  </w:num>
  <w:num w:numId="2">
    <w:abstractNumId w:val="21"/>
  </w:num>
  <w:num w:numId="3">
    <w:abstractNumId w:val="29"/>
  </w:num>
  <w:num w:numId="4">
    <w:abstractNumId w:val="46"/>
  </w:num>
  <w:num w:numId="5">
    <w:abstractNumId w:val="4"/>
  </w:num>
  <w:num w:numId="6">
    <w:abstractNumId w:val="1"/>
  </w:num>
  <w:num w:numId="7">
    <w:abstractNumId w:val="0"/>
  </w:num>
  <w:num w:numId="8">
    <w:abstractNumId w:val="14"/>
  </w:num>
  <w:num w:numId="9">
    <w:abstractNumId w:val="40"/>
  </w:num>
  <w:num w:numId="10">
    <w:abstractNumId w:val="36"/>
  </w:num>
  <w:num w:numId="11">
    <w:abstractNumId w:val="48"/>
  </w:num>
  <w:num w:numId="12">
    <w:abstractNumId w:val="45"/>
  </w:num>
  <w:num w:numId="13">
    <w:abstractNumId w:val="23"/>
  </w:num>
  <w:num w:numId="14">
    <w:abstractNumId w:val="33"/>
  </w:num>
  <w:num w:numId="15">
    <w:abstractNumId w:val="61"/>
  </w:num>
  <w:num w:numId="16">
    <w:abstractNumId w:val="42"/>
  </w:num>
  <w:num w:numId="17">
    <w:abstractNumId w:val="13"/>
  </w:num>
  <w:num w:numId="18">
    <w:abstractNumId w:val="26"/>
  </w:num>
  <w:num w:numId="19">
    <w:abstractNumId w:val="39"/>
  </w:num>
  <w:num w:numId="20">
    <w:abstractNumId w:val="59"/>
  </w:num>
  <w:num w:numId="21">
    <w:abstractNumId w:val="35"/>
  </w:num>
  <w:num w:numId="22">
    <w:abstractNumId w:val="37"/>
  </w:num>
  <w:num w:numId="23">
    <w:abstractNumId w:val="60"/>
  </w:num>
  <w:num w:numId="24">
    <w:abstractNumId w:val="9"/>
  </w:num>
  <w:num w:numId="25">
    <w:abstractNumId w:val="49"/>
  </w:num>
  <w:num w:numId="26">
    <w:abstractNumId w:val="19"/>
  </w:num>
  <w:num w:numId="27">
    <w:abstractNumId w:val="15"/>
  </w:num>
  <w:num w:numId="28">
    <w:abstractNumId w:val="34"/>
  </w:num>
  <w:num w:numId="29">
    <w:abstractNumId w:val="31"/>
  </w:num>
  <w:num w:numId="30">
    <w:abstractNumId w:val="58"/>
  </w:num>
  <w:num w:numId="31">
    <w:abstractNumId w:val="3"/>
  </w:num>
  <w:num w:numId="32">
    <w:abstractNumId w:val="22"/>
  </w:num>
  <w:num w:numId="33">
    <w:abstractNumId w:val="10"/>
  </w:num>
  <w:num w:numId="34">
    <w:abstractNumId w:val="50"/>
  </w:num>
  <w:num w:numId="35">
    <w:abstractNumId w:val="38"/>
  </w:num>
  <w:num w:numId="36">
    <w:abstractNumId w:val="32"/>
  </w:num>
  <w:num w:numId="37">
    <w:abstractNumId w:val="47"/>
  </w:num>
  <w:num w:numId="38">
    <w:abstractNumId w:val="54"/>
  </w:num>
  <w:num w:numId="39">
    <w:abstractNumId w:val="5"/>
  </w:num>
  <w:num w:numId="40">
    <w:abstractNumId w:val="25"/>
  </w:num>
  <w:num w:numId="41">
    <w:abstractNumId w:val="7"/>
  </w:num>
  <w:num w:numId="42">
    <w:abstractNumId w:val="2"/>
  </w:num>
  <w:num w:numId="43">
    <w:abstractNumId w:val="28"/>
  </w:num>
  <w:num w:numId="44">
    <w:abstractNumId w:val="24"/>
  </w:num>
  <w:num w:numId="45">
    <w:abstractNumId w:val="41"/>
  </w:num>
  <w:num w:numId="46">
    <w:abstractNumId w:val="52"/>
  </w:num>
  <w:num w:numId="47">
    <w:abstractNumId w:val="53"/>
  </w:num>
  <w:num w:numId="48">
    <w:abstractNumId w:val="12"/>
  </w:num>
  <w:num w:numId="49">
    <w:abstractNumId w:val="27"/>
  </w:num>
  <w:num w:numId="50">
    <w:abstractNumId w:val="6"/>
  </w:num>
  <w:num w:numId="51">
    <w:abstractNumId w:val="55"/>
  </w:num>
  <w:num w:numId="52">
    <w:abstractNumId w:val="30"/>
  </w:num>
  <w:num w:numId="53">
    <w:abstractNumId w:val="43"/>
  </w:num>
  <w:num w:numId="54">
    <w:abstractNumId w:val="16"/>
  </w:num>
  <w:num w:numId="55">
    <w:abstractNumId w:val="8"/>
  </w:num>
  <w:num w:numId="56">
    <w:abstractNumId w:val="18"/>
  </w:num>
  <w:num w:numId="57">
    <w:abstractNumId w:val="11"/>
  </w:num>
  <w:num w:numId="58">
    <w:abstractNumId w:val="20"/>
  </w:num>
  <w:num w:numId="59">
    <w:abstractNumId w:val="51"/>
  </w:num>
  <w:num w:numId="60">
    <w:abstractNumId w:val="56"/>
  </w:num>
  <w:num w:numId="61">
    <w:abstractNumId w:val="57"/>
  </w:num>
  <w:num w:numId="62">
    <w:abstractNumId w:val="44"/>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8"/>
  <w:revisionView w:markup="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Numbere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wazxt5z5d50z29ewex8xaasdd02vw2waeed0&quot;&gt;My EndNote Library&lt;record-ids&gt;&lt;item&gt;1&lt;/item&gt;&lt;item&gt;2&lt;/item&gt;&lt;item&gt;3&lt;/item&gt;&lt;item&gt;7&lt;/item&gt;&lt;item&gt;8&lt;/item&gt;&lt;item&gt;25&lt;/item&gt;&lt;item&gt;29&lt;/item&gt;&lt;item&gt;30&lt;/item&gt;&lt;item&gt;31&lt;/item&gt;&lt;item&gt;32&lt;/item&gt;&lt;item&gt;33&lt;/item&gt;&lt;item&gt;34&lt;/item&gt;&lt;item&gt;35&lt;/item&gt;&lt;item&gt;36&lt;/item&gt;&lt;item&gt;37&lt;/item&gt;&lt;/record-ids&gt;&lt;/item&gt;&lt;/Libraries&gt;"/>
  </w:docVars>
  <w:rsids>
    <w:rsidRoot w:val="00B964A7"/>
    <w:rsid w:val="00001460"/>
    <w:rsid w:val="000014CD"/>
    <w:rsid w:val="00002EA5"/>
    <w:rsid w:val="000030B2"/>
    <w:rsid w:val="00012E98"/>
    <w:rsid w:val="000173B4"/>
    <w:rsid w:val="0001780E"/>
    <w:rsid w:val="00017DEC"/>
    <w:rsid w:val="00022F00"/>
    <w:rsid w:val="00023ABF"/>
    <w:rsid w:val="0002575A"/>
    <w:rsid w:val="000268E1"/>
    <w:rsid w:val="00026F9E"/>
    <w:rsid w:val="0002718A"/>
    <w:rsid w:val="00027E2D"/>
    <w:rsid w:val="00032596"/>
    <w:rsid w:val="00033460"/>
    <w:rsid w:val="00034933"/>
    <w:rsid w:val="00040D97"/>
    <w:rsid w:val="000431BB"/>
    <w:rsid w:val="00043C95"/>
    <w:rsid w:val="00044440"/>
    <w:rsid w:val="00046EC9"/>
    <w:rsid w:val="000506C9"/>
    <w:rsid w:val="00054774"/>
    <w:rsid w:val="00054F12"/>
    <w:rsid w:val="00060F5D"/>
    <w:rsid w:val="00064555"/>
    <w:rsid w:val="00065239"/>
    <w:rsid w:val="00070CA5"/>
    <w:rsid w:val="00072AD0"/>
    <w:rsid w:val="00072F0A"/>
    <w:rsid w:val="00073C4A"/>
    <w:rsid w:val="00080B6D"/>
    <w:rsid w:val="000866FF"/>
    <w:rsid w:val="00087BCF"/>
    <w:rsid w:val="000904BA"/>
    <w:rsid w:val="00091E13"/>
    <w:rsid w:val="000A2CEC"/>
    <w:rsid w:val="000A473F"/>
    <w:rsid w:val="000A5642"/>
    <w:rsid w:val="000A6145"/>
    <w:rsid w:val="000A6F71"/>
    <w:rsid w:val="000A7D4B"/>
    <w:rsid w:val="000B42A7"/>
    <w:rsid w:val="000B6F14"/>
    <w:rsid w:val="000C16DA"/>
    <w:rsid w:val="000C1D19"/>
    <w:rsid w:val="000C5469"/>
    <w:rsid w:val="000C60EC"/>
    <w:rsid w:val="000C7618"/>
    <w:rsid w:val="000D060A"/>
    <w:rsid w:val="000D2B56"/>
    <w:rsid w:val="000D3CEC"/>
    <w:rsid w:val="000D4208"/>
    <w:rsid w:val="000D6DEF"/>
    <w:rsid w:val="000E0A40"/>
    <w:rsid w:val="000E554F"/>
    <w:rsid w:val="000E65BF"/>
    <w:rsid w:val="000E716E"/>
    <w:rsid w:val="000E7D9F"/>
    <w:rsid w:val="000F0898"/>
    <w:rsid w:val="000F6503"/>
    <w:rsid w:val="000F6DB7"/>
    <w:rsid w:val="00101815"/>
    <w:rsid w:val="00101DDF"/>
    <w:rsid w:val="00102303"/>
    <w:rsid w:val="001033B6"/>
    <w:rsid w:val="00105121"/>
    <w:rsid w:val="00107AEB"/>
    <w:rsid w:val="0011031B"/>
    <w:rsid w:val="00114E14"/>
    <w:rsid w:val="00116DB6"/>
    <w:rsid w:val="001177ED"/>
    <w:rsid w:val="00121D84"/>
    <w:rsid w:val="00122AD1"/>
    <w:rsid w:val="00122D42"/>
    <w:rsid w:val="00123BB0"/>
    <w:rsid w:val="001244AD"/>
    <w:rsid w:val="00125151"/>
    <w:rsid w:val="00127972"/>
    <w:rsid w:val="00127B76"/>
    <w:rsid w:val="00130BC5"/>
    <w:rsid w:val="00130CB2"/>
    <w:rsid w:val="00131156"/>
    <w:rsid w:val="00132291"/>
    <w:rsid w:val="0013354B"/>
    <w:rsid w:val="00133D53"/>
    <w:rsid w:val="0013468E"/>
    <w:rsid w:val="00142AD8"/>
    <w:rsid w:val="001435FE"/>
    <w:rsid w:val="00145F1E"/>
    <w:rsid w:val="001461B0"/>
    <w:rsid w:val="001463E4"/>
    <w:rsid w:val="00146DAB"/>
    <w:rsid w:val="00151AFF"/>
    <w:rsid w:val="001545A3"/>
    <w:rsid w:val="00156990"/>
    <w:rsid w:val="00160024"/>
    <w:rsid w:val="001623C8"/>
    <w:rsid w:val="001628FA"/>
    <w:rsid w:val="00162F2C"/>
    <w:rsid w:val="001641B8"/>
    <w:rsid w:val="001652CB"/>
    <w:rsid w:val="00167C89"/>
    <w:rsid w:val="001715DD"/>
    <w:rsid w:val="00172CD0"/>
    <w:rsid w:val="00181D3F"/>
    <w:rsid w:val="00182A39"/>
    <w:rsid w:val="0018531C"/>
    <w:rsid w:val="00191216"/>
    <w:rsid w:val="00191B5A"/>
    <w:rsid w:val="00192A2D"/>
    <w:rsid w:val="00194C0A"/>
    <w:rsid w:val="00194C9D"/>
    <w:rsid w:val="0019592C"/>
    <w:rsid w:val="00197AA2"/>
    <w:rsid w:val="001A1628"/>
    <w:rsid w:val="001A21EA"/>
    <w:rsid w:val="001A2840"/>
    <w:rsid w:val="001B25AD"/>
    <w:rsid w:val="001B2910"/>
    <w:rsid w:val="001B2BEB"/>
    <w:rsid w:val="001C0C9D"/>
    <w:rsid w:val="001C1826"/>
    <w:rsid w:val="001C1FAF"/>
    <w:rsid w:val="001C335A"/>
    <w:rsid w:val="001C4D05"/>
    <w:rsid w:val="001C64C4"/>
    <w:rsid w:val="001C6F79"/>
    <w:rsid w:val="001D0308"/>
    <w:rsid w:val="001D0454"/>
    <w:rsid w:val="001D10E6"/>
    <w:rsid w:val="001D6DA4"/>
    <w:rsid w:val="001E2272"/>
    <w:rsid w:val="001E35C2"/>
    <w:rsid w:val="001E5A87"/>
    <w:rsid w:val="001F14F1"/>
    <w:rsid w:val="001F1FE8"/>
    <w:rsid w:val="001F629E"/>
    <w:rsid w:val="001F6CAA"/>
    <w:rsid w:val="001F7422"/>
    <w:rsid w:val="00201B3F"/>
    <w:rsid w:val="00204CF6"/>
    <w:rsid w:val="00204D35"/>
    <w:rsid w:val="00204E82"/>
    <w:rsid w:val="00205AC8"/>
    <w:rsid w:val="0020750A"/>
    <w:rsid w:val="002075A4"/>
    <w:rsid w:val="00210326"/>
    <w:rsid w:val="002109EC"/>
    <w:rsid w:val="002125EF"/>
    <w:rsid w:val="0021328B"/>
    <w:rsid w:val="00213A5E"/>
    <w:rsid w:val="002145E6"/>
    <w:rsid w:val="00214CFD"/>
    <w:rsid w:val="0023038F"/>
    <w:rsid w:val="00234939"/>
    <w:rsid w:val="00236B38"/>
    <w:rsid w:val="00243226"/>
    <w:rsid w:val="00246AEA"/>
    <w:rsid w:val="00247A55"/>
    <w:rsid w:val="00250D2C"/>
    <w:rsid w:val="002519B8"/>
    <w:rsid w:val="002536CB"/>
    <w:rsid w:val="00253747"/>
    <w:rsid w:val="00254E31"/>
    <w:rsid w:val="00256889"/>
    <w:rsid w:val="00257BFC"/>
    <w:rsid w:val="00260CB2"/>
    <w:rsid w:val="00261911"/>
    <w:rsid w:val="002634CC"/>
    <w:rsid w:val="00263AFA"/>
    <w:rsid w:val="002650F3"/>
    <w:rsid w:val="002660F1"/>
    <w:rsid w:val="00271DBC"/>
    <w:rsid w:val="00273997"/>
    <w:rsid w:val="002745F7"/>
    <w:rsid w:val="00276925"/>
    <w:rsid w:val="00277F8E"/>
    <w:rsid w:val="002803DB"/>
    <w:rsid w:val="002806BE"/>
    <w:rsid w:val="0028361A"/>
    <w:rsid w:val="00284E08"/>
    <w:rsid w:val="00284E9A"/>
    <w:rsid w:val="00286160"/>
    <w:rsid w:val="0028619E"/>
    <w:rsid w:val="0028780E"/>
    <w:rsid w:val="00287D2F"/>
    <w:rsid w:val="002A04CA"/>
    <w:rsid w:val="002A3769"/>
    <w:rsid w:val="002A394A"/>
    <w:rsid w:val="002A40E8"/>
    <w:rsid w:val="002A44B4"/>
    <w:rsid w:val="002A4AED"/>
    <w:rsid w:val="002A5CED"/>
    <w:rsid w:val="002A5E0A"/>
    <w:rsid w:val="002A7B32"/>
    <w:rsid w:val="002B16DC"/>
    <w:rsid w:val="002B3A78"/>
    <w:rsid w:val="002B3FAF"/>
    <w:rsid w:val="002B46F9"/>
    <w:rsid w:val="002B4815"/>
    <w:rsid w:val="002B6357"/>
    <w:rsid w:val="002C01D4"/>
    <w:rsid w:val="002C0D28"/>
    <w:rsid w:val="002C7457"/>
    <w:rsid w:val="002D03D6"/>
    <w:rsid w:val="002D1177"/>
    <w:rsid w:val="002D280A"/>
    <w:rsid w:val="002D2F66"/>
    <w:rsid w:val="002D311A"/>
    <w:rsid w:val="002D3F16"/>
    <w:rsid w:val="002D42D9"/>
    <w:rsid w:val="002D5A4C"/>
    <w:rsid w:val="002D68F0"/>
    <w:rsid w:val="002D7824"/>
    <w:rsid w:val="002E0FDB"/>
    <w:rsid w:val="002E45F7"/>
    <w:rsid w:val="002E584D"/>
    <w:rsid w:val="002F1C2F"/>
    <w:rsid w:val="002F264E"/>
    <w:rsid w:val="002F433B"/>
    <w:rsid w:val="002F5285"/>
    <w:rsid w:val="002F7255"/>
    <w:rsid w:val="00302647"/>
    <w:rsid w:val="00302C01"/>
    <w:rsid w:val="003053C2"/>
    <w:rsid w:val="003062C7"/>
    <w:rsid w:val="00306FE5"/>
    <w:rsid w:val="00311674"/>
    <w:rsid w:val="00311C1A"/>
    <w:rsid w:val="0031452D"/>
    <w:rsid w:val="00314A72"/>
    <w:rsid w:val="0032134B"/>
    <w:rsid w:val="00323614"/>
    <w:rsid w:val="003238C1"/>
    <w:rsid w:val="00324FCA"/>
    <w:rsid w:val="00325A6E"/>
    <w:rsid w:val="003272D4"/>
    <w:rsid w:val="00327C34"/>
    <w:rsid w:val="00327E35"/>
    <w:rsid w:val="0033241F"/>
    <w:rsid w:val="003353E3"/>
    <w:rsid w:val="00337013"/>
    <w:rsid w:val="00340103"/>
    <w:rsid w:val="00340C00"/>
    <w:rsid w:val="003418C5"/>
    <w:rsid w:val="00343C9E"/>
    <w:rsid w:val="003448DB"/>
    <w:rsid w:val="00350EFF"/>
    <w:rsid w:val="003524BD"/>
    <w:rsid w:val="00354E9E"/>
    <w:rsid w:val="00354EEB"/>
    <w:rsid w:val="003635FF"/>
    <w:rsid w:val="00366165"/>
    <w:rsid w:val="00366A51"/>
    <w:rsid w:val="00366F65"/>
    <w:rsid w:val="00367D01"/>
    <w:rsid w:val="0037155B"/>
    <w:rsid w:val="00371C1C"/>
    <w:rsid w:val="00381596"/>
    <w:rsid w:val="00383F01"/>
    <w:rsid w:val="00384231"/>
    <w:rsid w:val="00384CCD"/>
    <w:rsid w:val="00385B9F"/>
    <w:rsid w:val="0038729E"/>
    <w:rsid w:val="00387C15"/>
    <w:rsid w:val="00387D11"/>
    <w:rsid w:val="00391530"/>
    <w:rsid w:val="003920DB"/>
    <w:rsid w:val="00392C26"/>
    <w:rsid w:val="0039353B"/>
    <w:rsid w:val="003937BF"/>
    <w:rsid w:val="00395623"/>
    <w:rsid w:val="0039749F"/>
    <w:rsid w:val="003A2AB7"/>
    <w:rsid w:val="003A304E"/>
    <w:rsid w:val="003A4309"/>
    <w:rsid w:val="003A5512"/>
    <w:rsid w:val="003B0713"/>
    <w:rsid w:val="003B0AD4"/>
    <w:rsid w:val="003B0BC6"/>
    <w:rsid w:val="003B1C56"/>
    <w:rsid w:val="003B3B0B"/>
    <w:rsid w:val="003B46EC"/>
    <w:rsid w:val="003B4AF1"/>
    <w:rsid w:val="003B6443"/>
    <w:rsid w:val="003B68D4"/>
    <w:rsid w:val="003B7D2E"/>
    <w:rsid w:val="003C1A7B"/>
    <w:rsid w:val="003C274B"/>
    <w:rsid w:val="003C29DA"/>
    <w:rsid w:val="003C2E09"/>
    <w:rsid w:val="003C3DBF"/>
    <w:rsid w:val="003D16B4"/>
    <w:rsid w:val="003D4740"/>
    <w:rsid w:val="003D59BC"/>
    <w:rsid w:val="003E04D0"/>
    <w:rsid w:val="003E1FF5"/>
    <w:rsid w:val="003E77C3"/>
    <w:rsid w:val="003F12F1"/>
    <w:rsid w:val="003F2BF3"/>
    <w:rsid w:val="003F2FFE"/>
    <w:rsid w:val="003F4B1F"/>
    <w:rsid w:val="003F648A"/>
    <w:rsid w:val="003F64ED"/>
    <w:rsid w:val="003F677B"/>
    <w:rsid w:val="003F7A8B"/>
    <w:rsid w:val="003F7CFB"/>
    <w:rsid w:val="0040516E"/>
    <w:rsid w:val="004052B8"/>
    <w:rsid w:val="004064CE"/>
    <w:rsid w:val="00407B8D"/>
    <w:rsid w:val="00411396"/>
    <w:rsid w:val="004124E3"/>
    <w:rsid w:val="004126C4"/>
    <w:rsid w:val="00415627"/>
    <w:rsid w:val="004157A8"/>
    <w:rsid w:val="004234A3"/>
    <w:rsid w:val="00424E35"/>
    <w:rsid w:val="00424E8D"/>
    <w:rsid w:val="004259FC"/>
    <w:rsid w:val="00431234"/>
    <w:rsid w:val="0043171F"/>
    <w:rsid w:val="0043509D"/>
    <w:rsid w:val="004451AB"/>
    <w:rsid w:val="00445621"/>
    <w:rsid w:val="0044599E"/>
    <w:rsid w:val="00446E96"/>
    <w:rsid w:val="004474B2"/>
    <w:rsid w:val="00447936"/>
    <w:rsid w:val="00452AAF"/>
    <w:rsid w:val="00453096"/>
    <w:rsid w:val="00453310"/>
    <w:rsid w:val="00453801"/>
    <w:rsid w:val="00454232"/>
    <w:rsid w:val="00456012"/>
    <w:rsid w:val="0046049A"/>
    <w:rsid w:val="0046050F"/>
    <w:rsid w:val="004621DA"/>
    <w:rsid w:val="00463988"/>
    <w:rsid w:val="0047149E"/>
    <w:rsid w:val="00471872"/>
    <w:rsid w:val="00471BF5"/>
    <w:rsid w:val="00472C5F"/>
    <w:rsid w:val="00474436"/>
    <w:rsid w:val="00475AAF"/>
    <w:rsid w:val="00484901"/>
    <w:rsid w:val="00486ABE"/>
    <w:rsid w:val="0048784D"/>
    <w:rsid w:val="00487916"/>
    <w:rsid w:val="00493016"/>
    <w:rsid w:val="00494CE2"/>
    <w:rsid w:val="004971DD"/>
    <w:rsid w:val="004A2CD8"/>
    <w:rsid w:val="004A4577"/>
    <w:rsid w:val="004A63F5"/>
    <w:rsid w:val="004A685B"/>
    <w:rsid w:val="004A6B14"/>
    <w:rsid w:val="004A6D84"/>
    <w:rsid w:val="004B0427"/>
    <w:rsid w:val="004B3CB5"/>
    <w:rsid w:val="004B75E6"/>
    <w:rsid w:val="004C1519"/>
    <w:rsid w:val="004C24A8"/>
    <w:rsid w:val="004C2F96"/>
    <w:rsid w:val="004C558C"/>
    <w:rsid w:val="004C6E0B"/>
    <w:rsid w:val="004D04A3"/>
    <w:rsid w:val="004D1250"/>
    <w:rsid w:val="004D4907"/>
    <w:rsid w:val="004D4D79"/>
    <w:rsid w:val="004D6C73"/>
    <w:rsid w:val="004D6FD7"/>
    <w:rsid w:val="004D748F"/>
    <w:rsid w:val="004D7FB5"/>
    <w:rsid w:val="004E0706"/>
    <w:rsid w:val="004E326E"/>
    <w:rsid w:val="004E3463"/>
    <w:rsid w:val="004E4C06"/>
    <w:rsid w:val="004E4E1B"/>
    <w:rsid w:val="004E6331"/>
    <w:rsid w:val="004F0787"/>
    <w:rsid w:val="004F1E51"/>
    <w:rsid w:val="004F259F"/>
    <w:rsid w:val="004F401A"/>
    <w:rsid w:val="004F48FB"/>
    <w:rsid w:val="004F5150"/>
    <w:rsid w:val="004F54D7"/>
    <w:rsid w:val="004F6B4A"/>
    <w:rsid w:val="005023F8"/>
    <w:rsid w:val="0050424F"/>
    <w:rsid w:val="00504616"/>
    <w:rsid w:val="00504750"/>
    <w:rsid w:val="00504C6A"/>
    <w:rsid w:val="0051108B"/>
    <w:rsid w:val="00512E77"/>
    <w:rsid w:val="00513ECC"/>
    <w:rsid w:val="005173E6"/>
    <w:rsid w:val="005221CB"/>
    <w:rsid w:val="005226B4"/>
    <w:rsid w:val="00522DE4"/>
    <w:rsid w:val="005246C4"/>
    <w:rsid w:val="005278D9"/>
    <w:rsid w:val="0053118D"/>
    <w:rsid w:val="00532643"/>
    <w:rsid w:val="0053380E"/>
    <w:rsid w:val="00534345"/>
    <w:rsid w:val="005344CC"/>
    <w:rsid w:val="00535FA5"/>
    <w:rsid w:val="00542A75"/>
    <w:rsid w:val="0054450F"/>
    <w:rsid w:val="005450C2"/>
    <w:rsid w:val="0055057B"/>
    <w:rsid w:val="005608EB"/>
    <w:rsid w:val="00560C0D"/>
    <w:rsid w:val="005655AA"/>
    <w:rsid w:val="00565CAE"/>
    <w:rsid w:val="00566FE3"/>
    <w:rsid w:val="00567A49"/>
    <w:rsid w:val="0057092F"/>
    <w:rsid w:val="00571475"/>
    <w:rsid w:val="005738A7"/>
    <w:rsid w:val="00573F36"/>
    <w:rsid w:val="00574EDB"/>
    <w:rsid w:val="00575BA0"/>
    <w:rsid w:val="005772FC"/>
    <w:rsid w:val="00581726"/>
    <w:rsid w:val="00590E79"/>
    <w:rsid w:val="0059294B"/>
    <w:rsid w:val="005931B1"/>
    <w:rsid w:val="00593B0C"/>
    <w:rsid w:val="00594400"/>
    <w:rsid w:val="005949D7"/>
    <w:rsid w:val="005A10FC"/>
    <w:rsid w:val="005A1837"/>
    <w:rsid w:val="005A49E9"/>
    <w:rsid w:val="005A548C"/>
    <w:rsid w:val="005A5703"/>
    <w:rsid w:val="005B21D8"/>
    <w:rsid w:val="005B37AD"/>
    <w:rsid w:val="005B4CAD"/>
    <w:rsid w:val="005B5348"/>
    <w:rsid w:val="005B78AB"/>
    <w:rsid w:val="005C0082"/>
    <w:rsid w:val="005C0085"/>
    <w:rsid w:val="005C1248"/>
    <w:rsid w:val="005C1512"/>
    <w:rsid w:val="005C1BD2"/>
    <w:rsid w:val="005C303C"/>
    <w:rsid w:val="005C5DB9"/>
    <w:rsid w:val="005D01BE"/>
    <w:rsid w:val="005D2328"/>
    <w:rsid w:val="005D2FCB"/>
    <w:rsid w:val="005D6CC7"/>
    <w:rsid w:val="005E48C2"/>
    <w:rsid w:val="005F28EE"/>
    <w:rsid w:val="005F304A"/>
    <w:rsid w:val="005F31AE"/>
    <w:rsid w:val="005F6105"/>
    <w:rsid w:val="005F6542"/>
    <w:rsid w:val="005F71F4"/>
    <w:rsid w:val="00601450"/>
    <w:rsid w:val="0060181D"/>
    <w:rsid w:val="00602293"/>
    <w:rsid w:val="006036CD"/>
    <w:rsid w:val="006107BE"/>
    <w:rsid w:val="00610DAD"/>
    <w:rsid w:val="006110B4"/>
    <w:rsid w:val="006157B7"/>
    <w:rsid w:val="00615CAE"/>
    <w:rsid w:val="006176F8"/>
    <w:rsid w:val="00622061"/>
    <w:rsid w:val="006307F3"/>
    <w:rsid w:val="00630EFC"/>
    <w:rsid w:val="00631CD8"/>
    <w:rsid w:val="0063399A"/>
    <w:rsid w:val="006349EB"/>
    <w:rsid w:val="0063536B"/>
    <w:rsid w:val="00635465"/>
    <w:rsid w:val="00636988"/>
    <w:rsid w:val="00637A21"/>
    <w:rsid w:val="00637DC7"/>
    <w:rsid w:val="00640813"/>
    <w:rsid w:val="006467E2"/>
    <w:rsid w:val="00653162"/>
    <w:rsid w:val="006540AE"/>
    <w:rsid w:val="006552F1"/>
    <w:rsid w:val="00656A9A"/>
    <w:rsid w:val="00657803"/>
    <w:rsid w:val="006618F4"/>
    <w:rsid w:val="00663543"/>
    <w:rsid w:val="00663842"/>
    <w:rsid w:val="00664C10"/>
    <w:rsid w:val="00667817"/>
    <w:rsid w:val="00667FBA"/>
    <w:rsid w:val="0067164A"/>
    <w:rsid w:val="00671827"/>
    <w:rsid w:val="00672236"/>
    <w:rsid w:val="00673B0B"/>
    <w:rsid w:val="006741E6"/>
    <w:rsid w:val="006756B7"/>
    <w:rsid w:val="00682014"/>
    <w:rsid w:val="00682366"/>
    <w:rsid w:val="00682D13"/>
    <w:rsid w:val="00684775"/>
    <w:rsid w:val="006861D5"/>
    <w:rsid w:val="00690482"/>
    <w:rsid w:val="006926D9"/>
    <w:rsid w:val="00693D1E"/>
    <w:rsid w:val="00693F2E"/>
    <w:rsid w:val="00694AC6"/>
    <w:rsid w:val="006957DC"/>
    <w:rsid w:val="00696C62"/>
    <w:rsid w:val="00697B58"/>
    <w:rsid w:val="006A21E1"/>
    <w:rsid w:val="006A452F"/>
    <w:rsid w:val="006A5A20"/>
    <w:rsid w:val="006A5B22"/>
    <w:rsid w:val="006A6A7F"/>
    <w:rsid w:val="006A78A6"/>
    <w:rsid w:val="006B1847"/>
    <w:rsid w:val="006B3840"/>
    <w:rsid w:val="006B7A88"/>
    <w:rsid w:val="006C4468"/>
    <w:rsid w:val="006C626A"/>
    <w:rsid w:val="006C6959"/>
    <w:rsid w:val="006C7168"/>
    <w:rsid w:val="006D1751"/>
    <w:rsid w:val="006D265C"/>
    <w:rsid w:val="006D43A3"/>
    <w:rsid w:val="006D4BE4"/>
    <w:rsid w:val="006D5D74"/>
    <w:rsid w:val="006D7790"/>
    <w:rsid w:val="006E08C9"/>
    <w:rsid w:val="006E1733"/>
    <w:rsid w:val="006E1929"/>
    <w:rsid w:val="006E34C3"/>
    <w:rsid w:val="006E619A"/>
    <w:rsid w:val="006F09C0"/>
    <w:rsid w:val="006F0DD5"/>
    <w:rsid w:val="006F2C27"/>
    <w:rsid w:val="006F60C3"/>
    <w:rsid w:val="007059AD"/>
    <w:rsid w:val="00705FEF"/>
    <w:rsid w:val="007134C9"/>
    <w:rsid w:val="0071393F"/>
    <w:rsid w:val="0071586E"/>
    <w:rsid w:val="0071652C"/>
    <w:rsid w:val="00717C21"/>
    <w:rsid w:val="0072065E"/>
    <w:rsid w:val="007236B2"/>
    <w:rsid w:val="00725162"/>
    <w:rsid w:val="0072531D"/>
    <w:rsid w:val="0072659F"/>
    <w:rsid w:val="007270E8"/>
    <w:rsid w:val="00727CE7"/>
    <w:rsid w:val="00732917"/>
    <w:rsid w:val="00732E6D"/>
    <w:rsid w:val="00734CA2"/>
    <w:rsid w:val="00734E09"/>
    <w:rsid w:val="00740146"/>
    <w:rsid w:val="00740394"/>
    <w:rsid w:val="007420D8"/>
    <w:rsid w:val="00743A37"/>
    <w:rsid w:val="007442DD"/>
    <w:rsid w:val="00747906"/>
    <w:rsid w:val="00751098"/>
    <w:rsid w:val="0075732E"/>
    <w:rsid w:val="0075759F"/>
    <w:rsid w:val="0075789E"/>
    <w:rsid w:val="00760354"/>
    <w:rsid w:val="00762E53"/>
    <w:rsid w:val="00764F4A"/>
    <w:rsid w:val="007652DB"/>
    <w:rsid w:val="007661FC"/>
    <w:rsid w:val="00767C9E"/>
    <w:rsid w:val="007714A9"/>
    <w:rsid w:val="00772BFD"/>
    <w:rsid w:val="0077504E"/>
    <w:rsid w:val="00775289"/>
    <w:rsid w:val="0077691B"/>
    <w:rsid w:val="007779F6"/>
    <w:rsid w:val="00777EE4"/>
    <w:rsid w:val="00782286"/>
    <w:rsid w:val="00784023"/>
    <w:rsid w:val="00785EA8"/>
    <w:rsid w:val="007864C9"/>
    <w:rsid w:val="007867F6"/>
    <w:rsid w:val="007912C5"/>
    <w:rsid w:val="00793393"/>
    <w:rsid w:val="00794A94"/>
    <w:rsid w:val="0079614E"/>
    <w:rsid w:val="007A0101"/>
    <w:rsid w:val="007A1017"/>
    <w:rsid w:val="007A1252"/>
    <w:rsid w:val="007A3169"/>
    <w:rsid w:val="007A370B"/>
    <w:rsid w:val="007A39A7"/>
    <w:rsid w:val="007A4649"/>
    <w:rsid w:val="007B06CB"/>
    <w:rsid w:val="007B334E"/>
    <w:rsid w:val="007B6795"/>
    <w:rsid w:val="007B7319"/>
    <w:rsid w:val="007C3C2C"/>
    <w:rsid w:val="007C4477"/>
    <w:rsid w:val="007C4492"/>
    <w:rsid w:val="007C5FFB"/>
    <w:rsid w:val="007C76C1"/>
    <w:rsid w:val="007C79CB"/>
    <w:rsid w:val="007D10A3"/>
    <w:rsid w:val="007D22BF"/>
    <w:rsid w:val="007D5902"/>
    <w:rsid w:val="007D5939"/>
    <w:rsid w:val="007D5B91"/>
    <w:rsid w:val="007D69FE"/>
    <w:rsid w:val="007D7F84"/>
    <w:rsid w:val="007E147A"/>
    <w:rsid w:val="007E3F7C"/>
    <w:rsid w:val="007E62A5"/>
    <w:rsid w:val="007F485D"/>
    <w:rsid w:val="007F65F7"/>
    <w:rsid w:val="007F6C8A"/>
    <w:rsid w:val="007F77E0"/>
    <w:rsid w:val="008023A8"/>
    <w:rsid w:val="008030EC"/>
    <w:rsid w:val="00803EC9"/>
    <w:rsid w:val="0080615F"/>
    <w:rsid w:val="00806D6A"/>
    <w:rsid w:val="0081331B"/>
    <w:rsid w:val="00814EB4"/>
    <w:rsid w:val="00815749"/>
    <w:rsid w:val="00817F76"/>
    <w:rsid w:val="00820912"/>
    <w:rsid w:val="008215AD"/>
    <w:rsid w:val="00821D92"/>
    <w:rsid w:val="008220BE"/>
    <w:rsid w:val="0082381B"/>
    <w:rsid w:val="008248A8"/>
    <w:rsid w:val="008302AF"/>
    <w:rsid w:val="00831168"/>
    <w:rsid w:val="00833FD7"/>
    <w:rsid w:val="00837983"/>
    <w:rsid w:val="008431BD"/>
    <w:rsid w:val="008462C6"/>
    <w:rsid w:val="008562D0"/>
    <w:rsid w:val="008567E3"/>
    <w:rsid w:val="00857325"/>
    <w:rsid w:val="00857854"/>
    <w:rsid w:val="00857C5E"/>
    <w:rsid w:val="00857F6E"/>
    <w:rsid w:val="00862786"/>
    <w:rsid w:val="00862899"/>
    <w:rsid w:val="00862C14"/>
    <w:rsid w:val="008725CE"/>
    <w:rsid w:val="00873DE6"/>
    <w:rsid w:val="008742BD"/>
    <w:rsid w:val="008742E8"/>
    <w:rsid w:val="0087457A"/>
    <w:rsid w:val="0087545F"/>
    <w:rsid w:val="00875CC6"/>
    <w:rsid w:val="00875EE8"/>
    <w:rsid w:val="00876AFA"/>
    <w:rsid w:val="00876C93"/>
    <w:rsid w:val="00881FB0"/>
    <w:rsid w:val="00885A7D"/>
    <w:rsid w:val="00892CDC"/>
    <w:rsid w:val="00895927"/>
    <w:rsid w:val="00895C3F"/>
    <w:rsid w:val="008969C9"/>
    <w:rsid w:val="00897442"/>
    <w:rsid w:val="008A067D"/>
    <w:rsid w:val="008A3339"/>
    <w:rsid w:val="008A5085"/>
    <w:rsid w:val="008B031D"/>
    <w:rsid w:val="008B239E"/>
    <w:rsid w:val="008B33A3"/>
    <w:rsid w:val="008B43EA"/>
    <w:rsid w:val="008B6052"/>
    <w:rsid w:val="008B7DFB"/>
    <w:rsid w:val="008C14D7"/>
    <w:rsid w:val="008C267D"/>
    <w:rsid w:val="008C3844"/>
    <w:rsid w:val="008C524B"/>
    <w:rsid w:val="008C537C"/>
    <w:rsid w:val="008C76F9"/>
    <w:rsid w:val="008D01AB"/>
    <w:rsid w:val="008D4074"/>
    <w:rsid w:val="008E27E7"/>
    <w:rsid w:val="008E54A6"/>
    <w:rsid w:val="008E5857"/>
    <w:rsid w:val="008E65D1"/>
    <w:rsid w:val="008F0405"/>
    <w:rsid w:val="008F3436"/>
    <w:rsid w:val="008F53E4"/>
    <w:rsid w:val="009011C8"/>
    <w:rsid w:val="0090209B"/>
    <w:rsid w:val="00905799"/>
    <w:rsid w:val="00907467"/>
    <w:rsid w:val="00907BF8"/>
    <w:rsid w:val="00913E4A"/>
    <w:rsid w:val="0091418B"/>
    <w:rsid w:val="0091550A"/>
    <w:rsid w:val="009158A8"/>
    <w:rsid w:val="009166F9"/>
    <w:rsid w:val="00920476"/>
    <w:rsid w:val="00920B78"/>
    <w:rsid w:val="00921730"/>
    <w:rsid w:val="009221B2"/>
    <w:rsid w:val="0092535E"/>
    <w:rsid w:val="009262FE"/>
    <w:rsid w:val="009310B7"/>
    <w:rsid w:val="009310EE"/>
    <w:rsid w:val="00932FC8"/>
    <w:rsid w:val="009338E6"/>
    <w:rsid w:val="0093456D"/>
    <w:rsid w:val="00936F4A"/>
    <w:rsid w:val="009370B9"/>
    <w:rsid w:val="0093752F"/>
    <w:rsid w:val="00941536"/>
    <w:rsid w:val="00945F35"/>
    <w:rsid w:val="009520DE"/>
    <w:rsid w:val="00953D04"/>
    <w:rsid w:val="00954B6F"/>
    <w:rsid w:val="00961DD7"/>
    <w:rsid w:val="00962AA9"/>
    <w:rsid w:val="009636F1"/>
    <w:rsid w:val="009638E0"/>
    <w:rsid w:val="00966016"/>
    <w:rsid w:val="009669BD"/>
    <w:rsid w:val="0097109E"/>
    <w:rsid w:val="00971484"/>
    <w:rsid w:val="0097197E"/>
    <w:rsid w:val="00974DAC"/>
    <w:rsid w:val="00977C45"/>
    <w:rsid w:val="00980B79"/>
    <w:rsid w:val="00982BC5"/>
    <w:rsid w:val="00987271"/>
    <w:rsid w:val="00993C8B"/>
    <w:rsid w:val="00994A0D"/>
    <w:rsid w:val="00994A25"/>
    <w:rsid w:val="009951A9"/>
    <w:rsid w:val="00996BBA"/>
    <w:rsid w:val="009A1E7D"/>
    <w:rsid w:val="009A38B3"/>
    <w:rsid w:val="009A61B4"/>
    <w:rsid w:val="009A6CB3"/>
    <w:rsid w:val="009A6D42"/>
    <w:rsid w:val="009A7B86"/>
    <w:rsid w:val="009B06EF"/>
    <w:rsid w:val="009B07BC"/>
    <w:rsid w:val="009B12A6"/>
    <w:rsid w:val="009B2D90"/>
    <w:rsid w:val="009C0301"/>
    <w:rsid w:val="009C0DFA"/>
    <w:rsid w:val="009C75B9"/>
    <w:rsid w:val="009D0410"/>
    <w:rsid w:val="009D1728"/>
    <w:rsid w:val="009D4337"/>
    <w:rsid w:val="009E18FD"/>
    <w:rsid w:val="009E218B"/>
    <w:rsid w:val="009E227C"/>
    <w:rsid w:val="009E3D46"/>
    <w:rsid w:val="009E4F37"/>
    <w:rsid w:val="009E5F30"/>
    <w:rsid w:val="009E6746"/>
    <w:rsid w:val="009F0207"/>
    <w:rsid w:val="009F0DD2"/>
    <w:rsid w:val="009F21A4"/>
    <w:rsid w:val="009F5C81"/>
    <w:rsid w:val="00A0146D"/>
    <w:rsid w:val="00A01898"/>
    <w:rsid w:val="00A03D23"/>
    <w:rsid w:val="00A054E8"/>
    <w:rsid w:val="00A05622"/>
    <w:rsid w:val="00A05F41"/>
    <w:rsid w:val="00A06A3F"/>
    <w:rsid w:val="00A073BE"/>
    <w:rsid w:val="00A0777E"/>
    <w:rsid w:val="00A101D7"/>
    <w:rsid w:val="00A11023"/>
    <w:rsid w:val="00A13066"/>
    <w:rsid w:val="00A132F2"/>
    <w:rsid w:val="00A160EC"/>
    <w:rsid w:val="00A243E9"/>
    <w:rsid w:val="00A24F77"/>
    <w:rsid w:val="00A32973"/>
    <w:rsid w:val="00A331F2"/>
    <w:rsid w:val="00A33313"/>
    <w:rsid w:val="00A33561"/>
    <w:rsid w:val="00A345CF"/>
    <w:rsid w:val="00A372AB"/>
    <w:rsid w:val="00A40DD1"/>
    <w:rsid w:val="00A41E7E"/>
    <w:rsid w:val="00A45272"/>
    <w:rsid w:val="00A452AB"/>
    <w:rsid w:val="00A46BBD"/>
    <w:rsid w:val="00A46DC3"/>
    <w:rsid w:val="00A472B6"/>
    <w:rsid w:val="00A51957"/>
    <w:rsid w:val="00A539D9"/>
    <w:rsid w:val="00A54119"/>
    <w:rsid w:val="00A64984"/>
    <w:rsid w:val="00A70603"/>
    <w:rsid w:val="00A71D20"/>
    <w:rsid w:val="00A71E8D"/>
    <w:rsid w:val="00A73B4D"/>
    <w:rsid w:val="00A74A3C"/>
    <w:rsid w:val="00A74A3E"/>
    <w:rsid w:val="00A757D2"/>
    <w:rsid w:val="00A768F6"/>
    <w:rsid w:val="00A76F49"/>
    <w:rsid w:val="00A77EE2"/>
    <w:rsid w:val="00A77FE5"/>
    <w:rsid w:val="00A82AD5"/>
    <w:rsid w:val="00A82EFC"/>
    <w:rsid w:val="00A83654"/>
    <w:rsid w:val="00A9398A"/>
    <w:rsid w:val="00A94A7B"/>
    <w:rsid w:val="00A96DA4"/>
    <w:rsid w:val="00A97970"/>
    <w:rsid w:val="00AA5D0D"/>
    <w:rsid w:val="00AB2DC6"/>
    <w:rsid w:val="00AB40E8"/>
    <w:rsid w:val="00AB4652"/>
    <w:rsid w:val="00AB5D1C"/>
    <w:rsid w:val="00AB7FB5"/>
    <w:rsid w:val="00AC17EE"/>
    <w:rsid w:val="00AC42EE"/>
    <w:rsid w:val="00AC51E2"/>
    <w:rsid w:val="00AD29C3"/>
    <w:rsid w:val="00AD3275"/>
    <w:rsid w:val="00AD67EC"/>
    <w:rsid w:val="00AE235D"/>
    <w:rsid w:val="00AE3D14"/>
    <w:rsid w:val="00AF2C86"/>
    <w:rsid w:val="00AF3155"/>
    <w:rsid w:val="00B01EF9"/>
    <w:rsid w:val="00B02582"/>
    <w:rsid w:val="00B057E3"/>
    <w:rsid w:val="00B06D19"/>
    <w:rsid w:val="00B11260"/>
    <w:rsid w:val="00B12E75"/>
    <w:rsid w:val="00B1365E"/>
    <w:rsid w:val="00B1377A"/>
    <w:rsid w:val="00B2592F"/>
    <w:rsid w:val="00B3041C"/>
    <w:rsid w:val="00B31DC1"/>
    <w:rsid w:val="00B341A7"/>
    <w:rsid w:val="00B3460D"/>
    <w:rsid w:val="00B36CF7"/>
    <w:rsid w:val="00B428BE"/>
    <w:rsid w:val="00B456F9"/>
    <w:rsid w:val="00B47C61"/>
    <w:rsid w:val="00B5041A"/>
    <w:rsid w:val="00B55261"/>
    <w:rsid w:val="00B56BAF"/>
    <w:rsid w:val="00B57E3C"/>
    <w:rsid w:val="00B62EEE"/>
    <w:rsid w:val="00B6694B"/>
    <w:rsid w:val="00B70166"/>
    <w:rsid w:val="00B70F52"/>
    <w:rsid w:val="00B715CE"/>
    <w:rsid w:val="00B71617"/>
    <w:rsid w:val="00B736A6"/>
    <w:rsid w:val="00B736E6"/>
    <w:rsid w:val="00B75EAF"/>
    <w:rsid w:val="00B812CE"/>
    <w:rsid w:val="00B81EFA"/>
    <w:rsid w:val="00B8473F"/>
    <w:rsid w:val="00B85962"/>
    <w:rsid w:val="00B929DA"/>
    <w:rsid w:val="00B93554"/>
    <w:rsid w:val="00B9632E"/>
    <w:rsid w:val="00B964A7"/>
    <w:rsid w:val="00B96DC3"/>
    <w:rsid w:val="00B979BB"/>
    <w:rsid w:val="00BA217F"/>
    <w:rsid w:val="00BA2754"/>
    <w:rsid w:val="00BA2ABA"/>
    <w:rsid w:val="00BA3836"/>
    <w:rsid w:val="00BA4FB3"/>
    <w:rsid w:val="00BA5E9F"/>
    <w:rsid w:val="00BB0114"/>
    <w:rsid w:val="00BB210C"/>
    <w:rsid w:val="00BB28FF"/>
    <w:rsid w:val="00BB4D89"/>
    <w:rsid w:val="00BB7CB2"/>
    <w:rsid w:val="00BC36D6"/>
    <w:rsid w:val="00BC4A12"/>
    <w:rsid w:val="00BC5440"/>
    <w:rsid w:val="00BC735C"/>
    <w:rsid w:val="00BC7C8D"/>
    <w:rsid w:val="00BD00D5"/>
    <w:rsid w:val="00BD070F"/>
    <w:rsid w:val="00BD111A"/>
    <w:rsid w:val="00BD2B46"/>
    <w:rsid w:val="00BE2975"/>
    <w:rsid w:val="00BE71CA"/>
    <w:rsid w:val="00BF6EC9"/>
    <w:rsid w:val="00BF7E26"/>
    <w:rsid w:val="00C03857"/>
    <w:rsid w:val="00C03932"/>
    <w:rsid w:val="00C06151"/>
    <w:rsid w:val="00C10161"/>
    <w:rsid w:val="00C10D61"/>
    <w:rsid w:val="00C11A4B"/>
    <w:rsid w:val="00C15C2A"/>
    <w:rsid w:val="00C15DBA"/>
    <w:rsid w:val="00C15DD4"/>
    <w:rsid w:val="00C16E16"/>
    <w:rsid w:val="00C17EF3"/>
    <w:rsid w:val="00C21EC2"/>
    <w:rsid w:val="00C22174"/>
    <w:rsid w:val="00C22758"/>
    <w:rsid w:val="00C22CF1"/>
    <w:rsid w:val="00C24A41"/>
    <w:rsid w:val="00C24A5C"/>
    <w:rsid w:val="00C24B1D"/>
    <w:rsid w:val="00C251BA"/>
    <w:rsid w:val="00C2531D"/>
    <w:rsid w:val="00C259D1"/>
    <w:rsid w:val="00C2700E"/>
    <w:rsid w:val="00C42857"/>
    <w:rsid w:val="00C42A30"/>
    <w:rsid w:val="00C443FF"/>
    <w:rsid w:val="00C454DE"/>
    <w:rsid w:val="00C45AE3"/>
    <w:rsid w:val="00C45C94"/>
    <w:rsid w:val="00C57059"/>
    <w:rsid w:val="00C57531"/>
    <w:rsid w:val="00C6083F"/>
    <w:rsid w:val="00C6258C"/>
    <w:rsid w:val="00C65C3B"/>
    <w:rsid w:val="00C664DE"/>
    <w:rsid w:val="00C71D43"/>
    <w:rsid w:val="00C73DEE"/>
    <w:rsid w:val="00C74F4B"/>
    <w:rsid w:val="00C75012"/>
    <w:rsid w:val="00C758D0"/>
    <w:rsid w:val="00C80D68"/>
    <w:rsid w:val="00C84A08"/>
    <w:rsid w:val="00C84B27"/>
    <w:rsid w:val="00C9150A"/>
    <w:rsid w:val="00C94944"/>
    <w:rsid w:val="00C975BF"/>
    <w:rsid w:val="00CA07D8"/>
    <w:rsid w:val="00CA0ABA"/>
    <w:rsid w:val="00CA27F9"/>
    <w:rsid w:val="00CA36A9"/>
    <w:rsid w:val="00CA3D51"/>
    <w:rsid w:val="00CA4E1A"/>
    <w:rsid w:val="00CB0066"/>
    <w:rsid w:val="00CB14BC"/>
    <w:rsid w:val="00CB3632"/>
    <w:rsid w:val="00CB3991"/>
    <w:rsid w:val="00CB5AD8"/>
    <w:rsid w:val="00CB61E2"/>
    <w:rsid w:val="00CC1D82"/>
    <w:rsid w:val="00CC2E7A"/>
    <w:rsid w:val="00CC44FD"/>
    <w:rsid w:val="00CC52E4"/>
    <w:rsid w:val="00CC6874"/>
    <w:rsid w:val="00CC6CC6"/>
    <w:rsid w:val="00CC75C0"/>
    <w:rsid w:val="00CD50B6"/>
    <w:rsid w:val="00CE1CC9"/>
    <w:rsid w:val="00CF1F41"/>
    <w:rsid w:val="00CF361E"/>
    <w:rsid w:val="00CF626D"/>
    <w:rsid w:val="00CF76C1"/>
    <w:rsid w:val="00D001E1"/>
    <w:rsid w:val="00D067F0"/>
    <w:rsid w:val="00D071E2"/>
    <w:rsid w:val="00D111E5"/>
    <w:rsid w:val="00D125B6"/>
    <w:rsid w:val="00D13BF9"/>
    <w:rsid w:val="00D17FD8"/>
    <w:rsid w:val="00D267D0"/>
    <w:rsid w:val="00D27059"/>
    <w:rsid w:val="00D31811"/>
    <w:rsid w:val="00D32E72"/>
    <w:rsid w:val="00D35066"/>
    <w:rsid w:val="00D36BE4"/>
    <w:rsid w:val="00D41359"/>
    <w:rsid w:val="00D42671"/>
    <w:rsid w:val="00D4269D"/>
    <w:rsid w:val="00D43E75"/>
    <w:rsid w:val="00D44C65"/>
    <w:rsid w:val="00D4793B"/>
    <w:rsid w:val="00D5063A"/>
    <w:rsid w:val="00D51C55"/>
    <w:rsid w:val="00D51E9F"/>
    <w:rsid w:val="00D5360E"/>
    <w:rsid w:val="00D53CC3"/>
    <w:rsid w:val="00D55C71"/>
    <w:rsid w:val="00D57FFA"/>
    <w:rsid w:val="00D60FC3"/>
    <w:rsid w:val="00D61384"/>
    <w:rsid w:val="00D630F6"/>
    <w:rsid w:val="00D63A9F"/>
    <w:rsid w:val="00D63D41"/>
    <w:rsid w:val="00D66B04"/>
    <w:rsid w:val="00D72B2C"/>
    <w:rsid w:val="00D73589"/>
    <w:rsid w:val="00D74608"/>
    <w:rsid w:val="00D761F9"/>
    <w:rsid w:val="00D76236"/>
    <w:rsid w:val="00D80990"/>
    <w:rsid w:val="00D82E8C"/>
    <w:rsid w:val="00D83684"/>
    <w:rsid w:val="00D84DA6"/>
    <w:rsid w:val="00D85591"/>
    <w:rsid w:val="00D86300"/>
    <w:rsid w:val="00D86ED7"/>
    <w:rsid w:val="00D87F59"/>
    <w:rsid w:val="00D9066F"/>
    <w:rsid w:val="00D91174"/>
    <w:rsid w:val="00D91428"/>
    <w:rsid w:val="00D92B0E"/>
    <w:rsid w:val="00D951F8"/>
    <w:rsid w:val="00D95FF4"/>
    <w:rsid w:val="00D97CDE"/>
    <w:rsid w:val="00DA0F45"/>
    <w:rsid w:val="00DA26A9"/>
    <w:rsid w:val="00DA2EF1"/>
    <w:rsid w:val="00DA359D"/>
    <w:rsid w:val="00DA4390"/>
    <w:rsid w:val="00DA4E36"/>
    <w:rsid w:val="00DA7E4D"/>
    <w:rsid w:val="00DB06D1"/>
    <w:rsid w:val="00DB2D78"/>
    <w:rsid w:val="00DB4DF4"/>
    <w:rsid w:val="00DC145C"/>
    <w:rsid w:val="00DC152A"/>
    <w:rsid w:val="00DC687F"/>
    <w:rsid w:val="00DD0560"/>
    <w:rsid w:val="00DD0903"/>
    <w:rsid w:val="00DD169F"/>
    <w:rsid w:val="00DD2CCB"/>
    <w:rsid w:val="00DD3B4A"/>
    <w:rsid w:val="00DD3BF2"/>
    <w:rsid w:val="00DD5471"/>
    <w:rsid w:val="00DD5EDD"/>
    <w:rsid w:val="00DD6E13"/>
    <w:rsid w:val="00DE2E7B"/>
    <w:rsid w:val="00DE41BE"/>
    <w:rsid w:val="00DE5758"/>
    <w:rsid w:val="00DE7EF9"/>
    <w:rsid w:val="00DF0BD7"/>
    <w:rsid w:val="00DF0EE0"/>
    <w:rsid w:val="00DF39D0"/>
    <w:rsid w:val="00DF3CF4"/>
    <w:rsid w:val="00DF76BB"/>
    <w:rsid w:val="00E04D89"/>
    <w:rsid w:val="00E0619C"/>
    <w:rsid w:val="00E06BA5"/>
    <w:rsid w:val="00E138DE"/>
    <w:rsid w:val="00E14152"/>
    <w:rsid w:val="00E22C38"/>
    <w:rsid w:val="00E236B3"/>
    <w:rsid w:val="00E2412B"/>
    <w:rsid w:val="00E24868"/>
    <w:rsid w:val="00E24F43"/>
    <w:rsid w:val="00E2799D"/>
    <w:rsid w:val="00E31090"/>
    <w:rsid w:val="00E328BD"/>
    <w:rsid w:val="00E36FFD"/>
    <w:rsid w:val="00E37685"/>
    <w:rsid w:val="00E405CC"/>
    <w:rsid w:val="00E47977"/>
    <w:rsid w:val="00E47F19"/>
    <w:rsid w:val="00E51A06"/>
    <w:rsid w:val="00E52A90"/>
    <w:rsid w:val="00E53D18"/>
    <w:rsid w:val="00E55478"/>
    <w:rsid w:val="00E55DD1"/>
    <w:rsid w:val="00E62149"/>
    <w:rsid w:val="00E67894"/>
    <w:rsid w:val="00E678BF"/>
    <w:rsid w:val="00E67B02"/>
    <w:rsid w:val="00E70013"/>
    <w:rsid w:val="00E722D6"/>
    <w:rsid w:val="00E72FCE"/>
    <w:rsid w:val="00E74956"/>
    <w:rsid w:val="00E7595C"/>
    <w:rsid w:val="00E77C07"/>
    <w:rsid w:val="00E808DB"/>
    <w:rsid w:val="00E845A0"/>
    <w:rsid w:val="00E84B29"/>
    <w:rsid w:val="00E86DBD"/>
    <w:rsid w:val="00E9235A"/>
    <w:rsid w:val="00E92FDA"/>
    <w:rsid w:val="00E933E2"/>
    <w:rsid w:val="00E93806"/>
    <w:rsid w:val="00E93DCD"/>
    <w:rsid w:val="00E94CF0"/>
    <w:rsid w:val="00E953D5"/>
    <w:rsid w:val="00E9592B"/>
    <w:rsid w:val="00E97AAE"/>
    <w:rsid w:val="00E97B3B"/>
    <w:rsid w:val="00EA0349"/>
    <w:rsid w:val="00EA07F1"/>
    <w:rsid w:val="00EA2473"/>
    <w:rsid w:val="00EA2B24"/>
    <w:rsid w:val="00EA50DF"/>
    <w:rsid w:val="00EA5A46"/>
    <w:rsid w:val="00EA5BD1"/>
    <w:rsid w:val="00EA696E"/>
    <w:rsid w:val="00EB257F"/>
    <w:rsid w:val="00EB25F1"/>
    <w:rsid w:val="00EB3529"/>
    <w:rsid w:val="00EB3CFC"/>
    <w:rsid w:val="00EB4E79"/>
    <w:rsid w:val="00EB5164"/>
    <w:rsid w:val="00EB704D"/>
    <w:rsid w:val="00EC2A20"/>
    <w:rsid w:val="00EC3917"/>
    <w:rsid w:val="00EC5EB5"/>
    <w:rsid w:val="00EC682B"/>
    <w:rsid w:val="00ED05A7"/>
    <w:rsid w:val="00ED4751"/>
    <w:rsid w:val="00ED4997"/>
    <w:rsid w:val="00ED6752"/>
    <w:rsid w:val="00ED7330"/>
    <w:rsid w:val="00ED7719"/>
    <w:rsid w:val="00ED7D7B"/>
    <w:rsid w:val="00EE2C4C"/>
    <w:rsid w:val="00EE3629"/>
    <w:rsid w:val="00EE3B32"/>
    <w:rsid w:val="00EE5AB7"/>
    <w:rsid w:val="00EE7CA9"/>
    <w:rsid w:val="00EF417B"/>
    <w:rsid w:val="00EF6991"/>
    <w:rsid w:val="00EF6FE0"/>
    <w:rsid w:val="00EF7508"/>
    <w:rsid w:val="00F00120"/>
    <w:rsid w:val="00F00520"/>
    <w:rsid w:val="00F005C5"/>
    <w:rsid w:val="00F01F94"/>
    <w:rsid w:val="00F03016"/>
    <w:rsid w:val="00F041F4"/>
    <w:rsid w:val="00F0428C"/>
    <w:rsid w:val="00F06CE7"/>
    <w:rsid w:val="00F13110"/>
    <w:rsid w:val="00F1341E"/>
    <w:rsid w:val="00F14123"/>
    <w:rsid w:val="00F15490"/>
    <w:rsid w:val="00F15EF1"/>
    <w:rsid w:val="00F162BF"/>
    <w:rsid w:val="00F17F46"/>
    <w:rsid w:val="00F205E4"/>
    <w:rsid w:val="00F25264"/>
    <w:rsid w:val="00F2615B"/>
    <w:rsid w:val="00F26C1C"/>
    <w:rsid w:val="00F276F6"/>
    <w:rsid w:val="00F3056C"/>
    <w:rsid w:val="00F32993"/>
    <w:rsid w:val="00F36E4C"/>
    <w:rsid w:val="00F43529"/>
    <w:rsid w:val="00F43ECD"/>
    <w:rsid w:val="00F43F50"/>
    <w:rsid w:val="00F451BE"/>
    <w:rsid w:val="00F455C9"/>
    <w:rsid w:val="00F45613"/>
    <w:rsid w:val="00F46E96"/>
    <w:rsid w:val="00F5144F"/>
    <w:rsid w:val="00F51DD6"/>
    <w:rsid w:val="00F5300A"/>
    <w:rsid w:val="00F53201"/>
    <w:rsid w:val="00F5488C"/>
    <w:rsid w:val="00F6210D"/>
    <w:rsid w:val="00F63056"/>
    <w:rsid w:val="00F6510C"/>
    <w:rsid w:val="00F654AC"/>
    <w:rsid w:val="00F65A10"/>
    <w:rsid w:val="00F6695B"/>
    <w:rsid w:val="00F70C3C"/>
    <w:rsid w:val="00F72443"/>
    <w:rsid w:val="00F72ACB"/>
    <w:rsid w:val="00F777D8"/>
    <w:rsid w:val="00F8473A"/>
    <w:rsid w:val="00F84D60"/>
    <w:rsid w:val="00F852BB"/>
    <w:rsid w:val="00F90DEA"/>
    <w:rsid w:val="00F92DAE"/>
    <w:rsid w:val="00F94450"/>
    <w:rsid w:val="00F97C7F"/>
    <w:rsid w:val="00FA1433"/>
    <w:rsid w:val="00FA1E42"/>
    <w:rsid w:val="00FA22D8"/>
    <w:rsid w:val="00FA275D"/>
    <w:rsid w:val="00FA2CD4"/>
    <w:rsid w:val="00FA3F96"/>
    <w:rsid w:val="00FA5C61"/>
    <w:rsid w:val="00FB0597"/>
    <w:rsid w:val="00FB30E4"/>
    <w:rsid w:val="00FB3A95"/>
    <w:rsid w:val="00FB72A9"/>
    <w:rsid w:val="00FC45EA"/>
    <w:rsid w:val="00FD1CA1"/>
    <w:rsid w:val="00FD1D26"/>
    <w:rsid w:val="00FD284E"/>
    <w:rsid w:val="00FD3F16"/>
    <w:rsid w:val="00FD7FD3"/>
    <w:rsid w:val="00FE08F7"/>
    <w:rsid w:val="00FE22E5"/>
    <w:rsid w:val="00FE4A1D"/>
    <w:rsid w:val="00FE702B"/>
    <w:rsid w:val="00FF049F"/>
    <w:rsid w:val="00FF36C0"/>
    <w:rsid w:val="00FF3E21"/>
    <w:rsid w:val="00FF40AE"/>
  </w:rsids>
  <m:mathPr>
    <m:mathFont m:val="Cambria Math"/>
    <m:brkBin m:val="before"/>
    <m:brkBinSub m:val="--"/>
    <m:smallFrac m:val="0"/>
    <m:dispDef/>
    <m:lMargin m:val="0"/>
    <m:rMargin m:val="0"/>
    <m:defJc m:val="centerGroup"/>
    <m:wrapIndent m:val="1440"/>
    <m:intLim m:val="subSup"/>
    <m:naryLim m:val="undOvr"/>
  </m:mathPr>
  <w:themeFontLang w:val="en-AU"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AE2AF0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964A7"/>
  </w:style>
  <w:style w:type="paragraph" w:styleId="Heading1">
    <w:name w:val="heading 1"/>
    <w:basedOn w:val="Normal"/>
    <w:next w:val="Normal"/>
    <w:link w:val="Heading1Char"/>
    <w:uiPriority w:val="9"/>
    <w:qFormat/>
    <w:rsid w:val="00B964A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B964A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964A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64A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B964A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964A7"/>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B964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64A7"/>
  </w:style>
  <w:style w:type="paragraph" w:styleId="Footer">
    <w:name w:val="footer"/>
    <w:basedOn w:val="Normal"/>
    <w:link w:val="FooterChar"/>
    <w:uiPriority w:val="99"/>
    <w:unhideWhenUsed/>
    <w:rsid w:val="00B964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64A7"/>
  </w:style>
  <w:style w:type="paragraph" w:styleId="BalloonText">
    <w:name w:val="Balloon Text"/>
    <w:basedOn w:val="Normal"/>
    <w:link w:val="BalloonTextChar"/>
    <w:uiPriority w:val="99"/>
    <w:semiHidden/>
    <w:unhideWhenUsed/>
    <w:rsid w:val="00B964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64A7"/>
    <w:rPr>
      <w:rFonts w:ascii="Tahoma" w:hAnsi="Tahoma" w:cs="Tahoma"/>
      <w:sz w:val="16"/>
      <w:szCs w:val="16"/>
    </w:rPr>
  </w:style>
  <w:style w:type="table" w:styleId="TableGrid">
    <w:name w:val="Table Grid"/>
    <w:basedOn w:val="TableNormal"/>
    <w:uiPriority w:val="59"/>
    <w:rsid w:val="00B964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unhideWhenUsed/>
    <w:qFormat/>
    <w:rsid w:val="00B964A7"/>
    <w:pPr>
      <w:outlineLvl w:val="9"/>
    </w:pPr>
    <w:rPr>
      <w:lang w:val="en-US" w:eastAsia="ja-JP"/>
    </w:rPr>
  </w:style>
  <w:style w:type="paragraph" w:styleId="TOC2">
    <w:name w:val="toc 2"/>
    <w:basedOn w:val="Normal"/>
    <w:next w:val="Normal"/>
    <w:autoRedefine/>
    <w:uiPriority w:val="39"/>
    <w:unhideWhenUsed/>
    <w:qFormat/>
    <w:rsid w:val="00B964A7"/>
    <w:pPr>
      <w:spacing w:after="100"/>
      <w:ind w:left="220"/>
    </w:pPr>
    <w:rPr>
      <w:rFonts w:eastAsiaTheme="minorEastAsia"/>
      <w:lang w:val="en-US" w:eastAsia="ja-JP"/>
    </w:rPr>
  </w:style>
  <w:style w:type="paragraph" w:styleId="TOC1">
    <w:name w:val="toc 1"/>
    <w:basedOn w:val="Normal"/>
    <w:next w:val="Normal"/>
    <w:autoRedefine/>
    <w:uiPriority w:val="39"/>
    <w:unhideWhenUsed/>
    <w:qFormat/>
    <w:rsid w:val="00B964A7"/>
    <w:pPr>
      <w:spacing w:after="100"/>
    </w:pPr>
    <w:rPr>
      <w:rFonts w:eastAsiaTheme="minorEastAsia"/>
      <w:lang w:val="en-US" w:eastAsia="ja-JP"/>
    </w:rPr>
  </w:style>
  <w:style w:type="paragraph" w:styleId="TOC3">
    <w:name w:val="toc 3"/>
    <w:basedOn w:val="Normal"/>
    <w:next w:val="Normal"/>
    <w:autoRedefine/>
    <w:uiPriority w:val="39"/>
    <w:unhideWhenUsed/>
    <w:qFormat/>
    <w:rsid w:val="00B964A7"/>
    <w:pPr>
      <w:spacing w:after="100"/>
      <w:ind w:left="440"/>
    </w:pPr>
    <w:rPr>
      <w:rFonts w:eastAsiaTheme="minorEastAsia"/>
      <w:lang w:val="en-US" w:eastAsia="ja-JP"/>
    </w:rPr>
  </w:style>
  <w:style w:type="paragraph" w:styleId="ListParagraph">
    <w:name w:val="List Paragraph"/>
    <w:basedOn w:val="Normal"/>
    <w:uiPriority w:val="34"/>
    <w:qFormat/>
    <w:rsid w:val="00B964A7"/>
    <w:pPr>
      <w:ind w:left="720"/>
      <w:contextualSpacing/>
    </w:pPr>
  </w:style>
  <w:style w:type="character" w:styleId="Hyperlink">
    <w:name w:val="Hyperlink"/>
    <w:basedOn w:val="DefaultParagraphFont"/>
    <w:uiPriority w:val="99"/>
    <w:unhideWhenUsed/>
    <w:rsid w:val="00B964A7"/>
    <w:rPr>
      <w:color w:val="0000FF" w:themeColor="hyperlink"/>
      <w:u w:val="single"/>
    </w:rPr>
  </w:style>
  <w:style w:type="paragraph" w:styleId="TOC4">
    <w:name w:val="toc 4"/>
    <w:basedOn w:val="Normal"/>
    <w:next w:val="Normal"/>
    <w:autoRedefine/>
    <w:uiPriority w:val="39"/>
    <w:unhideWhenUsed/>
    <w:rsid w:val="00B964A7"/>
    <w:pPr>
      <w:spacing w:after="100"/>
      <w:ind w:left="660"/>
    </w:pPr>
    <w:rPr>
      <w:rFonts w:eastAsiaTheme="minorEastAsia"/>
      <w:lang w:eastAsia="en-AU"/>
    </w:rPr>
  </w:style>
  <w:style w:type="paragraph" w:styleId="TOC5">
    <w:name w:val="toc 5"/>
    <w:basedOn w:val="Normal"/>
    <w:next w:val="Normal"/>
    <w:autoRedefine/>
    <w:uiPriority w:val="39"/>
    <w:unhideWhenUsed/>
    <w:rsid w:val="00B964A7"/>
    <w:pPr>
      <w:spacing w:after="100"/>
      <w:ind w:left="880"/>
    </w:pPr>
    <w:rPr>
      <w:rFonts w:eastAsiaTheme="minorEastAsia"/>
      <w:lang w:eastAsia="en-AU"/>
    </w:rPr>
  </w:style>
  <w:style w:type="paragraph" w:styleId="TOC6">
    <w:name w:val="toc 6"/>
    <w:basedOn w:val="Normal"/>
    <w:next w:val="Normal"/>
    <w:autoRedefine/>
    <w:uiPriority w:val="39"/>
    <w:unhideWhenUsed/>
    <w:rsid w:val="00B964A7"/>
    <w:pPr>
      <w:spacing w:after="100"/>
      <w:ind w:left="1100"/>
    </w:pPr>
    <w:rPr>
      <w:rFonts w:eastAsiaTheme="minorEastAsia"/>
      <w:lang w:eastAsia="en-AU"/>
    </w:rPr>
  </w:style>
  <w:style w:type="paragraph" w:styleId="TOC7">
    <w:name w:val="toc 7"/>
    <w:basedOn w:val="Normal"/>
    <w:next w:val="Normal"/>
    <w:autoRedefine/>
    <w:uiPriority w:val="39"/>
    <w:unhideWhenUsed/>
    <w:rsid w:val="00B964A7"/>
    <w:pPr>
      <w:spacing w:after="100"/>
      <w:ind w:left="1320"/>
    </w:pPr>
    <w:rPr>
      <w:rFonts w:eastAsiaTheme="minorEastAsia"/>
      <w:lang w:eastAsia="en-AU"/>
    </w:rPr>
  </w:style>
  <w:style w:type="paragraph" w:styleId="TOC8">
    <w:name w:val="toc 8"/>
    <w:basedOn w:val="Normal"/>
    <w:next w:val="Normal"/>
    <w:autoRedefine/>
    <w:uiPriority w:val="39"/>
    <w:unhideWhenUsed/>
    <w:rsid w:val="00B964A7"/>
    <w:pPr>
      <w:spacing w:after="100"/>
      <w:ind w:left="1540"/>
    </w:pPr>
    <w:rPr>
      <w:rFonts w:eastAsiaTheme="minorEastAsia"/>
      <w:lang w:eastAsia="en-AU"/>
    </w:rPr>
  </w:style>
  <w:style w:type="paragraph" w:styleId="TOC9">
    <w:name w:val="toc 9"/>
    <w:basedOn w:val="Normal"/>
    <w:next w:val="Normal"/>
    <w:autoRedefine/>
    <w:uiPriority w:val="39"/>
    <w:unhideWhenUsed/>
    <w:rsid w:val="00B964A7"/>
    <w:pPr>
      <w:spacing w:after="100"/>
      <w:ind w:left="1760"/>
    </w:pPr>
    <w:rPr>
      <w:rFonts w:eastAsiaTheme="minorEastAsia"/>
      <w:lang w:eastAsia="en-AU"/>
    </w:rPr>
  </w:style>
  <w:style w:type="paragraph" w:customStyle="1" w:styleId="MediumGrid21">
    <w:name w:val="Medium Grid 21"/>
    <w:uiPriority w:val="1"/>
    <w:qFormat/>
    <w:rsid w:val="00B964A7"/>
    <w:pPr>
      <w:spacing w:after="0" w:line="240" w:lineRule="auto"/>
    </w:pPr>
    <w:rPr>
      <w:rFonts w:ascii="Calibri" w:eastAsia="Calibri" w:hAnsi="Calibri" w:cs="Times New Roman"/>
    </w:rPr>
  </w:style>
  <w:style w:type="paragraph" w:styleId="NormalWeb">
    <w:name w:val="Normal (Web)"/>
    <w:basedOn w:val="Normal"/>
    <w:uiPriority w:val="99"/>
    <w:unhideWhenUsed/>
    <w:rsid w:val="00B964A7"/>
    <w:pPr>
      <w:spacing w:before="100" w:beforeAutospacing="1" w:after="100" w:afterAutospacing="1" w:line="240" w:lineRule="auto"/>
    </w:pPr>
    <w:rPr>
      <w:rFonts w:ascii="Times" w:eastAsia="MS Mincho" w:hAnsi="Times" w:cs="Times New Roman"/>
      <w:sz w:val="20"/>
      <w:szCs w:val="20"/>
    </w:rPr>
  </w:style>
  <w:style w:type="paragraph" w:customStyle="1" w:styleId="BodyDHS">
    <w:name w:val="Body DHS"/>
    <w:rsid w:val="00B964A7"/>
    <w:pPr>
      <w:widowControl w:val="0"/>
      <w:suppressAutoHyphens/>
      <w:overflowPunct w:val="0"/>
      <w:autoSpaceDE w:val="0"/>
      <w:autoSpaceDN w:val="0"/>
      <w:adjustRightInd w:val="0"/>
      <w:spacing w:after="180" w:line="260" w:lineRule="exact"/>
      <w:textAlignment w:val="baseline"/>
    </w:pPr>
    <w:rPr>
      <w:rFonts w:ascii="Book Antiqua" w:eastAsia="Times New Roman" w:hAnsi="Book Antiqua" w:cs="Times New Roman"/>
      <w:sz w:val="21"/>
      <w:szCs w:val="20"/>
    </w:rPr>
  </w:style>
  <w:style w:type="character" w:styleId="CommentReference">
    <w:name w:val="annotation reference"/>
    <w:basedOn w:val="DefaultParagraphFont"/>
    <w:uiPriority w:val="99"/>
    <w:semiHidden/>
    <w:unhideWhenUsed/>
    <w:rsid w:val="00B964A7"/>
    <w:rPr>
      <w:sz w:val="16"/>
      <w:szCs w:val="16"/>
    </w:rPr>
  </w:style>
  <w:style w:type="paragraph" w:styleId="CommentText">
    <w:name w:val="annotation text"/>
    <w:basedOn w:val="Normal"/>
    <w:link w:val="CommentTextChar"/>
    <w:uiPriority w:val="99"/>
    <w:semiHidden/>
    <w:unhideWhenUsed/>
    <w:rsid w:val="00B964A7"/>
    <w:pPr>
      <w:spacing w:line="240" w:lineRule="auto"/>
    </w:pPr>
    <w:rPr>
      <w:sz w:val="20"/>
      <w:szCs w:val="20"/>
    </w:rPr>
  </w:style>
  <w:style w:type="character" w:customStyle="1" w:styleId="CommentTextChar">
    <w:name w:val="Comment Text Char"/>
    <w:basedOn w:val="DefaultParagraphFont"/>
    <w:link w:val="CommentText"/>
    <w:uiPriority w:val="99"/>
    <w:semiHidden/>
    <w:rsid w:val="00B964A7"/>
    <w:rPr>
      <w:sz w:val="20"/>
      <w:szCs w:val="20"/>
    </w:rPr>
  </w:style>
  <w:style w:type="character" w:customStyle="1" w:styleId="CommentSubjectChar">
    <w:name w:val="Comment Subject Char"/>
    <w:basedOn w:val="CommentTextChar"/>
    <w:link w:val="CommentSubject"/>
    <w:uiPriority w:val="99"/>
    <w:semiHidden/>
    <w:rsid w:val="00B964A7"/>
    <w:rPr>
      <w:b/>
      <w:bCs/>
      <w:sz w:val="20"/>
      <w:szCs w:val="20"/>
    </w:rPr>
  </w:style>
  <w:style w:type="paragraph" w:styleId="CommentSubject">
    <w:name w:val="annotation subject"/>
    <w:basedOn w:val="CommentText"/>
    <w:next w:val="CommentText"/>
    <w:link w:val="CommentSubjectChar"/>
    <w:uiPriority w:val="99"/>
    <w:semiHidden/>
    <w:unhideWhenUsed/>
    <w:rsid w:val="00B964A7"/>
    <w:rPr>
      <w:b/>
      <w:bCs/>
    </w:rPr>
  </w:style>
  <w:style w:type="paragraph" w:customStyle="1" w:styleId="EndNoteBibliographyTitle">
    <w:name w:val="EndNote Bibliography Title"/>
    <w:basedOn w:val="Normal"/>
    <w:rsid w:val="00B964A7"/>
    <w:pPr>
      <w:spacing w:after="0"/>
      <w:jc w:val="center"/>
    </w:pPr>
    <w:rPr>
      <w:rFonts w:ascii="Calibri" w:hAnsi="Calibri"/>
      <w:lang w:val="en-US"/>
    </w:rPr>
  </w:style>
  <w:style w:type="paragraph" w:customStyle="1" w:styleId="EndNoteBibliography">
    <w:name w:val="EndNote Bibliography"/>
    <w:basedOn w:val="Normal"/>
    <w:rsid w:val="00B964A7"/>
    <w:pPr>
      <w:spacing w:line="240" w:lineRule="auto"/>
    </w:pPr>
    <w:rPr>
      <w:rFonts w:ascii="Calibri" w:hAnsi="Calibri"/>
      <w:lang w:val="en-US"/>
    </w:rPr>
  </w:style>
  <w:style w:type="character" w:customStyle="1" w:styleId="DocumentMapChar">
    <w:name w:val="Document Map Char"/>
    <w:basedOn w:val="DefaultParagraphFont"/>
    <w:link w:val="DocumentMap"/>
    <w:uiPriority w:val="99"/>
    <w:semiHidden/>
    <w:rsid w:val="00B964A7"/>
    <w:rPr>
      <w:rFonts w:ascii="Lucida Grande" w:hAnsi="Lucida Grande" w:cs="Lucida Grande"/>
      <w:sz w:val="24"/>
      <w:szCs w:val="24"/>
    </w:rPr>
  </w:style>
  <w:style w:type="paragraph" w:styleId="DocumentMap">
    <w:name w:val="Document Map"/>
    <w:basedOn w:val="Normal"/>
    <w:link w:val="DocumentMapChar"/>
    <w:uiPriority w:val="99"/>
    <w:semiHidden/>
    <w:unhideWhenUsed/>
    <w:rsid w:val="00B964A7"/>
    <w:pPr>
      <w:spacing w:after="0" w:line="240" w:lineRule="auto"/>
    </w:pPr>
    <w:rPr>
      <w:rFonts w:ascii="Lucida Grande" w:hAnsi="Lucida Grande" w:cs="Lucida Grande"/>
      <w:sz w:val="24"/>
      <w:szCs w:val="24"/>
    </w:rPr>
  </w:style>
  <w:style w:type="paragraph" w:styleId="EndnoteText">
    <w:name w:val="endnote text"/>
    <w:basedOn w:val="Normal"/>
    <w:link w:val="EndnoteTextChar"/>
    <w:uiPriority w:val="99"/>
    <w:semiHidden/>
    <w:unhideWhenUsed/>
    <w:rsid w:val="00E51A0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51A06"/>
    <w:rPr>
      <w:sz w:val="20"/>
      <w:szCs w:val="20"/>
    </w:rPr>
  </w:style>
  <w:style w:type="character" w:styleId="EndnoteReference">
    <w:name w:val="endnote reference"/>
    <w:basedOn w:val="DefaultParagraphFont"/>
    <w:uiPriority w:val="99"/>
    <w:semiHidden/>
    <w:unhideWhenUsed/>
    <w:rsid w:val="00E51A06"/>
    <w:rPr>
      <w:vertAlign w:val="superscript"/>
    </w:rPr>
  </w:style>
  <w:style w:type="paragraph" w:styleId="Revision">
    <w:name w:val="Revision"/>
    <w:hidden/>
    <w:uiPriority w:val="99"/>
    <w:semiHidden/>
    <w:rsid w:val="00E86DBD"/>
    <w:pPr>
      <w:spacing w:after="0" w:line="240" w:lineRule="auto"/>
    </w:pPr>
  </w:style>
  <w:style w:type="character" w:styleId="FollowedHyperlink">
    <w:name w:val="FollowedHyperlink"/>
    <w:basedOn w:val="DefaultParagraphFont"/>
    <w:uiPriority w:val="99"/>
    <w:semiHidden/>
    <w:unhideWhenUsed/>
    <w:rsid w:val="009E4F37"/>
    <w:rPr>
      <w:color w:val="800080" w:themeColor="followedHyperlink"/>
      <w:u w:val="single"/>
    </w:rPr>
  </w:style>
  <w:style w:type="paragraph" w:customStyle="1" w:styleId="Paragraph">
    <w:name w:val="Paragraph"/>
    <w:basedOn w:val="Normal"/>
    <w:rsid w:val="0020750A"/>
    <w:pPr>
      <w:spacing w:before="120" w:after="0" w:line="240" w:lineRule="auto"/>
      <w:ind w:firstLine="720"/>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0158437">
      <w:bodyDiv w:val="1"/>
      <w:marLeft w:val="0"/>
      <w:marRight w:val="0"/>
      <w:marTop w:val="0"/>
      <w:marBottom w:val="0"/>
      <w:divBdr>
        <w:top w:val="none" w:sz="0" w:space="0" w:color="auto"/>
        <w:left w:val="none" w:sz="0" w:space="0" w:color="auto"/>
        <w:bottom w:val="none" w:sz="0" w:space="0" w:color="auto"/>
        <w:right w:val="none" w:sz="0" w:space="0" w:color="auto"/>
      </w:divBdr>
      <w:divsChild>
        <w:div w:id="224224160">
          <w:marLeft w:val="547"/>
          <w:marRight w:val="0"/>
          <w:marTop w:val="0"/>
          <w:marBottom w:val="0"/>
          <w:divBdr>
            <w:top w:val="none" w:sz="0" w:space="0" w:color="auto"/>
            <w:left w:val="none" w:sz="0" w:space="0" w:color="auto"/>
            <w:bottom w:val="none" w:sz="0" w:space="0" w:color="auto"/>
            <w:right w:val="none" w:sz="0" w:space="0" w:color="auto"/>
          </w:divBdr>
        </w:div>
        <w:div w:id="861867002">
          <w:marLeft w:val="547"/>
          <w:marRight w:val="0"/>
          <w:marTop w:val="0"/>
          <w:marBottom w:val="0"/>
          <w:divBdr>
            <w:top w:val="none" w:sz="0" w:space="0" w:color="auto"/>
            <w:left w:val="none" w:sz="0" w:space="0" w:color="auto"/>
            <w:bottom w:val="none" w:sz="0" w:space="0" w:color="auto"/>
            <w:right w:val="none" w:sz="0" w:space="0" w:color="auto"/>
          </w:divBdr>
        </w:div>
        <w:div w:id="1566915284">
          <w:marLeft w:val="547"/>
          <w:marRight w:val="0"/>
          <w:marTop w:val="0"/>
          <w:marBottom w:val="0"/>
          <w:divBdr>
            <w:top w:val="none" w:sz="0" w:space="0" w:color="auto"/>
            <w:left w:val="none" w:sz="0" w:space="0" w:color="auto"/>
            <w:bottom w:val="none" w:sz="0" w:space="0" w:color="auto"/>
            <w:right w:val="none" w:sz="0" w:space="0" w:color="auto"/>
          </w:divBdr>
        </w:div>
        <w:div w:id="309135015">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diagramLayout" Target="diagrams/layout1.xml"/><Relationship Id="rId21" Type="http://schemas.openxmlformats.org/officeDocument/2006/relationships/diagramQuickStyle" Target="diagrams/quickStyle1.xml"/><Relationship Id="rId22" Type="http://schemas.openxmlformats.org/officeDocument/2006/relationships/diagramColors" Target="diagrams/colors1.xml"/><Relationship Id="rId23" Type="http://schemas.microsoft.com/office/2007/relationships/diagramDrawing" Target="diagrams/drawing1.xml"/><Relationship Id="rId24" Type="http://schemas.openxmlformats.org/officeDocument/2006/relationships/hyperlink" Target="https://www.pierre-fabre.com/en" TargetMode="External"/><Relationship Id="rId25" Type="http://schemas.openxmlformats.org/officeDocument/2006/relationships/hyperlink" Target="http://www.nzms.co.nz/" TargetMode="External"/><Relationship Id="rId26" Type="http://schemas.openxmlformats.org/officeDocument/2006/relationships/hyperlink" Target="https://www.pierre-fabre.com/en/implantations/australia" TargetMode="External"/><Relationship Id="rId27" Type="http://schemas.openxmlformats.org/officeDocument/2006/relationships/hyperlink" Target="http://www.toxinz.com" TargetMode="External"/><Relationship Id="rId28" Type="http://schemas.openxmlformats.org/officeDocument/2006/relationships/hyperlink" Target="mailto:stong@unimelb.edu.au" TargetMode="External"/><Relationship Id="rId29" Type="http://schemas.openxmlformats.org/officeDocument/2006/relationships/hyperlink" Target="https://nzphvc.otago.ac.nz/report/"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hyperlink" Target="http://www.medsafe.govt.nz/Profs/adverse/reactions.asp" TargetMode="External"/><Relationship Id="rId31" Type="http://schemas.openxmlformats.org/officeDocument/2006/relationships/hyperlink" Target="http://www.medsafe.govt.nz/profs/datasheet/n/Navelbinecap.htm" TargetMode="External"/><Relationship Id="rId32" Type="http://schemas.openxmlformats.org/officeDocument/2006/relationships/image" Target="media/image5.gif"/><Relationship Id="rId9" Type="http://schemas.openxmlformats.org/officeDocument/2006/relationships/image" Target="media/image2.png"/><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33" Type="http://schemas.openxmlformats.org/officeDocument/2006/relationships/hyperlink" Target="http://www.medsafe.govt.nz/Profs/adverse/reactions.asp" TargetMode="External"/><Relationship Id="rId34" Type="http://schemas.openxmlformats.org/officeDocument/2006/relationships/image" Target="media/image6.png"/><Relationship Id="rId35" Type="http://schemas.openxmlformats.org/officeDocument/2006/relationships/header" Target="header1.xml"/><Relationship Id="rId36" Type="http://schemas.openxmlformats.org/officeDocument/2006/relationships/footer" Target="footer1.xml"/><Relationship Id="rId10" Type="http://schemas.openxmlformats.org/officeDocument/2006/relationships/image" Target="media/image3.png"/><Relationship Id="rId11" Type="http://schemas.openxmlformats.org/officeDocument/2006/relationships/image" Target="media/image4.png"/><Relationship Id="rId12" Type="http://schemas.openxmlformats.org/officeDocument/2006/relationships/hyperlink" Target="mailto:stong@unimelb.edu.au" TargetMode="External"/><Relationship Id="rId13" Type="http://schemas.openxmlformats.org/officeDocument/2006/relationships/hyperlink" Target="mailto:r.hastie2@student.unimelb.edu.au" TargetMode="External"/><Relationship Id="rId14" Type="http://schemas.openxmlformats.org/officeDocument/2006/relationships/hyperlink" Target="mailto:amiddleton@mercy.com.au" TargetMode="External"/><Relationship Id="rId15" Type="http://schemas.openxmlformats.org/officeDocument/2006/relationships/comments" Target="comments.xml"/><Relationship Id="rId16" Type="http://schemas.microsoft.com/office/2011/relationships/commentsExtended" Target="commentsExtended.xml"/><Relationship Id="rId17" Type="http://schemas.openxmlformats.org/officeDocument/2006/relationships/hyperlink" Target="mailto:alindquist@mercy.com.au" TargetMode="External"/><Relationship Id="rId18" Type="http://schemas.openxmlformats.org/officeDocument/2006/relationships/hyperlink" Target="mailto:richardjhiscock@gmail.com" TargetMode="External"/><Relationship Id="rId19" Type="http://schemas.openxmlformats.org/officeDocument/2006/relationships/diagramData" Target="diagrams/data1.xml"/><Relationship Id="rId37" Type="http://schemas.openxmlformats.org/officeDocument/2006/relationships/fontTable" Target="fontTable.xml"/><Relationship Id="rId38"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D3BC33E-342F-432E-BDC3-BAACDCFB1117}" type="doc">
      <dgm:prSet loTypeId="urn:microsoft.com/office/officeart/2005/8/layout/chevron2" loCatId="process" qsTypeId="urn:microsoft.com/office/officeart/2005/8/quickstyle/simple1" qsCatId="simple" csTypeId="urn:microsoft.com/office/officeart/2005/8/colors/accent1_2" csCatId="accent1" phldr="1"/>
      <dgm:spPr/>
      <dgm:t>
        <a:bodyPr/>
        <a:lstStyle/>
        <a:p>
          <a:endParaRPr lang="en-AU"/>
        </a:p>
      </dgm:t>
    </dgm:pt>
    <dgm:pt modelId="{B2D9B573-571A-4B5F-BC35-0420AB691787}">
      <dgm:prSet phldrT="[Text]"/>
      <dgm:spPr>
        <a:xfrm rot="5400000">
          <a:off x="-195730" y="197333"/>
          <a:ext cx="1304871" cy="913410"/>
        </a:xfrm>
        <a:solidFill>
          <a:srgbClr val="92D050"/>
        </a:solidFill>
        <a:ln w="25400" cap="flat" cmpd="sng" algn="ctr">
          <a:solidFill>
            <a:srgbClr val="4F81BD">
              <a:hueOff val="0"/>
              <a:satOff val="0"/>
              <a:lumOff val="0"/>
              <a:alphaOff val="0"/>
            </a:srgbClr>
          </a:solidFill>
          <a:prstDash val="solid"/>
        </a:ln>
        <a:effectLst/>
      </dgm:spPr>
      <dgm:t>
        <a:bodyPr/>
        <a:lstStyle/>
        <a:p>
          <a:r>
            <a:rPr lang="en-AU">
              <a:solidFill>
                <a:sysClr val="window" lastClr="FFFFFF"/>
              </a:solidFill>
              <a:latin typeface="Calibri"/>
              <a:ea typeface="+mn-ea"/>
              <a:cs typeface="+mn-cs"/>
            </a:rPr>
            <a:t>Day 0</a:t>
          </a:r>
        </a:p>
      </dgm:t>
    </dgm:pt>
    <dgm:pt modelId="{1F8B9849-A8CF-429E-A820-52FB5C96FD9C}" type="parTrans" cxnId="{BC37692A-B7F0-4275-9531-B5DA5872B2AA}">
      <dgm:prSet/>
      <dgm:spPr/>
      <dgm:t>
        <a:bodyPr/>
        <a:lstStyle/>
        <a:p>
          <a:endParaRPr lang="en-AU"/>
        </a:p>
      </dgm:t>
    </dgm:pt>
    <dgm:pt modelId="{697F2AC4-9C38-4A70-A417-171A4D83B0BF}" type="sibTrans" cxnId="{BC37692A-B7F0-4275-9531-B5DA5872B2AA}">
      <dgm:prSet/>
      <dgm:spPr/>
      <dgm:t>
        <a:bodyPr/>
        <a:lstStyle/>
        <a:p>
          <a:endParaRPr lang="en-AU"/>
        </a:p>
      </dgm:t>
    </dgm:pt>
    <dgm:pt modelId="{D6C15C07-2DFA-4239-9F6A-786434E75AC4}">
      <dgm:prSet phldrT="[Text]"/>
      <dgm:spPr>
        <a:xfrm rot="5400000">
          <a:off x="2824179" y="-1909166"/>
          <a:ext cx="848166" cy="4669705"/>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en-AU">
              <a:solidFill>
                <a:sysClr val="windowText" lastClr="000000">
                  <a:hueOff val="0"/>
                  <a:satOff val="0"/>
                  <a:lumOff val="0"/>
                  <a:alphaOff val="0"/>
                </a:sysClr>
              </a:solidFill>
              <a:latin typeface="Calibri"/>
              <a:ea typeface="+mn-ea"/>
              <a:cs typeface="+mn-cs"/>
            </a:rPr>
            <a:t>Tranvaginal U/S to confirm ectopic pregnancy diagosis (if not already performed)</a:t>
          </a:r>
        </a:p>
      </dgm:t>
    </dgm:pt>
    <dgm:pt modelId="{4328B8A8-B4D2-487B-95B2-91F88F2CCD3F}" type="parTrans" cxnId="{5F79EDD0-8AA6-487C-B6A4-13CED11FB022}">
      <dgm:prSet/>
      <dgm:spPr/>
      <dgm:t>
        <a:bodyPr/>
        <a:lstStyle/>
        <a:p>
          <a:endParaRPr lang="en-AU"/>
        </a:p>
      </dgm:t>
    </dgm:pt>
    <dgm:pt modelId="{30C79D23-FF78-40A3-8BC5-29006719256C}" type="sibTrans" cxnId="{5F79EDD0-8AA6-487C-B6A4-13CED11FB022}">
      <dgm:prSet/>
      <dgm:spPr/>
      <dgm:t>
        <a:bodyPr/>
        <a:lstStyle/>
        <a:p>
          <a:endParaRPr lang="en-AU"/>
        </a:p>
      </dgm:t>
    </dgm:pt>
    <dgm:pt modelId="{5AA1B51E-688D-48B1-9385-C07C1DF4A722}">
      <dgm:prSet phldrT="[Text]"/>
      <dgm:spPr>
        <a:xfrm rot="5400000">
          <a:off x="2824179" y="-1909166"/>
          <a:ext cx="848166" cy="4669705"/>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en-AU">
              <a:solidFill>
                <a:sysClr val="windowText" lastClr="000000">
                  <a:hueOff val="0"/>
                  <a:satOff val="0"/>
                  <a:lumOff val="0"/>
                  <a:alphaOff val="0"/>
                </a:sysClr>
              </a:solidFill>
              <a:latin typeface="Calibri"/>
              <a:ea typeface="+mn-ea"/>
              <a:cs typeface="+mn-cs"/>
            </a:rPr>
            <a:t>Serum hCG level</a:t>
          </a:r>
        </a:p>
      </dgm:t>
    </dgm:pt>
    <dgm:pt modelId="{ADE21F53-AA2D-4C24-8DC9-08D2B6C26C6B}" type="parTrans" cxnId="{4EF4ECC5-2137-4219-81F2-B6678979D452}">
      <dgm:prSet/>
      <dgm:spPr/>
      <dgm:t>
        <a:bodyPr/>
        <a:lstStyle/>
        <a:p>
          <a:endParaRPr lang="en-AU"/>
        </a:p>
      </dgm:t>
    </dgm:pt>
    <dgm:pt modelId="{C8F9918F-300C-4E54-8BAE-B2C755EA0B3C}" type="sibTrans" cxnId="{4EF4ECC5-2137-4219-81F2-B6678979D452}">
      <dgm:prSet/>
      <dgm:spPr/>
      <dgm:t>
        <a:bodyPr/>
        <a:lstStyle/>
        <a:p>
          <a:endParaRPr lang="en-AU"/>
        </a:p>
      </dgm:t>
    </dgm:pt>
    <dgm:pt modelId="{ED13F906-3862-485C-8458-50922B90F671}">
      <dgm:prSet phldrT="[Text]"/>
      <dgm:spPr>
        <a:xfrm rot="5400000">
          <a:off x="-195730" y="1386987"/>
          <a:ext cx="1304871" cy="913410"/>
        </a:xfrm>
        <a:solidFill>
          <a:srgbClr val="00B050"/>
        </a:solidFill>
        <a:ln w="25400" cap="flat" cmpd="sng" algn="ctr">
          <a:solidFill>
            <a:srgbClr val="4F81BD">
              <a:hueOff val="0"/>
              <a:satOff val="0"/>
              <a:lumOff val="0"/>
              <a:alphaOff val="0"/>
            </a:srgbClr>
          </a:solidFill>
          <a:prstDash val="solid"/>
        </a:ln>
        <a:effectLst/>
      </dgm:spPr>
      <dgm:t>
        <a:bodyPr/>
        <a:lstStyle/>
        <a:p>
          <a:r>
            <a:rPr lang="en-AU">
              <a:solidFill>
                <a:sysClr val="window" lastClr="FFFFFF"/>
              </a:solidFill>
              <a:latin typeface="Calibri"/>
              <a:ea typeface="+mn-ea"/>
              <a:cs typeface="+mn-cs"/>
            </a:rPr>
            <a:t>Day 4</a:t>
          </a:r>
        </a:p>
      </dgm:t>
    </dgm:pt>
    <dgm:pt modelId="{0EBEEA17-EBAD-4705-BD91-B10D606C9D22}" type="parTrans" cxnId="{A71D169B-8D4A-48B2-8B83-AFD48A43D50F}">
      <dgm:prSet/>
      <dgm:spPr/>
      <dgm:t>
        <a:bodyPr/>
        <a:lstStyle/>
        <a:p>
          <a:endParaRPr lang="en-AU"/>
        </a:p>
      </dgm:t>
    </dgm:pt>
    <dgm:pt modelId="{4C859F8D-0079-48F3-B217-EC4BC8C642CD}" type="sibTrans" cxnId="{A71D169B-8D4A-48B2-8B83-AFD48A43D50F}">
      <dgm:prSet/>
      <dgm:spPr/>
      <dgm:t>
        <a:bodyPr/>
        <a:lstStyle/>
        <a:p>
          <a:endParaRPr lang="en-AU"/>
        </a:p>
      </dgm:t>
    </dgm:pt>
    <dgm:pt modelId="{3DF70001-6EF4-478A-BC88-CD41176259E6}">
      <dgm:prSet phldrT="[Text]"/>
      <dgm:spPr>
        <a:xfrm rot="5400000">
          <a:off x="2824179" y="-719513"/>
          <a:ext cx="848166" cy="4669705"/>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en-AU">
              <a:solidFill>
                <a:sysClr val="windowText" lastClr="000000">
                  <a:hueOff val="0"/>
                  <a:satOff val="0"/>
                  <a:lumOff val="0"/>
                  <a:alphaOff val="0"/>
                </a:sysClr>
              </a:solidFill>
              <a:latin typeface="Calibri"/>
              <a:ea typeface="+mn-ea"/>
              <a:cs typeface="+mn-cs"/>
            </a:rPr>
            <a:t>Serum hCG</a:t>
          </a:r>
        </a:p>
      </dgm:t>
    </dgm:pt>
    <dgm:pt modelId="{D884CBE1-6B07-4144-8207-79B611CC97CC}" type="parTrans" cxnId="{373AEE84-6B51-4A31-B28A-1FACDD8B0A50}">
      <dgm:prSet/>
      <dgm:spPr/>
      <dgm:t>
        <a:bodyPr/>
        <a:lstStyle/>
        <a:p>
          <a:endParaRPr lang="en-AU"/>
        </a:p>
      </dgm:t>
    </dgm:pt>
    <dgm:pt modelId="{5BAEAA0B-F401-40CC-B22F-4284678D5365}" type="sibTrans" cxnId="{373AEE84-6B51-4A31-B28A-1FACDD8B0A50}">
      <dgm:prSet/>
      <dgm:spPr/>
      <dgm:t>
        <a:bodyPr/>
        <a:lstStyle/>
        <a:p>
          <a:endParaRPr lang="en-AU"/>
        </a:p>
      </dgm:t>
    </dgm:pt>
    <dgm:pt modelId="{92843997-44E8-4999-ABFD-0207313D584E}">
      <dgm:prSet phldrT="[Text]"/>
      <dgm:spPr>
        <a:xfrm rot="5400000">
          <a:off x="-195730" y="4955948"/>
          <a:ext cx="1304871" cy="913410"/>
        </a:xfrm>
        <a:solidFill>
          <a:srgbClr val="7030A0"/>
        </a:solidFill>
        <a:ln w="25400" cap="flat" cmpd="sng" algn="ctr">
          <a:solidFill>
            <a:srgbClr val="4F81BD">
              <a:hueOff val="0"/>
              <a:satOff val="0"/>
              <a:lumOff val="0"/>
              <a:alphaOff val="0"/>
            </a:srgbClr>
          </a:solidFill>
          <a:prstDash val="solid"/>
        </a:ln>
        <a:effectLst/>
      </dgm:spPr>
      <dgm:t>
        <a:bodyPr/>
        <a:lstStyle/>
        <a:p>
          <a:r>
            <a:rPr lang="en-AU">
              <a:solidFill>
                <a:sysClr val="window" lastClr="FFFFFF"/>
              </a:solidFill>
              <a:latin typeface="Calibri"/>
              <a:ea typeface="+mn-ea"/>
              <a:cs typeface="+mn-cs"/>
            </a:rPr>
            <a:t>Day 14</a:t>
          </a:r>
        </a:p>
      </dgm:t>
    </dgm:pt>
    <dgm:pt modelId="{9946B698-6884-4146-817D-0E8007164C3D}" type="parTrans" cxnId="{A3986D8D-0433-4013-8EDA-0311B7D280D9}">
      <dgm:prSet/>
      <dgm:spPr/>
      <dgm:t>
        <a:bodyPr/>
        <a:lstStyle/>
        <a:p>
          <a:endParaRPr lang="en-AU"/>
        </a:p>
      </dgm:t>
    </dgm:pt>
    <dgm:pt modelId="{6163F5C2-8A7C-4D85-B3D2-EEBF1C2EBC2E}" type="sibTrans" cxnId="{A3986D8D-0433-4013-8EDA-0311B7D280D9}">
      <dgm:prSet/>
      <dgm:spPr/>
      <dgm:t>
        <a:bodyPr/>
        <a:lstStyle/>
        <a:p>
          <a:endParaRPr lang="en-AU"/>
        </a:p>
      </dgm:t>
    </dgm:pt>
    <dgm:pt modelId="{27A95B91-38A3-4F15-972F-D89F4854451B}">
      <dgm:prSet phldrT="[Text]"/>
      <dgm:spPr>
        <a:xfrm rot="5400000">
          <a:off x="2824179" y="2849448"/>
          <a:ext cx="848166" cy="4669705"/>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en-AU">
              <a:solidFill>
                <a:sysClr val="windowText" lastClr="000000">
                  <a:hueOff val="0"/>
                  <a:satOff val="0"/>
                  <a:lumOff val="0"/>
                  <a:alphaOff val="0"/>
                </a:sysClr>
              </a:solidFill>
              <a:latin typeface="Calibri"/>
              <a:ea typeface="+mn-ea"/>
              <a:cs typeface="+mn-cs"/>
            </a:rPr>
            <a:t>Serum hCG</a:t>
          </a:r>
        </a:p>
      </dgm:t>
    </dgm:pt>
    <dgm:pt modelId="{2BB5FA0E-166B-45B2-BBB0-5587A8662734}" type="parTrans" cxnId="{DD8E3034-14AC-4C60-BE48-9A33FD5772D6}">
      <dgm:prSet/>
      <dgm:spPr/>
      <dgm:t>
        <a:bodyPr/>
        <a:lstStyle/>
        <a:p>
          <a:endParaRPr lang="en-AU"/>
        </a:p>
      </dgm:t>
    </dgm:pt>
    <dgm:pt modelId="{FDF826CC-E7F9-48DB-B753-EFA3C438F9A0}" type="sibTrans" cxnId="{DD8E3034-14AC-4C60-BE48-9A33FD5772D6}">
      <dgm:prSet/>
      <dgm:spPr/>
      <dgm:t>
        <a:bodyPr/>
        <a:lstStyle/>
        <a:p>
          <a:endParaRPr lang="en-AU"/>
        </a:p>
      </dgm:t>
    </dgm:pt>
    <dgm:pt modelId="{AF7DE734-060E-43B1-A0F2-F71B60185AA3}">
      <dgm:prSet phldrT="[Text]"/>
      <dgm:spPr>
        <a:xfrm rot="5400000">
          <a:off x="2824179" y="2849448"/>
          <a:ext cx="848166" cy="4669705"/>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en-AU">
              <a:solidFill>
                <a:sysClr val="windowText" lastClr="000000">
                  <a:hueOff val="0"/>
                  <a:satOff val="0"/>
                  <a:lumOff val="0"/>
                  <a:alphaOff val="0"/>
                </a:sysClr>
              </a:solidFill>
              <a:latin typeface="Calibri"/>
              <a:ea typeface="+mn-ea"/>
              <a:cs typeface="+mn-cs"/>
            </a:rPr>
            <a:t>FBE, U&amp;Es and LFTs</a:t>
          </a:r>
        </a:p>
      </dgm:t>
    </dgm:pt>
    <dgm:pt modelId="{56B5A568-0A50-4C0E-8F0C-D6C154D9C5F7}" type="parTrans" cxnId="{267BBF1E-5A77-4B8A-915B-2DB60C8553A8}">
      <dgm:prSet/>
      <dgm:spPr/>
      <dgm:t>
        <a:bodyPr/>
        <a:lstStyle/>
        <a:p>
          <a:endParaRPr lang="en-AU"/>
        </a:p>
      </dgm:t>
    </dgm:pt>
    <dgm:pt modelId="{407F37F1-9AFC-47FF-953D-7CE8D69E91AE}" type="sibTrans" cxnId="{267BBF1E-5A77-4B8A-915B-2DB60C8553A8}">
      <dgm:prSet/>
      <dgm:spPr/>
      <dgm:t>
        <a:bodyPr/>
        <a:lstStyle/>
        <a:p>
          <a:endParaRPr lang="en-AU"/>
        </a:p>
      </dgm:t>
    </dgm:pt>
    <dgm:pt modelId="{AB1ABAD0-F5FC-472A-BD99-CEAC6120EF66}">
      <dgm:prSet phldrT="[Text]"/>
      <dgm:spPr>
        <a:xfrm rot="5400000">
          <a:off x="2824179" y="-1909166"/>
          <a:ext cx="848166" cy="4669705"/>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en-AU">
              <a:solidFill>
                <a:sysClr val="windowText" lastClr="000000">
                  <a:hueOff val="0"/>
                  <a:satOff val="0"/>
                  <a:lumOff val="0"/>
                  <a:alphaOff val="0"/>
                </a:sysClr>
              </a:solidFill>
              <a:latin typeface="Calibri"/>
              <a:ea typeface="+mn-ea"/>
              <a:cs typeface="+mn-cs"/>
            </a:rPr>
            <a:t>FBE, U&amp;Es and LFTs</a:t>
          </a:r>
        </a:p>
      </dgm:t>
    </dgm:pt>
    <dgm:pt modelId="{32222DFB-878B-4F12-B418-9C6B2ACF0CDD}" type="parTrans" cxnId="{72E24B92-4FB9-448A-B8EC-945886FE0D6F}">
      <dgm:prSet/>
      <dgm:spPr/>
      <dgm:t>
        <a:bodyPr/>
        <a:lstStyle/>
        <a:p>
          <a:endParaRPr lang="en-AU"/>
        </a:p>
      </dgm:t>
    </dgm:pt>
    <dgm:pt modelId="{DD05E1C3-A5E1-49C5-AEFB-D22BE76AC7C2}" type="sibTrans" cxnId="{72E24B92-4FB9-448A-B8EC-945886FE0D6F}">
      <dgm:prSet/>
      <dgm:spPr/>
      <dgm:t>
        <a:bodyPr/>
        <a:lstStyle/>
        <a:p>
          <a:endParaRPr lang="en-AU"/>
        </a:p>
      </dgm:t>
    </dgm:pt>
    <dgm:pt modelId="{2E18BCF8-3AE8-418F-9E5E-814F4C491BAB}">
      <dgm:prSet phldrT="[Text]"/>
      <dgm:spPr>
        <a:xfrm rot="5400000">
          <a:off x="2824179" y="-1909166"/>
          <a:ext cx="848166" cy="4669705"/>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en-AU">
              <a:solidFill>
                <a:sysClr val="windowText" lastClr="000000">
                  <a:hueOff val="0"/>
                  <a:satOff val="0"/>
                  <a:lumOff val="0"/>
                  <a:alphaOff val="0"/>
                </a:sysClr>
              </a:solidFill>
              <a:latin typeface="Calibri"/>
              <a:ea typeface="+mn-ea"/>
              <a:cs typeface="+mn-cs"/>
            </a:rPr>
            <a:t>Administer 1st dose of vinorelbine after pathology results are returned and eligibiligty for medical management and participation in trial  are confirmed - consider admission to hospital for observation or reversion to surgical management if pathology results or clinical observations are non-reassuring</a:t>
          </a:r>
        </a:p>
      </dgm:t>
    </dgm:pt>
    <dgm:pt modelId="{65B84C28-633A-4C23-87A3-9526FF5A93DF}" type="parTrans" cxnId="{09FDBCDB-FFCB-4DC4-987B-78E4F7F18B1E}">
      <dgm:prSet/>
      <dgm:spPr/>
      <dgm:t>
        <a:bodyPr/>
        <a:lstStyle/>
        <a:p>
          <a:endParaRPr lang="en-AU"/>
        </a:p>
      </dgm:t>
    </dgm:pt>
    <dgm:pt modelId="{2708B883-5A67-46C4-8069-AB84F3EF90C4}" type="sibTrans" cxnId="{09FDBCDB-FFCB-4DC4-987B-78E4F7F18B1E}">
      <dgm:prSet/>
      <dgm:spPr/>
      <dgm:t>
        <a:bodyPr/>
        <a:lstStyle/>
        <a:p>
          <a:endParaRPr lang="en-AU"/>
        </a:p>
      </dgm:t>
    </dgm:pt>
    <dgm:pt modelId="{45A87923-F9EE-436B-B33D-DC33D7845A67}">
      <dgm:prSet/>
      <dgm:spPr>
        <a:xfrm rot="5400000">
          <a:off x="-195730" y="2576640"/>
          <a:ext cx="1304871" cy="913410"/>
        </a:xfrm>
        <a:solidFill>
          <a:srgbClr val="0070C0"/>
        </a:solidFill>
        <a:ln w="25400" cap="flat" cmpd="sng" algn="ctr">
          <a:solidFill>
            <a:srgbClr val="4F81BD">
              <a:hueOff val="0"/>
              <a:satOff val="0"/>
              <a:lumOff val="0"/>
              <a:alphaOff val="0"/>
            </a:srgbClr>
          </a:solidFill>
          <a:prstDash val="solid"/>
        </a:ln>
        <a:effectLst/>
      </dgm:spPr>
      <dgm:t>
        <a:bodyPr/>
        <a:lstStyle/>
        <a:p>
          <a:r>
            <a:rPr lang="en-AU">
              <a:solidFill>
                <a:sysClr val="window" lastClr="FFFFFF"/>
              </a:solidFill>
              <a:latin typeface="Calibri"/>
              <a:ea typeface="+mn-ea"/>
              <a:cs typeface="+mn-cs"/>
            </a:rPr>
            <a:t>Day 7</a:t>
          </a:r>
        </a:p>
      </dgm:t>
    </dgm:pt>
    <dgm:pt modelId="{C8A4AD02-3537-4FC2-8522-6D76A3ECA40C}" type="parTrans" cxnId="{778600B0-6F82-47A4-BFF6-705090785B3D}">
      <dgm:prSet/>
      <dgm:spPr/>
      <dgm:t>
        <a:bodyPr/>
        <a:lstStyle/>
        <a:p>
          <a:endParaRPr lang="en-AU"/>
        </a:p>
      </dgm:t>
    </dgm:pt>
    <dgm:pt modelId="{2622F04C-0AAB-4870-BD10-93C80BF22C5D}" type="sibTrans" cxnId="{778600B0-6F82-47A4-BFF6-705090785B3D}">
      <dgm:prSet/>
      <dgm:spPr/>
      <dgm:t>
        <a:bodyPr/>
        <a:lstStyle/>
        <a:p>
          <a:endParaRPr lang="en-AU"/>
        </a:p>
      </dgm:t>
    </dgm:pt>
    <dgm:pt modelId="{11B63957-1323-4D08-9D52-B7B0B73CAE3B}">
      <dgm:prSet/>
      <dgm:spPr>
        <a:xfrm rot="5400000">
          <a:off x="-195730" y="3766294"/>
          <a:ext cx="1304871" cy="913410"/>
        </a:xfrm>
        <a:solidFill>
          <a:srgbClr val="002060"/>
        </a:solidFill>
        <a:ln w="25400" cap="flat" cmpd="sng" algn="ctr">
          <a:solidFill>
            <a:srgbClr val="4F81BD">
              <a:hueOff val="0"/>
              <a:satOff val="0"/>
              <a:lumOff val="0"/>
              <a:alphaOff val="0"/>
            </a:srgbClr>
          </a:solidFill>
          <a:prstDash val="solid"/>
        </a:ln>
        <a:effectLst/>
      </dgm:spPr>
      <dgm:t>
        <a:bodyPr/>
        <a:lstStyle/>
        <a:p>
          <a:r>
            <a:rPr lang="en-AU">
              <a:solidFill>
                <a:sysClr val="window" lastClr="FFFFFF"/>
              </a:solidFill>
              <a:latin typeface="Calibri"/>
              <a:ea typeface="+mn-ea"/>
              <a:cs typeface="+mn-cs"/>
            </a:rPr>
            <a:t>Day 11</a:t>
          </a:r>
        </a:p>
      </dgm:t>
    </dgm:pt>
    <dgm:pt modelId="{797D3017-E50C-4EBB-AC24-DC157A8A0520}" type="parTrans" cxnId="{9597ADB3-AE43-494E-99DF-F19D8319B9D5}">
      <dgm:prSet/>
      <dgm:spPr/>
      <dgm:t>
        <a:bodyPr/>
        <a:lstStyle/>
        <a:p>
          <a:endParaRPr lang="en-AU"/>
        </a:p>
      </dgm:t>
    </dgm:pt>
    <dgm:pt modelId="{C4A4C75B-F134-4BD7-8BE8-4B1BD8FA1758}" type="sibTrans" cxnId="{9597ADB3-AE43-494E-99DF-F19D8319B9D5}">
      <dgm:prSet/>
      <dgm:spPr/>
      <dgm:t>
        <a:bodyPr/>
        <a:lstStyle/>
        <a:p>
          <a:endParaRPr lang="en-AU"/>
        </a:p>
      </dgm:t>
    </dgm:pt>
    <dgm:pt modelId="{4C92B5FD-FC29-428C-AD16-F60A57AF1251}">
      <dgm:prSet phldrT="[Text]"/>
      <dgm:spPr>
        <a:xfrm rot="5400000">
          <a:off x="2824179" y="-719513"/>
          <a:ext cx="848166" cy="4669705"/>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en-AU">
              <a:solidFill>
                <a:sysClr val="windowText" lastClr="000000">
                  <a:hueOff val="0"/>
                  <a:satOff val="0"/>
                  <a:lumOff val="0"/>
                  <a:alphaOff val="0"/>
                </a:sysClr>
              </a:solidFill>
              <a:latin typeface="Calibri"/>
              <a:ea typeface="+mn-ea"/>
              <a:cs typeface="+mn-cs"/>
            </a:rPr>
            <a:t>FBE, U&amp;Es and LFTs*</a:t>
          </a:r>
        </a:p>
      </dgm:t>
    </dgm:pt>
    <dgm:pt modelId="{CFB95A93-F75F-4A4B-8720-B8F5F0FEAF2E}" type="parTrans" cxnId="{C0FCF2DC-413D-448E-A01D-C1FB54888CAE}">
      <dgm:prSet/>
      <dgm:spPr/>
      <dgm:t>
        <a:bodyPr/>
        <a:lstStyle/>
        <a:p>
          <a:endParaRPr lang="en-AU"/>
        </a:p>
      </dgm:t>
    </dgm:pt>
    <dgm:pt modelId="{49BDC223-0E63-4E57-805F-69F0DC451A41}" type="sibTrans" cxnId="{C0FCF2DC-413D-448E-A01D-C1FB54888CAE}">
      <dgm:prSet/>
      <dgm:spPr/>
      <dgm:t>
        <a:bodyPr/>
        <a:lstStyle/>
        <a:p>
          <a:endParaRPr lang="en-AU"/>
        </a:p>
      </dgm:t>
    </dgm:pt>
    <dgm:pt modelId="{18B33989-9DA1-48C5-8328-BDF1ADA7743B}">
      <dgm:prSet phldrT="[Text]"/>
      <dgm:spPr>
        <a:xfrm rot="5400000">
          <a:off x="2824179" y="-719513"/>
          <a:ext cx="848166" cy="4669705"/>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en-AU">
              <a:solidFill>
                <a:sysClr val="windowText" lastClr="000000">
                  <a:hueOff val="0"/>
                  <a:satOff val="0"/>
                  <a:lumOff val="0"/>
                  <a:alphaOff val="0"/>
                </a:sysClr>
              </a:solidFill>
              <a:latin typeface="Calibri"/>
              <a:ea typeface="+mn-ea"/>
              <a:cs typeface="+mn-cs"/>
            </a:rPr>
            <a:t>Repeat U/S (if indicated)</a:t>
          </a:r>
        </a:p>
      </dgm:t>
    </dgm:pt>
    <dgm:pt modelId="{E8C935F2-1E80-47F1-A422-62E8681BA073}" type="parTrans" cxnId="{A4718BB3-CE52-4F37-A76E-9D11C8B83573}">
      <dgm:prSet/>
      <dgm:spPr/>
      <dgm:t>
        <a:bodyPr/>
        <a:lstStyle/>
        <a:p>
          <a:endParaRPr lang="en-AU"/>
        </a:p>
      </dgm:t>
    </dgm:pt>
    <dgm:pt modelId="{5BA5AC5D-D965-45F9-BF53-69A234E39538}" type="sibTrans" cxnId="{A4718BB3-CE52-4F37-A76E-9D11C8B83573}">
      <dgm:prSet/>
      <dgm:spPr/>
      <dgm:t>
        <a:bodyPr/>
        <a:lstStyle/>
        <a:p>
          <a:endParaRPr lang="en-AU"/>
        </a:p>
      </dgm:t>
    </dgm:pt>
    <dgm:pt modelId="{EE6A5218-478F-44D3-8C64-AF73840A2395}">
      <dgm:prSet/>
      <dgm:spPr>
        <a:xfrm rot="5400000">
          <a:off x="2824179" y="470140"/>
          <a:ext cx="848166" cy="4669705"/>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en-AU">
              <a:solidFill>
                <a:sysClr val="windowText" lastClr="000000">
                  <a:hueOff val="0"/>
                  <a:satOff val="0"/>
                  <a:lumOff val="0"/>
                  <a:alphaOff val="0"/>
                </a:sysClr>
              </a:solidFill>
              <a:latin typeface="Calibri"/>
              <a:ea typeface="+mn-ea"/>
              <a:cs typeface="+mn-cs"/>
            </a:rPr>
            <a:t>Serum hCG</a:t>
          </a:r>
        </a:p>
      </dgm:t>
    </dgm:pt>
    <dgm:pt modelId="{BEC826D8-D18B-4720-8778-87D9004F32B3}" type="parTrans" cxnId="{9A1DF15F-2DCA-45FE-AE82-4A016EFDFF0D}">
      <dgm:prSet/>
      <dgm:spPr/>
      <dgm:t>
        <a:bodyPr/>
        <a:lstStyle/>
        <a:p>
          <a:endParaRPr lang="en-AU"/>
        </a:p>
      </dgm:t>
    </dgm:pt>
    <dgm:pt modelId="{373B6145-A8A1-4E99-9CE9-1FF90B85F545}" type="sibTrans" cxnId="{9A1DF15F-2DCA-45FE-AE82-4A016EFDFF0D}">
      <dgm:prSet/>
      <dgm:spPr/>
      <dgm:t>
        <a:bodyPr/>
        <a:lstStyle/>
        <a:p>
          <a:endParaRPr lang="en-AU"/>
        </a:p>
      </dgm:t>
    </dgm:pt>
    <dgm:pt modelId="{48A1B409-13F9-4854-BB74-D9935BD1C21E}">
      <dgm:prSet/>
      <dgm:spPr>
        <a:xfrm rot="5400000">
          <a:off x="2824179" y="470140"/>
          <a:ext cx="848166" cy="4669705"/>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en-AU">
              <a:solidFill>
                <a:sysClr val="windowText" lastClr="000000">
                  <a:hueOff val="0"/>
                  <a:satOff val="0"/>
                  <a:lumOff val="0"/>
                  <a:alphaOff val="0"/>
                </a:sysClr>
              </a:solidFill>
              <a:latin typeface="Calibri"/>
              <a:ea typeface="+mn-ea"/>
              <a:cs typeface="+mn-cs"/>
            </a:rPr>
            <a:t>FBE, U&amp;Es and LFTs</a:t>
          </a:r>
        </a:p>
      </dgm:t>
    </dgm:pt>
    <dgm:pt modelId="{75A33246-280C-4913-97FB-7C62792EAE3A}" type="parTrans" cxnId="{40D0DD92-FE84-425D-AF9D-7ACCB3990601}">
      <dgm:prSet/>
      <dgm:spPr/>
      <dgm:t>
        <a:bodyPr/>
        <a:lstStyle/>
        <a:p>
          <a:endParaRPr lang="en-AU"/>
        </a:p>
      </dgm:t>
    </dgm:pt>
    <dgm:pt modelId="{2F702D2E-BDD1-4910-9F03-FB399B5F6838}" type="sibTrans" cxnId="{40D0DD92-FE84-425D-AF9D-7ACCB3990601}">
      <dgm:prSet/>
      <dgm:spPr/>
      <dgm:t>
        <a:bodyPr/>
        <a:lstStyle/>
        <a:p>
          <a:endParaRPr lang="en-AU"/>
        </a:p>
      </dgm:t>
    </dgm:pt>
    <dgm:pt modelId="{D852F768-C3E5-4D5B-8F48-AA102BDA59A7}">
      <dgm:prSet/>
      <dgm:spPr>
        <a:xfrm rot="5400000">
          <a:off x="2824179" y="470140"/>
          <a:ext cx="848166" cy="4669705"/>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en-AU">
              <a:solidFill>
                <a:sysClr val="windowText" lastClr="000000">
                  <a:hueOff val="0"/>
                  <a:satOff val="0"/>
                  <a:lumOff val="0"/>
                  <a:alphaOff val="0"/>
                </a:sysClr>
              </a:solidFill>
              <a:latin typeface="Calibri"/>
              <a:ea typeface="+mn-ea"/>
              <a:cs typeface="+mn-cs"/>
            </a:rPr>
            <a:t>Repeat U/S (if indicated)</a:t>
          </a:r>
        </a:p>
      </dgm:t>
    </dgm:pt>
    <dgm:pt modelId="{6432A655-C410-4E13-A818-A6EC51F30182}" type="parTrans" cxnId="{BB186A18-C40D-4FB2-9B33-C0D5DFEF8C46}">
      <dgm:prSet/>
      <dgm:spPr/>
      <dgm:t>
        <a:bodyPr/>
        <a:lstStyle/>
        <a:p>
          <a:endParaRPr lang="en-AU"/>
        </a:p>
      </dgm:t>
    </dgm:pt>
    <dgm:pt modelId="{7E94D951-FDCE-4896-9058-040D59F98661}" type="sibTrans" cxnId="{BB186A18-C40D-4FB2-9B33-C0D5DFEF8C46}">
      <dgm:prSet/>
      <dgm:spPr/>
      <dgm:t>
        <a:bodyPr/>
        <a:lstStyle/>
        <a:p>
          <a:endParaRPr lang="en-AU"/>
        </a:p>
      </dgm:t>
    </dgm:pt>
    <dgm:pt modelId="{E8D84B45-C3B5-4893-982D-73109E1B3929}">
      <dgm:prSet/>
      <dgm:spPr>
        <a:xfrm rot="5400000">
          <a:off x="2824179" y="1659794"/>
          <a:ext cx="848166" cy="4669705"/>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en-AU">
              <a:solidFill>
                <a:sysClr val="windowText" lastClr="000000">
                  <a:hueOff val="0"/>
                  <a:satOff val="0"/>
                  <a:lumOff val="0"/>
                  <a:alphaOff val="0"/>
                </a:sysClr>
              </a:solidFill>
              <a:latin typeface="Calibri"/>
              <a:ea typeface="+mn-ea"/>
              <a:cs typeface="+mn-cs"/>
            </a:rPr>
            <a:t>Additional serum hCG level* to be performed</a:t>
          </a:r>
        </a:p>
      </dgm:t>
    </dgm:pt>
    <dgm:pt modelId="{703AFC85-140B-4791-AA54-DCF3EDB0FF3C}" type="parTrans" cxnId="{D86266A8-01CF-4F38-8BB8-9AF7C0C9619F}">
      <dgm:prSet/>
      <dgm:spPr/>
      <dgm:t>
        <a:bodyPr/>
        <a:lstStyle/>
        <a:p>
          <a:endParaRPr lang="en-AU"/>
        </a:p>
      </dgm:t>
    </dgm:pt>
    <dgm:pt modelId="{B805E3FB-D7E6-49B3-9FE4-3E6E54F92A66}" type="sibTrans" cxnId="{D86266A8-01CF-4F38-8BB8-9AF7C0C9619F}">
      <dgm:prSet/>
      <dgm:spPr/>
      <dgm:t>
        <a:bodyPr/>
        <a:lstStyle/>
        <a:p>
          <a:endParaRPr lang="en-AU"/>
        </a:p>
      </dgm:t>
    </dgm:pt>
    <dgm:pt modelId="{4DBC3CBF-84E2-4CA2-B70D-F485CFA7895B}">
      <dgm:prSet phldrT="[Text]"/>
      <dgm:spPr>
        <a:xfrm rot="5400000">
          <a:off x="2824179" y="2849448"/>
          <a:ext cx="848166" cy="4669705"/>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en-AU">
              <a:solidFill>
                <a:sysClr val="windowText" lastClr="000000">
                  <a:hueOff val="0"/>
                  <a:satOff val="0"/>
                  <a:lumOff val="0"/>
                  <a:alphaOff val="0"/>
                </a:sysClr>
              </a:solidFill>
              <a:latin typeface="Calibri"/>
              <a:ea typeface="+mn-ea"/>
              <a:cs typeface="+mn-cs"/>
            </a:rPr>
            <a:t>Repeat U/S (if indicated)</a:t>
          </a:r>
        </a:p>
      </dgm:t>
    </dgm:pt>
    <dgm:pt modelId="{13335C5D-F250-4FD3-BB17-C2820465A4D8}" type="parTrans" cxnId="{44E20535-9E63-4971-A574-A8A4E61825D4}">
      <dgm:prSet/>
      <dgm:spPr/>
      <dgm:t>
        <a:bodyPr/>
        <a:lstStyle/>
        <a:p>
          <a:endParaRPr lang="en-AU"/>
        </a:p>
      </dgm:t>
    </dgm:pt>
    <dgm:pt modelId="{58B493C2-6321-4D80-92F1-1CAAB6CE3DD1}" type="sibTrans" cxnId="{44E20535-9E63-4971-A574-A8A4E61825D4}">
      <dgm:prSet/>
      <dgm:spPr/>
      <dgm:t>
        <a:bodyPr/>
        <a:lstStyle/>
        <a:p>
          <a:endParaRPr lang="en-AU"/>
        </a:p>
      </dgm:t>
    </dgm:pt>
    <dgm:pt modelId="{33D00B35-AD51-448A-828C-C72EDFB6697B}">
      <dgm:prSet/>
      <dgm:spPr>
        <a:xfrm rot="5400000">
          <a:off x="2824179" y="470140"/>
          <a:ext cx="848166" cy="4669705"/>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en-AU">
              <a:solidFill>
                <a:sysClr val="windowText" lastClr="000000">
                  <a:hueOff val="0"/>
                  <a:satOff val="0"/>
                  <a:lumOff val="0"/>
                  <a:alphaOff val="0"/>
                </a:sysClr>
              </a:solidFill>
              <a:latin typeface="Calibri"/>
              <a:ea typeface="+mn-ea"/>
              <a:cs typeface="+mn-cs"/>
            </a:rPr>
            <a:t>Administer 2nd dose of vinorelbine after pathology results are returned and eligibilty for continuing with medical management and participation in trial are confimed - consider admission to hospital for observation or reversion to surgical management if pathology results or clinical observations are non-reassuring</a:t>
          </a:r>
        </a:p>
      </dgm:t>
    </dgm:pt>
    <dgm:pt modelId="{3684960C-A91A-476B-BB1B-DA864182536C}" type="parTrans" cxnId="{283BB1CE-E246-4B1B-9531-E680D1B3F601}">
      <dgm:prSet/>
      <dgm:spPr/>
      <dgm:t>
        <a:bodyPr/>
        <a:lstStyle/>
        <a:p>
          <a:endParaRPr lang="en-AU"/>
        </a:p>
      </dgm:t>
    </dgm:pt>
    <dgm:pt modelId="{C7A58434-6DB2-4031-8D03-A24FB3C5A889}" type="sibTrans" cxnId="{283BB1CE-E246-4B1B-9531-E680D1B3F601}">
      <dgm:prSet/>
      <dgm:spPr/>
      <dgm:t>
        <a:bodyPr/>
        <a:lstStyle/>
        <a:p>
          <a:endParaRPr lang="en-AU"/>
        </a:p>
      </dgm:t>
    </dgm:pt>
    <dgm:pt modelId="{D83CF395-393F-4E0A-8585-E22B280CFC0B}">
      <dgm:prSet phldrT="[Text]"/>
      <dgm:spPr>
        <a:xfrm rot="5400000">
          <a:off x="2824179" y="-719513"/>
          <a:ext cx="848166" cy="4669705"/>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en-AU">
              <a:solidFill>
                <a:sysClr val="windowText" lastClr="000000">
                  <a:hueOff val="0"/>
                  <a:satOff val="0"/>
                  <a:lumOff val="0"/>
                  <a:alphaOff val="0"/>
                </a:sysClr>
              </a:solidFill>
              <a:latin typeface="Calibri"/>
              <a:ea typeface="+mn-ea"/>
              <a:cs typeface="+mn-cs"/>
            </a:rPr>
            <a:t>Assess for ongoing eligibility for medical management and trial participation - consider admission to hospital for observation or reversion to surgical management if pathology results or clinical observations are non-reassuring</a:t>
          </a:r>
        </a:p>
      </dgm:t>
    </dgm:pt>
    <dgm:pt modelId="{917A4A9D-437D-4288-96B8-5111FD35E14D}" type="parTrans" cxnId="{83EE09C4-9FFD-4401-83EC-1BD310EC2B5A}">
      <dgm:prSet/>
      <dgm:spPr/>
      <dgm:t>
        <a:bodyPr/>
        <a:lstStyle/>
        <a:p>
          <a:endParaRPr lang="en-AU"/>
        </a:p>
      </dgm:t>
    </dgm:pt>
    <dgm:pt modelId="{C4EDDD0F-F645-46D1-AC49-7958A683749C}" type="sibTrans" cxnId="{83EE09C4-9FFD-4401-83EC-1BD310EC2B5A}">
      <dgm:prSet/>
      <dgm:spPr/>
      <dgm:t>
        <a:bodyPr/>
        <a:lstStyle/>
        <a:p>
          <a:endParaRPr lang="en-AU"/>
        </a:p>
      </dgm:t>
    </dgm:pt>
    <dgm:pt modelId="{A103C16B-D368-4EA3-A971-58D10689575C}">
      <dgm:prSet phldrT="[Text]"/>
      <dgm:spPr>
        <a:xfrm rot="5400000">
          <a:off x="2824179" y="-1909166"/>
          <a:ext cx="848166" cy="4669705"/>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en-AU">
              <a:solidFill>
                <a:sysClr val="windowText" lastClr="000000">
                  <a:hueOff val="0"/>
                  <a:satOff val="0"/>
                  <a:lumOff val="0"/>
                  <a:alphaOff val="0"/>
                </a:sysClr>
              </a:solidFill>
              <a:latin typeface="Calibri"/>
              <a:ea typeface="+mn-ea"/>
              <a:cs typeface="+mn-cs"/>
            </a:rPr>
            <a:t>Perform clinical examination to assess for signs of evolving tubular rupture, haemodynamic instability, or other compromise</a:t>
          </a:r>
        </a:p>
      </dgm:t>
    </dgm:pt>
    <dgm:pt modelId="{F3A47C81-BA59-4314-8E2C-B147A3974091}" type="parTrans" cxnId="{CC375813-0376-4138-B298-79934FD67D0E}">
      <dgm:prSet/>
      <dgm:spPr/>
      <dgm:t>
        <a:bodyPr/>
        <a:lstStyle/>
        <a:p>
          <a:endParaRPr lang="en-AU"/>
        </a:p>
      </dgm:t>
    </dgm:pt>
    <dgm:pt modelId="{914C0D21-5651-4413-A07B-97F865758F9C}" type="sibTrans" cxnId="{CC375813-0376-4138-B298-79934FD67D0E}">
      <dgm:prSet/>
      <dgm:spPr/>
      <dgm:t>
        <a:bodyPr/>
        <a:lstStyle/>
        <a:p>
          <a:endParaRPr lang="en-AU"/>
        </a:p>
      </dgm:t>
    </dgm:pt>
    <dgm:pt modelId="{BD24353B-64F5-471F-B5BE-2F3BB0270438}">
      <dgm:prSet phldrT="[Text]"/>
      <dgm:spPr>
        <a:xfrm rot="5400000">
          <a:off x="2824179" y="-719513"/>
          <a:ext cx="848166" cy="4669705"/>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en-AU">
              <a:solidFill>
                <a:sysClr val="windowText" lastClr="000000">
                  <a:hueOff val="0"/>
                  <a:satOff val="0"/>
                  <a:lumOff val="0"/>
                  <a:alphaOff val="0"/>
                </a:sysClr>
              </a:solidFill>
              <a:latin typeface="Calibri"/>
              <a:ea typeface="+mn-ea"/>
              <a:cs typeface="+mn-cs"/>
            </a:rPr>
            <a:t>Perform clinical examination to assess for signs of evolving tubular rupture, haemodynamic instability, or other compromise</a:t>
          </a:r>
        </a:p>
      </dgm:t>
    </dgm:pt>
    <dgm:pt modelId="{DD3A297C-3BA5-44A0-AC77-5CBF7706966C}" type="parTrans" cxnId="{C19BF69B-1973-436A-8079-37CA7EB6F0AD}">
      <dgm:prSet/>
      <dgm:spPr/>
      <dgm:t>
        <a:bodyPr/>
        <a:lstStyle/>
        <a:p>
          <a:endParaRPr lang="en-AU"/>
        </a:p>
      </dgm:t>
    </dgm:pt>
    <dgm:pt modelId="{573B64EE-8E31-4488-A526-61C110C81FAD}" type="sibTrans" cxnId="{C19BF69B-1973-436A-8079-37CA7EB6F0AD}">
      <dgm:prSet/>
      <dgm:spPr/>
      <dgm:t>
        <a:bodyPr/>
        <a:lstStyle/>
        <a:p>
          <a:endParaRPr lang="en-AU"/>
        </a:p>
      </dgm:t>
    </dgm:pt>
    <dgm:pt modelId="{E70281D4-05A1-4D33-85E5-9279C797C50D}">
      <dgm:prSet/>
      <dgm:spPr>
        <a:xfrm rot="5400000">
          <a:off x="2824179" y="470140"/>
          <a:ext cx="848166" cy="4669705"/>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en-AU">
              <a:solidFill>
                <a:sysClr val="windowText" lastClr="000000">
                  <a:hueOff val="0"/>
                  <a:satOff val="0"/>
                  <a:lumOff val="0"/>
                  <a:alphaOff val="0"/>
                </a:sysClr>
              </a:solidFill>
              <a:latin typeface="Calibri"/>
              <a:ea typeface="+mn-ea"/>
              <a:cs typeface="+mn-cs"/>
            </a:rPr>
            <a:t>Perform clinical examination to assess for signs of evolving tubular rupture or haemodynamic instability, or other compromise</a:t>
          </a:r>
        </a:p>
      </dgm:t>
    </dgm:pt>
    <dgm:pt modelId="{EA707214-F650-43CA-97D7-0010F4A2540A}" type="parTrans" cxnId="{54EF6A1C-2A0B-4ECF-85CE-2C4EFF1C4D2E}">
      <dgm:prSet/>
      <dgm:spPr/>
      <dgm:t>
        <a:bodyPr/>
        <a:lstStyle/>
        <a:p>
          <a:endParaRPr lang="en-AU"/>
        </a:p>
      </dgm:t>
    </dgm:pt>
    <dgm:pt modelId="{F3D53E7C-280E-4DD2-9281-84718FEF635D}" type="sibTrans" cxnId="{54EF6A1C-2A0B-4ECF-85CE-2C4EFF1C4D2E}">
      <dgm:prSet/>
      <dgm:spPr/>
      <dgm:t>
        <a:bodyPr/>
        <a:lstStyle/>
        <a:p>
          <a:endParaRPr lang="en-AU"/>
        </a:p>
      </dgm:t>
    </dgm:pt>
    <dgm:pt modelId="{C4EF0ED6-E90D-4F9F-BA19-4DAB9B524671}">
      <dgm:prSet/>
      <dgm:spPr>
        <a:xfrm rot="5400000">
          <a:off x="2824179" y="1659794"/>
          <a:ext cx="848166" cy="4669705"/>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en-AU">
              <a:solidFill>
                <a:sysClr val="windowText" lastClr="000000">
                  <a:hueOff val="0"/>
                  <a:satOff val="0"/>
                  <a:lumOff val="0"/>
                  <a:alphaOff val="0"/>
                </a:sysClr>
              </a:solidFill>
              <a:latin typeface="Calibri"/>
              <a:ea typeface="+mn-ea"/>
              <a:cs typeface="+mn-cs"/>
            </a:rPr>
            <a:t>Perform clinical examination to assess for signs of evolving tubular rupture or haemodynamic instability, or other compromise</a:t>
          </a:r>
        </a:p>
      </dgm:t>
    </dgm:pt>
    <dgm:pt modelId="{44D4F6C5-6295-4C9D-9D6A-D9B8F887F0C8}" type="parTrans" cxnId="{D0E28849-3987-489B-9875-FA390DC9E7A7}">
      <dgm:prSet/>
      <dgm:spPr/>
      <dgm:t>
        <a:bodyPr/>
        <a:lstStyle/>
        <a:p>
          <a:endParaRPr lang="en-AU"/>
        </a:p>
      </dgm:t>
    </dgm:pt>
    <dgm:pt modelId="{728E6894-1CF8-4640-87CB-C3738B507ED7}" type="sibTrans" cxnId="{D0E28849-3987-489B-9875-FA390DC9E7A7}">
      <dgm:prSet/>
      <dgm:spPr/>
      <dgm:t>
        <a:bodyPr/>
        <a:lstStyle/>
        <a:p>
          <a:endParaRPr lang="en-AU"/>
        </a:p>
      </dgm:t>
    </dgm:pt>
    <dgm:pt modelId="{74534615-AC51-4D13-8B5F-108CBA1EB2F7}">
      <dgm:prSet phldrT="[Text]"/>
      <dgm:spPr>
        <a:xfrm rot="5400000">
          <a:off x="2824179" y="2849448"/>
          <a:ext cx="848166" cy="4669705"/>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en-AU">
              <a:solidFill>
                <a:sysClr val="windowText" lastClr="000000">
                  <a:hueOff val="0"/>
                  <a:satOff val="0"/>
                  <a:lumOff val="0"/>
                  <a:alphaOff val="0"/>
                </a:sysClr>
              </a:solidFill>
              <a:latin typeface="Calibri"/>
              <a:ea typeface="+mn-ea"/>
              <a:cs typeface="+mn-cs"/>
            </a:rPr>
            <a:t>Perform clinical examination to assess for signs of evolving tubular rupture or haemodynamic instability, or other compromise</a:t>
          </a:r>
        </a:p>
      </dgm:t>
    </dgm:pt>
    <dgm:pt modelId="{4245BA73-96DF-460C-B4DA-FE79BA329D86}" type="parTrans" cxnId="{2928EE02-9889-487B-B7AB-F2717AB43E61}">
      <dgm:prSet/>
      <dgm:spPr/>
      <dgm:t>
        <a:bodyPr/>
        <a:lstStyle/>
        <a:p>
          <a:endParaRPr lang="en-AU"/>
        </a:p>
      </dgm:t>
    </dgm:pt>
    <dgm:pt modelId="{EAF201FB-FD86-4882-89A7-FD78635A0186}" type="sibTrans" cxnId="{2928EE02-9889-487B-B7AB-F2717AB43E61}">
      <dgm:prSet/>
      <dgm:spPr/>
      <dgm:t>
        <a:bodyPr/>
        <a:lstStyle/>
        <a:p>
          <a:endParaRPr lang="en-AU"/>
        </a:p>
      </dgm:t>
    </dgm:pt>
    <dgm:pt modelId="{EA3191FE-91D4-44C6-A88C-85C3BC160527}">
      <dgm:prSet phldrT="[Text]"/>
      <dgm:spPr>
        <a:xfrm rot="5400000">
          <a:off x="2824179" y="2849448"/>
          <a:ext cx="848166" cy="4669705"/>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en-AU">
              <a:solidFill>
                <a:sysClr val="windowText" lastClr="000000">
                  <a:hueOff val="0"/>
                  <a:satOff val="0"/>
                  <a:lumOff val="0"/>
                  <a:alphaOff val="0"/>
                </a:sysClr>
              </a:solidFill>
              <a:latin typeface="Calibri"/>
              <a:ea typeface="+mn-ea"/>
              <a:cs typeface="+mn-cs"/>
            </a:rPr>
            <a:t>Assess for ongoing eligibility for medical management and trial participation - consider admission to hospital for observation or reversion to surgical management if pathology results or clinical observations are non-reassuring</a:t>
          </a:r>
        </a:p>
      </dgm:t>
    </dgm:pt>
    <dgm:pt modelId="{637C4FAE-9939-436D-BA88-63FC202CE559}" type="parTrans" cxnId="{2C31DC98-8B94-478F-A278-9F11BFCBF556}">
      <dgm:prSet/>
      <dgm:spPr/>
      <dgm:t>
        <a:bodyPr/>
        <a:lstStyle/>
        <a:p>
          <a:endParaRPr lang="en-AU"/>
        </a:p>
      </dgm:t>
    </dgm:pt>
    <dgm:pt modelId="{6DD7E39F-E2AE-4339-8D99-B4E5A5B6F0DA}" type="sibTrans" cxnId="{2C31DC98-8B94-478F-A278-9F11BFCBF556}">
      <dgm:prSet/>
      <dgm:spPr/>
      <dgm:t>
        <a:bodyPr/>
        <a:lstStyle/>
        <a:p>
          <a:endParaRPr lang="en-AU"/>
        </a:p>
      </dgm:t>
    </dgm:pt>
    <dgm:pt modelId="{3D311BD6-B335-4823-8EDC-A32246A0BDF0}">
      <dgm:prSet/>
      <dgm:spPr>
        <a:xfrm rot="5400000">
          <a:off x="2824179" y="1659794"/>
          <a:ext cx="848166" cy="4669705"/>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endParaRPr lang="en-AU">
            <a:solidFill>
              <a:sysClr val="windowText" lastClr="000000">
                <a:hueOff val="0"/>
                <a:satOff val="0"/>
                <a:lumOff val="0"/>
                <a:alphaOff val="0"/>
              </a:sysClr>
            </a:solidFill>
            <a:latin typeface="Calibri"/>
            <a:ea typeface="+mn-ea"/>
            <a:cs typeface="+mn-cs"/>
          </a:endParaRPr>
        </a:p>
      </dgm:t>
    </dgm:pt>
    <dgm:pt modelId="{2CE4DF36-8CC0-409D-9BF5-8F0E55B21C6B}" type="parTrans" cxnId="{3E42D459-1A1A-4F64-9D44-2873B9464F7A}">
      <dgm:prSet/>
      <dgm:spPr/>
      <dgm:t>
        <a:bodyPr/>
        <a:lstStyle/>
        <a:p>
          <a:endParaRPr lang="en-AU"/>
        </a:p>
      </dgm:t>
    </dgm:pt>
    <dgm:pt modelId="{F2C3C206-5AF7-40D8-B840-396FFE2A4E5D}" type="sibTrans" cxnId="{3E42D459-1A1A-4F64-9D44-2873B9464F7A}">
      <dgm:prSet/>
      <dgm:spPr/>
      <dgm:t>
        <a:bodyPr/>
        <a:lstStyle/>
        <a:p>
          <a:endParaRPr lang="en-AU"/>
        </a:p>
      </dgm:t>
    </dgm:pt>
    <dgm:pt modelId="{162B5EC0-67BA-4C72-96BA-FF42343CEB7A}">
      <dgm:prSet/>
      <dgm:spPr>
        <a:xfrm rot="5400000">
          <a:off x="2824179" y="1659794"/>
          <a:ext cx="848166" cy="4669705"/>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en-AU">
              <a:solidFill>
                <a:sysClr val="windowText" lastClr="000000">
                  <a:hueOff val="0"/>
                  <a:satOff val="0"/>
                  <a:lumOff val="0"/>
                  <a:alphaOff val="0"/>
                </a:sysClr>
              </a:solidFill>
              <a:latin typeface="Calibri"/>
              <a:ea typeface="+mn-ea"/>
              <a:cs typeface="+mn-cs"/>
            </a:rPr>
            <a:t>Assess for ongoing eligibility for medical management and trial participation  - consider admission to hospital for observation or reversion to surgical management if pathology results or clinical observations are non-reassuring</a:t>
          </a:r>
        </a:p>
      </dgm:t>
    </dgm:pt>
    <dgm:pt modelId="{90BEA6DC-3C9F-43EE-A9FD-47BB136E44D6}" type="parTrans" cxnId="{3892F13D-B35F-4CF1-A487-AA24530E08D3}">
      <dgm:prSet/>
      <dgm:spPr/>
    </dgm:pt>
    <dgm:pt modelId="{9BBEA167-A9E1-4A8B-85A6-1C3ACCADB90A}" type="sibTrans" cxnId="{3892F13D-B35F-4CF1-A487-AA24530E08D3}">
      <dgm:prSet/>
      <dgm:spPr/>
    </dgm:pt>
    <dgm:pt modelId="{0B1FF3A8-2790-4646-937F-841A9C6B4E89}">
      <dgm:prSet/>
      <dgm:spPr>
        <a:xfrm rot="5400000">
          <a:off x="2824179" y="1659794"/>
          <a:ext cx="848166" cy="4669705"/>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en-AU" b="1" u="sng">
              <a:solidFill>
                <a:sysClr val="windowText" lastClr="000000">
                  <a:hueOff val="0"/>
                  <a:satOff val="0"/>
                  <a:lumOff val="0"/>
                  <a:alphaOff val="0"/>
                </a:sysClr>
              </a:solidFill>
              <a:latin typeface="Calibri"/>
              <a:ea typeface="+mn-ea"/>
              <a:cs typeface="+mn-cs"/>
            </a:rPr>
            <a:t>ONLY IF serum hCG remains persistently elevated (i.e. Day 7 hCG result ≥ Day 4 hCG result):</a:t>
          </a:r>
        </a:p>
      </dgm:t>
    </dgm:pt>
    <dgm:pt modelId="{BB137211-960D-4ADD-9C58-00C136BE0470}" type="parTrans" cxnId="{21685D29-F6A8-4CD2-ABFE-D1C0E6C67F21}">
      <dgm:prSet/>
      <dgm:spPr/>
    </dgm:pt>
    <dgm:pt modelId="{83C6E865-02EA-4533-8D37-F71278294C27}" type="sibTrans" cxnId="{21685D29-F6A8-4CD2-ABFE-D1C0E6C67F21}">
      <dgm:prSet/>
      <dgm:spPr/>
    </dgm:pt>
    <dgm:pt modelId="{3F612E74-3ABA-44D0-8D40-4B115050D5EC}">
      <dgm:prSet phldrT="[Text]"/>
      <dgm:spPr>
        <a:xfrm rot="5400000">
          <a:off x="2824179" y="2849448"/>
          <a:ext cx="848166" cy="4669705"/>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en-AU" b="1" u="sng">
              <a:solidFill>
                <a:sysClr val="windowText" lastClr="000000">
                  <a:hueOff val="0"/>
                  <a:satOff val="0"/>
                  <a:lumOff val="0"/>
                  <a:alphaOff val="0"/>
                </a:sysClr>
              </a:solidFill>
              <a:latin typeface="Calibri"/>
              <a:ea typeface="+mn-ea"/>
              <a:cs typeface="+mn-cs"/>
            </a:rPr>
            <a:t>ONLY IF 2nd dose of vinorelbine administered on Day 7:</a:t>
          </a:r>
        </a:p>
      </dgm:t>
    </dgm:pt>
    <dgm:pt modelId="{8ABAD7AB-A316-42A9-8A01-E96B54B764FF}" type="parTrans" cxnId="{A6AC0F8C-89B5-4ACD-A0B0-1E9349259534}">
      <dgm:prSet/>
      <dgm:spPr/>
    </dgm:pt>
    <dgm:pt modelId="{5551B30E-352E-4B93-901C-E13027209955}" type="sibTrans" cxnId="{A6AC0F8C-89B5-4ACD-A0B0-1E9349259534}">
      <dgm:prSet/>
      <dgm:spPr/>
    </dgm:pt>
    <dgm:pt modelId="{E7A3E62A-303C-40E2-A14F-26995306AFFB}" type="pres">
      <dgm:prSet presAssocID="{6D3BC33E-342F-432E-BDC3-BAACDCFB1117}" presName="linearFlow" presStyleCnt="0">
        <dgm:presLayoutVars>
          <dgm:dir/>
          <dgm:animLvl val="lvl"/>
          <dgm:resizeHandles val="exact"/>
        </dgm:presLayoutVars>
      </dgm:prSet>
      <dgm:spPr/>
      <dgm:t>
        <a:bodyPr/>
        <a:lstStyle/>
        <a:p>
          <a:endParaRPr lang="en-AU"/>
        </a:p>
      </dgm:t>
    </dgm:pt>
    <dgm:pt modelId="{7E972816-B70C-4BDB-89BB-D1ECA169F945}" type="pres">
      <dgm:prSet presAssocID="{B2D9B573-571A-4B5F-BC35-0420AB691787}" presName="composite" presStyleCnt="0"/>
      <dgm:spPr/>
    </dgm:pt>
    <dgm:pt modelId="{E4A89586-17B4-4B98-B577-CBECBD55416E}" type="pres">
      <dgm:prSet presAssocID="{B2D9B573-571A-4B5F-BC35-0420AB691787}" presName="parentText" presStyleLbl="alignNode1" presStyleIdx="0" presStyleCnt="5">
        <dgm:presLayoutVars>
          <dgm:chMax val="1"/>
          <dgm:bulletEnabled val="1"/>
        </dgm:presLayoutVars>
      </dgm:prSet>
      <dgm:spPr>
        <a:prstGeom prst="chevron">
          <a:avLst/>
        </a:prstGeom>
      </dgm:spPr>
      <dgm:t>
        <a:bodyPr/>
        <a:lstStyle/>
        <a:p>
          <a:endParaRPr lang="en-AU"/>
        </a:p>
      </dgm:t>
    </dgm:pt>
    <dgm:pt modelId="{A01661B5-DF7E-4B46-B783-0B401BE60EA2}" type="pres">
      <dgm:prSet presAssocID="{B2D9B573-571A-4B5F-BC35-0420AB691787}" presName="descendantText" presStyleLbl="alignAcc1" presStyleIdx="0" presStyleCnt="5">
        <dgm:presLayoutVars>
          <dgm:bulletEnabled val="1"/>
        </dgm:presLayoutVars>
      </dgm:prSet>
      <dgm:spPr>
        <a:prstGeom prst="round2SameRect">
          <a:avLst/>
        </a:prstGeom>
      </dgm:spPr>
      <dgm:t>
        <a:bodyPr/>
        <a:lstStyle/>
        <a:p>
          <a:endParaRPr lang="en-AU"/>
        </a:p>
      </dgm:t>
    </dgm:pt>
    <dgm:pt modelId="{940EA5D7-F083-4491-8E3B-669845716EE4}" type="pres">
      <dgm:prSet presAssocID="{697F2AC4-9C38-4A70-A417-171A4D83B0BF}" presName="sp" presStyleCnt="0"/>
      <dgm:spPr/>
    </dgm:pt>
    <dgm:pt modelId="{0CAD3B96-D852-4B95-97D0-AA75EE9FAD7D}" type="pres">
      <dgm:prSet presAssocID="{ED13F906-3862-485C-8458-50922B90F671}" presName="composite" presStyleCnt="0"/>
      <dgm:spPr/>
    </dgm:pt>
    <dgm:pt modelId="{115242A9-F1EA-4EDA-85F9-3B9FF9FB07FC}" type="pres">
      <dgm:prSet presAssocID="{ED13F906-3862-485C-8458-50922B90F671}" presName="parentText" presStyleLbl="alignNode1" presStyleIdx="1" presStyleCnt="5">
        <dgm:presLayoutVars>
          <dgm:chMax val="1"/>
          <dgm:bulletEnabled val="1"/>
        </dgm:presLayoutVars>
      </dgm:prSet>
      <dgm:spPr>
        <a:prstGeom prst="chevron">
          <a:avLst/>
        </a:prstGeom>
      </dgm:spPr>
      <dgm:t>
        <a:bodyPr/>
        <a:lstStyle/>
        <a:p>
          <a:endParaRPr lang="en-AU"/>
        </a:p>
      </dgm:t>
    </dgm:pt>
    <dgm:pt modelId="{0E61F549-9651-49B5-BAE1-E4A2BF771F5F}" type="pres">
      <dgm:prSet presAssocID="{ED13F906-3862-485C-8458-50922B90F671}" presName="descendantText" presStyleLbl="alignAcc1" presStyleIdx="1" presStyleCnt="5">
        <dgm:presLayoutVars>
          <dgm:bulletEnabled val="1"/>
        </dgm:presLayoutVars>
      </dgm:prSet>
      <dgm:spPr>
        <a:prstGeom prst="round2SameRect">
          <a:avLst/>
        </a:prstGeom>
      </dgm:spPr>
      <dgm:t>
        <a:bodyPr/>
        <a:lstStyle/>
        <a:p>
          <a:endParaRPr lang="en-AU"/>
        </a:p>
      </dgm:t>
    </dgm:pt>
    <dgm:pt modelId="{579B5D62-EBAB-4A5A-A3C8-ACB27A2FC385}" type="pres">
      <dgm:prSet presAssocID="{4C859F8D-0079-48F3-B217-EC4BC8C642CD}" presName="sp" presStyleCnt="0"/>
      <dgm:spPr/>
    </dgm:pt>
    <dgm:pt modelId="{142E5C87-042F-42D0-831E-962CDF4BE16C}" type="pres">
      <dgm:prSet presAssocID="{45A87923-F9EE-436B-B33D-DC33D7845A67}" presName="composite" presStyleCnt="0"/>
      <dgm:spPr/>
    </dgm:pt>
    <dgm:pt modelId="{FC21F18B-B04E-4A63-A7CF-EB36DA1D85D1}" type="pres">
      <dgm:prSet presAssocID="{45A87923-F9EE-436B-B33D-DC33D7845A67}" presName="parentText" presStyleLbl="alignNode1" presStyleIdx="2" presStyleCnt="5">
        <dgm:presLayoutVars>
          <dgm:chMax val="1"/>
          <dgm:bulletEnabled val="1"/>
        </dgm:presLayoutVars>
      </dgm:prSet>
      <dgm:spPr>
        <a:prstGeom prst="chevron">
          <a:avLst/>
        </a:prstGeom>
      </dgm:spPr>
      <dgm:t>
        <a:bodyPr/>
        <a:lstStyle/>
        <a:p>
          <a:endParaRPr lang="en-AU"/>
        </a:p>
      </dgm:t>
    </dgm:pt>
    <dgm:pt modelId="{947F6629-E9E0-4CDA-9FBC-3132BC9231EF}" type="pres">
      <dgm:prSet presAssocID="{45A87923-F9EE-436B-B33D-DC33D7845A67}" presName="descendantText" presStyleLbl="alignAcc1" presStyleIdx="2" presStyleCnt="5">
        <dgm:presLayoutVars>
          <dgm:bulletEnabled val="1"/>
        </dgm:presLayoutVars>
      </dgm:prSet>
      <dgm:spPr>
        <a:prstGeom prst="round2SameRect">
          <a:avLst/>
        </a:prstGeom>
      </dgm:spPr>
      <dgm:t>
        <a:bodyPr/>
        <a:lstStyle/>
        <a:p>
          <a:endParaRPr lang="en-AU"/>
        </a:p>
      </dgm:t>
    </dgm:pt>
    <dgm:pt modelId="{D88E0F0D-6D24-434F-8D7D-9DC459CFA920}" type="pres">
      <dgm:prSet presAssocID="{2622F04C-0AAB-4870-BD10-93C80BF22C5D}" presName="sp" presStyleCnt="0"/>
      <dgm:spPr/>
    </dgm:pt>
    <dgm:pt modelId="{2C23E10E-D8AC-42BD-A065-7B108927FE06}" type="pres">
      <dgm:prSet presAssocID="{11B63957-1323-4D08-9D52-B7B0B73CAE3B}" presName="composite" presStyleCnt="0"/>
      <dgm:spPr/>
    </dgm:pt>
    <dgm:pt modelId="{9F1FA384-C293-4CCD-83AB-55FD589D0466}" type="pres">
      <dgm:prSet presAssocID="{11B63957-1323-4D08-9D52-B7B0B73CAE3B}" presName="parentText" presStyleLbl="alignNode1" presStyleIdx="3" presStyleCnt="5">
        <dgm:presLayoutVars>
          <dgm:chMax val="1"/>
          <dgm:bulletEnabled val="1"/>
        </dgm:presLayoutVars>
      </dgm:prSet>
      <dgm:spPr>
        <a:prstGeom prst="chevron">
          <a:avLst/>
        </a:prstGeom>
      </dgm:spPr>
      <dgm:t>
        <a:bodyPr/>
        <a:lstStyle/>
        <a:p>
          <a:endParaRPr lang="en-AU"/>
        </a:p>
      </dgm:t>
    </dgm:pt>
    <dgm:pt modelId="{E6AA5354-2F17-4902-90A2-297458D21135}" type="pres">
      <dgm:prSet presAssocID="{11B63957-1323-4D08-9D52-B7B0B73CAE3B}" presName="descendantText" presStyleLbl="alignAcc1" presStyleIdx="3" presStyleCnt="5">
        <dgm:presLayoutVars>
          <dgm:bulletEnabled val="1"/>
        </dgm:presLayoutVars>
      </dgm:prSet>
      <dgm:spPr>
        <a:prstGeom prst="round2SameRect">
          <a:avLst/>
        </a:prstGeom>
      </dgm:spPr>
      <dgm:t>
        <a:bodyPr/>
        <a:lstStyle/>
        <a:p>
          <a:endParaRPr lang="en-AU"/>
        </a:p>
      </dgm:t>
    </dgm:pt>
    <dgm:pt modelId="{57EE459D-5B9F-4567-9A46-FDC67DD7232D}" type="pres">
      <dgm:prSet presAssocID="{C4A4C75B-F134-4BD7-8BE8-4B1BD8FA1758}" presName="sp" presStyleCnt="0"/>
      <dgm:spPr/>
    </dgm:pt>
    <dgm:pt modelId="{8084BD81-1B52-4025-9505-B3E06F236CA9}" type="pres">
      <dgm:prSet presAssocID="{92843997-44E8-4999-ABFD-0207313D584E}" presName="composite" presStyleCnt="0"/>
      <dgm:spPr/>
    </dgm:pt>
    <dgm:pt modelId="{F5192FB4-713C-4EEF-A764-D5ED98A40867}" type="pres">
      <dgm:prSet presAssocID="{92843997-44E8-4999-ABFD-0207313D584E}" presName="parentText" presStyleLbl="alignNode1" presStyleIdx="4" presStyleCnt="5">
        <dgm:presLayoutVars>
          <dgm:chMax val="1"/>
          <dgm:bulletEnabled val="1"/>
        </dgm:presLayoutVars>
      </dgm:prSet>
      <dgm:spPr>
        <a:prstGeom prst="chevron">
          <a:avLst/>
        </a:prstGeom>
      </dgm:spPr>
      <dgm:t>
        <a:bodyPr/>
        <a:lstStyle/>
        <a:p>
          <a:endParaRPr lang="en-AU"/>
        </a:p>
      </dgm:t>
    </dgm:pt>
    <dgm:pt modelId="{91D9A225-9B92-4BC5-97DF-3E1088268DC3}" type="pres">
      <dgm:prSet presAssocID="{92843997-44E8-4999-ABFD-0207313D584E}" presName="descendantText" presStyleLbl="alignAcc1" presStyleIdx="4" presStyleCnt="5">
        <dgm:presLayoutVars>
          <dgm:bulletEnabled val="1"/>
        </dgm:presLayoutVars>
      </dgm:prSet>
      <dgm:spPr>
        <a:prstGeom prst="round2SameRect">
          <a:avLst/>
        </a:prstGeom>
      </dgm:spPr>
      <dgm:t>
        <a:bodyPr/>
        <a:lstStyle/>
        <a:p>
          <a:endParaRPr lang="en-AU"/>
        </a:p>
      </dgm:t>
    </dgm:pt>
  </dgm:ptLst>
  <dgm:cxnLst>
    <dgm:cxn modelId="{21685D29-F6A8-4CD2-ABFE-D1C0E6C67F21}" srcId="{11B63957-1323-4D08-9D52-B7B0B73CAE3B}" destId="{0B1FF3A8-2790-4646-937F-841A9C6B4E89}" srcOrd="0" destOrd="0" parTransId="{BB137211-960D-4ADD-9C58-00C136BE0470}" sibTransId="{83C6E865-02EA-4533-8D37-F71278294C27}"/>
    <dgm:cxn modelId="{A3986D8D-0433-4013-8EDA-0311B7D280D9}" srcId="{6D3BC33E-342F-432E-BDC3-BAACDCFB1117}" destId="{92843997-44E8-4999-ABFD-0207313D584E}" srcOrd="4" destOrd="0" parTransId="{9946B698-6884-4146-817D-0E8007164C3D}" sibTransId="{6163F5C2-8A7C-4D85-B3D2-EEBF1C2EBC2E}"/>
    <dgm:cxn modelId="{A6AC0F8C-89B5-4ACD-A0B0-1E9349259534}" srcId="{92843997-44E8-4999-ABFD-0207313D584E}" destId="{3F612E74-3ABA-44D0-8D40-4B115050D5EC}" srcOrd="0" destOrd="0" parTransId="{8ABAD7AB-A316-42A9-8A01-E96B54B764FF}" sibTransId="{5551B30E-352E-4B93-901C-E13027209955}"/>
    <dgm:cxn modelId="{D86266A8-01CF-4F38-8BB8-9AF7C0C9619F}" srcId="{11B63957-1323-4D08-9D52-B7B0B73CAE3B}" destId="{E8D84B45-C3B5-4893-982D-73109E1B3929}" srcOrd="2" destOrd="0" parTransId="{703AFC85-140B-4791-AA54-DCF3EDB0FF3C}" sibTransId="{B805E3FB-D7E6-49B3-9FE4-3E6E54F92A66}"/>
    <dgm:cxn modelId="{359EBA9D-7733-2343-92B4-88519D153877}" type="presOf" srcId="{162B5EC0-67BA-4C72-96BA-FF42343CEB7A}" destId="{E6AA5354-2F17-4902-90A2-297458D21135}" srcOrd="0" destOrd="3" presId="urn:microsoft.com/office/officeart/2005/8/layout/chevron2"/>
    <dgm:cxn modelId="{CDD52625-ED05-1C40-B326-242C6CE88BDD}" type="presOf" srcId="{A103C16B-D368-4EA3-A971-58D10689575C}" destId="{A01661B5-DF7E-4B46-B783-0B401BE60EA2}" srcOrd="0" destOrd="0" presId="urn:microsoft.com/office/officeart/2005/8/layout/chevron2"/>
    <dgm:cxn modelId="{1D7773ED-ACCA-234E-B671-C4F89C2AFA5F}" type="presOf" srcId="{D83CF395-393F-4E0A-8585-E22B280CFC0B}" destId="{0E61F549-9651-49B5-BAE1-E4A2BF771F5F}" srcOrd="0" destOrd="4" presId="urn:microsoft.com/office/officeart/2005/8/layout/chevron2"/>
    <dgm:cxn modelId="{4EF4ECC5-2137-4219-81F2-B6678979D452}" srcId="{B2D9B573-571A-4B5F-BC35-0420AB691787}" destId="{5AA1B51E-688D-48B1-9385-C07C1DF4A722}" srcOrd="2" destOrd="0" parTransId="{ADE21F53-AA2D-4C24-8DC9-08D2B6C26C6B}" sibTransId="{C8F9918F-300C-4E54-8BAE-B2C755EA0B3C}"/>
    <dgm:cxn modelId="{3892F13D-B35F-4CF1-A487-AA24530E08D3}" srcId="{11B63957-1323-4D08-9D52-B7B0B73CAE3B}" destId="{162B5EC0-67BA-4C72-96BA-FF42343CEB7A}" srcOrd="3" destOrd="0" parTransId="{90BEA6DC-3C9F-43EE-A9FD-47BB136E44D6}" sibTransId="{9BBEA167-A9E1-4A8B-85A6-1C3ACCADB90A}"/>
    <dgm:cxn modelId="{A717CDC9-4487-844D-A6B2-DE88B1C7BA17}" type="presOf" srcId="{ED13F906-3862-485C-8458-50922B90F671}" destId="{115242A9-F1EA-4EDA-85F9-3B9FF9FB07FC}" srcOrd="0" destOrd="0" presId="urn:microsoft.com/office/officeart/2005/8/layout/chevron2"/>
    <dgm:cxn modelId="{68767BC2-FE82-8347-A910-84C2185E3020}" type="presOf" srcId="{5AA1B51E-688D-48B1-9385-C07C1DF4A722}" destId="{A01661B5-DF7E-4B46-B783-0B401BE60EA2}" srcOrd="0" destOrd="2" presId="urn:microsoft.com/office/officeart/2005/8/layout/chevron2"/>
    <dgm:cxn modelId="{DD8E3034-14AC-4C60-BE48-9A33FD5772D6}" srcId="{92843997-44E8-4999-ABFD-0207313D584E}" destId="{27A95B91-38A3-4F15-972F-D89F4854451B}" srcOrd="2" destOrd="0" parTransId="{2BB5FA0E-166B-45B2-BBB0-5587A8662734}" sibTransId="{FDF826CC-E7F9-48DB-B753-EFA3C438F9A0}"/>
    <dgm:cxn modelId="{749C61AF-3E7D-464F-815F-38A8B45E341F}" type="presOf" srcId="{33D00B35-AD51-448A-828C-C72EDFB6697B}" destId="{947F6629-E9E0-4CDA-9FBC-3132BC9231EF}" srcOrd="0" destOrd="4" presId="urn:microsoft.com/office/officeart/2005/8/layout/chevron2"/>
    <dgm:cxn modelId="{9597ADB3-AE43-494E-99DF-F19D8319B9D5}" srcId="{6D3BC33E-342F-432E-BDC3-BAACDCFB1117}" destId="{11B63957-1323-4D08-9D52-B7B0B73CAE3B}" srcOrd="3" destOrd="0" parTransId="{797D3017-E50C-4EBB-AC24-DC157A8A0520}" sibTransId="{C4A4C75B-F134-4BD7-8BE8-4B1BD8FA1758}"/>
    <dgm:cxn modelId="{44E20535-9E63-4971-A574-A8A4E61825D4}" srcId="{92843997-44E8-4999-ABFD-0207313D584E}" destId="{4DBC3CBF-84E2-4CA2-B70D-F485CFA7895B}" srcOrd="4" destOrd="0" parTransId="{13335C5D-F250-4FD3-BB17-C2820465A4D8}" sibTransId="{58B493C2-6321-4D80-92F1-1CAAB6CE3DD1}"/>
    <dgm:cxn modelId="{626B06AE-EF5E-A84C-9C15-B13012A5D0B7}" type="presOf" srcId="{48A1B409-13F9-4854-BB74-D9935BD1C21E}" destId="{947F6629-E9E0-4CDA-9FBC-3132BC9231EF}" srcOrd="0" destOrd="2" presId="urn:microsoft.com/office/officeart/2005/8/layout/chevron2"/>
    <dgm:cxn modelId="{42604BDC-6303-4147-9BB4-8256C4B67FCD}" type="presOf" srcId="{C4EF0ED6-E90D-4F9F-BA19-4DAB9B524671}" destId="{E6AA5354-2F17-4902-90A2-297458D21135}" srcOrd="0" destOrd="1" presId="urn:microsoft.com/office/officeart/2005/8/layout/chevron2"/>
    <dgm:cxn modelId="{95DD9BBF-34B1-D14C-BDCD-196F81D60434}" type="presOf" srcId="{45A87923-F9EE-436B-B33D-DC33D7845A67}" destId="{FC21F18B-B04E-4A63-A7CF-EB36DA1D85D1}" srcOrd="0" destOrd="0" presId="urn:microsoft.com/office/officeart/2005/8/layout/chevron2"/>
    <dgm:cxn modelId="{4609EFF9-E0DC-0F48-8375-8C9B8876B177}" type="presOf" srcId="{6D3BC33E-342F-432E-BDC3-BAACDCFB1117}" destId="{E7A3E62A-303C-40E2-A14F-26995306AFFB}" srcOrd="0" destOrd="0" presId="urn:microsoft.com/office/officeart/2005/8/layout/chevron2"/>
    <dgm:cxn modelId="{CC375813-0376-4138-B298-79934FD67D0E}" srcId="{B2D9B573-571A-4B5F-BC35-0420AB691787}" destId="{A103C16B-D368-4EA3-A971-58D10689575C}" srcOrd="0" destOrd="0" parTransId="{F3A47C81-BA59-4314-8E2C-B147A3974091}" sibTransId="{914C0D21-5651-4413-A07B-97F865758F9C}"/>
    <dgm:cxn modelId="{BB186A18-C40D-4FB2-9B33-C0D5DFEF8C46}" srcId="{45A87923-F9EE-436B-B33D-DC33D7845A67}" destId="{D852F768-C3E5-4D5B-8F48-AA102BDA59A7}" srcOrd="3" destOrd="0" parTransId="{6432A655-C410-4E13-A818-A6EC51F30182}" sibTransId="{7E94D951-FDCE-4896-9058-040D59F98661}"/>
    <dgm:cxn modelId="{E3B7119A-B5CB-464C-9BB5-8890C4CADED2}" type="presOf" srcId="{27A95B91-38A3-4F15-972F-D89F4854451B}" destId="{91D9A225-9B92-4BC5-97DF-3E1088268DC3}" srcOrd="0" destOrd="2" presId="urn:microsoft.com/office/officeart/2005/8/layout/chevron2"/>
    <dgm:cxn modelId="{B273A2B9-F2F6-4B4B-A51D-352125A2710D}" type="presOf" srcId="{E70281D4-05A1-4D33-85E5-9279C797C50D}" destId="{947F6629-E9E0-4CDA-9FBC-3132BC9231EF}" srcOrd="0" destOrd="0" presId="urn:microsoft.com/office/officeart/2005/8/layout/chevron2"/>
    <dgm:cxn modelId="{CD4868F7-E60B-5046-ACC9-9A25DBA1D6DD}" type="presOf" srcId="{E8D84B45-C3B5-4893-982D-73109E1B3929}" destId="{E6AA5354-2F17-4902-90A2-297458D21135}" srcOrd="0" destOrd="2" presId="urn:microsoft.com/office/officeart/2005/8/layout/chevron2"/>
    <dgm:cxn modelId="{D0E28849-3987-489B-9875-FA390DC9E7A7}" srcId="{11B63957-1323-4D08-9D52-B7B0B73CAE3B}" destId="{C4EF0ED6-E90D-4F9F-BA19-4DAB9B524671}" srcOrd="1" destOrd="0" parTransId="{44D4F6C5-6295-4C9D-9D6A-D9B8F887F0C8}" sibTransId="{728E6894-1CF8-4640-87CB-C3738B507ED7}"/>
    <dgm:cxn modelId="{661D48E4-DF7B-BD4A-816C-C34D84795317}" type="presOf" srcId="{EE6A5218-478F-44D3-8C64-AF73840A2395}" destId="{947F6629-E9E0-4CDA-9FBC-3132BC9231EF}" srcOrd="0" destOrd="1" presId="urn:microsoft.com/office/officeart/2005/8/layout/chevron2"/>
    <dgm:cxn modelId="{2249ABC7-35EE-B948-863F-D94B82265464}" type="presOf" srcId="{18B33989-9DA1-48C5-8328-BDF1ADA7743B}" destId="{0E61F549-9651-49B5-BAE1-E4A2BF771F5F}" srcOrd="0" destOrd="3" presId="urn:microsoft.com/office/officeart/2005/8/layout/chevron2"/>
    <dgm:cxn modelId="{373AEE84-6B51-4A31-B28A-1FACDD8B0A50}" srcId="{ED13F906-3862-485C-8458-50922B90F671}" destId="{3DF70001-6EF4-478A-BC88-CD41176259E6}" srcOrd="1" destOrd="0" parTransId="{D884CBE1-6B07-4144-8207-79B611CC97CC}" sibTransId="{5BAEAA0B-F401-40CC-B22F-4284678D5365}"/>
    <dgm:cxn modelId="{C80478E8-30A9-6149-9D8B-77BC252E118B}" type="presOf" srcId="{BD24353B-64F5-471F-B5BE-2F3BB0270438}" destId="{0E61F549-9651-49B5-BAE1-E4A2BF771F5F}" srcOrd="0" destOrd="0" presId="urn:microsoft.com/office/officeart/2005/8/layout/chevron2"/>
    <dgm:cxn modelId="{C0FCF2DC-413D-448E-A01D-C1FB54888CAE}" srcId="{ED13F906-3862-485C-8458-50922B90F671}" destId="{4C92B5FD-FC29-428C-AD16-F60A57AF1251}" srcOrd="2" destOrd="0" parTransId="{CFB95A93-F75F-4A4B-8720-B8F5F0FEAF2E}" sibTransId="{49BDC223-0E63-4E57-805F-69F0DC451A41}"/>
    <dgm:cxn modelId="{D11D92E4-BEA9-2B44-9308-A7AD9DB661C4}" type="presOf" srcId="{74534615-AC51-4D13-8B5F-108CBA1EB2F7}" destId="{91D9A225-9B92-4BC5-97DF-3E1088268DC3}" srcOrd="0" destOrd="1" presId="urn:microsoft.com/office/officeart/2005/8/layout/chevron2"/>
    <dgm:cxn modelId="{09FDBCDB-FFCB-4DC4-987B-78E4F7F18B1E}" srcId="{B2D9B573-571A-4B5F-BC35-0420AB691787}" destId="{2E18BCF8-3AE8-418F-9E5E-814F4C491BAB}" srcOrd="4" destOrd="0" parTransId="{65B84C28-633A-4C23-87A3-9526FF5A93DF}" sibTransId="{2708B883-5A67-46C4-8069-AB84F3EF90C4}"/>
    <dgm:cxn modelId="{91C2E839-960E-9E42-9575-4799C3E190CF}" type="presOf" srcId="{11B63957-1323-4D08-9D52-B7B0B73CAE3B}" destId="{9F1FA384-C293-4CCD-83AB-55FD589D0466}" srcOrd="0" destOrd="0" presId="urn:microsoft.com/office/officeart/2005/8/layout/chevron2"/>
    <dgm:cxn modelId="{72E24B92-4FB9-448A-B8EC-945886FE0D6F}" srcId="{B2D9B573-571A-4B5F-BC35-0420AB691787}" destId="{AB1ABAD0-F5FC-472A-BD99-CEAC6120EF66}" srcOrd="3" destOrd="0" parTransId="{32222DFB-878B-4F12-B418-9C6B2ACF0CDD}" sibTransId="{DD05E1C3-A5E1-49C5-AEFB-D22BE76AC7C2}"/>
    <dgm:cxn modelId="{40D0DD92-FE84-425D-AF9D-7ACCB3990601}" srcId="{45A87923-F9EE-436B-B33D-DC33D7845A67}" destId="{48A1B409-13F9-4854-BB74-D9935BD1C21E}" srcOrd="2" destOrd="0" parTransId="{75A33246-280C-4913-97FB-7C62792EAE3A}" sibTransId="{2F702D2E-BDD1-4910-9F03-FB399B5F6838}"/>
    <dgm:cxn modelId="{283BB1CE-E246-4B1B-9531-E680D1B3F601}" srcId="{45A87923-F9EE-436B-B33D-DC33D7845A67}" destId="{33D00B35-AD51-448A-828C-C72EDFB6697B}" srcOrd="4" destOrd="0" parTransId="{3684960C-A91A-476B-BB1B-DA864182536C}" sibTransId="{C7A58434-6DB2-4031-8D03-A24FB3C5A889}"/>
    <dgm:cxn modelId="{37EA3B71-7E31-A54D-93B8-D83091EADED1}" type="presOf" srcId="{4C92B5FD-FC29-428C-AD16-F60A57AF1251}" destId="{0E61F549-9651-49B5-BAE1-E4A2BF771F5F}" srcOrd="0" destOrd="2" presId="urn:microsoft.com/office/officeart/2005/8/layout/chevron2"/>
    <dgm:cxn modelId="{504C2228-A129-D442-9DBC-AE712F53C91D}" type="presOf" srcId="{EA3191FE-91D4-44C6-A88C-85C3BC160527}" destId="{91D9A225-9B92-4BC5-97DF-3E1088268DC3}" srcOrd="0" destOrd="5" presId="urn:microsoft.com/office/officeart/2005/8/layout/chevron2"/>
    <dgm:cxn modelId="{54EF6A1C-2A0B-4ECF-85CE-2C4EFF1C4D2E}" srcId="{45A87923-F9EE-436B-B33D-DC33D7845A67}" destId="{E70281D4-05A1-4D33-85E5-9279C797C50D}" srcOrd="0" destOrd="0" parTransId="{EA707214-F650-43CA-97D7-0010F4A2540A}" sibTransId="{F3D53E7C-280E-4DD2-9281-84718FEF635D}"/>
    <dgm:cxn modelId="{27F8749D-7A6D-EC4A-80B8-FED719F2D390}" type="presOf" srcId="{3F612E74-3ABA-44D0-8D40-4B115050D5EC}" destId="{91D9A225-9B92-4BC5-97DF-3E1088268DC3}" srcOrd="0" destOrd="0" presId="urn:microsoft.com/office/officeart/2005/8/layout/chevron2"/>
    <dgm:cxn modelId="{A4718BB3-CE52-4F37-A76E-9D11C8B83573}" srcId="{ED13F906-3862-485C-8458-50922B90F671}" destId="{18B33989-9DA1-48C5-8328-BDF1ADA7743B}" srcOrd="3" destOrd="0" parTransId="{E8C935F2-1E80-47F1-A422-62E8681BA073}" sibTransId="{5BA5AC5D-D965-45F9-BF53-69A234E39538}"/>
    <dgm:cxn modelId="{A7CD5136-CCEC-6C40-9E33-4A776D7C66B2}" type="presOf" srcId="{AF7DE734-060E-43B1-A0F2-F71B60185AA3}" destId="{91D9A225-9B92-4BC5-97DF-3E1088268DC3}" srcOrd="0" destOrd="3" presId="urn:microsoft.com/office/officeart/2005/8/layout/chevron2"/>
    <dgm:cxn modelId="{5DBEB780-F760-634C-9A9E-DAB35AC58385}" type="presOf" srcId="{4DBC3CBF-84E2-4CA2-B70D-F485CFA7895B}" destId="{91D9A225-9B92-4BC5-97DF-3E1088268DC3}" srcOrd="0" destOrd="4" presId="urn:microsoft.com/office/officeart/2005/8/layout/chevron2"/>
    <dgm:cxn modelId="{3E42D459-1A1A-4F64-9D44-2873B9464F7A}" srcId="{11B63957-1323-4D08-9D52-B7B0B73CAE3B}" destId="{3D311BD6-B335-4823-8EDC-A32246A0BDF0}" srcOrd="4" destOrd="0" parTransId="{2CE4DF36-8CC0-409D-9BF5-8F0E55B21C6B}" sibTransId="{F2C3C206-5AF7-40D8-B840-396FFE2A4E5D}"/>
    <dgm:cxn modelId="{BC37692A-B7F0-4275-9531-B5DA5872B2AA}" srcId="{6D3BC33E-342F-432E-BDC3-BAACDCFB1117}" destId="{B2D9B573-571A-4B5F-BC35-0420AB691787}" srcOrd="0" destOrd="0" parTransId="{1F8B9849-A8CF-429E-A820-52FB5C96FD9C}" sibTransId="{697F2AC4-9C38-4A70-A417-171A4D83B0BF}"/>
    <dgm:cxn modelId="{267BBF1E-5A77-4B8A-915B-2DB60C8553A8}" srcId="{92843997-44E8-4999-ABFD-0207313D584E}" destId="{AF7DE734-060E-43B1-A0F2-F71B60185AA3}" srcOrd="3" destOrd="0" parTransId="{56B5A568-0A50-4C0E-8F0C-D6C154D9C5F7}" sibTransId="{407F37F1-9AFC-47FF-953D-7CE8D69E91AE}"/>
    <dgm:cxn modelId="{01E3E71B-1511-CC4D-BE01-03CBED1549E4}" type="presOf" srcId="{0B1FF3A8-2790-4646-937F-841A9C6B4E89}" destId="{E6AA5354-2F17-4902-90A2-297458D21135}" srcOrd="0" destOrd="0" presId="urn:microsoft.com/office/officeart/2005/8/layout/chevron2"/>
    <dgm:cxn modelId="{2C31DC98-8B94-478F-A278-9F11BFCBF556}" srcId="{92843997-44E8-4999-ABFD-0207313D584E}" destId="{EA3191FE-91D4-44C6-A88C-85C3BC160527}" srcOrd="5" destOrd="0" parTransId="{637C4FAE-9939-436D-BA88-63FC202CE559}" sibTransId="{6DD7E39F-E2AE-4339-8D99-B4E5A5B6F0DA}"/>
    <dgm:cxn modelId="{778600B0-6F82-47A4-BFF6-705090785B3D}" srcId="{6D3BC33E-342F-432E-BDC3-BAACDCFB1117}" destId="{45A87923-F9EE-436B-B33D-DC33D7845A67}" srcOrd="2" destOrd="0" parTransId="{C8A4AD02-3537-4FC2-8522-6D76A3ECA40C}" sibTransId="{2622F04C-0AAB-4870-BD10-93C80BF22C5D}"/>
    <dgm:cxn modelId="{C19BF69B-1973-436A-8079-37CA7EB6F0AD}" srcId="{ED13F906-3862-485C-8458-50922B90F671}" destId="{BD24353B-64F5-471F-B5BE-2F3BB0270438}" srcOrd="0" destOrd="0" parTransId="{DD3A297C-3BA5-44A0-AC77-5CBF7706966C}" sibTransId="{573B64EE-8E31-4488-A526-61C110C81FAD}"/>
    <dgm:cxn modelId="{FFA01E8F-69A1-F14C-A4DD-769D991B8745}" type="presOf" srcId="{92843997-44E8-4999-ABFD-0207313D584E}" destId="{F5192FB4-713C-4EEF-A764-D5ED98A40867}" srcOrd="0" destOrd="0" presId="urn:microsoft.com/office/officeart/2005/8/layout/chevron2"/>
    <dgm:cxn modelId="{2928EE02-9889-487B-B7AB-F2717AB43E61}" srcId="{92843997-44E8-4999-ABFD-0207313D584E}" destId="{74534615-AC51-4D13-8B5F-108CBA1EB2F7}" srcOrd="1" destOrd="0" parTransId="{4245BA73-96DF-460C-B4DA-FE79BA329D86}" sibTransId="{EAF201FB-FD86-4882-89A7-FD78635A0186}"/>
    <dgm:cxn modelId="{3823131A-8312-2047-8EBB-C272B0ED4276}" type="presOf" srcId="{3D311BD6-B335-4823-8EDC-A32246A0BDF0}" destId="{E6AA5354-2F17-4902-90A2-297458D21135}" srcOrd="0" destOrd="4" presId="urn:microsoft.com/office/officeart/2005/8/layout/chevron2"/>
    <dgm:cxn modelId="{68BC7336-2D11-DC4D-975C-7C9168071C5F}" type="presOf" srcId="{AB1ABAD0-F5FC-472A-BD99-CEAC6120EF66}" destId="{A01661B5-DF7E-4B46-B783-0B401BE60EA2}" srcOrd="0" destOrd="3" presId="urn:microsoft.com/office/officeart/2005/8/layout/chevron2"/>
    <dgm:cxn modelId="{5F79EDD0-8AA6-487C-B6A4-13CED11FB022}" srcId="{B2D9B573-571A-4B5F-BC35-0420AB691787}" destId="{D6C15C07-2DFA-4239-9F6A-786434E75AC4}" srcOrd="1" destOrd="0" parTransId="{4328B8A8-B4D2-487B-95B2-91F88F2CCD3F}" sibTransId="{30C79D23-FF78-40A3-8BC5-29006719256C}"/>
    <dgm:cxn modelId="{A71D169B-8D4A-48B2-8B83-AFD48A43D50F}" srcId="{6D3BC33E-342F-432E-BDC3-BAACDCFB1117}" destId="{ED13F906-3862-485C-8458-50922B90F671}" srcOrd="1" destOrd="0" parTransId="{0EBEEA17-EBAD-4705-BD91-B10D606C9D22}" sibTransId="{4C859F8D-0079-48F3-B217-EC4BC8C642CD}"/>
    <dgm:cxn modelId="{66EF2586-51EB-7945-877F-BA73606B9FD6}" type="presOf" srcId="{B2D9B573-571A-4B5F-BC35-0420AB691787}" destId="{E4A89586-17B4-4B98-B577-CBECBD55416E}" srcOrd="0" destOrd="0" presId="urn:microsoft.com/office/officeart/2005/8/layout/chevron2"/>
    <dgm:cxn modelId="{83EE09C4-9FFD-4401-83EC-1BD310EC2B5A}" srcId="{ED13F906-3862-485C-8458-50922B90F671}" destId="{D83CF395-393F-4E0A-8585-E22B280CFC0B}" srcOrd="4" destOrd="0" parTransId="{917A4A9D-437D-4288-96B8-5111FD35E14D}" sibTransId="{C4EDDD0F-F645-46D1-AC49-7958A683749C}"/>
    <dgm:cxn modelId="{9A1DF15F-2DCA-45FE-AE82-4A016EFDFF0D}" srcId="{45A87923-F9EE-436B-B33D-DC33D7845A67}" destId="{EE6A5218-478F-44D3-8C64-AF73840A2395}" srcOrd="1" destOrd="0" parTransId="{BEC826D8-D18B-4720-8778-87D9004F32B3}" sibTransId="{373B6145-A8A1-4E99-9CE9-1FF90B85F545}"/>
    <dgm:cxn modelId="{A7446ED8-9087-6D46-8CAE-70FD65DD3196}" type="presOf" srcId="{2E18BCF8-3AE8-418F-9E5E-814F4C491BAB}" destId="{A01661B5-DF7E-4B46-B783-0B401BE60EA2}" srcOrd="0" destOrd="4" presId="urn:microsoft.com/office/officeart/2005/8/layout/chevron2"/>
    <dgm:cxn modelId="{666E096D-7BD2-1540-AB35-D2166371FBFE}" type="presOf" srcId="{3DF70001-6EF4-478A-BC88-CD41176259E6}" destId="{0E61F549-9651-49B5-BAE1-E4A2BF771F5F}" srcOrd="0" destOrd="1" presId="urn:microsoft.com/office/officeart/2005/8/layout/chevron2"/>
    <dgm:cxn modelId="{E3AA8CDB-028F-3C44-8A8C-5FB56D1512BC}" type="presOf" srcId="{D6C15C07-2DFA-4239-9F6A-786434E75AC4}" destId="{A01661B5-DF7E-4B46-B783-0B401BE60EA2}" srcOrd="0" destOrd="1" presId="urn:microsoft.com/office/officeart/2005/8/layout/chevron2"/>
    <dgm:cxn modelId="{DE63F7AE-A298-5E46-8143-0766A7638CDD}" type="presOf" srcId="{D852F768-C3E5-4D5B-8F48-AA102BDA59A7}" destId="{947F6629-E9E0-4CDA-9FBC-3132BC9231EF}" srcOrd="0" destOrd="3" presId="urn:microsoft.com/office/officeart/2005/8/layout/chevron2"/>
    <dgm:cxn modelId="{8828FBEE-CCF5-E342-A5F0-157C2CE69FA8}" type="presParOf" srcId="{E7A3E62A-303C-40E2-A14F-26995306AFFB}" destId="{7E972816-B70C-4BDB-89BB-D1ECA169F945}" srcOrd="0" destOrd="0" presId="urn:microsoft.com/office/officeart/2005/8/layout/chevron2"/>
    <dgm:cxn modelId="{3F26FE90-874A-0844-AD29-7E2CBD54DD3A}" type="presParOf" srcId="{7E972816-B70C-4BDB-89BB-D1ECA169F945}" destId="{E4A89586-17B4-4B98-B577-CBECBD55416E}" srcOrd="0" destOrd="0" presId="urn:microsoft.com/office/officeart/2005/8/layout/chevron2"/>
    <dgm:cxn modelId="{50D6616E-206F-5E46-96CA-E9569C792A15}" type="presParOf" srcId="{7E972816-B70C-4BDB-89BB-D1ECA169F945}" destId="{A01661B5-DF7E-4B46-B783-0B401BE60EA2}" srcOrd="1" destOrd="0" presId="urn:microsoft.com/office/officeart/2005/8/layout/chevron2"/>
    <dgm:cxn modelId="{16797325-CD23-F848-8E92-D7D5DB8248DE}" type="presParOf" srcId="{E7A3E62A-303C-40E2-A14F-26995306AFFB}" destId="{940EA5D7-F083-4491-8E3B-669845716EE4}" srcOrd="1" destOrd="0" presId="urn:microsoft.com/office/officeart/2005/8/layout/chevron2"/>
    <dgm:cxn modelId="{40A5D44E-77A4-AC4E-BF7A-E623DE7E97AD}" type="presParOf" srcId="{E7A3E62A-303C-40E2-A14F-26995306AFFB}" destId="{0CAD3B96-D852-4B95-97D0-AA75EE9FAD7D}" srcOrd="2" destOrd="0" presId="urn:microsoft.com/office/officeart/2005/8/layout/chevron2"/>
    <dgm:cxn modelId="{99FD1009-DEC6-F74E-B4B0-145399D1C4AA}" type="presParOf" srcId="{0CAD3B96-D852-4B95-97D0-AA75EE9FAD7D}" destId="{115242A9-F1EA-4EDA-85F9-3B9FF9FB07FC}" srcOrd="0" destOrd="0" presId="urn:microsoft.com/office/officeart/2005/8/layout/chevron2"/>
    <dgm:cxn modelId="{32F217D4-BD0A-3D4B-9376-7F088AE4AA9E}" type="presParOf" srcId="{0CAD3B96-D852-4B95-97D0-AA75EE9FAD7D}" destId="{0E61F549-9651-49B5-BAE1-E4A2BF771F5F}" srcOrd="1" destOrd="0" presId="urn:microsoft.com/office/officeart/2005/8/layout/chevron2"/>
    <dgm:cxn modelId="{27556FEF-D17E-A54D-BCBA-3598EFA11E3F}" type="presParOf" srcId="{E7A3E62A-303C-40E2-A14F-26995306AFFB}" destId="{579B5D62-EBAB-4A5A-A3C8-ACB27A2FC385}" srcOrd="3" destOrd="0" presId="urn:microsoft.com/office/officeart/2005/8/layout/chevron2"/>
    <dgm:cxn modelId="{79EDCFAF-9A5F-8A46-8B50-8F0A2DF66781}" type="presParOf" srcId="{E7A3E62A-303C-40E2-A14F-26995306AFFB}" destId="{142E5C87-042F-42D0-831E-962CDF4BE16C}" srcOrd="4" destOrd="0" presId="urn:microsoft.com/office/officeart/2005/8/layout/chevron2"/>
    <dgm:cxn modelId="{25529488-8924-3B49-95BD-CB523DE03D9D}" type="presParOf" srcId="{142E5C87-042F-42D0-831E-962CDF4BE16C}" destId="{FC21F18B-B04E-4A63-A7CF-EB36DA1D85D1}" srcOrd="0" destOrd="0" presId="urn:microsoft.com/office/officeart/2005/8/layout/chevron2"/>
    <dgm:cxn modelId="{A17C1DD4-D66D-434C-89F3-EB4B75DD533C}" type="presParOf" srcId="{142E5C87-042F-42D0-831E-962CDF4BE16C}" destId="{947F6629-E9E0-4CDA-9FBC-3132BC9231EF}" srcOrd="1" destOrd="0" presId="urn:microsoft.com/office/officeart/2005/8/layout/chevron2"/>
    <dgm:cxn modelId="{12A0A8C5-371E-7640-BE31-6B8E25B3CB9B}" type="presParOf" srcId="{E7A3E62A-303C-40E2-A14F-26995306AFFB}" destId="{D88E0F0D-6D24-434F-8D7D-9DC459CFA920}" srcOrd="5" destOrd="0" presId="urn:microsoft.com/office/officeart/2005/8/layout/chevron2"/>
    <dgm:cxn modelId="{965A54D6-4DEE-224A-8D53-14EF4CE03947}" type="presParOf" srcId="{E7A3E62A-303C-40E2-A14F-26995306AFFB}" destId="{2C23E10E-D8AC-42BD-A065-7B108927FE06}" srcOrd="6" destOrd="0" presId="urn:microsoft.com/office/officeart/2005/8/layout/chevron2"/>
    <dgm:cxn modelId="{3447E4B3-28CE-E643-B9D2-E047407092F5}" type="presParOf" srcId="{2C23E10E-D8AC-42BD-A065-7B108927FE06}" destId="{9F1FA384-C293-4CCD-83AB-55FD589D0466}" srcOrd="0" destOrd="0" presId="urn:microsoft.com/office/officeart/2005/8/layout/chevron2"/>
    <dgm:cxn modelId="{2562A16A-D3B5-1842-ADD4-D3547402E0A0}" type="presParOf" srcId="{2C23E10E-D8AC-42BD-A065-7B108927FE06}" destId="{E6AA5354-2F17-4902-90A2-297458D21135}" srcOrd="1" destOrd="0" presId="urn:microsoft.com/office/officeart/2005/8/layout/chevron2"/>
    <dgm:cxn modelId="{BDB67418-9C7D-DA4E-840F-31AB86F7234C}" type="presParOf" srcId="{E7A3E62A-303C-40E2-A14F-26995306AFFB}" destId="{57EE459D-5B9F-4567-9A46-FDC67DD7232D}" srcOrd="7" destOrd="0" presId="urn:microsoft.com/office/officeart/2005/8/layout/chevron2"/>
    <dgm:cxn modelId="{1ADA933D-A67C-AB43-8F4C-24D1F5D75389}" type="presParOf" srcId="{E7A3E62A-303C-40E2-A14F-26995306AFFB}" destId="{8084BD81-1B52-4025-9505-B3E06F236CA9}" srcOrd="8" destOrd="0" presId="urn:microsoft.com/office/officeart/2005/8/layout/chevron2"/>
    <dgm:cxn modelId="{256410DA-DC51-254C-9A65-C3BAEE37EE8E}" type="presParOf" srcId="{8084BD81-1B52-4025-9505-B3E06F236CA9}" destId="{F5192FB4-713C-4EEF-A764-D5ED98A40867}" srcOrd="0" destOrd="0" presId="urn:microsoft.com/office/officeart/2005/8/layout/chevron2"/>
    <dgm:cxn modelId="{1002F73F-EC89-0A47-B5B4-DD259D6023A2}" type="presParOf" srcId="{8084BD81-1B52-4025-9505-B3E06F236CA9}" destId="{91D9A225-9B92-4BC5-97DF-3E1088268DC3}" srcOrd="1" destOrd="0" presId="urn:microsoft.com/office/officeart/2005/8/layout/chevron2"/>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4A89586-17B4-4B98-B577-CBECBD55416E}">
      <dsp:nvSpPr>
        <dsp:cNvPr id="0" name=""/>
        <dsp:cNvSpPr/>
      </dsp:nvSpPr>
      <dsp:spPr>
        <a:xfrm rot="5400000">
          <a:off x="-202019" y="202870"/>
          <a:ext cx="1346795" cy="942756"/>
        </a:xfrm>
        <a:prstGeom prst="chevron">
          <a:avLst/>
        </a:prstGeom>
        <a:solidFill>
          <a:srgbClr val="92D050"/>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875" tIns="15875" rIns="15875" bIns="15875" numCol="1" spcCol="1270" anchor="ctr" anchorCtr="0">
          <a:noAutofit/>
        </a:bodyPr>
        <a:lstStyle/>
        <a:p>
          <a:pPr lvl="0" algn="ctr" defTabSz="1111250">
            <a:lnSpc>
              <a:spcPct val="90000"/>
            </a:lnSpc>
            <a:spcBef>
              <a:spcPct val="0"/>
            </a:spcBef>
            <a:spcAft>
              <a:spcPct val="35000"/>
            </a:spcAft>
          </a:pPr>
          <a:r>
            <a:rPr lang="en-AU" sz="2500" kern="1200">
              <a:solidFill>
                <a:sysClr val="window" lastClr="FFFFFF"/>
              </a:solidFill>
              <a:latin typeface="Calibri"/>
              <a:ea typeface="+mn-ea"/>
              <a:cs typeface="+mn-cs"/>
            </a:rPr>
            <a:t>Day 0</a:t>
          </a:r>
        </a:p>
      </dsp:txBody>
      <dsp:txXfrm rot="-5400000">
        <a:off x="1" y="472228"/>
        <a:ext cx="942756" cy="404039"/>
      </dsp:txXfrm>
    </dsp:sp>
    <dsp:sp modelId="{A01661B5-DF7E-4B46-B783-0B401BE60EA2}">
      <dsp:nvSpPr>
        <dsp:cNvPr id="0" name=""/>
        <dsp:cNvSpPr/>
      </dsp:nvSpPr>
      <dsp:spPr>
        <a:xfrm rot="5400000">
          <a:off x="2870581" y="-1926973"/>
          <a:ext cx="875416" cy="4731066"/>
        </a:xfrm>
        <a:prstGeom prst="round2SameRect">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9784" tIns="4445" rIns="4445" bIns="4445" numCol="1" spcCol="1270" anchor="ctr" anchorCtr="0">
          <a:noAutofit/>
        </a:bodyPr>
        <a:lstStyle/>
        <a:p>
          <a:pPr marL="57150" lvl="1" indent="-57150" algn="l" defTabSz="311150">
            <a:lnSpc>
              <a:spcPct val="90000"/>
            </a:lnSpc>
            <a:spcBef>
              <a:spcPct val="0"/>
            </a:spcBef>
            <a:spcAft>
              <a:spcPct val="15000"/>
            </a:spcAft>
            <a:buChar char="•"/>
          </a:pPr>
          <a:r>
            <a:rPr lang="en-AU" sz="700" kern="1200">
              <a:solidFill>
                <a:sysClr val="windowText" lastClr="000000">
                  <a:hueOff val="0"/>
                  <a:satOff val="0"/>
                  <a:lumOff val="0"/>
                  <a:alphaOff val="0"/>
                </a:sysClr>
              </a:solidFill>
              <a:latin typeface="Calibri"/>
              <a:ea typeface="+mn-ea"/>
              <a:cs typeface="+mn-cs"/>
            </a:rPr>
            <a:t>Perform clinical examination to assess for signs of evolving tubular rupture, haemodynamic instability, or other compromise</a:t>
          </a:r>
        </a:p>
        <a:p>
          <a:pPr marL="57150" lvl="1" indent="-57150" algn="l" defTabSz="311150">
            <a:lnSpc>
              <a:spcPct val="90000"/>
            </a:lnSpc>
            <a:spcBef>
              <a:spcPct val="0"/>
            </a:spcBef>
            <a:spcAft>
              <a:spcPct val="15000"/>
            </a:spcAft>
            <a:buChar char="•"/>
          </a:pPr>
          <a:r>
            <a:rPr lang="en-AU" sz="700" kern="1200">
              <a:solidFill>
                <a:sysClr val="windowText" lastClr="000000">
                  <a:hueOff val="0"/>
                  <a:satOff val="0"/>
                  <a:lumOff val="0"/>
                  <a:alphaOff val="0"/>
                </a:sysClr>
              </a:solidFill>
              <a:latin typeface="Calibri"/>
              <a:ea typeface="+mn-ea"/>
              <a:cs typeface="+mn-cs"/>
            </a:rPr>
            <a:t>Tranvaginal U/S to confirm ectopic pregnancy diagosis (if not already performed)</a:t>
          </a:r>
        </a:p>
        <a:p>
          <a:pPr marL="57150" lvl="1" indent="-57150" algn="l" defTabSz="311150">
            <a:lnSpc>
              <a:spcPct val="90000"/>
            </a:lnSpc>
            <a:spcBef>
              <a:spcPct val="0"/>
            </a:spcBef>
            <a:spcAft>
              <a:spcPct val="15000"/>
            </a:spcAft>
            <a:buChar char="•"/>
          </a:pPr>
          <a:r>
            <a:rPr lang="en-AU" sz="700" kern="1200">
              <a:solidFill>
                <a:sysClr val="windowText" lastClr="000000">
                  <a:hueOff val="0"/>
                  <a:satOff val="0"/>
                  <a:lumOff val="0"/>
                  <a:alphaOff val="0"/>
                </a:sysClr>
              </a:solidFill>
              <a:latin typeface="Calibri"/>
              <a:ea typeface="+mn-ea"/>
              <a:cs typeface="+mn-cs"/>
            </a:rPr>
            <a:t>Serum hCG level</a:t>
          </a:r>
        </a:p>
        <a:p>
          <a:pPr marL="57150" lvl="1" indent="-57150" algn="l" defTabSz="311150">
            <a:lnSpc>
              <a:spcPct val="90000"/>
            </a:lnSpc>
            <a:spcBef>
              <a:spcPct val="0"/>
            </a:spcBef>
            <a:spcAft>
              <a:spcPct val="15000"/>
            </a:spcAft>
            <a:buChar char="•"/>
          </a:pPr>
          <a:r>
            <a:rPr lang="en-AU" sz="700" kern="1200">
              <a:solidFill>
                <a:sysClr val="windowText" lastClr="000000">
                  <a:hueOff val="0"/>
                  <a:satOff val="0"/>
                  <a:lumOff val="0"/>
                  <a:alphaOff val="0"/>
                </a:sysClr>
              </a:solidFill>
              <a:latin typeface="Calibri"/>
              <a:ea typeface="+mn-ea"/>
              <a:cs typeface="+mn-cs"/>
            </a:rPr>
            <a:t>FBE, U&amp;Es and LFTs</a:t>
          </a:r>
        </a:p>
        <a:p>
          <a:pPr marL="57150" lvl="1" indent="-57150" algn="l" defTabSz="311150">
            <a:lnSpc>
              <a:spcPct val="90000"/>
            </a:lnSpc>
            <a:spcBef>
              <a:spcPct val="0"/>
            </a:spcBef>
            <a:spcAft>
              <a:spcPct val="15000"/>
            </a:spcAft>
            <a:buChar char="•"/>
          </a:pPr>
          <a:r>
            <a:rPr lang="en-AU" sz="700" kern="1200">
              <a:solidFill>
                <a:sysClr val="windowText" lastClr="000000">
                  <a:hueOff val="0"/>
                  <a:satOff val="0"/>
                  <a:lumOff val="0"/>
                  <a:alphaOff val="0"/>
                </a:sysClr>
              </a:solidFill>
              <a:latin typeface="Calibri"/>
              <a:ea typeface="+mn-ea"/>
              <a:cs typeface="+mn-cs"/>
            </a:rPr>
            <a:t>Administer 1st dose of vinorelbine after pathology results are returned and eligibiligty for medical management and participation in trial  are confirmed - consider admission to hospital for observation or reversion to surgical management if pathology results or clinical observations are non-reassuring</a:t>
          </a:r>
        </a:p>
      </dsp:txBody>
      <dsp:txXfrm rot="-5400000">
        <a:off x="942756" y="43586"/>
        <a:ext cx="4688332" cy="789948"/>
      </dsp:txXfrm>
    </dsp:sp>
    <dsp:sp modelId="{115242A9-F1EA-4EDA-85F9-3B9FF9FB07FC}">
      <dsp:nvSpPr>
        <dsp:cNvPr id="0" name=""/>
        <dsp:cNvSpPr/>
      </dsp:nvSpPr>
      <dsp:spPr>
        <a:xfrm rot="5400000">
          <a:off x="-202019" y="1434708"/>
          <a:ext cx="1346795" cy="942756"/>
        </a:xfrm>
        <a:prstGeom prst="chevron">
          <a:avLst/>
        </a:prstGeom>
        <a:solidFill>
          <a:srgbClr val="00B050"/>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875" tIns="15875" rIns="15875" bIns="15875" numCol="1" spcCol="1270" anchor="ctr" anchorCtr="0">
          <a:noAutofit/>
        </a:bodyPr>
        <a:lstStyle/>
        <a:p>
          <a:pPr lvl="0" algn="ctr" defTabSz="1111250">
            <a:lnSpc>
              <a:spcPct val="90000"/>
            </a:lnSpc>
            <a:spcBef>
              <a:spcPct val="0"/>
            </a:spcBef>
            <a:spcAft>
              <a:spcPct val="35000"/>
            </a:spcAft>
          </a:pPr>
          <a:r>
            <a:rPr lang="en-AU" sz="2500" kern="1200">
              <a:solidFill>
                <a:sysClr val="window" lastClr="FFFFFF"/>
              </a:solidFill>
              <a:latin typeface="Calibri"/>
              <a:ea typeface="+mn-ea"/>
              <a:cs typeface="+mn-cs"/>
            </a:rPr>
            <a:t>Day 4</a:t>
          </a:r>
        </a:p>
      </dsp:txBody>
      <dsp:txXfrm rot="-5400000">
        <a:off x="1" y="1704066"/>
        <a:ext cx="942756" cy="404039"/>
      </dsp:txXfrm>
    </dsp:sp>
    <dsp:sp modelId="{0E61F549-9651-49B5-BAE1-E4A2BF771F5F}">
      <dsp:nvSpPr>
        <dsp:cNvPr id="0" name=""/>
        <dsp:cNvSpPr/>
      </dsp:nvSpPr>
      <dsp:spPr>
        <a:xfrm rot="5400000">
          <a:off x="2870581" y="-695135"/>
          <a:ext cx="875416" cy="4731066"/>
        </a:xfrm>
        <a:prstGeom prst="round2SameRect">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9784" tIns="4445" rIns="4445" bIns="4445" numCol="1" spcCol="1270" anchor="ctr" anchorCtr="0">
          <a:noAutofit/>
        </a:bodyPr>
        <a:lstStyle/>
        <a:p>
          <a:pPr marL="57150" lvl="1" indent="-57150" algn="l" defTabSz="311150">
            <a:lnSpc>
              <a:spcPct val="90000"/>
            </a:lnSpc>
            <a:spcBef>
              <a:spcPct val="0"/>
            </a:spcBef>
            <a:spcAft>
              <a:spcPct val="15000"/>
            </a:spcAft>
            <a:buChar char="•"/>
          </a:pPr>
          <a:r>
            <a:rPr lang="en-AU" sz="700" kern="1200">
              <a:solidFill>
                <a:sysClr val="windowText" lastClr="000000">
                  <a:hueOff val="0"/>
                  <a:satOff val="0"/>
                  <a:lumOff val="0"/>
                  <a:alphaOff val="0"/>
                </a:sysClr>
              </a:solidFill>
              <a:latin typeface="Calibri"/>
              <a:ea typeface="+mn-ea"/>
              <a:cs typeface="+mn-cs"/>
            </a:rPr>
            <a:t>Perform clinical examination to assess for signs of evolving tubular rupture, haemodynamic instability, or other compromise</a:t>
          </a:r>
        </a:p>
        <a:p>
          <a:pPr marL="57150" lvl="1" indent="-57150" algn="l" defTabSz="311150">
            <a:lnSpc>
              <a:spcPct val="90000"/>
            </a:lnSpc>
            <a:spcBef>
              <a:spcPct val="0"/>
            </a:spcBef>
            <a:spcAft>
              <a:spcPct val="15000"/>
            </a:spcAft>
            <a:buChar char="•"/>
          </a:pPr>
          <a:r>
            <a:rPr lang="en-AU" sz="700" kern="1200">
              <a:solidFill>
                <a:sysClr val="windowText" lastClr="000000">
                  <a:hueOff val="0"/>
                  <a:satOff val="0"/>
                  <a:lumOff val="0"/>
                  <a:alphaOff val="0"/>
                </a:sysClr>
              </a:solidFill>
              <a:latin typeface="Calibri"/>
              <a:ea typeface="+mn-ea"/>
              <a:cs typeface="+mn-cs"/>
            </a:rPr>
            <a:t>Serum hCG</a:t>
          </a:r>
        </a:p>
        <a:p>
          <a:pPr marL="57150" lvl="1" indent="-57150" algn="l" defTabSz="311150">
            <a:lnSpc>
              <a:spcPct val="90000"/>
            </a:lnSpc>
            <a:spcBef>
              <a:spcPct val="0"/>
            </a:spcBef>
            <a:spcAft>
              <a:spcPct val="15000"/>
            </a:spcAft>
            <a:buChar char="•"/>
          </a:pPr>
          <a:r>
            <a:rPr lang="en-AU" sz="700" kern="1200">
              <a:solidFill>
                <a:sysClr val="windowText" lastClr="000000">
                  <a:hueOff val="0"/>
                  <a:satOff val="0"/>
                  <a:lumOff val="0"/>
                  <a:alphaOff val="0"/>
                </a:sysClr>
              </a:solidFill>
              <a:latin typeface="Calibri"/>
              <a:ea typeface="+mn-ea"/>
              <a:cs typeface="+mn-cs"/>
            </a:rPr>
            <a:t>FBE, U&amp;Es and LFTs*</a:t>
          </a:r>
        </a:p>
        <a:p>
          <a:pPr marL="57150" lvl="1" indent="-57150" algn="l" defTabSz="311150">
            <a:lnSpc>
              <a:spcPct val="90000"/>
            </a:lnSpc>
            <a:spcBef>
              <a:spcPct val="0"/>
            </a:spcBef>
            <a:spcAft>
              <a:spcPct val="15000"/>
            </a:spcAft>
            <a:buChar char="•"/>
          </a:pPr>
          <a:r>
            <a:rPr lang="en-AU" sz="700" kern="1200">
              <a:solidFill>
                <a:sysClr val="windowText" lastClr="000000">
                  <a:hueOff val="0"/>
                  <a:satOff val="0"/>
                  <a:lumOff val="0"/>
                  <a:alphaOff val="0"/>
                </a:sysClr>
              </a:solidFill>
              <a:latin typeface="Calibri"/>
              <a:ea typeface="+mn-ea"/>
              <a:cs typeface="+mn-cs"/>
            </a:rPr>
            <a:t>Repeat U/S (if indicated)</a:t>
          </a:r>
        </a:p>
        <a:p>
          <a:pPr marL="57150" lvl="1" indent="-57150" algn="l" defTabSz="311150">
            <a:lnSpc>
              <a:spcPct val="90000"/>
            </a:lnSpc>
            <a:spcBef>
              <a:spcPct val="0"/>
            </a:spcBef>
            <a:spcAft>
              <a:spcPct val="15000"/>
            </a:spcAft>
            <a:buChar char="•"/>
          </a:pPr>
          <a:r>
            <a:rPr lang="en-AU" sz="700" kern="1200">
              <a:solidFill>
                <a:sysClr val="windowText" lastClr="000000">
                  <a:hueOff val="0"/>
                  <a:satOff val="0"/>
                  <a:lumOff val="0"/>
                  <a:alphaOff val="0"/>
                </a:sysClr>
              </a:solidFill>
              <a:latin typeface="Calibri"/>
              <a:ea typeface="+mn-ea"/>
              <a:cs typeface="+mn-cs"/>
            </a:rPr>
            <a:t>Assess for ongoing eligibility for medical management and trial participation - consider admission to hospital for observation or reversion to surgical management if pathology results or clinical observations are non-reassuring</a:t>
          </a:r>
        </a:p>
      </dsp:txBody>
      <dsp:txXfrm rot="-5400000">
        <a:off x="942756" y="1275424"/>
        <a:ext cx="4688332" cy="789948"/>
      </dsp:txXfrm>
    </dsp:sp>
    <dsp:sp modelId="{FC21F18B-B04E-4A63-A7CF-EB36DA1D85D1}">
      <dsp:nvSpPr>
        <dsp:cNvPr id="0" name=""/>
        <dsp:cNvSpPr/>
      </dsp:nvSpPr>
      <dsp:spPr>
        <a:xfrm rot="5400000">
          <a:off x="-202019" y="2666547"/>
          <a:ext cx="1346795" cy="942756"/>
        </a:xfrm>
        <a:prstGeom prst="chevron">
          <a:avLst/>
        </a:prstGeom>
        <a:solidFill>
          <a:srgbClr val="0070C0"/>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875" tIns="15875" rIns="15875" bIns="15875" numCol="1" spcCol="1270" anchor="ctr" anchorCtr="0">
          <a:noAutofit/>
        </a:bodyPr>
        <a:lstStyle/>
        <a:p>
          <a:pPr lvl="0" algn="ctr" defTabSz="1111250">
            <a:lnSpc>
              <a:spcPct val="90000"/>
            </a:lnSpc>
            <a:spcBef>
              <a:spcPct val="0"/>
            </a:spcBef>
            <a:spcAft>
              <a:spcPct val="35000"/>
            </a:spcAft>
          </a:pPr>
          <a:r>
            <a:rPr lang="en-AU" sz="2500" kern="1200">
              <a:solidFill>
                <a:sysClr val="window" lastClr="FFFFFF"/>
              </a:solidFill>
              <a:latin typeface="Calibri"/>
              <a:ea typeface="+mn-ea"/>
              <a:cs typeface="+mn-cs"/>
            </a:rPr>
            <a:t>Day 7</a:t>
          </a:r>
        </a:p>
      </dsp:txBody>
      <dsp:txXfrm rot="-5400000">
        <a:off x="1" y="2935905"/>
        <a:ext cx="942756" cy="404039"/>
      </dsp:txXfrm>
    </dsp:sp>
    <dsp:sp modelId="{947F6629-E9E0-4CDA-9FBC-3132BC9231EF}">
      <dsp:nvSpPr>
        <dsp:cNvPr id="0" name=""/>
        <dsp:cNvSpPr/>
      </dsp:nvSpPr>
      <dsp:spPr>
        <a:xfrm rot="5400000">
          <a:off x="2870581" y="536703"/>
          <a:ext cx="875416" cy="4731066"/>
        </a:xfrm>
        <a:prstGeom prst="round2SameRect">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9784" tIns="4445" rIns="4445" bIns="4445" numCol="1" spcCol="1270" anchor="ctr" anchorCtr="0">
          <a:noAutofit/>
        </a:bodyPr>
        <a:lstStyle/>
        <a:p>
          <a:pPr marL="57150" lvl="1" indent="-57150" algn="l" defTabSz="311150">
            <a:lnSpc>
              <a:spcPct val="90000"/>
            </a:lnSpc>
            <a:spcBef>
              <a:spcPct val="0"/>
            </a:spcBef>
            <a:spcAft>
              <a:spcPct val="15000"/>
            </a:spcAft>
            <a:buChar char="•"/>
          </a:pPr>
          <a:r>
            <a:rPr lang="en-AU" sz="700" kern="1200">
              <a:solidFill>
                <a:sysClr val="windowText" lastClr="000000">
                  <a:hueOff val="0"/>
                  <a:satOff val="0"/>
                  <a:lumOff val="0"/>
                  <a:alphaOff val="0"/>
                </a:sysClr>
              </a:solidFill>
              <a:latin typeface="Calibri"/>
              <a:ea typeface="+mn-ea"/>
              <a:cs typeface="+mn-cs"/>
            </a:rPr>
            <a:t>Perform clinical examination to assess for signs of evolving tubular rupture or haemodynamic instability, or other compromise</a:t>
          </a:r>
        </a:p>
        <a:p>
          <a:pPr marL="57150" lvl="1" indent="-57150" algn="l" defTabSz="311150">
            <a:lnSpc>
              <a:spcPct val="90000"/>
            </a:lnSpc>
            <a:spcBef>
              <a:spcPct val="0"/>
            </a:spcBef>
            <a:spcAft>
              <a:spcPct val="15000"/>
            </a:spcAft>
            <a:buChar char="•"/>
          </a:pPr>
          <a:r>
            <a:rPr lang="en-AU" sz="700" kern="1200">
              <a:solidFill>
                <a:sysClr val="windowText" lastClr="000000">
                  <a:hueOff val="0"/>
                  <a:satOff val="0"/>
                  <a:lumOff val="0"/>
                  <a:alphaOff val="0"/>
                </a:sysClr>
              </a:solidFill>
              <a:latin typeface="Calibri"/>
              <a:ea typeface="+mn-ea"/>
              <a:cs typeface="+mn-cs"/>
            </a:rPr>
            <a:t>Serum hCG</a:t>
          </a:r>
        </a:p>
        <a:p>
          <a:pPr marL="57150" lvl="1" indent="-57150" algn="l" defTabSz="311150">
            <a:lnSpc>
              <a:spcPct val="90000"/>
            </a:lnSpc>
            <a:spcBef>
              <a:spcPct val="0"/>
            </a:spcBef>
            <a:spcAft>
              <a:spcPct val="15000"/>
            </a:spcAft>
            <a:buChar char="•"/>
          </a:pPr>
          <a:r>
            <a:rPr lang="en-AU" sz="700" kern="1200">
              <a:solidFill>
                <a:sysClr val="windowText" lastClr="000000">
                  <a:hueOff val="0"/>
                  <a:satOff val="0"/>
                  <a:lumOff val="0"/>
                  <a:alphaOff val="0"/>
                </a:sysClr>
              </a:solidFill>
              <a:latin typeface="Calibri"/>
              <a:ea typeface="+mn-ea"/>
              <a:cs typeface="+mn-cs"/>
            </a:rPr>
            <a:t>FBE, U&amp;Es and LFTs</a:t>
          </a:r>
        </a:p>
        <a:p>
          <a:pPr marL="57150" lvl="1" indent="-57150" algn="l" defTabSz="311150">
            <a:lnSpc>
              <a:spcPct val="90000"/>
            </a:lnSpc>
            <a:spcBef>
              <a:spcPct val="0"/>
            </a:spcBef>
            <a:spcAft>
              <a:spcPct val="15000"/>
            </a:spcAft>
            <a:buChar char="•"/>
          </a:pPr>
          <a:r>
            <a:rPr lang="en-AU" sz="700" kern="1200">
              <a:solidFill>
                <a:sysClr val="windowText" lastClr="000000">
                  <a:hueOff val="0"/>
                  <a:satOff val="0"/>
                  <a:lumOff val="0"/>
                  <a:alphaOff val="0"/>
                </a:sysClr>
              </a:solidFill>
              <a:latin typeface="Calibri"/>
              <a:ea typeface="+mn-ea"/>
              <a:cs typeface="+mn-cs"/>
            </a:rPr>
            <a:t>Repeat U/S (if indicated)</a:t>
          </a:r>
        </a:p>
        <a:p>
          <a:pPr marL="57150" lvl="1" indent="-57150" algn="l" defTabSz="311150">
            <a:lnSpc>
              <a:spcPct val="90000"/>
            </a:lnSpc>
            <a:spcBef>
              <a:spcPct val="0"/>
            </a:spcBef>
            <a:spcAft>
              <a:spcPct val="15000"/>
            </a:spcAft>
            <a:buChar char="•"/>
          </a:pPr>
          <a:r>
            <a:rPr lang="en-AU" sz="700" kern="1200">
              <a:solidFill>
                <a:sysClr val="windowText" lastClr="000000">
                  <a:hueOff val="0"/>
                  <a:satOff val="0"/>
                  <a:lumOff val="0"/>
                  <a:alphaOff val="0"/>
                </a:sysClr>
              </a:solidFill>
              <a:latin typeface="Calibri"/>
              <a:ea typeface="+mn-ea"/>
              <a:cs typeface="+mn-cs"/>
            </a:rPr>
            <a:t>Administer 2nd dose of vinorelbine after pathology results are returned and eligibilty for continuing with medical management and participation in trial are confimed - consider admission to hospital for observation or reversion to surgical management if pathology results or clinical observations are non-reassuring</a:t>
          </a:r>
        </a:p>
      </dsp:txBody>
      <dsp:txXfrm rot="-5400000">
        <a:off x="942756" y="2507262"/>
        <a:ext cx="4688332" cy="789948"/>
      </dsp:txXfrm>
    </dsp:sp>
    <dsp:sp modelId="{9F1FA384-C293-4CCD-83AB-55FD589D0466}">
      <dsp:nvSpPr>
        <dsp:cNvPr id="0" name=""/>
        <dsp:cNvSpPr/>
      </dsp:nvSpPr>
      <dsp:spPr>
        <a:xfrm rot="5400000">
          <a:off x="-202019" y="3898385"/>
          <a:ext cx="1346795" cy="942756"/>
        </a:xfrm>
        <a:prstGeom prst="chevron">
          <a:avLst/>
        </a:prstGeom>
        <a:solidFill>
          <a:srgbClr val="002060"/>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875" tIns="15875" rIns="15875" bIns="15875" numCol="1" spcCol="1270" anchor="ctr" anchorCtr="0">
          <a:noAutofit/>
        </a:bodyPr>
        <a:lstStyle/>
        <a:p>
          <a:pPr lvl="0" algn="ctr" defTabSz="1111250">
            <a:lnSpc>
              <a:spcPct val="90000"/>
            </a:lnSpc>
            <a:spcBef>
              <a:spcPct val="0"/>
            </a:spcBef>
            <a:spcAft>
              <a:spcPct val="35000"/>
            </a:spcAft>
          </a:pPr>
          <a:r>
            <a:rPr lang="en-AU" sz="2500" kern="1200">
              <a:solidFill>
                <a:sysClr val="window" lastClr="FFFFFF"/>
              </a:solidFill>
              <a:latin typeface="Calibri"/>
              <a:ea typeface="+mn-ea"/>
              <a:cs typeface="+mn-cs"/>
            </a:rPr>
            <a:t>Day 11</a:t>
          </a:r>
        </a:p>
      </dsp:txBody>
      <dsp:txXfrm rot="-5400000">
        <a:off x="1" y="4167743"/>
        <a:ext cx="942756" cy="404039"/>
      </dsp:txXfrm>
    </dsp:sp>
    <dsp:sp modelId="{E6AA5354-2F17-4902-90A2-297458D21135}">
      <dsp:nvSpPr>
        <dsp:cNvPr id="0" name=""/>
        <dsp:cNvSpPr/>
      </dsp:nvSpPr>
      <dsp:spPr>
        <a:xfrm rot="5400000">
          <a:off x="2870581" y="1768541"/>
          <a:ext cx="875416" cy="4731066"/>
        </a:xfrm>
        <a:prstGeom prst="round2SameRect">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9784" tIns="4445" rIns="4445" bIns="4445" numCol="1" spcCol="1270" anchor="ctr" anchorCtr="0">
          <a:noAutofit/>
        </a:bodyPr>
        <a:lstStyle/>
        <a:p>
          <a:pPr marL="57150" lvl="1" indent="-57150" algn="l" defTabSz="311150">
            <a:lnSpc>
              <a:spcPct val="90000"/>
            </a:lnSpc>
            <a:spcBef>
              <a:spcPct val="0"/>
            </a:spcBef>
            <a:spcAft>
              <a:spcPct val="15000"/>
            </a:spcAft>
            <a:buChar char="•"/>
          </a:pPr>
          <a:r>
            <a:rPr lang="en-AU" sz="700" b="1" u="sng" kern="1200">
              <a:solidFill>
                <a:sysClr val="windowText" lastClr="000000">
                  <a:hueOff val="0"/>
                  <a:satOff val="0"/>
                  <a:lumOff val="0"/>
                  <a:alphaOff val="0"/>
                </a:sysClr>
              </a:solidFill>
              <a:latin typeface="Calibri"/>
              <a:ea typeface="+mn-ea"/>
              <a:cs typeface="+mn-cs"/>
            </a:rPr>
            <a:t>ONLY IF serum hCG remains persistently elevated (i.e. Day 7 hCG result ≥ Day 4 hCG result):</a:t>
          </a:r>
        </a:p>
        <a:p>
          <a:pPr marL="57150" lvl="1" indent="-57150" algn="l" defTabSz="311150">
            <a:lnSpc>
              <a:spcPct val="90000"/>
            </a:lnSpc>
            <a:spcBef>
              <a:spcPct val="0"/>
            </a:spcBef>
            <a:spcAft>
              <a:spcPct val="15000"/>
            </a:spcAft>
            <a:buChar char="•"/>
          </a:pPr>
          <a:r>
            <a:rPr lang="en-AU" sz="700" kern="1200">
              <a:solidFill>
                <a:sysClr val="windowText" lastClr="000000">
                  <a:hueOff val="0"/>
                  <a:satOff val="0"/>
                  <a:lumOff val="0"/>
                  <a:alphaOff val="0"/>
                </a:sysClr>
              </a:solidFill>
              <a:latin typeface="Calibri"/>
              <a:ea typeface="+mn-ea"/>
              <a:cs typeface="+mn-cs"/>
            </a:rPr>
            <a:t>Perform clinical examination to assess for signs of evolving tubular rupture or haemodynamic instability, or other compromise</a:t>
          </a:r>
        </a:p>
        <a:p>
          <a:pPr marL="57150" lvl="1" indent="-57150" algn="l" defTabSz="311150">
            <a:lnSpc>
              <a:spcPct val="90000"/>
            </a:lnSpc>
            <a:spcBef>
              <a:spcPct val="0"/>
            </a:spcBef>
            <a:spcAft>
              <a:spcPct val="15000"/>
            </a:spcAft>
            <a:buChar char="•"/>
          </a:pPr>
          <a:r>
            <a:rPr lang="en-AU" sz="700" kern="1200">
              <a:solidFill>
                <a:sysClr val="windowText" lastClr="000000">
                  <a:hueOff val="0"/>
                  <a:satOff val="0"/>
                  <a:lumOff val="0"/>
                  <a:alphaOff val="0"/>
                </a:sysClr>
              </a:solidFill>
              <a:latin typeface="Calibri"/>
              <a:ea typeface="+mn-ea"/>
              <a:cs typeface="+mn-cs"/>
            </a:rPr>
            <a:t>Additional serum hCG level* to be performed</a:t>
          </a:r>
        </a:p>
        <a:p>
          <a:pPr marL="57150" lvl="1" indent="-57150" algn="l" defTabSz="311150">
            <a:lnSpc>
              <a:spcPct val="90000"/>
            </a:lnSpc>
            <a:spcBef>
              <a:spcPct val="0"/>
            </a:spcBef>
            <a:spcAft>
              <a:spcPct val="15000"/>
            </a:spcAft>
            <a:buChar char="•"/>
          </a:pPr>
          <a:r>
            <a:rPr lang="en-AU" sz="700" kern="1200">
              <a:solidFill>
                <a:sysClr val="windowText" lastClr="000000">
                  <a:hueOff val="0"/>
                  <a:satOff val="0"/>
                  <a:lumOff val="0"/>
                  <a:alphaOff val="0"/>
                </a:sysClr>
              </a:solidFill>
              <a:latin typeface="Calibri"/>
              <a:ea typeface="+mn-ea"/>
              <a:cs typeface="+mn-cs"/>
            </a:rPr>
            <a:t>Assess for ongoing eligibility for medical management and trial participation  - consider admission to hospital for observation or reversion to surgical management if pathology results or clinical observations are non-reassuring</a:t>
          </a:r>
        </a:p>
        <a:p>
          <a:pPr marL="57150" lvl="1" indent="-57150" algn="l" defTabSz="311150">
            <a:lnSpc>
              <a:spcPct val="90000"/>
            </a:lnSpc>
            <a:spcBef>
              <a:spcPct val="0"/>
            </a:spcBef>
            <a:spcAft>
              <a:spcPct val="15000"/>
            </a:spcAft>
            <a:buChar char="•"/>
          </a:pPr>
          <a:endParaRPr lang="en-AU" sz="700" kern="1200">
            <a:solidFill>
              <a:sysClr val="windowText" lastClr="000000">
                <a:hueOff val="0"/>
                <a:satOff val="0"/>
                <a:lumOff val="0"/>
                <a:alphaOff val="0"/>
              </a:sysClr>
            </a:solidFill>
            <a:latin typeface="Calibri"/>
            <a:ea typeface="+mn-ea"/>
            <a:cs typeface="+mn-cs"/>
          </a:endParaRPr>
        </a:p>
      </dsp:txBody>
      <dsp:txXfrm rot="-5400000">
        <a:off x="942756" y="3739100"/>
        <a:ext cx="4688332" cy="789948"/>
      </dsp:txXfrm>
    </dsp:sp>
    <dsp:sp modelId="{F5192FB4-713C-4EEF-A764-D5ED98A40867}">
      <dsp:nvSpPr>
        <dsp:cNvPr id="0" name=""/>
        <dsp:cNvSpPr/>
      </dsp:nvSpPr>
      <dsp:spPr>
        <a:xfrm rot="5400000">
          <a:off x="-202019" y="5130224"/>
          <a:ext cx="1346795" cy="942756"/>
        </a:xfrm>
        <a:prstGeom prst="chevron">
          <a:avLst/>
        </a:prstGeom>
        <a:solidFill>
          <a:srgbClr val="7030A0"/>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875" tIns="15875" rIns="15875" bIns="15875" numCol="1" spcCol="1270" anchor="ctr" anchorCtr="0">
          <a:noAutofit/>
        </a:bodyPr>
        <a:lstStyle/>
        <a:p>
          <a:pPr lvl="0" algn="ctr" defTabSz="1111250">
            <a:lnSpc>
              <a:spcPct val="90000"/>
            </a:lnSpc>
            <a:spcBef>
              <a:spcPct val="0"/>
            </a:spcBef>
            <a:spcAft>
              <a:spcPct val="35000"/>
            </a:spcAft>
          </a:pPr>
          <a:r>
            <a:rPr lang="en-AU" sz="2500" kern="1200">
              <a:solidFill>
                <a:sysClr val="window" lastClr="FFFFFF"/>
              </a:solidFill>
              <a:latin typeface="Calibri"/>
              <a:ea typeface="+mn-ea"/>
              <a:cs typeface="+mn-cs"/>
            </a:rPr>
            <a:t>Day 14</a:t>
          </a:r>
        </a:p>
      </dsp:txBody>
      <dsp:txXfrm rot="-5400000">
        <a:off x="1" y="5399582"/>
        <a:ext cx="942756" cy="404039"/>
      </dsp:txXfrm>
    </dsp:sp>
    <dsp:sp modelId="{91D9A225-9B92-4BC5-97DF-3E1088268DC3}">
      <dsp:nvSpPr>
        <dsp:cNvPr id="0" name=""/>
        <dsp:cNvSpPr/>
      </dsp:nvSpPr>
      <dsp:spPr>
        <a:xfrm rot="5400000">
          <a:off x="2870581" y="3000380"/>
          <a:ext cx="875416" cy="4731066"/>
        </a:xfrm>
        <a:prstGeom prst="round2SameRect">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9784" tIns="4445" rIns="4445" bIns="4445" numCol="1" spcCol="1270" anchor="ctr" anchorCtr="0">
          <a:noAutofit/>
        </a:bodyPr>
        <a:lstStyle/>
        <a:p>
          <a:pPr marL="57150" lvl="1" indent="-57150" algn="l" defTabSz="311150">
            <a:lnSpc>
              <a:spcPct val="90000"/>
            </a:lnSpc>
            <a:spcBef>
              <a:spcPct val="0"/>
            </a:spcBef>
            <a:spcAft>
              <a:spcPct val="15000"/>
            </a:spcAft>
            <a:buChar char="•"/>
          </a:pPr>
          <a:r>
            <a:rPr lang="en-AU" sz="700" b="1" u="sng" kern="1200">
              <a:solidFill>
                <a:sysClr val="windowText" lastClr="000000">
                  <a:hueOff val="0"/>
                  <a:satOff val="0"/>
                  <a:lumOff val="0"/>
                  <a:alphaOff val="0"/>
                </a:sysClr>
              </a:solidFill>
              <a:latin typeface="Calibri"/>
              <a:ea typeface="+mn-ea"/>
              <a:cs typeface="+mn-cs"/>
            </a:rPr>
            <a:t>ONLY IF 2nd dose of vinorelbine administered on Day 7:</a:t>
          </a:r>
        </a:p>
        <a:p>
          <a:pPr marL="57150" lvl="1" indent="-57150" algn="l" defTabSz="311150">
            <a:lnSpc>
              <a:spcPct val="90000"/>
            </a:lnSpc>
            <a:spcBef>
              <a:spcPct val="0"/>
            </a:spcBef>
            <a:spcAft>
              <a:spcPct val="15000"/>
            </a:spcAft>
            <a:buChar char="•"/>
          </a:pPr>
          <a:r>
            <a:rPr lang="en-AU" sz="700" kern="1200">
              <a:solidFill>
                <a:sysClr val="windowText" lastClr="000000">
                  <a:hueOff val="0"/>
                  <a:satOff val="0"/>
                  <a:lumOff val="0"/>
                  <a:alphaOff val="0"/>
                </a:sysClr>
              </a:solidFill>
              <a:latin typeface="Calibri"/>
              <a:ea typeface="+mn-ea"/>
              <a:cs typeface="+mn-cs"/>
            </a:rPr>
            <a:t>Perform clinical examination to assess for signs of evolving tubular rupture or haemodynamic instability, or other compromise</a:t>
          </a:r>
        </a:p>
        <a:p>
          <a:pPr marL="57150" lvl="1" indent="-57150" algn="l" defTabSz="311150">
            <a:lnSpc>
              <a:spcPct val="90000"/>
            </a:lnSpc>
            <a:spcBef>
              <a:spcPct val="0"/>
            </a:spcBef>
            <a:spcAft>
              <a:spcPct val="15000"/>
            </a:spcAft>
            <a:buChar char="•"/>
          </a:pPr>
          <a:r>
            <a:rPr lang="en-AU" sz="700" kern="1200">
              <a:solidFill>
                <a:sysClr val="windowText" lastClr="000000">
                  <a:hueOff val="0"/>
                  <a:satOff val="0"/>
                  <a:lumOff val="0"/>
                  <a:alphaOff val="0"/>
                </a:sysClr>
              </a:solidFill>
              <a:latin typeface="Calibri"/>
              <a:ea typeface="+mn-ea"/>
              <a:cs typeface="+mn-cs"/>
            </a:rPr>
            <a:t>Serum hCG</a:t>
          </a:r>
        </a:p>
        <a:p>
          <a:pPr marL="57150" lvl="1" indent="-57150" algn="l" defTabSz="311150">
            <a:lnSpc>
              <a:spcPct val="90000"/>
            </a:lnSpc>
            <a:spcBef>
              <a:spcPct val="0"/>
            </a:spcBef>
            <a:spcAft>
              <a:spcPct val="15000"/>
            </a:spcAft>
            <a:buChar char="•"/>
          </a:pPr>
          <a:r>
            <a:rPr lang="en-AU" sz="700" kern="1200">
              <a:solidFill>
                <a:sysClr val="windowText" lastClr="000000">
                  <a:hueOff val="0"/>
                  <a:satOff val="0"/>
                  <a:lumOff val="0"/>
                  <a:alphaOff val="0"/>
                </a:sysClr>
              </a:solidFill>
              <a:latin typeface="Calibri"/>
              <a:ea typeface="+mn-ea"/>
              <a:cs typeface="+mn-cs"/>
            </a:rPr>
            <a:t>FBE, U&amp;Es and LFTs</a:t>
          </a:r>
        </a:p>
        <a:p>
          <a:pPr marL="57150" lvl="1" indent="-57150" algn="l" defTabSz="311150">
            <a:lnSpc>
              <a:spcPct val="90000"/>
            </a:lnSpc>
            <a:spcBef>
              <a:spcPct val="0"/>
            </a:spcBef>
            <a:spcAft>
              <a:spcPct val="15000"/>
            </a:spcAft>
            <a:buChar char="•"/>
          </a:pPr>
          <a:r>
            <a:rPr lang="en-AU" sz="700" kern="1200">
              <a:solidFill>
                <a:sysClr val="windowText" lastClr="000000">
                  <a:hueOff val="0"/>
                  <a:satOff val="0"/>
                  <a:lumOff val="0"/>
                  <a:alphaOff val="0"/>
                </a:sysClr>
              </a:solidFill>
              <a:latin typeface="Calibri"/>
              <a:ea typeface="+mn-ea"/>
              <a:cs typeface="+mn-cs"/>
            </a:rPr>
            <a:t>Repeat U/S (if indicated)</a:t>
          </a:r>
        </a:p>
        <a:p>
          <a:pPr marL="57150" lvl="1" indent="-57150" algn="l" defTabSz="311150">
            <a:lnSpc>
              <a:spcPct val="90000"/>
            </a:lnSpc>
            <a:spcBef>
              <a:spcPct val="0"/>
            </a:spcBef>
            <a:spcAft>
              <a:spcPct val="15000"/>
            </a:spcAft>
            <a:buChar char="•"/>
          </a:pPr>
          <a:r>
            <a:rPr lang="en-AU" sz="700" kern="1200">
              <a:solidFill>
                <a:sysClr val="windowText" lastClr="000000">
                  <a:hueOff val="0"/>
                  <a:satOff val="0"/>
                  <a:lumOff val="0"/>
                  <a:alphaOff val="0"/>
                </a:sysClr>
              </a:solidFill>
              <a:latin typeface="Calibri"/>
              <a:ea typeface="+mn-ea"/>
              <a:cs typeface="+mn-cs"/>
            </a:rPr>
            <a:t>Assess for ongoing eligibility for medical management and trial participation - consider admission to hospital for observation or reversion to surgical management if pathology results or clinical observations are non-reassuring</a:t>
          </a:r>
        </a:p>
      </dsp:txBody>
      <dsp:txXfrm rot="-5400000">
        <a:off x="942756" y="4970939"/>
        <a:ext cx="4688332" cy="789948"/>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DFA34668-BE00-C848-B76E-6CCF435AB3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69</Pages>
  <Words>27243</Words>
  <Characters>155287</Characters>
  <Application>Microsoft Macintosh Word</Application>
  <DocSecurity>0</DocSecurity>
  <Lines>1294</Lines>
  <Paragraphs>364</Paragraphs>
  <ScaleCrop>false</ScaleCrop>
  <HeadingPairs>
    <vt:vector size="2" baseType="variant">
      <vt:variant>
        <vt:lpstr>Title</vt:lpstr>
      </vt:variant>
      <vt:variant>
        <vt:i4>1</vt:i4>
      </vt:variant>
    </vt:vector>
  </HeadingPairs>
  <TitlesOfParts>
    <vt:vector size="1" baseType="lpstr">
      <vt:lpstr/>
    </vt:vector>
  </TitlesOfParts>
  <Company>Mercy Health</Company>
  <LinksUpToDate>false</LinksUpToDate>
  <CharactersWithSpaces>182166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Middleton</dc:creator>
  <cp:lastModifiedBy>prathima chowdary</cp:lastModifiedBy>
  <cp:revision>12</cp:revision>
  <cp:lastPrinted>2017-06-30T00:10:00Z</cp:lastPrinted>
  <dcterms:created xsi:type="dcterms:W3CDTF">2017-11-28T01:17:00Z</dcterms:created>
  <dcterms:modified xsi:type="dcterms:W3CDTF">2018-08-04T04:32:00Z</dcterms:modified>
</cp:coreProperties>
</file>