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3"/>
        <w:gridCol w:w="6773"/>
      </w:tblGrid>
      <w:tr w:rsidR="0043038A" w:rsidRPr="00CB56AE" w:rsidTr="00DD647B">
        <w:tc>
          <w:tcPr>
            <w:tcW w:w="2261" w:type="dxa"/>
            <w:tcBorders>
              <w:top w:val="double" w:sz="4" w:space="0" w:color="auto"/>
              <w:bottom w:val="single" w:sz="4" w:space="0" w:color="auto"/>
            </w:tcBorders>
            <w:shd w:val="pct15" w:color="auto" w:fill="auto"/>
          </w:tcPr>
          <w:p w:rsidR="00DD647B" w:rsidRPr="00CB56AE" w:rsidRDefault="00DD647B" w:rsidP="0053194D">
            <w:pPr>
              <w:pStyle w:val="Heading8"/>
              <w:rPr>
                <w:rFonts w:cs="Arial"/>
                <w:sz w:val="24"/>
              </w:rPr>
            </w:pPr>
            <w:r w:rsidRPr="00CB56AE">
              <w:rPr>
                <w:rFonts w:cs="Arial"/>
                <w:sz w:val="24"/>
              </w:rPr>
              <w:t>Study Title</w:t>
            </w:r>
          </w:p>
        </w:tc>
        <w:tc>
          <w:tcPr>
            <w:tcW w:w="6981" w:type="dxa"/>
            <w:tcBorders>
              <w:top w:val="double" w:sz="4" w:space="0" w:color="auto"/>
              <w:bottom w:val="single" w:sz="4" w:space="0" w:color="auto"/>
            </w:tcBorders>
          </w:tcPr>
          <w:p w:rsidR="00DD647B" w:rsidRPr="00CB56AE" w:rsidRDefault="00BF0787" w:rsidP="00C33ACD">
            <w:pPr>
              <w:pStyle w:val="Reminder"/>
              <w:ind w:left="0"/>
              <w:rPr>
                <w:color w:val="auto"/>
                <w:sz w:val="24"/>
              </w:rPr>
            </w:pPr>
            <w:r w:rsidRPr="00CB56AE">
              <w:rPr>
                <w:color w:val="auto"/>
                <w:sz w:val="24"/>
              </w:rPr>
              <w:t>Post-</w:t>
            </w:r>
            <w:r w:rsidR="006442D8" w:rsidRPr="00CB56AE">
              <w:rPr>
                <w:color w:val="auto"/>
                <w:sz w:val="24"/>
              </w:rPr>
              <w:t xml:space="preserve">Operative Extended Enteral Nutrition in Patients with Oesophageal Cancer requiring </w:t>
            </w:r>
            <w:proofErr w:type="spellStart"/>
            <w:r w:rsidR="006442D8" w:rsidRPr="00CB56AE">
              <w:rPr>
                <w:color w:val="auto"/>
                <w:sz w:val="24"/>
              </w:rPr>
              <w:t>Oesophagectomy</w:t>
            </w:r>
            <w:proofErr w:type="spellEnd"/>
            <w:r w:rsidR="00BE25C5" w:rsidRPr="00CB56AE">
              <w:rPr>
                <w:color w:val="auto"/>
                <w:sz w:val="24"/>
              </w:rPr>
              <w:t xml:space="preserve"> -  A pilot study</w:t>
            </w:r>
          </w:p>
        </w:tc>
      </w:tr>
      <w:tr w:rsidR="0043038A" w:rsidRPr="00CB56AE" w:rsidTr="00DD647B">
        <w:tc>
          <w:tcPr>
            <w:tcW w:w="2261" w:type="dxa"/>
            <w:shd w:val="pct15" w:color="auto" w:fill="auto"/>
          </w:tcPr>
          <w:p w:rsidR="00DD647B" w:rsidRPr="00CB56AE" w:rsidRDefault="00DD647B" w:rsidP="0053194D">
            <w:pPr>
              <w:pStyle w:val="Heading8"/>
              <w:rPr>
                <w:rFonts w:cs="Arial"/>
                <w:sz w:val="24"/>
              </w:rPr>
            </w:pPr>
            <w:r w:rsidRPr="00CB56AE">
              <w:rPr>
                <w:rFonts w:cs="Arial"/>
                <w:sz w:val="24"/>
              </w:rPr>
              <w:t>Study name</w:t>
            </w:r>
          </w:p>
        </w:tc>
        <w:tc>
          <w:tcPr>
            <w:tcW w:w="6981" w:type="dxa"/>
          </w:tcPr>
          <w:p w:rsidR="00DD647B" w:rsidRPr="00CB56AE" w:rsidRDefault="00DD647B" w:rsidP="0053194D">
            <w:pPr>
              <w:pStyle w:val="Reminder"/>
              <w:rPr>
                <w:color w:val="auto"/>
                <w:sz w:val="24"/>
              </w:rPr>
            </w:pPr>
          </w:p>
        </w:tc>
      </w:tr>
      <w:tr w:rsidR="0043038A" w:rsidRPr="00CB56AE" w:rsidTr="00DD647B">
        <w:tc>
          <w:tcPr>
            <w:tcW w:w="2261" w:type="dxa"/>
            <w:tcBorders>
              <w:bottom w:val="nil"/>
              <w:right w:val="single" w:sz="4" w:space="0" w:color="auto"/>
            </w:tcBorders>
            <w:shd w:val="pct15" w:color="auto" w:fill="auto"/>
          </w:tcPr>
          <w:p w:rsidR="00DD647B" w:rsidRPr="00CB56AE" w:rsidRDefault="00DD647B" w:rsidP="0053194D">
            <w:pPr>
              <w:pStyle w:val="Heading8"/>
              <w:rPr>
                <w:rFonts w:cs="Arial"/>
                <w:sz w:val="24"/>
              </w:rPr>
            </w:pPr>
            <w:r w:rsidRPr="00CB56AE">
              <w:rPr>
                <w:rFonts w:cs="Arial"/>
                <w:sz w:val="24"/>
              </w:rPr>
              <w:t>Study AIm/</w:t>
            </w:r>
          </w:p>
          <w:p w:rsidR="00DD647B" w:rsidRPr="00CB56AE" w:rsidRDefault="00DD647B" w:rsidP="0053194D">
            <w:pPr>
              <w:pStyle w:val="Heading8"/>
              <w:rPr>
                <w:rFonts w:cs="Arial"/>
                <w:sz w:val="24"/>
              </w:rPr>
            </w:pPr>
            <w:r w:rsidRPr="00CB56AE">
              <w:rPr>
                <w:rFonts w:cs="Arial"/>
                <w:sz w:val="24"/>
              </w:rPr>
              <w:t>objectives</w:t>
            </w:r>
          </w:p>
        </w:tc>
        <w:tc>
          <w:tcPr>
            <w:tcW w:w="6981" w:type="dxa"/>
            <w:tcBorders>
              <w:left w:val="single" w:sz="4" w:space="0" w:color="auto"/>
              <w:bottom w:val="nil"/>
            </w:tcBorders>
          </w:tcPr>
          <w:p w:rsidR="00DD647B" w:rsidRPr="00CB56AE" w:rsidRDefault="002E2691" w:rsidP="00143E6C">
            <w:pPr>
              <w:rPr>
                <w:rFonts w:cs="Arial"/>
                <w:sz w:val="24"/>
                <w:lang w:val="en-US"/>
              </w:rPr>
            </w:pPr>
            <w:r w:rsidRPr="00CB56AE">
              <w:rPr>
                <w:rFonts w:cs="Arial"/>
                <w:sz w:val="24"/>
                <w:lang w:val="en-AU" w:eastAsia="en-AU"/>
              </w:rPr>
              <w:t>The aim</w:t>
            </w:r>
            <w:r w:rsidR="005417BA" w:rsidRPr="00CB56AE">
              <w:rPr>
                <w:rFonts w:cs="Arial"/>
                <w:sz w:val="24"/>
                <w:lang w:val="en-AU" w:eastAsia="en-AU"/>
              </w:rPr>
              <w:t xml:space="preserve"> of this study would be to assess the </w:t>
            </w:r>
            <w:r w:rsidRPr="00CB56AE">
              <w:rPr>
                <w:rFonts w:cs="Arial"/>
                <w:sz w:val="24"/>
                <w:lang w:val="en-AU" w:eastAsia="en-AU"/>
              </w:rPr>
              <w:t xml:space="preserve">nutritional </w:t>
            </w:r>
            <w:r w:rsidR="005417BA" w:rsidRPr="00CB56AE">
              <w:rPr>
                <w:rFonts w:cs="Arial"/>
                <w:sz w:val="24"/>
                <w:lang w:val="en-AU" w:eastAsia="en-AU"/>
              </w:rPr>
              <w:t xml:space="preserve">impact of providing enteral feeding </w:t>
            </w:r>
            <w:r w:rsidR="00143E6C" w:rsidRPr="00CB56AE">
              <w:rPr>
                <w:rFonts w:cs="Arial"/>
                <w:sz w:val="24"/>
                <w:lang w:val="en-AU" w:eastAsia="en-AU"/>
              </w:rPr>
              <w:t xml:space="preserve">for patients over the </w:t>
            </w:r>
            <w:r w:rsidR="005417BA" w:rsidRPr="00CB56AE">
              <w:rPr>
                <w:rFonts w:cs="Arial"/>
                <w:sz w:val="24"/>
                <w:lang w:val="en-AU" w:eastAsia="en-AU"/>
              </w:rPr>
              <w:t xml:space="preserve">first </w:t>
            </w:r>
            <w:r w:rsidR="00143E6C" w:rsidRPr="00CB56AE">
              <w:rPr>
                <w:rFonts w:cs="Arial"/>
                <w:sz w:val="24"/>
                <w:lang w:val="en-AU" w:eastAsia="en-AU"/>
              </w:rPr>
              <w:t>12 weeks post operatively</w:t>
            </w:r>
            <w:r w:rsidR="005417BA" w:rsidRPr="00CB56AE">
              <w:rPr>
                <w:rFonts w:cs="Arial"/>
                <w:sz w:val="24"/>
                <w:lang w:val="en-AU" w:eastAsia="en-AU"/>
              </w:rPr>
              <w:t xml:space="preserve"> following major upper gastrointestinal surgery.</w:t>
            </w:r>
          </w:p>
        </w:tc>
      </w:tr>
      <w:tr w:rsidR="0043038A" w:rsidRPr="00CB56AE" w:rsidTr="00DD647B">
        <w:tc>
          <w:tcPr>
            <w:tcW w:w="2261" w:type="dxa"/>
            <w:tcBorders>
              <w:bottom w:val="single" w:sz="4" w:space="0" w:color="auto"/>
            </w:tcBorders>
            <w:shd w:val="pct15" w:color="auto" w:fill="auto"/>
          </w:tcPr>
          <w:p w:rsidR="00DD647B" w:rsidRPr="00CB56AE" w:rsidRDefault="00DD647B" w:rsidP="0053194D">
            <w:pPr>
              <w:pStyle w:val="Heading8"/>
              <w:rPr>
                <w:rFonts w:cs="Arial"/>
                <w:sz w:val="24"/>
              </w:rPr>
            </w:pPr>
            <w:r w:rsidRPr="00CB56AE">
              <w:rPr>
                <w:rFonts w:cs="Arial"/>
                <w:sz w:val="24"/>
              </w:rPr>
              <w:t>Study design</w:t>
            </w:r>
          </w:p>
        </w:tc>
        <w:tc>
          <w:tcPr>
            <w:tcW w:w="6981" w:type="dxa"/>
            <w:tcBorders>
              <w:bottom w:val="single" w:sz="4" w:space="0" w:color="auto"/>
            </w:tcBorders>
          </w:tcPr>
          <w:p w:rsidR="00DD647B" w:rsidRPr="00CB56AE" w:rsidRDefault="00BE25C5" w:rsidP="00C33ACD">
            <w:pPr>
              <w:rPr>
                <w:rFonts w:cs="Arial"/>
                <w:sz w:val="24"/>
              </w:rPr>
            </w:pPr>
            <w:r w:rsidRPr="00CB56AE">
              <w:rPr>
                <w:rFonts w:cs="Arial"/>
                <w:sz w:val="24"/>
              </w:rPr>
              <w:t>Randomised Controlled Trial</w:t>
            </w:r>
          </w:p>
        </w:tc>
      </w:tr>
      <w:tr w:rsidR="0043038A" w:rsidRPr="00CB56AE" w:rsidTr="00DD647B">
        <w:tc>
          <w:tcPr>
            <w:tcW w:w="2261" w:type="dxa"/>
            <w:tcBorders>
              <w:bottom w:val="single" w:sz="4" w:space="0" w:color="auto"/>
            </w:tcBorders>
            <w:shd w:val="pct15" w:color="auto" w:fill="auto"/>
          </w:tcPr>
          <w:p w:rsidR="00DD647B" w:rsidRPr="00CB56AE" w:rsidRDefault="00DD647B" w:rsidP="0053194D">
            <w:pPr>
              <w:pStyle w:val="Heading8"/>
              <w:rPr>
                <w:rFonts w:cs="Arial"/>
                <w:sz w:val="24"/>
              </w:rPr>
            </w:pPr>
            <w:r w:rsidRPr="00CB56AE">
              <w:rPr>
                <w:rFonts w:cs="Arial"/>
                <w:sz w:val="24"/>
              </w:rPr>
              <w:t>study subjects</w:t>
            </w:r>
          </w:p>
        </w:tc>
        <w:tc>
          <w:tcPr>
            <w:tcW w:w="6981" w:type="dxa"/>
            <w:tcBorders>
              <w:bottom w:val="single" w:sz="4" w:space="0" w:color="auto"/>
            </w:tcBorders>
          </w:tcPr>
          <w:p w:rsidR="00DD647B" w:rsidRPr="00CB56AE" w:rsidRDefault="005417BA" w:rsidP="002E2691">
            <w:pPr>
              <w:pStyle w:val="Reminder"/>
              <w:ind w:left="0"/>
              <w:rPr>
                <w:color w:val="auto"/>
                <w:sz w:val="24"/>
              </w:rPr>
            </w:pPr>
            <w:r w:rsidRPr="00CB56AE">
              <w:rPr>
                <w:color w:val="auto"/>
                <w:sz w:val="24"/>
              </w:rPr>
              <w:t xml:space="preserve">Patients having curative </w:t>
            </w:r>
            <w:proofErr w:type="spellStart"/>
            <w:r w:rsidRPr="00CB56AE">
              <w:rPr>
                <w:color w:val="auto"/>
                <w:sz w:val="24"/>
              </w:rPr>
              <w:t>oesophagectomy</w:t>
            </w:r>
            <w:proofErr w:type="spellEnd"/>
            <w:r w:rsidRPr="00CB56AE">
              <w:rPr>
                <w:color w:val="auto"/>
                <w:sz w:val="24"/>
              </w:rPr>
              <w:t xml:space="preserve"> </w:t>
            </w:r>
          </w:p>
        </w:tc>
      </w:tr>
      <w:tr w:rsidR="0043038A" w:rsidRPr="00CB56AE" w:rsidTr="00DD647B">
        <w:tc>
          <w:tcPr>
            <w:tcW w:w="2261" w:type="dxa"/>
            <w:tcBorders>
              <w:bottom w:val="single" w:sz="4" w:space="0" w:color="auto"/>
            </w:tcBorders>
            <w:shd w:val="pct15" w:color="auto" w:fill="auto"/>
          </w:tcPr>
          <w:p w:rsidR="00DD647B" w:rsidRPr="00CB56AE" w:rsidRDefault="00DD647B" w:rsidP="0053194D">
            <w:pPr>
              <w:pStyle w:val="Heading8"/>
              <w:rPr>
                <w:rFonts w:cs="Arial"/>
                <w:sz w:val="24"/>
              </w:rPr>
            </w:pPr>
            <w:r w:rsidRPr="00CB56AE">
              <w:rPr>
                <w:rFonts w:cs="Arial"/>
                <w:sz w:val="24"/>
              </w:rPr>
              <w:t>Inclusion criteria</w:t>
            </w:r>
          </w:p>
        </w:tc>
        <w:tc>
          <w:tcPr>
            <w:tcW w:w="6981" w:type="dxa"/>
            <w:tcBorders>
              <w:bottom w:val="single" w:sz="4" w:space="0" w:color="auto"/>
            </w:tcBorders>
          </w:tcPr>
          <w:p w:rsidR="00820430" w:rsidRPr="00CB56AE" w:rsidRDefault="00820430" w:rsidP="0053194D">
            <w:pPr>
              <w:pStyle w:val="ListBullet"/>
              <w:rPr>
                <w:rFonts w:cs="Arial"/>
                <w:color w:val="auto"/>
                <w:sz w:val="24"/>
                <w:szCs w:val="24"/>
              </w:rPr>
            </w:pPr>
            <w:r w:rsidRPr="00CB56AE">
              <w:rPr>
                <w:rFonts w:cs="Arial"/>
                <w:color w:val="auto"/>
                <w:sz w:val="24"/>
                <w:szCs w:val="24"/>
              </w:rPr>
              <w:t>Adult patients</w:t>
            </w:r>
          </w:p>
          <w:p w:rsidR="00DD647B" w:rsidRPr="00CB56AE" w:rsidRDefault="002955C7" w:rsidP="0053194D">
            <w:pPr>
              <w:pStyle w:val="ListBullet"/>
              <w:rPr>
                <w:rFonts w:cs="Arial"/>
                <w:color w:val="auto"/>
                <w:sz w:val="24"/>
                <w:szCs w:val="24"/>
              </w:rPr>
            </w:pPr>
            <w:r w:rsidRPr="00CB56AE">
              <w:rPr>
                <w:rFonts w:cs="Arial"/>
                <w:color w:val="auto"/>
                <w:sz w:val="24"/>
                <w:szCs w:val="24"/>
              </w:rPr>
              <w:t xml:space="preserve">Patients having had curative </w:t>
            </w:r>
            <w:proofErr w:type="spellStart"/>
            <w:r w:rsidRPr="00CB56AE">
              <w:rPr>
                <w:rFonts w:cs="Arial"/>
                <w:color w:val="auto"/>
                <w:sz w:val="24"/>
                <w:szCs w:val="24"/>
              </w:rPr>
              <w:t>oesophagectomy</w:t>
            </w:r>
            <w:proofErr w:type="spellEnd"/>
            <w:r w:rsidRPr="00CB56AE">
              <w:rPr>
                <w:rFonts w:cs="Arial"/>
                <w:color w:val="auto"/>
                <w:sz w:val="24"/>
                <w:szCs w:val="24"/>
              </w:rPr>
              <w:t xml:space="preserve"> </w:t>
            </w:r>
          </w:p>
          <w:p w:rsidR="002955C7" w:rsidRPr="00CB56AE" w:rsidRDefault="002955C7" w:rsidP="0053194D">
            <w:pPr>
              <w:pStyle w:val="ListBullet"/>
              <w:rPr>
                <w:rFonts w:cs="Arial"/>
                <w:color w:val="auto"/>
                <w:sz w:val="24"/>
                <w:szCs w:val="24"/>
              </w:rPr>
            </w:pPr>
            <w:r w:rsidRPr="00CB56AE">
              <w:rPr>
                <w:rFonts w:cs="Arial"/>
                <w:color w:val="auto"/>
                <w:sz w:val="24"/>
                <w:szCs w:val="24"/>
              </w:rPr>
              <w:t>Patients being discharged to home</w:t>
            </w:r>
            <w:r w:rsidR="00BF0787" w:rsidRPr="00CB56AE">
              <w:rPr>
                <w:rFonts w:cs="Arial"/>
                <w:color w:val="auto"/>
                <w:sz w:val="24"/>
                <w:szCs w:val="24"/>
              </w:rPr>
              <w:t xml:space="preserve"> with </w:t>
            </w:r>
            <w:proofErr w:type="spellStart"/>
            <w:r w:rsidR="00BF0787" w:rsidRPr="00CB56AE">
              <w:rPr>
                <w:rFonts w:cs="Arial"/>
                <w:color w:val="auto"/>
                <w:sz w:val="24"/>
                <w:szCs w:val="24"/>
              </w:rPr>
              <w:t>jejunostomy</w:t>
            </w:r>
            <w:proofErr w:type="spellEnd"/>
            <w:r w:rsidR="00BF0787" w:rsidRPr="00CB56AE">
              <w:rPr>
                <w:rFonts w:cs="Arial"/>
                <w:color w:val="auto"/>
                <w:sz w:val="24"/>
                <w:szCs w:val="24"/>
              </w:rPr>
              <w:t xml:space="preserve"> feeding tube in situ</w:t>
            </w:r>
          </w:p>
          <w:p w:rsidR="00C33ACD" w:rsidRPr="00CB56AE" w:rsidRDefault="002955C7" w:rsidP="002E2691">
            <w:pPr>
              <w:pStyle w:val="ListBullet"/>
              <w:rPr>
                <w:rFonts w:cs="Arial"/>
                <w:color w:val="auto"/>
                <w:sz w:val="24"/>
                <w:szCs w:val="24"/>
              </w:rPr>
            </w:pPr>
            <w:r w:rsidRPr="00CB56AE">
              <w:rPr>
                <w:rFonts w:cs="Arial"/>
                <w:color w:val="auto"/>
                <w:sz w:val="24"/>
                <w:szCs w:val="24"/>
              </w:rPr>
              <w:t>Ability to provide written consent</w:t>
            </w:r>
          </w:p>
        </w:tc>
      </w:tr>
      <w:tr w:rsidR="0043038A" w:rsidRPr="00CB56AE" w:rsidTr="00DD647B">
        <w:tc>
          <w:tcPr>
            <w:tcW w:w="2261" w:type="dxa"/>
            <w:tcBorders>
              <w:bottom w:val="single" w:sz="4" w:space="0" w:color="auto"/>
            </w:tcBorders>
            <w:shd w:val="pct15" w:color="auto" w:fill="auto"/>
          </w:tcPr>
          <w:p w:rsidR="00DD647B" w:rsidRPr="00CB56AE" w:rsidRDefault="00DD647B" w:rsidP="0053194D">
            <w:pPr>
              <w:pStyle w:val="Heading8"/>
              <w:rPr>
                <w:rFonts w:cs="Arial"/>
                <w:sz w:val="24"/>
              </w:rPr>
            </w:pPr>
            <w:r w:rsidRPr="00CB56AE">
              <w:rPr>
                <w:rFonts w:cs="Arial"/>
                <w:sz w:val="24"/>
              </w:rPr>
              <w:t>Exclusion criteria</w:t>
            </w:r>
          </w:p>
        </w:tc>
        <w:tc>
          <w:tcPr>
            <w:tcW w:w="6981" w:type="dxa"/>
            <w:tcBorders>
              <w:bottom w:val="single" w:sz="4" w:space="0" w:color="auto"/>
            </w:tcBorders>
          </w:tcPr>
          <w:p w:rsidR="00DD647B" w:rsidRPr="00CB56AE" w:rsidRDefault="00820430" w:rsidP="00A435B2">
            <w:pPr>
              <w:pStyle w:val="ListBullet"/>
              <w:rPr>
                <w:rFonts w:cs="Arial"/>
                <w:color w:val="auto"/>
                <w:sz w:val="24"/>
                <w:szCs w:val="24"/>
              </w:rPr>
            </w:pPr>
            <w:r w:rsidRPr="00CB56AE">
              <w:rPr>
                <w:rFonts w:cs="Arial"/>
                <w:color w:val="auto"/>
                <w:sz w:val="24"/>
                <w:szCs w:val="24"/>
              </w:rPr>
              <w:t>Patients who experience tube failure</w:t>
            </w:r>
          </w:p>
          <w:p w:rsidR="00820430" w:rsidRPr="00CB56AE" w:rsidRDefault="00820430" w:rsidP="00A435B2">
            <w:pPr>
              <w:pStyle w:val="ListBullet"/>
              <w:rPr>
                <w:rFonts w:cs="Arial"/>
                <w:color w:val="auto"/>
                <w:sz w:val="24"/>
                <w:szCs w:val="24"/>
              </w:rPr>
            </w:pPr>
            <w:r w:rsidRPr="00CB56AE">
              <w:rPr>
                <w:rFonts w:cs="Arial"/>
                <w:color w:val="auto"/>
                <w:sz w:val="24"/>
                <w:szCs w:val="24"/>
              </w:rPr>
              <w:t>Inability to attend appointments at JHH at 3 and 6 months post op.</w:t>
            </w:r>
          </w:p>
        </w:tc>
      </w:tr>
      <w:tr w:rsidR="0043038A" w:rsidRPr="00CB56AE" w:rsidTr="00DD647B">
        <w:tc>
          <w:tcPr>
            <w:tcW w:w="2261" w:type="dxa"/>
            <w:tcBorders>
              <w:bottom w:val="nil"/>
            </w:tcBorders>
            <w:shd w:val="pct15" w:color="auto" w:fill="auto"/>
          </w:tcPr>
          <w:p w:rsidR="00DD647B" w:rsidRPr="00CB56AE" w:rsidRDefault="00DD647B" w:rsidP="0053194D">
            <w:pPr>
              <w:pStyle w:val="Heading8"/>
              <w:rPr>
                <w:rFonts w:cs="Arial"/>
                <w:sz w:val="24"/>
              </w:rPr>
            </w:pPr>
            <w:r w:rsidRPr="00CB56AE">
              <w:rPr>
                <w:rFonts w:cs="Arial"/>
                <w:sz w:val="24"/>
              </w:rPr>
              <w:t>outcome parameters</w:t>
            </w:r>
          </w:p>
        </w:tc>
        <w:tc>
          <w:tcPr>
            <w:tcW w:w="6981" w:type="dxa"/>
            <w:tcBorders>
              <w:bottom w:val="nil"/>
            </w:tcBorders>
          </w:tcPr>
          <w:p w:rsidR="00DD647B" w:rsidRPr="00CB56AE" w:rsidRDefault="00DD647B" w:rsidP="0053194D">
            <w:pPr>
              <w:rPr>
                <w:rFonts w:cs="Arial"/>
                <w:sz w:val="24"/>
              </w:rPr>
            </w:pPr>
          </w:p>
        </w:tc>
      </w:tr>
      <w:tr w:rsidR="0043038A" w:rsidRPr="00CB56AE" w:rsidTr="00DD647B">
        <w:tc>
          <w:tcPr>
            <w:tcW w:w="2261" w:type="dxa"/>
            <w:tcBorders>
              <w:top w:val="nil"/>
              <w:bottom w:val="nil"/>
            </w:tcBorders>
            <w:shd w:val="pct15" w:color="auto" w:fill="auto"/>
          </w:tcPr>
          <w:p w:rsidR="00DD647B" w:rsidRPr="00CB56AE" w:rsidRDefault="00DD647B" w:rsidP="0053194D">
            <w:pPr>
              <w:pStyle w:val="Pagenr"/>
              <w:rPr>
                <w:rFonts w:cs="Arial"/>
                <w:color w:val="auto"/>
                <w:sz w:val="24"/>
                <w:szCs w:val="24"/>
              </w:rPr>
            </w:pPr>
            <w:r w:rsidRPr="00CB56AE">
              <w:rPr>
                <w:rFonts w:cs="Arial"/>
                <w:color w:val="auto"/>
                <w:sz w:val="24"/>
                <w:szCs w:val="24"/>
              </w:rPr>
              <w:t>Primary</w:t>
            </w:r>
          </w:p>
        </w:tc>
        <w:tc>
          <w:tcPr>
            <w:tcW w:w="6981" w:type="dxa"/>
            <w:tcBorders>
              <w:top w:val="nil"/>
              <w:bottom w:val="nil"/>
            </w:tcBorders>
          </w:tcPr>
          <w:p w:rsidR="00BE25C5" w:rsidRPr="00CB56AE" w:rsidRDefault="00BE25C5" w:rsidP="0053194D">
            <w:pPr>
              <w:rPr>
                <w:rFonts w:cs="Arial"/>
                <w:sz w:val="24"/>
              </w:rPr>
            </w:pPr>
            <w:r w:rsidRPr="00CB56AE">
              <w:rPr>
                <w:rFonts w:cs="Arial"/>
                <w:sz w:val="24"/>
              </w:rPr>
              <w:t>Weight Change</w:t>
            </w:r>
          </w:p>
          <w:p w:rsidR="00BE25C5" w:rsidRPr="00CB56AE" w:rsidRDefault="00BE25C5" w:rsidP="0053194D">
            <w:pPr>
              <w:rPr>
                <w:rFonts w:cs="Arial"/>
                <w:sz w:val="24"/>
              </w:rPr>
            </w:pPr>
          </w:p>
          <w:p w:rsidR="00C1568C" w:rsidRPr="00CB56AE" w:rsidRDefault="00C1568C" w:rsidP="00BE25C5">
            <w:pPr>
              <w:rPr>
                <w:rFonts w:cs="Arial"/>
                <w:sz w:val="24"/>
              </w:rPr>
            </w:pPr>
          </w:p>
        </w:tc>
      </w:tr>
      <w:tr w:rsidR="0043038A" w:rsidRPr="00CB56AE" w:rsidTr="00DD647B">
        <w:tc>
          <w:tcPr>
            <w:tcW w:w="2261" w:type="dxa"/>
            <w:tcBorders>
              <w:top w:val="nil"/>
              <w:bottom w:val="nil"/>
            </w:tcBorders>
            <w:shd w:val="pct15" w:color="auto" w:fill="auto"/>
          </w:tcPr>
          <w:p w:rsidR="00DD647B" w:rsidRPr="00CB56AE" w:rsidRDefault="00DD647B" w:rsidP="0053194D">
            <w:pPr>
              <w:pStyle w:val="Pagenr"/>
              <w:rPr>
                <w:rFonts w:cs="Arial"/>
                <w:color w:val="auto"/>
                <w:sz w:val="24"/>
                <w:szCs w:val="24"/>
              </w:rPr>
            </w:pPr>
            <w:r w:rsidRPr="00CB56AE">
              <w:rPr>
                <w:rFonts w:cs="Arial"/>
                <w:color w:val="auto"/>
                <w:sz w:val="24"/>
                <w:szCs w:val="24"/>
              </w:rPr>
              <w:t xml:space="preserve">Secondary </w:t>
            </w:r>
          </w:p>
        </w:tc>
        <w:tc>
          <w:tcPr>
            <w:tcW w:w="6981" w:type="dxa"/>
            <w:tcBorders>
              <w:top w:val="nil"/>
              <w:bottom w:val="nil"/>
            </w:tcBorders>
          </w:tcPr>
          <w:p w:rsidR="004F1F48" w:rsidRPr="00CB56AE" w:rsidRDefault="00BE4831" w:rsidP="00BE4831">
            <w:pPr>
              <w:rPr>
                <w:rFonts w:cs="Arial"/>
                <w:sz w:val="24"/>
              </w:rPr>
            </w:pPr>
            <w:r w:rsidRPr="00CB56AE">
              <w:rPr>
                <w:rFonts w:cs="Arial"/>
                <w:sz w:val="24"/>
              </w:rPr>
              <w:t>SGA</w:t>
            </w:r>
          </w:p>
          <w:p w:rsidR="00BE4831" w:rsidRPr="00CB56AE" w:rsidRDefault="004F1F48" w:rsidP="00BE4831">
            <w:pPr>
              <w:rPr>
                <w:rFonts w:cs="Arial"/>
                <w:sz w:val="24"/>
              </w:rPr>
            </w:pPr>
            <w:r w:rsidRPr="00CB56AE">
              <w:rPr>
                <w:rFonts w:cs="Arial"/>
                <w:sz w:val="24"/>
              </w:rPr>
              <w:t xml:space="preserve">Diet Intake data via 24 hr recall- </w:t>
            </w:r>
            <w:r w:rsidR="00590A46" w:rsidRPr="00CB56AE">
              <w:rPr>
                <w:rFonts w:cs="Arial"/>
                <w:sz w:val="24"/>
              </w:rPr>
              <w:t>Total</w:t>
            </w:r>
            <w:r w:rsidR="00247B02" w:rsidRPr="00CB56AE">
              <w:rPr>
                <w:rFonts w:cs="Arial"/>
                <w:sz w:val="24"/>
              </w:rPr>
              <w:t xml:space="preserve"> Energy, Macronutrient </w:t>
            </w:r>
            <w:r w:rsidR="00590A46" w:rsidRPr="00CB56AE">
              <w:rPr>
                <w:rFonts w:cs="Arial"/>
                <w:sz w:val="24"/>
              </w:rPr>
              <w:t>intake</w:t>
            </w:r>
            <w:r w:rsidR="00BF0787" w:rsidRPr="00CB56AE">
              <w:rPr>
                <w:rFonts w:cs="Arial"/>
                <w:sz w:val="24"/>
              </w:rPr>
              <w:t>, Targeted</w:t>
            </w:r>
            <w:r w:rsidR="00247B02" w:rsidRPr="00CB56AE">
              <w:rPr>
                <w:rFonts w:cs="Arial"/>
                <w:sz w:val="24"/>
              </w:rPr>
              <w:t xml:space="preserve"> Micronutrients</w:t>
            </w:r>
            <w:r w:rsidRPr="00CB56AE">
              <w:rPr>
                <w:rFonts w:cs="Arial"/>
                <w:sz w:val="24"/>
              </w:rPr>
              <w:t xml:space="preserve"> </w:t>
            </w:r>
          </w:p>
          <w:p w:rsidR="00C45E2F" w:rsidRPr="00CB56AE" w:rsidRDefault="004F1F48" w:rsidP="00A435B2">
            <w:pPr>
              <w:rPr>
                <w:rFonts w:cs="Arial"/>
                <w:sz w:val="24"/>
              </w:rPr>
            </w:pPr>
            <w:r w:rsidRPr="00CB56AE">
              <w:rPr>
                <w:rFonts w:cs="Arial"/>
                <w:sz w:val="24"/>
              </w:rPr>
              <w:t xml:space="preserve">Biochemical markers – </w:t>
            </w:r>
            <w:r w:rsidR="00520570" w:rsidRPr="00CB56AE">
              <w:rPr>
                <w:rFonts w:cs="Arial"/>
                <w:sz w:val="24"/>
              </w:rPr>
              <w:t xml:space="preserve">CRP, </w:t>
            </w:r>
            <w:r w:rsidRPr="00CB56AE">
              <w:rPr>
                <w:rFonts w:cs="Arial"/>
                <w:sz w:val="24"/>
              </w:rPr>
              <w:t>E</w:t>
            </w:r>
            <w:r w:rsidR="00A950B9" w:rsidRPr="00CB56AE">
              <w:rPr>
                <w:rFonts w:cs="Arial"/>
                <w:sz w:val="24"/>
              </w:rPr>
              <w:t xml:space="preserve">UC, CMP, Fe- studies, Micronutrients (Zinc, Selenium, B12, folate), </w:t>
            </w:r>
          </w:p>
          <w:p w:rsidR="00CB03C0" w:rsidRPr="00CB56AE" w:rsidRDefault="00227025" w:rsidP="00A435B2">
            <w:pPr>
              <w:rPr>
                <w:rFonts w:cs="Arial"/>
                <w:sz w:val="24"/>
              </w:rPr>
            </w:pPr>
            <w:r w:rsidRPr="00CB56AE">
              <w:rPr>
                <w:rFonts w:cs="Arial"/>
                <w:sz w:val="24"/>
              </w:rPr>
              <w:t xml:space="preserve">Sarcopenia assessed via </w:t>
            </w:r>
            <w:r w:rsidR="00A950B9" w:rsidRPr="00CB56AE">
              <w:rPr>
                <w:rFonts w:cs="Arial"/>
                <w:sz w:val="24"/>
              </w:rPr>
              <w:t xml:space="preserve">psoas cross-sectional area measurement </w:t>
            </w:r>
            <w:r w:rsidR="00B42B01" w:rsidRPr="00CB56AE">
              <w:rPr>
                <w:rFonts w:cs="Arial"/>
                <w:sz w:val="24"/>
              </w:rPr>
              <w:t xml:space="preserve">     </w:t>
            </w:r>
          </w:p>
          <w:p w:rsidR="00BE25C5" w:rsidRPr="00CB56AE" w:rsidRDefault="00CB03C0" w:rsidP="00BE25C5">
            <w:pPr>
              <w:rPr>
                <w:rFonts w:cs="Arial"/>
                <w:sz w:val="24"/>
              </w:rPr>
            </w:pPr>
            <w:r w:rsidRPr="00CB56AE">
              <w:rPr>
                <w:rFonts w:cs="Arial"/>
                <w:sz w:val="24"/>
              </w:rPr>
              <w:t>Quality of Life Using</w:t>
            </w:r>
            <w:r w:rsidR="00C45E2F" w:rsidRPr="00CB56AE">
              <w:rPr>
                <w:rFonts w:cs="Arial"/>
                <w:sz w:val="24"/>
              </w:rPr>
              <w:t xml:space="preserve"> (QLQ-C30 Core Questionnaire and Oesophageal Module) </w:t>
            </w:r>
          </w:p>
          <w:p w:rsidR="00520570" w:rsidRPr="00CB56AE" w:rsidRDefault="00BE25C5" w:rsidP="00BE25C5">
            <w:pPr>
              <w:rPr>
                <w:rFonts w:cs="Arial"/>
                <w:sz w:val="24"/>
              </w:rPr>
            </w:pPr>
            <w:r w:rsidRPr="00CB56AE">
              <w:rPr>
                <w:rFonts w:cs="Arial"/>
                <w:sz w:val="24"/>
              </w:rPr>
              <w:t>Assessment of Body Composition (Skeletal Muscle Index)</w:t>
            </w:r>
          </w:p>
          <w:p w:rsidR="00520570" w:rsidRPr="00CB56AE" w:rsidRDefault="00520570" w:rsidP="00A435B2">
            <w:pPr>
              <w:rPr>
                <w:rFonts w:cs="Arial"/>
                <w:sz w:val="24"/>
              </w:rPr>
            </w:pPr>
            <w:r w:rsidRPr="00CB56AE">
              <w:rPr>
                <w:rFonts w:cs="Arial"/>
                <w:sz w:val="24"/>
              </w:rPr>
              <w:t>Hand-grip</w:t>
            </w:r>
          </w:p>
          <w:p w:rsidR="00C1568C" w:rsidRPr="00CB56AE" w:rsidRDefault="00BE25C5" w:rsidP="00BE25C5">
            <w:pPr>
              <w:rPr>
                <w:rFonts w:cs="Arial"/>
                <w:sz w:val="24"/>
              </w:rPr>
            </w:pPr>
            <w:r w:rsidRPr="00CB56AE">
              <w:rPr>
                <w:rFonts w:cs="Arial"/>
                <w:sz w:val="24"/>
              </w:rPr>
              <w:t>Walk test</w:t>
            </w:r>
            <w:r w:rsidR="00B42B01" w:rsidRPr="00CB56AE">
              <w:rPr>
                <w:rFonts w:cs="Arial"/>
                <w:sz w:val="24"/>
              </w:rPr>
              <w:t xml:space="preserve">  </w:t>
            </w:r>
          </w:p>
        </w:tc>
      </w:tr>
      <w:tr w:rsidR="0043038A" w:rsidRPr="00CB56AE" w:rsidTr="00DD647B">
        <w:tc>
          <w:tcPr>
            <w:tcW w:w="2261" w:type="dxa"/>
            <w:tcBorders>
              <w:top w:val="nil"/>
              <w:bottom w:val="single" w:sz="4" w:space="0" w:color="auto"/>
            </w:tcBorders>
            <w:shd w:val="pct15" w:color="auto" w:fill="auto"/>
          </w:tcPr>
          <w:p w:rsidR="00DD647B" w:rsidRPr="00CB56AE" w:rsidRDefault="00DD647B" w:rsidP="00A435B2">
            <w:pPr>
              <w:jc w:val="right"/>
              <w:rPr>
                <w:rFonts w:cs="Arial"/>
                <w:i/>
                <w:iCs/>
                <w:sz w:val="24"/>
              </w:rPr>
            </w:pPr>
          </w:p>
        </w:tc>
        <w:tc>
          <w:tcPr>
            <w:tcW w:w="6981" w:type="dxa"/>
            <w:tcBorders>
              <w:top w:val="nil"/>
              <w:bottom w:val="single" w:sz="4" w:space="0" w:color="auto"/>
            </w:tcBorders>
          </w:tcPr>
          <w:p w:rsidR="00DD647B" w:rsidRPr="00CB56AE" w:rsidRDefault="00DD647B" w:rsidP="0053194D">
            <w:pPr>
              <w:rPr>
                <w:rFonts w:cs="Arial"/>
                <w:sz w:val="24"/>
              </w:rPr>
            </w:pPr>
          </w:p>
        </w:tc>
      </w:tr>
      <w:tr w:rsidR="0043038A" w:rsidRPr="00CB56AE" w:rsidTr="00DD647B">
        <w:tc>
          <w:tcPr>
            <w:tcW w:w="2261" w:type="dxa"/>
            <w:tcBorders>
              <w:top w:val="single" w:sz="4" w:space="0" w:color="auto"/>
            </w:tcBorders>
            <w:shd w:val="pct15" w:color="auto" w:fill="auto"/>
          </w:tcPr>
          <w:p w:rsidR="00DD647B" w:rsidRPr="00CB56AE" w:rsidRDefault="00DD647B" w:rsidP="0053194D">
            <w:pPr>
              <w:pStyle w:val="Heading8"/>
              <w:rPr>
                <w:rFonts w:cs="Arial"/>
                <w:sz w:val="24"/>
              </w:rPr>
            </w:pPr>
            <w:r w:rsidRPr="00CB56AE">
              <w:rPr>
                <w:rFonts w:cs="Arial"/>
                <w:sz w:val="24"/>
              </w:rPr>
              <w:t>safety AND TOLERANCE parameters</w:t>
            </w:r>
            <w:r w:rsidRPr="00CB56AE" w:rsidDel="008C2FDD">
              <w:rPr>
                <w:rFonts w:cs="Arial"/>
                <w:sz w:val="24"/>
              </w:rPr>
              <w:t xml:space="preserve"> </w:t>
            </w:r>
          </w:p>
        </w:tc>
        <w:tc>
          <w:tcPr>
            <w:tcW w:w="6981" w:type="dxa"/>
            <w:tcBorders>
              <w:top w:val="single" w:sz="4" w:space="0" w:color="auto"/>
            </w:tcBorders>
          </w:tcPr>
          <w:p w:rsidR="00DD647B" w:rsidRPr="00CB56AE" w:rsidRDefault="00CB03C0" w:rsidP="00CB03C0">
            <w:pPr>
              <w:rPr>
                <w:rFonts w:cs="Arial"/>
                <w:sz w:val="24"/>
              </w:rPr>
            </w:pPr>
            <w:r w:rsidRPr="00CB56AE">
              <w:rPr>
                <w:rFonts w:cs="Arial"/>
                <w:sz w:val="24"/>
              </w:rPr>
              <w:t>Gastro symptoms and tolerance</w:t>
            </w:r>
          </w:p>
        </w:tc>
      </w:tr>
      <w:tr w:rsidR="0043038A" w:rsidRPr="00CB56AE" w:rsidTr="00DD647B">
        <w:tc>
          <w:tcPr>
            <w:tcW w:w="2261" w:type="dxa"/>
            <w:tcBorders>
              <w:top w:val="single" w:sz="4" w:space="0" w:color="auto"/>
            </w:tcBorders>
            <w:shd w:val="pct15" w:color="auto" w:fill="auto"/>
          </w:tcPr>
          <w:p w:rsidR="00DD647B" w:rsidRPr="00CB56AE" w:rsidDel="008C2FDD" w:rsidRDefault="00DD647B" w:rsidP="0053194D">
            <w:pPr>
              <w:pStyle w:val="Heading8"/>
              <w:rPr>
                <w:rFonts w:cs="Arial"/>
                <w:sz w:val="24"/>
              </w:rPr>
            </w:pPr>
            <w:r w:rsidRPr="00CB56AE">
              <w:rPr>
                <w:rFonts w:cs="Arial"/>
                <w:sz w:val="24"/>
              </w:rPr>
              <w:t>OTHER PARAMETERS</w:t>
            </w:r>
          </w:p>
        </w:tc>
        <w:tc>
          <w:tcPr>
            <w:tcW w:w="6981" w:type="dxa"/>
            <w:tcBorders>
              <w:top w:val="single" w:sz="4" w:space="0" w:color="auto"/>
            </w:tcBorders>
          </w:tcPr>
          <w:p w:rsidR="00DD647B" w:rsidRPr="00CB56AE" w:rsidRDefault="00BE4831" w:rsidP="0053194D">
            <w:pPr>
              <w:rPr>
                <w:rFonts w:cs="Arial"/>
                <w:sz w:val="24"/>
              </w:rPr>
            </w:pPr>
            <w:r w:rsidRPr="00CB56AE">
              <w:rPr>
                <w:rFonts w:cs="Arial"/>
                <w:sz w:val="24"/>
              </w:rPr>
              <w:t>Compliance</w:t>
            </w:r>
            <w:r w:rsidR="00C33ACD" w:rsidRPr="00CB56AE">
              <w:rPr>
                <w:rFonts w:cs="Arial"/>
                <w:sz w:val="24"/>
              </w:rPr>
              <w:t xml:space="preserve"> (based on recording number of bottles used/unused)</w:t>
            </w:r>
          </w:p>
          <w:p w:rsidR="00DD647B" w:rsidRPr="00CB56AE" w:rsidRDefault="00DD647B" w:rsidP="0053194D">
            <w:pPr>
              <w:rPr>
                <w:rFonts w:cs="Arial"/>
                <w:sz w:val="24"/>
              </w:rPr>
            </w:pPr>
          </w:p>
        </w:tc>
      </w:tr>
      <w:tr w:rsidR="0043038A" w:rsidRPr="00CB56AE" w:rsidTr="00DD647B">
        <w:tc>
          <w:tcPr>
            <w:tcW w:w="2261" w:type="dxa"/>
            <w:shd w:val="pct15" w:color="auto" w:fill="auto"/>
          </w:tcPr>
          <w:p w:rsidR="00DD647B" w:rsidRPr="00CB56AE" w:rsidRDefault="00DD647B" w:rsidP="0053194D">
            <w:pPr>
              <w:pStyle w:val="Heading8"/>
              <w:rPr>
                <w:rFonts w:cs="Arial"/>
                <w:sz w:val="24"/>
              </w:rPr>
            </w:pPr>
            <w:r w:rsidRPr="00CB56AE">
              <w:rPr>
                <w:rFonts w:cs="Arial"/>
                <w:sz w:val="24"/>
              </w:rPr>
              <w:lastRenderedPageBreak/>
              <w:t>Study groups</w:t>
            </w:r>
          </w:p>
          <w:p w:rsidR="00DD647B" w:rsidRPr="00CB56AE" w:rsidRDefault="00DD647B" w:rsidP="0053194D">
            <w:pPr>
              <w:pStyle w:val="Pagenr"/>
              <w:jc w:val="left"/>
              <w:rPr>
                <w:rFonts w:cs="Arial"/>
                <w:color w:val="auto"/>
                <w:sz w:val="24"/>
                <w:szCs w:val="24"/>
              </w:rPr>
            </w:pPr>
          </w:p>
        </w:tc>
        <w:tc>
          <w:tcPr>
            <w:tcW w:w="6981" w:type="dxa"/>
          </w:tcPr>
          <w:p w:rsidR="00DD647B" w:rsidRPr="00CB56AE" w:rsidRDefault="00C33ACD" w:rsidP="0053194D">
            <w:pPr>
              <w:rPr>
                <w:rFonts w:cs="Arial"/>
                <w:sz w:val="24"/>
              </w:rPr>
            </w:pPr>
            <w:r w:rsidRPr="00CB56AE">
              <w:rPr>
                <w:rFonts w:cs="Arial"/>
                <w:sz w:val="24"/>
              </w:rPr>
              <w:t xml:space="preserve">All patients will have </w:t>
            </w:r>
            <w:proofErr w:type="spellStart"/>
            <w:r w:rsidRPr="00CB56AE">
              <w:rPr>
                <w:rFonts w:cs="Arial"/>
                <w:sz w:val="24"/>
              </w:rPr>
              <w:t>jejunal</w:t>
            </w:r>
            <w:proofErr w:type="spellEnd"/>
            <w:r w:rsidRPr="00CB56AE">
              <w:rPr>
                <w:rFonts w:cs="Arial"/>
                <w:sz w:val="24"/>
              </w:rPr>
              <w:t xml:space="preserve"> feeding post-operatively in hospital. </w:t>
            </w:r>
            <w:r w:rsidR="00623246" w:rsidRPr="00CB56AE">
              <w:rPr>
                <w:rFonts w:cs="Arial"/>
                <w:sz w:val="24"/>
              </w:rPr>
              <w:t xml:space="preserve">All patients will have baseline data collected </w:t>
            </w:r>
            <w:r w:rsidR="00E668E4" w:rsidRPr="00CB56AE">
              <w:rPr>
                <w:rFonts w:cs="Arial"/>
                <w:sz w:val="24"/>
              </w:rPr>
              <w:t>in the first week post operatively</w:t>
            </w:r>
            <w:r w:rsidR="00623246" w:rsidRPr="00CB56AE">
              <w:rPr>
                <w:rFonts w:cs="Arial"/>
                <w:sz w:val="24"/>
              </w:rPr>
              <w:t>.</w:t>
            </w:r>
          </w:p>
          <w:p w:rsidR="00C33ACD" w:rsidRPr="00CB56AE" w:rsidRDefault="00C33ACD" w:rsidP="0053194D">
            <w:pPr>
              <w:rPr>
                <w:rFonts w:cs="Arial"/>
                <w:sz w:val="24"/>
              </w:rPr>
            </w:pPr>
          </w:p>
          <w:p w:rsidR="00DD647B" w:rsidRPr="00CB56AE" w:rsidRDefault="00623246" w:rsidP="0053194D">
            <w:pPr>
              <w:pStyle w:val="Reminder"/>
              <w:ind w:left="0"/>
              <w:rPr>
                <w:color w:val="auto"/>
                <w:sz w:val="24"/>
              </w:rPr>
            </w:pPr>
            <w:r w:rsidRPr="00CB56AE">
              <w:rPr>
                <w:color w:val="auto"/>
                <w:sz w:val="24"/>
              </w:rPr>
              <w:t xml:space="preserve">Patients will be provided with an enteral feeding pump, and education on enteral feeding and caring for a </w:t>
            </w:r>
            <w:proofErr w:type="spellStart"/>
            <w:r w:rsidRPr="00CB56AE">
              <w:rPr>
                <w:color w:val="auto"/>
                <w:sz w:val="24"/>
              </w:rPr>
              <w:t>jejunal</w:t>
            </w:r>
            <w:proofErr w:type="spellEnd"/>
            <w:r w:rsidRPr="00CB56AE">
              <w:rPr>
                <w:color w:val="auto"/>
                <w:sz w:val="24"/>
              </w:rPr>
              <w:t xml:space="preserve"> feeding tube. They will be asked to run </w:t>
            </w:r>
            <w:r w:rsidR="00520570" w:rsidRPr="00CB56AE">
              <w:rPr>
                <w:color w:val="auto"/>
                <w:sz w:val="24"/>
              </w:rPr>
              <w:t>continue enteral feeds overnight providing (</w:t>
            </w:r>
            <w:r w:rsidR="00BE25C5" w:rsidRPr="00CB56AE">
              <w:rPr>
                <w:color w:val="auto"/>
                <w:sz w:val="24"/>
              </w:rPr>
              <w:t>20</w:t>
            </w:r>
            <w:r w:rsidR="00520570" w:rsidRPr="00CB56AE">
              <w:rPr>
                <w:color w:val="auto"/>
                <w:sz w:val="24"/>
              </w:rPr>
              <w:t xml:space="preserve">Cal/kg) overnight </w:t>
            </w:r>
            <w:r w:rsidRPr="00CB56AE">
              <w:rPr>
                <w:color w:val="auto"/>
                <w:sz w:val="24"/>
              </w:rPr>
              <w:t xml:space="preserve">via </w:t>
            </w:r>
            <w:r w:rsidR="00520570" w:rsidRPr="00CB56AE">
              <w:rPr>
                <w:color w:val="auto"/>
                <w:sz w:val="24"/>
              </w:rPr>
              <w:t>their existing</w:t>
            </w:r>
            <w:r w:rsidRPr="00CB56AE">
              <w:rPr>
                <w:color w:val="auto"/>
                <w:sz w:val="24"/>
              </w:rPr>
              <w:t xml:space="preserve"> </w:t>
            </w:r>
            <w:proofErr w:type="spellStart"/>
            <w:r w:rsidRPr="00CB56AE">
              <w:rPr>
                <w:color w:val="auto"/>
                <w:sz w:val="24"/>
              </w:rPr>
              <w:t>jejunal</w:t>
            </w:r>
            <w:proofErr w:type="spellEnd"/>
            <w:r w:rsidRPr="00CB56AE">
              <w:rPr>
                <w:color w:val="auto"/>
                <w:sz w:val="24"/>
              </w:rPr>
              <w:t xml:space="preserve"> feeding tube. Total amount of</w:t>
            </w:r>
            <w:r w:rsidR="00520570" w:rsidRPr="00CB56AE">
              <w:rPr>
                <w:color w:val="auto"/>
                <w:sz w:val="24"/>
              </w:rPr>
              <w:t xml:space="preserve"> time on enteral feeds will be approx. 10-1</w:t>
            </w:r>
            <w:r w:rsidR="00CB03C0" w:rsidRPr="00CB56AE">
              <w:rPr>
                <w:color w:val="auto"/>
                <w:sz w:val="24"/>
              </w:rPr>
              <w:t>2</w:t>
            </w:r>
            <w:r w:rsidRPr="00CB56AE">
              <w:rPr>
                <w:color w:val="auto"/>
                <w:sz w:val="24"/>
              </w:rPr>
              <w:t xml:space="preserve"> hours</w:t>
            </w:r>
            <w:r w:rsidR="00BE25C5" w:rsidRPr="00CB56AE">
              <w:rPr>
                <w:color w:val="auto"/>
                <w:sz w:val="24"/>
              </w:rPr>
              <w:t>.</w:t>
            </w:r>
            <w:r w:rsidRPr="00CB56AE">
              <w:rPr>
                <w:color w:val="auto"/>
                <w:sz w:val="24"/>
              </w:rPr>
              <w:t xml:space="preserve"> </w:t>
            </w:r>
          </w:p>
          <w:p w:rsidR="00DD647B" w:rsidRPr="00CB56AE" w:rsidRDefault="00DD647B" w:rsidP="0053194D">
            <w:pPr>
              <w:rPr>
                <w:rFonts w:cs="Arial"/>
                <w:sz w:val="24"/>
              </w:rPr>
            </w:pPr>
          </w:p>
          <w:p w:rsidR="00E668E4" w:rsidRPr="00CB56AE" w:rsidRDefault="00E668E4" w:rsidP="00E668E4">
            <w:pPr>
              <w:rPr>
                <w:rFonts w:cs="Arial"/>
                <w:sz w:val="24"/>
              </w:rPr>
            </w:pPr>
            <w:r w:rsidRPr="00CB56AE">
              <w:rPr>
                <w:rFonts w:cs="Arial"/>
                <w:sz w:val="24"/>
              </w:rPr>
              <w:t xml:space="preserve">On discharge (approx. 2 weeks post </w:t>
            </w:r>
            <w:r w:rsidR="00BF0787" w:rsidRPr="00CB56AE">
              <w:rPr>
                <w:rFonts w:cs="Arial"/>
                <w:sz w:val="24"/>
              </w:rPr>
              <w:t>-</w:t>
            </w:r>
            <w:r w:rsidRPr="00CB56AE">
              <w:rPr>
                <w:rFonts w:cs="Arial"/>
                <w:sz w:val="24"/>
              </w:rPr>
              <w:t>operative), all patients will be provided with standardised education on a high energy, high protein diet and appropriate textures (puree then moving to soft).</w:t>
            </w:r>
          </w:p>
          <w:p w:rsidR="00E668E4" w:rsidRPr="00CB56AE" w:rsidRDefault="00E668E4" w:rsidP="00E668E4">
            <w:pPr>
              <w:rPr>
                <w:rFonts w:cs="Arial"/>
                <w:sz w:val="24"/>
              </w:rPr>
            </w:pPr>
            <w:r w:rsidRPr="00CB56AE">
              <w:rPr>
                <w:rFonts w:cs="Arial"/>
                <w:sz w:val="24"/>
              </w:rPr>
              <w:t xml:space="preserve"> </w:t>
            </w:r>
          </w:p>
          <w:p w:rsidR="00623246" w:rsidRPr="00CB56AE" w:rsidRDefault="00623246" w:rsidP="0053194D">
            <w:pPr>
              <w:rPr>
                <w:rFonts w:cs="Arial"/>
                <w:sz w:val="24"/>
              </w:rPr>
            </w:pPr>
            <w:r w:rsidRPr="00CB56AE">
              <w:rPr>
                <w:rFonts w:cs="Arial"/>
                <w:sz w:val="24"/>
              </w:rPr>
              <w:t xml:space="preserve">All patients will </w:t>
            </w:r>
            <w:r w:rsidR="00E668E4" w:rsidRPr="00CB56AE">
              <w:rPr>
                <w:rFonts w:cs="Arial"/>
                <w:sz w:val="24"/>
              </w:rPr>
              <w:t>be provided with contact details for the dietitian in case of any problems with the feeds. The first review will occur at the time of the surgical follow up which is 4 week post discharge (</w:t>
            </w:r>
            <w:r w:rsidR="00BF0787" w:rsidRPr="00CB56AE">
              <w:rPr>
                <w:rFonts w:cs="Arial"/>
                <w:sz w:val="24"/>
              </w:rPr>
              <w:t xml:space="preserve">approx. </w:t>
            </w:r>
            <w:r w:rsidR="00E668E4" w:rsidRPr="00CB56AE">
              <w:rPr>
                <w:rFonts w:cs="Arial"/>
                <w:sz w:val="24"/>
              </w:rPr>
              <w:t>Week 6</w:t>
            </w:r>
            <w:r w:rsidR="00BF0787" w:rsidRPr="00CB56AE">
              <w:rPr>
                <w:rFonts w:cs="Arial"/>
                <w:sz w:val="24"/>
              </w:rPr>
              <w:t xml:space="preserve"> post-operative</w:t>
            </w:r>
            <w:r w:rsidR="00E668E4" w:rsidRPr="00CB56AE">
              <w:rPr>
                <w:rFonts w:cs="Arial"/>
                <w:sz w:val="24"/>
              </w:rPr>
              <w:t xml:space="preserve">). </w:t>
            </w:r>
            <w:r w:rsidR="00BE25C5" w:rsidRPr="00CB56AE">
              <w:rPr>
                <w:rFonts w:cs="Arial"/>
                <w:sz w:val="24"/>
              </w:rPr>
              <w:t>Those randomised to the control arm will have feeds ceased at 6 weeks.</w:t>
            </w:r>
          </w:p>
          <w:p w:rsidR="00CB03C0" w:rsidRPr="00CB56AE" w:rsidRDefault="00CB03C0" w:rsidP="0053194D">
            <w:pPr>
              <w:rPr>
                <w:rFonts w:cs="Arial"/>
                <w:sz w:val="24"/>
              </w:rPr>
            </w:pPr>
          </w:p>
          <w:p w:rsidR="002B7C49" w:rsidRPr="00CB56AE" w:rsidRDefault="00E668E4" w:rsidP="0053194D">
            <w:pPr>
              <w:rPr>
                <w:rFonts w:cs="Arial"/>
                <w:sz w:val="24"/>
              </w:rPr>
            </w:pPr>
            <w:r w:rsidRPr="00CB56AE">
              <w:rPr>
                <w:rFonts w:cs="Arial"/>
                <w:sz w:val="24"/>
              </w:rPr>
              <w:t>E</w:t>
            </w:r>
            <w:r w:rsidR="00623246" w:rsidRPr="00CB56AE">
              <w:rPr>
                <w:rFonts w:cs="Arial"/>
                <w:sz w:val="24"/>
              </w:rPr>
              <w:t xml:space="preserve">nteral provision of nutrition support </w:t>
            </w:r>
            <w:r w:rsidR="00BE25C5" w:rsidRPr="00CB56AE">
              <w:rPr>
                <w:rFonts w:cs="Arial"/>
                <w:sz w:val="24"/>
              </w:rPr>
              <w:t xml:space="preserve">in the intervention arm </w:t>
            </w:r>
            <w:r w:rsidR="00623246" w:rsidRPr="00CB56AE">
              <w:rPr>
                <w:rFonts w:cs="Arial"/>
                <w:sz w:val="24"/>
              </w:rPr>
              <w:t xml:space="preserve">will be ceased </w:t>
            </w:r>
            <w:r w:rsidR="002B7C49" w:rsidRPr="00CB56AE">
              <w:rPr>
                <w:rFonts w:cs="Arial"/>
                <w:sz w:val="24"/>
              </w:rPr>
              <w:t>at</w:t>
            </w:r>
            <w:r w:rsidRPr="00CB56AE">
              <w:rPr>
                <w:rFonts w:cs="Arial"/>
                <w:sz w:val="24"/>
              </w:rPr>
              <w:t xml:space="preserve"> Week </w:t>
            </w:r>
            <w:r w:rsidR="007532C4" w:rsidRPr="00CB56AE">
              <w:rPr>
                <w:rFonts w:cs="Arial"/>
                <w:sz w:val="24"/>
              </w:rPr>
              <w:t>1</w:t>
            </w:r>
            <w:r w:rsidR="000B0C01" w:rsidRPr="00CB56AE">
              <w:rPr>
                <w:rFonts w:cs="Arial"/>
                <w:sz w:val="24"/>
              </w:rPr>
              <w:t>2</w:t>
            </w:r>
            <w:r w:rsidRPr="00CB56AE">
              <w:rPr>
                <w:rFonts w:cs="Arial"/>
                <w:sz w:val="24"/>
              </w:rPr>
              <w:t xml:space="preserve"> </w:t>
            </w:r>
            <w:r w:rsidR="000B0C01" w:rsidRPr="00CB56AE">
              <w:rPr>
                <w:rFonts w:cs="Arial"/>
                <w:sz w:val="24"/>
              </w:rPr>
              <w:t xml:space="preserve">post op </w:t>
            </w:r>
            <w:r w:rsidR="002B7C49" w:rsidRPr="00CB56AE">
              <w:rPr>
                <w:rFonts w:cs="Arial"/>
                <w:sz w:val="24"/>
              </w:rPr>
              <w:t>and the high energy, high protein diet and small frequent eating education will be reiterated. Oral nutrition support will be provided to patients as required</w:t>
            </w:r>
            <w:r w:rsidRPr="00CB56AE">
              <w:rPr>
                <w:rFonts w:cs="Arial"/>
                <w:sz w:val="24"/>
              </w:rPr>
              <w:t xml:space="preserve">. </w:t>
            </w:r>
            <w:r w:rsidR="002B7C49" w:rsidRPr="00CB56AE">
              <w:rPr>
                <w:rFonts w:cs="Arial"/>
                <w:sz w:val="24"/>
              </w:rPr>
              <w:t xml:space="preserve"> </w:t>
            </w:r>
          </w:p>
          <w:p w:rsidR="00590A46" w:rsidRPr="00CB56AE" w:rsidRDefault="00590A46" w:rsidP="0053194D">
            <w:pPr>
              <w:rPr>
                <w:rFonts w:cs="Arial"/>
                <w:sz w:val="24"/>
              </w:rPr>
            </w:pPr>
          </w:p>
          <w:p w:rsidR="002B7C49" w:rsidRPr="00CB56AE" w:rsidRDefault="002B7C49" w:rsidP="0053194D">
            <w:pPr>
              <w:rPr>
                <w:rFonts w:cs="Arial"/>
                <w:sz w:val="24"/>
              </w:rPr>
            </w:pPr>
            <w:r w:rsidRPr="00CB56AE">
              <w:rPr>
                <w:rFonts w:cs="Arial"/>
                <w:sz w:val="24"/>
              </w:rPr>
              <w:t xml:space="preserve">A 3 month face-to-face review will be arranged, and </w:t>
            </w:r>
            <w:r w:rsidR="00E668E4" w:rsidRPr="00CB56AE">
              <w:rPr>
                <w:rFonts w:cs="Arial"/>
                <w:sz w:val="24"/>
              </w:rPr>
              <w:t>12 week</w:t>
            </w:r>
            <w:r w:rsidRPr="00CB56AE">
              <w:rPr>
                <w:rFonts w:cs="Arial"/>
                <w:sz w:val="24"/>
              </w:rPr>
              <w:t xml:space="preserve"> data collection will take place at this time. Further follow-up will be arranged depending on need. </w:t>
            </w:r>
          </w:p>
          <w:p w:rsidR="00623246" w:rsidRPr="00CB56AE" w:rsidRDefault="00623246" w:rsidP="0053194D">
            <w:pPr>
              <w:rPr>
                <w:rFonts w:cs="Arial"/>
                <w:sz w:val="24"/>
              </w:rPr>
            </w:pPr>
          </w:p>
          <w:p w:rsidR="00E668E4" w:rsidRPr="00CB56AE" w:rsidRDefault="00E668E4" w:rsidP="0053194D">
            <w:pPr>
              <w:rPr>
                <w:rFonts w:cs="Arial"/>
                <w:sz w:val="24"/>
              </w:rPr>
            </w:pPr>
            <w:r w:rsidRPr="00CB56AE">
              <w:rPr>
                <w:rFonts w:cs="Arial"/>
                <w:sz w:val="24"/>
              </w:rPr>
              <w:t xml:space="preserve">Patients will be seen again at week 26 to review progress. </w:t>
            </w:r>
          </w:p>
          <w:p w:rsidR="00A60E82" w:rsidRPr="00CB56AE" w:rsidRDefault="00A60E82" w:rsidP="00A60E82">
            <w:pPr>
              <w:rPr>
                <w:rFonts w:cs="Arial"/>
                <w:sz w:val="24"/>
              </w:rPr>
            </w:pPr>
          </w:p>
        </w:tc>
      </w:tr>
      <w:tr w:rsidR="0043038A" w:rsidRPr="00CB56AE" w:rsidTr="00DD647B">
        <w:tc>
          <w:tcPr>
            <w:tcW w:w="2261" w:type="dxa"/>
            <w:shd w:val="pct15" w:color="auto" w:fill="auto"/>
          </w:tcPr>
          <w:p w:rsidR="00DD647B" w:rsidRPr="00CB56AE" w:rsidRDefault="00DD647B" w:rsidP="00BE25C5">
            <w:pPr>
              <w:pStyle w:val="Heading8"/>
              <w:rPr>
                <w:rFonts w:cs="Arial"/>
                <w:sz w:val="24"/>
              </w:rPr>
            </w:pPr>
            <w:r w:rsidRPr="00CB56AE">
              <w:rPr>
                <w:rFonts w:cs="Arial"/>
                <w:sz w:val="24"/>
              </w:rPr>
              <w:t>study regimen</w:t>
            </w:r>
          </w:p>
        </w:tc>
        <w:tc>
          <w:tcPr>
            <w:tcW w:w="6981" w:type="dxa"/>
          </w:tcPr>
          <w:p w:rsidR="00BE25C5" w:rsidRPr="00CB56AE" w:rsidRDefault="00BE25C5" w:rsidP="00BE25C5">
            <w:pPr>
              <w:pStyle w:val="Reminder"/>
              <w:ind w:left="0"/>
              <w:rPr>
                <w:color w:val="auto"/>
                <w:sz w:val="24"/>
              </w:rPr>
            </w:pPr>
            <w:r w:rsidRPr="00CB56AE">
              <w:rPr>
                <w:b/>
                <w:color w:val="auto"/>
                <w:sz w:val="24"/>
              </w:rPr>
              <w:t>Control Group</w:t>
            </w:r>
            <w:r w:rsidRPr="00CB56AE">
              <w:rPr>
                <w:color w:val="auto"/>
                <w:sz w:val="24"/>
              </w:rPr>
              <w:t>: O</w:t>
            </w:r>
            <w:r w:rsidR="00C33ACD" w:rsidRPr="00CB56AE">
              <w:rPr>
                <w:color w:val="auto"/>
                <w:sz w:val="24"/>
              </w:rPr>
              <w:t xml:space="preserve">vernight continuous enteral feeding through a </w:t>
            </w:r>
            <w:proofErr w:type="spellStart"/>
            <w:r w:rsidR="00C33ACD" w:rsidRPr="00CB56AE">
              <w:rPr>
                <w:color w:val="auto"/>
                <w:sz w:val="24"/>
              </w:rPr>
              <w:t>jejunal</w:t>
            </w:r>
            <w:proofErr w:type="spellEnd"/>
            <w:r w:rsidR="00815777" w:rsidRPr="00CB56AE">
              <w:rPr>
                <w:color w:val="auto"/>
                <w:sz w:val="24"/>
              </w:rPr>
              <w:t xml:space="preserve"> f</w:t>
            </w:r>
            <w:r w:rsidR="00C33ACD" w:rsidRPr="00CB56AE">
              <w:rPr>
                <w:color w:val="auto"/>
                <w:sz w:val="24"/>
              </w:rPr>
              <w:t>eeding tube</w:t>
            </w:r>
            <w:r w:rsidR="00330467" w:rsidRPr="00CB56AE">
              <w:rPr>
                <w:color w:val="auto"/>
                <w:sz w:val="24"/>
              </w:rPr>
              <w:t xml:space="preserve"> that provides </w:t>
            </w:r>
            <w:r w:rsidRPr="00CB56AE">
              <w:rPr>
                <w:color w:val="auto"/>
                <w:sz w:val="24"/>
              </w:rPr>
              <w:t>20kcal</w:t>
            </w:r>
            <w:r w:rsidR="00330467" w:rsidRPr="00CB56AE">
              <w:rPr>
                <w:color w:val="auto"/>
                <w:sz w:val="24"/>
              </w:rPr>
              <w:t xml:space="preserve">s/kg for </w:t>
            </w:r>
            <w:r w:rsidRPr="00CB56AE">
              <w:rPr>
                <w:color w:val="auto"/>
                <w:sz w:val="24"/>
              </w:rPr>
              <w:t xml:space="preserve">6 </w:t>
            </w:r>
            <w:r w:rsidR="00330467" w:rsidRPr="00CB56AE">
              <w:rPr>
                <w:color w:val="auto"/>
                <w:sz w:val="24"/>
              </w:rPr>
              <w:t>weeks post operatively.</w:t>
            </w:r>
          </w:p>
          <w:p w:rsidR="00BE25C5" w:rsidRPr="00CB56AE" w:rsidRDefault="00BE25C5" w:rsidP="00BE25C5">
            <w:pPr>
              <w:pStyle w:val="Reminder"/>
              <w:ind w:left="0"/>
              <w:rPr>
                <w:color w:val="auto"/>
                <w:sz w:val="24"/>
              </w:rPr>
            </w:pPr>
          </w:p>
          <w:p w:rsidR="00BE25C5" w:rsidRPr="00CB56AE" w:rsidRDefault="00BE25C5" w:rsidP="00BE25C5">
            <w:pPr>
              <w:pStyle w:val="Reminder"/>
              <w:ind w:left="0"/>
              <w:rPr>
                <w:color w:val="auto"/>
                <w:sz w:val="24"/>
              </w:rPr>
            </w:pPr>
            <w:r w:rsidRPr="00CB56AE">
              <w:rPr>
                <w:b/>
                <w:color w:val="auto"/>
                <w:sz w:val="24"/>
              </w:rPr>
              <w:t>Intervention Group:</w:t>
            </w:r>
            <w:r w:rsidRPr="00CB56AE">
              <w:rPr>
                <w:color w:val="auto"/>
                <w:sz w:val="24"/>
              </w:rPr>
              <w:t xml:space="preserve"> </w:t>
            </w:r>
            <w:r w:rsidR="00C33ACD" w:rsidRPr="00CB56AE">
              <w:rPr>
                <w:color w:val="auto"/>
                <w:sz w:val="24"/>
              </w:rPr>
              <w:t xml:space="preserve"> </w:t>
            </w:r>
            <w:r w:rsidRPr="00CB56AE">
              <w:rPr>
                <w:color w:val="auto"/>
                <w:sz w:val="24"/>
              </w:rPr>
              <w:t xml:space="preserve">Overnight continuous enteral feeding through a </w:t>
            </w:r>
            <w:proofErr w:type="spellStart"/>
            <w:r w:rsidRPr="00CB56AE">
              <w:rPr>
                <w:color w:val="auto"/>
                <w:sz w:val="24"/>
              </w:rPr>
              <w:t>jejunal</w:t>
            </w:r>
            <w:proofErr w:type="spellEnd"/>
            <w:r w:rsidRPr="00CB56AE">
              <w:rPr>
                <w:color w:val="auto"/>
                <w:sz w:val="24"/>
              </w:rPr>
              <w:t xml:space="preserve"> feeding tube that provides 20kcals/kg for </w:t>
            </w:r>
            <w:r w:rsidR="007D7120">
              <w:rPr>
                <w:color w:val="auto"/>
                <w:sz w:val="24"/>
              </w:rPr>
              <w:t>12</w:t>
            </w:r>
            <w:bookmarkStart w:id="0" w:name="_GoBack"/>
            <w:bookmarkEnd w:id="0"/>
            <w:r w:rsidRPr="00CB56AE">
              <w:rPr>
                <w:color w:val="auto"/>
                <w:sz w:val="24"/>
              </w:rPr>
              <w:t xml:space="preserve"> weeks post operatively.</w:t>
            </w:r>
          </w:p>
          <w:p w:rsidR="00C33ACD" w:rsidRPr="00CB56AE" w:rsidRDefault="00C33ACD" w:rsidP="00BE25C5">
            <w:pPr>
              <w:pStyle w:val="Reminder"/>
              <w:ind w:left="0"/>
              <w:rPr>
                <w:color w:val="auto"/>
                <w:sz w:val="24"/>
              </w:rPr>
            </w:pPr>
          </w:p>
        </w:tc>
      </w:tr>
      <w:tr w:rsidR="0043038A" w:rsidRPr="00CB56AE" w:rsidTr="007A6475">
        <w:tc>
          <w:tcPr>
            <w:tcW w:w="2261" w:type="dxa"/>
            <w:tcBorders>
              <w:bottom w:val="single" w:sz="4" w:space="0" w:color="auto"/>
            </w:tcBorders>
            <w:shd w:val="pct15" w:color="auto" w:fill="auto"/>
          </w:tcPr>
          <w:p w:rsidR="00DD647B" w:rsidRPr="00CB56AE" w:rsidRDefault="00DD647B" w:rsidP="0053194D">
            <w:pPr>
              <w:pStyle w:val="Heading8"/>
              <w:rPr>
                <w:rFonts w:cs="Arial"/>
                <w:sz w:val="24"/>
              </w:rPr>
            </w:pPr>
            <w:r w:rsidRPr="00CB56AE">
              <w:rPr>
                <w:rFonts w:cs="Arial"/>
                <w:sz w:val="24"/>
              </w:rPr>
              <w:t>Study period</w:t>
            </w:r>
          </w:p>
        </w:tc>
        <w:tc>
          <w:tcPr>
            <w:tcW w:w="6981" w:type="dxa"/>
            <w:tcBorders>
              <w:bottom w:val="single" w:sz="4" w:space="0" w:color="auto"/>
            </w:tcBorders>
          </w:tcPr>
          <w:p w:rsidR="002B7C49" w:rsidRPr="00CB56AE" w:rsidRDefault="002B7C49" w:rsidP="002B7C49">
            <w:pPr>
              <w:rPr>
                <w:rFonts w:cs="Arial"/>
                <w:sz w:val="24"/>
              </w:rPr>
            </w:pPr>
            <w:r w:rsidRPr="00CB56AE">
              <w:rPr>
                <w:rFonts w:cs="Arial"/>
                <w:sz w:val="24"/>
              </w:rPr>
              <w:t xml:space="preserve">Duration of the study for each patient will be approximately </w:t>
            </w:r>
            <w:r w:rsidR="00815777" w:rsidRPr="00CB56AE">
              <w:rPr>
                <w:rFonts w:cs="Arial"/>
                <w:sz w:val="24"/>
              </w:rPr>
              <w:t>6</w:t>
            </w:r>
            <w:r w:rsidRPr="00CB56AE">
              <w:rPr>
                <w:rFonts w:cs="Arial"/>
                <w:sz w:val="24"/>
              </w:rPr>
              <w:t xml:space="preserve"> months. </w:t>
            </w:r>
          </w:p>
          <w:p w:rsidR="002B7C49" w:rsidRPr="00CB56AE" w:rsidRDefault="002B7C49" w:rsidP="002B7C49">
            <w:pPr>
              <w:rPr>
                <w:rFonts w:cs="Arial"/>
                <w:sz w:val="24"/>
              </w:rPr>
            </w:pPr>
          </w:p>
          <w:p w:rsidR="002B7C49" w:rsidRPr="00CB56AE" w:rsidRDefault="004D021B" w:rsidP="002B7C49">
            <w:pPr>
              <w:rPr>
                <w:rFonts w:cs="Arial"/>
                <w:sz w:val="24"/>
              </w:rPr>
            </w:pPr>
            <w:r w:rsidRPr="00CB56AE">
              <w:rPr>
                <w:rFonts w:cs="Arial"/>
                <w:sz w:val="24"/>
              </w:rPr>
              <w:t>At the JHH there are approximately 15 patients per year. We aim to collect data on approximately 30</w:t>
            </w:r>
            <w:r w:rsidR="00BE25C5" w:rsidRPr="00CB56AE">
              <w:rPr>
                <w:rFonts w:cs="Arial"/>
                <w:sz w:val="24"/>
              </w:rPr>
              <w:t>-40</w:t>
            </w:r>
            <w:r w:rsidRPr="00CB56AE">
              <w:rPr>
                <w:rFonts w:cs="Arial"/>
                <w:sz w:val="24"/>
              </w:rPr>
              <w:t xml:space="preserve"> patients and as a result the study may take 2</w:t>
            </w:r>
            <w:r w:rsidR="00BE25C5" w:rsidRPr="00CB56AE">
              <w:rPr>
                <w:rFonts w:cs="Arial"/>
                <w:sz w:val="24"/>
              </w:rPr>
              <w:t>-3</w:t>
            </w:r>
            <w:r w:rsidRPr="00CB56AE">
              <w:rPr>
                <w:rFonts w:cs="Arial"/>
                <w:sz w:val="24"/>
              </w:rPr>
              <w:t xml:space="preserve"> years to complete. </w:t>
            </w:r>
          </w:p>
          <w:p w:rsidR="00DD647B" w:rsidRPr="00CB56AE" w:rsidRDefault="00DD647B" w:rsidP="0053194D">
            <w:pPr>
              <w:rPr>
                <w:rFonts w:cs="Arial"/>
                <w:sz w:val="24"/>
              </w:rPr>
            </w:pPr>
            <w:r w:rsidRPr="00CB56AE">
              <w:rPr>
                <w:rFonts w:cs="Arial"/>
                <w:sz w:val="24"/>
              </w:rPr>
              <w:t xml:space="preserve"> </w:t>
            </w:r>
          </w:p>
        </w:tc>
      </w:tr>
      <w:tr w:rsidR="002B7C49" w:rsidRPr="00CB56AE" w:rsidTr="00D5706E">
        <w:tc>
          <w:tcPr>
            <w:tcW w:w="2261" w:type="dxa"/>
            <w:tcBorders>
              <w:top w:val="single" w:sz="4" w:space="0" w:color="auto"/>
              <w:bottom w:val="single" w:sz="4" w:space="0" w:color="auto"/>
            </w:tcBorders>
            <w:shd w:val="pct15" w:color="auto" w:fill="auto"/>
          </w:tcPr>
          <w:p w:rsidR="002B7C49" w:rsidRPr="00CB56AE" w:rsidRDefault="002B7C49" w:rsidP="00CD2D09">
            <w:pPr>
              <w:pStyle w:val="Heading8"/>
              <w:rPr>
                <w:rFonts w:cs="Arial"/>
                <w:sz w:val="24"/>
              </w:rPr>
            </w:pPr>
            <w:r w:rsidRPr="00CB56AE">
              <w:rPr>
                <w:rFonts w:cs="Arial"/>
                <w:sz w:val="24"/>
              </w:rPr>
              <w:lastRenderedPageBreak/>
              <w:t>Statistical Analysis</w:t>
            </w:r>
          </w:p>
        </w:tc>
        <w:tc>
          <w:tcPr>
            <w:tcW w:w="6981" w:type="dxa"/>
            <w:tcBorders>
              <w:top w:val="single" w:sz="4" w:space="0" w:color="auto"/>
              <w:bottom w:val="single" w:sz="4" w:space="0" w:color="auto"/>
            </w:tcBorders>
          </w:tcPr>
          <w:p w:rsidR="00CB56AE" w:rsidRPr="00CB56AE" w:rsidRDefault="00CB56AE" w:rsidP="00CB56AE">
            <w:pPr>
              <w:rPr>
                <w:rFonts w:eastAsia="Arial" w:cs="Arial"/>
                <w:sz w:val="24"/>
                <w:lang w:val="en-US" w:eastAsia="en-US"/>
              </w:rPr>
            </w:pPr>
            <w:r w:rsidRPr="00CB56AE">
              <w:rPr>
                <w:rFonts w:eastAsia="Arial" w:cs="Arial"/>
                <w:sz w:val="24"/>
                <w:lang w:val="en-US" w:eastAsia="en-US"/>
              </w:rPr>
              <w:t>All normally distributed data will be presented as mean +/- SD. Data will be compared between the control and intervention groups at week 12 and week 26. For continuous data (</w:t>
            </w:r>
            <w:proofErr w:type="spellStart"/>
            <w:r w:rsidRPr="00CB56AE">
              <w:rPr>
                <w:rFonts w:eastAsia="Arial" w:cs="Arial"/>
                <w:sz w:val="24"/>
                <w:lang w:val="en-US" w:eastAsia="en-US"/>
              </w:rPr>
              <w:t>eg</w:t>
            </w:r>
            <w:proofErr w:type="spellEnd"/>
            <w:r w:rsidRPr="00CB56AE">
              <w:rPr>
                <w:rFonts w:eastAsia="Arial" w:cs="Arial"/>
                <w:sz w:val="24"/>
                <w:lang w:val="en-US" w:eastAsia="en-US"/>
              </w:rPr>
              <w:t>. Percentage weight change and skeletal muscle index), mean difference between these two groups will be assessed using a t-test for normally distributed data and Mann Whitney test will be performed if data is not normally distributed. Chi square tests for associations between variables and groups will be conducted if data is categorical (SGA categories). Regression analysis will be conducted to determine the impact of factors such as age, gender and BMI on the relationship between the intervention and percentage weight change.</w:t>
            </w:r>
          </w:p>
          <w:p w:rsidR="002B7C49" w:rsidRPr="00CB56AE" w:rsidRDefault="002B7C49" w:rsidP="00D91CFB">
            <w:pPr>
              <w:pStyle w:val="Reminder"/>
              <w:ind w:left="0"/>
              <w:rPr>
                <w:color w:val="auto"/>
                <w:sz w:val="24"/>
              </w:rPr>
            </w:pPr>
          </w:p>
        </w:tc>
      </w:tr>
    </w:tbl>
    <w:p w:rsidR="00947C13" w:rsidRPr="00CB56AE" w:rsidRDefault="007D7120">
      <w:pPr>
        <w:rPr>
          <w:rFonts w:cs="Arial"/>
          <w:sz w:val="24"/>
        </w:rPr>
      </w:pPr>
    </w:p>
    <w:sectPr w:rsidR="00947C13" w:rsidRPr="00CB56A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255" w:rsidRDefault="00484255" w:rsidP="00D5706E">
      <w:pPr>
        <w:spacing w:line="240" w:lineRule="auto"/>
      </w:pPr>
      <w:r>
        <w:separator/>
      </w:r>
    </w:p>
  </w:endnote>
  <w:endnote w:type="continuationSeparator" w:id="0">
    <w:p w:rsidR="00484255" w:rsidRDefault="00484255" w:rsidP="00D570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w:altName w:val="Book Antiqua"/>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06E" w:rsidRPr="005740DB" w:rsidRDefault="00D5706E" w:rsidP="00D5706E">
    <w:pPr>
      <w:pStyle w:val="Footer"/>
      <w:rPr>
        <w:rFonts w:cs="Arial"/>
        <w:szCs w:val="20"/>
      </w:rPr>
    </w:pPr>
    <w:r w:rsidRPr="005740DB">
      <w:rPr>
        <w:rFonts w:cs="Arial"/>
        <w:szCs w:val="20"/>
      </w:rPr>
      <w:t xml:space="preserve">Page </w:t>
    </w:r>
    <w:r w:rsidRPr="005740DB">
      <w:rPr>
        <w:rFonts w:cs="Arial"/>
        <w:szCs w:val="20"/>
      </w:rPr>
      <w:fldChar w:fldCharType="begin"/>
    </w:r>
    <w:r w:rsidRPr="005740DB">
      <w:rPr>
        <w:rFonts w:cs="Arial"/>
        <w:szCs w:val="20"/>
      </w:rPr>
      <w:instrText xml:space="preserve"> PAGE </w:instrText>
    </w:r>
    <w:r w:rsidRPr="005740DB">
      <w:rPr>
        <w:rFonts w:cs="Arial"/>
        <w:szCs w:val="20"/>
      </w:rPr>
      <w:fldChar w:fldCharType="separate"/>
    </w:r>
    <w:r w:rsidR="007D7120">
      <w:rPr>
        <w:rFonts w:cs="Arial"/>
        <w:noProof/>
        <w:szCs w:val="20"/>
      </w:rPr>
      <w:t>1</w:t>
    </w:r>
    <w:r w:rsidRPr="005740DB">
      <w:rPr>
        <w:rFonts w:cs="Arial"/>
        <w:szCs w:val="20"/>
      </w:rPr>
      <w:fldChar w:fldCharType="end"/>
    </w:r>
    <w:r w:rsidRPr="005740DB">
      <w:rPr>
        <w:rFonts w:cs="Arial"/>
        <w:szCs w:val="20"/>
      </w:rPr>
      <w:t xml:space="preserve"> of </w:t>
    </w:r>
    <w:r w:rsidRPr="005740DB">
      <w:rPr>
        <w:rFonts w:cs="Arial"/>
        <w:szCs w:val="20"/>
      </w:rPr>
      <w:fldChar w:fldCharType="begin"/>
    </w:r>
    <w:r w:rsidRPr="005740DB">
      <w:rPr>
        <w:rFonts w:cs="Arial"/>
        <w:szCs w:val="20"/>
      </w:rPr>
      <w:instrText xml:space="preserve"> NUMPAGES </w:instrText>
    </w:r>
    <w:r w:rsidRPr="005740DB">
      <w:rPr>
        <w:rFonts w:cs="Arial"/>
        <w:szCs w:val="20"/>
      </w:rPr>
      <w:fldChar w:fldCharType="separate"/>
    </w:r>
    <w:r w:rsidR="007D7120">
      <w:rPr>
        <w:rFonts w:cs="Arial"/>
        <w:noProof/>
        <w:szCs w:val="20"/>
      </w:rPr>
      <w:t>3</w:t>
    </w:r>
    <w:r w:rsidRPr="005740DB">
      <w:rPr>
        <w:rFonts w:cs="Arial"/>
        <w:szCs w:val="20"/>
      </w:rPr>
      <w:fldChar w:fldCharType="end"/>
    </w:r>
  </w:p>
  <w:p w:rsidR="00D5706E" w:rsidRDefault="00D570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255" w:rsidRDefault="00484255" w:rsidP="00D5706E">
      <w:pPr>
        <w:spacing w:line="240" w:lineRule="auto"/>
      </w:pPr>
      <w:r>
        <w:separator/>
      </w:r>
    </w:p>
  </w:footnote>
  <w:footnote w:type="continuationSeparator" w:id="0">
    <w:p w:rsidR="00484255" w:rsidRDefault="00484255" w:rsidP="00D5706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926E67"/>
    <w:multiLevelType w:val="singleLevel"/>
    <w:tmpl w:val="40A8E302"/>
    <w:lvl w:ilvl="0">
      <w:start w:val="1"/>
      <w:numFmt w:val="bullet"/>
      <w:pStyle w:val="ListBullet"/>
      <w:lvlText w:val="-"/>
      <w:lvlJc w:val="left"/>
      <w:pPr>
        <w:tabs>
          <w:tab w:val="num" w:pos="360"/>
        </w:tabs>
        <w:ind w:left="360" w:hanging="360"/>
      </w:pPr>
      <w:rPr>
        <w:rFonts w:ascii="Palatino" w:hAnsi="Palatino"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47B"/>
    <w:rsid w:val="000101CA"/>
    <w:rsid w:val="00024AA1"/>
    <w:rsid w:val="000B0C01"/>
    <w:rsid w:val="000B6560"/>
    <w:rsid w:val="000E204D"/>
    <w:rsid w:val="00143E6C"/>
    <w:rsid w:val="00177D99"/>
    <w:rsid w:val="001A4EBC"/>
    <w:rsid w:val="00227025"/>
    <w:rsid w:val="00227B0B"/>
    <w:rsid w:val="00247B02"/>
    <w:rsid w:val="00264B8A"/>
    <w:rsid w:val="00283347"/>
    <w:rsid w:val="002954C8"/>
    <w:rsid w:val="002955C7"/>
    <w:rsid w:val="002B7C49"/>
    <w:rsid w:val="002E2691"/>
    <w:rsid w:val="00330467"/>
    <w:rsid w:val="003E0B53"/>
    <w:rsid w:val="0040624D"/>
    <w:rsid w:val="0043038A"/>
    <w:rsid w:val="004320EE"/>
    <w:rsid w:val="00483515"/>
    <w:rsid w:val="00484255"/>
    <w:rsid w:val="004D021B"/>
    <w:rsid w:val="004F1F48"/>
    <w:rsid w:val="00520570"/>
    <w:rsid w:val="0054122A"/>
    <w:rsid w:val="005417BA"/>
    <w:rsid w:val="00561017"/>
    <w:rsid w:val="00590A46"/>
    <w:rsid w:val="00623246"/>
    <w:rsid w:val="006442D8"/>
    <w:rsid w:val="006E2492"/>
    <w:rsid w:val="007532C4"/>
    <w:rsid w:val="007541CB"/>
    <w:rsid w:val="007A6475"/>
    <w:rsid w:val="007D7120"/>
    <w:rsid w:val="00815777"/>
    <w:rsid w:val="00820430"/>
    <w:rsid w:val="009F695C"/>
    <w:rsid w:val="00A435B2"/>
    <w:rsid w:val="00A60E82"/>
    <w:rsid w:val="00A950B9"/>
    <w:rsid w:val="00AD0066"/>
    <w:rsid w:val="00B42B01"/>
    <w:rsid w:val="00B94060"/>
    <w:rsid w:val="00BE25C5"/>
    <w:rsid w:val="00BE4831"/>
    <w:rsid w:val="00BF0787"/>
    <w:rsid w:val="00C05D8A"/>
    <w:rsid w:val="00C1568C"/>
    <w:rsid w:val="00C33ACD"/>
    <w:rsid w:val="00C45E2F"/>
    <w:rsid w:val="00CB03C0"/>
    <w:rsid w:val="00CB56AE"/>
    <w:rsid w:val="00D5706E"/>
    <w:rsid w:val="00D91CFB"/>
    <w:rsid w:val="00DD647B"/>
    <w:rsid w:val="00E61F95"/>
    <w:rsid w:val="00E668E4"/>
    <w:rsid w:val="00E776E3"/>
    <w:rsid w:val="00E8476A"/>
    <w:rsid w:val="00F35613"/>
    <w:rsid w:val="00F73A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FD9E28-4AE9-4F2E-ABDD-9215F65C4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47B"/>
    <w:pPr>
      <w:spacing w:after="0" w:line="264" w:lineRule="auto"/>
    </w:pPr>
    <w:rPr>
      <w:rFonts w:ascii="Arial" w:eastAsia="Times New Roman" w:hAnsi="Arial" w:cs="Times New Roman"/>
      <w:sz w:val="20"/>
      <w:szCs w:val="24"/>
      <w:lang w:val="en-GB" w:eastAsia="nl-NL"/>
    </w:rPr>
  </w:style>
  <w:style w:type="paragraph" w:styleId="Heading8">
    <w:name w:val="heading 8"/>
    <w:basedOn w:val="Normal"/>
    <w:next w:val="Normal"/>
    <w:link w:val="Heading8Char"/>
    <w:qFormat/>
    <w:rsid w:val="00DD647B"/>
    <w:pPr>
      <w:outlineLvl w:val="7"/>
    </w:pPr>
    <w:rPr>
      <w:iCs/>
      <w:cap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DD647B"/>
    <w:rPr>
      <w:rFonts w:ascii="Arial" w:eastAsia="Times New Roman" w:hAnsi="Arial" w:cs="Times New Roman"/>
      <w:iCs/>
      <w:caps/>
      <w:sz w:val="18"/>
      <w:szCs w:val="24"/>
      <w:lang w:val="en-GB" w:eastAsia="nl-NL"/>
    </w:rPr>
  </w:style>
  <w:style w:type="paragraph" w:customStyle="1" w:styleId="Reminder">
    <w:name w:val="Reminder"/>
    <w:basedOn w:val="Normal"/>
    <w:rsid w:val="00DD647B"/>
    <w:pPr>
      <w:tabs>
        <w:tab w:val="left" w:pos="431"/>
      </w:tabs>
      <w:ind w:left="578"/>
    </w:pPr>
    <w:rPr>
      <w:rFonts w:cs="Arial"/>
      <w:color w:val="FF0000"/>
      <w:sz w:val="16"/>
    </w:rPr>
  </w:style>
  <w:style w:type="paragraph" w:customStyle="1" w:styleId="Pagenr">
    <w:name w:val="Page nr"/>
    <w:basedOn w:val="Normal"/>
    <w:rsid w:val="00DD647B"/>
    <w:pPr>
      <w:widowControl w:val="0"/>
      <w:jc w:val="right"/>
    </w:pPr>
    <w:rPr>
      <w:color w:val="000000"/>
      <w:spacing w:val="-3"/>
      <w:szCs w:val="20"/>
      <w:lang w:eastAsia="en-US"/>
    </w:rPr>
  </w:style>
  <w:style w:type="paragraph" w:styleId="ListBullet">
    <w:name w:val="List Bullet"/>
    <w:basedOn w:val="Normal"/>
    <w:rsid w:val="00DD647B"/>
    <w:pPr>
      <w:widowControl w:val="0"/>
      <w:numPr>
        <w:numId w:val="1"/>
      </w:numPr>
      <w:ind w:left="357" w:right="-113" w:hanging="357"/>
    </w:pPr>
    <w:rPr>
      <w:color w:val="000000"/>
      <w:spacing w:val="-3"/>
      <w:szCs w:val="20"/>
      <w:lang w:eastAsia="en-US"/>
    </w:rPr>
  </w:style>
  <w:style w:type="paragraph" w:customStyle="1" w:styleId="Definitions">
    <w:name w:val="Definitions"/>
    <w:aliases w:val="guidelines"/>
    <w:basedOn w:val="Reminder"/>
    <w:rsid w:val="00DD647B"/>
    <w:rPr>
      <w:color w:val="008000"/>
    </w:rPr>
  </w:style>
  <w:style w:type="paragraph" w:styleId="Header">
    <w:name w:val="header"/>
    <w:basedOn w:val="Normal"/>
    <w:link w:val="HeaderChar"/>
    <w:uiPriority w:val="99"/>
    <w:unhideWhenUsed/>
    <w:rsid w:val="00D5706E"/>
    <w:pPr>
      <w:tabs>
        <w:tab w:val="center" w:pos="4513"/>
        <w:tab w:val="right" w:pos="9026"/>
      </w:tabs>
      <w:spacing w:line="240" w:lineRule="auto"/>
    </w:pPr>
  </w:style>
  <w:style w:type="character" w:customStyle="1" w:styleId="HeaderChar">
    <w:name w:val="Header Char"/>
    <w:basedOn w:val="DefaultParagraphFont"/>
    <w:link w:val="Header"/>
    <w:uiPriority w:val="99"/>
    <w:rsid w:val="00D5706E"/>
    <w:rPr>
      <w:rFonts w:ascii="Arial" w:eastAsia="Times New Roman" w:hAnsi="Arial" w:cs="Times New Roman"/>
      <w:sz w:val="20"/>
      <w:szCs w:val="24"/>
      <w:lang w:val="en-GB" w:eastAsia="nl-NL"/>
    </w:rPr>
  </w:style>
  <w:style w:type="paragraph" w:styleId="Footer">
    <w:name w:val="footer"/>
    <w:basedOn w:val="Normal"/>
    <w:link w:val="FooterChar"/>
    <w:unhideWhenUsed/>
    <w:rsid w:val="00D5706E"/>
    <w:pPr>
      <w:tabs>
        <w:tab w:val="center" w:pos="4513"/>
        <w:tab w:val="right" w:pos="9026"/>
      </w:tabs>
      <w:spacing w:line="240" w:lineRule="auto"/>
    </w:pPr>
  </w:style>
  <w:style w:type="character" w:customStyle="1" w:styleId="FooterChar">
    <w:name w:val="Footer Char"/>
    <w:basedOn w:val="DefaultParagraphFont"/>
    <w:link w:val="Footer"/>
    <w:uiPriority w:val="99"/>
    <w:rsid w:val="00D5706E"/>
    <w:rPr>
      <w:rFonts w:ascii="Arial" w:eastAsia="Times New Roman" w:hAnsi="Arial" w:cs="Times New Roman"/>
      <w:sz w:val="20"/>
      <w:szCs w:val="24"/>
      <w:lang w:val="en-GB" w:eastAsia="nl-NL"/>
    </w:rPr>
  </w:style>
  <w:style w:type="paragraph" w:styleId="BalloonText">
    <w:name w:val="Balloon Text"/>
    <w:basedOn w:val="Normal"/>
    <w:link w:val="BalloonTextChar"/>
    <w:uiPriority w:val="99"/>
    <w:semiHidden/>
    <w:unhideWhenUsed/>
    <w:rsid w:val="007541C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1CB"/>
    <w:rPr>
      <w:rFonts w:ascii="Tahoma" w:eastAsia="Times New Roman" w:hAnsi="Tahoma" w:cs="Tahoma"/>
      <w:sz w:val="16"/>
      <w:szCs w:val="16"/>
      <w:lang w:val="en-GB" w:eastAsia="nl-NL"/>
    </w:rPr>
  </w:style>
  <w:style w:type="paragraph" w:styleId="PlainText">
    <w:name w:val="Plain Text"/>
    <w:basedOn w:val="Normal"/>
    <w:link w:val="PlainTextChar"/>
    <w:uiPriority w:val="99"/>
    <w:unhideWhenUsed/>
    <w:rsid w:val="00C45E2F"/>
    <w:pPr>
      <w:spacing w:line="240" w:lineRule="auto"/>
    </w:pPr>
    <w:rPr>
      <w:rFonts w:ascii="Calibri" w:eastAsiaTheme="minorHAnsi" w:hAnsi="Calibri" w:cs="Consolas"/>
      <w:sz w:val="22"/>
      <w:szCs w:val="21"/>
      <w:lang w:val="en-AU" w:eastAsia="en-US"/>
    </w:rPr>
  </w:style>
  <w:style w:type="character" w:customStyle="1" w:styleId="PlainTextChar">
    <w:name w:val="Plain Text Char"/>
    <w:basedOn w:val="DefaultParagraphFont"/>
    <w:link w:val="PlainText"/>
    <w:uiPriority w:val="99"/>
    <w:rsid w:val="00C45E2F"/>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87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Danone</Company>
  <LinksUpToDate>false</LinksUpToDate>
  <CharactersWithSpaces>4172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Katina Loughman</dc:creator>
  <cp:lastModifiedBy>Emma E. McNamara</cp:lastModifiedBy>
  <cp:revision>3</cp:revision>
  <cp:lastPrinted>2016-05-03T23:06:00Z</cp:lastPrinted>
  <dcterms:created xsi:type="dcterms:W3CDTF">2018-08-16T03:58:00Z</dcterms:created>
  <dcterms:modified xsi:type="dcterms:W3CDTF">2018-10-10T00:38:00Z</dcterms:modified>
</cp:coreProperties>
</file>